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827" w:rsidRDefault="003065CB" w:rsidP="00177827">
      <w:pPr>
        <w:pStyle w:val="PublicationTitle"/>
        <w:spacing w:before="0"/>
      </w:pPr>
      <w:bookmarkStart w:id="0" w:name="_Toc296423677"/>
      <w:bookmarkStart w:id="1" w:name="_Toc296497508"/>
      <w:r>
        <w:rPr>
          <w:noProof/>
          <w:lang w:eastAsia="en-AU"/>
        </w:rPr>
        <w:drawing>
          <wp:anchor distT="0" distB="0" distL="114300" distR="114300" simplePos="0" relativeHeight="251697152" behindDoc="0" locked="0" layoutInCell="1" allowOverlap="1" wp14:anchorId="01268037" wp14:editId="3D1177AD">
            <wp:simplePos x="0" y="0"/>
            <wp:positionH relativeFrom="column">
              <wp:posOffset>-521970</wp:posOffset>
            </wp:positionH>
            <wp:positionV relativeFrom="paragraph">
              <wp:posOffset>236220</wp:posOffset>
            </wp:positionV>
            <wp:extent cx="2281555" cy="487680"/>
            <wp:effectExtent l="0" t="0" r="4445" b="7620"/>
            <wp:wrapSquare wrapText="bothSides"/>
            <wp:docPr id="15" name="Picture 3" descr="P:\PublicationComponents\logos\NCVER LOGOS\Web\NCVER_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ublicationComponents\logos\NCVER LOGOS\Web\NCVER_MON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1555" cy="487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7827" w:rsidRDefault="00177827" w:rsidP="00A56A4A">
      <w:pPr>
        <w:pStyle w:val="PublicationTitle"/>
        <w:spacing w:before="0" w:after="0"/>
      </w:pPr>
    </w:p>
    <w:bookmarkEnd w:id="0"/>
    <w:bookmarkEnd w:id="1"/>
    <w:p w:rsidR="00E922E0" w:rsidRDefault="00E922E0" w:rsidP="00E922E0">
      <w:pPr>
        <w:pStyle w:val="PublicationTitle"/>
        <w:spacing w:before="0" w:after="0"/>
      </w:pPr>
    </w:p>
    <w:p w:rsidR="00E922E0" w:rsidRDefault="00E922E0" w:rsidP="00E922E0">
      <w:pPr>
        <w:pStyle w:val="PublicationTitle"/>
        <w:spacing w:before="0" w:after="0"/>
        <w:rPr>
          <w:noProof/>
          <w:lang w:eastAsia="en-AU"/>
        </w:rPr>
      </w:pPr>
    </w:p>
    <w:p w:rsidR="00E922E0" w:rsidRDefault="00E922E0" w:rsidP="00E922E0">
      <w:pPr>
        <w:pStyle w:val="PublicationTitle"/>
        <w:spacing w:before="0"/>
      </w:pPr>
      <w:r>
        <w:t>Readiness to meet demand</w:t>
      </w:r>
      <w:r w:rsidR="006A4B1A">
        <w:t xml:space="preserve"> for skills</w:t>
      </w:r>
      <w:r w:rsidR="00E0763E">
        <w:t>:</w:t>
      </w:r>
      <w:r>
        <w:t xml:space="preserve"> </w:t>
      </w:r>
      <w:r w:rsidR="00E0763E">
        <w:t>a study of</w:t>
      </w:r>
      <w:r w:rsidR="006A4B1A">
        <w:t xml:space="preserve"> five </w:t>
      </w:r>
      <w:r w:rsidR="00A148F7">
        <w:t>growth</w:t>
      </w:r>
      <w:r w:rsidR="006A4B1A">
        <w:t xml:space="preserve"> industries</w:t>
      </w:r>
    </w:p>
    <w:p w:rsidR="008B32C9" w:rsidRDefault="008B32C9" w:rsidP="008B32C9">
      <w:pPr>
        <w:pStyle w:val="Authors"/>
      </w:pPr>
      <w:bookmarkStart w:id="2" w:name="_Toc296497509"/>
      <w:bookmarkStart w:id="3" w:name="_Toc296423678"/>
      <w:r>
        <w:t>Francesca Beddie</w:t>
      </w:r>
    </w:p>
    <w:bookmarkEnd w:id="2"/>
    <w:bookmarkEnd w:id="3"/>
    <w:p w:rsidR="008B32C9" w:rsidRDefault="008B32C9" w:rsidP="008B32C9">
      <w:pPr>
        <w:pStyle w:val="Organisation"/>
      </w:pPr>
      <w:r>
        <w:t>Francesca Beddie &amp; Associates</w:t>
      </w:r>
    </w:p>
    <w:p w:rsidR="008B32C9" w:rsidRDefault="008B32C9" w:rsidP="008B32C9">
      <w:pPr>
        <w:pStyle w:val="Organisation"/>
      </w:pPr>
    </w:p>
    <w:p w:rsidR="008B32C9" w:rsidRDefault="008B32C9" w:rsidP="008B32C9">
      <w:pPr>
        <w:pStyle w:val="Authors"/>
      </w:pPr>
      <w:proofErr w:type="spellStart"/>
      <w:r>
        <w:t>Mette</w:t>
      </w:r>
      <w:proofErr w:type="spellEnd"/>
      <w:r>
        <w:t xml:space="preserve"> Creaser</w:t>
      </w:r>
    </w:p>
    <w:p w:rsidR="008B32C9" w:rsidRDefault="008B32C9" w:rsidP="008B32C9">
      <w:pPr>
        <w:pStyle w:val="Authors"/>
      </w:pPr>
      <w:r>
        <w:t>Jo Hargreaves</w:t>
      </w:r>
    </w:p>
    <w:p w:rsidR="008B32C9" w:rsidRDefault="008B32C9" w:rsidP="008B32C9">
      <w:pPr>
        <w:pStyle w:val="Authors"/>
      </w:pPr>
      <w:r>
        <w:t xml:space="preserve">Adrian </w:t>
      </w:r>
      <w:proofErr w:type="spellStart"/>
      <w:r>
        <w:t>Ong</w:t>
      </w:r>
      <w:proofErr w:type="spellEnd"/>
    </w:p>
    <w:p w:rsidR="008B32C9" w:rsidRDefault="008B32C9" w:rsidP="008B32C9">
      <w:pPr>
        <w:pStyle w:val="Organisation"/>
        <w:ind w:left="981" w:firstLine="720"/>
      </w:pPr>
      <w:r>
        <w:t>N</w:t>
      </w:r>
      <w:r w:rsidR="00BC0A89">
        <w:t xml:space="preserve">ational </w:t>
      </w:r>
      <w:r>
        <w:t>C</w:t>
      </w:r>
      <w:r w:rsidR="00BC0A89">
        <w:t xml:space="preserve">entre for </w:t>
      </w:r>
      <w:r>
        <w:t>V</w:t>
      </w:r>
      <w:r w:rsidR="00BC0A89">
        <w:t xml:space="preserve">ocational </w:t>
      </w:r>
      <w:r>
        <w:t>E</w:t>
      </w:r>
      <w:r w:rsidR="00BC0A89">
        <w:t xml:space="preserve">ducation </w:t>
      </w:r>
      <w:r>
        <w:t>R</w:t>
      </w:r>
      <w:r w:rsidR="00BC0A89">
        <w:t>esearch</w:t>
      </w:r>
    </w:p>
    <w:p w:rsidR="00E922E0" w:rsidRDefault="00D439D9" w:rsidP="00E922E0">
      <w:pPr>
        <w:pStyle w:val="Heading3"/>
        <w:ind w:right="-1"/>
      </w:pPr>
      <w:r>
        <w:rPr>
          <w:noProof/>
          <w:lang w:eastAsia="en-AU"/>
        </w:rPr>
        <mc:AlternateContent>
          <mc:Choice Requires="wps">
            <w:drawing>
              <wp:anchor distT="0" distB="0" distL="114300" distR="114300" simplePos="0" relativeHeight="251681792" behindDoc="0" locked="0" layoutInCell="1" allowOverlap="1" wp14:anchorId="0E70B681" wp14:editId="1516286F">
                <wp:simplePos x="0" y="0"/>
                <wp:positionH relativeFrom="column">
                  <wp:posOffset>928370</wp:posOffset>
                </wp:positionH>
                <wp:positionV relativeFrom="margin">
                  <wp:posOffset>8378190</wp:posOffset>
                </wp:positionV>
                <wp:extent cx="4533900" cy="10541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6DD" w:rsidRPr="00861CE5" w:rsidRDefault="006C26DD" w:rsidP="00E922E0">
                            <w:pPr>
                              <w:pStyle w:val="Imprint"/>
                              <w:spacing w:before="0"/>
                              <w:ind w:left="142" w:right="10"/>
                              <w:rPr>
                                <w:color w:val="000000"/>
                              </w:rPr>
                            </w:pPr>
                            <w:r w:rsidRPr="005C2FCF">
                              <w:rPr>
                                <w:color w:val="000000"/>
                              </w:rPr>
                              <w:t>The views and opinions expressed in this document are those of the author/</w:t>
                            </w:r>
                            <w:r>
                              <w:rPr>
                                <w:color w:val="000000"/>
                              </w:rPr>
                              <w:br/>
                            </w:r>
                            <w:r w:rsidRPr="005C2FCF">
                              <w:rPr>
                                <w:color w:val="000000"/>
                              </w:rPr>
                              <w:t>project</w:t>
                            </w:r>
                            <w:r>
                              <w:rPr>
                                <w:color w:val="000000"/>
                              </w:rPr>
                              <w:t xml:space="preserve"> </w:t>
                            </w:r>
                            <w:r w:rsidRPr="005C2FCF">
                              <w:rPr>
                                <w:color w:val="000000"/>
                              </w:rPr>
                              <w:t>team and do not necessarily reflect the vie</w:t>
                            </w:r>
                            <w:r>
                              <w:rPr>
                                <w:color w:val="000000"/>
                              </w:rPr>
                              <w:t xml:space="preserve">ws of the Australian Government </w:t>
                            </w:r>
                            <w:r>
                              <w:rPr>
                                <w:color w:val="000000"/>
                              </w:rPr>
                              <w:br/>
                              <w:t>or</w:t>
                            </w:r>
                            <w:r w:rsidRPr="005C2FCF">
                              <w:rPr>
                                <w:color w:val="000000"/>
                              </w:rPr>
                              <w:t xml:space="preserve"> </w:t>
                            </w:r>
                            <w:r>
                              <w:rPr>
                                <w:color w:val="000000"/>
                              </w:rPr>
                              <w:t>state and territory governments.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73.1pt;margin-top:659.7pt;width:357pt;height:8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" filled="f" stroked="f">
                <v:textbox>
                  <w:txbxContent>
                    <w:p w:rsidR="0092743D" w:rsidRPr="00861CE5" w:rsidRDefault="0092743D" w:rsidP="00E922E0">
                      <w:pPr>
                        <w:pStyle w:val="Imprint"/>
                        <w:spacing w:before="0"/>
                        <w:ind w:left="142" w:right="10"/>
                        <w:rPr>
                          <w:color w:val="000000"/>
                        </w:rPr>
                      </w:pPr>
                      <w:r w:rsidRPr="005C2FCF">
                        <w:rPr>
                          <w:color w:val="000000"/>
                        </w:rPr>
                        <w:t>The views and opinions expressed in this document are those of the author/</w:t>
                      </w:r>
                      <w:r>
                        <w:rPr>
                          <w:color w:val="000000"/>
                        </w:rPr>
                        <w:br/>
                      </w:r>
                      <w:r w:rsidRPr="005C2FCF">
                        <w:rPr>
                          <w:color w:val="000000"/>
                        </w:rPr>
                        <w:t>project</w:t>
                      </w:r>
                      <w:r>
                        <w:rPr>
                          <w:color w:val="000000"/>
                        </w:rPr>
                        <w:t xml:space="preserve"> </w:t>
                      </w:r>
                      <w:r w:rsidRPr="005C2FCF">
                        <w:rPr>
                          <w:color w:val="000000"/>
                        </w:rPr>
                        <w:t>team and do not necessarily reflect the vie</w:t>
                      </w:r>
                      <w:r>
                        <w:rPr>
                          <w:color w:val="000000"/>
                        </w:rPr>
                        <w:t xml:space="preserve">ws of the Australian Government </w:t>
                      </w:r>
                      <w:r>
                        <w:rPr>
                          <w:color w:val="000000"/>
                        </w:rPr>
                        <w:br/>
                        <w:t>or</w:t>
                      </w:r>
                      <w:r w:rsidRPr="005C2FCF">
                        <w:rPr>
                          <w:color w:val="000000"/>
                        </w:rPr>
                        <w:t xml:space="preserve"> </w:t>
                      </w:r>
                      <w:r>
                        <w:rPr>
                          <w:color w:val="000000"/>
                        </w:rPr>
                        <w:t>state and territory governments.</w:t>
                      </w:r>
                    </w:p>
                  </w:txbxContent>
                </v:textbox>
                <w10:wrap anchory="margin"/>
              </v:shape>
            </w:pict>
          </mc:Fallback>
        </mc:AlternateContent>
      </w:r>
    </w:p>
    <w:p w:rsidR="00E922E0" w:rsidRPr="005C2FCF" w:rsidRDefault="00CB4EEC" w:rsidP="00E922E0">
      <w:pPr>
        <w:pStyle w:val="Heading3"/>
        <w:ind w:right="-1"/>
      </w:pPr>
      <w:r>
        <w:rPr>
          <w:noProof/>
          <w:lang w:eastAsia="en-AU"/>
        </w:rPr>
        <mc:AlternateContent>
          <mc:Choice Requires="wps">
            <w:drawing>
              <wp:anchor distT="0" distB="0" distL="114300" distR="114300" simplePos="0" relativeHeight="251682816" behindDoc="0" locked="0" layoutInCell="1" allowOverlap="1" wp14:anchorId="516C2974" wp14:editId="3D7F1F55">
                <wp:simplePos x="0" y="0"/>
                <wp:positionH relativeFrom="column">
                  <wp:posOffset>1014095</wp:posOffset>
                </wp:positionH>
                <wp:positionV relativeFrom="margin">
                  <wp:posOffset>7057390</wp:posOffset>
                </wp:positionV>
                <wp:extent cx="2724150" cy="10541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6DD" w:rsidRPr="00CB4EEC" w:rsidRDefault="006C26DD" w:rsidP="00BC0A89">
                            <w:pPr>
                              <w:pStyle w:val="Heading3"/>
                              <w:rPr>
                                <w:rFonts w:ascii="Trebuchet MS" w:hAnsi="Trebuchet MS"/>
                                <w:szCs w:val="24"/>
                              </w:rPr>
                            </w:pPr>
                            <w:r>
                              <w:rPr>
                                <w:rFonts w:ascii="Trebuchet MS" w:hAnsi="Trebuchet MS"/>
                                <w:szCs w:val="24"/>
                              </w:rPr>
                              <w:t>NATIONAL CENTRE FOR VOCATIONAL EDUCATION RESEARCH</w:t>
                            </w:r>
                          </w:p>
                          <w:p w:rsidR="006C26DD" w:rsidRPr="00CB4EEC" w:rsidRDefault="006C26DD" w:rsidP="00BC0A89">
                            <w:pPr>
                              <w:pStyle w:val="Heading3"/>
                              <w:spacing w:before="80"/>
                              <w:rPr>
                                <w:rFonts w:ascii="Trebuchet MS" w:hAnsi="Trebuchet MS"/>
                                <w:szCs w:val="24"/>
                              </w:rPr>
                            </w:pPr>
                            <w:r w:rsidRPr="00CB4EEC">
                              <w:rPr>
                                <w:rFonts w:ascii="Trebuchet MS" w:hAnsi="Trebuchet MS"/>
                                <w:b/>
                                <w:szCs w:val="24"/>
                              </w:rPr>
                              <w:t>RESEARCH REPORT</w:t>
                            </w:r>
                          </w:p>
                          <w:p w:rsidR="006C26DD" w:rsidRDefault="006C26DD" w:rsidP="00E922E0">
                            <w:pPr>
                              <w:pStyle w:val="Heading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79.85pt;margin-top:555.7pt;width:214.5pt;height:8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" filled="f" stroked="f">
                <v:textbox>
                  <w:txbxContent>
                    <w:p w:rsidR="0092743D" w:rsidRPr="00CB4EEC" w:rsidRDefault="0092743D" w:rsidP="00BC0A89">
                      <w:pPr>
                        <w:pStyle w:val="Heading3"/>
                        <w:rPr>
                          <w:rFonts w:ascii="Trebuchet MS" w:hAnsi="Trebuchet MS"/>
                          <w:szCs w:val="24"/>
                        </w:rPr>
                      </w:pPr>
                      <w:r>
                        <w:rPr>
                          <w:rFonts w:ascii="Trebuchet MS" w:hAnsi="Trebuchet MS"/>
                          <w:szCs w:val="24"/>
                        </w:rPr>
                        <w:t>NATIONAL CENTRE FOR VOCATIONAL EDUCATION RESEARCH</w:t>
                      </w:r>
                    </w:p>
                    <w:p w:rsidR="0092743D" w:rsidRPr="00CB4EEC" w:rsidRDefault="0092743D" w:rsidP="00BC0A89">
                      <w:pPr>
                        <w:pStyle w:val="Heading3"/>
                        <w:spacing w:before="80"/>
                        <w:rPr>
                          <w:rFonts w:ascii="Trebuchet MS" w:hAnsi="Trebuchet MS"/>
                          <w:szCs w:val="24"/>
                        </w:rPr>
                      </w:pPr>
                      <w:r w:rsidRPr="00CB4EEC">
                        <w:rPr>
                          <w:rFonts w:ascii="Trebuchet MS" w:hAnsi="Trebuchet MS"/>
                          <w:b/>
                          <w:szCs w:val="24"/>
                        </w:rPr>
                        <w:t>RESEARCH REPORT</w:t>
                      </w:r>
                    </w:p>
                    <w:p w:rsidR="0092743D" w:rsidRDefault="0092743D" w:rsidP="00E922E0">
                      <w:pPr>
                        <w:pStyle w:val="Heading3"/>
                      </w:pPr>
                    </w:p>
                  </w:txbxContent>
                </v:textbox>
                <w10:wrap anchory="margin"/>
              </v:shape>
            </w:pict>
          </mc:Fallback>
        </mc:AlternateContent>
      </w:r>
      <w:r w:rsidR="00E922E0" w:rsidRPr="005C2FCF">
        <w:br w:type="page"/>
      </w:r>
      <w:r w:rsidR="00E922E0" w:rsidRPr="005C2FCF">
        <w:lastRenderedPageBreak/>
        <w:t>Publisher’s note</w:t>
      </w:r>
    </w:p>
    <w:p w:rsidR="00E922E0" w:rsidRDefault="00E922E0" w:rsidP="00CB4EEC">
      <w:pPr>
        <w:pStyle w:val="Imprint"/>
        <w:ind w:right="1133"/>
      </w:pPr>
      <w:r>
        <w:t xml:space="preserve">To find other material of interest, search </w:t>
      </w:r>
      <w:proofErr w:type="spellStart"/>
      <w:r>
        <w:t>VOCEDplus</w:t>
      </w:r>
      <w:proofErr w:type="spellEnd"/>
      <w:r>
        <w:t xml:space="preserve"> (the UNESCO/NCVER international database &lt;</w:t>
      </w:r>
      <w:hyperlink r:id="rId10" w:history="1">
        <w:r>
          <w:t>http://www.voced.edu.au</w:t>
        </w:r>
      </w:hyperlink>
      <w:r>
        <w:t xml:space="preserve">&gt;) using the following keywords: </w:t>
      </w:r>
      <w:r w:rsidR="00E21E2E" w:rsidRPr="00E21E2E">
        <w:t>education and training system; education industry relationship; education; employees; employers; industry; providers of education and training; skill development; skill needs; skills and knowledge; teachers; trainers; training; workforce development</w:t>
      </w:r>
      <w:r w:rsidR="00CB4EEC">
        <w:t>.</w:t>
      </w:r>
    </w:p>
    <w:p w:rsidR="00BC0A89" w:rsidRPr="00BC0A89" w:rsidRDefault="00BC0A89" w:rsidP="00CB4EEC">
      <w:pPr>
        <w:pStyle w:val="Imprint"/>
        <w:ind w:right="1275"/>
        <w:rPr>
          <w:b/>
        </w:rPr>
      </w:pPr>
      <w:bookmarkStart w:id="4" w:name="_Toc73766312"/>
      <w:bookmarkStart w:id="5" w:name="_Toc77937774"/>
      <w:bookmarkStart w:id="6" w:name="_Toc80174750"/>
      <w:bookmarkStart w:id="7" w:name="_Toc81560506"/>
      <w:bookmarkStart w:id="8" w:name="_Toc82071799"/>
      <w:bookmarkStart w:id="9" w:name="_Toc82151754"/>
      <w:bookmarkStart w:id="10" w:name="_Toc82498260"/>
      <w:bookmarkStart w:id="11" w:name="_Toc86829097"/>
      <w:bookmarkStart w:id="12" w:name="_Toc89226248"/>
      <w:bookmarkStart w:id="13" w:name="_Toc89240893"/>
      <w:bookmarkStart w:id="14" w:name="_Toc98394875"/>
      <w:bookmarkStart w:id="15" w:name="_Toc296423679"/>
      <w:bookmarkStart w:id="16" w:name="_Toc296497510"/>
    </w:p>
    <w:p w:rsidR="00BC0A89" w:rsidRPr="00BC0A89" w:rsidRDefault="00BC0A89" w:rsidP="00D37AE4">
      <w:pPr>
        <w:pStyle w:val="Imprint"/>
        <w:spacing w:before="4200"/>
        <w:ind w:right="1276"/>
        <w:rPr>
          <w:b/>
        </w:rPr>
      </w:pPr>
      <w:r w:rsidRPr="00BC0A89">
        <w:rPr>
          <w:b/>
        </w:rPr>
        <w:t xml:space="preserve">© National Centre for Vocational Education Research, </w:t>
      </w:r>
      <w:r>
        <w:rPr>
          <w:b/>
        </w:rPr>
        <w:t>2014</w:t>
      </w:r>
    </w:p>
    <w:p w:rsidR="00BC0A89" w:rsidRPr="00263A2B" w:rsidRDefault="00BC0A89" w:rsidP="001F06FE">
      <w:pPr>
        <w:pStyle w:val="Imprint"/>
        <w:ind w:right="1275"/>
        <w:rPr>
          <w:lang w:val="en-GB"/>
        </w:rPr>
      </w:pPr>
      <w:r w:rsidRPr="00263A2B">
        <w:rPr>
          <w:rFonts w:ascii="TrebuchetMS-Bold" w:hAnsi="TrebuchetMS-Bold" w:cs="TrebuchetMS-Bold"/>
          <w:b/>
          <w:bCs/>
          <w:noProof/>
          <w:color w:val="000000"/>
          <w:lang w:eastAsia="en-AU"/>
        </w:rPr>
        <w:drawing>
          <wp:anchor distT="0" distB="0" distL="114300" distR="114300" simplePos="0" relativeHeight="251687936" behindDoc="0" locked="0" layoutInCell="1" allowOverlap="1" wp14:anchorId="66EEE4B7" wp14:editId="75C940C1">
            <wp:simplePos x="0" y="0"/>
            <wp:positionH relativeFrom="column">
              <wp:posOffset>23495</wp:posOffset>
            </wp:positionH>
            <wp:positionV relativeFrom="paragraph">
              <wp:posOffset>104140</wp:posOffset>
            </wp:positionV>
            <wp:extent cx="838200" cy="295275"/>
            <wp:effectExtent l="0" t="0" r="0" b="9525"/>
            <wp:wrapTopAndBottom/>
            <wp:docPr id="6" name="licensebutton" descr="Creative Commons Licens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263A2B">
        <w:rPr>
          <w:lang w:val="en-GB"/>
        </w:rPr>
        <w:t xml:space="preserve">With the exception of cover design, artwork, photographs, all logos, and any other material where copyright is owned by a third party, all material presented in this document </w:t>
      </w:r>
      <w:proofErr w:type="gramStart"/>
      <w:r w:rsidRPr="00263A2B">
        <w:rPr>
          <w:lang w:val="en-GB"/>
        </w:rPr>
        <w:t>is</w:t>
      </w:r>
      <w:proofErr w:type="gramEnd"/>
      <w:r w:rsidRPr="00263A2B">
        <w:rPr>
          <w:lang w:val="en-GB"/>
        </w:rPr>
        <w:t xml:space="preserve"> provided under a Creative Commons Attribution 3.0 Australia &lt;http://creativecommons.org/licenses/by/3.0/au&gt;. </w:t>
      </w:r>
    </w:p>
    <w:p w:rsidR="00BC0A89" w:rsidRPr="00263A2B" w:rsidRDefault="00BC0A89" w:rsidP="00CB4EEC">
      <w:pPr>
        <w:pStyle w:val="Imprint"/>
        <w:spacing w:before="80"/>
        <w:ind w:right="1276"/>
        <w:rPr>
          <w:rFonts w:cs="TrebuchetMS-Italic"/>
          <w:i/>
          <w:iCs/>
          <w:lang w:val="en-GB"/>
        </w:rPr>
      </w:pPr>
      <w:r w:rsidRPr="00263A2B">
        <w:rPr>
          <w:lang w:val="en-GB"/>
        </w:rPr>
        <w:t xml:space="preserve">This document should be attributed as </w:t>
      </w:r>
      <w:r>
        <w:rPr>
          <w:lang w:val="en-GB"/>
        </w:rPr>
        <w:t xml:space="preserve">Beddie, F, Creaser, M, Hargreaves, J &amp; </w:t>
      </w:r>
      <w:proofErr w:type="spellStart"/>
      <w:r>
        <w:rPr>
          <w:lang w:val="en-GB"/>
        </w:rPr>
        <w:t>Ong</w:t>
      </w:r>
      <w:proofErr w:type="spellEnd"/>
      <w:r>
        <w:rPr>
          <w:lang w:val="en-GB"/>
        </w:rPr>
        <w:t>, A 2014</w:t>
      </w:r>
      <w:r w:rsidRPr="00263A2B">
        <w:rPr>
          <w:rFonts w:cs="TrebuchetMS-Italic"/>
          <w:i/>
          <w:iCs/>
          <w:lang w:val="en-GB"/>
        </w:rPr>
        <w:t xml:space="preserve">, </w:t>
      </w:r>
      <w:r w:rsidRPr="00BC0A89">
        <w:rPr>
          <w:rFonts w:cs="TrebuchetMS-Italic"/>
          <w:i/>
          <w:iCs/>
          <w:lang w:val="en-GB"/>
        </w:rPr>
        <w:t>Readiness</w:t>
      </w:r>
      <w:r w:rsidR="00CB4EEC">
        <w:rPr>
          <w:rFonts w:cs="TrebuchetMS-Italic"/>
          <w:i/>
          <w:iCs/>
          <w:lang w:val="en-GB"/>
        </w:rPr>
        <w:t> </w:t>
      </w:r>
      <w:r w:rsidRPr="00BC0A89">
        <w:rPr>
          <w:rFonts w:cs="TrebuchetMS-Italic"/>
          <w:i/>
          <w:iCs/>
          <w:lang w:val="en-GB"/>
        </w:rPr>
        <w:t>to meet demand for skills: a study of five growth industries,</w:t>
      </w:r>
      <w:r>
        <w:rPr>
          <w:rFonts w:cs="TrebuchetMS-Italic"/>
          <w:iCs/>
          <w:lang w:val="en-GB"/>
        </w:rPr>
        <w:t xml:space="preserve"> </w:t>
      </w:r>
      <w:r w:rsidRPr="00263A2B">
        <w:rPr>
          <w:rFonts w:cs="TrebuchetMS-Italic"/>
          <w:iCs/>
          <w:lang w:val="en-GB"/>
        </w:rPr>
        <w:t>NCVER</w:t>
      </w:r>
      <w:r>
        <w:rPr>
          <w:rFonts w:cs="TrebuchetMS-Italic"/>
          <w:iCs/>
          <w:lang w:val="en-GB"/>
        </w:rPr>
        <w:t>, Adelaide</w:t>
      </w:r>
      <w:r w:rsidRPr="00263A2B">
        <w:rPr>
          <w:rFonts w:cs="TrebuchetMS-Italic"/>
          <w:i/>
          <w:iCs/>
          <w:lang w:val="en-GB"/>
        </w:rPr>
        <w:t>.</w:t>
      </w:r>
    </w:p>
    <w:p w:rsidR="00BC0A89" w:rsidRPr="00263A2B" w:rsidRDefault="00BC0A89" w:rsidP="00CB4EEC">
      <w:pPr>
        <w:pStyle w:val="Imprint"/>
        <w:ind w:right="1275"/>
        <w:rPr>
          <w:lang w:val="en-GB"/>
        </w:rPr>
      </w:pPr>
      <w:r w:rsidRPr="00263A2B">
        <w:rPr>
          <w:lang w:val="en-GB"/>
        </w:rPr>
        <w:t>The National Ce</w:t>
      </w:r>
      <w:r>
        <w:rPr>
          <w:lang w:val="en-GB"/>
        </w:rPr>
        <w:t>ntre for Vocational Education Re</w:t>
      </w:r>
      <w:r w:rsidRPr="00263A2B">
        <w:rPr>
          <w:lang w:val="en-GB"/>
        </w:rPr>
        <w:t>search (NCVER) is an independent body responsible for</w:t>
      </w:r>
      <w:r w:rsidR="00CB4EEC">
        <w:rPr>
          <w:lang w:val="en-GB"/>
        </w:rPr>
        <w:t> </w:t>
      </w:r>
      <w:r w:rsidRPr="00263A2B">
        <w:rPr>
          <w:lang w:val="en-GB"/>
        </w:rPr>
        <w:t>collecting, managing and analysing, evaluating and communicating research and statistics about vocational education and training (VET).</w:t>
      </w:r>
    </w:p>
    <w:p w:rsidR="00BC0A89" w:rsidRDefault="00BC0A89" w:rsidP="001F06FE">
      <w:pPr>
        <w:pStyle w:val="Imprint"/>
        <w:spacing w:before="80"/>
        <w:ind w:right="1276"/>
        <w:rPr>
          <w:lang w:val="en-GB"/>
        </w:rPr>
      </w:pPr>
      <w:r w:rsidRPr="00263A2B">
        <w:rPr>
          <w:lang w:val="en-GB"/>
        </w:rPr>
        <w:t xml:space="preserve">NCVER’s </w:t>
      </w:r>
      <w:proofErr w:type="spellStart"/>
      <w:r w:rsidRPr="00263A2B">
        <w:rPr>
          <w:lang w:val="en-GB"/>
        </w:rPr>
        <w:t>inhouse</w:t>
      </w:r>
      <w:proofErr w:type="spellEnd"/>
      <w:r w:rsidRPr="00263A2B">
        <w:rPr>
          <w:lang w:val="en-GB"/>
        </w:rPr>
        <w:t xml:space="preserve"> research and evaluation program undertakes projects which are strategic to the VET</w:t>
      </w:r>
      <w:r w:rsidR="00CB4EEC">
        <w:rPr>
          <w:lang w:val="en-GB"/>
        </w:rPr>
        <w:t> </w:t>
      </w:r>
      <w:r w:rsidRPr="00263A2B">
        <w:rPr>
          <w:lang w:val="en-GB"/>
        </w:rPr>
        <w:t>sector. These projects are developed and conducted by NCVER’s research staff and are funded by</w:t>
      </w:r>
      <w:r w:rsidR="00CB4EEC">
        <w:rPr>
          <w:lang w:val="en-GB"/>
        </w:rPr>
        <w:t> </w:t>
      </w:r>
      <w:r w:rsidRPr="00263A2B">
        <w:rPr>
          <w:lang w:val="en-GB"/>
        </w:rPr>
        <w:t xml:space="preserve">NCVER. This research aims to improve policy and practice in the VET sector. </w:t>
      </w:r>
    </w:p>
    <w:p w:rsidR="00BC0A89" w:rsidRPr="00BC0A89" w:rsidRDefault="00BC0A89" w:rsidP="00CB4EEC">
      <w:pPr>
        <w:pStyle w:val="Imprint"/>
        <w:ind w:right="1275"/>
        <w:rPr>
          <w:lang w:val="en-GB"/>
        </w:rPr>
      </w:pPr>
      <w:r w:rsidRPr="00BC0A89">
        <w:rPr>
          <w:lang w:val="en-GB"/>
        </w:rPr>
        <w:t>COVER IMAGE: GETTY IMAGES/THINKSTOCK</w:t>
      </w:r>
    </w:p>
    <w:p w:rsidR="00BC0A89" w:rsidRPr="00BC0A89" w:rsidRDefault="00BC0A89" w:rsidP="00CB4EEC">
      <w:pPr>
        <w:pStyle w:val="Imprint"/>
        <w:ind w:right="1275"/>
        <w:rPr>
          <w:lang w:val="en-GB"/>
        </w:rPr>
      </w:pPr>
      <w:r w:rsidRPr="00BC0A89">
        <w:rPr>
          <w:lang w:val="en-GB"/>
        </w:rPr>
        <w:t>ISBN</w:t>
      </w:r>
      <w:r w:rsidRPr="00BC0A89">
        <w:rPr>
          <w:lang w:val="en-GB"/>
        </w:rPr>
        <w:tab/>
      </w:r>
      <w:r w:rsidR="00CB40BE" w:rsidRPr="00CB40BE">
        <w:rPr>
          <w:lang w:val="en-GB"/>
        </w:rPr>
        <w:t>978 1 925173 02 4</w:t>
      </w:r>
    </w:p>
    <w:p w:rsidR="00BC0A89" w:rsidRPr="00BC0A89" w:rsidRDefault="00BC0A89" w:rsidP="00CB4EEC">
      <w:pPr>
        <w:pStyle w:val="Imprint"/>
        <w:spacing w:before="80"/>
        <w:ind w:right="1275"/>
        <w:rPr>
          <w:lang w:val="en-GB"/>
        </w:rPr>
      </w:pPr>
      <w:r w:rsidRPr="00BC0A89">
        <w:rPr>
          <w:lang w:val="en-GB"/>
        </w:rPr>
        <w:t>TD/TNC</w:t>
      </w:r>
      <w:r w:rsidRPr="00BC0A89">
        <w:rPr>
          <w:lang w:val="en-GB"/>
        </w:rPr>
        <w:tab/>
      </w:r>
      <w:r w:rsidR="00CB40BE" w:rsidRPr="00CB40BE">
        <w:rPr>
          <w:lang w:val="en-GB"/>
        </w:rPr>
        <w:t>117.12</w:t>
      </w:r>
    </w:p>
    <w:p w:rsidR="00BC0A89" w:rsidRPr="00BC0A89" w:rsidRDefault="00BC0A89" w:rsidP="00CB4EEC">
      <w:pPr>
        <w:pStyle w:val="Imprint"/>
        <w:ind w:right="1275"/>
        <w:rPr>
          <w:lang w:val="en-GB"/>
        </w:rPr>
      </w:pPr>
      <w:r w:rsidRPr="00BC0A89">
        <w:rPr>
          <w:lang w:val="en-GB"/>
        </w:rPr>
        <w:t>Published by NCVER, ABN 87 007 967 311</w:t>
      </w:r>
    </w:p>
    <w:p w:rsidR="00BC0A89" w:rsidRPr="00BC0A89" w:rsidRDefault="00BC0A89" w:rsidP="00CB4EEC">
      <w:pPr>
        <w:pStyle w:val="Imprint"/>
        <w:spacing w:before="0"/>
        <w:ind w:right="1275"/>
        <w:rPr>
          <w:lang w:val="en-GB"/>
        </w:rPr>
      </w:pPr>
      <w:r w:rsidRPr="00BC0A89">
        <w:rPr>
          <w:lang w:val="en-GB"/>
        </w:rPr>
        <w:t>Level 11, 33 King William Street, Adelaide SA 5000</w:t>
      </w:r>
    </w:p>
    <w:p w:rsidR="00BC0A89" w:rsidRPr="00BC0A89" w:rsidRDefault="00BC0A89" w:rsidP="00CB4EEC">
      <w:pPr>
        <w:pStyle w:val="Imprint"/>
        <w:spacing w:before="0"/>
        <w:ind w:right="1275"/>
        <w:rPr>
          <w:lang w:val="en-GB"/>
        </w:rPr>
      </w:pPr>
      <w:r w:rsidRPr="00BC0A89">
        <w:rPr>
          <w:lang w:val="en-GB"/>
        </w:rPr>
        <w:t>PO Box 8288 Station Arcade, Adelaide SA 5000, Australia</w:t>
      </w:r>
    </w:p>
    <w:p w:rsidR="00BC0A89" w:rsidRPr="00BC0A89" w:rsidRDefault="00BC0A89" w:rsidP="001F06FE">
      <w:pPr>
        <w:pStyle w:val="Imprint"/>
        <w:spacing w:before="80"/>
        <w:ind w:right="1276"/>
        <w:rPr>
          <w:lang w:val="en-GB"/>
        </w:rPr>
      </w:pPr>
      <w:proofErr w:type="gramStart"/>
      <w:r w:rsidRPr="00BC6F00">
        <w:rPr>
          <w:b/>
          <w:lang w:val="en-GB"/>
        </w:rPr>
        <w:t>Phone</w:t>
      </w:r>
      <w:r w:rsidR="001F06FE">
        <w:rPr>
          <w:b/>
          <w:lang w:val="en-GB"/>
        </w:rPr>
        <w:t xml:space="preserve"> </w:t>
      </w:r>
      <w:r w:rsidRPr="00BC0A89">
        <w:rPr>
          <w:lang w:val="en-GB"/>
        </w:rPr>
        <w:t xml:space="preserve"> +</w:t>
      </w:r>
      <w:proofErr w:type="gramEnd"/>
      <w:r w:rsidRPr="00BC0A89">
        <w:rPr>
          <w:lang w:val="en-GB"/>
        </w:rPr>
        <w:t>61 8 8230 8400</w:t>
      </w:r>
      <w:r w:rsidR="001F06FE">
        <w:rPr>
          <w:lang w:val="en-GB"/>
        </w:rPr>
        <w:t xml:space="preserve">     </w:t>
      </w:r>
      <w:r w:rsidRPr="00BC6F00">
        <w:rPr>
          <w:b/>
          <w:lang w:val="en-GB"/>
        </w:rPr>
        <w:t>Fax</w:t>
      </w:r>
      <w:r w:rsidR="001F06FE">
        <w:rPr>
          <w:b/>
          <w:lang w:val="en-GB"/>
        </w:rPr>
        <w:t xml:space="preserve"> </w:t>
      </w:r>
      <w:r w:rsidRPr="00BC0A89">
        <w:rPr>
          <w:lang w:val="en-GB"/>
        </w:rPr>
        <w:t xml:space="preserve"> +61 8 8212 3436</w:t>
      </w:r>
    </w:p>
    <w:p w:rsidR="00BC0A89" w:rsidRPr="00BC0A89" w:rsidRDefault="00BC0A89" w:rsidP="001F06FE">
      <w:pPr>
        <w:pStyle w:val="Imprint"/>
        <w:spacing w:before="80"/>
        <w:ind w:right="1276"/>
        <w:rPr>
          <w:lang w:val="en-GB"/>
        </w:rPr>
      </w:pPr>
      <w:proofErr w:type="gramStart"/>
      <w:r w:rsidRPr="00BC6F00">
        <w:rPr>
          <w:b/>
          <w:lang w:val="en-GB"/>
        </w:rPr>
        <w:t>Email</w:t>
      </w:r>
      <w:r w:rsidRPr="00BC0A89">
        <w:rPr>
          <w:lang w:val="en-GB"/>
        </w:rPr>
        <w:t xml:space="preserve"> </w:t>
      </w:r>
      <w:r w:rsidR="001F06FE">
        <w:rPr>
          <w:lang w:val="en-GB"/>
        </w:rPr>
        <w:t xml:space="preserve"> ncver@ncver.edu.au</w:t>
      </w:r>
      <w:proofErr w:type="gramEnd"/>
      <w:r w:rsidR="001F06FE">
        <w:rPr>
          <w:lang w:val="en-GB"/>
        </w:rPr>
        <w:t xml:space="preserve">     </w:t>
      </w:r>
      <w:r w:rsidRPr="00BC6F00">
        <w:rPr>
          <w:b/>
          <w:lang w:val="en-GB"/>
        </w:rPr>
        <w:t>Web</w:t>
      </w:r>
      <w:r w:rsidRPr="00BC0A89">
        <w:rPr>
          <w:lang w:val="en-GB"/>
        </w:rPr>
        <w:t xml:space="preserve"> </w:t>
      </w:r>
      <w:r w:rsidR="00BC6F00">
        <w:rPr>
          <w:lang w:val="en-GB"/>
        </w:rPr>
        <w:t xml:space="preserve"> </w:t>
      </w:r>
      <w:r w:rsidRPr="00BC0A89">
        <w:rPr>
          <w:lang w:val="en-GB"/>
        </w:rPr>
        <w:t>&lt;http://www.ncver.edu.au&gt;  &lt;http://www.lsay.edu.au&gt;</w:t>
      </w:r>
    </w:p>
    <w:p w:rsidR="00BC0A89" w:rsidRPr="00263A2B" w:rsidRDefault="001F06FE" w:rsidP="001F06FE">
      <w:pPr>
        <w:pStyle w:val="Imprint"/>
        <w:tabs>
          <w:tab w:val="left" w:pos="1134"/>
          <w:tab w:val="left" w:pos="4111"/>
        </w:tabs>
        <w:spacing w:before="80"/>
        <w:ind w:right="1276"/>
        <w:rPr>
          <w:lang w:val="en-GB"/>
        </w:rPr>
      </w:pPr>
      <w:r w:rsidRPr="00BC6F00">
        <w:rPr>
          <w:b/>
          <w:noProof/>
          <w:lang w:eastAsia="en-AU"/>
        </w:rPr>
        <w:drawing>
          <wp:anchor distT="0" distB="0" distL="114300" distR="114300" simplePos="0" relativeHeight="251686912" behindDoc="0" locked="0" layoutInCell="1" allowOverlap="1" wp14:anchorId="0B11F36A" wp14:editId="4AB3E9B9">
            <wp:simplePos x="0" y="0"/>
            <wp:positionH relativeFrom="column">
              <wp:posOffset>2216785</wp:posOffset>
            </wp:positionH>
            <wp:positionV relativeFrom="paragraph">
              <wp:posOffset>44450</wp:posOffset>
            </wp:positionV>
            <wp:extent cx="139065" cy="152400"/>
            <wp:effectExtent l="0" t="0" r="0" b="0"/>
            <wp:wrapNone/>
            <wp:docPr id="24" name="Picture 24" descr="P:\PublicationComponents\logos\Social Media\InBug-16px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PublicationComponents\logos\Social Media\InBug-16px_0.png"/>
                    <pic:cNvPicPr>
                      <a:picLocks noChangeAspect="1" noChangeArrowheads="1"/>
                    </pic:cNvPicPr>
                  </pic:nvPicPr>
                  <pic:blipFill>
                    <a:blip r:embed="rId13" cstate="print">
                      <a:biLevel thresh="50000"/>
                    </a:blip>
                    <a:srcRect/>
                    <a:stretch>
                      <a:fillRect/>
                    </a:stretch>
                  </pic:blipFill>
                  <pic:spPr bwMode="auto">
                    <a:xfrm>
                      <a:off x="0" y="0"/>
                      <a:ext cx="139065" cy="152400"/>
                    </a:xfrm>
                    <a:prstGeom prst="rect">
                      <a:avLst/>
                    </a:prstGeom>
                    <a:noFill/>
                    <a:ln w="9525">
                      <a:noFill/>
                      <a:miter lim="800000"/>
                      <a:headEnd/>
                      <a:tailEnd/>
                    </a:ln>
                  </pic:spPr>
                </pic:pic>
              </a:graphicData>
            </a:graphic>
          </wp:anchor>
        </w:drawing>
      </w:r>
      <w:r w:rsidRPr="00BC6F00">
        <w:rPr>
          <w:b/>
          <w:noProof/>
          <w:lang w:eastAsia="en-AU"/>
        </w:rPr>
        <w:drawing>
          <wp:anchor distT="0" distB="0" distL="114300" distR="114300" simplePos="0" relativeHeight="251684864" behindDoc="0" locked="0" layoutInCell="1" allowOverlap="1" wp14:anchorId="23D859DC" wp14:editId="3DFC172D">
            <wp:simplePos x="0" y="0"/>
            <wp:positionH relativeFrom="column">
              <wp:posOffset>553085</wp:posOffset>
            </wp:positionH>
            <wp:positionV relativeFrom="paragraph">
              <wp:posOffset>40005</wp:posOffset>
            </wp:positionV>
            <wp:extent cx="141605" cy="152400"/>
            <wp:effectExtent l="0" t="0" r="0" b="0"/>
            <wp:wrapNone/>
            <wp:docPr id="14" name="Picture 1" descr="P:\PublicationComponents\logos\Social Media\Twitter_bla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blicationComponents\logos\Social Media\Twitter_blackbox.png"/>
                    <pic:cNvPicPr>
                      <a:picLocks noChangeAspect="1" noChangeArrowheads="1"/>
                    </pic:cNvPicPr>
                  </pic:nvPicPr>
                  <pic:blipFill>
                    <a:blip r:embed="rId14" cstate="print"/>
                    <a:srcRect/>
                    <a:stretch>
                      <a:fillRect/>
                    </a:stretch>
                  </pic:blipFill>
                  <pic:spPr bwMode="auto">
                    <a:xfrm>
                      <a:off x="0" y="0"/>
                      <a:ext cx="141605" cy="152400"/>
                    </a:xfrm>
                    <a:prstGeom prst="rect">
                      <a:avLst/>
                    </a:prstGeom>
                    <a:noFill/>
                    <a:ln w="9525">
                      <a:noFill/>
                      <a:miter lim="800000"/>
                      <a:headEnd/>
                      <a:tailEnd/>
                    </a:ln>
                  </pic:spPr>
                </pic:pic>
              </a:graphicData>
            </a:graphic>
          </wp:anchor>
        </w:drawing>
      </w:r>
      <w:r w:rsidR="00BC0A89" w:rsidRPr="00BC6F00">
        <w:rPr>
          <w:b/>
          <w:lang w:val="en-GB"/>
        </w:rPr>
        <w:t>Follow us:</w:t>
      </w:r>
      <w:r>
        <w:rPr>
          <w:b/>
          <w:lang w:val="en-GB"/>
        </w:rPr>
        <w:t xml:space="preserve">     </w:t>
      </w:r>
      <w:r w:rsidR="00BC0A89" w:rsidRPr="00BC0A89">
        <w:rPr>
          <w:lang w:val="en-GB"/>
        </w:rPr>
        <w:t xml:space="preserve">  </w:t>
      </w:r>
      <w:r w:rsidR="00BC6F00">
        <w:rPr>
          <w:lang w:val="en-GB"/>
        </w:rPr>
        <w:t xml:space="preserve"> </w:t>
      </w:r>
      <w:r>
        <w:rPr>
          <w:lang w:val="en-GB"/>
        </w:rPr>
        <w:t>&lt;</w:t>
      </w:r>
      <w:hyperlink r:id="rId15" w:history="1">
        <w:r w:rsidRPr="0019153F">
          <w:rPr>
            <w:rStyle w:val="Hyperlink"/>
            <w:sz w:val="16"/>
            <w:lang w:val="en-GB"/>
          </w:rPr>
          <w:t>http://twitter.com/ncver</w:t>
        </w:r>
      </w:hyperlink>
      <w:r>
        <w:rPr>
          <w:lang w:val="en-GB"/>
        </w:rPr>
        <w:t xml:space="preserve">&gt;           </w:t>
      </w:r>
      <w:r w:rsidR="00BC6F00">
        <w:rPr>
          <w:lang w:val="en-GB"/>
        </w:rPr>
        <w:t xml:space="preserve"> </w:t>
      </w:r>
      <w:r w:rsidR="00BC0A89" w:rsidRPr="00BC0A89">
        <w:rPr>
          <w:lang w:val="en-GB"/>
        </w:rPr>
        <w:t>&lt;http://www.linkedin.com/company/ncver&gt;</w:t>
      </w:r>
    </w:p>
    <w:p w:rsidR="00CB4EEC" w:rsidRDefault="00CB4EEC">
      <w:pPr>
        <w:rPr>
          <w:rFonts w:ascii="Tahoma" w:hAnsi="Tahoma" w:cs="Tahoma"/>
          <w:color w:val="000000"/>
          <w:kern w:val="28"/>
          <w:sz w:val="56"/>
          <w:szCs w:val="56"/>
          <w:lang w:eastAsia="en-US"/>
        </w:rPr>
      </w:pPr>
      <w:r>
        <w:br w:type="page"/>
      </w:r>
    </w:p>
    <w:p w:rsidR="00E922E0" w:rsidRPr="00C77DC6" w:rsidRDefault="00E922E0" w:rsidP="00E922E0">
      <w:pPr>
        <w:pStyle w:val="Abouttheresearch"/>
      </w:pPr>
      <w:r w:rsidRPr="005C2FCF">
        <w:lastRenderedPageBreak/>
        <w:t>About the research</w:t>
      </w:r>
      <w:bookmarkEnd w:id="4"/>
      <w:bookmarkEnd w:id="5"/>
      <w:bookmarkEnd w:id="6"/>
      <w:bookmarkEnd w:id="7"/>
      <w:bookmarkEnd w:id="8"/>
      <w:bookmarkEnd w:id="9"/>
      <w:bookmarkEnd w:id="10"/>
      <w:bookmarkEnd w:id="11"/>
      <w:bookmarkEnd w:id="12"/>
      <w:bookmarkEnd w:id="13"/>
      <w:bookmarkEnd w:id="14"/>
      <w:bookmarkEnd w:id="15"/>
      <w:bookmarkEnd w:id="16"/>
    </w:p>
    <w:p w:rsidR="00231AAD" w:rsidRDefault="00231AAD" w:rsidP="00AA674A">
      <w:pPr>
        <w:pStyle w:val="Abouttheresearchpubtitle"/>
        <w:spacing w:before="280"/>
      </w:pPr>
      <w:bookmarkStart w:id="17" w:name="_Toc98394880"/>
      <w:bookmarkStart w:id="18" w:name="_Toc296423683"/>
      <w:bookmarkStart w:id="19" w:name="_Toc296497514"/>
      <w:r>
        <w:t>Readiness to meet demand for skills: a study of five growth industries</w:t>
      </w:r>
    </w:p>
    <w:p w:rsidR="00231AAD" w:rsidRDefault="00231AAD" w:rsidP="008F5716">
      <w:pPr>
        <w:pStyle w:val="Heading3"/>
        <w:spacing w:before="120"/>
      </w:pPr>
      <w:r>
        <w:t xml:space="preserve">Francesca Beddie, Francesca Beddie &amp; Associates; </w:t>
      </w:r>
      <w:proofErr w:type="spellStart"/>
      <w:r>
        <w:t>Mette</w:t>
      </w:r>
      <w:proofErr w:type="spellEnd"/>
      <w:r>
        <w:t xml:space="preserve"> Creaser, Jo Hargreaves and Adrian </w:t>
      </w:r>
      <w:proofErr w:type="spellStart"/>
      <w:r>
        <w:t>Ong</w:t>
      </w:r>
      <w:proofErr w:type="spellEnd"/>
      <w:r>
        <w:t>, NCVER</w:t>
      </w:r>
    </w:p>
    <w:p w:rsidR="00D439D9" w:rsidRPr="00AA674A" w:rsidRDefault="00D439D9" w:rsidP="00AA674A">
      <w:pPr>
        <w:pStyle w:val="Text"/>
      </w:pPr>
      <w:r w:rsidRPr="00CF6E85">
        <w:t xml:space="preserve">The Australian Government is reviewing its </w:t>
      </w:r>
      <w:r>
        <w:t>industry investment and competitiveness a</w:t>
      </w:r>
      <w:r w:rsidRPr="00CF6E85">
        <w:t xml:space="preserve">genda. As part of that process the Department of Industry asked </w:t>
      </w:r>
      <w:r>
        <w:t xml:space="preserve">the National Centre for Vocational Education Research (NCVER) </w:t>
      </w:r>
      <w:r w:rsidRPr="00CF6E85">
        <w:t>to investigate the readiness of the education and training sector to meet demand from five industries</w:t>
      </w:r>
      <w:r>
        <w:t xml:space="preserve"> where</w:t>
      </w:r>
      <w:r w:rsidRPr="00CF6E85">
        <w:t xml:space="preserve"> </w:t>
      </w:r>
      <w:r>
        <w:t xml:space="preserve">potential </w:t>
      </w:r>
      <w:r w:rsidRPr="00CF6E85">
        <w:t xml:space="preserve">market opportunities </w:t>
      </w:r>
      <w:r>
        <w:t>have been identified</w:t>
      </w:r>
      <w:r w:rsidRPr="00CF6E85">
        <w:t xml:space="preserve">: food and agribusiness; mining equipment, technology and services; </w:t>
      </w:r>
      <w:r w:rsidR="004F7609">
        <w:t>biotechnology</w:t>
      </w:r>
      <w:r w:rsidRPr="00CF6E85">
        <w:t xml:space="preserve"> and pharmaceuticals; oil and gas; and advanced </w:t>
      </w:r>
      <w:r w:rsidRPr="00AA674A">
        <w:t xml:space="preserve">manufacturing. </w:t>
      </w:r>
    </w:p>
    <w:p w:rsidR="00D439D9" w:rsidRDefault="00D439D9" w:rsidP="008F5716">
      <w:pPr>
        <w:pStyle w:val="Text"/>
        <w:spacing w:before="120"/>
        <w:ind w:right="-284"/>
      </w:pPr>
      <w:r w:rsidRPr="00AA674A">
        <w:t>The aim of this study</w:t>
      </w:r>
      <w:r>
        <w:t xml:space="preserve"> was to identify issues pertinent to ensuring that the education and training system can respond to emerging skills demand in these industry areas. Some of those issues apply more broadly across the economy, and most need to be addressed in conjunction with other areas of industry policy.</w:t>
      </w:r>
    </w:p>
    <w:p w:rsidR="00D439D9" w:rsidRPr="005C2FCF" w:rsidRDefault="00D439D9" w:rsidP="008B03A9">
      <w:pPr>
        <w:pStyle w:val="Keymessages"/>
        <w:spacing w:before="280"/>
      </w:pPr>
      <w:bookmarkStart w:id="20" w:name="_Toc98394878"/>
      <w:bookmarkStart w:id="21" w:name="_Toc296423682"/>
      <w:bookmarkStart w:id="22" w:name="_Toc296497513"/>
      <w:bookmarkStart w:id="23" w:name="_Toc391905771"/>
      <w:bookmarkStart w:id="24" w:name="_Toc391905975"/>
      <w:bookmarkStart w:id="25" w:name="_Toc391906133"/>
      <w:bookmarkStart w:id="26" w:name="_Toc391970589"/>
      <w:bookmarkStart w:id="27" w:name="_Toc392856638"/>
      <w:bookmarkStart w:id="28" w:name="_Toc393362965"/>
      <w:bookmarkStart w:id="29" w:name="_Toc393802687"/>
      <w:bookmarkStart w:id="30" w:name="_Toc396391518"/>
      <w:bookmarkStart w:id="31" w:name="_Toc396392931"/>
      <w:bookmarkStart w:id="32" w:name="_Toc396462806"/>
      <w:r w:rsidRPr="005C2FCF">
        <w:t>Key messages</w:t>
      </w:r>
      <w:bookmarkEnd w:id="20"/>
      <w:bookmarkEnd w:id="21"/>
      <w:bookmarkEnd w:id="22"/>
      <w:bookmarkEnd w:id="23"/>
      <w:bookmarkEnd w:id="24"/>
      <w:bookmarkEnd w:id="25"/>
      <w:bookmarkEnd w:id="26"/>
      <w:bookmarkEnd w:id="27"/>
      <w:bookmarkEnd w:id="28"/>
      <w:bookmarkEnd w:id="29"/>
      <w:bookmarkEnd w:id="30"/>
      <w:bookmarkEnd w:id="31"/>
      <w:bookmarkEnd w:id="32"/>
    </w:p>
    <w:p w:rsidR="00D439D9" w:rsidRDefault="00D439D9" w:rsidP="00AA674A">
      <w:pPr>
        <w:pStyle w:val="Dotpoint1"/>
        <w:spacing w:before="40"/>
      </w:pPr>
      <w:r>
        <w:t>The gap between the knowledge generated in the education system and the skills demanded by employers and individuals is widening. Differences within and between the industries notwithstanding, a common theme across all is the need for a significant cultural shift in thinking about the way skills are generated and deployed.</w:t>
      </w:r>
    </w:p>
    <w:p w:rsidR="00D439D9" w:rsidRDefault="00D439D9" w:rsidP="00AA674A">
      <w:pPr>
        <w:pStyle w:val="Dotpoint1"/>
        <w:spacing w:before="40"/>
        <w:ind w:right="-284"/>
      </w:pPr>
      <w:r>
        <w:t>The constraints on the readiness of enterprises to meet demand stem both from within the education system and the changing nature of global value chains. Overcoming these limitations requires:</w:t>
      </w:r>
    </w:p>
    <w:p w:rsidR="00D439D9" w:rsidRDefault="00D439D9" w:rsidP="00AA674A">
      <w:pPr>
        <w:pStyle w:val="Dotpoint2"/>
        <w:spacing w:before="0"/>
      </w:pPr>
      <w:proofErr w:type="gramStart"/>
      <w:r>
        <w:t>better</w:t>
      </w:r>
      <w:proofErr w:type="gramEnd"/>
      <w:r>
        <w:t xml:space="preserve"> outcomes from both school and post-school education in developing generic and foundation skills. These ne</w:t>
      </w:r>
      <w:r w:rsidR="00932912">
        <w:t>ed now to include Asia literacy</w:t>
      </w:r>
    </w:p>
    <w:p w:rsidR="00D439D9" w:rsidRDefault="00D439D9" w:rsidP="00AA674A">
      <w:pPr>
        <w:pStyle w:val="Dotpoint2"/>
        <w:spacing w:before="0"/>
      </w:pPr>
      <w:r>
        <w:t>a priority focus on science, technology, engineering and mathematics (STEM), including the development of workplace skills in STEM undergraduate or research degrees and opportunities for continuing professional development in STEM disciplines</w:t>
      </w:r>
    </w:p>
    <w:p w:rsidR="00D439D9" w:rsidRDefault="00D439D9" w:rsidP="00AA674A">
      <w:pPr>
        <w:pStyle w:val="Dotpoint2"/>
        <w:spacing w:before="0"/>
      </w:pPr>
      <w:r>
        <w:t>businesses to better understand their skill needs during different phases of their involvement in global value chains and to encourage workplace learning opportunities</w:t>
      </w:r>
    </w:p>
    <w:p w:rsidR="00D439D9" w:rsidRDefault="00D439D9" w:rsidP="00AA674A">
      <w:pPr>
        <w:pStyle w:val="Dotpoint2"/>
        <w:spacing w:before="0"/>
      </w:pPr>
      <w:proofErr w:type="gramStart"/>
      <w:r>
        <w:t>funding</w:t>
      </w:r>
      <w:proofErr w:type="gramEnd"/>
      <w:r>
        <w:t xml:space="preserve"> policies for education and training that support continuing professional development. </w:t>
      </w:r>
    </w:p>
    <w:p w:rsidR="00D439D9" w:rsidRDefault="00D439D9" w:rsidP="00AA674A">
      <w:pPr>
        <w:pStyle w:val="Dotpoint1"/>
        <w:spacing w:before="40"/>
      </w:pPr>
      <w:r>
        <w:t xml:space="preserve">The role of employers is crucial. They must encourage and support a more nimble workforce, that is, one willing to learn new skills and adapt to change. This will require partnerships with schools, vocational education and training (VET) institutions, universities and research organisations. </w:t>
      </w:r>
    </w:p>
    <w:p w:rsidR="00D439D9" w:rsidRDefault="00D439D9" w:rsidP="00AA674A">
      <w:pPr>
        <w:pStyle w:val="Dotpoint1"/>
        <w:spacing w:before="40"/>
      </w:pPr>
      <w:r>
        <w:t>Knowledge hubs or clusters create opportunities to foster the creation of skill-intensive jobs, which can lead to innovation and productivity. These demand resources and continuous learning.</w:t>
      </w:r>
    </w:p>
    <w:p w:rsidR="00D439D9" w:rsidRDefault="00D439D9" w:rsidP="00AA674A">
      <w:pPr>
        <w:pStyle w:val="Dotpoint1"/>
        <w:spacing w:before="40"/>
      </w:pPr>
      <w:r w:rsidRPr="00D02438">
        <w:t>The diversity within each of the five industries</w:t>
      </w:r>
      <w:r>
        <w:t xml:space="preserve">, in terms of the stages of their business development and their economic activity, </w:t>
      </w:r>
      <w:r w:rsidRPr="00D02438">
        <w:t>creates challenge</w:t>
      </w:r>
      <w:r>
        <w:t>s in gathering statistical data</w:t>
      </w:r>
      <w:r w:rsidRPr="00D02438">
        <w:t>.</w:t>
      </w:r>
    </w:p>
    <w:p w:rsidR="00D439D9" w:rsidRDefault="00D439D9" w:rsidP="00AA674A">
      <w:pPr>
        <w:pStyle w:val="Dotpoint1"/>
        <w:spacing w:before="40"/>
      </w:pPr>
      <w:r>
        <w:t>Particular issues emerged for each industry:</w:t>
      </w:r>
    </w:p>
    <w:p w:rsidR="00D439D9" w:rsidRDefault="00D439D9" w:rsidP="00AA674A">
      <w:pPr>
        <w:pStyle w:val="Dotpoint2"/>
        <w:spacing w:before="0"/>
      </w:pPr>
      <w:r>
        <w:t>In agriculture and manufacturing, older, lower-skilled workers require retraining to find acceptable jobs in their changing industries or elsewhere.</w:t>
      </w:r>
    </w:p>
    <w:p w:rsidR="00D439D9" w:rsidRDefault="00D439D9" w:rsidP="00AA674A">
      <w:pPr>
        <w:pStyle w:val="Dotpoint2"/>
        <w:spacing w:before="0"/>
      </w:pPr>
      <w:r>
        <w:t>In oil, gas and mining, recruiting and maintaining workers in remote and hazardous locations are ongoing challenges.</w:t>
      </w:r>
    </w:p>
    <w:p w:rsidR="00D439D9" w:rsidRDefault="00D439D9" w:rsidP="00AA674A">
      <w:pPr>
        <w:pStyle w:val="Dotpoint2"/>
        <w:spacing w:before="0"/>
      </w:pPr>
      <w:r>
        <w:t>In biotechnology</w:t>
      </w:r>
      <w:r w:rsidR="00242B00">
        <w:t>,</w:t>
      </w:r>
      <w:r>
        <w:t xml:space="preserve"> universities and companies must work closely to understand the business environment to thereby ensure a supply of appropriately skilled graduates. </w:t>
      </w:r>
    </w:p>
    <w:p w:rsidR="008F5716" w:rsidRDefault="008F5716" w:rsidP="008F5716">
      <w:pPr>
        <w:pStyle w:val="Text"/>
      </w:pPr>
      <w:r>
        <w:t>Rod Camm</w:t>
      </w:r>
      <w:r>
        <w:br/>
        <w:t>Managing Director, NCVER</w:t>
      </w:r>
    </w:p>
    <w:p w:rsidR="008F5716" w:rsidRDefault="00187238">
      <w:r>
        <w:br w:type="page"/>
      </w:r>
      <w:r w:rsidR="008F5716">
        <w:lastRenderedPageBreak/>
        <w:br w:type="page"/>
      </w:r>
    </w:p>
    <w:p w:rsidR="00AA674A" w:rsidRDefault="00AA674A">
      <w:pPr>
        <w:sectPr w:rsidR="00AA674A" w:rsidSect="00AA674A">
          <w:footerReference w:type="even" r:id="rId16"/>
          <w:footerReference w:type="default" r:id="rId17"/>
          <w:pgSz w:w="11907" w:h="16840" w:code="9"/>
          <w:pgMar w:top="1276" w:right="1701" w:bottom="425" w:left="1418" w:header="709" w:footer="556" w:gutter="0"/>
          <w:cols w:space="708"/>
          <w:docGrid w:linePitch="360"/>
        </w:sectPr>
      </w:pPr>
    </w:p>
    <w:p w:rsidR="00E922E0" w:rsidRPr="00DC5F5C" w:rsidRDefault="00E922E0" w:rsidP="00E922E0">
      <w:pPr>
        <w:pStyle w:val="Contents"/>
      </w:pPr>
      <w:r w:rsidRPr="00DC5F5C">
        <w:lastRenderedPageBreak/>
        <w:t>Contents</w:t>
      </w:r>
      <w:bookmarkEnd w:id="17"/>
      <w:bookmarkEnd w:id="18"/>
      <w:bookmarkEnd w:id="19"/>
    </w:p>
    <w:p w:rsidR="003D0747" w:rsidRDefault="00E62939">
      <w:pPr>
        <w:pStyle w:val="TOC1"/>
        <w:rPr>
          <w:rFonts w:asciiTheme="minorHAnsi" w:eastAsiaTheme="minorEastAsia" w:hAnsiTheme="minorHAnsi" w:cstheme="minorBidi"/>
          <w:color w:val="auto"/>
          <w:sz w:val="22"/>
          <w:szCs w:val="22"/>
          <w:lang w:eastAsia="en-AU"/>
        </w:rPr>
      </w:pPr>
      <w:r w:rsidRPr="009775C7">
        <w:rPr>
          <w:rFonts w:ascii="Avant Garde" w:hAnsi="Avant Garde"/>
        </w:rPr>
        <w:fldChar w:fldCharType="begin"/>
      </w:r>
      <w:r w:rsidR="00E922E0" w:rsidRPr="009775C7">
        <w:rPr>
          <w:rFonts w:ascii="Avant Garde" w:hAnsi="Avant Garde"/>
        </w:rPr>
        <w:instrText xml:space="preserve"> TOC \o "1-2" </w:instrText>
      </w:r>
      <w:r w:rsidRPr="009775C7">
        <w:rPr>
          <w:rFonts w:ascii="Avant Garde" w:hAnsi="Avant Garde"/>
        </w:rPr>
        <w:fldChar w:fldCharType="separate"/>
      </w:r>
      <w:r w:rsidR="003D0747">
        <w:t>Introduction</w:t>
      </w:r>
      <w:r w:rsidR="003D0747">
        <w:tab/>
      </w:r>
      <w:r w:rsidR="003D0747">
        <w:fldChar w:fldCharType="begin"/>
      </w:r>
      <w:r w:rsidR="003D0747">
        <w:instrText xml:space="preserve"> PAGEREF _Toc398541632 \h </w:instrText>
      </w:r>
      <w:r w:rsidR="003D0747">
        <w:fldChar w:fldCharType="separate"/>
      </w:r>
      <w:r w:rsidR="004D7587">
        <w:t>6</w:t>
      </w:r>
      <w:r w:rsidR="003D0747">
        <w:fldChar w:fldCharType="end"/>
      </w:r>
    </w:p>
    <w:p w:rsidR="003D0747" w:rsidRDefault="003D0747">
      <w:pPr>
        <w:pStyle w:val="TOC2"/>
        <w:rPr>
          <w:rFonts w:asciiTheme="minorHAnsi" w:eastAsiaTheme="minorEastAsia" w:hAnsiTheme="minorHAnsi" w:cstheme="minorBidi"/>
          <w:color w:val="auto"/>
          <w:sz w:val="22"/>
          <w:szCs w:val="22"/>
          <w:lang w:eastAsia="en-AU"/>
        </w:rPr>
      </w:pPr>
      <w:r>
        <w:t>Food and agriculture</w:t>
      </w:r>
      <w:r>
        <w:tab/>
      </w:r>
      <w:r>
        <w:fldChar w:fldCharType="begin"/>
      </w:r>
      <w:r>
        <w:instrText xml:space="preserve"> PAGEREF _Toc398541633 \h </w:instrText>
      </w:r>
      <w:r>
        <w:fldChar w:fldCharType="separate"/>
      </w:r>
      <w:r w:rsidR="004D7587">
        <w:t>6</w:t>
      </w:r>
      <w:r>
        <w:fldChar w:fldCharType="end"/>
      </w:r>
    </w:p>
    <w:p w:rsidR="003D0747" w:rsidRDefault="003D0747">
      <w:pPr>
        <w:pStyle w:val="TOC2"/>
        <w:rPr>
          <w:rFonts w:asciiTheme="minorHAnsi" w:eastAsiaTheme="minorEastAsia" w:hAnsiTheme="minorHAnsi" w:cstheme="minorBidi"/>
          <w:color w:val="auto"/>
          <w:sz w:val="22"/>
          <w:szCs w:val="22"/>
          <w:lang w:eastAsia="en-AU"/>
        </w:rPr>
      </w:pPr>
      <w:r>
        <w:t>Biotechnology and pharmaceuticals (health and biomedical products)</w:t>
      </w:r>
      <w:r>
        <w:tab/>
      </w:r>
      <w:r>
        <w:fldChar w:fldCharType="begin"/>
      </w:r>
      <w:r>
        <w:instrText xml:space="preserve"> PAGEREF _Toc398541634 \h </w:instrText>
      </w:r>
      <w:r>
        <w:fldChar w:fldCharType="separate"/>
      </w:r>
      <w:r w:rsidR="004D7587">
        <w:t>6</w:t>
      </w:r>
      <w:r>
        <w:fldChar w:fldCharType="end"/>
      </w:r>
    </w:p>
    <w:p w:rsidR="003D0747" w:rsidRDefault="003D0747">
      <w:pPr>
        <w:pStyle w:val="TOC2"/>
        <w:rPr>
          <w:rFonts w:asciiTheme="minorHAnsi" w:eastAsiaTheme="minorEastAsia" w:hAnsiTheme="minorHAnsi" w:cstheme="minorBidi"/>
          <w:color w:val="auto"/>
          <w:sz w:val="22"/>
          <w:szCs w:val="22"/>
          <w:lang w:eastAsia="en-AU"/>
        </w:rPr>
      </w:pPr>
      <w:r>
        <w:t>Advanced manufacturing</w:t>
      </w:r>
      <w:r>
        <w:tab/>
      </w:r>
      <w:r>
        <w:fldChar w:fldCharType="begin"/>
      </w:r>
      <w:r>
        <w:instrText xml:space="preserve"> PAGEREF _Toc398541635 \h </w:instrText>
      </w:r>
      <w:r>
        <w:fldChar w:fldCharType="separate"/>
      </w:r>
      <w:r w:rsidR="004D7587">
        <w:t>6</w:t>
      </w:r>
      <w:r>
        <w:fldChar w:fldCharType="end"/>
      </w:r>
    </w:p>
    <w:p w:rsidR="003D0747" w:rsidRDefault="003D0747">
      <w:pPr>
        <w:pStyle w:val="TOC2"/>
        <w:rPr>
          <w:rFonts w:asciiTheme="minorHAnsi" w:eastAsiaTheme="minorEastAsia" w:hAnsiTheme="minorHAnsi" w:cstheme="minorBidi"/>
          <w:color w:val="auto"/>
          <w:sz w:val="22"/>
          <w:szCs w:val="22"/>
          <w:lang w:eastAsia="en-AU"/>
        </w:rPr>
      </w:pPr>
      <w:r>
        <w:t>Mining equipment, technology and services</w:t>
      </w:r>
      <w:r>
        <w:tab/>
      </w:r>
      <w:r>
        <w:fldChar w:fldCharType="begin"/>
      </w:r>
      <w:r>
        <w:instrText xml:space="preserve"> PAGEREF _Toc398541636 \h </w:instrText>
      </w:r>
      <w:r>
        <w:fldChar w:fldCharType="separate"/>
      </w:r>
      <w:r w:rsidR="004D7587">
        <w:t>7</w:t>
      </w:r>
      <w:r>
        <w:fldChar w:fldCharType="end"/>
      </w:r>
    </w:p>
    <w:p w:rsidR="003D0747" w:rsidRDefault="003D0747">
      <w:pPr>
        <w:pStyle w:val="TOC2"/>
        <w:rPr>
          <w:rFonts w:asciiTheme="minorHAnsi" w:eastAsiaTheme="minorEastAsia" w:hAnsiTheme="minorHAnsi" w:cstheme="minorBidi"/>
          <w:color w:val="auto"/>
          <w:sz w:val="22"/>
          <w:szCs w:val="22"/>
          <w:lang w:eastAsia="en-AU"/>
        </w:rPr>
      </w:pPr>
      <w:r>
        <w:t>Oil and gas</w:t>
      </w:r>
      <w:r>
        <w:tab/>
      </w:r>
      <w:r>
        <w:fldChar w:fldCharType="begin"/>
      </w:r>
      <w:r>
        <w:instrText xml:space="preserve"> PAGEREF _Toc398541637 \h </w:instrText>
      </w:r>
      <w:r>
        <w:fldChar w:fldCharType="separate"/>
      </w:r>
      <w:r w:rsidR="004D7587">
        <w:t>7</w:t>
      </w:r>
      <w:r>
        <w:fldChar w:fldCharType="end"/>
      </w:r>
    </w:p>
    <w:p w:rsidR="003D0747" w:rsidRDefault="003D0747">
      <w:pPr>
        <w:pStyle w:val="TOC2"/>
        <w:rPr>
          <w:rFonts w:asciiTheme="minorHAnsi" w:eastAsiaTheme="minorEastAsia" w:hAnsiTheme="minorHAnsi" w:cstheme="minorBidi"/>
          <w:color w:val="auto"/>
          <w:sz w:val="22"/>
          <w:szCs w:val="22"/>
          <w:lang w:eastAsia="en-AU"/>
        </w:rPr>
      </w:pPr>
      <w:r>
        <w:t>About this report</w:t>
      </w:r>
      <w:r>
        <w:tab/>
      </w:r>
      <w:r>
        <w:fldChar w:fldCharType="begin"/>
      </w:r>
      <w:r>
        <w:instrText xml:space="preserve"> PAGEREF _Toc398541638 \h </w:instrText>
      </w:r>
      <w:r>
        <w:fldChar w:fldCharType="separate"/>
      </w:r>
      <w:r w:rsidR="004D7587">
        <w:t>7</w:t>
      </w:r>
      <w:r>
        <w:fldChar w:fldCharType="end"/>
      </w:r>
    </w:p>
    <w:p w:rsidR="003D0747" w:rsidRDefault="003D0747">
      <w:pPr>
        <w:pStyle w:val="TOC1"/>
        <w:rPr>
          <w:rFonts w:asciiTheme="minorHAnsi" w:eastAsiaTheme="minorEastAsia" w:hAnsiTheme="minorHAnsi" w:cstheme="minorBidi"/>
          <w:color w:val="auto"/>
          <w:sz w:val="22"/>
          <w:szCs w:val="22"/>
          <w:lang w:eastAsia="en-AU"/>
        </w:rPr>
      </w:pPr>
      <w:r>
        <w:t>Profile of the industries</w:t>
      </w:r>
      <w:r>
        <w:tab/>
      </w:r>
      <w:r>
        <w:fldChar w:fldCharType="begin"/>
      </w:r>
      <w:r>
        <w:instrText xml:space="preserve"> PAGEREF _Toc398541639 \h </w:instrText>
      </w:r>
      <w:r>
        <w:fldChar w:fldCharType="separate"/>
      </w:r>
      <w:r w:rsidR="004D7587">
        <w:t>9</w:t>
      </w:r>
      <w:r>
        <w:fldChar w:fldCharType="end"/>
      </w:r>
    </w:p>
    <w:p w:rsidR="003D0747" w:rsidRDefault="003D0747">
      <w:pPr>
        <w:pStyle w:val="TOC1"/>
        <w:rPr>
          <w:rFonts w:asciiTheme="minorHAnsi" w:eastAsiaTheme="minorEastAsia" w:hAnsiTheme="minorHAnsi" w:cstheme="minorBidi"/>
          <w:color w:val="auto"/>
          <w:sz w:val="22"/>
          <w:szCs w:val="22"/>
          <w:lang w:eastAsia="en-AU"/>
        </w:rPr>
      </w:pPr>
      <w:r>
        <w:t>Global value chains</w:t>
      </w:r>
      <w:r>
        <w:tab/>
      </w:r>
      <w:r>
        <w:fldChar w:fldCharType="begin"/>
      </w:r>
      <w:r>
        <w:instrText xml:space="preserve"> PAGEREF _Toc398541640 \h </w:instrText>
      </w:r>
      <w:r>
        <w:fldChar w:fldCharType="separate"/>
      </w:r>
      <w:r w:rsidR="004D7587">
        <w:t>11</w:t>
      </w:r>
      <w:r>
        <w:fldChar w:fldCharType="end"/>
      </w:r>
    </w:p>
    <w:p w:rsidR="003D0747" w:rsidRDefault="003D0747">
      <w:pPr>
        <w:pStyle w:val="TOC1"/>
        <w:rPr>
          <w:rFonts w:asciiTheme="minorHAnsi" w:eastAsiaTheme="minorEastAsia" w:hAnsiTheme="minorHAnsi" w:cstheme="minorBidi"/>
          <w:color w:val="auto"/>
          <w:sz w:val="22"/>
          <w:szCs w:val="22"/>
          <w:lang w:eastAsia="en-AU"/>
        </w:rPr>
      </w:pPr>
      <w:r>
        <w:t>Preparing entry-level workers</w:t>
      </w:r>
      <w:r>
        <w:tab/>
      </w:r>
      <w:r>
        <w:fldChar w:fldCharType="begin"/>
      </w:r>
      <w:r>
        <w:instrText xml:space="preserve"> PAGEREF _Toc398541641 \h </w:instrText>
      </w:r>
      <w:r>
        <w:fldChar w:fldCharType="separate"/>
      </w:r>
      <w:r w:rsidR="004D7587">
        <w:t>13</w:t>
      </w:r>
      <w:r>
        <w:fldChar w:fldCharType="end"/>
      </w:r>
    </w:p>
    <w:p w:rsidR="003D0747" w:rsidRDefault="003D0747">
      <w:pPr>
        <w:pStyle w:val="TOC2"/>
        <w:rPr>
          <w:rFonts w:asciiTheme="minorHAnsi" w:eastAsiaTheme="minorEastAsia" w:hAnsiTheme="minorHAnsi" w:cstheme="minorBidi"/>
          <w:color w:val="auto"/>
          <w:sz w:val="22"/>
          <w:szCs w:val="22"/>
          <w:lang w:eastAsia="en-AU"/>
        </w:rPr>
      </w:pPr>
      <w:r>
        <w:t>Schools</w:t>
      </w:r>
      <w:r>
        <w:tab/>
      </w:r>
      <w:r>
        <w:fldChar w:fldCharType="begin"/>
      </w:r>
      <w:r>
        <w:instrText xml:space="preserve"> PAGEREF _Toc398541642 \h </w:instrText>
      </w:r>
      <w:r>
        <w:fldChar w:fldCharType="separate"/>
      </w:r>
      <w:r w:rsidR="004D7587">
        <w:t>13</w:t>
      </w:r>
      <w:r>
        <w:fldChar w:fldCharType="end"/>
      </w:r>
    </w:p>
    <w:p w:rsidR="003D0747" w:rsidRDefault="003D0747">
      <w:pPr>
        <w:pStyle w:val="TOC2"/>
        <w:rPr>
          <w:rFonts w:asciiTheme="minorHAnsi" w:eastAsiaTheme="minorEastAsia" w:hAnsiTheme="minorHAnsi" w:cstheme="minorBidi"/>
          <w:color w:val="auto"/>
          <w:sz w:val="22"/>
          <w:szCs w:val="22"/>
          <w:lang w:eastAsia="en-AU"/>
        </w:rPr>
      </w:pPr>
      <w:r>
        <w:t>Apprenticeships</w:t>
      </w:r>
      <w:r>
        <w:tab/>
      </w:r>
      <w:r>
        <w:fldChar w:fldCharType="begin"/>
      </w:r>
      <w:r>
        <w:instrText xml:space="preserve"> PAGEREF _Toc398541643 \h </w:instrText>
      </w:r>
      <w:r>
        <w:fldChar w:fldCharType="separate"/>
      </w:r>
      <w:r w:rsidR="004D7587">
        <w:t>14</w:t>
      </w:r>
      <w:r>
        <w:fldChar w:fldCharType="end"/>
      </w:r>
    </w:p>
    <w:p w:rsidR="003D0747" w:rsidRDefault="003D0747">
      <w:pPr>
        <w:pStyle w:val="TOC2"/>
        <w:rPr>
          <w:rFonts w:asciiTheme="minorHAnsi" w:eastAsiaTheme="minorEastAsia" w:hAnsiTheme="minorHAnsi" w:cstheme="minorBidi"/>
          <w:color w:val="auto"/>
          <w:sz w:val="22"/>
          <w:szCs w:val="22"/>
          <w:lang w:eastAsia="en-AU"/>
        </w:rPr>
      </w:pPr>
      <w:r>
        <w:t>Tertiary institutions</w:t>
      </w:r>
      <w:r>
        <w:tab/>
      </w:r>
      <w:r>
        <w:fldChar w:fldCharType="begin"/>
      </w:r>
      <w:r>
        <w:instrText xml:space="preserve"> PAGEREF _Toc398541644 \h </w:instrText>
      </w:r>
      <w:r>
        <w:fldChar w:fldCharType="separate"/>
      </w:r>
      <w:r w:rsidR="004D7587">
        <w:t>15</w:t>
      </w:r>
      <w:r>
        <w:fldChar w:fldCharType="end"/>
      </w:r>
    </w:p>
    <w:p w:rsidR="003D0747" w:rsidRDefault="003D0747">
      <w:pPr>
        <w:pStyle w:val="TOC1"/>
        <w:rPr>
          <w:rFonts w:asciiTheme="minorHAnsi" w:eastAsiaTheme="minorEastAsia" w:hAnsiTheme="minorHAnsi" w:cstheme="minorBidi"/>
          <w:color w:val="auto"/>
          <w:sz w:val="22"/>
          <w:szCs w:val="22"/>
          <w:lang w:eastAsia="en-AU"/>
        </w:rPr>
      </w:pPr>
      <w:r>
        <w:t>Existing workers</w:t>
      </w:r>
      <w:r>
        <w:tab/>
      </w:r>
      <w:r>
        <w:fldChar w:fldCharType="begin"/>
      </w:r>
      <w:r>
        <w:instrText xml:space="preserve"> PAGEREF _Toc398541645 \h </w:instrText>
      </w:r>
      <w:r>
        <w:fldChar w:fldCharType="separate"/>
      </w:r>
      <w:r w:rsidR="004D7587">
        <w:t>18</w:t>
      </w:r>
      <w:r>
        <w:fldChar w:fldCharType="end"/>
      </w:r>
    </w:p>
    <w:p w:rsidR="003D0747" w:rsidRDefault="003D0747">
      <w:pPr>
        <w:pStyle w:val="TOC2"/>
        <w:rPr>
          <w:rFonts w:asciiTheme="minorHAnsi" w:eastAsiaTheme="minorEastAsia" w:hAnsiTheme="minorHAnsi" w:cstheme="minorBidi"/>
          <w:color w:val="auto"/>
          <w:sz w:val="22"/>
          <w:szCs w:val="22"/>
          <w:lang w:eastAsia="en-AU"/>
        </w:rPr>
      </w:pPr>
      <w:r>
        <w:t>Addressing skills gaps and future skills demand</w:t>
      </w:r>
      <w:r>
        <w:tab/>
      </w:r>
      <w:r>
        <w:fldChar w:fldCharType="begin"/>
      </w:r>
      <w:r>
        <w:instrText xml:space="preserve"> PAGEREF _Toc398541646 \h </w:instrText>
      </w:r>
      <w:r>
        <w:fldChar w:fldCharType="separate"/>
      </w:r>
      <w:r w:rsidR="004D7587">
        <w:t>18</w:t>
      </w:r>
      <w:r>
        <w:fldChar w:fldCharType="end"/>
      </w:r>
    </w:p>
    <w:p w:rsidR="003D0747" w:rsidRDefault="003D0747">
      <w:pPr>
        <w:pStyle w:val="TOC2"/>
        <w:rPr>
          <w:rFonts w:asciiTheme="minorHAnsi" w:eastAsiaTheme="minorEastAsia" w:hAnsiTheme="minorHAnsi" w:cstheme="minorBidi"/>
          <w:color w:val="auto"/>
          <w:sz w:val="22"/>
          <w:szCs w:val="22"/>
          <w:lang w:eastAsia="en-AU"/>
        </w:rPr>
      </w:pPr>
      <w:r>
        <w:t>Literacy and numeracy skills</w:t>
      </w:r>
      <w:r>
        <w:tab/>
      </w:r>
      <w:r>
        <w:fldChar w:fldCharType="begin"/>
      </w:r>
      <w:r>
        <w:instrText xml:space="preserve"> PAGEREF _Toc398541647 \h </w:instrText>
      </w:r>
      <w:r>
        <w:fldChar w:fldCharType="separate"/>
      </w:r>
      <w:r w:rsidR="004D7587">
        <w:t>21</w:t>
      </w:r>
      <w:r>
        <w:fldChar w:fldCharType="end"/>
      </w:r>
    </w:p>
    <w:p w:rsidR="003D0747" w:rsidRDefault="003D0747">
      <w:pPr>
        <w:pStyle w:val="TOC2"/>
        <w:rPr>
          <w:rFonts w:asciiTheme="minorHAnsi" w:eastAsiaTheme="minorEastAsia" w:hAnsiTheme="minorHAnsi" w:cstheme="minorBidi"/>
          <w:color w:val="auto"/>
          <w:sz w:val="22"/>
          <w:szCs w:val="22"/>
          <w:lang w:eastAsia="en-AU"/>
        </w:rPr>
      </w:pPr>
      <w:r>
        <w:t>Upskilling existing workers</w:t>
      </w:r>
      <w:r>
        <w:tab/>
      </w:r>
      <w:r>
        <w:fldChar w:fldCharType="begin"/>
      </w:r>
      <w:r>
        <w:instrText xml:space="preserve"> PAGEREF _Toc398541648 \h </w:instrText>
      </w:r>
      <w:r>
        <w:fldChar w:fldCharType="separate"/>
      </w:r>
      <w:r w:rsidR="004D7587">
        <w:t>22</w:t>
      </w:r>
      <w:r>
        <w:fldChar w:fldCharType="end"/>
      </w:r>
    </w:p>
    <w:p w:rsidR="003D0747" w:rsidRDefault="003D0747">
      <w:pPr>
        <w:pStyle w:val="TOC2"/>
        <w:rPr>
          <w:rFonts w:asciiTheme="minorHAnsi" w:eastAsiaTheme="minorEastAsia" w:hAnsiTheme="minorHAnsi" w:cstheme="minorBidi"/>
          <w:color w:val="auto"/>
          <w:sz w:val="22"/>
          <w:szCs w:val="22"/>
          <w:lang w:eastAsia="en-AU"/>
        </w:rPr>
      </w:pPr>
      <w:r>
        <w:t>Continuing professional development</w:t>
      </w:r>
      <w:r>
        <w:tab/>
      </w:r>
      <w:r>
        <w:fldChar w:fldCharType="begin"/>
      </w:r>
      <w:r>
        <w:instrText xml:space="preserve"> PAGEREF _Toc398541649 \h </w:instrText>
      </w:r>
      <w:r>
        <w:fldChar w:fldCharType="separate"/>
      </w:r>
      <w:r w:rsidR="004D7587">
        <w:t>23</w:t>
      </w:r>
      <w:r>
        <w:fldChar w:fldCharType="end"/>
      </w:r>
    </w:p>
    <w:p w:rsidR="003D0747" w:rsidRDefault="003D0747">
      <w:pPr>
        <w:pStyle w:val="TOC2"/>
        <w:rPr>
          <w:rFonts w:asciiTheme="minorHAnsi" w:eastAsiaTheme="minorEastAsia" w:hAnsiTheme="minorHAnsi" w:cstheme="minorBidi"/>
          <w:color w:val="auto"/>
          <w:sz w:val="22"/>
          <w:szCs w:val="22"/>
          <w:lang w:eastAsia="en-AU"/>
        </w:rPr>
      </w:pPr>
      <w:r>
        <w:t>Labour and geographic mobility</w:t>
      </w:r>
      <w:r>
        <w:tab/>
      </w:r>
      <w:r>
        <w:fldChar w:fldCharType="begin"/>
      </w:r>
      <w:r>
        <w:instrText xml:space="preserve"> PAGEREF _Toc398541650 \h </w:instrText>
      </w:r>
      <w:r>
        <w:fldChar w:fldCharType="separate"/>
      </w:r>
      <w:r w:rsidR="004D7587">
        <w:t>23</w:t>
      </w:r>
      <w:r>
        <w:fldChar w:fldCharType="end"/>
      </w:r>
    </w:p>
    <w:p w:rsidR="003D0747" w:rsidRDefault="003D0747">
      <w:pPr>
        <w:pStyle w:val="TOC1"/>
        <w:rPr>
          <w:rFonts w:asciiTheme="minorHAnsi" w:eastAsiaTheme="minorEastAsia" w:hAnsiTheme="minorHAnsi" w:cstheme="minorBidi"/>
          <w:color w:val="auto"/>
          <w:sz w:val="22"/>
          <w:szCs w:val="22"/>
          <w:lang w:eastAsia="en-AU"/>
        </w:rPr>
      </w:pPr>
      <w:r>
        <w:t>Skills for research and development</w:t>
      </w:r>
      <w:r>
        <w:tab/>
      </w:r>
      <w:r>
        <w:fldChar w:fldCharType="begin"/>
      </w:r>
      <w:r>
        <w:instrText xml:space="preserve"> PAGEREF _Toc398541651 \h </w:instrText>
      </w:r>
      <w:r>
        <w:fldChar w:fldCharType="separate"/>
      </w:r>
      <w:r w:rsidR="004D7587">
        <w:t>24</w:t>
      </w:r>
      <w:r>
        <w:fldChar w:fldCharType="end"/>
      </w:r>
    </w:p>
    <w:p w:rsidR="003D0747" w:rsidRDefault="003D0747">
      <w:pPr>
        <w:pStyle w:val="TOC1"/>
        <w:rPr>
          <w:rFonts w:asciiTheme="minorHAnsi" w:eastAsiaTheme="minorEastAsia" w:hAnsiTheme="minorHAnsi" w:cstheme="minorBidi"/>
          <w:color w:val="auto"/>
          <w:sz w:val="22"/>
          <w:szCs w:val="22"/>
          <w:lang w:eastAsia="en-AU"/>
        </w:rPr>
      </w:pPr>
      <w:r>
        <w:t>The teaching workforce</w:t>
      </w:r>
      <w:r>
        <w:tab/>
      </w:r>
      <w:r>
        <w:fldChar w:fldCharType="begin"/>
      </w:r>
      <w:r>
        <w:instrText xml:space="preserve"> PAGEREF _Toc398541652 \h </w:instrText>
      </w:r>
      <w:r>
        <w:fldChar w:fldCharType="separate"/>
      </w:r>
      <w:r w:rsidR="004D7587">
        <w:t>26</w:t>
      </w:r>
      <w:r>
        <w:fldChar w:fldCharType="end"/>
      </w:r>
    </w:p>
    <w:p w:rsidR="003D0747" w:rsidRDefault="003D0747">
      <w:pPr>
        <w:pStyle w:val="TOC2"/>
        <w:rPr>
          <w:rFonts w:asciiTheme="minorHAnsi" w:eastAsiaTheme="minorEastAsia" w:hAnsiTheme="minorHAnsi" w:cstheme="minorBidi"/>
          <w:color w:val="auto"/>
          <w:sz w:val="22"/>
          <w:szCs w:val="22"/>
          <w:lang w:eastAsia="en-AU"/>
        </w:rPr>
      </w:pPr>
      <w:r w:rsidRPr="002F3A39">
        <w:rPr>
          <w:lang w:val="en-GB"/>
        </w:rPr>
        <w:t>Science, technology, engineering and mathematics capacity of teachers</w:t>
      </w:r>
      <w:r>
        <w:tab/>
      </w:r>
      <w:r>
        <w:fldChar w:fldCharType="begin"/>
      </w:r>
      <w:r>
        <w:instrText xml:space="preserve"> PAGEREF _Toc398541653 \h </w:instrText>
      </w:r>
      <w:r>
        <w:fldChar w:fldCharType="separate"/>
      </w:r>
      <w:r w:rsidR="004D7587">
        <w:t>26</w:t>
      </w:r>
      <w:r>
        <w:fldChar w:fldCharType="end"/>
      </w:r>
    </w:p>
    <w:p w:rsidR="003D0747" w:rsidRDefault="003D0747">
      <w:pPr>
        <w:pStyle w:val="TOC2"/>
        <w:rPr>
          <w:rFonts w:asciiTheme="minorHAnsi" w:eastAsiaTheme="minorEastAsia" w:hAnsiTheme="minorHAnsi" w:cstheme="minorBidi"/>
          <w:color w:val="auto"/>
          <w:sz w:val="22"/>
          <w:szCs w:val="22"/>
          <w:lang w:eastAsia="en-AU"/>
        </w:rPr>
      </w:pPr>
      <w:r>
        <w:t>Language, literacy and numeracy</w:t>
      </w:r>
      <w:bookmarkStart w:id="33" w:name="_GoBack"/>
      <w:bookmarkEnd w:id="33"/>
      <w:r>
        <w:tab/>
      </w:r>
      <w:r>
        <w:fldChar w:fldCharType="begin"/>
      </w:r>
      <w:r>
        <w:instrText xml:space="preserve"> PAGEREF _Toc398541654 \h </w:instrText>
      </w:r>
      <w:r>
        <w:fldChar w:fldCharType="separate"/>
      </w:r>
      <w:r w:rsidR="004D7587">
        <w:t>26</w:t>
      </w:r>
      <w:r>
        <w:fldChar w:fldCharType="end"/>
      </w:r>
    </w:p>
    <w:p w:rsidR="003D0747" w:rsidRDefault="003D0747">
      <w:pPr>
        <w:pStyle w:val="TOC2"/>
        <w:rPr>
          <w:rFonts w:asciiTheme="minorHAnsi" w:eastAsiaTheme="minorEastAsia" w:hAnsiTheme="minorHAnsi" w:cstheme="minorBidi"/>
          <w:color w:val="auto"/>
          <w:sz w:val="22"/>
          <w:szCs w:val="22"/>
          <w:lang w:eastAsia="en-AU"/>
        </w:rPr>
      </w:pPr>
      <w:r>
        <w:t>Professional development for VET practitioners</w:t>
      </w:r>
      <w:r>
        <w:tab/>
      </w:r>
      <w:r>
        <w:fldChar w:fldCharType="begin"/>
      </w:r>
      <w:r>
        <w:instrText xml:space="preserve"> PAGEREF _Toc398541655 \h </w:instrText>
      </w:r>
      <w:r>
        <w:fldChar w:fldCharType="separate"/>
      </w:r>
      <w:r w:rsidR="004D7587">
        <w:t>26</w:t>
      </w:r>
      <w:r>
        <w:fldChar w:fldCharType="end"/>
      </w:r>
    </w:p>
    <w:p w:rsidR="003D0747" w:rsidRDefault="003D0747">
      <w:pPr>
        <w:pStyle w:val="TOC2"/>
        <w:rPr>
          <w:rFonts w:asciiTheme="minorHAnsi" w:eastAsiaTheme="minorEastAsia" w:hAnsiTheme="minorHAnsi" w:cstheme="minorBidi"/>
          <w:color w:val="auto"/>
          <w:sz w:val="22"/>
          <w:szCs w:val="22"/>
          <w:lang w:eastAsia="en-AU"/>
        </w:rPr>
      </w:pPr>
      <w:r>
        <w:t>Labour shortages</w:t>
      </w:r>
      <w:r>
        <w:tab/>
      </w:r>
      <w:r>
        <w:fldChar w:fldCharType="begin"/>
      </w:r>
      <w:r>
        <w:instrText xml:space="preserve"> PAGEREF _Toc398541656 \h </w:instrText>
      </w:r>
      <w:r>
        <w:fldChar w:fldCharType="separate"/>
      </w:r>
      <w:r w:rsidR="004D7587">
        <w:t>26</w:t>
      </w:r>
      <w:r>
        <w:fldChar w:fldCharType="end"/>
      </w:r>
    </w:p>
    <w:p w:rsidR="003D0747" w:rsidRDefault="003D0747">
      <w:pPr>
        <w:pStyle w:val="TOC1"/>
        <w:rPr>
          <w:rFonts w:asciiTheme="minorHAnsi" w:eastAsiaTheme="minorEastAsia" w:hAnsiTheme="minorHAnsi" w:cstheme="minorBidi"/>
          <w:color w:val="auto"/>
          <w:sz w:val="22"/>
          <w:szCs w:val="22"/>
          <w:lang w:eastAsia="en-AU"/>
        </w:rPr>
      </w:pPr>
      <w:r>
        <w:t>Conclusion</w:t>
      </w:r>
      <w:r>
        <w:tab/>
      </w:r>
      <w:r>
        <w:fldChar w:fldCharType="begin"/>
      </w:r>
      <w:r>
        <w:instrText xml:space="preserve"> PAGEREF _Toc398541657 \h </w:instrText>
      </w:r>
      <w:r>
        <w:fldChar w:fldCharType="separate"/>
      </w:r>
      <w:r w:rsidR="004D7587">
        <w:t>27</w:t>
      </w:r>
      <w:r>
        <w:fldChar w:fldCharType="end"/>
      </w:r>
    </w:p>
    <w:p w:rsidR="003D0747" w:rsidRDefault="003D0747">
      <w:pPr>
        <w:pStyle w:val="TOC1"/>
        <w:rPr>
          <w:rFonts w:asciiTheme="minorHAnsi" w:eastAsiaTheme="minorEastAsia" w:hAnsiTheme="minorHAnsi" w:cstheme="minorBidi"/>
          <w:color w:val="auto"/>
          <w:sz w:val="22"/>
          <w:szCs w:val="22"/>
          <w:lang w:eastAsia="en-AU"/>
        </w:rPr>
      </w:pPr>
      <w:r>
        <w:t>References</w:t>
      </w:r>
      <w:r>
        <w:tab/>
      </w:r>
      <w:r>
        <w:fldChar w:fldCharType="begin"/>
      </w:r>
      <w:r>
        <w:instrText xml:space="preserve"> PAGEREF _Toc398541658 \h </w:instrText>
      </w:r>
      <w:r>
        <w:fldChar w:fldCharType="separate"/>
      </w:r>
      <w:r w:rsidR="004D7587">
        <w:t>30</w:t>
      </w:r>
      <w:r>
        <w:fldChar w:fldCharType="end"/>
      </w:r>
    </w:p>
    <w:p w:rsidR="003D0747" w:rsidRDefault="003D0747">
      <w:pPr>
        <w:pStyle w:val="TOC1"/>
        <w:rPr>
          <w:rFonts w:asciiTheme="minorHAnsi" w:eastAsiaTheme="minorEastAsia" w:hAnsiTheme="minorHAnsi" w:cstheme="minorBidi"/>
          <w:color w:val="auto"/>
          <w:sz w:val="22"/>
          <w:szCs w:val="22"/>
          <w:lang w:eastAsia="en-AU"/>
        </w:rPr>
      </w:pPr>
      <w:r>
        <w:t>Appendix: Profile of the five industries</w:t>
      </w:r>
      <w:r>
        <w:tab/>
      </w:r>
      <w:r>
        <w:fldChar w:fldCharType="begin"/>
      </w:r>
      <w:r>
        <w:instrText xml:space="preserve"> PAGEREF _Toc398541659 \h </w:instrText>
      </w:r>
      <w:r>
        <w:fldChar w:fldCharType="separate"/>
      </w:r>
      <w:r w:rsidR="004D7587">
        <w:t>33</w:t>
      </w:r>
      <w:r>
        <w:fldChar w:fldCharType="end"/>
      </w:r>
    </w:p>
    <w:p w:rsidR="00E922E0" w:rsidRDefault="00E62939" w:rsidP="00E922E0">
      <w:pPr>
        <w:pStyle w:val="Text"/>
      </w:pPr>
      <w:r w:rsidRPr="009775C7">
        <w:fldChar w:fldCharType="end"/>
      </w:r>
    </w:p>
    <w:p w:rsidR="00E922E0" w:rsidRDefault="00E922E0" w:rsidP="00E922E0">
      <w:pPr>
        <w:pStyle w:val="Text"/>
        <w:rPr>
          <w:rFonts w:ascii="Tahoma" w:hAnsi="Tahoma" w:cs="Tahoma"/>
          <w:color w:val="000000"/>
          <w:kern w:val="28"/>
          <w:sz w:val="56"/>
          <w:szCs w:val="56"/>
        </w:rPr>
      </w:pPr>
      <w:r>
        <w:br w:type="page"/>
      </w:r>
    </w:p>
    <w:p w:rsidR="0075276B" w:rsidRDefault="0075276B" w:rsidP="00A553D3">
      <w:pPr>
        <w:pStyle w:val="Heading1"/>
      </w:pPr>
      <w:bookmarkStart w:id="34" w:name="_Toc398541632"/>
      <w:r>
        <w:lastRenderedPageBreak/>
        <w:t>Introduction</w:t>
      </w:r>
      <w:bookmarkEnd w:id="34"/>
    </w:p>
    <w:p w:rsidR="0075276B" w:rsidRPr="008F5716" w:rsidRDefault="0075276B" w:rsidP="008F5716">
      <w:pPr>
        <w:pStyle w:val="Text"/>
      </w:pPr>
      <w:r>
        <w:t xml:space="preserve">This project considers the readiness </w:t>
      </w:r>
      <w:r w:rsidR="00EA06CB">
        <w:t xml:space="preserve">of a number of industries </w:t>
      </w:r>
      <w:r>
        <w:t xml:space="preserve">to meet </w:t>
      </w:r>
      <w:r w:rsidR="00EA06CB">
        <w:t xml:space="preserve">the future </w:t>
      </w:r>
      <w:r>
        <w:t>demand for key skills</w:t>
      </w:r>
      <w:r w:rsidR="00EA06CB">
        <w:t>. These</w:t>
      </w:r>
      <w:r>
        <w:t xml:space="preserve"> </w:t>
      </w:r>
      <w:r w:rsidR="00F0796A">
        <w:t xml:space="preserve">industries </w:t>
      </w:r>
      <w:r w:rsidR="00EA06CB">
        <w:t xml:space="preserve">are </w:t>
      </w:r>
      <w:r w:rsidR="00946950">
        <w:t xml:space="preserve">food and agriculture; biotechnology and pharmaceuticals; advanced manufacturing; </w:t>
      </w:r>
      <w:r w:rsidR="00946950" w:rsidRPr="008F5716">
        <w:t>mining equipment, technology and services (METS); and oil and gas</w:t>
      </w:r>
      <w:r w:rsidRPr="008F5716">
        <w:t>.</w:t>
      </w:r>
    </w:p>
    <w:p w:rsidR="00716C53" w:rsidRDefault="00030C6F" w:rsidP="008F5716">
      <w:pPr>
        <w:pStyle w:val="Text"/>
      </w:pPr>
      <w:r w:rsidRPr="008F5716">
        <w:t xml:space="preserve">These </w:t>
      </w:r>
      <w:r w:rsidR="00716C53" w:rsidRPr="008F5716">
        <w:t>industries</w:t>
      </w:r>
      <w:r w:rsidR="002700DE" w:rsidRPr="008F5716">
        <w:t xml:space="preserve"> align</w:t>
      </w:r>
      <w:r w:rsidR="002700DE">
        <w:t xml:space="preserve"> with the Australian G</w:t>
      </w:r>
      <w:r>
        <w:t xml:space="preserve">overnment’s </w:t>
      </w:r>
      <w:r w:rsidR="00CD3FAC">
        <w:t>commitment to</w:t>
      </w:r>
      <w:r>
        <w:t xml:space="preserve"> </w:t>
      </w:r>
      <w:r w:rsidR="001338E6">
        <w:t xml:space="preserve">stimulating </w:t>
      </w:r>
      <w:r w:rsidR="00F0796A">
        <w:t xml:space="preserve">growth in </w:t>
      </w:r>
      <w:r>
        <w:t>manufacturing i</w:t>
      </w:r>
      <w:r w:rsidR="00CD3FAC">
        <w:t xml:space="preserve">nnovation, agriculture and </w:t>
      </w:r>
      <w:r w:rsidR="00716C53">
        <w:t xml:space="preserve">mining exports, with the Department of Industry identifying several key growth opportunities in each industry as </w:t>
      </w:r>
      <w:r w:rsidR="002700DE">
        <w:t>described below (Department of Industry</w:t>
      </w:r>
      <w:r w:rsidR="00DD0A8D">
        <w:t xml:space="preserve"> </w:t>
      </w:r>
      <w:r w:rsidR="00DD0A8D" w:rsidRPr="00376E43">
        <w:t>2014</w:t>
      </w:r>
      <w:r w:rsidR="00680ED5">
        <w:t>b</w:t>
      </w:r>
      <w:r w:rsidR="00376E43">
        <w:t>, appendix 5</w:t>
      </w:r>
      <w:r w:rsidR="00DD0A8D">
        <w:t>).</w:t>
      </w:r>
      <w:r w:rsidR="00472A51">
        <w:t xml:space="preserve"> </w:t>
      </w:r>
    </w:p>
    <w:p w:rsidR="00946950" w:rsidRPr="0073507A" w:rsidRDefault="00946950" w:rsidP="008F5716">
      <w:pPr>
        <w:pStyle w:val="Heading2"/>
      </w:pPr>
      <w:bookmarkStart w:id="35" w:name="_Toc398541633"/>
      <w:r w:rsidRPr="0073507A">
        <w:t xml:space="preserve">Food and </w:t>
      </w:r>
      <w:r w:rsidRPr="008F5716">
        <w:t>agriculture</w:t>
      </w:r>
      <w:bookmarkEnd w:id="35"/>
      <w:r w:rsidRPr="0073507A">
        <w:t xml:space="preserve"> </w:t>
      </w:r>
    </w:p>
    <w:p w:rsidR="00946950" w:rsidRPr="0073507A" w:rsidRDefault="00946950" w:rsidP="008F5716">
      <w:pPr>
        <w:pStyle w:val="Text"/>
      </w:pPr>
      <w:r w:rsidRPr="0073507A">
        <w:t xml:space="preserve">The food </w:t>
      </w:r>
      <w:r>
        <w:t>industry</w:t>
      </w:r>
      <w:r w:rsidRPr="0073507A">
        <w:t xml:space="preserve"> produces a range of food and beverage products from meat, dairy, grain, fruit, vegetables, beer and wine. Agribusiness includes inputs to agricultural production such as fertilisers, pesticides, veterinary products and services, and agricultural equipment and machinery. Growth </w:t>
      </w:r>
      <w:r w:rsidRPr="008F5716">
        <w:t>opportunities</w:t>
      </w:r>
      <w:r w:rsidRPr="0073507A">
        <w:t xml:space="preserve"> include: new markets in Asia’s growing middle class; consolidation of Australia’s market share in mature markets; new product opportunities from the transformation of primary production enterprises; and </w:t>
      </w:r>
      <w:r w:rsidR="002700DE">
        <w:t xml:space="preserve">the </w:t>
      </w:r>
      <w:r w:rsidRPr="0073507A">
        <w:t>development of new products specifically tailored to new and growing markets.</w:t>
      </w:r>
    </w:p>
    <w:p w:rsidR="00946950" w:rsidRPr="0073507A" w:rsidRDefault="00946950" w:rsidP="00197D2E">
      <w:pPr>
        <w:pStyle w:val="Heading2"/>
      </w:pPr>
      <w:bookmarkStart w:id="36" w:name="_Toc398541634"/>
      <w:r>
        <w:t>Biotechnology and pharmaceuticals (h</w:t>
      </w:r>
      <w:r w:rsidRPr="0073507A">
        <w:t>ealth and biomedical products</w:t>
      </w:r>
      <w:r>
        <w:t>)</w:t>
      </w:r>
      <w:bookmarkEnd w:id="36"/>
      <w:r w:rsidRPr="0073507A">
        <w:t xml:space="preserve"> </w:t>
      </w:r>
    </w:p>
    <w:p w:rsidR="004F7609" w:rsidRDefault="004F7609" w:rsidP="004F7609">
      <w:pPr>
        <w:pStyle w:val="Text"/>
      </w:pPr>
      <w:bookmarkStart w:id="37" w:name="_Toc398541635"/>
      <w:r w:rsidRPr="004F7609">
        <w:t>The health and biomedical industry develops and manufactures health-related products. This includes medical, surgical, dental products and equipment, medicines, and assistive technologies such as the creation of prosthetic limbs. The biotechnology industry is the application of science and technology to living organisms in order to make or change products, for use across a wide range of sectors including agriculture and medicine. The pharmaceuticals industry contributes to the discovery, creation and supply of prescription medicines and vaccines. The growth in demand for medical devices offers diversification opportunities to a broad range of manufacture</w:t>
      </w:r>
      <w:r>
        <w:t>rs with different capabilities.</w:t>
      </w:r>
      <w:r>
        <w:rPr>
          <w:rStyle w:val="FootnoteReference"/>
        </w:rPr>
        <w:footnoteReference w:id="1"/>
      </w:r>
      <w:r w:rsidRPr="004F7609">
        <w:t xml:space="preserve">  </w:t>
      </w:r>
    </w:p>
    <w:p w:rsidR="0073507A" w:rsidRPr="0073507A" w:rsidRDefault="0073507A" w:rsidP="00197D2E">
      <w:pPr>
        <w:pStyle w:val="Heading2"/>
      </w:pPr>
      <w:r w:rsidRPr="0073507A">
        <w:t>Advanced manufacturing</w:t>
      </w:r>
      <w:bookmarkEnd w:id="37"/>
      <w:r w:rsidRPr="0073507A">
        <w:t xml:space="preserve"> </w:t>
      </w:r>
    </w:p>
    <w:p w:rsidR="0073507A" w:rsidRPr="0073507A" w:rsidRDefault="0073507A" w:rsidP="008F5716">
      <w:pPr>
        <w:pStyle w:val="Text"/>
      </w:pPr>
      <w:r w:rsidRPr="0073507A">
        <w:t>Ad</w:t>
      </w:r>
      <w:r w:rsidR="0033070E">
        <w:t xml:space="preserve">vanced manufacturing activities </w:t>
      </w:r>
      <w:r w:rsidRPr="0073507A">
        <w:t>are spread across numerous industry sectors. They encompass leading</w:t>
      </w:r>
      <w:r w:rsidR="001338E6">
        <w:t>-</w:t>
      </w:r>
      <w:r w:rsidRPr="0073507A">
        <w:t xml:space="preserve">edge practices and technologies, such as advanced materials, robotics and automation technologies. Industry segments known to be involved in advanced manufacturing activities include but are not limited to: aerospace; precision engineering; scientific instruments; machinery and equipment; electronic and electrical equipment; and specialised textiles. Advanced manufacturing capabilities help </w:t>
      </w:r>
      <w:r w:rsidR="001338E6">
        <w:t>enterprises</w:t>
      </w:r>
      <w:r w:rsidRPr="0073507A">
        <w:t xml:space="preserve"> </w:t>
      </w:r>
      <w:r w:rsidR="00115A9A">
        <w:t xml:space="preserve">to </w:t>
      </w:r>
      <w:r w:rsidRPr="0073507A">
        <w:t>adapt to the changing manufacturing landscape by enabling manufacturers to diversify their products and services in order to capture new market</w:t>
      </w:r>
      <w:r w:rsidR="00115A9A">
        <w:t>s and customers. The novel high-</w:t>
      </w:r>
      <w:r w:rsidRPr="0073507A">
        <w:t>value-added products, services, technologies and processes provide Australian firms with competitive advantages that help to offset low-wage, low-skilled labour economies with larger economies of scale.</w:t>
      </w:r>
    </w:p>
    <w:p w:rsidR="0073507A" w:rsidRPr="0073507A" w:rsidRDefault="0073507A" w:rsidP="00197D2E">
      <w:pPr>
        <w:pStyle w:val="Heading2"/>
      </w:pPr>
      <w:bookmarkStart w:id="38" w:name="_Toc398541636"/>
      <w:r w:rsidRPr="0073507A">
        <w:lastRenderedPageBreak/>
        <w:t>Mining equipment, technology and services</w:t>
      </w:r>
      <w:bookmarkEnd w:id="38"/>
      <w:r w:rsidRPr="0073507A">
        <w:t xml:space="preserve"> </w:t>
      </w:r>
    </w:p>
    <w:p w:rsidR="0073507A" w:rsidRDefault="0073507A" w:rsidP="008F5716">
      <w:pPr>
        <w:pStyle w:val="Text"/>
        <w:ind w:right="-143"/>
      </w:pPr>
      <w:r w:rsidRPr="0073507A">
        <w:t>Mining equipment, technology and services is a</w:t>
      </w:r>
      <w:r w:rsidR="001338E6">
        <w:t>nother</w:t>
      </w:r>
      <w:r w:rsidRPr="0073507A">
        <w:t xml:space="preserve"> diverse </w:t>
      </w:r>
      <w:r w:rsidR="00EA3227">
        <w:t>industry</w:t>
      </w:r>
      <w:r w:rsidR="00115A9A">
        <w:t xml:space="preserve"> and</w:t>
      </w:r>
      <w:r w:rsidR="00C46160">
        <w:t xml:space="preserve"> </w:t>
      </w:r>
      <w:r w:rsidR="00EA06CB">
        <w:t xml:space="preserve">includes associated services </w:t>
      </w:r>
      <w:r w:rsidRPr="0073507A">
        <w:t>such as contract mining a</w:t>
      </w:r>
      <w:r w:rsidR="00EA06CB">
        <w:t>nd specialist oilfield services</w:t>
      </w:r>
      <w:r w:rsidRPr="0073507A">
        <w:t xml:space="preserve">, suppliers, equipment and technologies for the mining and oil and gas </w:t>
      </w:r>
      <w:r w:rsidR="00EA3227">
        <w:t>industries</w:t>
      </w:r>
      <w:r w:rsidRPr="0073507A">
        <w:t xml:space="preserve">. Spanning manufacturing </w:t>
      </w:r>
      <w:r w:rsidR="00115A9A">
        <w:t>and</w:t>
      </w:r>
      <w:r w:rsidRPr="0073507A">
        <w:t xml:space="preserve"> engineering and professional services</w:t>
      </w:r>
      <w:r w:rsidR="00C46160">
        <w:t xml:space="preserve">, </w:t>
      </w:r>
      <w:r w:rsidRPr="0073507A">
        <w:t xml:space="preserve">companies, </w:t>
      </w:r>
      <w:r w:rsidR="003A7C89">
        <w:t>whatever their</w:t>
      </w:r>
      <w:r w:rsidRPr="0073507A">
        <w:t xml:space="preserve"> size and scope</w:t>
      </w:r>
      <w:r w:rsidR="00115A9A">
        <w:t>,</w:t>
      </w:r>
      <w:r w:rsidR="00C46160">
        <w:t xml:space="preserve"> are</w:t>
      </w:r>
      <w:r w:rsidRPr="0073507A">
        <w:t xml:space="preserve"> linked by a core competency in mining and minerals</w:t>
      </w:r>
      <w:r w:rsidR="0033070E">
        <w:t xml:space="preserve">. </w:t>
      </w:r>
      <w:r w:rsidR="00C46160" w:rsidRPr="00C46160">
        <w:t>Firms provide special</w:t>
      </w:r>
      <w:r w:rsidR="00DD6D72">
        <w:t xml:space="preserve">ised products and solutions to </w:t>
      </w:r>
      <w:r w:rsidR="00C46160" w:rsidRPr="00C46160">
        <w:t xml:space="preserve">mining and minerals businesses </w:t>
      </w:r>
      <w:r w:rsidR="00C46160">
        <w:t xml:space="preserve">and are now </w:t>
      </w:r>
      <w:r w:rsidRPr="0073507A">
        <w:t xml:space="preserve">leveraging their strong reputation internationally in growth markets </w:t>
      </w:r>
      <w:r w:rsidR="00115A9A">
        <w:t xml:space="preserve">that </w:t>
      </w:r>
      <w:r w:rsidRPr="0073507A">
        <w:t>includ</w:t>
      </w:r>
      <w:r w:rsidR="00115A9A">
        <w:t>e</w:t>
      </w:r>
      <w:r w:rsidRPr="0073507A">
        <w:t xml:space="preserve"> Asia, Africa and South America to enter new markets. Areas for growth and investment opportunities include: </w:t>
      </w:r>
      <w:r w:rsidR="00EA06CB">
        <w:t xml:space="preserve">the </w:t>
      </w:r>
      <w:r w:rsidRPr="0073507A">
        <w:t>adoption and continued development of new technologies to drive productivity; international growth of services into Asia and Africa; a</w:t>
      </w:r>
      <w:r w:rsidR="00EA06CB">
        <w:t>nd diversification through high-</w:t>
      </w:r>
      <w:r w:rsidRPr="0073507A">
        <w:t>value-add</w:t>
      </w:r>
      <w:r w:rsidR="00EA06CB">
        <w:t>ed</w:t>
      </w:r>
      <w:r w:rsidRPr="0073507A">
        <w:t xml:space="preserve"> technologies into other </w:t>
      </w:r>
      <w:r w:rsidR="00EA3227">
        <w:t>industries</w:t>
      </w:r>
      <w:r w:rsidRPr="0073507A">
        <w:t xml:space="preserve">. </w:t>
      </w:r>
    </w:p>
    <w:p w:rsidR="00946950" w:rsidRPr="0073507A" w:rsidRDefault="00946950" w:rsidP="00197D2E">
      <w:pPr>
        <w:pStyle w:val="Heading2"/>
      </w:pPr>
      <w:bookmarkStart w:id="39" w:name="_Toc398541637"/>
      <w:r w:rsidRPr="0073507A">
        <w:t>Oil and gas</w:t>
      </w:r>
      <w:bookmarkEnd w:id="39"/>
      <w:r w:rsidRPr="0073507A">
        <w:t xml:space="preserve"> </w:t>
      </w:r>
    </w:p>
    <w:p w:rsidR="00946950" w:rsidRPr="0073507A" w:rsidRDefault="00946950" w:rsidP="002B55CD">
      <w:pPr>
        <w:pStyle w:val="Text"/>
        <w:ind w:right="141"/>
      </w:pPr>
      <w:r w:rsidRPr="0073507A">
        <w:t xml:space="preserve">The oil and gas industry will soon make up about </w:t>
      </w:r>
      <w:r w:rsidR="00EA06CB">
        <w:t>2</w:t>
      </w:r>
      <w:r w:rsidR="008D67F9">
        <w:t>%</w:t>
      </w:r>
      <w:r w:rsidRPr="0073507A">
        <w:t xml:space="preserve"> of Australia’s economy, with the majority of that now coming from gas. Australia’s output of liquefied natural gas is expected to rise by 250</w:t>
      </w:r>
      <w:r w:rsidR="008D67F9">
        <w:t>%</w:t>
      </w:r>
      <w:r w:rsidR="00115A9A">
        <w:t xml:space="preserve"> between 2013 and 2017—</w:t>
      </w:r>
      <w:r w:rsidRPr="0073507A">
        <w:t>18.</w:t>
      </w:r>
      <w:r w:rsidR="00472A51">
        <w:t xml:space="preserve"> </w:t>
      </w:r>
      <w:r w:rsidRPr="0073507A">
        <w:t xml:space="preserve">The </w:t>
      </w:r>
      <w:r>
        <w:t>industry</w:t>
      </w:r>
      <w:r w:rsidRPr="0073507A">
        <w:t xml:space="preserve"> is well placed to leverage off Australia’s strong international reputation as a reliable supplier of equipment, technology and services to access growth markets</w:t>
      </w:r>
      <w:r w:rsidR="0086401A">
        <w:t>,</w:t>
      </w:r>
      <w:r w:rsidRPr="0073507A">
        <w:t xml:space="preserve"> including Asia, Africa and South America. Area</w:t>
      </w:r>
      <w:r w:rsidR="00EA06CB">
        <w:t xml:space="preserve">s for growth and investment </w:t>
      </w:r>
      <w:r w:rsidRPr="0073507A">
        <w:t xml:space="preserve">in the oil and gas </w:t>
      </w:r>
      <w:r>
        <w:t>industry</w:t>
      </w:r>
      <w:r w:rsidRPr="0073507A">
        <w:t xml:space="preserve"> include: floating liquefied natural gas operations and maintenance, including advanced construction technologies; onshore shale gas exploration and extraction; subsea pipeline repair and maintenance; process automation, optimisation and de</w:t>
      </w:r>
      <w:r w:rsidR="00C46160">
        <w:t>-</w:t>
      </w:r>
      <w:r w:rsidRPr="0073507A">
        <w:t>bottlenecking; brownfields expansion and technical upgrades; environmental management and monitoring; water disposal and reuse (particularly in the coal</w:t>
      </w:r>
      <w:r w:rsidR="002B55CD">
        <w:t> </w:t>
      </w:r>
      <w:r w:rsidRPr="0073507A">
        <w:t>seam gas to liquefied natural gas sector); carbon dioxide capture and sequestration.</w:t>
      </w:r>
    </w:p>
    <w:p w:rsidR="0075276B" w:rsidRDefault="0075276B" w:rsidP="0075276B">
      <w:pPr>
        <w:pStyle w:val="Text"/>
      </w:pPr>
      <w:r>
        <w:t xml:space="preserve">Through a review of the available data and literature </w:t>
      </w:r>
      <w:r w:rsidR="002B5DD6">
        <w:t>this</w:t>
      </w:r>
      <w:r>
        <w:t xml:space="preserve"> study con</w:t>
      </w:r>
      <w:r w:rsidR="00C46160">
        <w:t>siders</w:t>
      </w:r>
      <w:r>
        <w:t xml:space="preserve"> the role </w:t>
      </w:r>
      <w:r w:rsidR="00115A9A">
        <w:t xml:space="preserve">that </w:t>
      </w:r>
      <w:r>
        <w:t xml:space="preserve">education and training plays </w:t>
      </w:r>
      <w:r w:rsidR="00115A9A">
        <w:t>in</w:t>
      </w:r>
      <w:r>
        <w:t xml:space="preserve"> help</w:t>
      </w:r>
      <w:r w:rsidR="00115A9A">
        <w:t>ing to</w:t>
      </w:r>
      <w:r>
        <w:t xml:space="preserve"> ensure </w:t>
      </w:r>
      <w:r w:rsidR="00115A9A">
        <w:t xml:space="preserve">that </w:t>
      </w:r>
      <w:r>
        <w:t xml:space="preserve">these industries have the </w:t>
      </w:r>
      <w:r w:rsidR="00EA06CB">
        <w:t xml:space="preserve">people </w:t>
      </w:r>
      <w:r>
        <w:t xml:space="preserve">available with the right skills to realise opportunities </w:t>
      </w:r>
      <w:r w:rsidR="006C7095">
        <w:t>as they a</w:t>
      </w:r>
      <w:r w:rsidR="00F84CD4">
        <w:t>rise</w:t>
      </w:r>
      <w:r w:rsidR="00C46160">
        <w:t>,</w:t>
      </w:r>
      <w:r>
        <w:t xml:space="preserve"> noting</w:t>
      </w:r>
      <w:r w:rsidR="00DD6D72">
        <w:t xml:space="preserve"> </w:t>
      </w:r>
      <w:r w:rsidR="00115A9A">
        <w:t xml:space="preserve">that </w:t>
      </w:r>
      <w:r>
        <w:t xml:space="preserve">this </w:t>
      </w:r>
      <w:r w:rsidR="006C7095">
        <w:t xml:space="preserve">necessarily </w:t>
      </w:r>
      <w:r>
        <w:t>go</w:t>
      </w:r>
      <w:r w:rsidR="006C7095">
        <w:t>es</w:t>
      </w:r>
      <w:r w:rsidR="00115A9A">
        <w:t xml:space="preserve"> hand in </w:t>
      </w:r>
      <w:r>
        <w:t xml:space="preserve">hand with other interventions by government and industry. </w:t>
      </w:r>
    </w:p>
    <w:p w:rsidR="0086401A" w:rsidRDefault="0086401A" w:rsidP="0086401A">
      <w:pPr>
        <w:pStyle w:val="Heading2"/>
      </w:pPr>
      <w:bookmarkStart w:id="40" w:name="_Toc398541638"/>
      <w:r>
        <w:t>About this report</w:t>
      </w:r>
      <w:bookmarkEnd w:id="40"/>
    </w:p>
    <w:p w:rsidR="00E415FD" w:rsidRDefault="003D021B" w:rsidP="0075276B">
      <w:pPr>
        <w:pStyle w:val="Text"/>
      </w:pPr>
      <w:r>
        <w:t xml:space="preserve">Each industry differs in size, stages of development and skill needs. This is further complicated by the diversity of </w:t>
      </w:r>
      <w:r w:rsidRPr="00F84CD4">
        <w:t>sectors</w:t>
      </w:r>
      <w:r>
        <w:t xml:space="preserve"> within each industry and a number of overlaps between the industries. While the intent is to refer overall to the five </w:t>
      </w:r>
      <w:r w:rsidR="00EA06CB">
        <w:t xml:space="preserve">‘growing’ </w:t>
      </w:r>
      <w:r>
        <w:t xml:space="preserve">industries, </w:t>
      </w:r>
      <w:r w:rsidR="002B5DD6">
        <w:t>s</w:t>
      </w:r>
      <w:r w:rsidR="001010ED">
        <w:t xml:space="preserve">ome </w:t>
      </w:r>
      <w:r>
        <w:t xml:space="preserve">sectors within each of the five industries </w:t>
      </w:r>
      <w:r w:rsidR="00424F57">
        <w:t>may actually be in decline</w:t>
      </w:r>
      <w:r w:rsidR="001010ED">
        <w:t>.</w:t>
      </w:r>
      <w:r w:rsidR="00513AF5">
        <w:t xml:space="preserve"> </w:t>
      </w:r>
      <w:r w:rsidR="00424F57">
        <w:t>Furthermore, m</w:t>
      </w:r>
      <w:r w:rsidR="002B5DD6">
        <w:t>any</w:t>
      </w:r>
      <w:r w:rsidR="00513AF5">
        <w:t xml:space="preserve"> of the points made apply</w:t>
      </w:r>
      <w:r w:rsidR="003A7C89">
        <w:t xml:space="preserve"> more broadly than to</w:t>
      </w:r>
      <w:r w:rsidR="00513AF5">
        <w:t xml:space="preserve"> </w:t>
      </w:r>
      <w:r w:rsidR="00115A9A">
        <w:t>merely</w:t>
      </w:r>
      <w:r w:rsidR="00513AF5">
        <w:t xml:space="preserve"> the five</w:t>
      </w:r>
      <w:r w:rsidR="00424F57">
        <w:t xml:space="preserve"> industries</w:t>
      </w:r>
      <w:r w:rsidR="00513AF5">
        <w:t xml:space="preserve"> </w:t>
      </w:r>
      <w:r w:rsidR="006C7095">
        <w:t>considered in</w:t>
      </w:r>
      <w:r w:rsidR="00513AF5">
        <w:t xml:space="preserve"> this study.</w:t>
      </w:r>
      <w:r w:rsidR="00424F57">
        <w:t xml:space="preserve"> </w:t>
      </w:r>
    </w:p>
    <w:p w:rsidR="0075276B" w:rsidRDefault="00AF5B0C" w:rsidP="0075276B">
      <w:pPr>
        <w:pStyle w:val="Text"/>
      </w:pPr>
      <w:r>
        <w:t xml:space="preserve">The primary aim </w:t>
      </w:r>
      <w:r w:rsidR="00424F57">
        <w:t xml:space="preserve">of the study </w:t>
      </w:r>
      <w:r>
        <w:t>is</w:t>
      </w:r>
      <w:r w:rsidR="00B372EE">
        <w:t xml:space="preserve"> to</w:t>
      </w:r>
      <w:r w:rsidR="0075276B">
        <w:t xml:space="preserve"> further inform the development of policies promoting close collaboration between industry and the education and training </w:t>
      </w:r>
      <w:r w:rsidR="00EA3227">
        <w:t>system</w:t>
      </w:r>
      <w:r>
        <w:t>,</w:t>
      </w:r>
      <w:r w:rsidR="0075276B">
        <w:t xml:space="preserve"> </w:t>
      </w:r>
      <w:r>
        <w:t>with a focus on</w:t>
      </w:r>
      <w:r w:rsidR="0075276B">
        <w:t xml:space="preserve"> </w:t>
      </w:r>
      <w:r>
        <w:t xml:space="preserve">ensuring </w:t>
      </w:r>
      <w:r w:rsidR="0075276B">
        <w:t xml:space="preserve">adequate skills development </w:t>
      </w:r>
      <w:r w:rsidR="004673BB">
        <w:t>within</w:t>
      </w:r>
      <w:r w:rsidR="0075276B">
        <w:t xml:space="preserve"> the identified five </w:t>
      </w:r>
      <w:r w:rsidR="00F0796A">
        <w:t>industries</w:t>
      </w:r>
      <w:r w:rsidR="0075276B">
        <w:t xml:space="preserve">. </w:t>
      </w:r>
    </w:p>
    <w:p w:rsidR="00820E32" w:rsidRDefault="006E55E8" w:rsidP="0075276B">
      <w:pPr>
        <w:pStyle w:val="Text"/>
      </w:pPr>
      <w:r>
        <w:t xml:space="preserve">The report is structured as follows. </w:t>
      </w:r>
      <w:r w:rsidR="00820E32">
        <w:t xml:space="preserve">We first </w:t>
      </w:r>
      <w:r w:rsidR="00F84CD4">
        <w:t>assemble</w:t>
      </w:r>
      <w:r w:rsidR="00820E32">
        <w:t xml:space="preserve"> a profile of the five industries before synthesising the key issues emerging from the literature</w:t>
      </w:r>
      <w:r w:rsidR="00197D2E">
        <w:t>, beginning with a consideration of global value chains. This is a useful start</w:t>
      </w:r>
      <w:r w:rsidR="00372409">
        <w:t>ing</w:t>
      </w:r>
      <w:r w:rsidR="00197D2E">
        <w:t xml:space="preserve"> point </w:t>
      </w:r>
      <w:r w:rsidR="00B9493B">
        <w:t>and will assist</w:t>
      </w:r>
      <w:r w:rsidR="002057E2">
        <w:t xml:space="preserve"> an</w:t>
      </w:r>
      <w:r w:rsidR="00197D2E">
        <w:t xml:space="preserve"> understand</w:t>
      </w:r>
      <w:r w:rsidR="002057E2">
        <w:t>ing</w:t>
      </w:r>
      <w:r w:rsidR="00197D2E">
        <w:t xml:space="preserve"> </w:t>
      </w:r>
      <w:r w:rsidR="002057E2">
        <w:t xml:space="preserve">of </w:t>
      </w:r>
      <w:r w:rsidR="00197D2E">
        <w:t xml:space="preserve">the new way </w:t>
      </w:r>
      <w:r w:rsidR="0086401A">
        <w:t>by</w:t>
      </w:r>
      <w:r w:rsidR="00197D2E">
        <w:t xml:space="preserve"> which many industries are operating and the way in which this influences skill development requirements. We then consider the role of schools, the apprenticeships system and tertiary institutions in their preparation of entry-level workers before discussing the key themes emerging for existing workers. </w:t>
      </w:r>
      <w:r w:rsidR="00197D2E">
        <w:lastRenderedPageBreak/>
        <w:t>These include</w:t>
      </w:r>
      <w:r w:rsidR="00197D2E" w:rsidRPr="00AC4DB0">
        <w:t xml:space="preserve"> </w:t>
      </w:r>
      <w:r w:rsidR="00197D2E">
        <w:t>addressing skill gaps and future skills demand against a backdrop of specific workforce issues; the persistent problem of literacy and numeracy skills; the use of skill sets and recog</w:t>
      </w:r>
      <w:r w:rsidR="002057E2">
        <w:t xml:space="preserve">nition of prior learning for </w:t>
      </w:r>
      <w:proofErr w:type="spellStart"/>
      <w:r w:rsidR="002057E2">
        <w:t>upskilling</w:t>
      </w:r>
      <w:proofErr w:type="spellEnd"/>
      <w:r w:rsidR="002057E2">
        <w:t xml:space="preserve"> —</w:t>
      </w:r>
      <w:r w:rsidR="00197D2E">
        <w:t xml:space="preserve"> particularly </w:t>
      </w:r>
      <w:r w:rsidR="002057E2">
        <w:t xml:space="preserve">in the context of </w:t>
      </w:r>
      <w:r w:rsidR="00B9493B">
        <w:t>automation having</w:t>
      </w:r>
      <w:r w:rsidR="00197D2E">
        <w:t xml:space="preserve"> an effect on many aspects of working life. We also </w:t>
      </w:r>
      <w:r w:rsidR="00DD0A8D">
        <w:t>consider</w:t>
      </w:r>
      <w:r w:rsidR="00197D2E">
        <w:t xml:space="preserve"> issues relating to </w:t>
      </w:r>
      <w:r w:rsidR="00B9493B">
        <w:t xml:space="preserve">the </w:t>
      </w:r>
      <w:r w:rsidR="00197D2E">
        <w:t>continuing professional development and mobility of existing workers. Finally</w:t>
      </w:r>
      <w:r w:rsidR="002057E2">
        <w:t>,</w:t>
      </w:r>
      <w:r w:rsidR="00197D2E">
        <w:t xml:space="preserve"> the importance of skills for research and development is considered</w:t>
      </w:r>
      <w:r w:rsidR="002057E2">
        <w:t>,</w:t>
      </w:r>
      <w:r w:rsidR="00197D2E">
        <w:t xml:space="preserve"> along with the critical skills and capacity of the teaching workforce. </w:t>
      </w:r>
      <w:r w:rsidR="00820E32">
        <w:t xml:space="preserve">The </w:t>
      </w:r>
      <w:r w:rsidR="00F84CD4">
        <w:t>last</w:t>
      </w:r>
      <w:r w:rsidR="00820E32">
        <w:t xml:space="preserve"> section </w:t>
      </w:r>
      <w:r w:rsidR="00290F43">
        <w:t>summarises</w:t>
      </w:r>
      <w:r w:rsidR="00820E32">
        <w:t xml:space="preserve"> the key points to be considered in ensuring </w:t>
      </w:r>
      <w:r w:rsidR="00290F43">
        <w:t xml:space="preserve">that </w:t>
      </w:r>
      <w:r w:rsidR="00820E32">
        <w:t>Australian industries and the education and training system are ready to meet demand.</w:t>
      </w:r>
    </w:p>
    <w:p w:rsidR="0075276B" w:rsidRDefault="0075276B" w:rsidP="0075276B">
      <w:pPr>
        <w:pStyle w:val="Text"/>
      </w:pPr>
    </w:p>
    <w:p w:rsidR="0075276B" w:rsidRDefault="0075276B">
      <w:pPr>
        <w:rPr>
          <w:rFonts w:ascii="Tahoma" w:hAnsi="Tahoma" w:cs="Tahoma"/>
          <w:color w:val="000000"/>
          <w:kern w:val="28"/>
          <w:sz w:val="56"/>
          <w:szCs w:val="56"/>
        </w:rPr>
      </w:pPr>
      <w:r>
        <w:br w:type="page"/>
      </w:r>
    </w:p>
    <w:p w:rsidR="008A295C" w:rsidRPr="0075276B" w:rsidRDefault="008A295C" w:rsidP="0075276B">
      <w:pPr>
        <w:pStyle w:val="Heading1"/>
      </w:pPr>
      <w:bookmarkStart w:id="41" w:name="_Toc398541639"/>
      <w:r w:rsidRPr="0075276B">
        <w:lastRenderedPageBreak/>
        <w:t>Profile of the industries</w:t>
      </w:r>
      <w:bookmarkEnd w:id="41"/>
    </w:p>
    <w:p w:rsidR="00D02438" w:rsidRPr="00D02438" w:rsidRDefault="00D02438" w:rsidP="00D02438">
      <w:pPr>
        <w:pStyle w:val="Text"/>
      </w:pPr>
      <w:r w:rsidRPr="00D02438">
        <w:t>Australian industry statistics are generally reported according to the Australian and New Zealand Standard Industrial Classification (ANZSIC).</w:t>
      </w:r>
      <w:r w:rsidR="00472A51">
        <w:t xml:space="preserve"> </w:t>
      </w:r>
      <w:r w:rsidRPr="00D02438">
        <w:t>ANZSIC provides a means for the standardised collection, analysis, dissemination and production of economic data on an industry basis. The Australian Bureau of Statistics (ABS) uses ANZSIC to compile the national accounts in most of its economic collections.</w:t>
      </w:r>
      <w:r w:rsidR="00472A51">
        <w:t xml:space="preserve"> </w:t>
      </w:r>
      <w:r w:rsidRPr="00D02438">
        <w:t>The classification is also widely used for financial, administrative and statistical purposes by users from government, academia and the private sector.</w:t>
      </w:r>
      <w:r w:rsidR="00472A51">
        <w:t xml:space="preserve"> </w:t>
      </w:r>
      <w:r w:rsidRPr="00D02438">
        <w:t>In ANZSIC, industries are formed by grouping business units mainly engaged in undertaking similar economic activities. For statistical purposes, it is essential that standard definitions of business units are applied, so statistics can be collected and compiled w</w:t>
      </w:r>
      <w:r w:rsidR="00290F43">
        <w:t>ithout gaps or duplication (ABS</w:t>
      </w:r>
      <w:r w:rsidRPr="00D02438">
        <w:t xml:space="preserve"> 2006). </w:t>
      </w:r>
    </w:p>
    <w:p w:rsidR="00D02438" w:rsidRDefault="00D02438" w:rsidP="00D02438">
      <w:pPr>
        <w:pStyle w:val="Text"/>
      </w:pPr>
      <w:r w:rsidRPr="00D02438">
        <w:t xml:space="preserve">The five industries examined in this report </w:t>
      </w:r>
      <w:r w:rsidR="00796EB4">
        <w:t>(</w:t>
      </w:r>
      <w:r w:rsidR="00946950">
        <w:t xml:space="preserve">food and agriculture; biotechnology and pharmaceuticals; advanced manufacturing; </w:t>
      </w:r>
      <w:r w:rsidR="00946950" w:rsidRPr="00720B1E">
        <w:t xml:space="preserve">mining equipment, technology and services; and </w:t>
      </w:r>
      <w:r w:rsidR="00946950">
        <w:t>oil and gas</w:t>
      </w:r>
      <w:r w:rsidR="00796EB4">
        <w:t>)</w:t>
      </w:r>
      <w:r w:rsidR="00796EB4" w:rsidRPr="00D02438">
        <w:t xml:space="preserve"> </w:t>
      </w:r>
      <w:r w:rsidRPr="00D02438">
        <w:t>do not conform to</w:t>
      </w:r>
      <w:r w:rsidR="00D13C33">
        <w:t xml:space="preserve"> one</w:t>
      </w:r>
      <w:r w:rsidRPr="00D02438">
        <w:t xml:space="preserve"> industry grouping in the ANZSIC.</w:t>
      </w:r>
      <w:r w:rsidR="00472A51">
        <w:t xml:space="preserve"> </w:t>
      </w:r>
      <w:r w:rsidRPr="00D02438">
        <w:t>The diversity of organisations within each of the five industries, in terms of the industries they service and the range of outputs generated, creates challen</w:t>
      </w:r>
      <w:r w:rsidRPr="0086401A">
        <w:t xml:space="preserve">ges in </w:t>
      </w:r>
      <w:r w:rsidR="00F84CD4" w:rsidRPr="0086401A">
        <w:t xml:space="preserve">the </w:t>
      </w:r>
      <w:r w:rsidRPr="0086401A">
        <w:t xml:space="preserve">gathering </w:t>
      </w:r>
      <w:r w:rsidR="00F84CD4" w:rsidRPr="0086401A">
        <w:t xml:space="preserve">of </w:t>
      </w:r>
      <w:r w:rsidRPr="0086401A">
        <w:t>statistical data. F</w:t>
      </w:r>
      <w:r w:rsidRPr="00D02438">
        <w:t xml:space="preserve">or example, components of the </w:t>
      </w:r>
      <w:r w:rsidR="00796EB4">
        <w:t>m</w:t>
      </w:r>
      <w:r w:rsidRPr="00D02438">
        <w:t xml:space="preserve">ining equipment, technology and services industry can be found across eight ANZSIC divisions and over 20 sub-divisions. A further complexity is that the five industries are not </w:t>
      </w:r>
      <w:proofErr w:type="gramStart"/>
      <w:r w:rsidRPr="00D02438">
        <w:t>distinct,</w:t>
      </w:r>
      <w:proofErr w:type="gramEnd"/>
      <w:r w:rsidRPr="00D02438">
        <w:t xml:space="preserve"> with each ov</w:t>
      </w:r>
      <w:r w:rsidR="00290F43">
        <w:t>erlapping at least two others (f</w:t>
      </w:r>
      <w:r w:rsidRPr="00D02438">
        <w:t xml:space="preserve">igure 1). </w:t>
      </w:r>
    </w:p>
    <w:p w:rsidR="00D02438" w:rsidRPr="00306BBE" w:rsidRDefault="00290F43" w:rsidP="008F5716">
      <w:pPr>
        <w:pStyle w:val="Figuretitle"/>
      </w:pPr>
      <w:r>
        <w:t>Figure 1</w:t>
      </w:r>
      <w:r w:rsidR="008F5716">
        <w:tab/>
      </w:r>
      <w:r w:rsidR="00D02438" w:rsidRPr="00306BBE">
        <w:t>Overlap between five industries examine</w:t>
      </w:r>
      <w:r>
        <w:t>d in this report (not to scale)</w:t>
      </w:r>
    </w:p>
    <w:p w:rsidR="00D02438" w:rsidRPr="00D02438" w:rsidRDefault="00A83CF7" w:rsidP="00A83CF7">
      <w:pPr>
        <w:pStyle w:val="Text"/>
        <w:spacing w:before="360"/>
        <w:ind w:right="0"/>
      </w:pPr>
      <w:r w:rsidRPr="00A83CF7">
        <w:rPr>
          <w:rFonts w:eastAsia="Calibri"/>
          <w:noProof/>
          <w:lang w:eastAsia="en-AU"/>
        </w:rPr>
        <mc:AlternateContent>
          <mc:Choice Requires="wpg">
            <w:drawing>
              <wp:anchor distT="0" distB="0" distL="114300" distR="114300" simplePos="0" relativeHeight="251688960" behindDoc="0" locked="0" layoutInCell="1" allowOverlap="1" wp14:anchorId="60F017C4" wp14:editId="75CCB741">
                <wp:simplePos x="0" y="0"/>
                <wp:positionH relativeFrom="column">
                  <wp:posOffset>34290</wp:posOffset>
                </wp:positionH>
                <wp:positionV relativeFrom="paragraph">
                  <wp:posOffset>113030</wp:posOffset>
                </wp:positionV>
                <wp:extent cx="4079875" cy="2733675"/>
                <wp:effectExtent l="0" t="0" r="15875" b="28575"/>
                <wp:wrapTopAndBottom/>
                <wp:docPr id="3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79875" cy="2733675"/>
                          <a:chOff x="0" y="0"/>
                          <a:chExt cx="5220581" cy="3223646"/>
                        </a:xfrm>
                      </wpg:grpSpPr>
                      <wpg:grpSp>
                        <wpg:cNvPr id="320" name="Group 320"/>
                        <wpg:cNvGrpSpPr/>
                        <wpg:grpSpPr>
                          <a:xfrm>
                            <a:off x="2524816" y="0"/>
                            <a:ext cx="1890210" cy="1890210"/>
                            <a:chOff x="2524816" y="0"/>
                            <a:chExt cx="1890210" cy="1890210"/>
                          </a:xfrm>
                        </wpg:grpSpPr>
                        <wps:wsp>
                          <wps:cNvPr id="321" name="Oval 321"/>
                          <wps:cNvSpPr/>
                          <wps:spPr>
                            <a:xfrm>
                              <a:off x="2524816" y="0"/>
                              <a:ext cx="1890210" cy="1890210"/>
                            </a:xfrm>
                            <a:prstGeom prst="ellipse">
                              <a:avLst/>
                            </a:prstGeom>
                            <a:solidFill>
                              <a:srgbClr val="C0504D">
                                <a:alpha val="50000"/>
                                <a:hueOff val="0"/>
                                <a:satOff val="0"/>
                                <a:lumOff val="0"/>
                                <a:alphaOff val="0"/>
                              </a:srgbClr>
                            </a:solidFill>
                            <a:ln w="25400" cap="flat" cmpd="sng" algn="ctr">
                              <a:solidFill>
                                <a:sysClr val="window" lastClr="FFFFFF">
                                  <a:hueOff val="0"/>
                                  <a:satOff val="0"/>
                                  <a:lumOff val="0"/>
                                  <a:alphaOff val="0"/>
                                </a:sysClr>
                              </a:solidFill>
                              <a:prstDash val="solid"/>
                            </a:ln>
                            <a:effectLst/>
                          </wps:spPr>
                          <wps:txbx>
                            <w:txbxContent>
                              <w:p w:rsidR="006C26DD" w:rsidRPr="00B305A9" w:rsidRDefault="006C26DD" w:rsidP="00D02438">
                                <w:pPr>
                                  <w:rPr>
                                    <w:rFonts w:ascii="Arial" w:hAnsi="Arial" w:cs="Arial"/>
                                    <w:sz w:val="16"/>
                                    <w:szCs w:val="16"/>
                                  </w:rPr>
                                </w:pPr>
                              </w:p>
                            </w:txbxContent>
                          </wps:txbx>
                          <wps:bodyPr/>
                        </wps:wsp>
                        <wps:wsp>
                          <wps:cNvPr id="322" name="Freeform 322"/>
                          <wps:cNvSpPr/>
                          <wps:spPr>
                            <a:xfrm>
                              <a:off x="2855118" y="685364"/>
                              <a:ext cx="1314145" cy="491366"/>
                            </a:xfrm>
                            <a:custGeom>
                              <a:avLst/>
                              <a:gdLst>
                                <a:gd name="connsiteX0" fmla="*/ 0 w 2192643"/>
                                <a:gd name="connsiteY0" fmla="*/ 0 h 265440"/>
                                <a:gd name="connsiteX1" fmla="*/ 2192643 w 2192643"/>
                                <a:gd name="connsiteY1" fmla="*/ 0 h 265440"/>
                                <a:gd name="connsiteX2" fmla="*/ 2192643 w 2192643"/>
                                <a:gd name="connsiteY2" fmla="*/ 265440 h 265440"/>
                                <a:gd name="connsiteX3" fmla="*/ 0 w 2192643"/>
                                <a:gd name="connsiteY3" fmla="*/ 265440 h 265440"/>
                                <a:gd name="connsiteX4" fmla="*/ 0 w 2192643"/>
                                <a:gd name="connsiteY4" fmla="*/ 0 h 2654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92643" h="265440">
                                  <a:moveTo>
                                    <a:pt x="0" y="0"/>
                                  </a:moveTo>
                                  <a:lnTo>
                                    <a:pt x="2192643" y="0"/>
                                  </a:lnTo>
                                  <a:lnTo>
                                    <a:pt x="2192643" y="265440"/>
                                  </a:lnTo>
                                  <a:lnTo>
                                    <a:pt x="0" y="265440"/>
                                  </a:lnTo>
                                  <a:lnTo>
                                    <a:pt x="0" y="0"/>
                                  </a:lnTo>
                                  <a:close/>
                                </a:path>
                              </a:pathLst>
                            </a:custGeom>
                            <a:noFill/>
                            <a:ln>
                              <a:noFill/>
                            </a:ln>
                            <a:effectLst/>
                            <a:sp3d/>
                          </wps:spPr>
                          <wps:txbx>
                            <w:txbxContent>
                              <w:p w:rsidR="006C26DD" w:rsidRPr="00B305A9" w:rsidRDefault="006C26DD" w:rsidP="00D02438">
                                <w:pPr>
                                  <w:pStyle w:val="NormalWeb"/>
                                  <w:spacing w:before="0" w:beforeAutospacing="0" w:after="84" w:line="216" w:lineRule="auto"/>
                                  <w:jc w:val="center"/>
                                  <w:textAlignment w:val="baseline"/>
                                  <w:rPr>
                                    <w:rFonts w:ascii="Arial" w:hAnsi="Arial" w:cs="Arial"/>
                                    <w:sz w:val="16"/>
                                    <w:szCs w:val="16"/>
                                  </w:rPr>
                                </w:pPr>
                                <w:r w:rsidRPr="00B305A9">
                                  <w:rPr>
                                    <w:rFonts w:ascii="Arial" w:hAnsi="Arial" w:cs="Arial"/>
                                    <w:b/>
                                    <w:bCs/>
                                    <w:color w:val="000000" w:themeColor="text1"/>
                                    <w:kern w:val="24"/>
                                    <w:sz w:val="16"/>
                                    <w:szCs w:val="16"/>
                                    <w:lang w:val="en-US"/>
                                  </w:rPr>
                                  <w:t>Mining Equipment, Technology &amp; Services (METS)</w:t>
                                </w:r>
                              </w:p>
                            </w:txbxContent>
                          </wps:txbx>
                          <wps:bodyPr spcFirstLastPara="0" vert="horz" wrap="square" lIns="0" tIns="0" rIns="0" bIns="0" numCol="1" spcCol="1270" anchor="ctr" anchorCtr="0">
                            <a:noAutofit/>
                          </wps:bodyPr>
                        </wps:wsp>
                      </wpg:grpSp>
                      <wpg:grpSp>
                        <wpg:cNvPr id="323" name="Group 323"/>
                        <wpg:cNvGrpSpPr/>
                        <wpg:grpSpPr>
                          <a:xfrm>
                            <a:off x="1654374" y="1333436"/>
                            <a:ext cx="1890210" cy="1890210"/>
                            <a:chOff x="1654374" y="1333436"/>
                            <a:chExt cx="1890210" cy="1890210"/>
                          </a:xfrm>
                        </wpg:grpSpPr>
                        <wps:wsp>
                          <wps:cNvPr id="324" name="Oval 324"/>
                          <wps:cNvSpPr/>
                          <wps:spPr>
                            <a:xfrm>
                              <a:off x="1654374" y="1333436"/>
                              <a:ext cx="1890210" cy="1890210"/>
                            </a:xfrm>
                            <a:prstGeom prst="ellipse">
                              <a:avLst/>
                            </a:prstGeom>
                            <a:solidFill>
                              <a:srgbClr val="9BBB59">
                                <a:alpha val="50000"/>
                                <a:hueOff val="0"/>
                                <a:satOff val="0"/>
                                <a:lumOff val="0"/>
                                <a:alphaOff val="0"/>
                              </a:srgbClr>
                            </a:solidFill>
                            <a:ln w="25400" cap="flat" cmpd="sng" algn="ctr">
                              <a:solidFill>
                                <a:sysClr val="window" lastClr="FFFFFF">
                                  <a:hueOff val="0"/>
                                  <a:satOff val="0"/>
                                  <a:lumOff val="0"/>
                                  <a:alphaOff val="0"/>
                                </a:sysClr>
                              </a:solidFill>
                              <a:prstDash val="solid"/>
                            </a:ln>
                            <a:effectLst/>
                          </wps:spPr>
                          <wps:txbx>
                            <w:txbxContent>
                              <w:p w:rsidR="006C26DD" w:rsidRPr="00B305A9" w:rsidRDefault="006C26DD" w:rsidP="00D02438">
                                <w:pPr>
                                  <w:jc w:val="center"/>
                                  <w:rPr>
                                    <w:rFonts w:ascii="Arial" w:hAnsi="Arial" w:cs="Arial"/>
                                    <w:sz w:val="16"/>
                                    <w:szCs w:val="16"/>
                                  </w:rPr>
                                </w:pPr>
                              </w:p>
                            </w:txbxContent>
                          </wps:txbx>
                          <wps:bodyPr/>
                        </wps:wsp>
                        <wps:wsp>
                          <wps:cNvPr id="325" name="Freeform 325"/>
                          <wps:cNvSpPr/>
                          <wps:spPr>
                            <a:xfrm>
                              <a:off x="2131427" y="1990510"/>
                              <a:ext cx="936104" cy="576062"/>
                            </a:xfrm>
                            <a:custGeom>
                              <a:avLst/>
                              <a:gdLst>
                                <a:gd name="connsiteX0" fmla="*/ 0 w 1965818"/>
                                <a:gd name="connsiteY0" fmla="*/ 0 h 416244"/>
                                <a:gd name="connsiteX1" fmla="*/ 1965818 w 1965818"/>
                                <a:gd name="connsiteY1" fmla="*/ 0 h 416244"/>
                                <a:gd name="connsiteX2" fmla="*/ 1965818 w 1965818"/>
                                <a:gd name="connsiteY2" fmla="*/ 416244 h 416244"/>
                                <a:gd name="connsiteX3" fmla="*/ 0 w 1965818"/>
                                <a:gd name="connsiteY3" fmla="*/ 416244 h 416244"/>
                                <a:gd name="connsiteX4" fmla="*/ 0 w 1965818"/>
                                <a:gd name="connsiteY4" fmla="*/ 0 h 4162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65818" h="416244">
                                  <a:moveTo>
                                    <a:pt x="0" y="0"/>
                                  </a:moveTo>
                                  <a:lnTo>
                                    <a:pt x="1965818" y="0"/>
                                  </a:lnTo>
                                  <a:lnTo>
                                    <a:pt x="1965818" y="416244"/>
                                  </a:lnTo>
                                  <a:lnTo>
                                    <a:pt x="0" y="416244"/>
                                  </a:lnTo>
                                  <a:lnTo>
                                    <a:pt x="0" y="0"/>
                                  </a:lnTo>
                                  <a:close/>
                                </a:path>
                              </a:pathLst>
                            </a:custGeom>
                            <a:noFill/>
                            <a:ln>
                              <a:noFill/>
                            </a:ln>
                            <a:effectLst/>
                            <a:sp3d/>
                          </wps:spPr>
                          <wps:txbx>
                            <w:txbxContent>
                              <w:p w:rsidR="006C26DD" w:rsidRPr="00B305A9" w:rsidRDefault="006C26DD" w:rsidP="00D02438">
                                <w:pPr>
                                  <w:pStyle w:val="NormalWeb"/>
                                  <w:spacing w:before="0" w:beforeAutospacing="0" w:after="84" w:line="216" w:lineRule="auto"/>
                                  <w:jc w:val="center"/>
                                  <w:textAlignment w:val="baseline"/>
                                  <w:rPr>
                                    <w:rFonts w:ascii="Arial" w:hAnsi="Arial" w:cs="Arial"/>
                                    <w:sz w:val="16"/>
                                    <w:szCs w:val="16"/>
                                  </w:rPr>
                                </w:pPr>
                                <w:r w:rsidRPr="00B305A9">
                                  <w:rPr>
                                    <w:rFonts w:ascii="Arial" w:hAnsi="Arial" w:cs="Arial"/>
                                    <w:b/>
                                    <w:bCs/>
                                    <w:color w:val="000000" w:themeColor="text1"/>
                                    <w:kern w:val="24"/>
                                    <w:sz w:val="16"/>
                                    <w:szCs w:val="16"/>
                                    <w:lang w:val="en-US"/>
                                  </w:rPr>
                                  <w:t>Advanced Manufacturing</w:t>
                                </w:r>
                              </w:p>
                            </w:txbxContent>
                          </wps:txbx>
                          <wps:bodyPr spcFirstLastPara="0" vert="horz" wrap="square" lIns="0" tIns="0" rIns="0" bIns="0" numCol="1" spcCol="1270" anchor="ctr" anchorCtr="0">
                            <a:noAutofit/>
                          </wps:bodyPr>
                        </wps:wsp>
                      </wpg:grpSp>
                      <wpg:grpSp>
                        <wpg:cNvPr id="326" name="Group 326"/>
                        <wpg:cNvGrpSpPr/>
                        <wpg:grpSpPr>
                          <a:xfrm>
                            <a:off x="802889" y="0"/>
                            <a:ext cx="1890210" cy="1890210"/>
                            <a:chOff x="802889" y="0"/>
                            <a:chExt cx="1890210" cy="1890210"/>
                          </a:xfrm>
                        </wpg:grpSpPr>
                        <wps:wsp>
                          <wps:cNvPr id="327" name="Oval 327"/>
                          <wps:cNvSpPr/>
                          <wps:spPr>
                            <a:xfrm>
                              <a:off x="802889" y="0"/>
                              <a:ext cx="1890210" cy="1890210"/>
                            </a:xfrm>
                            <a:prstGeom prst="ellipse">
                              <a:avLst/>
                            </a:prstGeom>
                            <a:solidFill>
                              <a:srgbClr val="8064A2">
                                <a:alpha val="50000"/>
                                <a:hueOff val="0"/>
                                <a:satOff val="0"/>
                                <a:lumOff val="0"/>
                                <a:alphaOff val="0"/>
                              </a:srgbClr>
                            </a:solidFill>
                            <a:ln w="25400" cap="flat" cmpd="sng" algn="ctr">
                              <a:solidFill>
                                <a:sysClr val="window" lastClr="FFFFFF">
                                  <a:hueOff val="0"/>
                                  <a:satOff val="0"/>
                                  <a:lumOff val="0"/>
                                  <a:alphaOff val="0"/>
                                </a:sysClr>
                              </a:solidFill>
                              <a:prstDash val="solid"/>
                            </a:ln>
                            <a:effectLst/>
                          </wps:spPr>
                          <wps:txbx>
                            <w:txbxContent>
                              <w:p w:rsidR="006C26DD" w:rsidRPr="00B305A9" w:rsidRDefault="006C26DD" w:rsidP="00D02438">
                                <w:pPr>
                                  <w:rPr>
                                    <w:rFonts w:ascii="Arial" w:hAnsi="Arial" w:cs="Arial"/>
                                    <w:sz w:val="16"/>
                                    <w:szCs w:val="16"/>
                                  </w:rPr>
                                </w:pPr>
                              </w:p>
                            </w:txbxContent>
                          </wps:txbx>
                          <wps:bodyPr/>
                        </wps:wsp>
                        <wps:wsp>
                          <wps:cNvPr id="328" name="Freeform 328"/>
                          <wps:cNvSpPr/>
                          <wps:spPr>
                            <a:xfrm>
                              <a:off x="1218727" y="397332"/>
                              <a:ext cx="1058534" cy="975323"/>
                            </a:xfrm>
                            <a:custGeom>
                              <a:avLst/>
                              <a:gdLst>
                                <a:gd name="connsiteX0" fmla="*/ 0 w 1058534"/>
                                <a:gd name="connsiteY0" fmla="*/ 0 h 855101"/>
                                <a:gd name="connsiteX1" fmla="*/ 1058534 w 1058534"/>
                                <a:gd name="connsiteY1" fmla="*/ 0 h 855101"/>
                                <a:gd name="connsiteX2" fmla="*/ 1058534 w 1058534"/>
                                <a:gd name="connsiteY2" fmla="*/ 855101 h 855101"/>
                                <a:gd name="connsiteX3" fmla="*/ 0 w 1058534"/>
                                <a:gd name="connsiteY3" fmla="*/ 855101 h 855101"/>
                                <a:gd name="connsiteX4" fmla="*/ 0 w 1058534"/>
                                <a:gd name="connsiteY4" fmla="*/ 0 h 8551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8534" h="855101">
                                  <a:moveTo>
                                    <a:pt x="0" y="0"/>
                                  </a:moveTo>
                                  <a:lnTo>
                                    <a:pt x="1058534" y="0"/>
                                  </a:lnTo>
                                  <a:lnTo>
                                    <a:pt x="1058534" y="855101"/>
                                  </a:lnTo>
                                  <a:lnTo>
                                    <a:pt x="0" y="855101"/>
                                  </a:lnTo>
                                  <a:lnTo>
                                    <a:pt x="0" y="0"/>
                                  </a:lnTo>
                                  <a:close/>
                                </a:path>
                              </a:pathLst>
                            </a:custGeom>
                            <a:noFill/>
                            <a:ln>
                              <a:noFill/>
                            </a:ln>
                            <a:effectLst/>
                            <a:sp3d/>
                          </wps:spPr>
                          <wps:txbx>
                            <w:txbxContent>
                              <w:p w:rsidR="006C26DD" w:rsidRPr="00B305A9" w:rsidRDefault="006C26DD" w:rsidP="00D02438">
                                <w:pPr>
                                  <w:pStyle w:val="NormalWeb"/>
                                  <w:spacing w:before="0" w:beforeAutospacing="0" w:after="84" w:line="216" w:lineRule="auto"/>
                                  <w:jc w:val="center"/>
                                  <w:textAlignment w:val="baseline"/>
                                  <w:rPr>
                                    <w:rFonts w:ascii="Arial" w:hAnsi="Arial" w:cs="Arial"/>
                                    <w:sz w:val="16"/>
                                    <w:szCs w:val="16"/>
                                  </w:rPr>
                                </w:pPr>
                                <w:r w:rsidRPr="00B305A9">
                                  <w:rPr>
                                    <w:rFonts w:ascii="Arial" w:hAnsi="Arial" w:cs="Arial"/>
                                    <w:b/>
                                    <w:bCs/>
                                    <w:color w:val="000000" w:themeColor="text1"/>
                                    <w:kern w:val="24"/>
                                    <w:sz w:val="16"/>
                                    <w:szCs w:val="16"/>
                                    <w:lang w:val="en-US"/>
                                  </w:rPr>
                                  <w:t xml:space="preserve">Biotechnology and Pharmaceuticals </w:t>
                                </w:r>
                              </w:p>
                            </w:txbxContent>
                          </wps:txbx>
                          <wps:bodyPr spcFirstLastPara="0" vert="horz" wrap="square" lIns="0" tIns="0" rIns="0" bIns="0" numCol="1" spcCol="1270" anchor="ctr" anchorCtr="0">
                            <a:noAutofit/>
                          </wps:bodyPr>
                        </wps:wsp>
                      </wpg:grpSp>
                      <wpg:grpSp>
                        <wpg:cNvPr id="329" name="Group 329"/>
                        <wpg:cNvGrpSpPr/>
                        <wpg:grpSpPr>
                          <a:xfrm>
                            <a:off x="0" y="1333436"/>
                            <a:ext cx="1890210" cy="1890210"/>
                            <a:chOff x="0" y="1333436"/>
                            <a:chExt cx="1890210" cy="1890210"/>
                          </a:xfrm>
                        </wpg:grpSpPr>
                        <wps:wsp>
                          <wps:cNvPr id="330" name="Oval 330"/>
                          <wps:cNvSpPr/>
                          <wps:spPr>
                            <a:xfrm>
                              <a:off x="0" y="1333436"/>
                              <a:ext cx="1890210" cy="1890210"/>
                            </a:xfrm>
                            <a:prstGeom prst="ellipse">
                              <a:avLst/>
                            </a:prstGeom>
                            <a:solidFill>
                              <a:srgbClr val="4BACC6">
                                <a:alpha val="50000"/>
                                <a:hueOff val="0"/>
                                <a:satOff val="0"/>
                                <a:lumOff val="0"/>
                                <a:alphaOff val="0"/>
                              </a:srgbClr>
                            </a:solidFill>
                            <a:ln w="25400" cap="flat" cmpd="sng" algn="ctr">
                              <a:solidFill>
                                <a:sysClr val="window" lastClr="FFFFFF">
                                  <a:hueOff val="0"/>
                                  <a:satOff val="0"/>
                                  <a:lumOff val="0"/>
                                  <a:alphaOff val="0"/>
                                </a:sysClr>
                              </a:solidFill>
                              <a:prstDash val="solid"/>
                            </a:ln>
                            <a:effectLst/>
                          </wps:spPr>
                          <wps:txbx>
                            <w:txbxContent>
                              <w:p w:rsidR="006C26DD" w:rsidRPr="00B305A9" w:rsidRDefault="006C26DD" w:rsidP="00D02438">
                                <w:pPr>
                                  <w:rPr>
                                    <w:rFonts w:ascii="Arial" w:hAnsi="Arial" w:cs="Arial"/>
                                    <w:sz w:val="16"/>
                                    <w:szCs w:val="16"/>
                                  </w:rPr>
                                </w:pPr>
                              </w:p>
                            </w:txbxContent>
                          </wps:txbx>
                          <wps:bodyPr/>
                        </wps:wsp>
                        <wps:wsp>
                          <wps:cNvPr id="331" name="Freeform 331"/>
                          <wps:cNvSpPr/>
                          <wps:spPr>
                            <a:xfrm>
                              <a:off x="252028" y="2050294"/>
                              <a:ext cx="1152129" cy="427550"/>
                            </a:xfrm>
                            <a:custGeom>
                              <a:avLst/>
                              <a:gdLst>
                                <a:gd name="connsiteX0" fmla="*/ 0 w 1965818"/>
                                <a:gd name="connsiteY0" fmla="*/ 0 h 269853"/>
                                <a:gd name="connsiteX1" fmla="*/ 1965818 w 1965818"/>
                                <a:gd name="connsiteY1" fmla="*/ 0 h 269853"/>
                                <a:gd name="connsiteX2" fmla="*/ 1965818 w 1965818"/>
                                <a:gd name="connsiteY2" fmla="*/ 269853 h 269853"/>
                                <a:gd name="connsiteX3" fmla="*/ 0 w 1965818"/>
                                <a:gd name="connsiteY3" fmla="*/ 269853 h 269853"/>
                                <a:gd name="connsiteX4" fmla="*/ 0 w 1965818"/>
                                <a:gd name="connsiteY4" fmla="*/ 0 h 26985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65818" h="269853">
                                  <a:moveTo>
                                    <a:pt x="0" y="0"/>
                                  </a:moveTo>
                                  <a:lnTo>
                                    <a:pt x="1965818" y="0"/>
                                  </a:lnTo>
                                  <a:lnTo>
                                    <a:pt x="1965818" y="269853"/>
                                  </a:lnTo>
                                  <a:lnTo>
                                    <a:pt x="0" y="269853"/>
                                  </a:lnTo>
                                  <a:lnTo>
                                    <a:pt x="0" y="0"/>
                                  </a:lnTo>
                                  <a:close/>
                                </a:path>
                              </a:pathLst>
                            </a:custGeom>
                            <a:noFill/>
                            <a:ln>
                              <a:noFill/>
                            </a:ln>
                            <a:effectLst/>
                            <a:sp3d/>
                          </wps:spPr>
                          <wps:txbx>
                            <w:txbxContent>
                              <w:p w:rsidR="006C26DD" w:rsidRPr="00B305A9" w:rsidRDefault="006C26DD" w:rsidP="00D02438">
                                <w:pPr>
                                  <w:pStyle w:val="NormalWeb"/>
                                  <w:spacing w:before="0" w:beforeAutospacing="0" w:after="84" w:line="216" w:lineRule="auto"/>
                                  <w:jc w:val="center"/>
                                  <w:textAlignment w:val="baseline"/>
                                  <w:rPr>
                                    <w:rFonts w:ascii="Arial" w:hAnsi="Arial" w:cs="Arial"/>
                                    <w:sz w:val="16"/>
                                    <w:szCs w:val="16"/>
                                  </w:rPr>
                                </w:pPr>
                                <w:r w:rsidRPr="00B305A9">
                                  <w:rPr>
                                    <w:rFonts w:ascii="Arial" w:hAnsi="Arial" w:cs="Arial"/>
                                    <w:b/>
                                    <w:bCs/>
                                    <w:color w:val="000000" w:themeColor="text1"/>
                                    <w:kern w:val="24"/>
                                    <w:sz w:val="16"/>
                                    <w:szCs w:val="16"/>
                                    <w:lang w:val="en-US"/>
                                  </w:rPr>
                                  <w:t xml:space="preserve">Food and Agriculture </w:t>
                                </w:r>
                              </w:p>
                            </w:txbxContent>
                          </wps:txbx>
                          <wps:bodyPr spcFirstLastPara="0" vert="horz" wrap="square" lIns="0" tIns="0" rIns="0" bIns="0" numCol="1" spcCol="1270" anchor="ctr" anchorCtr="0">
                            <a:noAutofit/>
                          </wps:bodyPr>
                        </wps:wsp>
                      </wpg:grpSp>
                      <wpg:grpSp>
                        <wpg:cNvPr id="332" name="Group 332"/>
                        <wpg:cNvGrpSpPr/>
                        <wpg:grpSpPr>
                          <a:xfrm>
                            <a:off x="3186354" y="1333436"/>
                            <a:ext cx="2034227" cy="1890210"/>
                            <a:chOff x="3186354" y="1333436"/>
                            <a:chExt cx="2034227" cy="1890210"/>
                          </a:xfrm>
                        </wpg:grpSpPr>
                        <wps:wsp>
                          <wps:cNvPr id="333" name="Oval 333"/>
                          <wps:cNvSpPr/>
                          <wps:spPr>
                            <a:xfrm>
                              <a:off x="3330371" y="1333436"/>
                              <a:ext cx="1890210" cy="1890210"/>
                            </a:xfrm>
                            <a:prstGeom prst="ellipse">
                              <a:avLst/>
                            </a:prstGeom>
                            <a:solidFill>
                              <a:srgbClr val="F79646">
                                <a:alpha val="50000"/>
                                <a:hueOff val="0"/>
                                <a:satOff val="0"/>
                                <a:lumOff val="0"/>
                                <a:alphaOff val="0"/>
                              </a:srgbClr>
                            </a:solidFill>
                            <a:ln w="25400" cap="flat" cmpd="sng" algn="ctr">
                              <a:solidFill>
                                <a:sysClr val="window" lastClr="FFFFFF">
                                  <a:hueOff val="0"/>
                                  <a:satOff val="0"/>
                                  <a:lumOff val="0"/>
                                  <a:alphaOff val="0"/>
                                </a:sysClr>
                              </a:solidFill>
                              <a:prstDash val="solid"/>
                            </a:ln>
                            <a:effectLst/>
                          </wps:spPr>
                          <wps:txbx>
                            <w:txbxContent>
                              <w:p w:rsidR="006C26DD" w:rsidRPr="00B305A9" w:rsidRDefault="006C26DD" w:rsidP="00D02438">
                                <w:pPr>
                                  <w:rPr>
                                    <w:rFonts w:ascii="Arial" w:hAnsi="Arial" w:cs="Arial"/>
                                    <w:sz w:val="16"/>
                                    <w:szCs w:val="16"/>
                                  </w:rPr>
                                </w:pPr>
                              </w:p>
                            </w:txbxContent>
                          </wps:txbx>
                          <wps:bodyPr/>
                        </wps:wsp>
                        <wps:wsp>
                          <wps:cNvPr id="334" name="Freeform 334"/>
                          <wps:cNvSpPr/>
                          <wps:spPr>
                            <a:xfrm>
                              <a:off x="3186354" y="2051599"/>
                              <a:ext cx="1965818" cy="333036"/>
                            </a:xfrm>
                            <a:custGeom>
                              <a:avLst/>
                              <a:gdLst>
                                <a:gd name="connsiteX0" fmla="*/ 0 w 1965818"/>
                                <a:gd name="connsiteY0" fmla="*/ 0 h 333036"/>
                                <a:gd name="connsiteX1" fmla="*/ 1965818 w 1965818"/>
                                <a:gd name="connsiteY1" fmla="*/ 0 h 333036"/>
                                <a:gd name="connsiteX2" fmla="*/ 1965818 w 1965818"/>
                                <a:gd name="connsiteY2" fmla="*/ 333036 h 333036"/>
                                <a:gd name="connsiteX3" fmla="*/ 0 w 1965818"/>
                                <a:gd name="connsiteY3" fmla="*/ 333036 h 333036"/>
                                <a:gd name="connsiteX4" fmla="*/ 0 w 1965818"/>
                                <a:gd name="connsiteY4" fmla="*/ 0 h 3330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65818" h="333036">
                                  <a:moveTo>
                                    <a:pt x="0" y="0"/>
                                  </a:moveTo>
                                  <a:lnTo>
                                    <a:pt x="1965818" y="0"/>
                                  </a:lnTo>
                                  <a:lnTo>
                                    <a:pt x="1965818" y="333036"/>
                                  </a:lnTo>
                                  <a:lnTo>
                                    <a:pt x="0" y="333036"/>
                                  </a:lnTo>
                                  <a:lnTo>
                                    <a:pt x="0" y="0"/>
                                  </a:lnTo>
                                  <a:close/>
                                </a:path>
                              </a:pathLst>
                            </a:custGeom>
                            <a:noFill/>
                            <a:ln>
                              <a:noFill/>
                            </a:ln>
                            <a:effectLst/>
                            <a:sp3d/>
                          </wps:spPr>
                          <wps:txbx>
                            <w:txbxContent>
                              <w:p w:rsidR="006C26DD" w:rsidRPr="00B305A9" w:rsidRDefault="006C26DD" w:rsidP="00D02438">
                                <w:pPr>
                                  <w:pStyle w:val="NormalWeb"/>
                                  <w:spacing w:before="0" w:beforeAutospacing="0" w:after="84" w:line="216" w:lineRule="auto"/>
                                  <w:jc w:val="center"/>
                                  <w:textAlignment w:val="baseline"/>
                                  <w:rPr>
                                    <w:rFonts w:ascii="Arial" w:hAnsi="Arial" w:cs="Arial"/>
                                    <w:sz w:val="16"/>
                                    <w:szCs w:val="16"/>
                                  </w:rPr>
                                </w:pPr>
                                <w:r w:rsidRPr="00B305A9">
                                  <w:rPr>
                                    <w:rFonts w:ascii="Arial" w:hAnsi="Arial" w:cs="Arial"/>
                                    <w:b/>
                                    <w:bCs/>
                                    <w:color w:val="000000" w:themeColor="text1"/>
                                    <w:kern w:val="24"/>
                                    <w:sz w:val="16"/>
                                    <w:szCs w:val="16"/>
                                    <w:lang w:val="en-US"/>
                                  </w:rPr>
                                  <w:t>Oil and Gas</w:t>
                                </w:r>
                              </w:p>
                            </w:txbxContent>
                          </wps:txbx>
                          <wps:bodyPr spcFirstLastPara="0" vert="horz" wrap="square" lIns="0" tIns="0" rIns="0" bIns="0" numCol="1" spcCol="1270"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19" o:spid="_x0000_s1028" style="position:absolute;margin-left:2.7pt;margin-top:8.9pt;width:321.25pt;height:215.25pt;z-index:251688960" coordsize="52205,32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">
                <v:group id="Group 320" o:spid="_x0000_s1029" style="position:absolute;left:25248;width:18902;height:18902" coordorigin="25248" coordsize="18902,18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oval id="Oval 321" o:spid="_x0000_s1030" style="position:absolute;left:25248;width:18902;height:18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50ocMA&#10;AADcAAAADwAAAGRycy9kb3ducmV2LnhtbESPQWuDQBSE74H+h+UVektWDZRgs5GkUPCQgDFtzw/3&#10;RSXuW3E3av99t1DIcZiZb5htNptOjDS41rKCeBWBIK6sbrlW8Hn5WG5AOI+ssbNMCn7IQbZ7Wmwx&#10;1XbiM42lr0WAsEtRQeN9n0rpqoYMupXtiYN3tYNBH+RQSz3gFOCmk0kUvUqDLYeFBnt6b6i6lXcT&#10;KJxv3HF98hN/T0V3OsSVLb6Uenme928gPM3+Ef5v51rBOonh70w4An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50ocMAAADcAAAADwAAAAAAAAAAAAAAAACYAgAAZHJzL2Rv&#10;d25yZXYueG1sUEsFBgAAAAAEAAQA9QAAAIgDAAAAAA==&#10;" fillcolor="#c0504d" strokecolor="white" strokeweight="2pt">
                    <v:fill opacity="32896f"/>
                    <v:textbox>
                      <w:txbxContent>
                        <w:p w:rsidR="0092743D" w:rsidRPr="00B305A9" w:rsidRDefault="0092743D" w:rsidP="00D02438">
                          <w:pPr>
                            <w:rPr>
                              <w:rFonts w:ascii="Arial" w:hAnsi="Arial" w:cs="Arial"/>
                              <w:sz w:val="16"/>
                              <w:szCs w:val="16"/>
                            </w:rPr>
                          </w:pPr>
                        </w:p>
                      </w:txbxContent>
                    </v:textbox>
                  </v:oval>
                  <v:shape id="Freeform 322" o:spid="_x0000_s1031" style="position:absolute;left:28551;top:6853;width:13141;height:4914;visibility:visible;mso-wrap-style:square;v-text-anchor:middle" coordsize="2192643,2654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H2u8MA&#10;AADcAAAADwAAAGRycy9kb3ducmV2LnhtbESPzWrDMBCE74G+g9hCbokcFUJwo4RSMBR6CHV+zou0&#10;tUytlZHUxH37qFDocZiZb5jtfvKDuFJMfWANq2UFgtgE23On4XRsFhsQKSNbHAKThh9KsN89zLZY&#10;23DjD7q2uRMFwqlGDS7nsZYyGUce0zKMxMX7DNFjLjJ20ka8FbgfpKqqtfTYc1lwONKrI/PVfnsN&#10;7+15tQnucDBsmqjWyrdNd9F6/ji9PIPINOX/8F/7zWp4Ugp+z5QjIH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H2u8MAAADcAAAADwAAAAAAAAAAAAAAAACYAgAAZHJzL2Rv&#10;d25yZXYueG1sUEsFBgAAAAAEAAQA9QAAAIgDAAAAAA==&#10;" adj="-11796480,,5400" path="m,l2192643,r,265440l,265440,,xe" filled="f" stroked="f">
                    <v:stroke joinstyle="miter"/>
                    <v:formulas/>
                    <v:path arrowok="t" o:connecttype="custom" o:connectlocs="0,0;1314145,0;1314145,491366;0,491366;0,0" o:connectangles="0,0,0,0,0" textboxrect="0,0,2192643,265440"/>
                    <v:textbox inset="0,0,0,0">
                      <w:txbxContent>
                        <w:p w:rsidR="0092743D" w:rsidRPr="00B305A9" w:rsidRDefault="0092743D" w:rsidP="00D02438">
                          <w:pPr>
                            <w:pStyle w:val="NormalWeb"/>
                            <w:spacing w:before="0" w:beforeAutospacing="0" w:after="84" w:line="216" w:lineRule="auto"/>
                            <w:jc w:val="center"/>
                            <w:textAlignment w:val="baseline"/>
                            <w:rPr>
                              <w:rFonts w:ascii="Arial" w:hAnsi="Arial" w:cs="Arial"/>
                              <w:sz w:val="16"/>
                              <w:szCs w:val="16"/>
                            </w:rPr>
                          </w:pPr>
                          <w:r w:rsidRPr="00B305A9">
                            <w:rPr>
                              <w:rFonts w:ascii="Arial" w:hAnsi="Arial" w:cs="Arial"/>
                              <w:b/>
                              <w:bCs/>
                              <w:color w:val="000000" w:themeColor="text1"/>
                              <w:kern w:val="24"/>
                              <w:sz w:val="16"/>
                              <w:szCs w:val="16"/>
                              <w:lang w:val="en-US"/>
                            </w:rPr>
                            <w:t>Mining Equipment, Technology &amp; Services (METS)</w:t>
                          </w:r>
                        </w:p>
                      </w:txbxContent>
                    </v:textbox>
                  </v:shape>
                </v:group>
                <v:group id="Group 323" o:spid="_x0000_s1032" style="position:absolute;left:16543;top:13334;width:18902;height:18902" coordorigin="16543,13334" coordsize="18902,18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oval id="Oval 324" o:spid="_x0000_s1033" style="position:absolute;left:16543;top:13334;width:18902;height:18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BNWcUA&#10;AADcAAAADwAAAGRycy9kb3ducmV2LnhtbESPQWsCMRSE74L/IbxCL1KzWhVZjSKF0hZR0JaeH5vn&#10;ZuvmJWxSd/vvG0HwOMzMN8xy3dlaXKgJlWMFo2EGgrhwuuJSwdfn69McRIjIGmvHpOCPAqxX/d4S&#10;c+1aPtDlGEuRIBxyVGBi9LmUoTBkMQydJ07eyTUWY5JNKXWDbYLbWo6zbCYtVpwWDHp6MVScj79W&#10;wdz9TAozKKvtm/+e7lv+2NWdV+rxodssQETq4j18a79rBc/jCVzPp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kE1ZxQAAANwAAAAPAAAAAAAAAAAAAAAAAJgCAABkcnMv&#10;ZG93bnJldi54bWxQSwUGAAAAAAQABAD1AAAAigMAAAAA&#10;" fillcolor="#9bbb59" strokecolor="white" strokeweight="2pt">
                    <v:fill opacity="32896f"/>
                    <v:textbox>
                      <w:txbxContent>
                        <w:p w:rsidR="0092743D" w:rsidRPr="00B305A9" w:rsidRDefault="0092743D" w:rsidP="00D02438">
                          <w:pPr>
                            <w:jc w:val="center"/>
                            <w:rPr>
                              <w:rFonts w:ascii="Arial" w:hAnsi="Arial" w:cs="Arial"/>
                              <w:sz w:val="16"/>
                              <w:szCs w:val="16"/>
                            </w:rPr>
                          </w:pPr>
                        </w:p>
                      </w:txbxContent>
                    </v:textbox>
                  </v:oval>
                  <v:shape id="Freeform 325" o:spid="_x0000_s1034" style="position:absolute;left:21314;top:19905;width:9361;height:5760;visibility:visible;mso-wrap-style:square;v-text-anchor:middle" coordsize="1965818,416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oUacMA&#10;AADcAAAADwAAAGRycy9kb3ducmV2LnhtbESP3YrCMBSE7wXfIRzBO5uqrEjXKMWfxTux7gMcmmPb&#10;3eakNLHtvr1ZELwcZuYbZrMbTC06al1lWcE8ikEQ51ZXXCj4vp1maxDOI2usLZOCP3Kw245HG0y0&#10;7flKXeYLESDsElRQet8kUrq8JIMusg1x8O62NeiDbAupW+wD3NRyEccrabDisFBiQ/uS8t/sYRT0&#10;F69d+pDV/St1+XF1yH66fabUdDKknyA8Df4dfrXPWsFy8QH/Z8IRkN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oUacMAAADcAAAADwAAAAAAAAAAAAAAAACYAgAAZHJzL2Rv&#10;d25yZXYueG1sUEsFBgAAAAAEAAQA9QAAAIgDAAAAAA==&#10;" adj="-11796480,,5400" path="m,l1965818,r,416244l,416244,,xe" filled="f" stroked="f">
                    <v:stroke joinstyle="miter"/>
                    <v:formulas/>
                    <v:path arrowok="t" o:connecttype="custom" o:connectlocs="0,0;936104,0;936104,576062;0,576062;0,0" o:connectangles="0,0,0,0,0" textboxrect="0,0,1965818,416244"/>
                    <v:textbox inset="0,0,0,0">
                      <w:txbxContent>
                        <w:p w:rsidR="0092743D" w:rsidRPr="00B305A9" w:rsidRDefault="0092743D" w:rsidP="00D02438">
                          <w:pPr>
                            <w:pStyle w:val="NormalWeb"/>
                            <w:spacing w:before="0" w:beforeAutospacing="0" w:after="84" w:line="216" w:lineRule="auto"/>
                            <w:jc w:val="center"/>
                            <w:textAlignment w:val="baseline"/>
                            <w:rPr>
                              <w:rFonts w:ascii="Arial" w:hAnsi="Arial" w:cs="Arial"/>
                              <w:sz w:val="16"/>
                              <w:szCs w:val="16"/>
                            </w:rPr>
                          </w:pPr>
                          <w:r w:rsidRPr="00B305A9">
                            <w:rPr>
                              <w:rFonts w:ascii="Arial" w:hAnsi="Arial" w:cs="Arial"/>
                              <w:b/>
                              <w:bCs/>
                              <w:color w:val="000000" w:themeColor="text1"/>
                              <w:kern w:val="24"/>
                              <w:sz w:val="16"/>
                              <w:szCs w:val="16"/>
                              <w:lang w:val="en-US"/>
                            </w:rPr>
                            <w:t>Advanced Manufacturing</w:t>
                          </w:r>
                        </w:p>
                      </w:txbxContent>
                    </v:textbox>
                  </v:shape>
                </v:group>
                <v:group id="Group 326" o:spid="_x0000_s1035" style="position:absolute;left:8028;width:18902;height:18902" coordorigin="8028" coordsize="18902,18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oval id="Oval 327" o:spid="_x0000_s1036" style="position:absolute;left:8028;width:18902;height:18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gIrcUA&#10;AADcAAAADwAAAGRycy9kb3ducmV2LnhtbESPQWvCQBSE7wX/w/KE3sxutDQ2ZhWxFkrRQ20PHh/Z&#10;ZxLMvg3ZVdN/3y0IPQ4z8w1TrAbbiiv1vnGsIU0UCOLSmYYrDd9fb5M5CB+QDbaOScMPeVgtRw8F&#10;5sbd+JOuh1CJCGGfo4Y6hC6X0pc1WfSJ64ijd3K9xRBlX0nT4y3CbSunSj1Liw3HhRo72tRUng8X&#10;qyF73XdzSR9pOque6EXtnMLtUevH8bBegAg0hP/wvf1uNMymGfydi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CAitxQAAANwAAAAPAAAAAAAAAAAAAAAAAJgCAABkcnMv&#10;ZG93bnJldi54bWxQSwUGAAAAAAQABAD1AAAAigMAAAAA&#10;" fillcolor="#8064a2" strokecolor="white" strokeweight="2pt">
                    <v:fill opacity="32896f"/>
                    <v:textbox>
                      <w:txbxContent>
                        <w:p w:rsidR="0092743D" w:rsidRPr="00B305A9" w:rsidRDefault="0092743D" w:rsidP="00D02438">
                          <w:pPr>
                            <w:rPr>
                              <w:rFonts w:ascii="Arial" w:hAnsi="Arial" w:cs="Arial"/>
                              <w:sz w:val="16"/>
                              <w:szCs w:val="16"/>
                            </w:rPr>
                          </w:pPr>
                        </w:p>
                      </w:txbxContent>
                    </v:textbox>
                  </v:oval>
                  <v:shape id="Freeform 328" o:spid="_x0000_s1037" style="position:absolute;left:12187;top:3973;width:10585;height:9753;visibility:visible;mso-wrap-style:square;v-text-anchor:middle" coordsize="1058534,8551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qbaMIA&#10;AADcAAAADwAAAGRycy9kb3ducmV2LnhtbERPTWvCQBC9F/oflil4KXVjWqREVwmC0IuHpq3gbciO&#10;m2B2NmSnMf5791Do8fG+19vJd2qkIbaBDSzmGSjiOtiWnYHvr/3LO6goyBa7wGTgRhG2m8eHNRY2&#10;XPmTxkqcSiEcCzTQiPSF1rFuyGOch544cecweJQEB6ftgNcU7judZ9lSe2w5NTTY066h+lL9egOl&#10;jEf3HPenn9Obk0NV6tzVZ2NmT1O5AiU0yb/4z/1hDbzmaW06k46A3t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uptowgAAANwAAAAPAAAAAAAAAAAAAAAAAJgCAABkcnMvZG93&#10;bnJldi54bWxQSwUGAAAAAAQABAD1AAAAhwMAAAAA&#10;" adj="-11796480,,5400" path="m,l1058534,r,855101l,855101,,xe" filled="f" stroked="f">
                    <v:stroke joinstyle="miter"/>
                    <v:formulas/>
                    <v:path arrowok="t" o:connecttype="custom" o:connectlocs="0,0;1058534,0;1058534,975323;0,975323;0,0" o:connectangles="0,0,0,0,0" textboxrect="0,0,1058534,855101"/>
                    <v:textbox inset="0,0,0,0">
                      <w:txbxContent>
                        <w:p w:rsidR="0092743D" w:rsidRPr="00B305A9" w:rsidRDefault="0092743D" w:rsidP="00D02438">
                          <w:pPr>
                            <w:pStyle w:val="NormalWeb"/>
                            <w:spacing w:before="0" w:beforeAutospacing="0" w:after="84" w:line="216" w:lineRule="auto"/>
                            <w:jc w:val="center"/>
                            <w:textAlignment w:val="baseline"/>
                            <w:rPr>
                              <w:rFonts w:ascii="Arial" w:hAnsi="Arial" w:cs="Arial"/>
                              <w:sz w:val="16"/>
                              <w:szCs w:val="16"/>
                            </w:rPr>
                          </w:pPr>
                          <w:r w:rsidRPr="00B305A9">
                            <w:rPr>
                              <w:rFonts w:ascii="Arial" w:hAnsi="Arial" w:cs="Arial"/>
                              <w:b/>
                              <w:bCs/>
                              <w:color w:val="000000" w:themeColor="text1"/>
                              <w:kern w:val="24"/>
                              <w:sz w:val="16"/>
                              <w:szCs w:val="16"/>
                              <w:lang w:val="en-US"/>
                            </w:rPr>
                            <w:t xml:space="preserve">Biotechnology and Pharmaceuticals </w:t>
                          </w:r>
                        </w:p>
                      </w:txbxContent>
                    </v:textbox>
                  </v:shape>
                </v:group>
                <v:group id="Group 329" o:spid="_x0000_s1038" style="position:absolute;top:13334;width:18902;height:18902" coordorigin=",13334" coordsize="18902,18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oval id="Oval 330" o:spid="_x0000_s1039" style="position:absolute;top:13334;width:18902;height:18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IwIcEA&#10;AADcAAAADwAAAGRycy9kb3ducmV2LnhtbERPTYvCMBC9L/gfwgjetqkriFRjEUGRxYPr7kFvYzO2&#10;oc2kNFHrvzeHBY+P973Ie9uIO3XeOFYwTlIQxIXThksFf7+bzxkIH5A1No5JwZM85MvBxwIz7R78&#10;Q/djKEUMYZ+hgiqENpPSFxVZ9IlriSN3dZ3FEGFXSt3hI4bbRn6l6VRaNBwbKmxpXVFRH29WwWEV&#10;TvXTyu3+cOnN5my+d7cWlRoN+9UcRKA+vMX/7p1WMJnE+fFMPA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iMCHBAAAA3AAAAA8AAAAAAAAAAAAAAAAAmAIAAGRycy9kb3du&#10;cmV2LnhtbFBLBQYAAAAABAAEAPUAAACGAwAAAAA=&#10;" fillcolor="#4bacc6" strokecolor="white" strokeweight="2pt">
                    <v:fill opacity="32896f"/>
                    <v:textbox>
                      <w:txbxContent>
                        <w:p w:rsidR="0092743D" w:rsidRPr="00B305A9" w:rsidRDefault="0092743D" w:rsidP="00D02438">
                          <w:pPr>
                            <w:rPr>
                              <w:rFonts w:ascii="Arial" w:hAnsi="Arial" w:cs="Arial"/>
                              <w:sz w:val="16"/>
                              <w:szCs w:val="16"/>
                            </w:rPr>
                          </w:pPr>
                        </w:p>
                      </w:txbxContent>
                    </v:textbox>
                  </v:oval>
                  <v:shape id="Freeform 331" o:spid="_x0000_s1040" style="position:absolute;left:2520;top:20502;width:11521;height:4276;visibility:visible;mso-wrap-style:square;v-text-anchor:middle" coordsize="1965818,2698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y5BcQA&#10;AADcAAAADwAAAGRycy9kb3ducmV2LnhtbESPT4vCMBTE74LfITzBi6ypFkS6RhH/sMXbqgePb5u3&#10;bbV5qU1W67c3woLHYWZ+w8wWranEjRpXWlYwGkYgiDOrS84VHA/bjykI55E1VpZJwYMcLObdzgwT&#10;be/8Tbe9z0WAsEtQQeF9nUjpsoIMuqGtiYP3axuDPsgml7rBe4CbSo6jaCINlhwWCqxpVVB22f8Z&#10;BT/2upG81IPJ6rxO66/xabNLrVL9Xrv8BOGp9e/wfzvVCuJ4BK8z4Qj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8uQXEAAAA3AAAAA8AAAAAAAAAAAAAAAAAmAIAAGRycy9k&#10;b3ducmV2LnhtbFBLBQYAAAAABAAEAPUAAACJAwAAAAA=&#10;" adj="-11796480,,5400" path="m,l1965818,r,269853l,269853,,xe" filled="f" stroked="f">
                    <v:stroke joinstyle="miter"/>
                    <v:formulas/>
                    <v:path arrowok="t" o:connecttype="custom" o:connectlocs="0,0;1152129,0;1152129,427550;0,427550;0,0" o:connectangles="0,0,0,0,0" textboxrect="0,0,1965818,269853"/>
                    <v:textbox inset="0,0,0,0">
                      <w:txbxContent>
                        <w:p w:rsidR="0092743D" w:rsidRPr="00B305A9" w:rsidRDefault="0092743D" w:rsidP="00D02438">
                          <w:pPr>
                            <w:pStyle w:val="NormalWeb"/>
                            <w:spacing w:before="0" w:beforeAutospacing="0" w:after="84" w:line="216" w:lineRule="auto"/>
                            <w:jc w:val="center"/>
                            <w:textAlignment w:val="baseline"/>
                            <w:rPr>
                              <w:rFonts w:ascii="Arial" w:hAnsi="Arial" w:cs="Arial"/>
                              <w:sz w:val="16"/>
                              <w:szCs w:val="16"/>
                            </w:rPr>
                          </w:pPr>
                          <w:r w:rsidRPr="00B305A9">
                            <w:rPr>
                              <w:rFonts w:ascii="Arial" w:hAnsi="Arial" w:cs="Arial"/>
                              <w:b/>
                              <w:bCs/>
                              <w:color w:val="000000" w:themeColor="text1"/>
                              <w:kern w:val="24"/>
                              <w:sz w:val="16"/>
                              <w:szCs w:val="16"/>
                              <w:lang w:val="en-US"/>
                            </w:rPr>
                            <w:t xml:space="preserve">Food and Agriculture </w:t>
                          </w:r>
                        </w:p>
                      </w:txbxContent>
                    </v:textbox>
                  </v:shape>
                </v:group>
                <v:group id="Group 332" o:spid="_x0000_s1041" style="position:absolute;left:31863;top:13334;width:20342;height:18902" coordorigin="31863,13334" coordsize="20342,18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v:oval id="Oval 333" o:spid="_x0000_s1042" style="position:absolute;left:33303;top:13334;width:18902;height:18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IKEr4A&#10;AADcAAAADwAAAGRycy9kb3ducmV2LnhtbESPwQrCMBBE74L/EFbwpqkWRKpRilDwJFb9gKVZ22qz&#10;KU3U+vdGEDwOM/OGWW9704gnda62rGA2jUAQF1bXXCq4nLPJEoTzyBoby6TgTQ62m+FgjYm2L87p&#10;efKlCBB2CSqovG8TKV1RkUE3tS1x8K62M+iD7EqpO3wFuGnkPIoW0mDNYaHClnYVFffTwyhYZuwx&#10;4/t1Nj+k+THOF3l6Q6XGoz5dgfDU+3/4195rBXEcw/dMOAJy8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ZyChK+AAAA3AAAAA8AAAAAAAAAAAAAAAAAmAIAAGRycy9kb3ducmV2&#10;LnhtbFBLBQYAAAAABAAEAPUAAACDAwAAAAA=&#10;" fillcolor="#f79646" strokecolor="white" strokeweight="2pt">
                    <v:fill opacity="32896f"/>
                    <v:textbox>
                      <w:txbxContent>
                        <w:p w:rsidR="0092743D" w:rsidRPr="00B305A9" w:rsidRDefault="0092743D" w:rsidP="00D02438">
                          <w:pPr>
                            <w:rPr>
                              <w:rFonts w:ascii="Arial" w:hAnsi="Arial" w:cs="Arial"/>
                              <w:sz w:val="16"/>
                              <w:szCs w:val="16"/>
                            </w:rPr>
                          </w:pPr>
                        </w:p>
                      </w:txbxContent>
                    </v:textbox>
                  </v:oval>
                  <v:shape id="Freeform 334" o:spid="_x0000_s1043" style="position:absolute;left:31863;top:20515;width:19658;height:3331;visibility:visible;mso-wrap-style:square;v-text-anchor:middle" coordsize="1965818,3330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GHscUA&#10;AADcAAAADwAAAGRycy9kb3ducmV2LnhtbESPzWrDMBCE74G+g9hCb7Fsp4TgRjFtwdBLDvkhpbfF&#10;2trG1spIcuK+fVQo9DjMzDfMtpzNIK7kfGdZQZakIIhrqztuFJxP1XIDwgdkjYNlUvBDHsrdw2KL&#10;hbY3PtD1GBoRIewLVNCGMBZS+rolgz6xI3H0vq0zGKJ0jdQObxFuBpmn6Voa7DgutDjSe0t1f5yM&#10;AvdG05znY9oP1dcnZoeQX+xeqafH+fUFRKA5/If/2h9awWr1DL9n4hGQu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4YexxQAAANwAAAAPAAAAAAAAAAAAAAAAAJgCAABkcnMv&#10;ZG93bnJldi54bWxQSwUGAAAAAAQABAD1AAAAigMAAAAA&#10;" adj="-11796480,,5400" path="m,l1965818,r,333036l,333036,,xe" filled="f" stroked="f">
                    <v:stroke joinstyle="miter"/>
                    <v:formulas/>
                    <v:path arrowok="t" o:connecttype="custom" o:connectlocs="0,0;1965818,0;1965818,333036;0,333036;0,0" o:connectangles="0,0,0,0,0" textboxrect="0,0,1965818,333036"/>
                    <v:textbox inset="0,0,0,0">
                      <w:txbxContent>
                        <w:p w:rsidR="0092743D" w:rsidRPr="00B305A9" w:rsidRDefault="0092743D" w:rsidP="00D02438">
                          <w:pPr>
                            <w:pStyle w:val="NormalWeb"/>
                            <w:spacing w:before="0" w:beforeAutospacing="0" w:after="84" w:line="216" w:lineRule="auto"/>
                            <w:jc w:val="center"/>
                            <w:textAlignment w:val="baseline"/>
                            <w:rPr>
                              <w:rFonts w:ascii="Arial" w:hAnsi="Arial" w:cs="Arial"/>
                              <w:sz w:val="16"/>
                              <w:szCs w:val="16"/>
                            </w:rPr>
                          </w:pPr>
                          <w:r w:rsidRPr="00B305A9">
                            <w:rPr>
                              <w:rFonts w:ascii="Arial" w:hAnsi="Arial" w:cs="Arial"/>
                              <w:b/>
                              <w:bCs/>
                              <w:color w:val="000000" w:themeColor="text1"/>
                              <w:kern w:val="24"/>
                              <w:sz w:val="16"/>
                              <w:szCs w:val="16"/>
                              <w:lang w:val="en-US"/>
                            </w:rPr>
                            <w:t>Oil and Gas</w:t>
                          </w:r>
                        </w:p>
                      </w:txbxContent>
                    </v:textbox>
                  </v:shape>
                </v:group>
                <w10:wrap type="topAndBottom"/>
              </v:group>
            </w:pict>
          </mc:Fallback>
        </mc:AlternateContent>
      </w:r>
      <w:r w:rsidR="00D02438" w:rsidRPr="00A83CF7">
        <w:t>Historically</w:t>
      </w:r>
      <w:r w:rsidR="00D02438" w:rsidRPr="00D02438">
        <w:t xml:space="preserve">, </w:t>
      </w:r>
      <w:r w:rsidR="00F84CD4">
        <w:t xml:space="preserve">the </w:t>
      </w:r>
      <w:r w:rsidR="00D02438" w:rsidRPr="00D02438">
        <w:t>ABS has led the way in identifying user needs for statistics in a particular field and developing statistical data collection strategies to meet these needs.</w:t>
      </w:r>
      <w:r w:rsidR="00472A51">
        <w:t xml:space="preserve"> </w:t>
      </w:r>
      <w:r w:rsidR="00D02438" w:rsidRPr="00D02438">
        <w:t xml:space="preserve">In 2006, the National Statistical Service, led by the ABS, released an </w:t>
      </w:r>
      <w:r w:rsidR="00290F43" w:rsidRPr="00D02438">
        <w:t xml:space="preserve">information development plan </w:t>
      </w:r>
      <w:r w:rsidR="00D02438" w:rsidRPr="00D02438">
        <w:t>(IDP) for biotechnology statistics that mapped the broad issues and i</w:t>
      </w:r>
      <w:r w:rsidR="00D021EA">
        <w:t>nformation needs for this field;</w:t>
      </w:r>
      <w:r w:rsidR="00D02438" w:rsidRPr="00D02438">
        <w:t xml:space="preserve"> an action plan to improve information</w:t>
      </w:r>
      <w:r w:rsidR="00D021EA">
        <w:t>;</w:t>
      </w:r>
      <w:r w:rsidR="00D02438" w:rsidRPr="00D02438">
        <w:t xml:space="preserve"> and a framework for the systematic improvement, integration and use of data sources (</w:t>
      </w:r>
      <w:r w:rsidR="00290F43" w:rsidRPr="00D02438">
        <w:t xml:space="preserve">National Statistical Service </w:t>
      </w:r>
      <w:r w:rsidR="00D02438" w:rsidRPr="00D02438">
        <w:t>2006). Despite this initiative, official statistics are not yet available on biotechnology</w:t>
      </w:r>
      <w:r w:rsidR="0086401A">
        <w:t>,</w:t>
      </w:r>
      <w:r w:rsidR="00D02438" w:rsidRPr="00D02438">
        <w:t xml:space="preserve"> and </w:t>
      </w:r>
      <w:r w:rsidR="00290F43" w:rsidRPr="00D02438">
        <w:t>information development plan</w:t>
      </w:r>
      <w:r w:rsidR="00290F43">
        <w:t>s</w:t>
      </w:r>
      <w:r w:rsidR="00D02438" w:rsidRPr="00D02438">
        <w:t xml:space="preserve"> have not been prepared for the other industries examined in this report.</w:t>
      </w:r>
      <w:r w:rsidR="009737E2">
        <w:t xml:space="preserve"> </w:t>
      </w:r>
    </w:p>
    <w:p w:rsidR="006E55E8" w:rsidRDefault="006E55E8" w:rsidP="00D02438">
      <w:pPr>
        <w:pStyle w:val="Text"/>
      </w:pPr>
      <w:r>
        <w:lastRenderedPageBreak/>
        <w:t>While this</w:t>
      </w:r>
      <w:r w:rsidRPr="00D02438">
        <w:t xml:space="preserve"> makes the compilation of statistics on these industries difficult and does not enable ready comparisons</w:t>
      </w:r>
      <w:r w:rsidR="00290F43">
        <w:t>,</w:t>
      </w:r>
      <w:r>
        <w:t xml:space="preserve"> we have collated a range of existing information to help provide </w:t>
      </w:r>
      <w:r w:rsidR="00A3101D">
        <w:t>some</w:t>
      </w:r>
      <w:r>
        <w:t xml:space="preserve"> context for the five industries under consideration</w:t>
      </w:r>
      <w:r w:rsidR="00B9493B">
        <w:t xml:space="preserve"> (see appendix)</w:t>
      </w:r>
      <w:r w:rsidRPr="00D02438">
        <w:t>.</w:t>
      </w:r>
    </w:p>
    <w:p w:rsidR="007E6C0E" w:rsidRDefault="00D02438" w:rsidP="00D02438">
      <w:pPr>
        <w:pStyle w:val="Text"/>
      </w:pPr>
      <w:r>
        <w:t>The i</w:t>
      </w:r>
      <w:r w:rsidRPr="00D02438">
        <w:t xml:space="preserve">nformation has been compiled from a range of sources, generally from secondary statistics </w:t>
      </w:r>
      <w:r w:rsidR="00B9493B">
        <w:t xml:space="preserve">assembled </w:t>
      </w:r>
      <w:r w:rsidRPr="00D02438">
        <w:t xml:space="preserve">by government agencies and industry analysts. </w:t>
      </w:r>
      <w:r>
        <w:t>It relies</w:t>
      </w:r>
      <w:r w:rsidRPr="00D02438">
        <w:t xml:space="preserve"> on organisation-</w:t>
      </w:r>
      <w:r>
        <w:t>level statistics</w:t>
      </w:r>
      <w:r w:rsidR="00D13C33">
        <w:t xml:space="preserve"> about</w:t>
      </w:r>
      <w:r w:rsidR="00290F43">
        <w:t xml:space="preserve"> employment, revenue</w:t>
      </w:r>
      <w:r w:rsidRPr="00D02438">
        <w:t xml:space="preserve"> and activity.</w:t>
      </w:r>
      <w:r w:rsidR="002D47D8">
        <w:t xml:space="preserve"> As well as providing a broad definition for each industry, the data set out the </w:t>
      </w:r>
      <w:r w:rsidR="00D13C33">
        <w:t xml:space="preserve">monetary </w:t>
      </w:r>
      <w:r w:rsidR="002D47D8">
        <w:t xml:space="preserve">value of each industry, its current workforce numbers, </w:t>
      </w:r>
      <w:r w:rsidR="00D13C33">
        <w:t xml:space="preserve">their </w:t>
      </w:r>
      <w:r w:rsidR="002D47D8">
        <w:t>earning</w:t>
      </w:r>
      <w:r w:rsidR="00D13C33">
        <w:t>s</w:t>
      </w:r>
      <w:r w:rsidR="002D47D8">
        <w:t xml:space="preserve">, demographic profile, </w:t>
      </w:r>
      <w:r w:rsidR="00B9493B">
        <w:t xml:space="preserve">the </w:t>
      </w:r>
      <w:r w:rsidR="002D47D8">
        <w:t xml:space="preserve">numbers of apprentices, and </w:t>
      </w:r>
      <w:r w:rsidR="00B9493B">
        <w:t xml:space="preserve">the </w:t>
      </w:r>
      <w:r w:rsidR="002D47D8">
        <w:t>educational attainment of workers.</w:t>
      </w:r>
    </w:p>
    <w:p w:rsidR="00716BBD" w:rsidRDefault="00A3101D" w:rsidP="002B55CD">
      <w:pPr>
        <w:pStyle w:val="Text"/>
        <w:ind w:right="-143"/>
      </w:pPr>
      <w:r>
        <w:t xml:space="preserve">As </w:t>
      </w:r>
      <w:r w:rsidR="00B9493B">
        <w:t xml:space="preserve">a </w:t>
      </w:r>
      <w:r>
        <w:t xml:space="preserve">clear </w:t>
      </w:r>
      <w:r w:rsidR="007E6C0E">
        <w:t xml:space="preserve">categorisation of these industries, occupations and </w:t>
      </w:r>
      <w:r w:rsidR="00946950">
        <w:t>therefore</w:t>
      </w:r>
      <w:r w:rsidR="007E6C0E">
        <w:t xml:space="preserve"> </w:t>
      </w:r>
      <w:r w:rsidR="00290F43">
        <w:t xml:space="preserve">the </w:t>
      </w:r>
      <w:r w:rsidR="00946950">
        <w:t xml:space="preserve">future </w:t>
      </w:r>
      <w:r w:rsidR="007E6C0E">
        <w:t xml:space="preserve">skills required within them is </w:t>
      </w:r>
      <w:r>
        <w:t>currently difficult to identify</w:t>
      </w:r>
      <w:r w:rsidR="00290F43">
        <w:t>,</w:t>
      </w:r>
      <w:r>
        <w:t xml:space="preserve"> this </w:t>
      </w:r>
      <w:r w:rsidR="007E6C0E">
        <w:t xml:space="preserve">creates </w:t>
      </w:r>
      <w:r>
        <w:t>further</w:t>
      </w:r>
      <w:r w:rsidR="007E6C0E">
        <w:t xml:space="preserve"> challenges for those responsible</w:t>
      </w:r>
      <w:r w:rsidR="0034046F">
        <w:t xml:space="preserve"> for data collection and analyse</w:t>
      </w:r>
      <w:r w:rsidR="007E6C0E">
        <w:t>s</w:t>
      </w:r>
      <w:r>
        <w:t>.</w:t>
      </w:r>
      <w:r w:rsidR="007E6C0E">
        <w:t xml:space="preserve"> </w:t>
      </w:r>
      <w:r w:rsidR="00B9493B">
        <w:t>A</w:t>
      </w:r>
      <w:r w:rsidR="007E6C0E">
        <w:t xml:space="preserve"> new way of</w:t>
      </w:r>
      <w:r>
        <w:t xml:space="preserve"> thinking about data collection</w:t>
      </w:r>
      <w:r w:rsidR="00B9493B">
        <w:t xml:space="preserve"> is required</w:t>
      </w:r>
      <w:r>
        <w:t xml:space="preserve">, but this will </w:t>
      </w:r>
      <w:r w:rsidR="00D13C33">
        <w:t>depend on</w:t>
      </w:r>
      <w:r w:rsidR="002B55CD">
        <w:t> </w:t>
      </w:r>
      <w:r>
        <w:t>how</w:t>
      </w:r>
      <w:r w:rsidR="00D13C33" w:rsidRPr="00D13C33">
        <w:t xml:space="preserve"> the </w:t>
      </w:r>
      <w:r w:rsidR="008759FC">
        <w:t xml:space="preserve">boundaries of the </w:t>
      </w:r>
      <w:r w:rsidR="00D13C33" w:rsidRPr="00D13C33">
        <w:t>industries and the job p</w:t>
      </w:r>
      <w:r w:rsidR="008759FC">
        <w:t>rofiles within them</w:t>
      </w:r>
      <w:r>
        <w:t xml:space="preserve"> are ultimately delineated</w:t>
      </w:r>
      <w:r w:rsidR="003A7C89">
        <w:t>.</w:t>
      </w:r>
    </w:p>
    <w:p w:rsidR="00E93CE1" w:rsidRDefault="00E93CE1" w:rsidP="003A7C89">
      <w:pPr>
        <w:pStyle w:val="Text"/>
        <w:rPr>
          <w:rFonts w:ascii="Tahoma" w:hAnsi="Tahoma" w:cs="Tahoma"/>
          <w:sz w:val="28"/>
        </w:rPr>
      </w:pPr>
    </w:p>
    <w:p w:rsidR="003A7C89" w:rsidRDefault="003A7C89">
      <w:pPr>
        <w:rPr>
          <w:rFonts w:ascii="Tahoma" w:hAnsi="Tahoma" w:cs="Tahoma"/>
          <w:color w:val="000000"/>
          <w:kern w:val="28"/>
          <w:sz w:val="56"/>
          <w:szCs w:val="56"/>
          <w:lang w:eastAsia="en-US"/>
        </w:rPr>
      </w:pPr>
      <w:r>
        <w:br w:type="page"/>
      </w:r>
    </w:p>
    <w:p w:rsidR="00F04E13" w:rsidRDefault="00CD6BBA" w:rsidP="00197D2E">
      <w:pPr>
        <w:pStyle w:val="Heading1"/>
      </w:pPr>
      <w:bookmarkStart w:id="42" w:name="_Toc398541640"/>
      <w:r>
        <w:lastRenderedPageBreak/>
        <w:t xml:space="preserve">Global value </w:t>
      </w:r>
      <w:r w:rsidRPr="00B05E9C">
        <w:t>chains</w:t>
      </w:r>
      <w:bookmarkEnd w:id="42"/>
    </w:p>
    <w:p w:rsidR="000103C0" w:rsidRPr="00B85F75" w:rsidRDefault="00F04E13" w:rsidP="00B85F75">
      <w:pPr>
        <w:pStyle w:val="Text"/>
      </w:pPr>
      <w:r>
        <w:t>The production of goods and increasingly of services now involves intermediate inputs</w:t>
      </w:r>
      <w:r w:rsidR="00CD6BBA">
        <w:t xml:space="preserve"> ― goods and </w:t>
      </w:r>
      <w:r>
        <w:t xml:space="preserve">services </w:t>
      </w:r>
      <w:r w:rsidR="00CD6BBA">
        <w:t>―</w:t>
      </w:r>
      <w:r>
        <w:t xml:space="preserve"> sourced globally</w:t>
      </w:r>
      <w:r w:rsidR="00CD6BBA">
        <w:t xml:space="preserve"> and </w:t>
      </w:r>
      <w:r w:rsidR="005E04E4">
        <w:t xml:space="preserve">which </w:t>
      </w:r>
      <w:r>
        <w:t>make up a finished output for a worldwide consumer market.</w:t>
      </w:r>
      <w:r w:rsidR="000103C0">
        <w:t xml:space="preserve"> </w:t>
      </w:r>
      <w:r>
        <w:t xml:space="preserve">This fragmentation of production has seen the emergence of a system of global supply or global value chains, referred to </w:t>
      </w:r>
      <w:r w:rsidR="00823CAB">
        <w:t>by the World Economic Forum as ‘</w:t>
      </w:r>
      <w:r>
        <w:t>the world economy’s back</w:t>
      </w:r>
      <w:r w:rsidR="00823CAB">
        <w:t xml:space="preserve">bone and central nervous system’ </w:t>
      </w:r>
      <w:r>
        <w:t>(</w:t>
      </w:r>
      <w:r w:rsidR="0034046F">
        <w:t xml:space="preserve">cited </w:t>
      </w:r>
      <w:r w:rsidR="00823CAB">
        <w:t xml:space="preserve">in </w:t>
      </w:r>
      <w:r>
        <w:t>Drake Brockman</w:t>
      </w:r>
      <w:r w:rsidR="00147CF4">
        <w:t xml:space="preserve"> </w:t>
      </w:r>
      <w:r w:rsidR="00147CF4" w:rsidRPr="00B85F75">
        <w:t>2014</w:t>
      </w:r>
      <w:r w:rsidR="0034046F" w:rsidRPr="00B85F75">
        <w:t>, p.</w:t>
      </w:r>
      <w:r w:rsidRPr="00B85F75">
        <w:t xml:space="preserve">59). </w:t>
      </w:r>
    </w:p>
    <w:p w:rsidR="00F04E13" w:rsidRDefault="00F04E13" w:rsidP="00F33814">
      <w:pPr>
        <w:pStyle w:val="Text"/>
        <w:spacing w:after="360"/>
        <w:ind w:right="0"/>
      </w:pPr>
      <w:r w:rsidRPr="00B85F75">
        <w:t xml:space="preserve">The highest </w:t>
      </w:r>
      <w:r w:rsidR="00F84CD4" w:rsidRPr="007C5CAA">
        <w:t>value-add</w:t>
      </w:r>
      <w:r w:rsidRPr="00F84CD4">
        <w:t xml:space="preserve"> </w:t>
      </w:r>
      <w:r w:rsidRPr="00B85F75">
        <w:t>may no longer be a</w:t>
      </w:r>
      <w:r>
        <w:t xml:space="preserve"> product but rather the intellectual effort </w:t>
      </w:r>
      <w:r w:rsidR="0034046F">
        <w:t xml:space="preserve">expended </w:t>
      </w:r>
      <w:r>
        <w:t xml:space="preserve">during a research and development phase or </w:t>
      </w:r>
      <w:r w:rsidR="0034046F">
        <w:t xml:space="preserve">the </w:t>
      </w:r>
      <w:r>
        <w:t>smart distribution and marketing of the goods and services. For example, the merchandise components of an iPhone represent less than a third of the value of th</w:t>
      </w:r>
      <w:r w:rsidR="0034046F">
        <w:t>e final product (Drake Brockman</w:t>
      </w:r>
      <w:r w:rsidR="00147CF4">
        <w:t xml:space="preserve"> 2014</w:t>
      </w:r>
      <w:r w:rsidR="00EE6172">
        <w:t>,</w:t>
      </w:r>
      <w:r w:rsidR="0034046F">
        <w:t xml:space="preserve"> p.</w:t>
      </w:r>
      <w:r>
        <w:t>61).</w:t>
      </w:r>
    </w:p>
    <w:tbl>
      <w:tblPr>
        <w:tblStyle w:val="TableGrid"/>
        <w:tblW w:w="878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4" w:type="dxa"/>
          <w:right w:w="284" w:type="dxa"/>
        </w:tblCellMar>
        <w:tblLook w:val="04A0" w:firstRow="1" w:lastRow="0" w:firstColumn="1" w:lastColumn="0" w:noHBand="0" w:noVBand="1"/>
      </w:tblPr>
      <w:tblGrid>
        <w:gridCol w:w="8789"/>
      </w:tblGrid>
      <w:tr w:rsidR="00B85F75" w:rsidTr="00790D0F">
        <w:tc>
          <w:tcPr>
            <w:tcW w:w="9004" w:type="dxa"/>
            <w:shd w:val="clear" w:color="auto" w:fill="1F497D" w:themeFill="text2"/>
          </w:tcPr>
          <w:p w:rsidR="00B85F75" w:rsidRDefault="00B85F75" w:rsidP="00286775">
            <w:pPr>
              <w:pStyle w:val="Tablehead1"/>
              <w:spacing w:before="120" w:after="120"/>
            </w:pPr>
            <w:r w:rsidRPr="00F33814">
              <w:rPr>
                <w:color w:val="FFFFFF" w:themeColor="background1"/>
              </w:rPr>
              <w:t>A supply chain in advanced manufacturing</w:t>
            </w:r>
          </w:p>
        </w:tc>
      </w:tr>
      <w:tr w:rsidR="00B85F75" w:rsidTr="00790D0F">
        <w:tc>
          <w:tcPr>
            <w:tcW w:w="9004" w:type="dxa"/>
            <w:tcBorders>
              <w:bottom w:val="single" w:sz="18" w:space="0" w:color="1F497D" w:themeColor="text2"/>
            </w:tcBorders>
            <w:shd w:val="clear" w:color="auto" w:fill="C6D9F1" w:themeFill="text2" w:themeFillTint="33"/>
          </w:tcPr>
          <w:p w:rsidR="00B85F75" w:rsidRPr="00BB1856" w:rsidRDefault="00B85F75" w:rsidP="00F33814">
            <w:pPr>
              <w:pStyle w:val="Tabletext"/>
              <w:spacing w:before="160" w:after="0"/>
            </w:pPr>
            <w:r w:rsidRPr="00BB1856">
              <w:t>In Tasmania, the marine manufacturing sector has been dominated by one aluminium fast ferry constructor and its highly skilled innovative supply chain. The companies in this supply chain produce a broad range of products</w:t>
            </w:r>
            <w:r>
              <w:t>,</w:t>
            </w:r>
            <w:r w:rsidRPr="00BB1856">
              <w:t xml:space="preserve"> including marine evacuation sys</w:t>
            </w:r>
            <w:r>
              <w:t>tems, rapid access passive fire-protection barriers, ride-</w:t>
            </w:r>
            <w:r w:rsidRPr="00BB1856">
              <w:t>con</w:t>
            </w:r>
            <w:r>
              <w:t>trol foils and hydraulics, wide-</w:t>
            </w:r>
            <w:r w:rsidRPr="00BB1856">
              <w:t xml:space="preserve">frequency antenna systems and anchoring winches. Companies in the supply chain have matured significantly in the past </w:t>
            </w:r>
            <w:r>
              <w:t>ten</w:t>
            </w:r>
            <w:r w:rsidRPr="00BB1856">
              <w:t xml:space="preserve"> years and many are now successful international exporters in their own right.</w:t>
            </w:r>
          </w:p>
          <w:p w:rsidR="00B85F75" w:rsidRPr="00B85F75" w:rsidRDefault="00B85F75" w:rsidP="00286775">
            <w:pPr>
              <w:pStyle w:val="Tabletext"/>
              <w:spacing w:after="120"/>
              <w:jc w:val="right"/>
            </w:pPr>
            <w:r>
              <w:t xml:space="preserve">(Tasmanian Government </w:t>
            </w:r>
            <w:r w:rsidRPr="00BB1856">
              <w:t>2014</w:t>
            </w:r>
            <w:r>
              <w:t>)</w:t>
            </w:r>
          </w:p>
        </w:tc>
      </w:tr>
    </w:tbl>
    <w:p w:rsidR="00CF3DF7" w:rsidRDefault="003C0ED1" w:rsidP="00F33814">
      <w:pPr>
        <w:pStyle w:val="Textmorebefore"/>
        <w:ind w:right="141"/>
      </w:pPr>
      <w:r w:rsidRPr="003C0ED1">
        <w:t xml:space="preserve">According to the </w:t>
      </w:r>
      <w:r w:rsidR="0034046F">
        <w:t xml:space="preserve">Organisation for Economic Co-operation and Development (OECD; </w:t>
      </w:r>
      <w:r w:rsidRPr="003C0ED1">
        <w:t>2013)</w:t>
      </w:r>
      <w:r w:rsidR="0034046F">
        <w:t>,</w:t>
      </w:r>
      <w:r w:rsidRPr="003C0ED1">
        <w:t xml:space="preserve"> the mining industry in Australia shows the highest forward participation </w:t>
      </w:r>
      <w:r>
        <w:t xml:space="preserve">potential </w:t>
      </w:r>
      <w:r w:rsidRPr="003C0ED1">
        <w:t>in global value chains, with several</w:t>
      </w:r>
      <w:r w:rsidR="00F33814">
        <w:t> </w:t>
      </w:r>
      <w:r w:rsidRPr="003C0ED1">
        <w:t>manufacturing industries only marginally involved.</w:t>
      </w:r>
      <w:r w:rsidR="00472A51">
        <w:t xml:space="preserve"> </w:t>
      </w:r>
      <w:r w:rsidR="00F04E13" w:rsidRPr="003C0ED1">
        <w:t>Australia has</w:t>
      </w:r>
      <w:r w:rsidR="00F04E13">
        <w:t xml:space="preserve"> hitherto had difficulty accessing and participating in gl</w:t>
      </w:r>
      <w:r w:rsidR="006F20AA">
        <w:t>obal and regional value chains</w:t>
      </w:r>
      <w:r w:rsidR="00CF3DF7">
        <w:t xml:space="preserve">, although training in </w:t>
      </w:r>
      <w:r w:rsidR="0086401A">
        <w:t>this area</w:t>
      </w:r>
      <w:r w:rsidR="00CF3DF7">
        <w:t xml:space="preserve"> has been readily available in the vocational education and training </w:t>
      </w:r>
      <w:r w:rsidR="0034046F">
        <w:t xml:space="preserve">(VET) </w:t>
      </w:r>
      <w:r w:rsidR="00CF3DF7">
        <w:t>system since 2004</w:t>
      </w:r>
      <w:r w:rsidR="006F20AA">
        <w:t>.</w:t>
      </w:r>
      <w:r w:rsidR="002E3401">
        <w:t xml:space="preserve"> </w:t>
      </w:r>
      <w:r w:rsidR="00F84CD4" w:rsidRPr="00F84CD4">
        <w:t>Despite Australia's geographic location, this</w:t>
      </w:r>
      <w:r w:rsidR="00F84CD4">
        <w:t xml:space="preserve"> </w:t>
      </w:r>
      <w:r w:rsidR="00CF3DF7">
        <w:t>ability to participate in global value chains needs to change to</w:t>
      </w:r>
      <w:r w:rsidR="00F33814">
        <w:t> </w:t>
      </w:r>
      <w:r w:rsidR="00CF3DF7">
        <w:t>underpin growth in manufacturing and agriculture, both major employers in Australia.</w:t>
      </w:r>
      <w:r w:rsidR="003A7C89">
        <w:t xml:space="preserve"> </w:t>
      </w:r>
    </w:p>
    <w:p w:rsidR="00F04E13" w:rsidRDefault="00CF3DF7" w:rsidP="00F04E13">
      <w:pPr>
        <w:pStyle w:val="Text"/>
      </w:pPr>
      <w:r>
        <w:t>In terms of</w:t>
      </w:r>
      <w:r w:rsidR="006F20AA">
        <w:t xml:space="preserve"> advanced manufacturing, Drake-Brockman suggests </w:t>
      </w:r>
      <w:r w:rsidR="008D67F9">
        <w:t xml:space="preserve">that </w:t>
      </w:r>
      <w:r w:rsidR="006F20AA">
        <w:t>v</w:t>
      </w:r>
      <w:r w:rsidR="00F04E13">
        <w:t>alue</w:t>
      </w:r>
      <w:r w:rsidR="00EE6172">
        <w:t>-</w:t>
      </w:r>
      <w:r w:rsidR="00F04E13">
        <w:t xml:space="preserve">chain mapping should be an essential step in developing </w:t>
      </w:r>
      <w:r w:rsidR="006F20AA">
        <w:t xml:space="preserve">an </w:t>
      </w:r>
      <w:r w:rsidR="00F04E13">
        <w:t>industry roadmap for Australia.</w:t>
      </w:r>
      <w:r w:rsidR="006F20AA">
        <w:t xml:space="preserve"> It could be used more widely to help </w:t>
      </w:r>
      <w:r w:rsidR="008D67F9">
        <w:t>policy-</w:t>
      </w:r>
      <w:r w:rsidR="006F20AA" w:rsidRPr="003C0ED1">
        <w:t>makers understand what drives competitiveness and what is needed in terms of skills development and data collection.</w:t>
      </w:r>
      <w:r w:rsidR="00F921F9" w:rsidRPr="003C0ED1">
        <w:t xml:space="preserve"> And as the OECD point</w:t>
      </w:r>
      <w:r w:rsidR="00920226" w:rsidRPr="003C0ED1">
        <w:t>s</w:t>
      </w:r>
      <w:r w:rsidR="00F921F9" w:rsidRPr="003C0ED1">
        <w:t xml:space="preserve"> out</w:t>
      </w:r>
      <w:r w:rsidR="008D67F9">
        <w:t>,</w:t>
      </w:r>
      <w:r w:rsidR="00F921F9" w:rsidRPr="003C0ED1">
        <w:t xml:space="preserve"> manufacturing today </w:t>
      </w:r>
      <w:r w:rsidR="005513D4" w:rsidRPr="003C0ED1">
        <w:t>involves</w:t>
      </w:r>
      <w:r w:rsidR="00F921F9" w:rsidRPr="003C0ED1">
        <w:t xml:space="preserve"> much more than </w:t>
      </w:r>
      <w:r w:rsidR="005513D4" w:rsidRPr="003C0ED1">
        <w:t xml:space="preserve">the </w:t>
      </w:r>
      <w:r w:rsidR="00F921F9" w:rsidRPr="003C0ED1">
        <w:t>pure production of goods</w:t>
      </w:r>
      <w:r w:rsidR="005513D4" w:rsidRPr="003C0ED1">
        <w:t>,</w:t>
      </w:r>
      <w:r w:rsidR="00F921F9" w:rsidRPr="003C0ED1">
        <w:t xml:space="preserve"> </w:t>
      </w:r>
      <w:r w:rsidR="00EE6172">
        <w:t>in that it offers</w:t>
      </w:r>
      <w:r w:rsidR="005513D4" w:rsidRPr="003C0ED1">
        <w:t xml:space="preserve"> increased opportunities in a range of </w:t>
      </w:r>
      <w:r w:rsidR="00F921F9" w:rsidRPr="003C0ED1">
        <w:t>servic</w:t>
      </w:r>
      <w:r w:rsidR="005513D4" w:rsidRPr="003C0ED1">
        <w:t>e-related and value-adding activities (such as logistics, communication and business services, development, marketing and after-sales care) i</w:t>
      </w:r>
      <w:r w:rsidR="00F921F9" w:rsidRPr="003C0ED1">
        <w:t xml:space="preserve">n </w:t>
      </w:r>
      <w:r w:rsidR="00716C53" w:rsidRPr="003C0ED1">
        <w:t>both the upstream and downstream</w:t>
      </w:r>
      <w:r w:rsidR="00F921F9" w:rsidRPr="003C0ED1">
        <w:t xml:space="preserve"> value chain</w:t>
      </w:r>
      <w:r w:rsidR="008D67F9">
        <w:t xml:space="preserve"> (OECD</w:t>
      </w:r>
      <w:r w:rsidR="005513D4" w:rsidRPr="003C0ED1">
        <w:t xml:space="preserve"> 2013)</w:t>
      </w:r>
      <w:r w:rsidR="00F921F9" w:rsidRPr="003C0ED1">
        <w:t>.</w:t>
      </w:r>
      <w:r w:rsidR="00472A51">
        <w:t xml:space="preserve"> </w:t>
      </w:r>
    </w:p>
    <w:p w:rsidR="009A5590" w:rsidRPr="009A5590" w:rsidRDefault="009A5590" w:rsidP="00144608">
      <w:pPr>
        <w:pStyle w:val="Text"/>
        <w:ind w:right="141"/>
      </w:pPr>
      <w:r>
        <w:t xml:space="preserve">Value chains have also been used </w:t>
      </w:r>
      <w:r w:rsidR="00DB54D9">
        <w:t xml:space="preserve">to conceptualise the process of </w:t>
      </w:r>
      <w:r w:rsidR="00DB54D9" w:rsidRPr="00DB54D9">
        <w:t>innovation as a sequen</w:t>
      </w:r>
      <w:r w:rsidR="00DD1D1F">
        <w:t>ce of phases</w:t>
      </w:r>
      <w:r w:rsidR="00144608">
        <w:t> </w:t>
      </w:r>
      <w:r w:rsidR="00DD1D1F">
        <w:t xml:space="preserve">involving </w:t>
      </w:r>
      <w:r w:rsidR="00DB54D9" w:rsidRPr="00DB54D9">
        <w:t>idea generation, idea development, and the diffusion of developed concepts</w:t>
      </w:r>
      <w:r w:rsidR="00147CF4">
        <w:t xml:space="preserve"> (Hansen </w:t>
      </w:r>
      <w:r w:rsidR="008D67F9">
        <w:t xml:space="preserve">&amp; </w:t>
      </w:r>
      <w:proofErr w:type="spellStart"/>
      <w:r w:rsidR="008D67F9">
        <w:t>Birkinshaw</w:t>
      </w:r>
      <w:proofErr w:type="spellEnd"/>
      <w:r w:rsidR="00147CF4">
        <w:t xml:space="preserve"> 2007</w:t>
      </w:r>
      <w:r w:rsidR="00DD1D1F">
        <w:t>)</w:t>
      </w:r>
      <w:r w:rsidR="00DB54D9" w:rsidRPr="00DB54D9">
        <w:t>.</w:t>
      </w:r>
      <w:r w:rsidR="00DB54D9">
        <w:t xml:space="preserve"> These phases call for </w:t>
      </w:r>
      <w:r w:rsidRPr="009A5590">
        <w:t>different skills and workplace approaches during different phases of industry growth</w:t>
      </w:r>
      <w:r w:rsidR="00DB54D9">
        <w:t xml:space="preserve"> and mean that enterprises and trainers need to think beyond task-specific skills. </w:t>
      </w:r>
    </w:p>
    <w:p w:rsidR="002B5DD6" w:rsidRDefault="001A6AF5" w:rsidP="00F04E13">
      <w:pPr>
        <w:pStyle w:val="Text"/>
      </w:pPr>
      <w:r>
        <w:t xml:space="preserve">A </w:t>
      </w:r>
      <w:r w:rsidR="008A295C">
        <w:t>refrain</w:t>
      </w:r>
      <w:r>
        <w:t xml:space="preserve"> in recent studies </w:t>
      </w:r>
      <w:r w:rsidR="00EE6172">
        <w:t>of</w:t>
      </w:r>
      <w:r>
        <w:t xml:space="preserve"> all five industries</w:t>
      </w:r>
      <w:r w:rsidR="008A295C">
        <w:t xml:space="preserve"> mirrors the issues described </w:t>
      </w:r>
      <w:r w:rsidR="00EE6172">
        <w:t>as</w:t>
      </w:r>
      <w:r w:rsidR="008A295C">
        <w:t xml:space="preserve"> the phenomenon of ‘</w:t>
      </w:r>
      <w:proofErr w:type="spellStart"/>
      <w:r w:rsidR="008A295C">
        <w:t>servification</w:t>
      </w:r>
      <w:proofErr w:type="spellEnd"/>
      <w:r w:rsidR="008A295C">
        <w:t xml:space="preserve">’ of manufacturing: </w:t>
      </w:r>
      <w:r w:rsidR="00F04E13">
        <w:t>development of human</w:t>
      </w:r>
      <w:r w:rsidR="008A295C">
        <w:t xml:space="preserve"> </w:t>
      </w:r>
      <w:r w:rsidR="00F04E13">
        <w:t>resources</w:t>
      </w:r>
      <w:r w:rsidR="0086401A">
        <w:t>;</w:t>
      </w:r>
      <w:r w:rsidR="00F04E13">
        <w:t xml:space="preserve"> research and innovation</w:t>
      </w:r>
      <w:r w:rsidR="0086401A">
        <w:t>;</w:t>
      </w:r>
      <w:r w:rsidR="00F04E13">
        <w:t xml:space="preserve"> provision</w:t>
      </w:r>
      <w:r w:rsidR="008A295C">
        <w:t xml:space="preserve"> </w:t>
      </w:r>
      <w:r w:rsidR="00BB5639">
        <w:t>of infrastructure,</w:t>
      </w:r>
      <w:r w:rsidR="00F04E13">
        <w:t xml:space="preserve"> especially digital infrastructure as well as logistics and transport</w:t>
      </w:r>
      <w:r w:rsidR="0086401A">
        <w:t>;</w:t>
      </w:r>
      <w:r w:rsidR="008A295C">
        <w:t xml:space="preserve"> </w:t>
      </w:r>
      <w:r w:rsidR="00F04E13">
        <w:t>regulatory efficiency to ensure an enabling environment for business</w:t>
      </w:r>
      <w:r w:rsidR="0086401A">
        <w:t>;</w:t>
      </w:r>
      <w:r w:rsidR="00F04E13">
        <w:t xml:space="preserve"> openness to</w:t>
      </w:r>
      <w:r w:rsidR="008A295C">
        <w:t xml:space="preserve"> </w:t>
      </w:r>
      <w:r w:rsidR="00F04E13">
        <w:t>trade, investment and cross-</w:t>
      </w:r>
      <w:r w:rsidR="00F04E13">
        <w:lastRenderedPageBreak/>
        <w:t>border people movement</w:t>
      </w:r>
      <w:r w:rsidR="0086401A">
        <w:t>;</w:t>
      </w:r>
      <w:r w:rsidR="00F04E13">
        <w:t xml:space="preserve"> adoption of global standards</w:t>
      </w:r>
      <w:r w:rsidR="0086401A">
        <w:t>;</w:t>
      </w:r>
      <w:r w:rsidR="008A295C">
        <w:t xml:space="preserve"> and quality assurance. These are all areas pertinent to public policy</w:t>
      </w:r>
      <w:r w:rsidR="008D67F9">
        <w:t>, and require</w:t>
      </w:r>
      <w:r w:rsidR="00706BCD">
        <w:t xml:space="preserve"> a shift in thinking about manufacturing in the context of </w:t>
      </w:r>
      <w:r w:rsidR="002B5DD6">
        <w:t>‘</w:t>
      </w:r>
      <w:r w:rsidR="00706BCD">
        <w:t>services offered and needed</w:t>
      </w:r>
      <w:r w:rsidR="002B5DD6">
        <w:t>’</w:t>
      </w:r>
      <w:r w:rsidR="00706BCD">
        <w:t xml:space="preserve"> rather than </w:t>
      </w:r>
      <w:r w:rsidR="002B5DD6">
        <w:t xml:space="preserve">manufacturing </w:t>
      </w:r>
      <w:r w:rsidR="00706BCD">
        <w:t xml:space="preserve">solely </w:t>
      </w:r>
      <w:r w:rsidR="002B5DD6">
        <w:t xml:space="preserve">as </w:t>
      </w:r>
      <w:r w:rsidR="00706BCD">
        <w:t>a technical or engineering activity</w:t>
      </w:r>
      <w:r w:rsidR="008A295C">
        <w:t xml:space="preserve">. </w:t>
      </w:r>
    </w:p>
    <w:p w:rsidR="008E24B2" w:rsidRDefault="008D67F9" w:rsidP="00F04E13">
      <w:pPr>
        <w:pStyle w:val="Text"/>
      </w:pPr>
      <w:r>
        <w:t>This report focus</w:t>
      </w:r>
      <w:r w:rsidR="002B5DD6">
        <w:t>es</w:t>
      </w:r>
      <w:r w:rsidR="008E24B2">
        <w:t xml:space="preserve"> on marshalling the right people and their ideas for the right jobs. F</w:t>
      </w:r>
      <w:r w:rsidR="00F04E13">
        <w:t>irst</w:t>
      </w:r>
      <w:r w:rsidR="008E24B2">
        <w:t xml:space="preserve">, we look at attracting new recruits, in particular young people; then we consider the skills and skill gaps of existing workers. </w:t>
      </w:r>
    </w:p>
    <w:p w:rsidR="00197D2E" w:rsidRDefault="00197D2E">
      <w:pPr>
        <w:rPr>
          <w:rFonts w:ascii="Tahoma" w:hAnsi="Tahoma" w:cs="Tahoma"/>
          <w:color w:val="000000"/>
          <w:kern w:val="28"/>
          <w:sz w:val="56"/>
          <w:szCs w:val="56"/>
          <w:lang w:eastAsia="en-US"/>
        </w:rPr>
      </w:pPr>
      <w:r>
        <w:br w:type="page"/>
      </w:r>
    </w:p>
    <w:p w:rsidR="00C4615D" w:rsidRPr="00C4615D" w:rsidRDefault="00C4615D" w:rsidP="00197D2E">
      <w:pPr>
        <w:pStyle w:val="Heading1"/>
      </w:pPr>
      <w:bookmarkStart w:id="43" w:name="_Toc398541641"/>
      <w:r w:rsidRPr="00C4615D">
        <w:lastRenderedPageBreak/>
        <w:t>Preparing entry-level workers</w:t>
      </w:r>
      <w:bookmarkEnd w:id="43"/>
    </w:p>
    <w:p w:rsidR="008E24B2" w:rsidRPr="00197D2E" w:rsidRDefault="008E24B2" w:rsidP="00144608">
      <w:pPr>
        <w:pStyle w:val="Heading2"/>
      </w:pPr>
      <w:bookmarkStart w:id="44" w:name="_Toc398541642"/>
      <w:r w:rsidRPr="00144608">
        <w:t>Schools</w:t>
      </w:r>
      <w:bookmarkEnd w:id="44"/>
    </w:p>
    <w:p w:rsidR="00534111" w:rsidRDefault="00F04E13" w:rsidP="00144608">
      <w:pPr>
        <w:pStyle w:val="Text"/>
      </w:pPr>
      <w:r>
        <w:t xml:space="preserve">According to reports on manufacturing, the mining industry and food and agriculture, there persists a negative perception of work in these </w:t>
      </w:r>
      <w:r w:rsidR="00F0796A">
        <w:t>industries</w:t>
      </w:r>
      <w:r>
        <w:t xml:space="preserve">. For example, </w:t>
      </w:r>
      <w:r w:rsidR="008E24B2">
        <w:t xml:space="preserve">a </w:t>
      </w:r>
      <w:r>
        <w:t>recent PricewaterhouseCoopers survey found</w:t>
      </w:r>
      <w:r w:rsidR="008D67F9">
        <w:t xml:space="preserve"> </w:t>
      </w:r>
      <w:r w:rsidR="00EE6172">
        <w:t xml:space="preserve">that </w:t>
      </w:r>
      <w:r w:rsidR="008D67F9">
        <w:t>14%</w:t>
      </w:r>
      <w:r w:rsidR="008E24B2">
        <w:t xml:space="preserve"> (the highest rate for all </w:t>
      </w:r>
      <w:r w:rsidR="00EA3227">
        <w:t>industries</w:t>
      </w:r>
      <w:r w:rsidR="008E24B2">
        <w:t xml:space="preserve">) of </w:t>
      </w:r>
      <w:r>
        <w:t xml:space="preserve">young people </w:t>
      </w:r>
      <w:r w:rsidR="008E24B2">
        <w:t xml:space="preserve">were discouraged by the poor image of work in the oil and gas </w:t>
      </w:r>
      <w:r w:rsidR="00EA3227">
        <w:t>industry</w:t>
      </w:r>
      <w:r w:rsidR="008E24B2">
        <w:t xml:space="preserve"> to consider</w:t>
      </w:r>
      <w:r>
        <w:t xml:space="preserve"> work in</w:t>
      </w:r>
      <w:r w:rsidR="008E24B2">
        <w:t xml:space="preserve"> </w:t>
      </w:r>
      <w:r>
        <w:t xml:space="preserve">the industry </w:t>
      </w:r>
      <w:r w:rsidR="008E24B2">
        <w:t>(</w:t>
      </w:r>
      <w:r w:rsidR="008D67F9">
        <w:t xml:space="preserve">Australian </w:t>
      </w:r>
      <w:r w:rsidR="006C26DD">
        <w:t>Workforce and Productivity</w:t>
      </w:r>
      <w:r w:rsidR="008D67F9">
        <w:t xml:space="preserve"> Agency</w:t>
      </w:r>
      <w:r w:rsidR="00A44E5E">
        <w:t xml:space="preserve"> 2013</w:t>
      </w:r>
      <w:r w:rsidR="00A475B6">
        <w:t>b</w:t>
      </w:r>
      <w:r w:rsidR="004C6F52">
        <w:t>,</w:t>
      </w:r>
      <w:r w:rsidR="00A44E5E">
        <w:t xml:space="preserve"> </w:t>
      </w:r>
      <w:r w:rsidR="008E24B2">
        <w:t>p.</w:t>
      </w:r>
      <w:r>
        <w:t>192</w:t>
      </w:r>
      <w:r w:rsidR="008E24B2">
        <w:t>).</w:t>
      </w:r>
      <w:r w:rsidR="00231485">
        <w:t xml:space="preserve"> </w:t>
      </w:r>
      <w:r w:rsidR="00534111">
        <w:t>And despite 90% of agricultural graduates finding jobs, the Australian Council of Deans of Agriculture (ACDA; 2014) has noted that career advisors are not encouraging students to take agricultural courses. The council suggests this is because the courses are not distinguished from the broader field of environmental science and management, where job outcomes are not as strong. It is therefore acting to improve information for prospective students.</w:t>
      </w:r>
    </w:p>
    <w:p w:rsidR="00F04E13" w:rsidRPr="00144608" w:rsidRDefault="008E24B2" w:rsidP="00144608">
      <w:pPr>
        <w:pStyle w:val="Text"/>
      </w:pPr>
      <w:r w:rsidRPr="00144608">
        <w:t>Similarly</w:t>
      </w:r>
      <w:r w:rsidR="004C6F52" w:rsidRPr="00144608">
        <w:t>,</w:t>
      </w:r>
      <w:r w:rsidRPr="00144608">
        <w:t xml:space="preserve"> the notion that many of these industries are male-dominated means female students do not see themselves </w:t>
      </w:r>
      <w:r w:rsidR="004C6F52" w:rsidRPr="00144608">
        <w:t xml:space="preserve">as </w:t>
      </w:r>
      <w:r w:rsidR="00A44E5E" w:rsidRPr="00144608">
        <w:t xml:space="preserve">working </w:t>
      </w:r>
      <w:r w:rsidRPr="00144608">
        <w:t xml:space="preserve">in </w:t>
      </w:r>
      <w:r w:rsidR="00EE6172" w:rsidRPr="00144608">
        <w:t>them</w:t>
      </w:r>
      <w:r w:rsidR="004C6F52" w:rsidRPr="00144608">
        <w:t xml:space="preserve"> or studying the pre</w:t>
      </w:r>
      <w:r w:rsidR="00231485" w:rsidRPr="00144608">
        <w:t>requisite STEM subjects</w:t>
      </w:r>
      <w:r w:rsidRPr="00144608">
        <w:t>. Nor</w:t>
      </w:r>
      <w:r w:rsidR="0092743D">
        <w:t>, as the PricewaterhouseCoopers survey revealed,</w:t>
      </w:r>
      <w:r w:rsidRPr="00144608">
        <w:t xml:space="preserve"> are girls (and women) well informed about the range of roles available to them (</w:t>
      </w:r>
      <w:r w:rsidR="008D67F9" w:rsidRPr="00144608">
        <w:t xml:space="preserve">Australian </w:t>
      </w:r>
      <w:r w:rsidR="006C26DD">
        <w:t>Workforce and Productivity</w:t>
      </w:r>
      <w:r w:rsidR="008D67F9" w:rsidRPr="00144608">
        <w:t xml:space="preserve"> Agency</w:t>
      </w:r>
      <w:r w:rsidR="00A44E5E" w:rsidRPr="00144608">
        <w:t xml:space="preserve"> 2013</w:t>
      </w:r>
      <w:r w:rsidR="00A475B6" w:rsidRPr="00144608">
        <w:t>b</w:t>
      </w:r>
      <w:r w:rsidR="004C6F52" w:rsidRPr="00144608">
        <w:t>,</w:t>
      </w:r>
      <w:r w:rsidR="00A44E5E" w:rsidRPr="00144608">
        <w:t xml:space="preserve"> </w:t>
      </w:r>
      <w:r w:rsidR="00534111">
        <w:t>p.14</w:t>
      </w:r>
      <w:r w:rsidRPr="00144608">
        <w:t>4).</w:t>
      </w:r>
    </w:p>
    <w:p w:rsidR="00F84CD4" w:rsidRDefault="008E24B2" w:rsidP="00144608">
      <w:pPr>
        <w:pStyle w:val="Text"/>
      </w:pPr>
      <w:r w:rsidRPr="00144608">
        <w:t>Good c</w:t>
      </w:r>
      <w:r w:rsidR="00F04E13" w:rsidRPr="00144608">
        <w:t xml:space="preserve">areer </w:t>
      </w:r>
      <w:r w:rsidRPr="00144608">
        <w:t>advice can change this</w:t>
      </w:r>
      <w:r w:rsidR="004C6F52" w:rsidRPr="00144608">
        <w:t>,</w:t>
      </w:r>
      <w:r w:rsidRPr="00144608">
        <w:t xml:space="preserve"> but the evidence su</w:t>
      </w:r>
      <w:r w:rsidR="00943822" w:rsidRPr="00144608">
        <w:t xml:space="preserve">ggests </w:t>
      </w:r>
      <w:r w:rsidR="004C6F52" w:rsidRPr="00144608">
        <w:t xml:space="preserve">that </w:t>
      </w:r>
      <w:r w:rsidR="00943822" w:rsidRPr="00144608">
        <w:t>this must be done early. It involves parents, teachers and career counsellors, who in turn need to better understand the range of opportunities available to young people</w:t>
      </w:r>
      <w:r w:rsidR="00231485" w:rsidRPr="00144608">
        <w:t xml:space="preserve"> both in the labour market and within the range of tertiary education</w:t>
      </w:r>
      <w:r w:rsidR="00D91A42">
        <w:t xml:space="preserve"> provision</w:t>
      </w:r>
      <w:r w:rsidR="00231485" w:rsidRPr="00144608">
        <w:t>.</w:t>
      </w:r>
      <w:r w:rsidR="002403D2" w:rsidRPr="00144608">
        <w:t xml:space="preserve"> In addition, expo</w:t>
      </w:r>
      <w:r w:rsidR="004C6F52" w:rsidRPr="00144608">
        <w:t>sing school students in Years 9—</w:t>
      </w:r>
      <w:r w:rsidR="002403D2" w:rsidRPr="00144608">
        <w:t xml:space="preserve">12 to a suite of options can help them </w:t>
      </w:r>
      <w:r w:rsidR="004C6F52" w:rsidRPr="00144608">
        <w:t xml:space="preserve">to </w:t>
      </w:r>
      <w:r w:rsidR="002403D2" w:rsidRPr="00144608">
        <w:t>make the right decision about their vocational pathway.</w:t>
      </w:r>
      <w:r w:rsidR="00472A51" w:rsidRPr="00144608">
        <w:t xml:space="preserve"> </w:t>
      </w:r>
      <w:r w:rsidR="004C6F52" w:rsidRPr="00144608">
        <w:t>A Group Training Australia (GTA;</w:t>
      </w:r>
      <w:r w:rsidR="005717D8" w:rsidRPr="00144608">
        <w:t xml:space="preserve"> 2014) report on the experience of group training organisations found that </w:t>
      </w:r>
      <w:r w:rsidR="002403D2" w:rsidRPr="00144608">
        <w:t>structured workplace learning and work exposure improv</w:t>
      </w:r>
      <w:r w:rsidR="005717D8" w:rsidRPr="00144608">
        <w:t>ed</w:t>
      </w:r>
      <w:r w:rsidR="002403D2" w:rsidRPr="00144608">
        <w:t xml:space="preserve"> engagement and</w:t>
      </w:r>
      <w:r w:rsidR="005717D8" w:rsidRPr="00144608">
        <w:t xml:space="preserve"> retention in school, provided </w:t>
      </w:r>
      <w:r w:rsidR="002403D2" w:rsidRPr="00144608">
        <w:t>an understanding of the vocational</w:t>
      </w:r>
      <w:r w:rsidR="005717D8" w:rsidRPr="00144608">
        <w:t xml:space="preserve"> pathways available and the nature of possible occupations, encouraged</w:t>
      </w:r>
      <w:r w:rsidR="002403D2" w:rsidRPr="00144608">
        <w:t xml:space="preserve"> the development of ‘employ</w:t>
      </w:r>
      <w:r w:rsidR="005717D8" w:rsidRPr="00144608">
        <w:t>ability’ skills, and improved</w:t>
      </w:r>
      <w:r w:rsidR="002403D2" w:rsidRPr="00144608">
        <w:t xml:space="preserve"> numeracy and literacy skills.</w:t>
      </w:r>
      <w:r w:rsidR="005717D8" w:rsidRPr="00144608">
        <w:t xml:space="preserve"> </w:t>
      </w:r>
      <w:r w:rsidR="00F84CD4" w:rsidRPr="00680ED5">
        <w:t>The report reiterates the importance of strong collaboration between schools and employers in VET in Schools programs. It also points out the need for a change in the attitude in many schools</w:t>
      </w:r>
      <w:r w:rsidR="00D91A42">
        <w:t xml:space="preserve"> —</w:t>
      </w:r>
      <w:r w:rsidR="00F84CD4" w:rsidRPr="00680ED5">
        <w:t xml:space="preserve"> that VET pathways are a second-best option</w:t>
      </w:r>
      <w:r w:rsidR="00D91A42">
        <w:t xml:space="preserve"> —</w:t>
      </w:r>
      <w:r w:rsidR="00F84CD4" w:rsidRPr="00680ED5">
        <w:t xml:space="preserve"> which deters high-achieving students.</w:t>
      </w:r>
    </w:p>
    <w:p w:rsidR="00D1444A" w:rsidRDefault="002403D2" w:rsidP="00144608">
      <w:pPr>
        <w:pStyle w:val="Text"/>
      </w:pPr>
      <w:r w:rsidRPr="00144608">
        <w:t>The right career information</w:t>
      </w:r>
      <w:r w:rsidR="005717D8">
        <w:t xml:space="preserve">, along with meaningful </w:t>
      </w:r>
      <w:r>
        <w:t xml:space="preserve">work experience, </w:t>
      </w:r>
      <w:r w:rsidR="00231485">
        <w:t xml:space="preserve">is only one </w:t>
      </w:r>
      <w:r w:rsidR="00F04E13">
        <w:t>part of the picture. St</w:t>
      </w:r>
      <w:r w:rsidR="00D1444A">
        <w:t>udents also need sound literacy and numeracy</w:t>
      </w:r>
      <w:r w:rsidR="00EE6172">
        <w:t xml:space="preserve"> skills</w:t>
      </w:r>
      <w:r w:rsidR="00D1444A">
        <w:t xml:space="preserve"> as well as the aforementioned STEM skills. The </w:t>
      </w:r>
      <w:r w:rsidR="00F04E13">
        <w:t>Australian Industry Group (</w:t>
      </w:r>
      <w:proofErr w:type="spellStart"/>
      <w:r w:rsidR="00A44E5E">
        <w:t>AiG</w:t>
      </w:r>
      <w:proofErr w:type="spellEnd"/>
      <w:r w:rsidR="004C6F52">
        <w:t>;</w:t>
      </w:r>
      <w:r w:rsidR="00A44E5E">
        <w:t xml:space="preserve"> </w:t>
      </w:r>
      <w:r w:rsidR="00F04E13">
        <w:t xml:space="preserve">2013) </w:t>
      </w:r>
      <w:r w:rsidR="00D1444A">
        <w:t xml:space="preserve">reports that an estimated </w:t>
      </w:r>
      <w:r w:rsidR="00A44E5E">
        <w:t>75</w:t>
      </w:r>
      <w:r w:rsidR="008D67F9">
        <w:t>%</w:t>
      </w:r>
      <w:r w:rsidR="00F04E13">
        <w:t xml:space="preserve"> of the fastest growing occupations require STEM skills and knowledge.</w:t>
      </w:r>
      <w:r w:rsidR="00D1444A">
        <w:t xml:space="preserve"> </w:t>
      </w:r>
      <w:r w:rsidR="004C6F52">
        <w:t xml:space="preserve">The </w:t>
      </w:r>
      <w:r w:rsidR="00124000">
        <w:t>Chief Scientist</w:t>
      </w:r>
      <w:r w:rsidR="00D1444A">
        <w:t xml:space="preserve"> recommends that the Australian education system, formal and informal, be organised:</w:t>
      </w:r>
    </w:p>
    <w:p w:rsidR="00D1444A" w:rsidRPr="00144608" w:rsidRDefault="00C40840" w:rsidP="00C40840">
      <w:pPr>
        <w:pStyle w:val="Quote"/>
        <w:ind w:left="765" w:hanging="198"/>
      </w:pPr>
      <w:r>
        <w:t>▪</w:t>
      </w:r>
      <w:r>
        <w:tab/>
      </w:r>
      <w:proofErr w:type="gramStart"/>
      <w:r w:rsidR="00D1444A" w:rsidRPr="004C6F52">
        <w:t>first</w:t>
      </w:r>
      <w:proofErr w:type="gramEnd"/>
      <w:r w:rsidR="00D1444A" w:rsidRPr="004C6F52">
        <w:t xml:space="preserve"> to lay the </w:t>
      </w:r>
      <w:r w:rsidR="00D1444A" w:rsidRPr="00144608">
        <w:t>foundation for all Australians</w:t>
      </w:r>
    </w:p>
    <w:p w:rsidR="00D1444A" w:rsidRPr="00144608" w:rsidRDefault="00C40840" w:rsidP="00C40840">
      <w:pPr>
        <w:pStyle w:val="Quote"/>
        <w:ind w:left="765" w:hanging="198"/>
      </w:pPr>
      <w:r>
        <w:t>▪</w:t>
      </w:r>
      <w:r>
        <w:tab/>
      </w:r>
      <w:proofErr w:type="gramStart"/>
      <w:r w:rsidR="00D1444A" w:rsidRPr="00144608">
        <w:t>then</w:t>
      </w:r>
      <w:proofErr w:type="gramEnd"/>
      <w:r w:rsidR="00D1444A" w:rsidRPr="00144608">
        <w:t>, to refresh constantly a STEM literate community</w:t>
      </w:r>
    </w:p>
    <w:p w:rsidR="00D1444A" w:rsidRPr="00144608" w:rsidRDefault="00C40840" w:rsidP="00C40840">
      <w:pPr>
        <w:pStyle w:val="Quote"/>
        <w:ind w:left="765" w:hanging="198"/>
      </w:pPr>
      <w:r>
        <w:t>▪</w:t>
      </w:r>
      <w:r>
        <w:tab/>
      </w:r>
      <w:proofErr w:type="gramStart"/>
      <w:r w:rsidR="00D1444A" w:rsidRPr="00144608">
        <w:t>to</w:t>
      </w:r>
      <w:proofErr w:type="gramEnd"/>
      <w:r w:rsidR="00D1444A" w:rsidRPr="00144608">
        <w:t xml:space="preserve"> produce and regularly re</w:t>
      </w:r>
      <w:r w:rsidR="004C6F52" w:rsidRPr="00144608">
        <w:t>fresh a STEM skilled workforce —</w:t>
      </w:r>
      <w:r w:rsidR="00D1444A" w:rsidRPr="00144608">
        <w:t xml:space="preserve"> including the research workforce</w:t>
      </w:r>
    </w:p>
    <w:p w:rsidR="00124000" w:rsidRDefault="00C40840" w:rsidP="00C40840">
      <w:pPr>
        <w:pStyle w:val="Quote"/>
        <w:ind w:left="765" w:hanging="198"/>
      </w:pPr>
      <w:r>
        <w:t>▪</w:t>
      </w:r>
      <w:r>
        <w:tab/>
      </w:r>
      <w:proofErr w:type="gramStart"/>
      <w:r w:rsidR="00D1444A" w:rsidRPr="00144608">
        <w:t>to</w:t>
      </w:r>
      <w:proofErr w:type="gramEnd"/>
      <w:r w:rsidR="00D1444A" w:rsidRPr="00144608">
        <w:t xml:space="preserve"> develop proficient</w:t>
      </w:r>
      <w:r w:rsidR="00D1444A" w:rsidRPr="004C6F52">
        <w:t xml:space="preserve"> STEM practitioners in </w:t>
      </w:r>
      <w:r w:rsidR="00D1444A" w:rsidRPr="00124000">
        <w:t>suitable numbers.</w:t>
      </w:r>
    </w:p>
    <w:p w:rsidR="00D1444A" w:rsidRDefault="00124000" w:rsidP="00124000">
      <w:pPr>
        <w:pStyle w:val="Quote"/>
        <w:spacing w:before="0"/>
        <w:ind w:left="765" w:hanging="198"/>
      </w:pPr>
      <w:r>
        <w:tab/>
      </w:r>
      <w:r>
        <w:tab/>
        <w:t>(Office of the Chief Scientist 2013, p.13)</w:t>
      </w:r>
    </w:p>
    <w:p w:rsidR="00F175B8" w:rsidRPr="003C0ED1" w:rsidRDefault="00124000" w:rsidP="00144608">
      <w:pPr>
        <w:pStyle w:val="Text"/>
      </w:pPr>
      <w:r w:rsidRPr="00124000">
        <w:t>Such calls are echoed by</w:t>
      </w:r>
      <w:r w:rsidR="001D5F81" w:rsidRPr="003C0ED1">
        <w:t xml:space="preserve"> many in business. This means paying much greater attention to imparting </w:t>
      </w:r>
      <w:r w:rsidR="00BA79AF" w:rsidRPr="003C0ED1">
        <w:t xml:space="preserve">this </w:t>
      </w:r>
      <w:r w:rsidR="002B5DD6" w:rsidRPr="003C0ED1">
        <w:t xml:space="preserve">knowledge at school and </w:t>
      </w:r>
      <w:r w:rsidR="001D5F81" w:rsidRPr="003C0ED1">
        <w:t xml:space="preserve">at </w:t>
      </w:r>
      <w:r w:rsidR="002B5DD6" w:rsidRPr="003C0ED1">
        <w:t>entry</w:t>
      </w:r>
      <w:r w:rsidR="001D5F81" w:rsidRPr="003C0ED1">
        <w:t>-</w:t>
      </w:r>
      <w:r w:rsidR="002B5DD6" w:rsidRPr="003C0ED1">
        <w:t>level training</w:t>
      </w:r>
      <w:r w:rsidR="001D5F81" w:rsidRPr="003C0ED1">
        <w:t>. But this</w:t>
      </w:r>
      <w:r w:rsidR="002B5DD6" w:rsidRPr="003C0ED1">
        <w:t xml:space="preserve"> is unlikely to be sufficient</w:t>
      </w:r>
      <w:r w:rsidR="00BA79AF" w:rsidRPr="003C0ED1">
        <w:t>.</w:t>
      </w:r>
      <w:r w:rsidR="002B5DD6" w:rsidRPr="003C0ED1">
        <w:t xml:space="preserve"> </w:t>
      </w:r>
      <w:r w:rsidR="00F175B8" w:rsidRPr="003C0ED1">
        <w:t>STEM skills are dynamic and change as new tech</w:t>
      </w:r>
      <w:r w:rsidR="00EE6172">
        <w:t>nologies and systems arise and this</w:t>
      </w:r>
      <w:r w:rsidR="00F175B8" w:rsidRPr="003C0ED1">
        <w:t xml:space="preserve"> requires greater attention </w:t>
      </w:r>
      <w:r w:rsidR="00F175B8" w:rsidRPr="003C0ED1">
        <w:lastRenderedPageBreak/>
        <w:t>to</w:t>
      </w:r>
      <w:r w:rsidR="00144608">
        <w:t> </w:t>
      </w:r>
      <w:r w:rsidR="00F175B8" w:rsidRPr="003C0ED1">
        <w:t>continually refreshing STEM skills via professional development and training opportunities in the</w:t>
      </w:r>
      <w:r w:rsidR="00144608">
        <w:t> </w:t>
      </w:r>
      <w:r w:rsidR="00F175B8" w:rsidRPr="003C0ED1">
        <w:t xml:space="preserve">workplace. </w:t>
      </w:r>
    </w:p>
    <w:p w:rsidR="00A44E5E" w:rsidRPr="00144608" w:rsidRDefault="00D1444A" w:rsidP="00144608">
      <w:pPr>
        <w:pStyle w:val="Text"/>
      </w:pPr>
      <w:r>
        <w:t xml:space="preserve">The Manufacturing Skills Australia </w:t>
      </w:r>
      <w:r w:rsidR="00BA79AF">
        <w:t xml:space="preserve">(MSA) </w:t>
      </w:r>
      <w:r>
        <w:t>2014 environmental scan also notes that ‘STEM skills are the building blocks required for trade apprenticeships and are key to pursuing the high quality, high skill out</w:t>
      </w:r>
      <w:r w:rsidR="004C6F52">
        <w:t>comes manufacturing needs’ (</w:t>
      </w:r>
      <w:r>
        <w:t>2014, p.36).</w:t>
      </w:r>
      <w:r w:rsidR="009D461C" w:rsidRPr="009D461C">
        <w:t xml:space="preserve"> </w:t>
      </w:r>
      <w:r w:rsidR="009D461C">
        <w:t xml:space="preserve">However, according to a recent study </w:t>
      </w:r>
      <w:r w:rsidR="003F174D">
        <w:t>by the National C</w:t>
      </w:r>
      <w:r w:rsidR="004C6F52">
        <w:t>entre for Vocationa</w:t>
      </w:r>
      <w:r w:rsidR="003F174D">
        <w:t>l Education R</w:t>
      </w:r>
      <w:r w:rsidR="004C6F52">
        <w:t xml:space="preserve">esearch (NCVER) </w:t>
      </w:r>
      <w:r w:rsidR="004652AA">
        <w:t>that investigated</w:t>
      </w:r>
      <w:r w:rsidR="009D461C">
        <w:t xml:space="preserve"> changes in the quality of trade apprentices between 1995 </w:t>
      </w:r>
      <w:r w:rsidR="001E0DA3">
        <w:t>and 2006</w:t>
      </w:r>
      <w:r w:rsidR="009D461C">
        <w:t>, more apprentices in the later cohort ca</w:t>
      </w:r>
      <w:r w:rsidR="009D461C" w:rsidRPr="009D461C">
        <w:t>me from the bottom two quintiles in relation to mathematics and reading achievement.</w:t>
      </w:r>
      <w:r w:rsidR="009D461C">
        <w:t xml:space="preserve"> A second finding of the report is that apprentices are not only</w:t>
      </w:r>
      <w:r w:rsidR="009D461C" w:rsidRPr="009D461C">
        <w:t xml:space="preserve"> less academically inclined </w:t>
      </w:r>
      <w:r w:rsidR="009D461C">
        <w:t xml:space="preserve">but also </w:t>
      </w:r>
      <w:r w:rsidR="009D461C" w:rsidRPr="009D461C">
        <w:t xml:space="preserve">from low socioeconomic status </w:t>
      </w:r>
      <w:r w:rsidR="003F174D">
        <w:t xml:space="preserve">(SES) </w:t>
      </w:r>
      <w:r w:rsidR="009D461C" w:rsidRPr="009D461C">
        <w:t>backgrounds.</w:t>
      </w:r>
      <w:r w:rsidR="003F174D">
        <w:t xml:space="preserve"> Higher-</w:t>
      </w:r>
      <w:r w:rsidR="009D461C">
        <w:t xml:space="preserve">SES males, even with less good </w:t>
      </w:r>
      <w:r w:rsidR="009D461C" w:rsidRPr="003C0ED1">
        <w:t>academic scores</w:t>
      </w:r>
      <w:r w:rsidR="003F174D">
        <w:t>,</w:t>
      </w:r>
      <w:r w:rsidR="009D461C" w:rsidRPr="003C0ED1">
        <w:t xml:space="preserve"> are taking advantage of expanding university places (</w:t>
      </w:r>
      <w:proofErr w:type="spellStart"/>
      <w:r w:rsidR="003F174D">
        <w:t>Karmel</w:t>
      </w:r>
      <w:proofErr w:type="spellEnd"/>
      <w:r w:rsidR="003F174D">
        <w:t xml:space="preserve">, Roberts &amp; </w:t>
      </w:r>
      <w:r w:rsidR="003F174D" w:rsidRPr="00144608">
        <w:t>Lim</w:t>
      </w:r>
      <w:r w:rsidR="00696E2F" w:rsidRPr="00144608">
        <w:t xml:space="preserve"> 2014).</w:t>
      </w:r>
    </w:p>
    <w:p w:rsidR="00BA79AF" w:rsidRDefault="00BA79AF" w:rsidP="00144608">
      <w:pPr>
        <w:pStyle w:val="Text"/>
        <w:spacing w:after="360"/>
        <w:ind w:right="0"/>
      </w:pPr>
      <w:r w:rsidRPr="00144608">
        <w:t>The Department of Industry notes ‘Australian busine</w:t>
      </w:r>
      <w:r w:rsidRPr="003C0ED1">
        <w:t>sses introducing world-first innovations report much greater usage of science, research and engineering skills than less novel inno</w:t>
      </w:r>
      <w:r w:rsidR="003F174D">
        <w:t>vators’ (Department of Industry 201</w:t>
      </w:r>
      <w:r w:rsidR="00680ED5">
        <w:t>4a</w:t>
      </w:r>
      <w:r w:rsidR="003F174D">
        <w:t>). This report</w:t>
      </w:r>
      <w:r w:rsidRPr="003C0ED1">
        <w:t xml:space="preserve"> also suggest</w:t>
      </w:r>
      <w:r w:rsidR="003F174D">
        <w:t>s that</w:t>
      </w:r>
      <w:r w:rsidRPr="003C0ED1">
        <w:t xml:space="preserve"> issues about </w:t>
      </w:r>
      <w:r w:rsidR="003F174D">
        <w:t xml:space="preserve">the </w:t>
      </w:r>
      <w:r w:rsidRPr="003C0ED1">
        <w:t>supply and demand of STEM skills are complex</w:t>
      </w:r>
      <w:r w:rsidR="003F174D">
        <w:t>,</w:t>
      </w:r>
      <w:r w:rsidRPr="003C0ED1">
        <w:t xml:space="preserve"> as ‘sectors of the economy have different requirements in terms of quality and quantity of STEM </w:t>
      </w:r>
      <w:r w:rsidR="003F174D">
        <w:t>skills’ (Department of Industry</w:t>
      </w:r>
      <w:r w:rsidRPr="003C0ED1">
        <w:t xml:space="preserve"> 201</w:t>
      </w:r>
      <w:r w:rsidR="00680ED5">
        <w:t>4a</w:t>
      </w:r>
      <w:r w:rsidRPr="003C0ED1">
        <w:t>).</w:t>
      </w:r>
      <w:r>
        <w:t xml:space="preserve"> </w:t>
      </w:r>
    </w:p>
    <w:tbl>
      <w:tblPr>
        <w:tblStyle w:val="TableGrid"/>
        <w:tblW w:w="878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4" w:type="dxa"/>
          <w:right w:w="284" w:type="dxa"/>
        </w:tblCellMar>
        <w:tblLook w:val="04A0" w:firstRow="1" w:lastRow="0" w:firstColumn="1" w:lastColumn="0" w:noHBand="0" w:noVBand="1"/>
      </w:tblPr>
      <w:tblGrid>
        <w:gridCol w:w="8789"/>
      </w:tblGrid>
      <w:tr w:rsidR="00144608" w:rsidTr="00286775">
        <w:tc>
          <w:tcPr>
            <w:tcW w:w="9004" w:type="dxa"/>
            <w:shd w:val="clear" w:color="auto" w:fill="1F497D" w:themeFill="text2"/>
          </w:tcPr>
          <w:p w:rsidR="00144608" w:rsidRPr="00144608" w:rsidRDefault="00144608" w:rsidP="00286775">
            <w:pPr>
              <w:pStyle w:val="Tablehead1"/>
              <w:spacing w:before="120" w:after="120"/>
            </w:pPr>
            <w:r w:rsidRPr="00144608">
              <w:rPr>
                <w:color w:val="FFFFFF" w:themeColor="background1"/>
              </w:rPr>
              <w:t>The Office of the Chief Scientist has established a STEM Advisory Group to advise on:</w:t>
            </w:r>
          </w:p>
        </w:tc>
      </w:tr>
      <w:tr w:rsidR="00144608" w:rsidTr="00286775">
        <w:tc>
          <w:tcPr>
            <w:tcW w:w="9004" w:type="dxa"/>
            <w:tcBorders>
              <w:bottom w:val="single" w:sz="18" w:space="0" w:color="1F497D" w:themeColor="text2"/>
            </w:tcBorders>
            <w:shd w:val="clear" w:color="auto" w:fill="C6D9F1" w:themeFill="text2" w:themeFillTint="33"/>
          </w:tcPr>
          <w:p w:rsidR="00144608" w:rsidRPr="00BB1856" w:rsidRDefault="00144608" w:rsidP="00286775">
            <w:pPr>
              <w:pStyle w:val="Tabletext"/>
              <w:spacing w:before="160"/>
              <w:ind w:left="198" w:hanging="198"/>
            </w:pPr>
            <w:r>
              <w:rPr>
                <w:rFonts w:cs="Arial"/>
              </w:rPr>
              <w:t>▪</w:t>
            </w:r>
            <w:r>
              <w:tab/>
            </w:r>
            <w:r w:rsidRPr="00BB1856">
              <w:t>the means to a strategic frame</w:t>
            </w:r>
            <w:r>
              <w:t>work for building a broad, high-</w:t>
            </w:r>
            <w:r w:rsidRPr="00BB1856">
              <w:t>quality STEM base in the Australian workforce and community</w:t>
            </w:r>
          </w:p>
          <w:p w:rsidR="00144608" w:rsidRPr="00BB1856" w:rsidRDefault="00D21C2A" w:rsidP="00286775">
            <w:pPr>
              <w:pStyle w:val="Tabletext"/>
              <w:spacing w:before="0"/>
              <w:ind w:left="198" w:hanging="198"/>
            </w:pPr>
            <w:r>
              <w:rPr>
                <w:rFonts w:cs="Arial"/>
              </w:rPr>
              <w:t>▪</w:t>
            </w:r>
            <w:r>
              <w:tab/>
            </w:r>
            <w:r w:rsidR="00144608" w:rsidRPr="00BB1856">
              <w:t>priorities arising from the Office’s industry working group and education roundtables</w:t>
            </w:r>
          </w:p>
          <w:p w:rsidR="00144608" w:rsidRPr="00BB1856" w:rsidRDefault="00D21C2A" w:rsidP="00286775">
            <w:pPr>
              <w:pStyle w:val="Tabletext"/>
              <w:spacing w:before="0" w:after="0"/>
              <w:ind w:left="198" w:hanging="198"/>
            </w:pPr>
            <w:r>
              <w:rPr>
                <w:rFonts w:cs="Arial"/>
              </w:rPr>
              <w:t>▪</w:t>
            </w:r>
            <w:r>
              <w:tab/>
            </w:r>
            <w:proofErr w:type="gramStart"/>
            <w:r w:rsidR="00144608" w:rsidRPr="00BB1856">
              <w:t>a</w:t>
            </w:r>
            <w:proofErr w:type="gramEnd"/>
            <w:r w:rsidR="00144608" w:rsidRPr="00BB1856">
              <w:t xml:space="preserve"> plan to achieve best practice in STEM education in Australia canvass. </w:t>
            </w:r>
          </w:p>
          <w:p w:rsidR="00144608" w:rsidRPr="00144608" w:rsidRDefault="00144608" w:rsidP="00286775">
            <w:pPr>
              <w:pStyle w:val="Tabletext"/>
              <w:spacing w:after="120"/>
              <w:jc w:val="right"/>
            </w:pPr>
            <w:r>
              <w:t>&lt;</w:t>
            </w:r>
            <w:r w:rsidRPr="00BB1856">
              <w:t>http://www.chiefscientist.gov.au/wp-content/uploads/Terms-of-reference_</w:t>
            </w:r>
            <w:r>
              <w:br/>
            </w:r>
            <w:r w:rsidRPr="00BB1856">
              <w:t>STEM-advisory-group.pdf</w:t>
            </w:r>
            <w:r>
              <w:t>&gt;</w:t>
            </w:r>
          </w:p>
        </w:tc>
      </w:tr>
    </w:tbl>
    <w:p w:rsidR="009A5590" w:rsidRDefault="00DD1D1F" w:rsidP="00197D2E">
      <w:pPr>
        <w:pStyle w:val="Heading2"/>
      </w:pPr>
      <w:bookmarkStart w:id="45" w:name="_Toc398541643"/>
      <w:r>
        <w:t>Apprenticeships</w:t>
      </w:r>
      <w:bookmarkEnd w:id="45"/>
    </w:p>
    <w:p w:rsidR="004B766B" w:rsidRDefault="009A5590" w:rsidP="004B766B">
      <w:pPr>
        <w:pStyle w:val="Text"/>
      </w:pPr>
      <w:r w:rsidRPr="00DD1D1F">
        <w:t>The recent A</w:t>
      </w:r>
      <w:r w:rsidR="00A44E5E">
        <w:t xml:space="preserve">ustralian </w:t>
      </w:r>
      <w:r w:rsidRPr="00DD1D1F">
        <w:t>W</w:t>
      </w:r>
      <w:r w:rsidR="00A44E5E">
        <w:t xml:space="preserve">orkforce </w:t>
      </w:r>
      <w:r w:rsidR="004F7609">
        <w:t xml:space="preserve">and </w:t>
      </w:r>
      <w:r w:rsidRPr="00DD1D1F">
        <w:t>P</w:t>
      </w:r>
      <w:r w:rsidR="00A44E5E">
        <w:t xml:space="preserve">roductivity </w:t>
      </w:r>
      <w:r w:rsidRPr="00DD1D1F">
        <w:t>A</w:t>
      </w:r>
      <w:r w:rsidR="00A44E5E">
        <w:t>gency (</w:t>
      </w:r>
      <w:r w:rsidR="003F174D">
        <w:t>AWPA;</w:t>
      </w:r>
      <w:r w:rsidR="00A44E5E">
        <w:t xml:space="preserve"> 2014)</w:t>
      </w:r>
      <w:r w:rsidR="00DD1D1F">
        <w:t xml:space="preserve"> </w:t>
      </w:r>
      <w:r w:rsidR="004B766B">
        <w:t>report</w:t>
      </w:r>
      <w:r w:rsidR="00A44E5E">
        <w:t xml:space="preserve"> on the</w:t>
      </w:r>
      <w:r w:rsidR="00DD1D1F">
        <w:t xml:space="preserve"> manufacturing</w:t>
      </w:r>
      <w:r w:rsidR="004F7628">
        <w:t xml:space="preserve"> workforce </w:t>
      </w:r>
      <w:r w:rsidR="004B766B">
        <w:t xml:space="preserve">included work by </w:t>
      </w:r>
      <w:r w:rsidRPr="00DD1D1F">
        <w:t xml:space="preserve">ACIL Allen Consulting, in partnership with NCVER, </w:t>
      </w:r>
      <w:r w:rsidR="004B766B">
        <w:t>on</w:t>
      </w:r>
      <w:r w:rsidRPr="00DD1D1F">
        <w:t xml:space="preserve"> commencements and completions in engineering trade ap</w:t>
      </w:r>
      <w:r w:rsidR="004B766B">
        <w:t xml:space="preserve">prenticeships. That study </w:t>
      </w:r>
      <w:r w:rsidRPr="00DD1D1F">
        <w:t xml:space="preserve">found no single factor </w:t>
      </w:r>
      <w:r w:rsidR="00A44E5E">
        <w:t xml:space="preserve">that </w:t>
      </w:r>
      <w:r w:rsidRPr="00DD1D1F">
        <w:t>affects completion rates</w:t>
      </w:r>
      <w:r w:rsidR="004B766B">
        <w:t xml:space="preserve">. A variety of </w:t>
      </w:r>
      <w:r w:rsidR="00EE6172">
        <w:t>factors</w:t>
      </w:r>
      <w:r w:rsidR="004B766B">
        <w:t xml:space="preserve"> </w:t>
      </w:r>
      <w:r w:rsidRPr="00DD1D1F">
        <w:t>influence a student’s choice to continue or withdraw from their enginee</w:t>
      </w:r>
      <w:r w:rsidR="003F174D">
        <w:t>ring trade apprenticeship</w:t>
      </w:r>
      <w:r w:rsidR="00124000">
        <w:t>. They</w:t>
      </w:r>
      <w:r w:rsidRPr="00DD1D1F">
        <w:t xml:space="preserve"> include </w:t>
      </w:r>
      <w:r w:rsidR="003F174D">
        <w:t xml:space="preserve">the </w:t>
      </w:r>
      <w:r w:rsidRPr="00DD1D1F">
        <w:t>size and type of employer; workplace factors such as relationship with the employer; the level of apprentices’ school attainment and skills level; the quality of pre</w:t>
      </w:r>
      <w:r w:rsidRPr="00DD1D1F">
        <w:noBreakHyphen/>
        <w:t xml:space="preserve">apprenticeship recruitment; and the level of apprentice </w:t>
      </w:r>
      <w:r w:rsidR="00A44E5E">
        <w:t>and employer support. Wages are</w:t>
      </w:r>
      <w:r w:rsidRPr="00DD1D1F">
        <w:t xml:space="preserve"> </w:t>
      </w:r>
      <w:r w:rsidR="004B766B">
        <w:t>also a</w:t>
      </w:r>
      <w:r w:rsidRPr="00DD1D1F">
        <w:t xml:space="preserve"> factor, but not a deciding one. </w:t>
      </w:r>
    </w:p>
    <w:p w:rsidR="00A44E5E" w:rsidRDefault="004B766B" w:rsidP="00571A9C">
      <w:pPr>
        <w:pStyle w:val="Text"/>
      </w:pPr>
      <w:r>
        <w:t>The study suggested s</w:t>
      </w:r>
      <w:r w:rsidR="009A5590" w:rsidRPr="00DD1D1F">
        <w:t xml:space="preserve">trategies </w:t>
      </w:r>
      <w:r>
        <w:t>to raise successful completion rates:</w:t>
      </w:r>
      <w:r w:rsidR="00472A51">
        <w:t xml:space="preserve"> </w:t>
      </w:r>
      <w:r>
        <w:t>improve</w:t>
      </w:r>
      <w:r w:rsidR="009A5590" w:rsidRPr="00DD1D1F">
        <w:t xml:space="preserve"> the quality and distribution of engineering</w:t>
      </w:r>
      <w:r w:rsidR="009A5590" w:rsidRPr="00DD1D1F">
        <w:noBreakHyphen/>
        <w:t>related information to se</w:t>
      </w:r>
      <w:r>
        <w:t xml:space="preserve">condary students; strengthen </w:t>
      </w:r>
      <w:r w:rsidR="009A5590" w:rsidRPr="00DD1D1F">
        <w:t>e</w:t>
      </w:r>
      <w:r>
        <w:t>mployer and apprentice matching; streamline</w:t>
      </w:r>
      <w:r w:rsidR="009A5590" w:rsidRPr="00DD1D1F">
        <w:t xml:space="preserve"> empl</w:t>
      </w:r>
      <w:r>
        <w:t xml:space="preserve">oyer advisory services; improve </w:t>
      </w:r>
      <w:r w:rsidR="009A5590" w:rsidRPr="00DD1D1F">
        <w:t>apprentice mentoring; and better coordinat</w:t>
      </w:r>
      <w:r>
        <w:t>e</w:t>
      </w:r>
      <w:r w:rsidR="009A5590" w:rsidRPr="00DD1D1F">
        <w:t xml:space="preserve"> apprentice and employer support at the</w:t>
      </w:r>
      <w:r>
        <w:t xml:space="preserve"> </w:t>
      </w:r>
      <w:r w:rsidR="009A5590" w:rsidRPr="00DD1D1F">
        <w:t>various levels of government.</w:t>
      </w:r>
      <w:r w:rsidR="00270674">
        <w:t xml:space="preserve"> </w:t>
      </w:r>
      <w:r w:rsidR="005C3575">
        <w:t xml:space="preserve">The </w:t>
      </w:r>
      <w:r w:rsidR="008D67F9">
        <w:t xml:space="preserve">Australian </w:t>
      </w:r>
      <w:r w:rsidR="006C26DD">
        <w:t>Workforce and Productivity</w:t>
      </w:r>
      <w:r w:rsidR="008D67F9">
        <w:t xml:space="preserve"> Agency</w:t>
      </w:r>
      <w:r w:rsidR="00A7399B" w:rsidRPr="00A7399B">
        <w:t xml:space="preserve"> concluded that many of these strategies could be extended to other areas to improve </w:t>
      </w:r>
      <w:r w:rsidR="00955D1A" w:rsidRPr="00A7399B">
        <w:t>Australian Apprenticeship</w:t>
      </w:r>
      <w:r w:rsidR="00A7399B" w:rsidRPr="00A7399B">
        <w:t xml:space="preserve"> completions, including in manufacturing occupations (</w:t>
      </w:r>
      <w:r w:rsidR="008D67F9">
        <w:t xml:space="preserve">Australian </w:t>
      </w:r>
      <w:r w:rsidR="006C26DD">
        <w:t>Workforce and Productivity</w:t>
      </w:r>
      <w:r w:rsidR="008D67F9">
        <w:t xml:space="preserve"> Agency</w:t>
      </w:r>
      <w:r w:rsidR="00A7399B" w:rsidRPr="00A7399B">
        <w:t xml:space="preserve"> 2014</w:t>
      </w:r>
      <w:r w:rsidR="00734983">
        <w:t>, pp.107</w:t>
      </w:r>
      <w:r w:rsidR="005C3575">
        <w:t>—</w:t>
      </w:r>
      <w:r w:rsidR="00734983">
        <w:t>8</w:t>
      </w:r>
      <w:r w:rsidR="00A7399B" w:rsidRPr="00A7399B">
        <w:t>).</w:t>
      </w:r>
    </w:p>
    <w:p w:rsidR="00252905" w:rsidRDefault="00252905">
      <w:pPr>
        <w:rPr>
          <w:rFonts w:ascii="Trebuchet MS" w:hAnsi="Trebuchet MS"/>
          <w:sz w:val="19"/>
          <w:szCs w:val="20"/>
          <w:lang w:eastAsia="en-US"/>
        </w:rPr>
      </w:pPr>
      <w:r>
        <w:br w:type="page"/>
      </w:r>
    </w:p>
    <w:p w:rsidR="00270674" w:rsidRDefault="00270674" w:rsidP="00571A9C">
      <w:pPr>
        <w:pStyle w:val="Text"/>
      </w:pPr>
      <w:r>
        <w:lastRenderedPageBreak/>
        <w:t>Manufacturing Skills Australia</w:t>
      </w:r>
      <w:r w:rsidR="00BA79AF">
        <w:t xml:space="preserve"> </w:t>
      </w:r>
      <w:r w:rsidR="005C3575">
        <w:t xml:space="preserve">(2014, p.34) </w:t>
      </w:r>
      <w:r>
        <w:t xml:space="preserve">likewise places emphasis on help within the firm: </w:t>
      </w:r>
    </w:p>
    <w:p w:rsidR="00270674" w:rsidRDefault="00270674" w:rsidP="00252905">
      <w:pPr>
        <w:pStyle w:val="Quote"/>
      </w:pPr>
      <w:r w:rsidRPr="002E2606">
        <w:t xml:space="preserve">Employers need to be supported to </w:t>
      </w:r>
      <w:r w:rsidRPr="00252905">
        <w:t>properly</w:t>
      </w:r>
      <w:r>
        <w:t xml:space="preserve"> </w:t>
      </w:r>
      <w:r w:rsidRPr="002E2606">
        <w:t>determine what their skill needs are, and better informed in what</w:t>
      </w:r>
      <w:r>
        <w:t xml:space="preserve"> </w:t>
      </w:r>
      <w:r w:rsidRPr="002E2606">
        <w:t>the options are to meet their needs. They also need support</w:t>
      </w:r>
      <w:r>
        <w:t xml:space="preserve"> </w:t>
      </w:r>
      <w:r w:rsidRPr="002E2606">
        <w:t>in developing effective relationships with their apprentice</w:t>
      </w:r>
      <w:r w:rsidR="00A44E5E">
        <w:t>.</w:t>
      </w:r>
    </w:p>
    <w:p w:rsidR="00270674" w:rsidRDefault="00270674" w:rsidP="00376349">
      <w:pPr>
        <w:pStyle w:val="Text"/>
      </w:pPr>
      <w:r>
        <w:t xml:space="preserve">The </w:t>
      </w:r>
      <w:r w:rsidR="005C3575">
        <w:t>Manufacturing Skills Australia</w:t>
      </w:r>
      <w:r w:rsidR="00376349">
        <w:t xml:space="preserve"> </w:t>
      </w:r>
      <w:r w:rsidR="00A44E5E">
        <w:t xml:space="preserve">2014 environmental </w:t>
      </w:r>
      <w:r w:rsidR="00376349">
        <w:t xml:space="preserve">scan highlights a concern among employers about </w:t>
      </w:r>
      <w:r>
        <w:t>competency</w:t>
      </w:r>
      <w:r w:rsidR="00376349">
        <w:t>-</w:t>
      </w:r>
      <w:r>
        <w:t>based progression within a</w:t>
      </w:r>
      <w:r w:rsidR="00376349">
        <w:t>pprenticeship</w:t>
      </w:r>
      <w:r w:rsidR="005C3575">
        <w:t>s, which can see premature sign-</w:t>
      </w:r>
      <w:r w:rsidR="00376349">
        <w:t>off</w:t>
      </w:r>
      <w:r w:rsidR="00A44E5E">
        <w:t>.</w:t>
      </w:r>
      <w:r w:rsidR="00A7399B">
        <w:rPr>
          <w:rStyle w:val="FootnoteReference"/>
        </w:rPr>
        <w:footnoteReference w:id="2"/>
      </w:r>
      <w:r w:rsidR="00A44E5E">
        <w:t xml:space="preserve"> The scan </w:t>
      </w:r>
      <w:r w:rsidR="00376349">
        <w:t xml:space="preserve">also underscores the growing need for apprentices to learn how to navigate highly commercial work environments that require skills in quoting and contract negotiation and </w:t>
      </w:r>
      <w:r w:rsidR="0086401A">
        <w:t xml:space="preserve">in </w:t>
      </w:r>
      <w:r w:rsidR="00376349">
        <w:t>project and business management (p.34).</w:t>
      </w:r>
      <w:r w:rsidR="00A44E5E" w:rsidRPr="00A44E5E">
        <w:t xml:space="preserve"> </w:t>
      </w:r>
    </w:p>
    <w:p w:rsidR="00571A9C" w:rsidRDefault="005C3575" w:rsidP="00571A9C">
      <w:pPr>
        <w:pStyle w:val="Text"/>
      </w:pPr>
      <w:r>
        <w:t xml:space="preserve">As </w:t>
      </w:r>
      <w:r w:rsidR="004B766B">
        <w:t xml:space="preserve">in other </w:t>
      </w:r>
      <w:r w:rsidR="00EA3227">
        <w:t>industries</w:t>
      </w:r>
      <w:r w:rsidR="004B766B">
        <w:t xml:space="preserve">, notably mining, a prominent view is that </w:t>
      </w:r>
      <w:r w:rsidR="004F7628">
        <w:t>employers, not governments, must take the lead in determining th</w:t>
      </w:r>
      <w:r>
        <w:t>e relevance of training content</w:t>
      </w:r>
      <w:r w:rsidR="004F7628">
        <w:t xml:space="preserve"> and controlling the training process and </w:t>
      </w:r>
      <w:r w:rsidR="00EE6172">
        <w:t xml:space="preserve">the </w:t>
      </w:r>
      <w:r w:rsidR="004F7628">
        <w:t xml:space="preserve">costs associated with the apprenticeship </w:t>
      </w:r>
      <w:r w:rsidR="00270674">
        <w:t>(</w:t>
      </w:r>
      <w:r w:rsidR="008D67F9">
        <w:t xml:space="preserve">Australian </w:t>
      </w:r>
      <w:r w:rsidR="006C26DD">
        <w:t>Workforce and Productivity</w:t>
      </w:r>
      <w:r w:rsidR="008D67F9">
        <w:t xml:space="preserve"> Agency</w:t>
      </w:r>
      <w:r w:rsidR="00270674">
        <w:t xml:space="preserve"> </w:t>
      </w:r>
      <w:r w:rsidR="00EF3F79">
        <w:t>2014</w:t>
      </w:r>
      <w:r>
        <w:t>,</w:t>
      </w:r>
      <w:r w:rsidR="00EF3F79">
        <w:t xml:space="preserve"> </w:t>
      </w:r>
      <w:r w:rsidR="00270674">
        <w:t>p.</w:t>
      </w:r>
      <w:r w:rsidR="004F7628">
        <w:t>108</w:t>
      </w:r>
      <w:r w:rsidR="00571A9C">
        <w:t>)</w:t>
      </w:r>
      <w:r w:rsidR="00EE6172">
        <w:t>,</w:t>
      </w:r>
      <w:r w:rsidR="00571A9C">
        <w:t xml:space="preserve"> or as the 2013 </w:t>
      </w:r>
      <w:r w:rsidR="00BA79AF">
        <w:t xml:space="preserve">Skills </w:t>
      </w:r>
      <w:r w:rsidR="00571A9C">
        <w:t xml:space="preserve">DMC environmental scan (p.4) put it: </w:t>
      </w:r>
    </w:p>
    <w:p w:rsidR="009A5590" w:rsidRPr="00A7399B" w:rsidRDefault="00571A9C" w:rsidP="00571A9C">
      <w:pPr>
        <w:pStyle w:val="Quote"/>
      </w:pPr>
      <w:r>
        <w:t>to ensure continual productivity of an operation, there needs to be greater focus on the skilling of</w:t>
      </w:r>
      <w:r w:rsidR="00A7399B">
        <w:t xml:space="preserve"> </w:t>
      </w:r>
      <w:r>
        <w:t>a person against industry</w:t>
      </w:r>
      <w:r w:rsidR="00A7399B">
        <w:t>-</w:t>
      </w:r>
      <w:r>
        <w:t>defined competencies at a time and location that are work-place</w:t>
      </w:r>
      <w:r w:rsidR="00A7399B">
        <w:t xml:space="preserve"> </w:t>
      </w:r>
      <w:r>
        <w:t>relevant to better reflect industry need (though not at the expense of quality)</w:t>
      </w:r>
      <w:r w:rsidR="005C3575">
        <w:t>.</w:t>
      </w:r>
      <w:r>
        <w:t xml:space="preserve"> </w:t>
      </w:r>
    </w:p>
    <w:p w:rsidR="00C80C73" w:rsidRDefault="005717D8" w:rsidP="00197D2E">
      <w:pPr>
        <w:pStyle w:val="Heading2"/>
      </w:pPr>
      <w:bookmarkStart w:id="46" w:name="_Toc398541644"/>
      <w:r>
        <w:t>T</w:t>
      </w:r>
      <w:r w:rsidR="002403D2">
        <w:t>ertiary institutions</w:t>
      </w:r>
      <w:bookmarkEnd w:id="46"/>
    </w:p>
    <w:p w:rsidR="00F04E13" w:rsidRDefault="005717D8" w:rsidP="00252905">
      <w:pPr>
        <w:pStyle w:val="Text"/>
        <w:ind w:right="141"/>
      </w:pPr>
      <w:r>
        <w:t>Emplo</w:t>
      </w:r>
      <w:r w:rsidR="00F04E13">
        <w:t>yers</w:t>
      </w:r>
      <w:r>
        <w:t xml:space="preserve"> </w:t>
      </w:r>
      <w:r w:rsidR="00F04E13">
        <w:t>often complain that graduates are not job</w:t>
      </w:r>
      <w:r w:rsidR="005C3575">
        <w:t>-</w:t>
      </w:r>
      <w:r w:rsidR="00F04E13">
        <w:t xml:space="preserve">ready. This </w:t>
      </w:r>
      <w:r w:rsidR="00571A9C">
        <w:t xml:space="preserve">again </w:t>
      </w:r>
      <w:r w:rsidR="00F04E13">
        <w:t xml:space="preserve">points to a </w:t>
      </w:r>
      <w:r>
        <w:t>mismatch</w:t>
      </w:r>
      <w:r w:rsidR="00F04E13">
        <w:t xml:space="preserve"> between the content of the </w:t>
      </w:r>
      <w:r>
        <w:t>courses</w:t>
      </w:r>
      <w:r w:rsidR="00F04E13">
        <w:t xml:space="preserve"> </w:t>
      </w:r>
      <w:r w:rsidR="00A7399B">
        <w:t>students are taking</w:t>
      </w:r>
      <w:r w:rsidR="00F04E13">
        <w:t xml:space="preserve"> and industry requirements. It also suggests </w:t>
      </w:r>
      <w:r w:rsidR="005C3575">
        <w:t xml:space="preserve">that </w:t>
      </w:r>
      <w:r>
        <w:t>expectations</w:t>
      </w:r>
      <w:r w:rsidR="00F04E13">
        <w:t xml:space="preserve"> are </w:t>
      </w:r>
      <w:r w:rsidR="005C3575">
        <w:t>unrealistic</w:t>
      </w:r>
      <w:r w:rsidR="00EE6172">
        <w:t xml:space="preserve"> about what a brand-</w:t>
      </w:r>
      <w:r w:rsidR="00F04E13">
        <w:t>new worker can do. A theme in the literature is the critical role of workplace learnin</w:t>
      </w:r>
      <w:r>
        <w:t>g</w:t>
      </w:r>
      <w:r w:rsidR="00F04E13">
        <w:t xml:space="preserve"> and continuous professional development.</w:t>
      </w:r>
    </w:p>
    <w:p w:rsidR="004948C2" w:rsidRDefault="004948C2" w:rsidP="004948C2">
      <w:pPr>
        <w:pStyle w:val="Text"/>
      </w:pPr>
      <w:r>
        <w:t>Delivering the right combination of skills and attributes cannot be the job of the education provider alone, especially since we know, for example, that mid-level qualifications currently provide weak links to the labour market, except when they are related to licensing requ</w:t>
      </w:r>
      <w:r w:rsidR="00A7399B">
        <w:t>irements or regulations (</w:t>
      </w:r>
      <w:proofErr w:type="spellStart"/>
      <w:r w:rsidR="00A7399B">
        <w:t>Moodie</w:t>
      </w:r>
      <w:proofErr w:type="spellEnd"/>
      <w:r w:rsidR="00A7399B">
        <w:t xml:space="preserve"> et al. </w:t>
      </w:r>
      <w:r w:rsidR="00955D1A">
        <w:t>2013)</w:t>
      </w:r>
      <w:r>
        <w:t>, and that university graduates are not all readily finding jobs</w:t>
      </w:r>
      <w:r w:rsidR="008962C9">
        <w:t xml:space="preserve"> or, to put it another way, are not choosing the degrees that lead to the quickest employment</w:t>
      </w:r>
      <w:r w:rsidR="00A7399B">
        <w:t xml:space="preserve"> (</w:t>
      </w:r>
      <w:proofErr w:type="spellStart"/>
      <w:r w:rsidR="00A7399B">
        <w:t>McCrindle</w:t>
      </w:r>
      <w:proofErr w:type="spellEnd"/>
      <w:r w:rsidR="008962C9">
        <w:t xml:space="preserve"> 2014)</w:t>
      </w:r>
      <w:r>
        <w:t>.</w:t>
      </w:r>
    </w:p>
    <w:p w:rsidR="004948C2" w:rsidRDefault="004948C2" w:rsidP="004948C2">
      <w:pPr>
        <w:pStyle w:val="Text"/>
      </w:pPr>
      <w:proofErr w:type="spellStart"/>
      <w:r>
        <w:t>Karmel</w:t>
      </w:r>
      <w:proofErr w:type="spellEnd"/>
      <w:r w:rsidR="000109C6">
        <w:t xml:space="preserve"> (</w:t>
      </w:r>
      <w:r w:rsidR="00680ED5">
        <w:t>2009</w:t>
      </w:r>
      <w:r w:rsidR="0069351C">
        <w:t>, p.9</w:t>
      </w:r>
      <w:r w:rsidR="000109C6">
        <w:t>)</w:t>
      </w:r>
      <w:r>
        <w:t>, talking about VET</w:t>
      </w:r>
      <w:r w:rsidR="00EE51E6">
        <w:rPr>
          <w:rStyle w:val="FootnoteReference"/>
        </w:rPr>
        <w:footnoteReference w:id="3"/>
      </w:r>
      <w:r>
        <w:t xml:space="preserve"> has put it succinctly:</w:t>
      </w:r>
    </w:p>
    <w:p w:rsidR="004948C2" w:rsidRDefault="004948C2" w:rsidP="004948C2">
      <w:pPr>
        <w:pStyle w:val="Quote"/>
      </w:pPr>
      <w:r>
        <w:t>It is a mistake to think that there is a tight and deterministic relationship between VET and the labour market. VET provides skills that can be used in a variety of jobs. Most occupations, with the exception of some professions and the licensed trades, do not require particular qualifications. Similarly, training for an occupation does not imply that the training must be used only in that occupation. Much education, including VET, has a large component of generic education. This lack of a tight link partly reflects the type of society we live in and also because many</w:t>
      </w:r>
      <w:r w:rsidR="00DA71D8">
        <w:t xml:space="preserve"> skills are learned on the job —</w:t>
      </w:r>
      <w:r>
        <w:t xml:space="preserve"> skills come from both formal training and experience.</w:t>
      </w:r>
    </w:p>
    <w:p w:rsidR="00760E93" w:rsidRPr="00B34A5D" w:rsidRDefault="00760E93" w:rsidP="00B34A5D">
      <w:pPr>
        <w:pStyle w:val="Text"/>
      </w:pPr>
      <w:r>
        <w:t>This suggest</w:t>
      </w:r>
      <w:r w:rsidR="00DA71D8">
        <w:t xml:space="preserve">s that educational institutions </w:t>
      </w:r>
      <w:r>
        <w:t>should focus their efforts on preparing people for the workforce, not for a specific occupation. That said, a theme in the literature on the five industries in focus is the need for greater interaction between educational providers and employers</w:t>
      </w:r>
      <w:r w:rsidR="00DA71D8">
        <w:t>, the aim being</w:t>
      </w:r>
      <w:r>
        <w:t xml:space="preserve"> to design programs that best equip graduates</w:t>
      </w:r>
      <w:r w:rsidR="00DA71D8">
        <w:t xml:space="preserve"> for employment</w:t>
      </w:r>
      <w:r>
        <w:t xml:space="preserve">. The best of apprenticeships do this, </w:t>
      </w:r>
      <w:r w:rsidR="00EE51E6">
        <w:lastRenderedPageBreak/>
        <w:t>which</w:t>
      </w:r>
      <w:r>
        <w:t xml:space="preserve"> is</w:t>
      </w:r>
      <w:r w:rsidR="00EE51E6">
        <w:t xml:space="preserve"> confirmed</w:t>
      </w:r>
      <w:r>
        <w:t xml:space="preserve"> by </w:t>
      </w:r>
      <w:r w:rsidR="00EE51E6">
        <w:t xml:space="preserve">the </w:t>
      </w:r>
      <w:r w:rsidR="008D67F9">
        <w:t xml:space="preserve">Australian </w:t>
      </w:r>
      <w:r w:rsidR="006C26DD">
        <w:t>Workforce and Productivity</w:t>
      </w:r>
      <w:r w:rsidR="008D67F9">
        <w:t xml:space="preserve"> Agency</w:t>
      </w:r>
      <w:r>
        <w:t xml:space="preserve">’s </w:t>
      </w:r>
      <w:r w:rsidR="00DA71D8">
        <w:t>(2013</w:t>
      </w:r>
      <w:r w:rsidR="00EE51E6">
        <w:t xml:space="preserve">b, p.162) </w:t>
      </w:r>
      <w:r>
        <w:t>finding that</w:t>
      </w:r>
      <w:r w:rsidR="00EE51E6">
        <w:t>:</w:t>
      </w:r>
      <w:r>
        <w:t xml:space="preserve"> </w:t>
      </w:r>
      <w:r w:rsidR="00DA71D8">
        <w:t>‘</w:t>
      </w:r>
      <w:r>
        <w:t xml:space="preserve">many companies do not have problems sourcing workers in the skilled trades and semi-skilled occupations, either as feed-in </w:t>
      </w:r>
      <w:r w:rsidRPr="00B34A5D">
        <w:t xml:space="preserve">for internal training programs </w:t>
      </w:r>
      <w:r w:rsidR="008962C9" w:rsidRPr="00B34A5D">
        <w:t>o</w:t>
      </w:r>
      <w:r w:rsidR="00EE51E6" w:rsidRPr="00B34A5D">
        <w:t>r as already experienced hires</w:t>
      </w:r>
      <w:r w:rsidR="00DA71D8" w:rsidRPr="00B34A5D">
        <w:t>’</w:t>
      </w:r>
      <w:r w:rsidR="00EE51E6" w:rsidRPr="00B34A5D">
        <w:t>.</w:t>
      </w:r>
    </w:p>
    <w:p w:rsidR="00760E93" w:rsidRPr="00B34A5D" w:rsidRDefault="00760E93" w:rsidP="00B34A5D">
      <w:pPr>
        <w:pStyle w:val="Text"/>
      </w:pPr>
      <w:r w:rsidRPr="00B34A5D">
        <w:t>However, that report goes on to say that companies do experience difficult</w:t>
      </w:r>
      <w:r w:rsidR="000109C6" w:rsidRPr="00B34A5D">
        <w:t>ies</w:t>
      </w:r>
      <w:r w:rsidRPr="00B34A5D">
        <w:t xml:space="preserve"> in sourcing people with the advanced skills and industry experience required</w:t>
      </w:r>
      <w:r w:rsidR="00EE51E6" w:rsidRPr="00B34A5D">
        <w:t>,</w:t>
      </w:r>
      <w:r w:rsidRPr="00B34A5D">
        <w:t xml:space="preserve"> give</w:t>
      </w:r>
      <w:r w:rsidR="008962C9" w:rsidRPr="00B34A5D">
        <w:t>n</w:t>
      </w:r>
      <w:r w:rsidRPr="00B34A5D">
        <w:t xml:space="preserve"> the strict safety regimes required in the resources </w:t>
      </w:r>
      <w:r w:rsidR="00EA3227" w:rsidRPr="00B34A5D">
        <w:t>industry</w:t>
      </w:r>
      <w:r w:rsidRPr="00B34A5D">
        <w:t xml:space="preserve">. </w:t>
      </w:r>
    </w:p>
    <w:p w:rsidR="00760E93" w:rsidRDefault="00DA71D8" w:rsidP="00B34A5D">
      <w:pPr>
        <w:pStyle w:val="Text"/>
      </w:pPr>
      <w:r w:rsidRPr="00B34A5D">
        <w:t>Recent graduates i</w:t>
      </w:r>
      <w:r w:rsidR="00760E93" w:rsidRPr="00B34A5D">
        <w:t xml:space="preserve">n </w:t>
      </w:r>
      <w:r w:rsidRPr="00B34A5D">
        <w:t>biotechnolo</w:t>
      </w:r>
      <w:r>
        <w:t>gy</w:t>
      </w:r>
      <w:r w:rsidR="00760E93">
        <w:t xml:space="preserve"> can have difficulty gaining their first professional position in the industry because of their lack of experience. One solution to this </w:t>
      </w:r>
      <w:r w:rsidR="00EE51E6">
        <w:t>problem</w:t>
      </w:r>
      <w:r w:rsidR="00760E93">
        <w:t xml:space="preserve"> is through industry-based learning (IBL) programs within their courses (</w:t>
      </w:r>
      <w:r w:rsidR="00760E93" w:rsidRPr="00E34483">
        <w:t xml:space="preserve">Allen </w:t>
      </w:r>
      <w:r w:rsidR="00A475B6">
        <w:t>Consulting Grou</w:t>
      </w:r>
      <w:r w:rsidR="00760E93" w:rsidRPr="00E34483">
        <w:t>p</w:t>
      </w:r>
      <w:r w:rsidR="00A475B6">
        <w:t xml:space="preserve"> 2010</w:t>
      </w:r>
      <w:r w:rsidR="00EE51E6">
        <w:t>,</w:t>
      </w:r>
      <w:r w:rsidR="00A475B6">
        <w:t xml:space="preserve"> p.</w:t>
      </w:r>
      <w:r w:rsidR="00760E93" w:rsidRPr="00E34483">
        <w:t>19</w:t>
      </w:r>
      <w:r w:rsidR="00760E93">
        <w:t xml:space="preserve">), which according to the </w:t>
      </w:r>
      <w:hyperlink r:id="rId18" w:history="1">
        <w:r w:rsidR="00760E93" w:rsidRPr="00095DD1">
          <w:rPr>
            <w:rStyle w:val="Hyperlink"/>
          </w:rPr>
          <w:t>Swinburne University website</w:t>
        </w:r>
      </w:hyperlink>
      <w:r w:rsidR="00095DD1" w:rsidRPr="00095DD1">
        <w:rPr>
          <w:rStyle w:val="FootnoteReference"/>
        </w:rPr>
        <w:footnoteReference w:id="4"/>
      </w:r>
      <w:r w:rsidR="00760E93">
        <w:t xml:space="preserve"> give students the opportunity to: </w:t>
      </w:r>
    </w:p>
    <w:p w:rsidR="00760E93" w:rsidRPr="00C40840" w:rsidRDefault="00C40840" w:rsidP="00C40840">
      <w:pPr>
        <w:pStyle w:val="Quote"/>
        <w:ind w:left="765" w:hanging="198"/>
      </w:pPr>
      <w:r>
        <w:t>▪</w:t>
      </w:r>
      <w:r>
        <w:tab/>
      </w:r>
      <w:r w:rsidR="00760E93">
        <w:t xml:space="preserve">obtain </w:t>
      </w:r>
      <w:r w:rsidR="00760E93" w:rsidRPr="00C40840">
        <w:t>valuable industry experience and professional skills</w:t>
      </w:r>
    </w:p>
    <w:p w:rsidR="00760E93" w:rsidRPr="00C40840" w:rsidRDefault="00C40840" w:rsidP="00C40840">
      <w:pPr>
        <w:pStyle w:val="Quote"/>
        <w:ind w:left="765" w:hanging="198"/>
      </w:pPr>
      <w:r>
        <w:t>▪</w:t>
      </w:r>
      <w:r>
        <w:tab/>
      </w:r>
      <w:r w:rsidR="00760E93" w:rsidRPr="00C40840">
        <w:t>gain insight into a professional career with networks</w:t>
      </w:r>
    </w:p>
    <w:p w:rsidR="00760E93" w:rsidRPr="00C40840" w:rsidRDefault="00C40840" w:rsidP="00C40840">
      <w:pPr>
        <w:pStyle w:val="Quote"/>
        <w:ind w:left="765" w:hanging="198"/>
      </w:pPr>
      <w:r>
        <w:t>▪</w:t>
      </w:r>
      <w:r>
        <w:tab/>
      </w:r>
      <w:r w:rsidR="00760E93" w:rsidRPr="00C40840">
        <w:t>gain income while learning</w:t>
      </w:r>
    </w:p>
    <w:p w:rsidR="00760E93" w:rsidRPr="00C40840" w:rsidRDefault="00C40840" w:rsidP="00C40840">
      <w:pPr>
        <w:pStyle w:val="Quote"/>
        <w:ind w:left="765" w:hanging="198"/>
      </w:pPr>
      <w:r>
        <w:t>▪</w:t>
      </w:r>
      <w:r>
        <w:tab/>
      </w:r>
      <w:r w:rsidR="00760E93" w:rsidRPr="00C40840">
        <w:t>increase professional communication and interpersonal skills</w:t>
      </w:r>
    </w:p>
    <w:p w:rsidR="00760E93" w:rsidRPr="00C40840" w:rsidRDefault="00C40840" w:rsidP="00C40840">
      <w:pPr>
        <w:pStyle w:val="Quote"/>
        <w:ind w:left="765" w:hanging="198"/>
      </w:pPr>
      <w:r>
        <w:t>▪</w:t>
      </w:r>
      <w:r>
        <w:tab/>
      </w:r>
      <w:r w:rsidR="00760E93" w:rsidRPr="00C40840">
        <w:t xml:space="preserve">enhance motivation, confidence and maturity </w:t>
      </w:r>
    </w:p>
    <w:p w:rsidR="00760E93" w:rsidRDefault="00C40840" w:rsidP="00C40840">
      <w:pPr>
        <w:pStyle w:val="Quote"/>
        <w:ind w:left="765" w:hanging="198"/>
      </w:pPr>
      <w:r>
        <w:t>▪</w:t>
      </w:r>
      <w:r>
        <w:tab/>
      </w:r>
      <w:r w:rsidR="00760E93" w:rsidRPr="00C40840">
        <w:t>gain a head</w:t>
      </w:r>
      <w:r w:rsidR="00760E93">
        <w:t xml:space="preserve"> start in the competitive graduate job market.</w:t>
      </w:r>
    </w:p>
    <w:p w:rsidR="00760E93" w:rsidRDefault="00760E93" w:rsidP="00760E93">
      <w:pPr>
        <w:pStyle w:val="Text"/>
      </w:pPr>
      <w:r>
        <w:t xml:space="preserve">Industry-based learning comes at a cost: </w:t>
      </w:r>
    </w:p>
    <w:p w:rsidR="00760E93" w:rsidRDefault="00760E93" w:rsidP="00C40840">
      <w:pPr>
        <w:pStyle w:val="Quote"/>
      </w:pPr>
      <w:r>
        <w:t xml:space="preserve">For training providers, arranging placements and supporting students while they are on placement involves significant work as there is a strictly limited number of employers in the biotechnology industry, many of which are small businesses. For employers, there can be substantial time required to induct, </w:t>
      </w:r>
      <w:r w:rsidRPr="00C40840">
        <w:t>train</w:t>
      </w:r>
      <w:r>
        <w:t xml:space="preserve"> and supervise students on placement, together with potential occupational health and safety issues. The time-related costs are particularly significant for small businesses</w:t>
      </w:r>
      <w:r w:rsidR="00DA71D8">
        <w:t xml:space="preserve"> </w:t>
      </w:r>
      <w:r w:rsidR="00C40840">
        <w:t>…</w:t>
      </w:r>
      <w:r>
        <w:t xml:space="preserve"> For the students themselves, one training provider reported that the additional time and expense associated with IBL — which can be up to one year in duration — represents a prohibitive barrier for a number of student</w:t>
      </w:r>
      <w:r w:rsidR="00EE51E6">
        <w:t>s.</w:t>
      </w:r>
      <w:r w:rsidR="00EE51E6">
        <w:tab/>
      </w:r>
      <w:r>
        <w:t>(Allen</w:t>
      </w:r>
      <w:r w:rsidR="00BA79AF">
        <w:t xml:space="preserve"> Consulting Group</w:t>
      </w:r>
      <w:r w:rsidR="00DA71D8">
        <w:t xml:space="preserve"> 2010, p.</w:t>
      </w:r>
      <w:r w:rsidR="00EE51E6">
        <w:t>51)</w:t>
      </w:r>
    </w:p>
    <w:p w:rsidR="00A001FF" w:rsidRDefault="00760E93" w:rsidP="00EE51E6">
      <w:pPr>
        <w:pStyle w:val="Text"/>
      </w:pPr>
      <w:r>
        <w:t xml:space="preserve">Graduate programs and professional cadetships are other arrangements </w:t>
      </w:r>
      <w:r w:rsidR="00DA71D8">
        <w:t>through</w:t>
      </w:r>
      <w:r>
        <w:t xml:space="preserve"> which an employer agrees to contribute to, or subsidise the cost of, an employee’s education and also to influence the curriculum to produce employable graduates. In the case of BHP Billiton</w:t>
      </w:r>
      <w:r w:rsidR="005002F3">
        <w:t xml:space="preserve"> (2014)</w:t>
      </w:r>
      <w:r>
        <w:t>, these people need to be</w:t>
      </w:r>
      <w:r w:rsidR="00A001FF">
        <w:t xml:space="preserve">: </w:t>
      </w:r>
      <w:r w:rsidR="00EE51E6">
        <w:t>‘</w:t>
      </w:r>
      <w:r w:rsidR="00A001FF" w:rsidRPr="00A001FF">
        <w:t xml:space="preserve">mobile, flexible, achievement oriented, enthusiastic about their development and committed to working with us to build a career and contribute to our </w:t>
      </w:r>
      <w:proofErr w:type="gramStart"/>
      <w:r w:rsidR="00A001FF" w:rsidRPr="00A001FF">
        <w:t>success</w:t>
      </w:r>
      <w:r w:rsidR="00EE51E6">
        <w:t>’</w:t>
      </w:r>
      <w:proofErr w:type="gramEnd"/>
      <w:r w:rsidR="00A001FF" w:rsidRPr="00A001FF">
        <w:t>.</w:t>
      </w:r>
    </w:p>
    <w:p w:rsidR="009B198F" w:rsidRDefault="0092743D" w:rsidP="00095DD1">
      <w:pPr>
        <w:pStyle w:val="Text"/>
        <w:ind w:right="-143"/>
      </w:pPr>
      <w:r>
        <w:t xml:space="preserve">The Food Processing Industry Strategy Group set up to advise the then government suggested </w:t>
      </w:r>
      <w:r w:rsidR="009D5AA8">
        <w:t xml:space="preserve">that </w:t>
      </w:r>
      <w:r w:rsidR="006074C1" w:rsidRPr="003C0ED1">
        <w:t xml:space="preserve">the effects of a decline in graduate numbers (including suitably qualified and skilled graduates) and the inability of the </w:t>
      </w:r>
      <w:r w:rsidR="00EA3227" w:rsidRPr="003C0ED1">
        <w:t>industry</w:t>
      </w:r>
      <w:r w:rsidR="006074C1" w:rsidRPr="003C0ED1">
        <w:t xml:space="preserve"> to attract and retain skilled labour, especially in regional communities, </w:t>
      </w:r>
      <w:r>
        <w:t>could</w:t>
      </w:r>
      <w:r w:rsidR="006074C1" w:rsidRPr="003C0ED1">
        <w:t xml:space="preserve"> lead to a reduction in the ability to innovate and increase productivity. </w:t>
      </w:r>
      <w:r>
        <w:t xml:space="preserve">As a remedy for this, the group </w:t>
      </w:r>
      <w:r w:rsidR="006074C1" w:rsidRPr="003C0ED1">
        <w:t>recommend</w:t>
      </w:r>
      <w:r>
        <w:t>ed</w:t>
      </w:r>
      <w:r w:rsidR="006074C1" w:rsidRPr="003C0ED1">
        <w:t xml:space="preserve"> the</w:t>
      </w:r>
      <w:r w:rsidR="009B198F" w:rsidRPr="003C0ED1">
        <w:t xml:space="preserve"> establishment of a Food Innovation Hub </w:t>
      </w:r>
      <w:r>
        <w:t xml:space="preserve">(Department of Innovation 2012, p.11). </w:t>
      </w:r>
      <w:r w:rsidRPr="0092743D">
        <w:t>The hub could be a catalyst for more collaboration between researchers and industry with the involvement of governments, industry and researchers to oversee and prioritise food research; improve commercialisation from research; attract more talent to the industry; and better understand and manage entry into new markets. This recommendation has resulted in Food Innovation Australia Ltd (FIAL).</w:t>
      </w:r>
      <w:r w:rsidR="00FB014F">
        <w:t xml:space="preserve"> </w:t>
      </w:r>
      <w:r w:rsidRPr="0092743D">
        <w:t xml:space="preserve">Such industry collaboration and knowledge transfer underpin other initiatives, such as the </w:t>
      </w:r>
      <w:r w:rsidRPr="0092743D">
        <w:lastRenderedPageBreak/>
        <w:t>cooperative research centres, and have the potential to improve the preparedness of other industries in this study to meet future demand for skills and innovation.</w:t>
      </w:r>
    </w:p>
    <w:p w:rsidR="0010756A" w:rsidRDefault="0010756A" w:rsidP="0010756A">
      <w:pPr>
        <w:pStyle w:val="Text"/>
      </w:pPr>
      <w:r>
        <w:t>Some of these attributes can be fostered in schemes like the New Colombo Plan, which</w:t>
      </w:r>
      <w:r w:rsidRPr="0010756A">
        <w:t xml:space="preserve"> offers scholarships</w:t>
      </w:r>
      <w:r>
        <w:t xml:space="preserve"> and travel grants</w:t>
      </w:r>
      <w:r w:rsidRPr="0010756A">
        <w:t xml:space="preserve"> to Australian </w:t>
      </w:r>
      <w:r>
        <w:t xml:space="preserve">university </w:t>
      </w:r>
      <w:r w:rsidRPr="0010756A">
        <w:t xml:space="preserve">students to support study and internships in the </w:t>
      </w:r>
      <w:r>
        <w:t xml:space="preserve">Indo-Pacific </w:t>
      </w:r>
      <w:r w:rsidRPr="0010756A">
        <w:t>regio</w:t>
      </w:r>
      <w:r w:rsidRPr="00143DF2">
        <w:t>n (D</w:t>
      </w:r>
      <w:r w:rsidR="009D5AA8" w:rsidRPr="00143DF2">
        <w:t>epartment of Foreign Affairs and Trade</w:t>
      </w:r>
      <w:r w:rsidR="00A475B6" w:rsidRPr="00143DF2">
        <w:t xml:space="preserve"> 2</w:t>
      </w:r>
      <w:r w:rsidR="00A475B6">
        <w:t>014</w:t>
      </w:r>
      <w:r>
        <w:t xml:space="preserve">). </w:t>
      </w:r>
      <w:r w:rsidR="001368C3">
        <w:t xml:space="preserve">Such experience will also build participants’ </w:t>
      </w:r>
      <w:r w:rsidR="0088442A">
        <w:t>‘</w:t>
      </w:r>
      <w:r w:rsidR="001368C3">
        <w:t>Asia literacy</w:t>
      </w:r>
      <w:r w:rsidR="0088442A">
        <w:t>’</w:t>
      </w:r>
      <w:r w:rsidR="001368C3">
        <w:t>, identified as necessary to improve success in export-oriented industries.</w:t>
      </w:r>
      <w:r w:rsidR="0088442A">
        <w:t xml:space="preserve"> </w:t>
      </w:r>
    </w:p>
    <w:p w:rsidR="004948C2" w:rsidRDefault="001368C3" w:rsidP="005C1FEC">
      <w:pPr>
        <w:pStyle w:val="Text"/>
        <w:ind w:right="-143"/>
      </w:pPr>
      <w:r>
        <w:t xml:space="preserve">Capitalising on the rise of the Asian century has been identified as a </w:t>
      </w:r>
      <w:r w:rsidR="00F94911">
        <w:t>critical issue</w:t>
      </w:r>
      <w:r>
        <w:t xml:space="preserve"> in the agriculture and food industry. </w:t>
      </w:r>
      <w:r w:rsidR="009D5AA8">
        <w:t xml:space="preserve">The </w:t>
      </w:r>
      <w:r w:rsidR="008D67F9">
        <w:t xml:space="preserve">Australian </w:t>
      </w:r>
      <w:r w:rsidR="006C26DD">
        <w:t>Workforce and Productivity</w:t>
      </w:r>
      <w:r w:rsidR="008D67F9">
        <w:t xml:space="preserve"> Agency</w:t>
      </w:r>
      <w:r w:rsidR="00A475B6">
        <w:t xml:space="preserve"> (2013a</w:t>
      </w:r>
      <w:r w:rsidR="00DA71D8">
        <w:t>, p.</w:t>
      </w:r>
      <w:r w:rsidR="00A475B6">
        <w:t xml:space="preserve">72) </w:t>
      </w:r>
      <w:r w:rsidR="005D3E53">
        <w:t>lists the capabilities that will be required</w:t>
      </w:r>
      <w:r w:rsidR="004948C2">
        <w:t>:</w:t>
      </w:r>
      <w:r w:rsidR="00472A51">
        <w:t xml:space="preserve"> </w:t>
      </w:r>
      <w:r w:rsidR="0010756A" w:rsidRPr="0010756A">
        <w:t>adaptability, flexibility, resilience, creative and design thinking, and the confidence and readiness to interact with and operate in Asia</w:t>
      </w:r>
      <w:r w:rsidR="00DA71D8">
        <w:t>;</w:t>
      </w:r>
      <w:r w:rsidR="004948C2">
        <w:t xml:space="preserve"> </w:t>
      </w:r>
      <w:r w:rsidR="00696E2F">
        <w:t>cross-</w:t>
      </w:r>
      <w:r w:rsidR="0010756A" w:rsidRPr="0010756A">
        <w:t>cultural and representational</w:t>
      </w:r>
      <w:r w:rsidR="000109C6">
        <w:t xml:space="preserve"> </w:t>
      </w:r>
      <w:r w:rsidR="00696E2F">
        <w:t>skills</w:t>
      </w:r>
      <w:r w:rsidR="00DA71D8">
        <w:t xml:space="preserve"> are also flagged as important</w:t>
      </w:r>
      <w:r w:rsidR="004948C2">
        <w:t xml:space="preserve">. </w:t>
      </w:r>
      <w:proofErr w:type="spellStart"/>
      <w:r w:rsidR="00A475B6">
        <w:t>Agrifoods</w:t>
      </w:r>
      <w:proofErr w:type="spellEnd"/>
      <w:r w:rsidR="00A475B6">
        <w:t xml:space="preserve"> also sees Asia-relevant capabilities as crucial, along with ‘world-class business and leadership capabilities, entrepreneurial sk</w:t>
      </w:r>
      <w:r w:rsidR="00A475B6" w:rsidRPr="00680ED5">
        <w:t>ills, marketing and global supply ch</w:t>
      </w:r>
      <w:r w:rsidR="00BA79AF" w:rsidRPr="00680ED5">
        <w:t>ain management skills (</w:t>
      </w:r>
      <w:proofErr w:type="spellStart"/>
      <w:r w:rsidR="00BA79AF" w:rsidRPr="00680ED5">
        <w:t>Agrifood</w:t>
      </w:r>
      <w:proofErr w:type="spellEnd"/>
      <w:r w:rsidR="00BA79AF" w:rsidRPr="00680ED5">
        <w:t xml:space="preserve"> Skills Australia</w:t>
      </w:r>
      <w:r w:rsidR="00A475B6" w:rsidRPr="00680ED5">
        <w:t xml:space="preserve"> 2013</w:t>
      </w:r>
      <w:r w:rsidR="009D5AA8" w:rsidRPr="00680ED5">
        <w:t>,</w:t>
      </w:r>
      <w:r w:rsidR="00A475B6" w:rsidRPr="00680ED5">
        <w:t xml:space="preserve"> </w:t>
      </w:r>
      <w:proofErr w:type="spellStart"/>
      <w:r w:rsidR="00A475B6" w:rsidRPr="00680ED5">
        <w:t>p.iv</w:t>
      </w:r>
      <w:proofErr w:type="spellEnd"/>
      <w:r w:rsidR="00A475B6" w:rsidRPr="00680ED5">
        <w:t xml:space="preserve">). </w:t>
      </w:r>
      <w:r w:rsidR="00143DF2" w:rsidRPr="00680ED5">
        <w:t>(</w:t>
      </w:r>
      <w:r w:rsidR="00A475B6" w:rsidRPr="00680ED5">
        <w:t xml:space="preserve">It notes </w:t>
      </w:r>
      <w:proofErr w:type="spellStart"/>
      <w:r w:rsidR="00A475B6" w:rsidRPr="00680ED5">
        <w:t>too</w:t>
      </w:r>
      <w:proofErr w:type="spellEnd"/>
      <w:r w:rsidR="00A475B6" w:rsidRPr="00680ED5">
        <w:t xml:space="preserve"> the </w:t>
      </w:r>
      <w:r w:rsidR="00584619" w:rsidRPr="00680ED5">
        <w:t>biosecurity risks attached to a mor</w:t>
      </w:r>
      <w:r w:rsidR="00143DF2" w:rsidRPr="00680ED5">
        <w:t>e export-oriented industry [p.7])</w:t>
      </w:r>
      <w:r w:rsidR="00584619" w:rsidRPr="00680ED5">
        <w:t>.</w:t>
      </w:r>
      <w:r w:rsidR="00197D2E" w:rsidRPr="00680ED5">
        <w:t xml:space="preserve"> </w:t>
      </w:r>
      <w:r w:rsidR="00584619" w:rsidRPr="00680ED5">
        <w:t>Attention to Asia literacy has</w:t>
      </w:r>
      <w:r w:rsidR="00DA71D8" w:rsidRPr="00680ED5">
        <w:t xml:space="preserve"> hitherto</w:t>
      </w:r>
      <w:r w:rsidR="004948C2" w:rsidRPr="00680ED5">
        <w:t xml:space="preserve"> be</w:t>
      </w:r>
      <w:r w:rsidR="00584619" w:rsidRPr="00680ED5">
        <w:t>en</w:t>
      </w:r>
      <w:r w:rsidR="004948C2" w:rsidRPr="00680ED5">
        <w:t xml:space="preserve"> mainly</w:t>
      </w:r>
      <w:r w:rsidR="00584619" w:rsidRPr="00680ED5">
        <w:t xml:space="preserve"> ― and patchily ―</w:t>
      </w:r>
      <w:r w:rsidR="004948C2" w:rsidRPr="00680ED5">
        <w:t xml:space="preserve"> within schools and universities. </w:t>
      </w:r>
      <w:r w:rsidR="00584619" w:rsidRPr="00680ED5">
        <w:t>With VET institutions</w:t>
      </w:r>
      <w:r w:rsidR="00584619">
        <w:t xml:space="preserve"> now operating</w:t>
      </w:r>
      <w:r w:rsidR="004948C2">
        <w:t xml:space="preserve"> </w:t>
      </w:r>
      <w:r w:rsidR="00584619">
        <w:t>in</w:t>
      </w:r>
      <w:r w:rsidR="004948C2">
        <w:t xml:space="preserve"> the international </w:t>
      </w:r>
      <w:r w:rsidR="00322477">
        <w:t>market there</w:t>
      </w:r>
      <w:r w:rsidR="004948C2">
        <w:t xml:space="preserve"> is </w:t>
      </w:r>
      <w:r w:rsidR="00DA71D8">
        <w:t xml:space="preserve">also </w:t>
      </w:r>
      <w:r w:rsidR="004948C2">
        <w:t>potential for them to incorporate Asia literacy into their domestic programs.</w:t>
      </w:r>
      <w:r w:rsidR="00584619">
        <w:t xml:space="preserve"> </w:t>
      </w:r>
    </w:p>
    <w:p w:rsidR="00270DB7" w:rsidRDefault="00270DB7" w:rsidP="005C1FEC">
      <w:pPr>
        <w:pStyle w:val="Text"/>
      </w:pPr>
      <w:r>
        <w:t xml:space="preserve">As Australian manufacturers and agriculturalists move towards advanced and innovative operations, they will have </w:t>
      </w:r>
      <w:r w:rsidR="00197D2E">
        <w:t xml:space="preserve">a greater </w:t>
      </w:r>
      <w:r w:rsidR="009D5AA8">
        <w:t>call on para</w:t>
      </w:r>
      <w:r w:rsidR="00DA71D8">
        <w:t>professionals</w:t>
      </w:r>
      <w:r>
        <w:t xml:space="preserve"> such as engineering and laboratory technicians. Increasingly, however, diploma and advanced diploma programs are being used as stepping stones to higher study rather than as entry-level qualifications for some occupations (</w:t>
      </w:r>
      <w:r w:rsidR="009D5AA8">
        <w:t>Manufacturing Skills Australia</w:t>
      </w:r>
      <w:r w:rsidR="00510BFC">
        <w:t xml:space="preserve"> 2014, p.</w:t>
      </w:r>
      <w:r>
        <w:t xml:space="preserve">25). Similarly, there </w:t>
      </w:r>
      <w:r w:rsidR="00EF2531">
        <w:t xml:space="preserve">is high demand </w:t>
      </w:r>
      <w:r w:rsidRPr="00270DB7">
        <w:t>for technical personnel in oil and gas plant pro</w:t>
      </w:r>
      <w:r w:rsidR="009D5AA8">
        <w:t>cess operations and maintenance</w:t>
      </w:r>
      <w:r w:rsidRPr="00270DB7">
        <w:t xml:space="preserve"> and for supervisors with appropriate </w:t>
      </w:r>
      <w:r w:rsidRPr="005C1FEC">
        <w:t>levels</w:t>
      </w:r>
      <w:r w:rsidRPr="00270DB7">
        <w:t xml:space="preserve"> of technical </w:t>
      </w:r>
      <w:r w:rsidR="009D5AA8">
        <w:t>and safety experience and front</w:t>
      </w:r>
      <w:r w:rsidRPr="00270DB7">
        <w:t>line management skills, but these skills are difficult to source, especially</w:t>
      </w:r>
      <w:r w:rsidR="001D4A90">
        <w:t xml:space="preserve"> in the domestic labour market (</w:t>
      </w:r>
      <w:r w:rsidR="008D67F9">
        <w:t xml:space="preserve">Australian </w:t>
      </w:r>
      <w:r w:rsidR="006C26DD">
        <w:t>Workforce and Productivity</w:t>
      </w:r>
      <w:r w:rsidR="008D67F9">
        <w:t xml:space="preserve"> Agency</w:t>
      </w:r>
      <w:r w:rsidR="00EF2531" w:rsidRPr="00EF2531">
        <w:t xml:space="preserve"> 2013</w:t>
      </w:r>
      <w:r w:rsidR="00BA79AF">
        <w:t>b</w:t>
      </w:r>
      <w:r w:rsidR="009D5AA8">
        <w:t>,</w:t>
      </w:r>
      <w:r w:rsidR="00EF2531" w:rsidRPr="00EF2531">
        <w:t xml:space="preserve"> p.152</w:t>
      </w:r>
      <w:r w:rsidR="001D4A90">
        <w:t>).</w:t>
      </w:r>
      <w:r w:rsidR="00472A51">
        <w:t xml:space="preserve"> </w:t>
      </w:r>
      <w:r>
        <w:t>The extension of Commonwealth Supported Places (CSP) to sub-degree programs may see this change.</w:t>
      </w:r>
    </w:p>
    <w:p w:rsidR="00197D2E" w:rsidRDefault="00197D2E">
      <w:pPr>
        <w:rPr>
          <w:rFonts w:ascii="Tahoma" w:hAnsi="Tahoma" w:cs="Tahoma"/>
          <w:color w:val="000000"/>
          <w:kern w:val="28"/>
          <w:sz w:val="56"/>
          <w:szCs w:val="56"/>
          <w:lang w:eastAsia="en-US"/>
        </w:rPr>
      </w:pPr>
      <w:r>
        <w:br w:type="page"/>
      </w:r>
    </w:p>
    <w:p w:rsidR="00BD606C" w:rsidRPr="00197D2E" w:rsidRDefault="00BD606C" w:rsidP="00197D2E">
      <w:pPr>
        <w:pStyle w:val="Heading1"/>
      </w:pPr>
      <w:bookmarkStart w:id="47" w:name="_Toc398541645"/>
      <w:r w:rsidRPr="00197D2E">
        <w:lastRenderedPageBreak/>
        <w:t>Existing workers</w:t>
      </w:r>
      <w:bookmarkEnd w:id="47"/>
    </w:p>
    <w:p w:rsidR="00EE2DEF" w:rsidRDefault="00EE2DEF" w:rsidP="00EE2DEF">
      <w:pPr>
        <w:pStyle w:val="Quote"/>
      </w:pPr>
      <w:r>
        <w:t xml:space="preserve">Our people face an unprecedented need to </w:t>
      </w:r>
      <w:proofErr w:type="spellStart"/>
      <w:r>
        <w:t>upskill</w:t>
      </w:r>
      <w:proofErr w:type="spellEnd"/>
      <w:r>
        <w:t xml:space="preserve"> in the face of jobs becoming more technical and demanding greater knowledg</w:t>
      </w:r>
      <w:r w:rsidR="002A0FEB">
        <w:t>e. Our once pyramidal industry —</w:t>
      </w:r>
      <w:r>
        <w:t xml:space="preserve"> comprising owners and</w:t>
      </w:r>
      <w:r w:rsidR="002A0FEB">
        <w:t xml:space="preserve"> a mass of low level operators —</w:t>
      </w:r>
      <w:r>
        <w:t xml:space="preserve"> is becoming diamond in shape as technology and automation continues to remove low-skilled job roles and a new breed of technicians, </w:t>
      </w:r>
      <w:proofErr w:type="spellStart"/>
      <w:r>
        <w:t>para</w:t>
      </w:r>
      <w:proofErr w:type="spellEnd"/>
      <w:r>
        <w:t>-professionals and specialist contractors grow to form a critical, highly capable broad band of workers. Our managers face the greatest transiti</w:t>
      </w:r>
      <w:r w:rsidR="002A0FEB">
        <w:t>on of all —</w:t>
      </w:r>
      <w:r>
        <w:t xml:space="preserve"> steering companies through structural adjustment whilst at the same time driving efficiencies, seeking new markets and retaining their social license with consumers.</w:t>
      </w:r>
    </w:p>
    <w:p w:rsidR="00EE2DEF" w:rsidRDefault="00EE2DEF" w:rsidP="00A822E7">
      <w:pPr>
        <w:pStyle w:val="Text"/>
      </w:pPr>
      <w:r w:rsidRPr="00EE2DEF">
        <w:t>This</w:t>
      </w:r>
      <w:r>
        <w:t xml:space="preserve"> quotation comes from the 2013 </w:t>
      </w:r>
      <w:proofErr w:type="spellStart"/>
      <w:r>
        <w:t>Agrifoods</w:t>
      </w:r>
      <w:proofErr w:type="spellEnd"/>
      <w:r>
        <w:t xml:space="preserve"> Environmental Scan (</w:t>
      </w:r>
      <w:proofErr w:type="spellStart"/>
      <w:r>
        <w:t>p.vii</w:t>
      </w:r>
      <w:proofErr w:type="spellEnd"/>
      <w:r>
        <w:t xml:space="preserve">) but could as </w:t>
      </w:r>
      <w:r w:rsidR="002A0FEB">
        <w:t>easily</w:t>
      </w:r>
      <w:r>
        <w:t xml:space="preserve"> have come from the manufacturing </w:t>
      </w:r>
      <w:r w:rsidR="00EA3227">
        <w:t>industry</w:t>
      </w:r>
      <w:r>
        <w:t xml:space="preserve">, which is also undergoing major structural adjustment. </w:t>
      </w:r>
      <w:r w:rsidR="003E22EE">
        <w:t xml:space="preserve">Achieving the </w:t>
      </w:r>
      <w:r w:rsidRPr="003E22EE">
        <w:t>trans</w:t>
      </w:r>
      <w:r w:rsidR="00584619">
        <w:t>formation of Australian industries</w:t>
      </w:r>
      <w:r w:rsidRPr="003E22EE">
        <w:t xml:space="preserve"> will </w:t>
      </w:r>
      <w:r w:rsidR="003E22EE" w:rsidRPr="003E22EE">
        <w:t xml:space="preserve">significantly </w:t>
      </w:r>
      <w:r w:rsidRPr="003E22EE">
        <w:t>depend on the existing workforce. The review of the literature identified several matter</w:t>
      </w:r>
      <w:r w:rsidR="00584619">
        <w:t>s to be addressed to ensure these workers</w:t>
      </w:r>
      <w:r w:rsidRPr="003E22EE">
        <w:t xml:space="preserve"> are equipped with the right skills.</w:t>
      </w:r>
    </w:p>
    <w:p w:rsidR="00D25A8F" w:rsidRDefault="003E22EE" w:rsidP="00A822E7">
      <w:pPr>
        <w:pStyle w:val="Text"/>
      </w:pPr>
      <w:r>
        <w:t xml:space="preserve">As the </w:t>
      </w:r>
      <w:r w:rsidRPr="003E22EE">
        <w:t xml:space="preserve">review of the </w:t>
      </w:r>
      <w:r w:rsidR="00584619">
        <w:t>South Australian and Victorian e</w:t>
      </w:r>
      <w:r w:rsidRPr="003E22EE">
        <w:t>conomies explained</w:t>
      </w:r>
      <w:r w:rsidR="002A0FEB">
        <w:t>,</w:t>
      </w:r>
      <w:r w:rsidRPr="003E22EE">
        <w:t xml:space="preserve"> the type of training </w:t>
      </w:r>
      <w:r w:rsidR="002A0FEB">
        <w:t xml:space="preserve">that </w:t>
      </w:r>
      <w:r w:rsidRPr="003E22EE">
        <w:t>workers will require will be determined</w:t>
      </w:r>
      <w:r>
        <w:t xml:space="preserve"> by their existing skills. The </w:t>
      </w:r>
      <w:r w:rsidRPr="003E22EE">
        <w:t>more highly qualified wi</w:t>
      </w:r>
      <w:r>
        <w:t xml:space="preserve">ll find it easier to transfer to </w:t>
      </w:r>
      <w:r w:rsidRPr="003E22EE">
        <w:t>othe</w:t>
      </w:r>
      <w:r>
        <w:t>r</w:t>
      </w:r>
      <w:r w:rsidRPr="003E22EE">
        <w:t xml:space="preserve"> </w:t>
      </w:r>
      <w:r w:rsidR="00EA3227">
        <w:t>industries</w:t>
      </w:r>
      <w:r w:rsidRPr="003E22EE">
        <w:t xml:space="preserve"> and are often more willing to move to new locations for better job opportunities. Many, however, have poor literacy and numeracy </w:t>
      </w:r>
      <w:r w:rsidR="006D231C">
        <w:t xml:space="preserve">skills </w:t>
      </w:r>
      <w:r w:rsidRPr="003E22EE">
        <w:t xml:space="preserve">and few </w:t>
      </w:r>
      <w:r w:rsidR="00E82D9C" w:rsidRPr="003E22EE">
        <w:t>formal</w:t>
      </w:r>
      <w:r w:rsidRPr="003E22EE">
        <w:t xml:space="preserve"> qualifications (</w:t>
      </w:r>
      <w:r>
        <w:t>Department of Industr</w:t>
      </w:r>
      <w:r w:rsidRPr="00143DF2">
        <w:t xml:space="preserve">y </w:t>
      </w:r>
      <w:r w:rsidR="00D25A8F" w:rsidRPr="00143DF2">
        <w:t>2014</w:t>
      </w:r>
      <w:r w:rsidR="00680ED5">
        <w:t>b</w:t>
      </w:r>
      <w:r w:rsidR="002A0FEB" w:rsidRPr="00143DF2">
        <w:t>,</w:t>
      </w:r>
      <w:r w:rsidR="00D25A8F">
        <w:t xml:space="preserve"> </w:t>
      </w:r>
      <w:r w:rsidRPr="003E22EE">
        <w:t>p.2).</w:t>
      </w:r>
    </w:p>
    <w:p w:rsidR="00606FFC" w:rsidRDefault="00606FFC" w:rsidP="00A822E7">
      <w:pPr>
        <w:pStyle w:val="Text"/>
      </w:pPr>
      <w:r>
        <w:t>There has been much discussion in recent years about skills mismatches and skills utilisation, with proper utilisation of skills being a key requirement for productivity impr</w:t>
      </w:r>
      <w:r w:rsidR="002A0FEB">
        <w:t>ovement (Department of Industry</w:t>
      </w:r>
      <w:r w:rsidR="00680ED5">
        <w:t xml:space="preserve"> 2014a</w:t>
      </w:r>
      <w:r>
        <w:t xml:space="preserve">). In a deregulated tertiary education system there will be </w:t>
      </w:r>
      <w:r w:rsidR="002A0FEB">
        <w:t xml:space="preserve">a </w:t>
      </w:r>
      <w:r>
        <w:t xml:space="preserve">heightened imperative to ensure </w:t>
      </w:r>
      <w:r w:rsidR="002A0FEB">
        <w:t xml:space="preserve">that </w:t>
      </w:r>
      <w:r>
        <w:t xml:space="preserve">students and existing workers are provided with the right skills </w:t>
      </w:r>
      <w:r w:rsidR="002A0FEB">
        <w:t>for</w:t>
      </w:r>
      <w:r>
        <w:t xml:space="preserve"> the labour market. It would be a mistake to interpret this too narrowly: also required is education and training that, to quote the World Economic Forum (2014, p.5), generates: </w:t>
      </w:r>
    </w:p>
    <w:p w:rsidR="00606FFC" w:rsidRDefault="00606FFC" w:rsidP="00606FFC">
      <w:pPr>
        <w:pStyle w:val="Quote"/>
      </w:pPr>
      <w:proofErr w:type="gramStart"/>
      <w:r>
        <w:t>the</w:t>
      </w:r>
      <w:proofErr w:type="gramEnd"/>
      <w:r>
        <w:t xml:space="preserve"> necessary economic dynamism to generate new jobs. Apprenticeships and the provision of workplace training can help both young people and the unemployed to build links with the labour market and gain useful work-related skills. Knowledge clusters, in which companies adopt innovative product market strategies and interact with educational institutions, can foster the creation of skill-intensive jobs and a better match with workforce skills</w:t>
      </w:r>
      <w:r w:rsidR="006D231C">
        <w:t xml:space="preserve"> </w:t>
      </w:r>
      <w:r>
        <w:t>…</w:t>
      </w:r>
      <w:r w:rsidR="006D231C">
        <w:t xml:space="preserve"> </w:t>
      </w:r>
      <w:r>
        <w:t>action is needed to reduce the gap between knowledge generated in the educational system and the skills demanded by employers. Second, continuing intervention is necessary during the employment life cycle, targeting continuous skill development and use.</w:t>
      </w:r>
    </w:p>
    <w:p w:rsidR="00BD606C" w:rsidRDefault="006B5634" w:rsidP="00197D2E">
      <w:pPr>
        <w:pStyle w:val="Heading2"/>
      </w:pPr>
      <w:bookmarkStart w:id="48" w:name="_Toc398541646"/>
      <w:r>
        <w:t>Addressing skills gaps</w:t>
      </w:r>
      <w:r w:rsidR="00117B0F">
        <w:t xml:space="preserve"> and future skills demand</w:t>
      </w:r>
      <w:bookmarkEnd w:id="48"/>
    </w:p>
    <w:p w:rsidR="00FB014F" w:rsidRPr="006F7D2D" w:rsidRDefault="006F7D2D" w:rsidP="00A822E7">
      <w:pPr>
        <w:pStyle w:val="Text"/>
      </w:pPr>
      <w:r w:rsidRPr="006F7D2D">
        <w:t>This paper does not undertake any forecast of skills needs.</w:t>
      </w:r>
      <w:r w:rsidR="00F51B74">
        <w:t xml:space="preserve"> Doing so is an inexact science. In 2013 the </w:t>
      </w:r>
      <w:r w:rsidRPr="006F7D2D">
        <w:t>National Institute of Labour Studies</w:t>
      </w:r>
      <w:r w:rsidR="00F51B74">
        <w:t>,</w:t>
      </w:r>
      <w:r w:rsidRPr="006F7D2D">
        <w:t xml:space="preserve"> on behalf of the Australian Workforce </w:t>
      </w:r>
      <w:r w:rsidR="004F7609">
        <w:t xml:space="preserve">and </w:t>
      </w:r>
      <w:r w:rsidRPr="006F7D2D">
        <w:t>Productivity Agency</w:t>
      </w:r>
      <w:r w:rsidR="00F51B74">
        <w:t>,</w:t>
      </w:r>
      <w:r w:rsidRPr="006F7D2D">
        <w:t xml:space="preserve"> develop</w:t>
      </w:r>
      <w:r w:rsidR="00F51B74">
        <w:t>ed</w:t>
      </w:r>
      <w:r w:rsidRPr="006F7D2D">
        <w:t xml:space="preserve"> a methodology for determining skills demand. This uses four sets of indicators to trace changes that may be used to identify skills in ove</w:t>
      </w:r>
      <w:r w:rsidR="00F51B74">
        <w:t>r</w:t>
      </w:r>
      <w:r w:rsidR="002A0FEB">
        <w:t>-</w:t>
      </w:r>
      <w:r w:rsidR="00F51B74">
        <w:t xml:space="preserve"> or undersupply. The first draws on</w:t>
      </w:r>
      <w:r w:rsidRPr="006F7D2D">
        <w:t xml:space="preserve"> information on the state of the labour market; the second </w:t>
      </w:r>
      <w:r w:rsidR="00F51B74">
        <w:t xml:space="preserve">on </w:t>
      </w:r>
      <w:r w:rsidRPr="006F7D2D">
        <w:t>information from the recruitment process</w:t>
      </w:r>
      <w:r w:rsidR="00F51B74">
        <w:t xml:space="preserve">; the third </w:t>
      </w:r>
      <w:r w:rsidRPr="006F7D2D">
        <w:t xml:space="preserve">on university and </w:t>
      </w:r>
      <w:r w:rsidR="002A0FEB">
        <w:t>VET</w:t>
      </w:r>
      <w:r w:rsidRPr="006F7D2D">
        <w:t xml:space="preserve"> data; and the fourth looks at labour market entrants, including skilled migrants on 457 visas</w:t>
      </w:r>
      <w:r w:rsidR="002A0FEB">
        <w:t xml:space="preserve"> (</w:t>
      </w:r>
      <w:proofErr w:type="spellStart"/>
      <w:r w:rsidR="002A0FEB">
        <w:t>Mavromaras</w:t>
      </w:r>
      <w:proofErr w:type="spellEnd"/>
      <w:r w:rsidR="000C191F">
        <w:t xml:space="preserve"> et al.</w:t>
      </w:r>
      <w:r w:rsidR="00F51B74">
        <w:t xml:space="preserve"> 2013)</w:t>
      </w:r>
      <w:r w:rsidRPr="006F7D2D">
        <w:t>.</w:t>
      </w:r>
    </w:p>
    <w:p w:rsidR="006F7D2D" w:rsidRPr="006F7D2D" w:rsidRDefault="00F51B74" w:rsidP="00A822E7">
      <w:pPr>
        <w:pStyle w:val="Text"/>
      </w:pPr>
      <w:r>
        <w:lastRenderedPageBreak/>
        <w:t>In the context of this study,</w:t>
      </w:r>
      <w:r w:rsidR="006F7D2D" w:rsidRPr="006F7D2D">
        <w:t xml:space="preserve"> it is important to note the necessity for education providers to have an understanding of labour market trends but also to continue to provide underpinning knowledge and skills to their students, who will </w:t>
      </w:r>
      <w:r w:rsidR="006D231C">
        <w:t>need the capacity</w:t>
      </w:r>
      <w:r w:rsidR="006F7D2D" w:rsidRPr="006F7D2D">
        <w:t xml:space="preserve"> to adapt to changing industry requirements.</w:t>
      </w:r>
      <w:r w:rsidR="00472A51">
        <w:t xml:space="preserve"> </w:t>
      </w:r>
      <w:r w:rsidR="006F7D2D" w:rsidRPr="006F7D2D">
        <w:t xml:space="preserve"> </w:t>
      </w:r>
    </w:p>
    <w:p w:rsidR="00606FFC" w:rsidRDefault="00E23136" w:rsidP="00A822E7">
      <w:pPr>
        <w:pStyle w:val="Text"/>
      </w:pPr>
      <w:r w:rsidRPr="00536016">
        <w:t xml:space="preserve">There is no one-size-fits-all way to help existing workers </w:t>
      </w:r>
      <w:r w:rsidR="002A0FEB">
        <w:t xml:space="preserve">to </w:t>
      </w:r>
      <w:r w:rsidRPr="00536016">
        <w:t>gain additional skills or to retrain for different industries. In agriculture</w:t>
      </w:r>
      <w:r w:rsidR="002A0FEB">
        <w:t>,</w:t>
      </w:r>
      <w:r w:rsidRPr="00536016">
        <w:t xml:space="preserve"> for example</w:t>
      </w:r>
      <w:r w:rsidR="002A0FEB">
        <w:t>,</w:t>
      </w:r>
      <w:r w:rsidRPr="00536016">
        <w:t xml:space="preserve"> the learning culture ‘is typically, incremental, socially embedded and occurs over a lifetime</w:t>
      </w:r>
      <w:r w:rsidR="00536016" w:rsidRPr="00536016">
        <w:t>’</w:t>
      </w:r>
      <w:r w:rsidR="00BA79AF">
        <w:t xml:space="preserve"> (</w:t>
      </w:r>
      <w:proofErr w:type="spellStart"/>
      <w:r w:rsidR="00BA79AF">
        <w:t>Agrifood</w:t>
      </w:r>
      <w:proofErr w:type="spellEnd"/>
      <w:r w:rsidR="00BA79AF">
        <w:t xml:space="preserve"> Skills Australia</w:t>
      </w:r>
      <w:r w:rsidRPr="00536016">
        <w:t xml:space="preserve"> 20</w:t>
      </w:r>
      <w:r w:rsidR="00677B89">
        <w:t xml:space="preserve">13, </w:t>
      </w:r>
      <w:proofErr w:type="spellStart"/>
      <w:r w:rsidR="00677B89">
        <w:t>p.</w:t>
      </w:r>
      <w:r w:rsidRPr="00536016">
        <w:t>iv</w:t>
      </w:r>
      <w:proofErr w:type="spellEnd"/>
      <w:r w:rsidRPr="00536016">
        <w:t>)</w:t>
      </w:r>
      <w:r w:rsidR="00536016" w:rsidRPr="00536016">
        <w:t xml:space="preserve">, demanding that interventions are tailored not only to filling gaps but also to the way learners learn. For those forced to find new jobs, their options will depend on skills </w:t>
      </w:r>
      <w:r w:rsidR="006D231C">
        <w:t>as well as</w:t>
      </w:r>
      <w:r w:rsidR="00536016" w:rsidRPr="00536016">
        <w:t xml:space="preserve"> on personal circumstance and the availability of work in their local area or on their willingness to move. </w:t>
      </w:r>
      <w:r w:rsidR="006D231C">
        <w:t>W</w:t>
      </w:r>
      <w:r w:rsidR="006D231C" w:rsidRPr="00536016">
        <w:t>hen faced with the prospect of unemp</w:t>
      </w:r>
      <w:r w:rsidR="006D231C">
        <w:t>loyment, s</w:t>
      </w:r>
      <w:r w:rsidR="00536016" w:rsidRPr="00536016">
        <w:t xml:space="preserve">ome affected workers </w:t>
      </w:r>
      <w:r w:rsidR="00536016">
        <w:t xml:space="preserve">will </w:t>
      </w:r>
      <w:r w:rsidR="00536016" w:rsidRPr="00536016">
        <w:t xml:space="preserve">move into lower-paid and/or part-time jobs requiring lower skills </w:t>
      </w:r>
      <w:r w:rsidR="00677B89">
        <w:t xml:space="preserve">(Department </w:t>
      </w:r>
      <w:r w:rsidR="00677B89" w:rsidRPr="00143DF2">
        <w:t>of Industry</w:t>
      </w:r>
      <w:r w:rsidR="00536016" w:rsidRPr="00143DF2">
        <w:t xml:space="preserve"> 2014</w:t>
      </w:r>
      <w:r w:rsidR="00680ED5">
        <w:t>b</w:t>
      </w:r>
      <w:r w:rsidR="00536016" w:rsidRPr="00143DF2">
        <w:t>, p.</w:t>
      </w:r>
      <w:r w:rsidR="00536016" w:rsidRPr="00536016">
        <w:t>34).</w:t>
      </w:r>
    </w:p>
    <w:p w:rsidR="00BF262B" w:rsidRDefault="00117B0F" w:rsidP="00A822E7">
      <w:pPr>
        <w:pStyle w:val="Text"/>
      </w:pPr>
      <w:r w:rsidRPr="003C0ED1">
        <w:t>The demand for skills is high across all industries. While the education and training system is generally well placed to respond</w:t>
      </w:r>
      <w:r w:rsidR="00F94911">
        <w:t>,</w:t>
      </w:r>
      <w:r w:rsidR="00D55BC7" w:rsidRPr="003C0ED1">
        <w:t xml:space="preserve"> </w:t>
      </w:r>
      <w:r w:rsidRPr="003C0ED1">
        <w:t>there are obvious constraints</w:t>
      </w:r>
      <w:r w:rsidR="00D55BC7" w:rsidRPr="003C0ED1">
        <w:t>, some of which are imposed by C</w:t>
      </w:r>
      <w:r w:rsidR="00BA79AF" w:rsidRPr="003C0ED1">
        <w:t>ommonwealth and state/territory funding and governance policies</w:t>
      </w:r>
      <w:r w:rsidRPr="003C0ED1">
        <w:t xml:space="preserve">. Solutions point to the need for increased collaboration between providers and industry as well as a cultural shift in the way generic skills are developed and deployed. </w:t>
      </w:r>
    </w:p>
    <w:p w:rsidR="00BF262B" w:rsidRDefault="00372409" w:rsidP="00A822E7">
      <w:pPr>
        <w:pStyle w:val="Text"/>
        <w:spacing w:after="360"/>
        <w:ind w:right="0"/>
      </w:pPr>
      <w:r w:rsidRPr="003C0ED1">
        <w:t>The current literature identifies a range of existing skill gaps for each of the five industries</w:t>
      </w:r>
      <w:r>
        <w:t xml:space="preserve">, as summarised in the first column of the following </w:t>
      </w:r>
      <w:r w:rsidR="00F94911">
        <w:t>table</w:t>
      </w:r>
      <w:r w:rsidRPr="003C0ED1">
        <w:t xml:space="preserve">. </w:t>
      </w:r>
      <w:r w:rsidR="00BF262B" w:rsidRPr="003C0ED1">
        <w:t xml:space="preserve">While many issues are common across the five industries, each industry and their sub-sectors are facing specific workforce requirements </w:t>
      </w:r>
      <w:r w:rsidR="00677B89">
        <w:t>that</w:t>
      </w:r>
      <w:r w:rsidR="00BF262B" w:rsidRPr="003C0ED1">
        <w:t xml:space="preserve"> will impact </w:t>
      </w:r>
      <w:r w:rsidR="006D231C">
        <w:t xml:space="preserve">on </w:t>
      </w:r>
      <w:r w:rsidR="00BF262B" w:rsidRPr="003C0ED1">
        <w:t>the way in which the education and training system r</w:t>
      </w:r>
      <w:r w:rsidR="00677B89">
        <w:t>esponds</w:t>
      </w:r>
      <w:r w:rsidR="006D231C">
        <w:t xml:space="preserve"> and influence</w:t>
      </w:r>
      <w:r w:rsidR="00BF262B" w:rsidRPr="003C0ED1">
        <w:t xml:space="preserve"> which interventions should take priority.</w:t>
      </w:r>
      <w:r>
        <w:t xml:space="preserve"> These </w:t>
      </w:r>
      <w:r w:rsidR="002E14BE">
        <w:t>inevitably</w:t>
      </w:r>
      <w:r>
        <w:t xml:space="preserve"> cover broader impacts beyond the existing worker but are included here (in the second column) to provide the context impacting on skill gaps and future skill demand issues.</w:t>
      </w:r>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4"/>
        <w:gridCol w:w="4395"/>
      </w:tblGrid>
      <w:tr w:rsidR="00A822E7" w:rsidRPr="00A822E7" w:rsidTr="00A822E7">
        <w:trPr>
          <w:tblHeader/>
        </w:trPr>
        <w:tc>
          <w:tcPr>
            <w:tcW w:w="4394" w:type="dxa"/>
            <w:shd w:val="clear" w:color="auto" w:fill="1F497D" w:themeFill="text2"/>
          </w:tcPr>
          <w:p w:rsidR="00BF262B" w:rsidRPr="00A822E7" w:rsidRDefault="00BF262B" w:rsidP="00226436">
            <w:pPr>
              <w:pStyle w:val="Tablehead1"/>
              <w:rPr>
                <w:color w:val="FFFFFF" w:themeColor="background1"/>
              </w:rPr>
            </w:pPr>
            <w:r w:rsidRPr="00A822E7">
              <w:rPr>
                <w:color w:val="FFFFFF" w:themeColor="background1"/>
              </w:rPr>
              <w:t>Addressing skill gaps and future skills demand</w:t>
            </w:r>
            <w:r w:rsidR="00372409" w:rsidRPr="00A822E7">
              <w:rPr>
                <w:color w:val="FFFFFF" w:themeColor="background1"/>
              </w:rPr>
              <w:t xml:space="preserve"> for</w:t>
            </w:r>
            <w:r w:rsidR="00226436">
              <w:rPr>
                <w:color w:val="FFFFFF" w:themeColor="background1"/>
              </w:rPr>
              <w:t> </w:t>
            </w:r>
            <w:r w:rsidR="00372409" w:rsidRPr="00A822E7">
              <w:rPr>
                <w:color w:val="FFFFFF" w:themeColor="background1"/>
              </w:rPr>
              <w:t>existing workers</w:t>
            </w:r>
            <w:r w:rsidR="0088442A" w:rsidRPr="00A822E7">
              <w:rPr>
                <w:color w:val="FFFFFF" w:themeColor="background1"/>
              </w:rPr>
              <w:t xml:space="preserve"> </w:t>
            </w:r>
          </w:p>
        </w:tc>
        <w:tc>
          <w:tcPr>
            <w:tcW w:w="4395" w:type="dxa"/>
            <w:shd w:val="clear" w:color="auto" w:fill="1F497D" w:themeFill="text2"/>
          </w:tcPr>
          <w:p w:rsidR="00BF262B" w:rsidRPr="00A822E7" w:rsidRDefault="00BF262B" w:rsidP="00226436">
            <w:pPr>
              <w:pStyle w:val="Tablehead1"/>
              <w:rPr>
                <w:color w:val="FFFFFF" w:themeColor="background1"/>
              </w:rPr>
            </w:pPr>
            <w:r w:rsidRPr="00A822E7">
              <w:rPr>
                <w:color w:val="FFFFFF" w:themeColor="background1"/>
              </w:rPr>
              <w:t>Specific workforce iss</w:t>
            </w:r>
            <w:r w:rsidR="0088442A" w:rsidRPr="00A822E7">
              <w:rPr>
                <w:color w:val="FFFFFF" w:themeColor="background1"/>
              </w:rPr>
              <w:t>ues</w:t>
            </w:r>
            <w:r w:rsidR="00EF2FF6" w:rsidRPr="00A822E7">
              <w:rPr>
                <w:color w:val="FFFFFF" w:themeColor="background1"/>
              </w:rPr>
              <w:t xml:space="preserve"> impacting </w:t>
            </w:r>
            <w:r w:rsidR="006D231C" w:rsidRPr="00A822E7">
              <w:rPr>
                <w:color w:val="FFFFFF" w:themeColor="background1"/>
              </w:rPr>
              <w:t xml:space="preserve">on </w:t>
            </w:r>
            <w:r w:rsidR="00EF2FF6" w:rsidRPr="00A822E7">
              <w:rPr>
                <w:color w:val="FFFFFF" w:themeColor="background1"/>
              </w:rPr>
              <w:t>the</w:t>
            </w:r>
            <w:r w:rsidR="00A822E7">
              <w:rPr>
                <w:color w:val="FFFFFF" w:themeColor="background1"/>
              </w:rPr>
              <w:t> </w:t>
            </w:r>
            <w:r w:rsidR="00EF2FF6" w:rsidRPr="00A822E7">
              <w:rPr>
                <w:color w:val="FFFFFF" w:themeColor="background1"/>
              </w:rPr>
              <w:t>way the</w:t>
            </w:r>
            <w:r w:rsidR="00226436">
              <w:rPr>
                <w:color w:val="FFFFFF" w:themeColor="background1"/>
              </w:rPr>
              <w:t> </w:t>
            </w:r>
            <w:r w:rsidR="00EF2FF6" w:rsidRPr="00A822E7">
              <w:rPr>
                <w:color w:val="FFFFFF" w:themeColor="background1"/>
              </w:rPr>
              <w:t>education and training system</w:t>
            </w:r>
            <w:r w:rsidR="00A822E7">
              <w:rPr>
                <w:color w:val="FFFFFF" w:themeColor="background1"/>
              </w:rPr>
              <w:t> </w:t>
            </w:r>
            <w:r w:rsidR="00EF2FF6" w:rsidRPr="00A822E7">
              <w:rPr>
                <w:color w:val="FFFFFF" w:themeColor="background1"/>
              </w:rPr>
              <w:t>responds</w:t>
            </w:r>
          </w:p>
        </w:tc>
      </w:tr>
      <w:tr w:rsidR="009106F1" w:rsidRPr="009D1087" w:rsidTr="00A822E7">
        <w:tc>
          <w:tcPr>
            <w:tcW w:w="8789" w:type="dxa"/>
            <w:gridSpan w:val="2"/>
            <w:shd w:val="clear" w:color="auto" w:fill="C6D9F1" w:themeFill="text2" w:themeFillTint="33"/>
          </w:tcPr>
          <w:p w:rsidR="009106F1" w:rsidRPr="009D1087" w:rsidRDefault="009106F1" w:rsidP="00A822E7">
            <w:pPr>
              <w:pStyle w:val="Tablehead1"/>
            </w:pPr>
            <w:r w:rsidRPr="009D1087">
              <w:t>Food and agriculture</w:t>
            </w:r>
          </w:p>
        </w:tc>
      </w:tr>
      <w:tr w:rsidR="00BF262B" w:rsidRPr="009106F1" w:rsidTr="00A822E7">
        <w:tc>
          <w:tcPr>
            <w:tcW w:w="4394" w:type="dxa"/>
          </w:tcPr>
          <w:p w:rsidR="00BF262B" w:rsidRPr="009106F1" w:rsidRDefault="00F72E9E" w:rsidP="00F72E9E">
            <w:pPr>
              <w:pStyle w:val="Tabletext"/>
              <w:spacing w:before="120"/>
              <w:ind w:left="198" w:hanging="198"/>
            </w:pPr>
            <w:r>
              <w:rPr>
                <w:rFonts w:cs="Arial"/>
              </w:rPr>
              <w:t>▪</w:t>
            </w:r>
            <w:r>
              <w:tab/>
            </w:r>
            <w:r w:rsidR="00BF262B" w:rsidRPr="009106F1">
              <w:t>A higher level of training for</w:t>
            </w:r>
            <w:r w:rsidR="00677B89">
              <w:t xml:space="preserve"> advanced production techniques</w:t>
            </w:r>
          </w:p>
          <w:p w:rsidR="00BF262B" w:rsidRPr="009106F1" w:rsidRDefault="00F72E9E" w:rsidP="00286775">
            <w:pPr>
              <w:pStyle w:val="Tabletext"/>
              <w:ind w:left="198" w:hanging="198"/>
            </w:pPr>
            <w:r>
              <w:rPr>
                <w:rFonts w:cs="Arial"/>
              </w:rPr>
              <w:t>▪</w:t>
            </w:r>
            <w:r>
              <w:tab/>
            </w:r>
            <w:r w:rsidR="00BF262B" w:rsidRPr="009106F1">
              <w:t>A higher level of skills in leadership, management, mentoring, risk management and the ability to translate research and developme</w:t>
            </w:r>
            <w:r w:rsidR="00677B89">
              <w:t>nt into successful new products</w:t>
            </w:r>
          </w:p>
          <w:p w:rsidR="00BF262B" w:rsidRPr="009106F1" w:rsidRDefault="00F72E9E" w:rsidP="00286775">
            <w:pPr>
              <w:pStyle w:val="Tabletext"/>
              <w:ind w:left="198" w:hanging="198"/>
            </w:pPr>
            <w:r>
              <w:rPr>
                <w:rFonts w:cs="Arial"/>
              </w:rPr>
              <w:t>▪</w:t>
            </w:r>
            <w:r>
              <w:tab/>
            </w:r>
            <w:r w:rsidR="00BF262B" w:rsidRPr="009106F1">
              <w:t>Highly skilled people who understand and can respond to the changing demands of the modern agricultural and food business operating envi</w:t>
            </w:r>
            <w:r w:rsidR="00677B89">
              <w:t>ronment and global market place</w:t>
            </w:r>
          </w:p>
        </w:tc>
        <w:tc>
          <w:tcPr>
            <w:tcW w:w="4395" w:type="dxa"/>
          </w:tcPr>
          <w:p w:rsidR="009106F1" w:rsidRPr="009106F1" w:rsidRDefault="00F72E9E" w:rsidP="00F72E9E">
            <w:pPr>
              <w:pStyle w:val="Tabletext"/>
              <w:spacing w:before="120"/>
              <w:ind w:left="198" w:hanging="198"/>
            </w:pPr>
            <w:r>
              <w:rPr>
                <w:rFonts w:cs="Arial"/>
              </w:rPr>
              <w:t>▪</w:t>
            </w:r>
            <w:r>
              <w:tab/>
            </w:r>
            <w:r w:rsidR="00677B89">
              <w:t>Attraction of new workers</w:t>
            </w:r>
          </w:p>
          <w:p w:rsidR="009106F1" w:rsidRPr="009106F1" w:rsidRDefault="00F72E9E" w:rsidP="00286775">
            <w:pPr>
              <w:pStyle w:val="Tabletext"/>
              <w:ind w:left="198" w:hanging="198"/>
            </w:pPr>
            <w:r>
              <w:rPr>
                <w:rFonts w:cs="Arial"/>
              </w:rPr>
              <w:t>▪</w:t>
            </w:r>
            <w:r>
              <w:tab/>
            </w:r>
            <w:r w:rsidR="009106F1" w:rsidRPr="009106F1">
              <w:t xml:space="preserve">Retention and skills </w:t>
            </w:r>
            <w:r w:rsidR="00677B89">
              <w:t>utilisation of existing workers</w:t>
            </w:r>
          </w:p>
          <w:p w:rsidR="009106F1" w:rsidRPr="009106F1" w:rsidRDefault="00F72E9E" w:rsidP="00286775">
            <w:pPr>
              <w:pStyle w:val="Tabletext"/>
              <w:ind w:left="198" w:hanging="198"/>
            </w:pPr>
            <w:r>
              <w:rPr>
                <w:rFonts w:cs="Arial"/>
              </w:rPr>
              <w:t>▪</w:t>
            </w:r>
            <w:r>
              <w:tab/>
            </w:r>
            <w:r w:rsidR="009106F1" w:rsidRPr="009106F1">
              <w:t xml:space="preserve">Development of business management, leadership and entrepreneurial capabilities. Stronger entrepreneurial, management and technical skills will be necessary to be successful in an increasingly interconnected global food industry. This is placing a premium </w:t>
            </w:r>
            <w:r w:rsidR="00677B89">
              <w:t>on partnerships in value chains</w:t>
            </w:r>
          </w:p>
          <w:p w:rsidR="009106F1" w:rsidRPr="009106F1" w:rsidRDefault="00F72E9E" w:rsidP="00286775">
            <w:pPr>
              <w:pStyle w:val="Tabletext"/>
              <w:ind w:left="198" w:hanging="198"/>
            </w:pPr>
            <w:r>
              <w:rPr>
                <w:rFonts w:cs="Arial"/>
              </w:rPr>
              <w:t>▪</w:t>
            </w:r>
            <w:r>
              <w:tab/>
            </w:r>
            <w:r w:rsidR="009106F1" w:rsidRPr="009106F1">
              <w:t>Adoption of hi</w:t>
            </w:r>
            <w:r w:rsidR="006D231C">
              <w:t>gher-</w:t>
            </w:r>
            <w:r w:rsidR="00677B89">
              <w:t>level skills and knowledge</w:t>
            </w:r>
          </w:p>
          <w:p w:rsidR="00B84BE3" w:rsidRDefault="00F72E9E" w:rsidP="00286775">
            <w:pPr>
              <w:pStyle w:val="Tabletext"/>
              <w:ind w:left="198" w:hanging="198"/>
            </w:pPr>
            <w:r>
              <w:rPr>
                <w:rFonts w:cs="Arial"/>
              </w:rPr>
              <w:t>▪</w:t>
            </w:r>
            <w:r>
              <w:tab/>
            </w:r>
            <w:r w:rsidR="009106F1" w:rsidRPr="009106F1">
              <w:t>Diffusion of new research findings, innovative practice and technolo</w:t>
            </w:r>
            <w:r w:rsidR="00677B89">
              <w:t>gies (</w:t>
            </w:r>
            <w:proofErr w:type="spellStart"/>
            <w:r w:rsidR="00677B89">
              <w:t>Agrifood</w:t>
            </w:r>
            <w:proofErr w:type="spellEnd"/>
            <w:r w:rsidR="00677B89">
              <w:t xml:space="preserve"> Skills Australia 2013)</w:t>
            </w:r>
          </w:p>
          <w:p w:rsidR="00F72E9E" w:rsidRPr="009106F1" w:rsidRDefault="00F72E9E" w:rsidP="00F72E9E">
            <w:pPr>
              <w:pStyle w:val="Tabletext"/>
              <w:ind w:left="198" w:hanging="198"/>
            </w:pPr>
            <w:r>
              <w:rPr>
                <w:rFonts w:cs="Arial"/>
              </w:rPr>
              <w:t>▪</w:t>
            </w:r>
            <w:r>
              <w:tab/>
            </w:r>
            <w:r w:rsidRPr="009106F1">
              <w:t xml:space="preserve">Specific to </w:t>
            </w:r>
            <w:r>
              <w:t>a</w:t>
            </w:r>
            <w:r w:rsidRPr="009106F1">
              <w:t>griculture</w:t>
            </w:r>
          </w:p>
          <w:p w:rsidR="00F72E9E" w:rsidRPr="009106F1" w:rsidRDefault="00F72E9E" w:rsidP="00F72E9E">
            <w:pPr>
              <w:pStyle w:val="Tabletext"/>
              <w:ind w:left="198" w:hanging="198"/>
            </w:pPr>
            <w:r>
              <w:rPr>
                <w:rFonts w:cs="Arial"/>
              </w:rPr>
              <w:t>▪</w:t>
            </w:r>
            <w:r>
              <w:tab/>
            </w:r>
            <w:r w:rsidRPr="009106F1">
              <w:t>Fierce competition for labour, particularly from the mining and construction</w:t>
            </w:r>
            <w:r>
              <w:t xml:space="preserve"> industries (</w:t>
            </w:r>
            <w:proofErr w:type="spellStart"/>
            <w:r>
              <w:t>Gelade</w:t>
            </w:r>
            <w:proofErr w:type="spellEnd"/>
            <w:r>
              <w:t xml:space="preserve"> &amp; Fox 2008)</w:t>
            </w:r>
          </w:p>
          <w:p w:rsidR="00F72E9E" w:rsidRPr="009106F1" w:rsidRDefault="00F72E9E" w:rsidP="00F72E9E">
            <w:pPr>
              <w:pStyle w:val="Tabletext"/>
              <w:ind w:left="198" w:hanging="198"/>
            </w:pPr>
            <w:r>
              <w:rPr>
                <w:rFonts w:cs="Arial"/>
              </w:rPr>
              <w:t>▪</w:t>
            </w:r>
            <w:r>
              <w:tab/>
            </w:r>
            <w:r w:rsidRPr="009106F1">
              <w:t xml:space="preserve">Poor promotion of the industry, including some negative messages about </w:t>
            </w:r>
            <w:r>
              <w:t>agricultural working conditions</w:t>
            </w:r>
          </w:p>
          <w:p w:rsidR="00F72E9E" w:rsidRPr="009106F1" w:rsidRDefault="00F72E9E" w:rsidP="00F72E9E">
            <w:pPr>
              <w:pStyle w:val="Tabletext"/>
              <w:ind w:left="198" w:hanging="198"/>
            </w:pPr>
            <w:r>
              <w:rPr>
                <w:rFonts w:cs="Arial"/>
              </w:rPr>
              <w:t>▪</w:t>
            </w:r>
            <w:r>
              <w:tab/>
            </w:r>
            <w:r w:rsidRPr="009106F1">
              <w:t>An ageing population a</w:t>
            </w:r>
            <w:r>
              <w:t>nd a declining rural population</w:t>
            </w:r>
          </w:p>
          <w:p w:rsidR="00F72E9E" w:rsidRPr="009106F1" w:rsidRDefault="00F72E9E" w:rsidP="00F72E9E">
            <w:pPr>
              <w:pStyle w:val="Tabletext"/>
              <w:ind w:left="198" w:hanging="198"/>
            </w:pPr>
            <w:r>
              <w:rPr>
                <w:rFonts w:cs="Arial"/>
              </w:rPr>
              <w:t>▪</w:t>
            </w:r>
            <w:r>
              <w:tab/>
            </w:r>
            <w:r w:rsidRPr="009106F1">
              <w:t>Low levels of industry particip</w:t>
            </w:r>
            <w:r>
              <w:t>ation in education and training</w:t>
            </w:r>
          </w:p>
          <w:p w:rsidR="00F72E9E" w:rsidRPr="009106F1" w:rsidRDefault="00F72E9E" w:rsidP="00F72E9E">
            <w:pPr>
              <w:pStyle w:val="Tabletext"/>
              <w:ind w:left="198" w:hanging="198"/>
            </w:pPr>
            <w:r>
              <w:rPr>
                <w:rFonts w:cs="Arial"/>
              </w:rPr>
              <w:t>▪</w:t>
            </w:r>
            <w:r>
              <w:tab/>
              <w:t>Low numbers of under</w:t>
            </w:r>
            <w:r w:rsidRPr="009106F1">
              <w:t>graduates and graduates in tertiary agriculture courses</w:t>
            </w:r>
          </w:p>
          <w:p w:rsidR="00F72E9E" w:rsidRPr="009106F1" w:rsidRDefault="00F72E9E" w:rsidP="00F72E9E">
            <w:pPr>
              <w:pStyle w:val="Tabletext"/>
              <w:ind w:left="198" w:hanging="198"/>
            </w:pPr>
            <w:r>
              <w:rPr>
                <w:rFonts w:cs="Arial"/>
              </w:rPr>
              <w:t>▪</w:t>
            </w:r>
            <w:r>
              <w:tab/>
            </w:r>
            <w:r w:rsidRPr="009106F1">
              <w:t>Poor awareness of agricultural career pathways and the limited capacity of the current education and training system to delive</w:t>
            </w:r>
            <w:r>
              <w:t>r innovative training solutions</w:t>
            </w:r>
            <w:r w:rsidRPr="009106F1">
              <w:t xml:space="preserve"> </w:t>
            </w:r>
          </w:p>
          <w:p w:rsidR="00F72E9E" w:rsidRPr="00F72E9E" w:rsidRDefault="00F72E9E" w:rsidP="00F72E9E">
            <w:pPr>
              <w:pStyle w:val="Text"/>
            </w:pPr>
          </w:p>
        </w:tc>
      </w:tr>
      <w:tr w:rsidR="00B84BE3" w:rsidRPr="009106F1" w:rsidTr="00A822E7">
        <w:tc>
          <w:tcPr>
            <w:tcW w:w="4394" w:type="dxa"/>
          </w:tcPr>
          <w:p w:rsidR="00B84BE3" w:rsidRPr="009106F1" w:rsidRDefault="00B84BE3" w:rsidP="00286775">
            <w:pPr>
              <w:pStyle w:val="Tabletext"/>
              <w:ind w:left="198" w:hanging="198"/>
            </w:pPr>
          </w:p>
        </w:tc>
        <w:tc>
          <w:tcPr>
            <w:tcW w:w="4395" w:type="dxa"/>
          </w:tcPr>
          <w:p w:rsidR="00B84BE3" w:rsidRPr="009106F1" w:rsidRDefault="00F72E9E" w:rsidP="00792580">
            <w:pPr>
              <w:pStyle w:val="Tabletext"/>
              <w:spacing w:before="120"/>
              <w:ind w:left="198" w:hanging="198"/>
            </w:pPr>
            <w:r>
              <w:rPr>
                <w:rFonts w:cs="Arial"/>
              </w:rPr>
              <w:t>▪</w:t>
            </w:r>
            <w:r>
              <w:tab/>
            </w:r>
            <w:r w:rsidR="00B84BE3" w:rsidRPr="009106F1">
              <w:t xml:space="preserve">Disconnect between vocational education and training and universities, with relatively few students moving between the VET and higher education </w:t>
            </w:r>
            <w:r w:rsidR="000E57E8">
              <w:t>sectors</w:t>
            </w:r>
            <w:r w:rsidR="00B84BE3" w:rsidRPr="009106F1">
              <w:t xml:space="preserve"> (Tr</w:t>
            </w:r>
            <w:r w:rsidR="00677B89">
              <w:t>aining and Skills Working Group 2009).</w:t>
            </w:r>
          </w:p>
        </w:tc>
      </w:tr>
      <w:tr w:rsidR="009106F1" w:rsidTr="00A822E7">
        <w:tc>
          <w:tcPr>
            <w:tcW w:w="8789" w:type="dxa"/>
            <w:gridSpan w:val="2"/>
            <w:shd w:val="clear" w:color="auto" w:fill="C6D9F1" w:themeFill="text2" w:themeFillTint="33"/>
          </w:tcPr>
          <w:p w:rsidR="009106F1" w:rsidRPr="00B84BE3" w:rsidRDefault="00B632CE" w:rsidP="00A822E7">
            <w:pPr>
              <w:pStyle w:val="Tablehead1"/>
            </w:pPr>
            <w:r>
              <w:t>Bio</w:t>
            </w:r>
            <w:r w:rsidR="009106F1" w:rsidRPr="00B84BE3">
              <w:t>technology and pharmaceuticals</w:t>
            </w:r>
          </w:p>
        </w:tc>
      </w:tr>
      <w:tr w:rsidR="00BF262B" w:rsidTr="00A822E7">
        <w:tc>
          <w:tcPr>
            <w:tcW w:w="4394" w:type="dxa"/>
            <w:shd w:val="clear" w:color="auto" w:fill="auto"/>
          </w:tcPr>
          <w:p w:rsidR="00BF262B" w:rsidRPr="009106F1" w:rsidRDefault="00F72E9E" w:rsidP="00792580">
            <w:pPr>
              <w:pStyle w:val="Tabletext"/>
              <w:spacing w:before="120"/>
              <w:ind w:left="198" w:hanging="198"/>
            </w:pPr>
            <w:r>
              <w:rPr>
                <w:rFonts w:cs="Arial"/>
              </w:rPr>
              <w:t>▪</w:t>
            </w:r>
            <w:r>
              <w:tab/>
            </w:r>
            <w:r w:rsidR="00BF262B" w:rsidRPr="009106F1">
              <w:t>Despite almost 95</w:t>
            </w:r>
            <w:r w:rsidR="008D67F9">
              <w:t>%</w:t>
            </w:r>
            <w:r w:rsidR="00BF262B" w:rsidRPr="009106F1">
              <w:t xml:space="preserve"> of the workforce having either a university or TAFE or equivalent qualification, there are concerns about </w:t>
            </w:r>
            <w:proofErr w:type="gramStart"/>
            <w:r w:rsidR="00BF262B" w:rsidRPr="009106F1">
              <w:t>the disconnect</w:t>
            </w:r>
            <w:proofErr w:type="gramEnd"/>
            <w:r w:rsidR="00BF262B" w:rsidRPr="009106F1">
              <w:t xml:space="preserve"> between the current level of training offered by the higher and vocational education </w:t>
            </w:r>
            <w:r w:rsidR="006D231C">
              <w:t>sector</w:t>
            </w:r>
            <w:r w:rsidR="00F94911">
              <w:t>s</w:t>
            </w:r>
            <w:r w:rsidR="00BF262B" w:rsidRPr="009106F1">
              <w:t xml:space="preserve"> and industry’s future training needs. Bioinformatics and biostatistics are specific technical skill gaps. </w:t>
            </w:r>
          </w:p>
          <w:p w:rsidR="00BF262B" w:rsidRPr="009106F1" w:rsidRDefault="00F72E9E" w:rsidP="00286775">
            <w:pPr>
              <w:pStyle w:val="Tabletext"/>
              <w:ind w:left="198" w:hanging="198"/>
            </w:pPr>
            <w:r>
              <w:rPr>
                <w:rFonts w:cs="Arial"/>
              </w:rPr>
              <w:t>▪</w:t>
            </w:r>
            <w:r>
              <w:tab/>
            </w:r>
            <w:r w:rsidR="00BF262B" w:rsidRPr="009106F1">
              <w:t xml:space="preserve">The broad educational background of the current workforce provides it with a degree of flexibility lacking in the workforces of some other industries. </w:t>
            </w:r>
          </w:p>
          <w:p w:rsidR="00BF262B" w:rsidRPr="009106F1" w:rsidRDefault="00F72E9E" w:rsidP="00286775">
            <w:pPr>
              <w:pStyle w:val="Tabletext"/>
              <w:ind w:left="198" w:hanging="198"/>
            </w:pPr>
            <w:r>
              <w:rPr>
                <w:rFonts w:cs="Arial"/>
              </w:rPr>
              <w:t>▪</w:t>
            </w:r>
            <w:r>
              <w:tab/>
            </w:r>
            <w:r w:rsidR="00BF262B" w:rsidRPr="009106F1">
              <w:t xml:space="preserve">Students generally do not have all the necessary work skills when they leave university (Pharmaceuticals Industry Strategy </w:t>
            </w:r>
            <w:r w:rsidR="00677B89">
              <w:t>Group</w:t>
            </w:r>
            <w:r w:rsidR="00BF262B" w:rsidRPr="009106F1">
              <w:t xml:space="preserve"> 2009).</w:t>
            </w:r>
          </w:p>
          <w:p w:rsidR="00B84BE3" w:rsidRPr="00B84BE3" w:rsidRDefault="00F72E9E" w:rsidP="00286775">
            <w:pPr>
              <w:pStyle w:val="Tabletext"/>
              <w:ind w:left="198" w:hanging="198"/>
            </w:pPr>
            <w:r>
              <w:rPr>
                <w:rFonts w:cs="Arial"/>
              </w:rPr>
              <w:t>▪</w:t>
            </w:r>
            <w:r>
              <w:tab/>
            </w:r>
            <w:r w:rsidR="00BF262B" w:rsidRPr="009106F1">
              <w:t>Leadership and management skills are needed in the areas of business development, regulatory affairs, clinical strategy a</w:t>
            </w:r>
            <w:r w:rsidR="00677B89">
              <w:t>nd project management (</w:t>
            </w:r>
            <w:r w:rsidR="00BF262B" w:rsidRPr="009106F1">
              <w:t>Departm</w:t>
            </w:r>
            <w:r w:rsidR="00677B89">
              <w:t xml:space="preserve">ent of State Development, Business and Innovation </w:t>
            </w:r>
            <w:r w:rsidR="00BF262B" w:rsidRPr="009106F1">
              <w:t>2012).</w:t>
            </w:r>
          </w:p>
        </w:tc>
        <w:tc>
          <w:tcPr>
            <w:tcW w:w="4395" w:type="dxa"/>
            <w:shd w:val="clear" w:color="auto" w:fill="auto"/>
          </w:tcPr>
          <w:p w:rsidR="00BF262B" w:rsidRPr="009106F1" w:rsidRDefault="00F72E9E" w:rsidP="00792580">
            <w:pPr>
              <w:pStyle w:val="Tabletext"/>
              <w:spacing w:before="120"/>
              <w:ind w:left="198" w:hanging="198"/>
            </w:pPr>
            <w:r>
              <w:rPr>
                <w:rFonts w:cs="Arial"/>
              </w:rPr>
              <w:t>▪</w:t>
            </w:r>
            <w:r>
              <w:tab/>
            </w:r>
            <w:r w:rsidR="00BF262B" w:rsidRPr="009106F1">
              <w:rPr>
                <w:noProof/>
              </w:rPr>
              <w:t xml:space="preserve">Smaller companies </w:t>
            </w:r>
            <w:r w:rsidR="00BF262B" w:rsidRPr="009106F1">
              <w:t>have more challenges in attracting and retaining staff.</w:t>
            </w:r>
          </w:p>
          <w:p w:rsidR="00BF262B" w:rsidRPr="009106F1" w:rsidRDefault="00F72E9E" w:rsidP="00286775">
            <w:pPr>
              <w:pStyle w:val="Tabletext"/>
              <w:ind w:left="198" w:hanging="198"/>
            </w:pPr>
            <w:r>
              <w:rPr>
                <w:rFonts w:cs="Arial"/>
              </w:rPr>
              <w:t>▪</w:t>
            </w:r>
            <w:r>
              <w:tab/>
            </w:r>
            <w:r w:rsidR="00BF262B" w:rsidRPr="009106F1">
              <w:t>Industry’s capacity to employ people is likely to significantly increase over the next five years.</w:t>
            </w:r>
          </w:p>
          <w:p w:rsidR="00BF262B" w:rsidRPr="009106F1" w:rsidRDefault="00F72E9E" w:rsidP="00286775">
            <w:pPr>
              <w:pStyle w:val="Tabletext"/>
              <w:ind w:left="198" w:hanging="198"/>
              <w:rPr>
                <w:noProof/>
              </w:rPr>
            </w:pPr>
            <w:r>
              <w:rPr>
                <w:rFonts w:cs="Arial"/>
              </w:rPr>
              <w:t>▪</w:t>
            </w:r>
            <w:r>
              <w:tab/>
            </w:r>
            <w:r w:rsidR="00BF262B" w:rsidRPr="009106F1">
              <w:t>Finding people with adequate skills and experience in Australia</w:t>
            </w:r>
            <w:r w:rsidR="00BF262B" w:rsidRPr="009106F1">
              <w:rPr>
                <w:noProof/>
              </w:rPr>
              <w:t xml:space="preserve">, particularly at senior levels, is a real challenge. </w:t>
            </w:r>
          </w:p>
          <w:p w:rsidR="00BF262B" w:rsidRPr="009106F1" w:rsidRDefault="00F72E9E" w:rsidP="00286775">
            <w:pPr>
              <w:pStyle w:val="Tabletext"/>
              <w:ind w:left="198" w:hanging="198"/>
              <w:rPr>
                <w:noProof/>
              </w:rPr>
            </w:pPr>
            <w:r>
              <w:rPr>
                <w:rFonts w:cs="Arial"/>
              </w:rPr>
              <w:t>▪</w:t>
            </w:r>
            <w:r>
              <w:tab/>
            </w:r>
            <w:r w:rsidR="00BF262B" w:rsidRPr="009106F1">
              <w:rPr>
                <w:noProof/>
              </w:rPr>
              <w:t>Finding people with commercial and business development skills in regulatory affairs, clinical strategy and project management</w:t>
            </w:r>
            <w:r w:rsidR="006D231C">
              <w:rPr>
                <w:noProof/>
              </w:rPr>
              <w:t>,</w:t>
            </w:r>
            <w:r w:rsidR="00BF262B" w:rsidRPr="009106F1">
              <w:rPr>
                <w:noProof/>
              </w:rPr>
              <w:t xml:space="preserve"> and technical and scientific skills in bioinformatics and biostatistics</w:t>
            </w:r>
            <w:r w:rsidR="00B632CE">
              <w:rPr>
                <w:noProof/>
              </w:rPr>
              <w:t xml:space="preserve"> is difficult</w:t>
            </w:r>
            <w:r w:rsidR="00BF262B" w:rsidRPr="009106F1">
              <w:rPr>
                <w:noProof/>
              </w:rPr>
              <w:t>.</w:t>
            </w:r>
          </w:p>
          <w:p w:rsidR="00BF262B" w:rsidRPr="009106F1" w:rsidRDefault="00F72E9E" w:rsidP="00286775">
            <w:pPr>
              <w:pStyle w:val="Tabletext"/>
              <w:ind w:left="198" w:hanging="198"/>
              <w:rPr>
                <w:noProof/>
              </w:rPr>
            </w:pPr>
            <w:r>
              <w:rPr>
                <w:rFonts w:cs="Arial"/>
              </w:rPr>
              <w:t>▪</w:t>
            </w:r>
            <w:r>
              <w:tab/>
            </w:r>
            <w:r w:rsidR="00BF262B" w:rsidRPr="009106F1">
              <w:rPr>
                <w:noProof/>
              </w:rPr>
              <w:t>Universities do not adequately understand industry needs.</w:t>
            </w:r>
          </w:p>
          <w:p w:rsidR="00BF262B" w:rsidRPr="009106F1" w:rsidRDefault="00F72E9E" w:rsidP="00F72E9E">
            <w:pPr>
              <w:pStyle w:val="Tabletext"/>
              <w:ind w:left="198" w:hanging="198"/>
            </w:pPr>
            <w:r>
              <w:rPr>
                <w:rFonts w:cs="Arial"/>
              </w:rPr>
              <w:t>▪</w:t>
            </w:r>
            <w:r>
              <w:tab/>
            </w:r>
            <w:r w:rsidR="00BF262B" w:rsidRPr="009106F1">
              <w:rPr>
                <w:noProof/>
              </w:rPr>
              <w:t>Academic and industry interests are not always aligned (Pharmace</w:t>
            </w:r>
            <w:r w:rsidR="00677B89">
              <w:rPr>
                <w:noProof/>
              </w:rPr>
              <w:t>uticals Industry Strategy Group</w:t>
            </w:r>
            <w:r w:rsidR="00BF262B" w:rsidRPr="009106F1">
              <w:rPr>
                <w:noProof/>
              </w:rPr>
              <w:t xml:space="preserve"> 2009).</w:t>
            </w:r>
          </w:p>
        </w:tc>
      </w:tr>
      <w:tr w:rsidR="009106F1" w:rsidTr="00A822E7">
        <w:tc>
          <w:tcPr>
            <w:tcW w:w="8789" w:type="dxa"/>
            <w:gridSpan w:val="2"/>
            <w:shd w:val="clear" w:color="auto" w:fill="C6D9F1" w:themeFill="text2" w:themeFillTint="33"/>
          </w:tcPr>
          <w:p w:rsidR="009106F1" w:rsidRPr="00B84BE3" w:rsidRDefault="009106F1" w:rsidP="00A822E7">
            <w:pPr>
              <w:pStyle w:val="Tablehead1"/>
            </w:pPr>
            <w:r w:rsidRPr="00B84BE3">
              <w:t>Advanced manufacturing</w:t>
            </w:r>
          </w:p>
        </w:tc>
      </w:tr>
      <w:tr w:rsidR="00BF262B" w:rsidTr="00A822E7">
        <w:tc>
          <w:tcPr>
            <w:tcW w:w="4394" w:type="dxa"/>
          </w:tcPr>
          <w:p w:rsidR="00BF262B" w:rsidRPr="009106F1" w:rsidRDefault="00F72E9E" w:rsidP="00792580">
            <w:pPr>
              <w:pStyle w:val="Tabletext"/>
              <w:spacing w:before="120"/>
              <w:ind w:left="198" w:hanging="198"/>
            </w:pPr>
            <w:r>
              <w:rPr>
                <w:rFonts w:cs="Arial"/>
              </w:rPr>
              <w:t>▪</w:t>
            </w:r>
            <w:r>
              <w:tab/>
            </w:r>
            <w:r w:rsidR="00BF262B" w:rsidRPr="009106F1">
              <w:t>As the concept of manufacturing moves beyond technical and engineering activities to one of services offered and needed in global value chains, the occupation and qualification profiles and implications for future skills development will noticeably change.</w:t>
            </w:r>
          </w:p>
          <w:p w:rsidR="00BF262B" w:rsidRPr="009106F1" w:rsidRDefault="00F72E9E" w:rsidP="00286775">
            <w:pPr>
              <w:pStyle w:val="Tabletext"/>
              <w:ind w:left="198" w:hanging="198"/>
            </w:pPr>
            <w:r>
              <w:rPr>
                <w:rFonts w:cs="Arial"/>
              </w:rPr>
              <w:t>▪</w:t>
            </w:r>
            <w:r>
              <w:tab/>
            </w:r>
            <w:r w:rsidR="00BF262B" w:rsidRPr="009106F1">
              <w:t>University-level skills and competencies are becoming the requisite level for many occupations in manufacturing.</w:t>
            </w:r>
          </w:p>
          <w:p w:rsidR="00BF262B" w:rsidRPr="009106F1" w:rsidRDefault="00F72E9E" w:rsidP="00286775">
            <w:pPr>
              <w:pStyle w:val="Tabletext"/>
              <w:ind w:left="198" w:hanging="198"/>
            </w:pPr>
            <w:r>
              <w:rPr>
                <w:rFonts w:cs="Arial"/>
              </w:rPr>
              <w:t>▪</w:t>
            </w:r>
            <w:r>
              <w:tab/>
            </w:r>
            <w:r w:rsidR="00BF262B" w:rsidRPr="009106F1">
              <w:t>Emerging university graduates tend to lack practical competencies.</w:t>
            </w:r>
          </w:p>
          <w:p w:rsidR="00BF262B" w:rsidRPr="009106F1" w:rsidRDefault="00F72E9E" w:rsidP="00286775">
            <w:pPr>
              <w:pStyle w:val="Tabletext"/>
              <w:ind w:left="198" w:hanging="198"/>
            </w:pPr>
            <w:r>
              <w:rPr>
                <w:rFonts w:cs="Arial"/>
              </w:rPr>
              <w:t>▪</w:t>
            </w:r>
            <w:r>
              <w:tab/>
            </w:r>
            <w:r w:rsidR="00ED012D">
              <w:t>The further</w:t>
            </w:r>
            <w:r w:rsidR="00B632CE">
              <w:t xml:space="preserve"> </w:t>
            </w:r>
            <w:r w:rsidR="00BF262B" w:rsidRPr="009106F1">
              <w:t>development of advanced manufacturing technologies relies on high-level application of STEM and literacy skills, as well as ability to integrate R&amp;D into manufacturing practice (</w:t>
            </w:r>
            <w:r w:rsidR="008D67F9">
              <w:t xml:space="preserve">Australian </w:t>
            </w:r>
            <w:r w:rsidR="006C26DD">
              <w:t>Workforce and Productivity</w:t>
            </w:r>
            <w:r w:rsidR="008D67F9">
              <w:t xml:space="preserve"> Agency</w:t>
            </w:r>
            <w:r w:rsidR="00BF262B" w:rsidRPr="009106F1">
              <w:t xml:space="preserve"> 2014).</w:t>
            </w:r>
          </w:p>
          <w:p w:rsidR="00BF262B" w:rsidRPr="009106F1" w:rsidRDefault="00F72E9E" w:rsidP="00286775">
            <w:pPr>
              <w:pStyle w:val="Tabletext"/>
              <w:ind w:left="198" w:hanging="198"/>
            </w:pPr>
            <w:r>
              <w:rPr>
                <w:rFonts w:cs="Arial"/>
              </w:rPr>
              <w:t>▪</w:t>
            </w:r>
            <w:r>
              <w:tab/>
            </w:r>
            <w:r w:rsidR="00ED012D">
              <w:t>A b</w:t>
            </w:r>
            <w:r w:rsidR="00BF262B" w:rsidRPr="009106F1">
              <w:t xml:space="preserve">alance of technical and theoretical skills </w:t>
            </w:r>
            <w:r w:rsidR="00B632CE">
              <w:t xml:space="preserve">is </w:t>
            </w:r>
            <w:r w:rsidR="00BF262B" w:rsidRPr="009106F1">
              <w:t>needed.</w:t>
            </w:r>
          </w:p>
          <w:p w:rsidR="00BF262B" w:rsidRPr="009106F1" w:rsidRDefault="00F72E9E" w:rsidP="00286775">
            <w:pPr>
              <w:pStyle w:val="Tabletext"/>
              <w:ind w:left="198" w:hanging="198"/>
            </w:pPr>
            <w:r>
              <w:rPr>
                <w:rFonts w:cs="Arial"/>
              </w:rPr>
              <w:t>▪</w:t>
            </w:r>
            <w:r>
              <w:tab/>
            </w:r>
            <w:r w:rsidR="00B632CE">
              <w:t>There is an i</w:t>
            </w:r>
            <w:r w:rsidR="00BF262B" w:rsidRPr="009106F1">
              <w:t>ncrease in diversi</w:t>
            </w:r>
            <w:r w:rsidR="00ED012D">
              <w:t>ty in the workplace profile, which</w:t>
            </w:r>
            <w:r w:rsidR="00BF262B" w:rsidRPr="009106F1">
              <w:t xml:space="preserve"> increases the potential recruitment pool.</w:t>
            </w:r>
          </w:p>
          <w:p w:rsidR="00BF262B" w:rsidRPr="009106F1" w:rsidRDefault="00F72E9E" w:rsidP="00286775">
            <w:pPr>
              <w:pStyle w:val="Tabletext"/>
              <w:ind w:left="198" w:hanging="198"/>
            </w:pPr>
            <w:r>
              <w:rPr>
                <w:rFonts w:cs="Arial"/>
              </w:rPr>
              <w:t>▪</w:t>
            </w:r>
            <w:r>
              <w:tab/>
            </w:r>
            <w:r w:rsidR="00BF262B" w:rsidRPr="009106F1">
              <w:t>Levels of</w:t>
            </w:r>
            <w:r w:rsidR="00B632CE">
              <w:t xml:space="preserve"> numeracy, literacy and problem-</w:t>
            </w:r>
            <w:r w:rsidR="00BF262B" w:rsidRPr="009106F1">
              <w:t>solving in manufacturing are lower than in most other industries.</w:t>
            </w:r>
          </w:p>
          <w:p w:rsidR="00BF262B" w:rsidRPr="009106F1" w:rsidRDefault="00F72E9E" w:rsidP="00286775">
            <w:pPr>
              <w:pStyle w:val="Tabletext"/>
              <w:ind w:left="198" w:hanging="198"/>
            </w:pPr>
            <w:r>
              <w:rPr>
                <w:rFonts w:cs="Arial"/>
              </w:rPr>
              <w:t>▪</w:t>
            </w:r>
            <w:r>
              <w:tab/>
            </w:r>
            <w:r w:rsidR="00BF262B" w:rsidRPr="009106F1">
              <w:t xml:space="preserve">Both VET and the higher education </w:t>
            </w:r>
            <w:r w:rsidR="00ED012D">
              <w:t xml:space="preserve">sectors </w:t>
            </w:r>
            <w:r w:rsidR="00BF262B" w:rsidRPr="009106F1">
              <w:t>need to emphasise employability skills and to foster agility and adaptability.</w:t>
            </w:r>
          </w:p>
          <w:p w:rsidR="00BF262B" w:rsidRPr="009106F1" w:rsidRDefault="00F72E9E" w:rsidP="00286775">
            <w:pPr>
              <w:pStyle w:val="Tabletext"/>
              <w:ind w:left="198" w:hanging="198"/>
            </w:pPr>
            <w:r>
              <w:rPr>
                <w:rFonts w:cs="Arial"/>
              </w:rPr>
              <w:t>▪</w:t>
            </w:r>
            <w:r>
              <w:tab/>
            </w:r>
            <w:r w:rsidR="00BF262B" w:rsidRPr="009106F1">
              <w:t>Strategies will be needed to improve completions in apprenticeships, overcome barriers to work</w:t>
            </w:r>
            <w:r w:rsidR="00BF262B" w:rsidRPr="009106F1">
              <w:rPr>
                <w:rFonts w:eastAsia="MS Mincho" w:hint="eastAsia"/>
              </w:rPr>
              <w:t>‑</w:t>
            </w:r>
            <w:r w:rsidR="00BF262B" w:rsidRPr="009106F1">
              <w:t>integrated learning and address nationwide STEM issues (</w:t>
            </w:r>
            <w:r w:rsidR="008D67F9">
              <w:t xml:space="preserve">Australian </w:t>
            </w:r>
            <w:r w:rsidR="006C26DD">
              <w:t>Workforce and Productivity</w:t>
            </w:r>
            <w:r w:rsidR="008D67F9">
              <w:t xml:space="preserve"> Agency</w:t>
            </w:r>
            <w:r w:rsidR="00BF262B" w:rsidRPr="009106F1">
              <w:t xml:space="preserve"> 2014).</w:t>
            </w:r>
          </w:p>
        </w:tc>
        <w:tc>
          <w:tcPr>
            <w:tcW w:w="4395" w:type="dxa"/>
          </w:tcPr>
          <w:p w:rsidR="00BF262B" w:rsidRPr="009106F1" w:rsidRDefault="00F72E9E" w:rsidP="00792580">
            <w:pPr>
              <w:pStyle w:val="Tabletext"/>
              <w:spacing w:before="120"/>
              <w:ind w:left="198" w:hanging="198"/>
            </w:pPr>
            <w:r>
              <w:rPr>
                <w:rFonts w:cs="Arial"/>
              </w:rPr>
              <w:t>▪</w:t>
            </w:r>
            <w:r>
              <w:tab/>
            </w:r>
            <w:r w:rsidR="00BF262B" w:rsidRPr="009106F1">
              <w:t>It is estimated that almost 50</w:t>
            </w:r>
            <w:r w:rsidR="008D67F9">
              <w:t>%</w:t>
            </w:r>
            <w:r w:rsidR="00BF262B" w:rsidRPr="009106F1">
              <w:t xml:space="preserve"> of workers in the manufacturing industry have language, literacy and numeracy (LLN) skills belo</w:t>
            </w:r>
            <w:r w:rsidR="00B632CE">
              <w:t>w the required functional level</w:t>
            </w:r>
            <w:r w:rsidR="00BF262B" w:rsidRPr="009106F1">
              <w:t xml:space="preserve"> (</w:t>
            </w:r>
            <w:r w:rsidR="008D67F9">
              <w:t xml:space="preserve">Australian </w:t>
            </w:r>
            <w:r w:rsidR="006C26DD">
              <w:t>Workforce and Productivity</w:t>
            </w:r>
            <w:r w:rsidR="008D67F9">
              <w:t xml:space="preserve"> Agency</w:t>
            </w:r>
            <w:r w:rsidR="00BF262B" w:rsidRPr="009106F1">
              <w:t xml:space="preserve"> 2014).</w:t>
            </w:r>
          </w:p>
          <w:p w:rsidR="00BF262B" w:rsidRPr="009106F1" w:rsidRDefault="00F72E9E" w:rsidP="00286775">
            <w:pPr>
              <w:pStyle w:val="Tabletext"/>
              <w:ind w:left="198" w:hanging="198"/>
            </w:pPr>
            <w:r>
              <w:rPr>
                <w:rFonts w:cs="Arial"/>
              </w:rPr>
              <w:t>▪</w:t>
            </w:r>
            <w:r>
              <w:tab/>
            </w:r>
            <w:r w:rsidR="00BF262B" w:rsidRPr="009106F1">
              <w:t>Structural adjustment</w:t>
            </w:r>
            <w:r w:rsidR="00ED012D">
              <w:t xml:space="preserve"> is required</w:t>
            </w:r>
            <w:r w:rsidR="00BF262B" w:rsidRPr="009106F1">
              <w:t>, with employment over the last decade declining steadily in the majority of the industry’s subsectors. Overall employment figures are expected to continue to decline, meaning a significant portion of workers have needed to look for new employment, both in and outside the manufacturing industry.</w:t>
            </w:r>
          </w:p>
          <w:p w:rsidR="00BF262B" w:rsidRPr="009106F1" w:rsidRDefault="00F72E9E" w:rsidP="00286775">
            <w:pPr>
              <w:pStyle w:val="Tabletext"/>
              <w:ind w:left="198" w:hanging="198"/>
            </w:pPr>
            <w:r>
              <w:rPr>
                <w:rFonts w:cs="Arial"/>
              </w:rPr>
              <w:t>▪</w:t>
            </w:r>
            <w:r>
              <w:tab/>
            </w:r>
            <w:r w:rsidR="00BF262B" w:rsidRPr="009106F1">
              <w:t>The skills of manufacturing workers may not be easily identified as transferable.</w:t>
            </w:r>
          </w:p>
          <w:p w:rsidR="00BF262B" w:rsidRPr="009106F1" w:rsidRDefault="00F72E9E" w:rsidP="00286775">
            <w:pPr>
              <w:pStyle w:val="Tabletext"/>
              <w:ind w:left="198" w:hanging="198"/>
            </w:pPr>
            <w:r>
              <w:rPr>
                <w:rFonts w:cs="Arial"/>
              </w:rPr>
              <w:t>▪</w:t>
            </w:r>
            <w:r>
              <w:tab/>
            </w:r>
            <w:r w:rsidR="00BF262B" w:rsidRPr="009106F1">
              <w:t>Attracting and retaining an appropriately skilled workforce</w:t>
            </w:r>
            <w:r w:rsidR="00B632CE">
              <w:t xml:space="preserve"> is difficult</w:t>
            </w:r>
            <w:r w:rsidR="00BF262B" w:rsidRPr="009106F1">
              <w:t>.</w:t>
            </w:r>
          </w:p>
          <w:p w:rsidR="00BF262B" w:rsidRPr="009106F1" w:rsidRDefault="00F72E9E" w:rsidP="00286775">
            <w:pPr>
              <w:pStyle w:val="Tabletext"/>
              <w:ind w:left="198" w:hanging="198"/>
            </w:pPr>
            <w:r>
              <w:rPr>
                <w:rFonts w:cs="Arial"/>
              </w:rPr>
              <w:t>▪</w:t>
            </w:r>
            <w:r>
              <w:tab/>
            </w:r>
            <w:r w:rsidR="00B632CE">
              <w:t xml:space="preserve">There are difficulties in </w:t>
            </w:r>
            <w:r w:rsidR="00BF262B" w:rsidRPr="009106F1">
              <w:t>recruiting employees with STEM skills.</w:t>
            </w:r>
          </w:p>
          <w:p w:rsidR="00BF262B" w:rsidRPr="009106F1" w:rsidRDefault="00F72E9E" w:rsidP="00286775">
            <w:pPr>
              <w:pStyle w:val="Tabletext"/>
              <w:ind w:left="198" w:hanging="198"/>
            </w:pPr>
            <w:r>
              <w:rPr>
                <w:rFonts w:cs="Arial"/>
              </w:rPr>
              <w:t>▪</w:t>
            </w:r>
            <w:r>
              <w:tab/>
            </w:r>
            <w:r w:rsidR="00B632CE">
              <w:t>There is a l</w:t>
            </w:r>
            <w:r w:rsidR="00ED012D">
              <w:t>ack of ‘innovation’ skills and</w:t>
            </w:r>
            <w:r w:rsidR="00BF262B" w:rsidRPr="009106F1">
              <w:t xml:space="preserve"> digital literacy (</w:t>
            </w:r>
            <w:r w:rsidR="008D67F9">
              <w:t xml:space="preserve">Australian </w:t>
            </w:r>
            <w:r w:rsidR="006C26DD">
              <w:t>Workforce and Productivity</w:t>
            </w:r>
            <w:r w:rsidR="008D67F9">
              <w:t xml:space="preserve"> Agency</w:t>
            </w:r>
            <w:r w:rsidR="00BF262B" w:rsidRPr="009106F1">
              <w:t xml:space="preserve"> 2014).</w:t>
            </w:r>
          </w:p>
        </w:tc>
      </w:tr>
      <w:tr w:rsidR="009106F1" w:rsidTr="00A822E7">
        <w:tc>
          <w:tcPr>
            <w:tcW w:w="8789" w:type="dxa"/>
            <w:gridSpan w:val="2"/>
            <w:shd w:val="clear" w:color="auto" w:fill="C6D9F1" w:themeFill="text2" w:themeFillTint="33"/>
          </w:tcPr>
          <w:p w:rsidR="009106F1" w:rsidRPr="009106F1" w:rsidRDefault="009106F1" w:rsidP="00A822E7">
            <w:pPr>
              <w:pStyle w:val="Tablehead1"/>
            </w:pPr>
            <w:r w:rsidRPr="009106F1">
              <w:t>Mining equipment, technology and services</w:t>
            </w:r>
          </w:p>
        </w:tc>
      </w:tr>
      <w:tr w:rsidR="00BF262B" w:rsidTr="00A822E7">
        <w:tc>
          <w:tcPr>
            <w:tcW w:w="4394" w:type="dxa"/>
          </w:tcPr>
          <w:p w:rsidR="00BF262B" w:rsidRPr="009106F1" w:rsidRDefault="00F72E9E" w:rsidP="00792580">
            <w:pPr>
              <w:pStyle w:val="Tabletext"/>
              <w:spacing w:before="120"/>
              <w:ind w:left="198" w:hanging="198"/>
            </w:pPr>
            <w:r>
              <w:rPr>
                <w:rFonts w:cs="Arial"/>
              </w:rPr>
              <w:t>▪</w:t>
            </w:r>
            <w:r>
              <w:tab/>
            </w:r>
            <w:r w:rsidR="00BF262B" w:rsidRPr="009106F1">
              <w:t>It usually takes three to four years for graduates to increase their skills to the level the industry requires (</w:t>
            </w:r>
            <w:r w:rsidR="00B632CE">
              <w:t>&lt;Mining-technology.com</w:t>
            </w:r>
            <w:r w:rsidR="00BF262B" w:rsidRPr="009106F1">
              <w:t xml:space="preserve"> 2007</w:t>
            </w:r>
            <w:r w:rsidR="00B632CE">
              <w:t>&gt;</w:t>
            </w:r>
            <w:r w:rsidR="00BF262B" w:rsidRPr="009106F1">
              <w:t>).</w:t>
            </w:r>
          </w:p>
          <w:p w:rsidR="00BF262B" w:rsidRPr="009106F1" w:rsidRDefault="00F72E9E" w:rsidP="00286775">
            <w:pPr>
              <w:pStyle w:val="Tabletext"/>
              <w:ind w:left="198" w:hanging="198"/>
            </w:pPr>
            <w:r>
              <w:rPr>
                <w:rFonts w:cs="Arial"/>
              </w:rPr>
              <w:t>▪</w:t>
            </w:r>
            <w:r>
              <w:tab/>
            </w:r>
            <w:r w:rsidR="00BF262B" w:rsidRPr="009106F1">
              <w:t>The greatest barrier to recruitment is a lack of applicants with STEM skills.</w:t>
            </w:r>
          </w:p>
          <w:p w:rsidR="00BF262B" w:rsidRPr="009106F1" w:rsidRDefault="00F72E9E" w:rsidP="00286775">
            <w:pPr>
              <w:pStyle w:val="Tabletext"/>
              <w:ind w:left="198" w:hanging="198"/>
            </w:pPr>
            <w:r>
              <w:rPr>
                <w:rFonts w:cs="Arial"/>
              </w:rPr>
              <w:t>▪</w:t>
            </w:r>
            <w:r>
              <w:tab/>
            </w:r>
            <w:r w:rsidR="00B632CE">
              <w:t>There is a l</w:t>
            </w:r>
            <w:r w:rsidR="00BF262B" w:rsidRPr="009106F1">
              <w:t xml:space="preserve">ack of workplace experience and the content of qualifications </w:t>
            </w:r>
            <w:r w:rsidR="00ED012D">
              <w:t>is</w:t>
            </w:r>
            <w:r w:rsidR="00B632CE">
              <w:t xml:space="preserve"> </w:t>
            </w:r>
            <w:r w:rsidR="00BF262B" w:rsidRPr="009106F1">
              <w:t>not relevant to business n</w:t>
            </w:r>
            <w:r w:rsidR="00ED012D">
              <w:t>eeds (Australian Industry Group</w:t>
            </w:r>
            <w:r w:rsidR="00BF262B" w:rsidRPr="009106F1">
              <w:t xml:space="preserve"> 2013).</w:t>
            </w:r>
          </w:p>
        </w:tc>
        <w:tc>
          <w:tcPr>
            <w:tcW w:w="4395" w:type="dxa"/>
          </w:tcPr>
          <w:p w:rsidR="00BF262B" w:rsidRPr="009106F1" w:rsidRDefault="00F72E9E" w:rsidP="00792580">
            <w:pPr>
              <w:pStyle w:val="Tabletext"/>
              <w:spacing w:before="120"/>
              <w:ind w:left="198" w:hanging="198"/>
              <w:rPr>
                <w:noProof/>
              </w:rPr>
            </w:pPr>
            <w:r>
              <w:rPr>
                <w:rFonts w:cs="Arial"/>
              </w:rPr>
              <w:t>▪</w:t>
            </w:r>
            <w:r>
              <w:tab/>
            </w:r>
            <w:r w:rsidR="00B632CE">
              <w:rPr>
                <w:noProof/>
              </w:rPr>
              <w:t>There is an a</w:t>
            </w:r>
            <w:r w:rsidR="00BF262B" w:rsidRPr="009106F1">
              <w:rPr>
                <w:noProof/>
              </w:rPr>
              <w:t>geing workforce.</w:t>
            </w:r>
          </w:p>
          <w:p w:rsidR="00BF262B" w:rsidRPr="009106F1" w:rsidRDefault="00F72E9E" w:rsidP="00286775">
            <w:pPr>
              <w:pStyle w:val="Tabletext"/>
              <w:ind w:left="198" w:hanging="198"/>
              <w:rPr>
                <w:noProof/>
              </w:rPr>
            </w:pPr>
            <w:r>
              <w:rPr>
                <w:rFonts w:cs="Arial"/>
              </w:rPr>
              <w:t>▪</w:t>
            </w:r>
            <w:r>
              <w:tab/>
            </w:r>
            <w:r w:rsidR="00B632CE">
              <w:rPr>
                <w:noProof/>
              </w:rPr>
              <w:t>There are difficulties</w:t>
            </w:r>
            <w:r w:rsidR="00BF262B" w:rsidRPr="009106F1">
              <w:rPr>
                <w:noProof/>
              </w:rPr>
              <w:t xml:space="preserve"> in finding skilled staff with man</w:t>
            </w:r>
            <w:r w:rsidR="00F94911">
              <w:rPr>
                <w:noProof/>
              </w:rPr>
              <w:t>a</w:t>
            </w:r>
            <w:r w:rsidR="00BF262B" w:rsidRPr="009106F1">
              <w:rPr>
                <w:noProof/>
              </w:rPr>
              <w:t xml:space="preserve">gerial and technical skills (including engineering , IT </w:t>
            </w:r>
            <w:r w:rsidR="00ED012D">
              <w:rPr>
                <w:noProof/>
              </w:rPr>
              <w:t>and marketing)</w:t>
            </w:r>
            <w:r w:rsidR="00BF262B" w:rsidRPr="009106F1">
              <w:rPr>
                <w:noProof/>
              </w:rPr>
              <w:t>, in particular in non-metropolitan areas or in hazardous workplaces.</w:t>
            </w:r>
          </w:p>
          <w:p w:rsidR="00BF262B" w:rsidRPr="009106F1" w:rsidRDefault="00F72E9E" w:rsidP="00286775">
            <w:pPr>
              <w:pStyle w:val="Tabletext"/>
              <w:ind w:left="198" w:hanging="198"/>
            </w:pPr>
            <w:r>
              <w:rPr>
                <w:rFonts w:cs="Arial"/>
              </w:rPr>
              <w:t>▪</w:t>
            </w:r>
            <w:r>
              <w:tab/>
            </w:r>
            <w:r w:rsidR="00BF262B" w:rsidRPr="009106F1">
              <w:rPr>
                <w:noProof/>
              </w:rPr>
              <w:t>The cost of recruiting and maintaining quality engineering, management and trades staff</w:t>
            </w:r>
            <w:r w:rsidR="00B632CE">
              <w:rPr>
                <w:noProof/>
              </w:rPr>
              <w:t xml:space="preserve"> is high (Austmine</w:t>
            </w:r>
            <w:r w:rsidR="00BF262B" w:rsidRPr="009106F1">
              <w:rPr>
                <w:noProof/>
              </w:rPr>
              <w:t xml:space="preserve"> 2013).</w:t>
            </w:r>
          </w:p>
        </w:tc>
      </w:tr>
      <w:tr w:rsidR="00792580" w:rsidTr="00965E6D">
        <w:tc>
          <w:tcPr>
            <w:tcW w:w="8789" w:type="dxa"/>
            <w:gridSpan w:val="2"/>
            <w:shd w:val="clear" w:color="auto" w:fill="auto"/>
          </w:tcPr>
          <w:p w:rsidR="00792580" w:rsidRPr="009106F1" w:rsidRDefault="00792580" w:rsidP="00A822E7">
            <w:pPr>
              <w:pStyle w:val="Tablehead1"/>
            </w:pPr>
          </w:p>
        </w:tc>
      </w:tr>
      <w:tr w:rsidR="00792580" w:rsidTr="00965E6D">
        <w:tc>
          <w:tcPr>
            <w:tcW w:w="8789" w:type="dxa"/>
            <w:gridSpan w:val="2"/>
            <w:shd w:val="clear" w:color="auto" w:fill="auto"/>
          </w:tcPr>
          <w:p w:rsidR="00792580" w:rsidRPr="009106F1" w:rsidRDefault="00792580" w:rsidP="00A822E7">
            <w:pPr>
              <w:pStyle w:val="Tablehead1"/>
            </w:pPr>
          </w:p>
        </w:tc>
      </w:tr>
      <w:tr w:rsidR="00792580" w:rsidTr="00965E6D">
        <w:tc>
          <w:tcPr>
            <w:tcW w:w="8789" w:type="dxa"/>
            <w:gridSpan w:val="2"/>
            <w:shd w:val="clear" w:color="auto" w:fill="auto"/>
          </w:tcPr>
          <w:p w:rsidR="00792580" w:rsidRPr="009106F1" w:rsidRDefault="00792580" w:rsidP="00A822E7">
            <w:pPr>
              <w:pStyle w:val="Tablehead1"/>
            </w:pPr>
          </w:p>
        </w:tc>
      </w:tr>
      <w:tr w:rsidR="009106F1" w:rsidTr="00A822E7">
        <w:tc>
          <w:tcPr>
            <w:tcW w:w="8789" w:type="dxa"/>
            <w:gridSpan w:val="2"/>
            <w:shd w:val="clear" w:color="auto" w:fill="C6D9F1" w:themeFill="text2" w:themeFillTint="33"/>
          </w:tcPr>
          <w:p w:rsidR="009106F1" w:rsidRPr="009106F1" w:rsidRDefault="009106F1" w:rsidP="00A822E7">
            <w:pPr>
              <w:pStyle w:val="Tablehead1"/>
            </w:pPr>
            <w:r w:rsidRPr="009106F1">
              <w:lastRenderedPageBreak/>
              <w:t>Oil and gas</w:t>
            </w:r>
          </w:p>
        </w:tc>
      </w:tr>
      <w:tr w:rsidR="00BF262B" w:rsidRPr="00A822E7" w:rsidTr="00A822E7">
        <w:tc>
          <w:tcPr>
            <w:tcW w:w="4394" w:type="dxa"/>
            <w:tcBorders>
              <w:bottom w:val="single" w:sz="12" w:space="0" w:color="1F497D" w:themeColor="text2"/>
            </w:tcBorders>
          </w:tcPr>
          <w:p w:rsidR="00BF262B" w:rsidRPr="00A822E7" w:rsidRDefault="00F72E9E" w:rsidP="00792580">
            <w:pPr>
              <w:pStyle w:val="Tabletext"/>
              <w:spacing w:before="120"/>
              <w:ind w:left="198" w:hanging="198"/>
            </w:pPr>
            <w:r>
              <w:rPr>
                <w:rFonts w:cs="Arial"/>
              </w:rPr>
              <w:t>▪</w:t>
            </w:r>
            <w:r>
              <w:tab/>
            </w:r>
            <w:r w:rsidR="00BF262B" w:rsidRPr="00A822E7">
              <w:t>A skills gap exists at a highly technical and senior level (</w:t>
            </w:r>
            <w:r w:rsidR="00086920" w:rsidRPr="00A822E7">
              <w:t>Australian Petroleum Production &amp; Exploration Association</w:t>
            </w:r>
            <w:r w:rsidR="00BF262B" w:rsidRPr="00A822E7">
              <w:t xml:space="preserve"> 2014a). No official statistics are available on whether this skills gap is being met through migration. </w:t>
            </w:r>
            <w:r w:rsidR="009D0294" w:rsidRPr="00A822E7">
              <w:t>However, we observe that the number of visas granted during 2013 was 490</w:t>
            </w:r>
            <w:r w:rsidR="00086920" w:rsidRPr="00A822E7">
              <w:t>,</w:t>
            </w:r>
            <w:r w:rsidR="009D0294" w:rsidRPr="00A822E7">
              <w:t xml:space="preserve"> with the number of visa lodgements during that year being 450. This indicates a high incidence of obtaining a visa grant if someone were to apply under this industry (</w:t>
            </w:r>
            <w:r w:rsidR="00086920" w:rsidRPr="00A822E7">
              <w:t>Department of Immigration and Border Protection</w:t>
            </w:r>
            <w:r w:rsidR="009D0294" w:rsidRPr="00A822E7">
              <w:t xml:space="preserve"> 2013). Nonetheless, with recent changes to the visa requirements, it remains unclear if obtaining visas under this stream guarantees a good success rate.</w:t>
            </w:r>
          </w:p>
          <w:p w:rsidR="00BF262B" w:rsidRPr="00A822E7" w:rsidRDefault="00F72E9E" w:rsidP="00F72E9E">
            <w:pPr>
              <w:pStyle w:val="Tabletext"/>
              <w:ind w:left="198" w:hanging="198"/>
            </w:pPr>
            <w:r>
              <w:rPr>
                <w:rFonts w:cs="Arial"/>
              </w:rPr>
              <w:t>▪</w:t>
            </w:r>
            <w:r>
              <w:tab/>
            </w:r>
            <w:r w:rsidR="00086920" w:rsidRPr="00A822E7">
              <w:t>There is a g</w:t>
            </w:r>
            <w:r w:rsidR="00BF262B" w:rsidRPr="00A822E7">
              <w:t>rowing demand for technical personnel in oil and gas plant pro</w:t>
            </w:r>
            <w:r w:rsidR="00086920" w:rsidRPr="00A822E7">
              <w:t>cess operations and maintenance</w:t>
            </w:r>
            <w:r w:rsidR="00BF262B" w:rsidRPr="00A822E7">
              <w:t xml:space="preserve"> and supervisors with appropriate levels of technical </w:t>
            </w:r>
            <w:r w:rsidR="00086920" w:rsidRPr="00A822E7">
              <w:t>and safety experience and front</w:t>
            </w:r>
            <w:r w:rsidR="00BF262B" w:rsidRPr="00A822E7">
              <w:t>line management skills.</w:t>
            </w:r>
          </w:p>
          <w:p w:rsidR="00BF262B" w:rsidRPr="00A822E7" w:rsidRDefault="00F72E9E" w:rsidP="00F72E9E">
            <w:pPr>
              <w:pStyle w:val="Tabletext"/>
              <w:ind w:left="198" w:hanging="198"/>
            </w:pPr>
            <w:r>
              <w:rPr>
                <w:rFonts w:cs="Arial"/>
              </w:rPr>
              <w:t>▪</w:t>
            </w:r>
            <w:r>
              <w:tab/>
            </w:r>
            <w:r w:rsidR="00BF262B" w:rsidRPr="00A822E7">
              <w:t>In the operational phase of projects, the industry continues to face skills gaps and shortages in professional disciplines such as geosciences and various forms of engineering, as well as increasing competition for electrical and process technicians (</w:t>
            </w:r>
            <w:r w:rsidR="00086920" w:rsidRPr="00A822E7">
              <w:t>Australian Petroleum Production &amp; Exploration Association 2014a</w:t>
            </w:r>
            <w:r w:rsidR="00BF262B" w:rsidRPr="00A822E7">
              <w:t>).</w:t>
            </w:r>
          </w:p>
        </w:tc>
        <w:tc>
          <w:tcPr>
            <w:tcW w:w="4395" w:type="dxa"/>
            <w:tcBorders>
              <w:bottom w:val="single" w:sz="12" w:space="0" w:color="1F497D" w:themeColor="text2"/>
            </w:tcBorders>
          </w:tcPr>
          <w:p w:rsidR="00BF262B" w:rsidRPr="00A822E7" w:rsidRDefault="00F72E9E" w:rsidP="00792580">
            <w:pPr>
              <w:pStyle w:val="Tabletext"/>
              <w:spacing w:before="120"/>
              <w:ind w:left="198" w:hanging="198"/>
            </w:pPr>
            <w:r>
              <w:rPr>
                <w:rFonts w:cs="Arial"/>
              </w:rPr>
              <w:t>▪</w:t>
            </w:r>
            <w:r>
              <w:tab/>
            </w:r>
            <w:r w:rsidR="00086920" w:rsidRPr="00A822E7">
              <w:t>Access to skilled labour is an issue, with</w:t>
            </w:r>
            <w:r w:rsidR="00BF262B" w:rsidRPr="00A822E7">
              <w:t xml:space="preserve"> local labour forces generally unable to meet all the demands of oil and gas projects.</w:t>
            </w:r>
          </w:p>
          <w:p w:rsidR="00BF262B" w:rsidRPr="00A822E7" w:rsidRDefault="00F72E9E" w:rsidP="00F72E9E">
            <w:pPr>
              <w:pStyle w:val="Tabletext"/>
              <w:ind w:left="198" w:hanging="198"/>
            </w:pPr>
            <w:r>
              <w:rPr>
                <w:rFonts w:cs="Arial"/>
              </w:rPr>
              <w:t>▪</w:t>
            </w:r>
            <w:r>
              <w:tab/>
            </w:r>
            <w:r w:rsidR="00086920" w:rsidRPr="00A822E7">
              <w:t>There will be c</w:t>
            </w:r>
            <w:r w:rsidR="00BF262B" w:rsidRPr="00A822E7">
              <w:t>ompetition for labour with many mining and infrastructure projects also planned for construction over the next five years.</w:t>
            </w:r>
          </w:p>
          <w:p w:rsidR="00BF262B" w:rsidRPr="00A822E7" w:rsidRDefault="00F72E9E" w:rsidP="00F72E9E">
            <w:pPr>
              <w:pStyle w:val="Tabletext"/>
              <w:ind w:left="198" w:hanging="198"/>
            </w:pPr>
            <w:r>
              <w:rPr>
                <w:rFonts w:cs="Arial"/>
              </w:rPr>
              <w:t>▪</w:t>
            </w:r>
            <w:r>
              <w:tab/>
            </w:r>
            <w:r w:rsidR="00BF262B" w:rsidRPr="00A822E7">
              <w:t>Workforce pressures are extending beyond traditional trades. The different stages of capital-intensive oil and gas developments require workforces of varying sizes. During the project capital expenditure (‘</w:t>
            </w:r>
            <w:proofErr w:type="spellStart"/>
            <w:r w:rsidR="00BF262B" w:rsidRPr="00A822E7">
              <w:t>capex</w:t>
            </w:r>
            <w:proofErr w:type="spellEnd"/>
            <w:r w:rsidR="00BF262B" w:rsidRPr="00A822E7">
              <w:t>’) phase, there is a far greater labour requirement as large-scale civil works and facility development occurs. Conversely, project operations typically require fewer and often more specialised workers to manage the operation and maintenance of production facilities.</w:t>
            </w:r>
          </w:p>
          <w:p w:rsidR="00BF262B" w:rsidRPr="00A822E7" w:rsidRDefault="00F72E9E" w:rsidP="00F72E9E">
            <w:pPr>
              <w:pStyle w:val="Tabletext"/>
              <w:ind w:left="198" w:hanging="198"/>
            </w:pPr>
            <w:r>
              <w:rPr>
                <w:rFonts w:cs="Arial"/>
              </w:rPr>
              <w:t>▪</w:t>
            </w:r>
            <w:r>
              <w:tab/>
            </w:r>
            <w:r w:rsidR="00BF262B" w:rsidRPr="00A822E7">
              <w:t>The discordance of labour requirements over the life of the project creates additional issues for the industry in matching workforce supply and demand. The nature of the development means that there are many short-term</w:t>
            </w:r>
            <w:r w:rsidR="00086920" w:rsidRPr="00A822E7">
              <w:t xml:space="preserve"> jobs available, but fewer long-</w:t>
            </w:r>
            <w:r w:rsidR="00BF262B" w:rsidRPr="00A822E7">
              <w:t xml:space="preserve">term opportunities after the </w:t>
            </w:r>
            <w:proofErr w:type="spellStart"/>
            <w:r w:rsidR="00BF262B" w:rsidRPr="00A822E7">
              <w:t>capex</w:t>
            </w:r>
            <w:proofErr w:type="spellEnd"/>
            <w:r w:rsidR="00BF262B" w:rsidRPr="00A822E7">
              <w:t xml:space="preserve"> p</w:t>
            </w:r>
            <w:r w:rsidR="00086920" w:rsidRPr="00A822E7">
              <w:t>hase (Deloitte Access Economics</w:t>
            </w:r>
            <w:r w:rsidR="00BF262B" w:rsidRPr="00A822E7">
              <w:t xml:space="preserve"> 2012).</w:t>
            </w:r>
          </w:p>
          <w:p w:rsidR="00BF262B" w:rsidRPr="00A822E7" w:rsidRDefault="00F72E9E" w:rsidP="00F72E9E">
            <w:pPr>
              <w:pStyle w:val="Tabletext"/>
              <w:ind w:left="198" w:hanging="198"/>
            </w:pPr>
            <w:r>
              <w:rPr>
                <w:rFonts w:cs="Arial"/>
              </w:rPr>
              <w:t>▪</w:t>
            </w:r>
            <w:r>
              <w:tab/>
            </w:r>
            <w:r w:rsidR="00BF262B" w:rsidRPr="00A822E7">
              <w:t>Employment in oil extraction is forecast to grow at 7.3</w:t>
            </w:r>
            <w:r w:rsidR="008D67F9" w:rsidRPr="00A822E7">
              <w:t>%</w:t>
            </w:r>
            <w:r w:rsidR="00BF262B" w:rsidRPr="00A822E7">
              <w:t xml:space="preserve">. </w:t>
            </w:r>
          </w:p>
          <w:p w:rsidR="00BF262B" w:rsidRPr="00A822E7" w:rsidRDefault="00F72E9E" w:rsidP="00F72E9E">
            <w:pPr>
              <w:pStyle w:val="Tabletext"/>
              <w:ind w:left="198" w:hanging="198"/>
            </w:pPr>
            <w:r>
              <w:rPr>
                <w:rFonts w:cs="Arial"/>
              </w:rPr>
              <w:t>▪</w:t>
            </w:r>
            <w:r>
              <w:tab/>
            </w:r>
            <w:r w:rsidR="00BF262B" w:rsidRPr="00A822E7">
              <w:t xml:space="preserve">Employment in the oil refining </w:t>
            </w:r>
            <w:r w:rsidR="00BF262B" w:rsidRPr="00F94911">
              <w:t xml:space="preserve">sector diverges from the wider energy sector. At present, </w:t>
            </w:r>
            <w:r w:rsidR="00086920" w:rsidRPr="00F94911">
              <w:t xml:space="preserve">5500 </w:t>
            </w:r>
            <w:r w:rsidR="00BF262B" w:rsidRPr="00F94911">
              <w:t>people are directly employed in the sector</w:t>
            </w:r>
            <w:r w:rsidR="00F94911" w:rsidRPr="00F94911">
              <w:t>,</w:t>
            </w:r>
            <w:r w:rsidR="00BF262B" w:rsidRPr="00F94911">
              <w:t xml:space="preserve"> with grow</w:t>
            </w:r>
            <w:r w:rsidR="00BF262B" w:rsidRPr="00A822E7">
              <w:t>th declining because of reducing refining capacity.</w:t>
            </w:r>
          </w:p>
          <w:p w:rsidR="00BF262B" w:rsidRPr="00A822E7" w:rsidRDefault="00F72E9E" w:rsidP="00F72E9E">
            <w:pPr>
              <w:pStyle w:val="Tabletext"/>
              <w:ind w:left="198" w:hanging="198"/>
            </w:pPr>
            <w:r>
              <w:rPr>
                <w:rFonts w:cs="Arial"/>
              </w:rPr>
              <w:t>▪</w:t>
            </w:r>
            <w:r>
              <w:tab/>
            </w:r>
            <w:r w:rsidR="00BF262B" w:rsidRPr="00A822E7">
              <w:t>In general the energy sector’s workforce is more highly skilled than other industries. This characterisation holds for petroleum refining and the fuel manufacturing industry.</w:t>
            </w:r>
          </w:p>
          <w:p w:rsidR="00BF262B" w:rsidRPr="00A822E7" w:rsidRDefault="00F72E9E" w:rsidP="00F72E9E">
            <w:pPr>
              <w:pStyle w:val="Tabletext"/>
              <w:ind w:left="198" w:hanging="198"/>
            </w:pPr>
            <w:r>
              <w:rPr>
                <w:rFonts w:cs="Arial"/>
              </w:rPr>
              <w:t>▪</w:t>
            </w:r>
            <w:r>
              <w:tab/>
            </w:r>
            <w:r w:rsidR="00BF262B" w:rsidRPr="00A822E7">
              <w:t xml:space="preserve">A large proportion of workers in the </w:t>
            </w:r>
            <w:r w:rsidR="00ED012D" w:rsidRPr="00A822E7">
              <w:t>industry are employed in higher-</w:t>
            </w:r>
            <w:r w:rsidR="00BF262B" w:rsidRPr="00A822E7">
              <w:t xml:space="preserve">skilled occupational groups. It can take up to </w:t>
            </w:r>
            <w:r w:rsidR="00820D51" w:rsidRPr="00A822E7">
              <w:t>15</w:t>
            </w:r>
            <w:r w:rsidR="00BF262B" w:rsidRPr="00A822E7">
              <w:t xml:space="preserve"> years for employees to become fu</w:t>
            </w:r>
            <w:r w:rsidR="00ED012D" w:rsidRPr="00A822E7">
              <w:t>lly skilled in certain fields, s</w:t>
            </w:r>
            <w:r w:rsidR="00BF262B" w:rsidRPr="00A822E7">
              <w:t>o as refining capacity reduces there can be significant loss of skill, which</w:t>
            </w:r>
            <w:r w:rsidR="00820D51" w:rsidRPr="00A822E7">
              <w:t xml:space="preserve"> cannot be easily replaced (</w:t>
            </w:r>
            <w:r w:rsidR="00BF262B" w:rsidRPr="00A822E7">
              <w:t>Parliament of the Commonwealth of Austr</w:t>
            </w:r>
            <w:r w:rsidR="00820D51" w:rsidRPr="00A822E7">
              <w:t>alia</w:t>
            </w:r>
            <w:r w:rsidR="00BF262B" w:rsidRPr="00A822E7">
              <w:t xml:space="preserve"> 2013).</w:t>
            </w:r>
          </w:p>
        </w:tc>
      </w:tr>
    </w:tbl>
    <w:p w:rsidR="00197D2E" w:rsidRDefault="00197D2E" w:rsidP="00197D2E">
      <w:pPr>
        <w:pStyle w:val="Heading2"/>
      </w:pPr>
      <w:bookmarkStart w:id="49" w:name="_Toc398541647"/>
      <w:r>
        <w:t>Literacy and numeracy skills</w:t>
      </w:r>
      <w:bookmarkEnd w:id="49"/>
    </w:p>
    <w:p w:rsidR="00197D2E" w:rsidRDefault="00820D51" w:rsidP="00965E6D">
      <w:pPr>
        <w:pStyle w:val="Text"/>
      </w:pPr>
      <w:r>
        <w:t xml:space="preserve">The </w:t>
      </w:r>
      <w:r w:rsidR="008D67F9">
        <w:t xml:space="preserve">Australian </w:t>
      </w:r>
      <w:r w:rsidR="006C26DD">
        <w:t>Workforce and Productivity</w:t>
      </w:r>
      <w:r w:rsidR="008D67F9">
        <w:t xml:space="preserve"> Agency</w:t>
      </w:r>
      <w:r w:rsidR="00197D2E">
        <w:t xml:space="preserve"> has repeatedly drawn attention to the persistent problem of literacy and numeracy in the Australian workforce. In its </w:t>
      </w:r>
      <w:r w:rsidR="00197D2E" w:rsidRPr="00E82D9C">
        <w:t>2013 study of the food industry it suggest</w:t>
      </w:r>
      <w:r>
        <w:t>ed that</w:t>
      </w:r>
      <w:r w:rsidR="00197D2E" w:rsidRPr="00E82D9C">
        <w:t xml:space="preserve"> integrating foundation skills with vocational skills and knowledge would lead to </w:t>
      </w:r>
      <w:r>
        <w:t xml:space="preserve">the </w:t>
      </w:r>
      <w:r w:rsidR="00197D2E" w:rsidRPr="00E82D9C">
        <w:t>improved capability of the workforce and the industry (</w:t>
      </w:r>
      <w:r w:rsidR="008D67F9">
        <w:t xml:space="preserve">Australian </w:t>
      </w:r>
      <w:r w:rsidR="006C26DD">
        <w:t>Workforce and Productivity</w:t>
      </w:r>
      <w:r w:rsidR="008D67F9">
        <w:t xml:space="preserve"> Agency</w:t>
      </w:r>
      <w:r w:rsidR="00197D2E">
        <w:t xml:space="preserve"> 2013a</w:t>
      </w:r>
      <w:r>
        <w:t>,</w:t>
      </w:r>
      <w:r w:rsidR="00197D2E">
        <w:t xml:space="preserve"> </w:t>
      </w:r>
      <w:r>
        <w:t>p.</w:t>
      </w:r>
      <w:r w:rsidR="00197D2E" w:rsidRPr="00E82D9C">
        <w:t>77).</w:t>
      </w:r>
      <w:r w:rsidR="00197D2E">
        <w:t xml:space="preserve"> This approach of building </w:t>
      </w:r>
      <w:r>
        <w:t>language, literacy and numeracy</w:t>
      </w:r>
      <w:r w:rsidR="00197D2E">
        <w:t xml:space="preserve"> into VET is practised in some areas and does deliver success in terms of course completions and learner confidence, as shown by Black and </w:t>
      </w:r>
      <w:proofErr w:type="spellStart"/>
      <w:r w:rsidR="00197D2E">
        <w:t>Yakusawa</w:t>
      </w:r>
      <w:proofErr w:type="spellEnd"/>
      <w:r w:rsidR="00197D2E">
        <w:t xml:space="preserve"> (2011, p.3).</w:t>
      </w:r>
      <w:r w:rsidR="00472A51">
        <w:t xml:space="preserve"> </w:t>
      </w:r>
      <w:r w:rsidR="00197D2E">
        <w:t>It is, however, an expensive model and does not fit easily into current arrangements for VET delivery.</w:t>
      </w:r>
    </w:p>
    <w:p w:rsidR="00197D2E" w:rsidRDefault="00197D2E" w:rsidP="00965E6D">
      <w:pPr>
        <w:pStyle w:val="Text"/>
      </w:pPr>
      <w:r>
        <w:t>That said</w:t>
      </w:r>
      <w:proofErr w:type="gramStart"/>
      <w:r>
        <w:t>,</w:t>
      </w:r>
      <w:proofErr w:type="gramEnd"/>
      <w:r>
        <w:t xml:space="preserve"> boosting foundation skills is vital for increasing productivity. </w:t>
      </w:r>
      <w:r w:rsidR="00820D51">
        <w:t>The Australian Industry Group</w:t>
      </w:r>
      <w:r>
        <w:t xml:space="preserve"> has been emphatic about this point, particularly when it</w:t>
      </w:r>
      <w:r w:rsidR="00820D51">
        <w:t xml:space="preserve"> comes to manufacturing (</w:t>
      </w:r>
      <w:proofErr w:type="spellStart"/>
      <w:r w:rsidR="00820D51">
        <w:t>Willox</w:t>
      </w:r>
      <w:proofErr w:type="spellEnd"/>
      <w:r>
        <w:t xml:space="preserve"> 2014</w:t>
      </w:r>
      <w:r w:rsidR="00820D51">
        <w:t>,</w:t>
      </w:r>
      <w:r>
        <w:t xml:space="preserve"> p.80). Its research on workplace literacy programs has also </w:t>
      </w:r>
      <w:r w:rsidRPr="006924C5">
        <w:t>demonstrated the importance of employer engagement in the provision of English language, literacy and numeracy training in the workplace</w:t>
      </w:r>
      <w:r>
        <w:t xml:space="preserve"> (</w:t>
      </w:r>
      <w:r w:rsidR="00820D51">
        <w:t>Australian Industry Gr</w:t>
      </w:r>
      <w:r w:rsidR="00820D51" w:rsidRPr="00680ED5">
        <w:t xml:space="preserve">oup </w:t>
      </w:r>
      <w:r w:rsidRPr="00680ED5">
        <w:t>2014).</w:t>
      </w:r>
    </w:p>
    <w:p w:rsidR="00197D2E" w:rsidRDefault="00820D51" w:rsidP="00197D2E">
      <w:pPr>
        <w:pStyle w:val="Heading2"/>
      </w:pPr>
      <w:bookmarkStart w:id="50" w:name="_Toc398541648"/>
      <w:proofErr w:type="spellStart"/>
      <w:r>
        <w:lastRenderedPageBreak/>
        <w:t>Up</w:t>
      </w:r>
      <w:r w:rsidR="00197D2E">
        <w:t>skilling</w:t>
      </w:r>
      <w:proofErr w:type="spellEnd"/>
      <w:r w:rsidR="00197D2E">
        <w:t xml:space="preserve"> existing workers</w:t>
      </w:r>
      <w:bookmarkEnd w:id="50"/>
    </w:p>
    <w:p w:rsidR="00197D2E" w:rsidRDefault="00197D2E" w:rsidP="00197D2E">
      <w:pPr>
        <w:pStyle w:val="Heading3"/>
      </w:pPr>
      <w:r>
        <w:t>Automation</w:t>
      </w:r>
    </w:p>
    <w:p w:rsidR="00197D2E" w:rsidRPr="00617DE0" w:rsidRDefault="00197D2E" w:rsidP="009A6317">
      <w:pPr>
        <w:pStyle w:val="Textlessbefore"/>
      </w:pPr>
      <w:r>
        <w:t xml:space="preserve">Automation is having an effect on many aspects of working life. In the </w:t>
      </w:r>
      <w:r w:rsidR="00ED012D">
        <w:t>mining equipment, technology and services</w:t>
      </w:r>
      <w:r>
        <w:t xml:space="preserve"> and </w:t>
      </w:r>
      <w:r w:rsidR="00ED012D">
        <w:t xml:space="preserve">the </w:t>
      </w:r>
      <w:r>
        <w:t>oil and gas industries</w:t>
      </w:r>
      <w:r w:rsidR="00ED012D">
        <w:t>,</w:t>
      </w:r>
      <w:r>
        <w:t xml:space="preserve"> this means a move away from employing </w:t>
      </w:r>
      <w:r w:rsidRPr="00617DE0">
        <w:t xml:space="preserve">unskilled and semi-skilled labour </w:t>
      </w:r>
      <w:r>
        <w:t>to</w:t>
      </w:r>
      <w:r w:rsidR="00820D51">
        <w:t xml:space="preserve"> </w:t>
      </w:r>
      <w:r w:rsidR="00ED012D">
        <w:t xml:space="preserve">the </w:t>
      </w:r>
      <w:r w:rsidR="00820D51">
        <w:t>emp</w:t>
      </w:r>
      <w:r w:rsidR="00ED012D">
        <w:t>loyment of</w:t>
      </w:r>
      <w:r w:rsidR="00426F33">
        <w:t xml:space="preserve"> </w:t>
      </w:r>
      <w:r>
        <w:t>t</w:t>
      </w:r>
      <w:r w:rsidRPr="00617DE0">
        <w:t>echnical professionals and technicians</w:t>
      </w:r>
      <w:r>
        <w:t>. Re</w:t>
      </w:r>
      <w:r w:rsidRPr="00617DE0">
        <w:t xml:space="preserve">training </w:t>
      </w:r>
      <w:r>
        <w:t xml:space="preserve">existing </w:t>
      </w:r>
      <w:r w:rsidRPr="00617DE0">
        <w:t>workers displaced by new technologies</w:t>
      </w:r>
      <w:r>
        <w:t xml:space="preserve"> will entail upgrading the qualifications not only of unskilled workers but also of </w:t>
      </w:r>
      <w:r w:rsidRPr="00617DE0">
        <w:t>mechanical, electrical, mining or oi</w:t>
      </w:r>
      <w:r>
        <w:t>l and gas engineering graduates (</w:t>
      </w:r>
      <w:r w:rsidR="008D67F9">
        <w:t xml:space="preserve">Australian </w:t>
      </w:r>
      <w:r w:rsidR="006C26DD">
        <w:t>Workforce and Productivity</w:t>
      </w:r>
      <w:r w:rsidR="008D67F9">
        <w:t xml:space="preserve"> Agency</w:t>
      </w:r>
      <w:r>
        <w:t xml:space="preserve"> 2013b, p.148). </w:t>
      </w:r>
      <w:proofErr w:type="gramStart"/>
      <w:r>
        <w:t>This calls</w:t>
      </w:r>
      <w:proofErr w:type="gramEnd"/>
      <w:r>
        <w:t xml:space="preserve"> for collaboration between companies and tertiary education providers to e</w:t>
      </w:r>
      <w:r w:rsidRPr="00D117CC">
        <w:t xml:space="preserve">nsure </w:t>
      </w:r>
      <w:r w:rsidR="00426F33">
        <w:t xml:space="preserve">that </w:t>
      </w:r>
      <w:r w:rsidRPr="00D117CC">
        <w:t xml:space="preserve">training </w:t>
      </w:r>
      <w:r w:rsidRPr="003C0ED1">
        <w:t xml:space="preserve">programs take automated technologies into account, and </w:t>
      </w:r>
      <w:r w:rsidR="00426F33">
        <w:t xml:space="preserve">that </w:t>
      </w:r>
      <w:r w:rsidRPr="003C0ED1">
        <w:t>training facilities are available to enable students to gain practical experience with these technologies (</w:t>
      </w:r>
      <w:r w:rsidR="00426F33">
        <w:t xml:space="preserve">Australian </w:t>
      </w:r>
      <w:r w:rsidR="006C26DD">
        <w:t>Workforce and Productivity</w:t>
      </w:r>
      <w:r w:rsidR="00426F33">
        <w:t xml:space="preserve"> Agency 2013b, </w:t>
      </w:r>
      <w:r w:rsidRPr="003C0ED1">
        <w:t>p.166). Even for workers who are not displaced, ensuring the breadth and universality of skills is important. As the speed at which new technologies are adopted increases, workers will need to acquire a broad range of skills, undertake multiple tasks, learn quickly and work f</w:t>
      </w:r>
      <w:r w:rsidR="00426F33">
        <w:t>lexibly (Department of Ind</w:t>
      </w:r>
      <w:r w:rsidR="00426F33" w:rsidRPr="00C6425B">
        <w:t>ustry</w:t>
      </w:r>
      <w:r w:rsidRPr="00C6425B">
        <w:t xml:space="preserve"> 2014</w:t>
      </w:r>
      <w:r w:rsidR="00680ED5">
        <w:t>b</w:t>
      </w:r>
      <w:r w:rsidRPr="00C6425B">
        <w:t>).</w:t>
      </w:r>
    </w:p>
    <w:p w:rsidR="006B5634" w:rsidRPr="006B5634" w:rsidRDefault="006B5634" w:rsidP="00197D2E">
      <w:pPr>
        <w:pStyle w:val="Heading3"/>
      </w:pPr>
      <w:r>
        <w:t>Skill sets</w:t>
      </w:r>
    </w:p>
    <w:p w:rsidR="006924C5" w:rsidRPr="009869ED" w:rsidRDefault="006924C5" w:rsidP="009A6317">
      <w:pPr>
        <w:pStyle w:val="Textlessbefore"/>
      </w:pPr>
      <w:r w:rsidRPr="009869ED">
        <w:t xml:space="preserve">The </w:t>
      </w:r>
      <w:proofErr w:type="spellStart"/>
      <w:r w:rsidRPr="009869ED">
        <w:t>Agrifoods</w:t>
      </w:r>
      <w:proofErr w:type="spellEnd"/>
      <w:r w:rsidRPr="009869ED">
        <w:t xml:space="preserve"> Skill Council has been a champion of skill sets</w:t>
      </w:r>
      <w:r w:rsidR="006B5634" w:rsidRPr="009869ED">
        <w:t xml:space="preserve">, particularly for </w:t>
      </w:r>
      <w:proofErr w:type="spellStart"/>
      <w:r w:rsidR="006B5634" w:rsidRPr="009869ED">
        <w:t>upskilling</w:t>
      </w:r>
      <w:proofErr w:type="spellEnd"/>
      <w:r w:rsidR="006B5634" w:rsidRPr="009869ED">
        <w:t xml:space="preserve"> its workforce</w:t>
      </w:r>
      <w:r w:rsidRPr="009869ED">
        <w:t>. In its 2013 scan (</w:t>
      </w:r>
      <w:proofErr w:type="spellStart"/>
      <w:r w:rsidR="009869ED">
        <w:t>p.</w:t>
      </w:r>
      <w:r w:rsidRPr="009869ED">
        <w:t>v</w:t>
      </w:r>
      <w:proofErr w:type="spellEnd"/>
      <w:r w:rsidRPr="009869ED">
        <w:t xml:space="preserve">) it argued that: </w:t>
      </w:r>
    </w:p>
    <w:p w:rsidR="006924C5" w:rsidRDefault="006924C5" w:rsidP="00E23136">
      <w:pPr>
        <w:pStyle w:val="Quote"/>
      </w:pPr>
      <w:r w:rsidRPr="006924C5">
        <w:t xml:space="preserve">Publicly funded delivery of </w:t>
      </w:r>
      <w:r w:rsidR="00ED012D">
        <w:t>Skill Sets [</w:t>
      </w:r>
      <w:r>
        <w:t xml:space="preserve">as defined in training packages], and skill sets identified by Registered Training Organisations (RTOs) in response to individual needs, must be made broadly </w:t>
      </w:r>
      <w:r w:rsidR="00E23136">
        <w:t xml:space="preserve">(as distinct from </w:t>
      </w:r>
      <w:r>
        <w:t>one-off funding via short-term</w:t>
      </w:r>
      <w:r w:rsidR="009F699F">
        <w:t xml:space="preserve"> programs</w:t>
      </w:r>
      <w:r w:rsidR="00E23136">
        <w:t>)</w:t>
      </w:r>
      <w:r w:rsidR="009F699F">
        <w:t>.</w:t>
      </w:r>
    </w:p>
    <w:p w:rsidR="006924C5" w:rsidRPr="009F699F" w:rsidRDefault="009F699F" w:rsidP="009A6317">
      <w:pPr>
        <w:pStyle w:val="Text"/>
      </w:pPr>
      <w:r w:rsidRPr="009F699F">
        <w:t>The most recent scan of the mining</w:t>
      </w:r>
      <w:r w:rsidR="009869ED">
        <w:t xml:space="preserve"> </w:t>
      </w:r>
      <w:r w:rsidR="00696E2F">
        <w:t>industry</w:t>
      </w:r>
      <w:r w:rsidRPr="009F699F">
        <w:t xml:space="preserve"> (</w:t>
      </w:r>
      <w:r w:rsidR="009869ED">
        <w:t>Skills DMC 2013</w:t>
      </w:r>
      <w:r w:rsidR="00426F33">
        <w:t>,</w:t>
      </w:r>
      <w:r w:rsidR="009869ED">
        <w:t xml:space="preserve"> </w:t>
      </w:r>
      <w:r w:rsidRPr="009F699F">
        <w:t>p.</w:t>
      </w:r>
      <w:r w:rsidR="006924C5" w:rsidRPr="009F699F">
        <w:t>21</w:t>
      </w:r>
      <w:r w:rsidRPr="009F699F">
        <w:t xml:space="preserve">) is also in favour of training that does not make workers with </w:t>
      </w:r>
      <w:r w:rsidR="006924C5" w:rsidRPr="009F699F">
        <w:t>desirable experience gained in other industries start their</w:t>
      </w:r>
      <w:r w:rsidRPr="009F699F">
        <w:t xml:space="preserve"> training from scratch. Rather, it suggest</w:t>
      </w:r>
      <w:r w:rsidR="006B5634">
        <w:t>s</w:t>
      </w:r>
      <w:r w:rsidRPr="009F699F">
        <w:t xml:space="preserve"> </w:t>
      </w:r>
      <w:r w:rsidR="00426F33">
        <w:t xml:space="preserve">that </w:t>
      </w:r>
      <w:r w:rsidRPr="009F699F">
        <w:t>i</w:t>
      </w:r>
      <w:r w:rsidR="006924C5" w:rsidRPr="009F699F">
        <w:t xml:space="preserve">ndustry can </w:t>
      </w:r>
      <w:r w:rsidR="006924C5" w:rsidRPr="009A6317">
        <w:t>work</w:t>
      </w:r>
      <w:r w:rsidR="006924C5" w:rsidRPr="009F699F">
        <w:t xml:space="preserve"> with </w:t>
      </w:r>
      <w:r w:rsidR="009869ED">
        <w:t>training o</w:t>
      </w:r>
      <w:r w:rsidR="006924C5" w:rsidRPr="009F699F">
        <w:t>rganisations to provide training</w:t>
      </w:r>
      <w:r w:rsidRPr="009F699F">
        <w:t xml:space="preserve"> </w:t>
      </w:r>
      <w:r w:rsidR="006924C5" w:rsidRPr="009F699F">
        <w:t xml:space="preserve">that addresses workers’ gaps in knowledge and </w:t>
      </w:r>
      <w:r w:rsidR="00426F33">
        <w:t xml:space="preserve">which </w:t>
      </w:r>
      <w:r w:rsidR="006924C5" w:rsidRPr="009F699F">
        <w:t>recognises prior learning.</w:t>
      </w:r>
      <w:r w:rsidR="009869ED">
        <w:t xml:space="preserve"> R</w:t>
      </w:r>
      <w:r w:rsidR="006924C5" w:rsidRPr="009F699F">
        <w:t xml:space="preserve">esearch conducted by </w:t>
      </w:r>
      <w:r w:rsidR="006B5634">
        <w:t>NCVER for the Minerals</w:t>
      </w:r>
      <w:r w:rsidRPr="009F699F">
        <w:t xml:space="preserve"> Council fou</w:t>
      </w:r>
      <w:r w:rsidR="006924C5" w:rsidRPr="009F699F">
        <w:t>nd that around 50</w:t>
      </w:r>
      <w:r w:rsidR="008D67F9">
        <w:t>%</w:t>
      </w:r>
      <w:r w:rsidR="006924C5" w:rsidRPr="009F699F">
        <w:t xml:space="preserve"> of mining employees are undertaking training in skill sets</w:t>
      </w:r>
      <w:r w:rsidRPr="009F699F">
        <w:t xml:space="preserve"> (</w:t>
      </w:r>
      <w:r w:rsidR="008D67F9">
        <w:t xml:space="preserve">Australian </w:t>
      </w:r>
      <w:r w:rsidR="006C26DD">
        <w:t>Workforce and Productivity</w:t>
      </w:r>
      <w:r w:rsidR="008D67F9">
        <w:t xml:space="preserve"> Agency</w:t>
      </w:r>
      <w:r w:rsidR="009869ED">
        <w:t xml:space="preserve"> 2013b, p.</w:t>
      </w:r>
      <w:r w:rsidR="006924C5" w:rsidRPr="009F699F">
        <w:t>15</w:t>
      </w:r>
      <w:r w:rsidRPr="009F699F">
        <w:t>).</w:t>
      </w:r>
    </w:p>
    <w:p w:rsidR="006924C5" w:rsidRDefault="006B5634" w:rsidP="00197D2E">
      <w:pPr>
        <w:pStyle w:val="Heading3"/>
      </w:pPr>
      <w:r>
        <w:t>Recognition of prior learning</w:t>
      </w:r>
    </w:p>
    <w:p w:rsidR="009A2399" w:rsidRDefault="00A82FE1" w:rsidP="009A6317">
      <w:pPr>
        <w:pStyle w:val="Textlessbefore"/>
      </w:pPr>
      <w:r w:rsidRPr="00A82FE1">
        <w:t>Recognition of prior learning</w:t>
      </w:r>
      <w:r w:rsidR="00C6425B">
        <w:t xml:space="preserve"> (RPL)</w:t>
      </w:r>
      <w:r w:rsidRPr="00A82FE1">
        <w:t xml:space="preserve"> has the potential to increase </w:t>
      </w:r>
      <w:r w:rsidR="00426F33">
        <w:t xml:space="preserve">the </w:t>
      </w:r>
      <w:r w:rsidRPr="00A82FE1">
        <w:t xml:space="preserve">mobility of workers with few qualifications and to reduce the amount of gap training they undertake. </w:t>
      </w:r>
      <w:r w:rsidR="00426F33">
        <w:t xml:space="preserve">As the Australian </w:t>
      </w:r>
      <w:r w:rsidR="006C26DD">
        <w:t>Workforce and Productivity</w:t>
      </w:r>
      <w:r w:rsidR="00426F33">
        <w:t xml:space="preserve"> Agency</w:t>
      </w:r>
      <w:r w:rsidR="00426F33" w:rsidRPr="00A82FE1">
        <w:t xml:space="preserve"> manufacturing study stated</w:t>
      </w:r>
      <w:r w:rsidR="00426F33">
        <w:t>,</w:t>
      </w:r>
      <w:r w:rsidR="00426F33" w:rsidRPr="00A82FE1">
        <w:t xml:space="preserve"> </w:t>
      </w:r>
      <w:r w:rsidR="00426F33">
        <w:t>t</w:t>
      </w:r>
      <w:r w:rsidRPr="00A82FE1">
        <w:t xml:space="preserve">his </w:t>
      </w:r>
      <w:r w:rsidR="00426F33">
        <w:t>is</w:t>
      </w:r>
      <w:r w:rsidRPr="00A82FE1">
        <w:t xml:space="preserve"> particularly relevant to industries undergoing</w:t>
      </w:r>
      <w:r>
        <w:t xml:space="preserve"> structural </w:t>
      </w:r>
      <w:r w:rsidRPr="00A82FE1">
        <w:t>adjustment. However, delivering good RPL has proved complicated and expensive, thus reducing its appeal</w:t>
      </w:r>
      <w:r w:rsidR="00F94911">
        <w:t>,</w:t>
      </w:r>
      <w:r w:rsidRPr="00A82FE1">
        <w:t xml:space="preserve"> especially to people wit</w:t>
      </w:r>
      <w:r w:rsidR="009869ED">
        <w:t xml:space="preserve">h poor literacy, for whom </w:t>
      </w:r>
      <w:r w:rsidR="00426F33">
        <w:t>producing</w:t>
      </w:r>
      <w:r w:rsidRPr="00A82FE1">
        <w:t xml:space="preserve"> evidence of their prior skills </w:t>
      </w:r>
      <w:r w:rsidR="00426F33">
        <w:t xml:space="preserve">can be difficult </w:t>
      </w:r>
      <w:r w:rsidRPr="00A82FE1">
        <w:t>(</w:t>
      </w:r>
      <w:r w:rsidR="008D67F9">
        <w:t xml:space="preserve">Australian </w:t>
      </w:r>
      <w:r w:rsidR="006C26DD">
        <w:t>Workforce and Productivity</w:t>
      </w:r>
      <w:r w:rsidR="008D67F9">
        <w:t xml:space="preserve"> Agency</w:t>
      </w:r>
      <w:r w:rsidR="009869ED">
        <w:t xml:space="preserve"> 2014, </w:t>
      </w:r>
      <w:r w:rsidRPr="00A82FE1">
        <w:t xml:space="preserve">p.89). </w:t>
      </w:r>
    </w:p>
    <w:p w:rsidR="009A6317" w:rsidRDefault="009A6317">
      <w:pPr>
        <w:rPr>
          <w:rFonts w:ascii="Trebuchet MS" w:hAnsi="Trebuchet MS"/>
          <w:sz w:val="19"/>
          <w:szCs w:val="20"/>
          <w:lang w:eastAsia="en-US"/>
        </w:rPr>
      </w:pPr>
      <w:r>
        <w:rPr>
          <w:sz w:val="19"/>
        </w:rPr>
        <w:br w:type="page"/>
      </w:r>
    </w:p>
    <w:tbl>
      <w:tblPr>
        <w:tblStyle w:val="TableGrid"/>
        <w:tblW w:w="8789" w:type="dxa"/>
        <w:tblInd w:w="284" w:type="dxa"/>
        <w:tblBorders>
          <w:top w:val="none" w:sz="0" w:space="0" w:color="auto"/>
          <w:left w:val="none" w:sz="0" w:space="0" w:color="auto"/>
          <w:bottom w:val="single" w:sz="18" w:space="0" w:color="1F497D" w:themeColor="text2"/>
          <w:right w:val="none" w:sz="0" w:space="0" w:color="auto"/>
          <w:insideH w:val="none" w:sz="0" w:space="0" w:color="auto"/>
          <w:insideV w:val="none" w:sz="0" w:space="0" w:color="auto"/>
        </w:tblBorders>
        <w:tblLayout w:type="fixed"/>
        <w:tblCellMar>
          <w:left w:w="284" w:type="dxa"/>
          <w:right w:w="284" w:type="dxa"/>
        </w:tblCellMar>
        <w:tblLook w:val="04A0" w:firstRow="1" w:lastRow="0" w:firstColumn="1" w:lastColumn="0" w:noHBand="0" w:noVBand="1"/>
      </w:tblPr>
      <w:tblGrid>
        <w:gridCol w:w="8789"/>
      </w:tblGrid>
      <w:tr w:rsidR="009A6317" w:rsidTr="009A6317">
        <w:tc>
          <w:tcPr>
            <w:tcW w:w="9004" w:type="dxa"/>
            <w:shd w:val="clear" w:color="auto" w:fill="1F497D" w:themeFill="text2"/>
          </w:tcPr>
          <w:p w:rsidR="009A6317" w:rsidRDefault="009A6317" w:rsidP="009A6317">
            <w:pPr>
              <w:pStyle w:val="Tablehead1"/>
              <w:spacing w:before="120" w:after="120"/>
              <w:rPr>
                <w:sz w:val="19"/>
              </w:rPr>
            </w:pPr>
            <w:r w:rsidRPr="009A6317">
              <w:rPr>
                <w:color w:val="FFFFFF" w:themeColor="background1"/>
              </w:rPr>
              <w:lastRenderedPageBreak/>
              <w:t>Retraining strategy for helping displaced workers</w:t>
            </w:r>
          </w:p>
        </w:tc>
      </w:tr>
      <w:tr w:rsidR="009A6317" w:rsidTr="009A6317">
        <w:tc>
          <w:tcPr>
            <w:tcW w:w="9004" w:type="dxa"/>
            <w:shd w:val="clear" w:color="auto" w:fill="C6D9F1" w:themeFill="text2" w:themeFillTint="33"/>
          </w:tcPr>
          <w:p w:rsidR="009A6317" w:rsidRPr="00BB1856" w:rsidRDefault="009A6317" w:rsidP="009A6317">
            <w:pPr>
              <w:pStyle w:val="Tablehead1"/>
              <w:spacing w:before="120"/>
            </w:pPr>
            <w:r w:rsidRPr="00BB1856">
              <w:t xml:space="preserve">Preparation for retraining </w:t>
            </w:r>
          </w:p>
          <w:p w:rsidR="009A6317" w:rsidRPr="00BB1856" w:rsidRDefault="00A1416B" w:rsidP="009A6317">
            <w:pPr>
              <w:pStyle w:val="Tabletext"/>
              <w:ind w:left="198" w:hanging="198"/>
            </w:pPr>
            <w:r>
              <w:rPr>
                <w:rFonts w:cs="Arial"/>
              </w:rPr>
              <w:t>▪</w:t>
            </w:r>
            <w:r>
              <w:tab/>
            </w:r>
            <w:r w:rsidR="009A6317" w:rsidRPr="00BB1856">
              <w:t xml:space="preserve">Career advice and placement support require careful planning. </w:t>
            </w:r>
          </w:p>
          <w:p w:rsidR="009A6317" w:rsidRPr="00BB1856" w:rsidRDefault="00A1416B" w:rsidP="009A6317">
            <w:pPr>
              <w:pStyle w:val="Tabletext"/>
              <w:ind w:left="198" w:hanging="198"/>
            </w:pPr>
            <w:r>
              <w:rPr>
                <w:rFonts w:cs="Arial"/>
              </w:rPr>
              <w:t>▪</w:t>
            </w:r>
            <w:r>
              <w:tab/>
            </w:r>
            <w:r w:rsidR="009A6317" w:rsidRPr="00BB1856">
              <w:t xml:space="preserve">Support is needed to map the skills and identify training needs. </w:t>
            </w:r>
          </w:p>
          <w:p w:rsidR="009A6317" w:rsidRPr="00BB1856" w:rsidRDefault="00A1416B" w:rsidP="009A6317">
            <w:pPr>
              <w:pStyle w:val="Tabletext"/>
              <w:ind w:left="198" w:hanging="198"/>
            </w:pPr>
            <w:r>
              <w:rPr>
                <w:rFonts w:cs="Arial"/>
              </w:rPr>
              <w:t>▪</w:t>
            </w:r>
            <w:r>
              <w:tab/>
            </w:r>
            <w:r w:rsidR="009A6317" w:rsidRPr="00BB1856">
              <w:t xml:space="preserve">Recognition of prior learning plays a key role in successfully changing jobs. </w:t>
            </w:r>
          </w:p>
          <w:p w:rsidR="009A6317" w:rsidRPr="00BB1856" w:rsidRDefault="00A1416B" w:rsidP="009A6317">
            <w:pPr>
              <w:pStyle w:val="Tabletext"/>
              <w:ind w:left="198" w:hanging="198"/>
            </w:pPr>
            <w:r>
              <w:rPr>
                <w:rFonts w:cs="Arial"/>
              </w:rPr>
              <w:t>▪</w:t>
            </w:r>
            <w:r>
              <w:tab/>
            </w:r>
            <w:r w:rsidR="009A6317">
              <w:t>G</w:t>
            </w:r>
            <w:r w:rsidR="009A6317" w:rsidRPr="00BB1856">
              <w:t xml:space="preserve">uidance </w:t>
            </w:r>
            <w:r w:rsidR="009A6317">
              <w:t xml:space="preserve">should be provided </w:t>
            </w:r>
            <w:r w:rsidR="009A6317" w:rsidRPr="00BB1856">
              <w:t xml:space="preserve">about what jobs are in demand beyond vacancy lists. </w:t>
            </w:r>
          </w:p>
          <w:p w:rsidR="009A6317" w:rsidRPr="00BB1856" w:rsidRDefault="00A1416B" w:rsidP="009A6317">
            <w:pPr>
              <w:pStyle w:val="Tabletext"/>
              <w:ind w:left="198" w:hanging="198"/>
            </w:pPr>
            <w:r>
              <w:rPr>
                <w:rFonts w:cs="Arial"/>
              </w:rPr>
              <w:t>▪</w:t>
            </w:r>
            <w:r>
              <w:tab/>
            </w:r>
            <w:r w:rsidR="009A6317">
              <w:t>High-</w:t>
            </w:r>
            <w:r w:rsidR="009A6317" w:rsidRPr="00BB1856">
              <w:t xml:space="preserve">quality advice </w:t>
            </w:r>
            <w:r w:rsidR="009A6317">
              <w:t xml:space="preserve">should be provided </w:t>
            </w:r>
            <w:r w:rsidR="009A6317" w:rsidRPr="00BB1856">
              <w:t xml:space="preserve">concerning employment and training opportunities are important for success. </w:t>
            </w:r>
          </w:p>
          <w:p w:rsidR="009A6317" w:rsidRPr="00BB1856" w:rsidRDefault="009A6317" w:rsidP="009A6317">
            <w:pPr>
              <w:pStyle w:val="Tablehead1"/>
            </w:pPr>
            <w:r w:rsidRPr="00BB1856">
              <w:t xml:space="preserve">Retraining </w:t>
            </w:r>
          </w:p>
          <w:p w:rsidR="009A6317" w:rsidRPr="00BB1856" w:rsidRDefault="00A1416B" w:rsidP="009A6317">
            <w:pPr>
              <w:pStyle w:val="Tabletext"/>
              <w:ind w:left="198" w:hanging="198"/>
            </w:pPr>
            <w:r>
              <w:rPr>
                <w:rFonts w:cs="Arial"/>
              </w:rPr>
              <w:t>▪</w:t>
            </w:r>
            <w:r>
              <w:tab/>
            </w:r>
            <w:r w:rsidR="009A6317" w:rsidRPr="00BB1856">
              <w:t xml:space="preserve">Informal linkages are as important as formal institutional arrangements. </w:t>
            </w:r>
          </w:p>
          <w:p w:rsidR="009A6317" w:rsidRPr="00BB1856" w:rsidRDefault="00A1416B" w:rsidP="009A6317">
            <w:pPr>
              <w:pStyle w:val="Tabletext"/>
              <w:ind w:left="198" w:hanging="198"/>
            </w:pPr>
            <w:r>
              <w:rPr>
                <w:rFonts w:cs="Arial"/>
              </w:rPr>
              <w:t>▪</w:t>
            </w:r>
            <w:r>
              <w:tab/>
            </w:r>
            <w:r w:rsidR="009A6317" w:rsidRPr="00BB1856">
              <w:t xml:space="preserve">Local coordinators are important for success. </w:t>
            </w:r>
          </w:p>
          <w:p w:rsidR="009A6317" w:rsidRPr="00BB1856" w:rsidRDefault="00A1416B" w:rsidP="009A6317">
            <w:pPr>
              <w:pStyle w:val="Tabletext"/>
              <w:ind w:left="198" w:hanging="198"/>
            </w:pPr>
            <w:r>
              <w:rPr>
                <w:rFonts w:cs="Arial"/>
              </w:rPr>
              <w:t>▪</w:t>
            </w:r>
            <w:r>
              <w:tab/>
            </w:r>
            <w:r w:rsidR="009A6317" w:rsidRPr="00BB1856">
              <w:t xml:space="preserve">Recognition of prior learning plays a key role in successfully changing jobs. </w:t>
            </w:r>
          </w:p>
          <w:p w:rsidR="009A6317" w:rsidRPr="00BB1856" w:rsidRDefault="00A1416B" w:rsidP="009A6317">
            <w:pPr>
              <w:pStyle w:val="Tabletext"/>
              <w:ind w:left="198" w:hanging="198"/>
            </w:pPr>
            <w:r>
              <w:rPr>
                <w:rFonts w:cs="Arial"/>
              </w:rPr>
              <w:t>▪</w:t>
            </w:r>
            <w:r>
              <w:tab/>
            </w:r>
            <w:r w:rsidR="009A6317" w:rsidRPr="00BB1856">
              <w:t xml:space="preserve">Training needs to be linked to jobs in demand, to increase employability. </w:t>
            </w:r>
          </w:p>
          <w:p w:rsidR="009A6317" w:rsidRDefault="009A6317" w:rsidP="009A6317">
            <w:pPr>
              <w:pStyle w:val="Tabletext"/>
              <w:spacing w:after="120"/>
              <w:jc w:val="right"/>
              <w:rPr>
                <w:sz w:val="19"/>
              </w:rPr>
            </w:pPr>
            <w:r>
              <w:t>B</w:t>
            </w:r>
            <w:r w:rsidRPr="00BB1856">
              <w:t>ased on experience from previous plant closures such as Mitsubishi, Bridgestone and BlueScope</w:t>
            </w:r>
            <w:r>
              <w:t xml:space="preserve"> </w:t>
            </w:r>
            <w:r>
              <w:br/>
              <w:t>(Department of Industry 2014</w:t>
            </w:r>
            <w:r w:rsidR="00680ED5">
              <w:t>a</w:t>
            </w:r>
            <w:r>
              <w:t>, p.</w:t>
            </w:r>
            <w:r w:rsidRPr="00BB1856">
              <w:t>16</w:t>
            </w:r>
            <w:r>
              <w:t>).</w:t>
            </w:r>
          </w:p>
        </w:tc>
      </w:tr>
    </w:tbl>
    <w:p w:rsidR="00BD606C" w:rsidRDefault="00BD606C" w:rsidP="00197D2E">
      <w:pPr>
        <w:pStyle w:val="Heading2"/>
      </w:pPr>
      <w:bookmarkStart w:id="51" w:name="_Toc398541649"/>
      <w:r>
        <w:t>C</w:t>
      </w:r>
      <w:r w:rsidR="00192399">
        <w:t xml:space="preserve">ontinuing </w:t>
      </w:r>
      <w:r w:rsidR="00E93CE1">
        <w:t>p</w:t>
      </w:r>
      <w:r w:rsidR="00192399">
        <w:t xml:space="preserve">rofessional </w:t>
      </w:r>
      <w:r w:rsidR="00E93CE1">
        <w:t>d</w:t>
      </w:r>
      <w:r w:rsidR="00192399">
        <w:t>evelopment</w:t>
      </w:r>
      <w:bookmarkEnd w:id="51"/>
    </w:p>
    <w:p w:rsidR="00D117CC" w:rsidRPr="00D23118" w:rsidRDefault="009869ED" w:rsidP="00D23118">
      <w:pPr>
        <w:pStyle w:val="Text"/>
      </w:pPr>
      <w:r>
        <w:t>As noted above, n</w:t>
      </w:r>
      <w:r w:rsidR="000964B3">
        <w:t xml:space="preserve">ot only workers with low qualifications need </w:t>
      </w:r>
      <w:proofErr w:type="spellStart"/>
      <w:r w:rsidR="000964B3">
        <w:t>upskilling</w:t>
      </w:r>
      <w:proofErr w:type="spellEnd"/>
      <w:r w:rsidR="000964B3">
        <w:t>. The literature is consistent</w:t>
      </w:r>
      <w:r w:rsidR="00ED012D">
        <w:t xml:space="preserve"> in its recognition of</w:t>
      </w:r>
      <w:r w:rsidR="000964B3">
        <w:t xml:space="preserve"> the problem of me</w:t>
      </w:r>
      <w:r w:rsidR="00426F33">
        <w:t>diocre management ability (</w:t>
      </w:r>
      <w:proofErr w:type="spellStart"/>
      <w:r w:rsidR="00426F33">
        <w:t>Roos</w:t>
      </w:r>
      <w:proofErr w:type="spellEnd"/>
      <w:r>
        <w:t xml:space="preserve"> 2014</w:t>
      </w:r>
      <w:r w:rsidR="000964B3">
        <w:t xml:space="preserve"> p.8). </w:t>
      </w:r>
      <w:r w:rsidR="00426F33">
        <w:t xml:space="preserve">The </w:t>
      </w:r>
      <w:r w:rsidR="008D67F9">
        <w:t xml:space="preserve">Australian </w:t>
      </w:r>
      <w:r w:rsidR="006C26DD">
        <w:t>Workforce and Productivity</w:t>
      </w:r>
      <w:r w:rsidR="008D67F9">
        <w:t xml:space="preserve"> Agency</w:t>
      </w:r>
      <w:r w:rsidR="000964B3" w:rsidRPr="000964B3">
        <w:t xml:space="preserve">’s </w:t>
      </w:r>
      <w:r w:rsidR="00D117CC">
        <w:t>c</w:t>
      </w:r>
      <w:r w:rsidR="000964B3" w:rsidRPr="000964B3">
        <w:t xml:space="preserve">onsultations </w:t>
      </w:r>
      <w:r w:rsidR="00D117CC">
        <w:t xml:space="preserve">in the manufacturing </w:t>
      </w:r>
      <w:r w:rsidR="00EA3227">
        <w:t>industry</w:t>
      </w:r>
      <w:r w:rsidR="00D117CC">
        <w:t xml:space="preserve"> heard that </w:t>
      </w:r>
      <w:r w:rsidR="000964B3" w:rsidRPr="000964B3">
        <w:t xml:space="preserve">management skills </w:t>
      </w:r>
      <w:r w:rsidR="00D117CC">
        <w:t xml:space="preserve">were required </w:t>
      </w:r>
      <w:r w:rsidR="000964B3" w:rsidRPr="000964B3">
        <w:t xml:space="preserve">from the </w:t>
      </w:r>
      <w:r w:rsidR="000964B3" w:rsidRPr="00D23118">
        <w:t>shop floo</w:t>
      </w:r>
      <w:r w:rsidR="00D117CC" w:rsidRPr="00D23118">
        <w:t>r to the chief executive</w:t>
      </w:r>
      <w:r w:rsidR="00ED012D" w:rsidRPr="00D23118">
        <w:t>’s</w:t>
      </w:r>
      <w:r w:rsidR="00D117CC" w:rsidRPr="00D23118">
        <w:t xml:space="preserve"> office (</w:t>
      </w:r>
      <w:r w:rsidRPr="00D23118">
        <w:t>2014</w:t>
      </w:r>
      <w:r w:rsidR="00426F33" w:rsidRPr="00D23118">
        <w:t>,</w:t>
      </w:r>
      <w:r w:rsidRPr="00D23118">
        <w:t xml:space="preserve"> </w:t>
      </w:r>
      <w:r w:rsidR="00D117CC" w:rsidRPr="00D23118">
        <w:t xml:space="preserve">p.34). </w:t>
      </w:r>
    </w:p>
    <w:p w:rsidR="00D117CC" w:rsidRPr="00D23118" w:rsidRDefault="00D117CC" w:rsidP="00D23118">
      <w:pPr>
        <w:pStyle w:val="Text"/>
      </w:pPr>
      <w:r w:rsidRPr="00D23118">
        <w:t xml:space="preserve">In the biotechnology </w:t>
      </w:r>
      <w:r w:rsidR="00EA3227" w:rsidRPr="00D23118">
        <w:t>industry</w:t>
      </w:r>
      <w:r w:rsidRPr="00D23118">
        <w:t xml:space="preserve">, senior managers and leaders are being recruited from other </w:t>
      </w:r>
      <w:r w:rsidR="000A2CB5" w:rsidRPr="00D23118">
        <w:t>industries</w:t>
      </w:r>
      <w:r w:rsidRPr="00D23118">
        <w:t xml:space="preserve"> and abroad, with the greatest unmet demand being for regulatory</w:t>
      </w:r>
      <w:r w:rsidR="009869ED" w:rsidRPr="00D23118">
        <w:t xml:space="preserve"> affairs skills. Also needed ar</w:t>
      </w:r>
      <w:r w:rsidRPr="00D23118">
        <w:t>e project management, business development, licensing negotiation and risk management skills (Allen</w:t>
      </w:r>
      <w:r w:rsidR="009869ED" w:rsidRPr="00D23118">
        <w:t xml:space="preserve"> </w:t>
      </w:r>
      <w:r w:rsidR="001E0DA3" w:rsidRPr="00D23118">
        <w:t>Consulting</w:t>
      </w:r>
      <w:r w:rsidR="00426F33" w:rsidRPr="00D23118">
        <w:t xml:space="preserve"> 2010, p</w:t>
      </w:r>
      <w:r w:rsidR="009869ED" w:rsidRPr="00D23118">
        <w:t>p.</w:t>
      </w:r>
      <w:r w:rsidR="00426F33" w:rsidRPr="00D23118">
        <w:t>34—</w:t>
      </w:r>
      <w:r w:rsidRPr="00D23118">
        <w:t>6).</w:t>
      </w:r>
    </w:p>
    <w:p w:rsidR="00617DE0" w:rsidRDefault="001141E0" w:rsidP="00D23118">
      <w:pPr>
        <w:pStyle w:val="Text"/>
      </w:pPr>
      <w:r w:rsidRPr="00D23118">
        <w:t xml:space="preserve">As the </w:t>
      </w:r>
      <w:r w:rsidR="009869ED" w:rsidRPr="00D23118">
        <w:t xml:space="preserve">2012 </w:t>
      </w:r>
      <w:r w:rsidR="00617DE0" w:rsidRPr="00D23118">
        <w:t xml:space="preserve">Victorian </w:t>
      </w:r>
      <w:r w:rsidR="009869ED" w:rsidRPr="00D23118">
        <w:t>biotech</w:t>
      </w:r>
      <w:r w:rsidR="009869ED">
        <w:t xml:space="preserve">nology skills </w:t>
      </w:r>
      <w:r w:rsidR="00617DE0">
        <w:t xml:space="preserve">strategy </w:t>
      </w:r>
      <w:r>
        <w:t xml:space="preserve">notes </w:t>
      </w:r>
      <w:r w:rsidRPr="00C6425B">
        <w:t>(</w:t>
      </w:r>
      <w:r w:rsidR="00B43C57" w:rsidRPr="00C6425B">
        <w:t xml:space="preserve">Victorian Department of State Development, Business and Innovation 2014, </w:t>
      </w:r>
      <w:r w:rsidR="00617DE0" w:rsidRPr="00C6425B">
        <w:t>p.3</w:t>
      </w:r>
      <w:r w:rsidRPr="00C6425B">
        <w:t>)</w:t>
      </w:r>
      <w:r w:rsidR="00B43C57" w:rsidRPr="00C6425B">
        <w:t>,</w:t>
      </w:r>
      <w:r>
        <w:t xml:space="preserve"> such skills shortages are m</w:t>
      </w:r>
      <w:r w:rsidR="00617DE0">
        <w:t>ore closely linked to experience than to qualifications</w:t>
      </w:r>
      <w:r w:rsidR="009869ED">
        <w:t xml:space="preserve">, suggesting </w:t>
      </w:r>
      <w:r w:rsidR="00B43C57">
        <w:t xml:space="preserve">that </w:t>
      </w:r>
      <w:r w:rsidR="009869ED">
        <w:t>a combination of</w:t>
      </w:r>
      <w:r>
        <w:t xml:space="preserve"> formal training and in-house mentoring and team learning is required</w:t>
      </w:r>
      <w:r w:rsidR="00617DE0">
        <w:t>.</w:t>
      </w:r>
    </w:p>
    <w:p w:rsidR="0017092B" w:rsidRDefault="0017092B" w:rsidP="00197D2E">
      <w:pPr>
        <w:pStyle w:val="Heading2"/>
      </w:pPr>
      <w:bookmarkStart w:id="52" w:name="_Toc398541650"/>
      <w:r>
        <w:t xml:space="preserve">Labour </w:t>
      </w:r>
      <w:r w:rsidR="00A80B4E">
        <w:t xml:space="preserve">and geographic </w:t>
      </w:r>
      <w:r>
        <w:t>mobility</w:t>
      </w:r>
      <w:bookmarkEnd w:id="52"/>
    </w:p>
    <w:p w:rsidR="00A80B4E" w:rsidRPr="00D23118" w:rsidRDefault="00A80B4E" w:rsidP="00D23118">
      <w:pPr>
        <w:pStyle w:val="Text"/>
      </w:pPr>
      <w:r>
        <w:t>According to the Productivity Commission (2014)</w:t>
      </w:r>
      <w:r w:rsidR="00F94911">
        <w:t>,</w:t>
      </w:r>
      <w:r>
        <w:t xml:space="preserve"> in 2011 workers in industries with high growth in employment and high vacancy rates were more likely to have moved residence within the past year compared </w:t>
      </w:r>
      <w:r w:rsidR="003626A6">
        <w:t>with</w:t>
      </w:r>
      <w:r>
        <w:t xml:space="preserve"> thos</w:t>
      </w:r>
      <w:r w:rsidR="00B43C57">
        <w:t>e in other industries. T</w:t>
      </w:r>
      <w:r>
        <w:t xml:space="preserve">he industries with the highest proportion of workers moving residence across regional labour markets </w:t>
      </w:r>
      <w:r w:rsidR="00B43C57">
        <w:t>include</w:t>
      </w:r>
      <w:r>
        <w:t xml:space="preserve"> mining, construction and the accommodation and food services </w:t>
      </w:r>
      <w:r w:rsidR="000A2CB5">
        <w:t>industry</w:t>
      </w:r>
      <w:r>
        <w:t xml:space="preserve">. </w:t>
      </w:r>
      <w:r w:rsidR="009869ED">
        <w:t>This is</w:t>
      </w:r>
      <w:r w:rsidR="0099171C">
        <w:t xml:space="preserve"> most</w:t>
      </w:r>
      <w:r w:rsidR="009869ED">
        <w:t xml:space="preserve"> likely because of </w:t>
      </w:r>
      <w:r>
        <w:t>the inherent project-based or seasonal nature of the work. The commission suggests that better skills recognition and consistent occupational licensing across jurisdictions would improve geographic labour mobility</w:t>
      </w:r>
      <w:r w:rsidR="003626A6">
        <w:t>.</w:t>
      </w:r>
      <w:r w:rsidR="00F55EBC">
        <w:t xml:space="preserve"> It also observes that </w:t>
      </w:r>
      <w:r w:rsidR="000109C6">
        <w:t xml:space="preserve">a </w:t>
      </w:r>
      <w:r w:rsidR="00F55EBC">
        <w:t>‘</w:t>
      </w:r>
      <w:r w:rsidR="00F55EBC" w:rsidRPr="00047A6C">
        <w:t xml:space="preserve">flexible, accessible and quality </w:t>
      </w:r>
      <w:r w:rsidR="00F55EBC" w:rsidRPr="00D23118">
        <w:t>education and training system is important for meeting Australia's continually changing workforce and employment needs’</w:t>
      </w:r>
      <w:r w:rsidR="003626A6" w:rsidRPr="00D23118">
        <w:t xml:space="preserve"> (p.24)</w:t>
      </w:r>
      <w:r w:rsidR="00F55EBC" w:rsidRPr="00D23118">
        <w:t>.</w:t>
      </w:r>
    </w:p>
    <w:p w:rsidR="00197D2E" w:rsidRDefault="00F55EBC" w:rsidP="00D23118">
      <w:pPr>
        <w:pStyle w:val="Text"/>
        <w:rPr>
          <w:rFonts w:ascii="Tahoma" w:hAnsi="Tahoma" w:cs="Tahoma"/>
          <w:color w:val="000000"/>
          <w:kern w:val="28"/>
          <w:sz w:val="56"/>
          <w:szCs w:val="56"/>
        </w:rPr>
      </w:pPr>
      <w:r w:rsidRPr="00D23118">
        <w:t>This is further borne</w:t>
      </w:r>
      <w:r>
        <w:t xml:space="preserve"> out by</w:t>
      </w:r>
      <w:r w:rsidRPr="00F55EBC">
        <w:t xml:space="preserve"> </w:t>
      </w:r>
      <w:proofErr w:type="spellStart"/>
      <w:r w:rsidR="00F905FF">
        <w:t>Mavromaras</w:t>
      </w:r>
      <w:proofErr w:type="spellEnd"/>
      <w:r w:rsidR="00F905FF">
        <w:t xml:space="preserve">, </w:t>
      </w:r>
      <w:proofErr w:type="spellStart"/>
      <w:r w:rsidR="00F905FF">
        <w:t>Mahuteau</w:t>
      </w:r>
      <w:proofErr w:type="spellEnd"/>
      <w:r w:rsidR="00F905FF">
        <w:t xml:space="preserve"> </w:t>
      </w:r>
      <w:r w:rsidR="003626A6">
        <w:t>and</w:t>
      </w:r>
      <w:r w:rsidR="00F905FF">
        <w:t xml:space="preserve"> Wei </w:t>
      </w:r>
      <w:r w:rsidR="00047A6C">
        <w:t>(2013)</w:t>
      </w:r>
      <w:r>
        <w:t xml:space="preserve"> in their analysis of labour mobility for those completing a VET qualification. They found that m</w:t>
      </w:r>
      <w:r w:rsidR="00A80B4E">
        <w:t xml:space="preserve">oving jobs within a particular occupation usually leads to a good outcome. However, when a </w:t>
      </w:r>
      <w:r w:rsidR="00A80B4E" w:rsidRPr="00A80B4E">
        <w:t xml:space="preserve">worker changes </w:t>
      </w:r>
      <w:r w:rsidR="000A2CB5">
        <w:t>industry</w:t>
      </w:r>
      <w:r w:rsidR="00A80B4E" w:rsidRPr="00A80B4E">
        <w:t xml:space="preserve"> </w:t>
      </w:r>
      <w:r w:rsidR="00A80B4E">
        <w:t xml:space="preserve">and </w:t>
      </w:r>
      <w:r w:rsidR="00A80B4E" w:rsidRPr="00A80B4E">
        <w:t xml:space="preserve">leaves behind valuable networks </w:t>
      </w:r>
      <w:r w:rsidR="00A80B4E">
        <w:t xml:space="preserve">the result tends not to be advantageous. This finding could have implications for how </w:t>
      </w:r>
      <w:r w:rsidR="00B43C57">
        <w:t>workers</w:t>
      </w:r>
      <w:r w:rsidR="00A80B4E">
        <w:t xml:space="preserve"> meet industry demands for skills that cross occupational groupings</w:t>
      </w:r>
      <w:r w:rsidR="00A80B4E" w:rsidRPr="00A80B4E">
        <w:t>.</w:t>
      </w:r>
      <w:r w:rsidR="00197D2E">
        <w:br w:type="page"/>
      </w:r>
    </w:p>
    <w:p w:rsidR="00DD1D1F" w:rsidRPr="00A553D3" w:rsidRDefault="00012503" w:rsidP="00197D2E">
      <w:pPr>
        <w:pStyle w:val="Heading1"/>
      </w:pPr>
      <w:bookmarkStart w:id="53" w:name="_Toc398541651"/>
      <w:r w:rsidRPr="00A553D3">
        <w:lastRenderedPageBreak/>
        <w:t xml:space="preserve">Skills for </w:t>
      </w:r>
      <w:r w:rsidR="001159C0">
        <w:t>research and development</w:t>
      </w:r>
      <w:bookmarkEnd w:id="53"/>
      <w:r w:rsidR="001159C0">
        <w:t xml:space="preserve"> </w:t>
      </w:r>
    </w:p>
    <w:p w:rsidR="00B9540A" w:rsidRPr="00D23118" w:rsidRDefault="00F82C2B" w:rsidP="00D23118">
      <w:pPr>
        <w:pStyle w:val="Text"/>
      </w:pPr>
      <w:r w:rsidRPr="00F82C2B">
        <w:t xml:space="preserve">A major challenge </w:t>
      </w:r>
      <w:r w:rsidR="00F94911">
        <w:t>for</w:t>
      </w:r>
      <w:r w:rsidRPr="00F82C2B">
        <w:t xml:space="preserve"> these five industries will be to improve </w:t>
      </w:r>
      <w:r w:rsidR="00B43C57">
        <w:t xml:space="preserve">the </w:t>
      </w:r>
      <w:r w:rsidRPr="00F82C2B">
        <w:t>commercial and economic outcomes from research and development</w:t>
      </w:r>
      <w:r w:rsidR="001159C0">
        <w:t xml:space="preserve"> (R&amp;D)</w:t>
      </w:r>
      <w:r w:rsidR="00F94911">
        <w:t>,</w:t>
      </w:r>
      <w:r w:rsidR="00C6425B">
        <w:t xml:space="preserve"> </w:t>
      </w:r>
      <w:r w:rsidR="00C6425B" w:rsidRPr="00C6425B">
        <w:t>heeding at the same time the need to protect their intelle</w:t>
      </w:r>
      <w:r w:rsidR="00C6425B">
        <w:t>ctual property and market niche</w:t>
      </w:r>
      <w:r w:rsidRPr="00F82C2B">
        <w:t xml:space="preserve">. The report into the </w:t>
      </w:r>
      <w:r w:rsidR="003626A6">
        <w:t>South Australian</w:t>
      </w:r>
      <w:r w:rsidRPr="00F82C2B">
        <w:t xml:space="preserve"> and Victorian economies noted that real commercial success may require Australian institutions to take greater risks and </w:t>
      </w:r>
      <w:r w:rsidR="00B43C57">
        <w:t>accept</w:t>
      </w:r>
      <w:r w:rsidRPr="00F82C2B">
        <w:t xml:space="preserve"> occasional failure (</w:t>
      </w:r>
      <w:r w:rsidR="003626A6" w:rsidRPr="00D23118">
        <w:t>Department of Industr</w:t>
      </w:r>
      <w:r w:rsidR="003626A6" w:rsidRPr="00C6425B">
        <w:t>y</w:t>
      </w:r>
      <w:r w:rsidR="0099171C" w:rsidRPr="00C6425B">
        <w:t xml:space="preserve"> 2014</w:t>
      </w:r>
      <w:r w:rsidR="00680ED5">
        <w:t>b</w:t>
      </w:r>
      <w:r w:rsidR="000C191F" w:rsidRPr="00C6425B">
        <w:t>,</w:t>
      </w:r>
      <w:r w:rsidR="0099171C" w:rsidRPr="00C6425B">
        <w:t xml:space="preserve"> </w:t>
      </w:r>
      <w:r w:rsidRPr="00C6425B">
        <w:t>p</w:t>
      </w:r>
      <w:r w:rsidRPr="00D23118">
        <w:t xml:space="preserve">.3). </w:t>
      </w:r>
    </w:p>
    <w:p w:rsidR="003F2E68" w:rsidRPr="00D23118" w:rsidRDefault="00F82C2B" w:rsidP="00D23118">
      <w:pPr>
        <w:pStyle w:val="Text"/>
      </w:pPr>
      <w:r w:rsidRPr="00D23118">
        <w:t xml:space="preserve">The role of government in fostering innovation is multifaceted, with some arguing that it should promote experimentation in business as well as </w:t>
      </w:r>
      <w:r w:rsidR="0099171C" w:rsidRPr="00D23118">
        <w:t xml:space="preserve">provide </w:t>
      </w:r>
      <w:r w:rsidRPr="00D23118">
        <w:t xml:space="preserve">the enabling regulatory environment. In this paper, the focus is on skills development. </w:t>
      </w:r>
    </w:p>
    <w:p w:rsidR="003F2E68" w:rsidRPr="00D23118" w:rsidRDefault="003F2E68" w:rsidP="00D23118">
      <w:pPr>
        <w:pStyle w:val="Text"/>
        <w:ind w:right="-143"/>
      </w:pPr>
      <w:r w:rsidRPr="00D23118">
        <w:t>G</w:t>
      </w:r>
      <w:r w:rsidR="0099171C" w:rsidRPr="00D23118">
        <w:t>overnments play</w:t>
      </w:r>
      <w:r w:rsidR="00F82C2B" w:rsidRPr="00D23118">
        <w:t xml:space="preserve"> the major role in providing basic education and </w:t>
      </w:r>
      <w:r w:rsidR="00F94911">
        <w:t xml:space="preserve">in </w:t>
      </w:r>
      <w:r w:rsidR="00F82C2B" w:rsidRPr="00D23118">
        <w:t>funding research.</w:t>
      </w:r>
      <w:r w:rsidR="00472A51" w:rsidRPr="00D23118">
        <w:t xml:space="preserve"> </w:t>
      </w:r>
      <w:r w:rsidR="00F82C2B" w:rsidRPr="00D23118">
        <w:t>The workplace is also crucial. Most innovation occurs at the business level and if the culture does not support innovation, it will not occur</w:t>
      </w:r>
      <w:r w:rsidR="003626A6" w:rsidRPr="00D23118">
        <w:t>,</w:t>
      </w:r>
      <w:r w:rsidR="00F82C2B" w:rsidRPr="00D23118">
        <w:t xml:space="preserve"> regardless of the skills of the workforce. This presents a further challenge to employers; it also offers opportunities for new collaborations between enterprises and with both higher</w:t>
      </w:r>
      <w:r w:rsidR="00D23118">
        <w:t> </w:t>
      </w:r>
      <w:r w:rsidR="00F82C2B" w:rsidRPr="00D23118">
        <w:t xml:space="preserve">education and VET providers as well as </w:t>
      </w:r>
      <w:r w:rsidR="00B43C57" w:rsidRPr="00D23118">
        <w:t xml:space="preserve">with </w:t>
      </w:r>
      <w:r w:rsidR="00F82C2B" w:rsidRPr="00D23118">
        <w:t xml:space="preserve">dedicated research organisations. </w:t>
      </w:r>
      <w:r w:rsidRPr="00D23118">
        <w:t>The concept of openness in innovation means that organisations can thrive on strategic alliances and inter</w:t>
      </w:r>
      <w:r w:rsidR="00291823" w:rsidRPr="00D23118">
        <w:t>-</w:t>
      </w:r>
      <w:r w:rsidRPr="00D23118">
        <w:t>firm networks</w:t>
      </w:r>
      <w:r w:rsidR="00291823" w:rsidRPr="00D23118">
        <w:t xml:space="preserve">, heeding at the same time their </w:t>
      </w:r>
      <w:r w:rsidRPr="00D23118">
        <w:t xml:space="preserve">intellectual property and </w:t>
      </w:r>
      <w:r w:rsidR="003626A6" w:rsidRPr="00D23118">
        <w:t>market niche (</w:t>
      </w:r>
      <w:proofErr w:type="spellStart"/>
      <w:r w:rsidR="003626A6" w:rsidRPr="00D23118">
        <w:t>Stanwick</w:t>
      </w:r>
      <w:proofErr w:type="spellEnd"/>
      <w:r w:rsidR="00291823" w:rsidRPr="00D23118">
        <w:t xml:space="preserve"> 2011</w:t>
      </w:r>
      <w:r w:rsidR="003626A6" w:rsidRPr="00D23118">
        <w:t>,</w:t>
      </w:r>
      <w:r w:rsidR="00291823" w:rsidRPr="00D23118">
        <w:t xml:space="preserve"> p.7)</w:t>
      </w:r>
      <w:r w:rsidRPr="00D23118">
        <w:t>.</w:t>
      </w:r>
    </w:p>
    <w:p w:rsidR="000B59AB" w:rsidRDefault="00566E88" w:rsidP="00D23118">
      <w:pPr>
        <w:pStyle w:val="Text"/>
        <w:spacing w:after="360"/>
        <w:ind w:right="0"/>
      </w:pPr>
      <w:r w:rsidRPr="00D23118">
        <w:t>Despite pockets of excellence, there</w:t>
      </w:r>
      <w:r>
        <w:t xml:space="preserve"> remains a gap between the knowledge generated in universities and </w:t>
      </w:r>
      <w:r w:rsidR="000B59AB">
        <w:t>industry practice. One bridge over that gap is the public TAFE system, which has strong links to workplaces and greater potential to translate research f</w:t>
      </w:r>
      <w:r w:rsidR="003626A6">
        <w:t xml:space="preserve">indings into practice (see </w:t>
      </w:r>
      <w:proofErr w:type="spellStart"/>
      <w:r w:rsidR="003626A6">
        <w:t>Roos</w:t>
      </w:r>
      <w:proofErr w:type="spellEnd"/>
      <w:r w:rsidR="000B59AB">
        <w:t xml:space="preserve"> </w:t>
      </w:r>
      <w:r w:rsidR="00B43C57">
        <w:t>2014;</w:t>
      </w:r>
      <w:r w:rsidR="000B59AB">
        <w:t xml:space="preserve"> </w:t>
      </w:r>
      <w:r w:rsidR="003626A6">
        <w:t xml:space="preserve">Curtin, </w:t>
      </w:r>
      <w:proofErr w:type="spellStart"/>
      <w:r w:rsidR="000B59AB">
        <w:t>Stanwick</w:t>
      </w:r>
      <w:proofErr w:type="spellEnd"/>
      <w:r w:rsidR="000B59AB">
        <w:t xml:space="preserve"> </w:t>
      </w:r>
      <w:r w:rsidR="003626A6">
        <w:t>&amp; Beddie</w:t>
      </w:r>
      <w:r w:rsidR="003F2E68">
        <w:t xml:space="preserve"> 2011</w:t>
      </w:r>
      <w:r w:rsidR="000B59AB">
        <w:t xml:space="preserve">). </w:t>
      </w:r>
      <w:r w:rsidR="00FE3352">
        <w:t xml:space="preserve">Another is to connect young scientists into the business world. </w:t>
      </w:r>
    </w:p>
    <w:tbl>
      <w:tblPr>
        <w:tblStyle w:val="TableGrid"/>
        <w:tblW w:w="8789" w:type="dxa"/>
        <w:tblInd w:w="284" w:type="dxa"/>
        <w:tblBorders>
          <w:top w:val="none" w:sz="0" w:space="0" w:color="auto"/>
          <w:left w:val="none" w:sz="0" w:space="0" w:color="auto"/>
          <w:bottom w:val="single" w:sz="18" w:space="0" w:color="1F497D" w:themeColor="text2"/>
          <w:right w:val="none" w:sz="0" w:space="0" w:color="auto"/>
          <w:insideH w:val="none" w:sz="0" w:space="0" w:color="auto"/>
          <w:insideV w:val="none" w:sz="0" w:space="0" w:color="auto"/>
        </w:tblBorders>
        <w:tblLayout w:type="fixed"/>
        <w:tblCellMar>
          <w:left w:w="284" w:type="dxa"/>
          <w:right w:w="284" w:type="dxa"/>
        </w:tblCellMar>
        <w:tblLook w:val="04A0" w:firstRow="1" w:lastRow="0" w:firstColumn="1" w:lastColumn="0" w:noHBand="0" w:noVBand="1"/>
      </w:tblPr>
      <w:tblGrid>
        <w:gridCol w:w="8789"/>
      </w:tblGrid>
      <w:tr w:rsidR="00D23118" w:rsidTr="00231FD8">
        <w:tc>
          <w:tcPr>
            <w:tcW w:w="9004" w:type="dxa"/>
            <w:shd w:val="clear" w:color="auto" w:fill="1F497D" w:themeFill="text2"/>
          </w:tcPr>
          <w:p w:rsidR="00D23118" w:rsidRDefault="00D23118" w:rsidP="00231FD8">
            <w:pPr>
              <w:pStyle w:val="Tablehead1"/>
              <w:spacing w:before="120" w:after="120"/>
              <w:rPr>
                <w:sz w:val="19"/>
              </w:rPr>
            </w:pPr>
            <w:r>
              <w:rPr>
                <w:color w:val="FFFFFF" w:themeColor="background1"/>
              </w:rPr>
              <w:t>The Walter and Eliza Hall Institute Business Development Internship Program</w:t>
            </w:r>
          </w:p>
        </w:tc>
      </w:tr>
      <w:tr w:rsidR="00D23118" w:rsidTr="00231FD8">
        <w:tc>
          <w:tcPr>
            <w:tcW w:w="9004" w:type="dxa"/>
            <w:shd w:val="clear" w:color="auto" w:fill="C6D9F1" w:themeFill="text2" w:themeFillTint="33"/>
          </w:tcPr>
          <w:p w:rsidR="00D23118" w:rsidRPr="00BB1856" w:rsidRDefault="00D23118" w:rsidP="00D23118">
            <w:pPr>
              <w:pStyle w:val="Tabletext"/>
              <w:spacing w:before="120"/>
            </w:pPr>
            <w:r>
              <w:t>This program gives young</w:t>
            </w:r>
            <w:r w:rsidRPr="00BB1856">
              <w:t xml:space="preserve"> talented scientists exposure to</w:t>
            </w:r>
            <w:r>
              <w:t xml:space="preserve"> the</w:t>
            </w:r>
            <w:r w:rsidRPr="00BB1856">
              <w:t xml:space="preserve"> technology transfer and business development skills needed in the biotech and pharmaceutical markets. The interns develop skills in:</w:t>
            </w:r>
          </w:p>
          <w:p w:rsidR="00D23118" w:rsidRPr="00BB1856" w:rsidRDefault="00D23118" w:rsidP="00D23118">
            <w:pPr>
              <w:pStyle w:val="Tabletext"/>
              <w:ind w:left="198" w:hanging="198"/>
            </w:pPr>
            <w:r>
              <w:rPr>
                <w:rFonts w:cs="Arial"/>
              </w:rPr>
              <w:t>▪</w:t>
            </w:r>
            <w:r>
              <w:tab/>
            </w:r>
            <w:r w:rsidRPr="00BB1856">
              <w:t xml:space="preserve">opportunity identification and analysis </w:t>
            </w:r>
          </w:p>
          <w:p w:rsidR="00D23118" w:rsidRPr="00BB1856" w:rsidRDefault="00D23118" w:rsidP="00D23118">
            <w:pPr>
              <w:pStyle w:val="Tabletext"/>
              <w:ind w:left="198" w:hanging="198"/>
            </w:pPr>
            <w:r>
              <w:rPr>
                <w:rFonts w:cs="Arial"/>
              </w:rPr>
              <w:t>▪</w:t>
            </w:r>
            <w:r>
              <w:tab/>
            </w:r>
            <w:r w:rsidRPr="00BB1856">
              <w:t>intellectual property management</w:t>
            </w:r>
          </w:p>
          <w:p w:rsidR="00D23118" w:rsidRPr="00BB1856" w:rsidRDefault="00D23118" w:rsidP="00D23118">
            <w:pPr>
              <w:pStyle w:val="Tabletext"/>
              <w:ind w:left="198" w:hanging="198"/>
            </w:pPr>
            <w:r>
              <w:rPr>
                <w:rFonts w:cs="Arial"/>
              </w:rPr>
              <w:t>▪</w:t>
            </w:r>
            <w:r>
              <w:tab/>
            </w:r>
            <w:r w:rsidRPr="00BB1856">
              <w:t xml:space="preserve">technology marketing communication </w:t>
            </w:r>
          </w:p>
          <w:p w:rsidR="00D23118" w:rsidRPr="00BB1856" w:rsidRDefault="00D23118" w:rsidP="00D23118">
            <w:pPr>
              <w:pStyle w:val="Tabletext"/>
              <w:ind w:left="198" w:hanging="198"/>
            </w:pPr>
            <w:r>
              <w:rPr>
                <w:rFonts w:cs="Arial"/>
              </w:rPr>
              <w:t>▪</w:t>
            </w:r>
            <w:r>
              <w:tab/>
            </w:r>
            <w:r w:rsidRPr="00BB1856">
              <w:t>collaboration and licence agreements</w:t>
            </w:r>
          </w:p>
          <w:p w:rsidR="00D23118" w:rsidRPr="00BB1856" w:rsidRDefault="00D23118" w:rsidP="00D23118">
            <w:pPr>
              <w:pStyle w:val="Tabletext"/>
              <w:ind w:left="198" w:hanging="198"/>
            </w:pPr>
            <w:r>
              <w:rPr>
                <w:rFonts w:cs="Arial"/>
              </w:rPr>
              <w:t>▪</w:t>
            </w:r>
            <w:r>
              <w:tab/>
            </w:r>
            <w:r w:rsidRPr="00BB1856">
              <w:t>transfer governance.</w:t>
            </w:r>
          </w:p>
          <w:p w:rsidR="00D23118" w:rsidRPr="00D23118" w:rsidRDefault="00D23118" w:rsidP="00D23118">
            <w:pPr>
              <w:pStyle w:val="Tabletext"/>
              <w:spacing w:after="120"/>
              <w:jc w:val="right"/>
            </w:pPr>
            <w:r>
              <w:t>&lt;</w:t>
            </w:r>
            <w:r w:rsidRPr="00BB1856">
              <w:t>http://www.wehi.edu.au/tech_transfer/training/</w:t>
            </w:r>
            <w:r>
              <w:t>?</w:t>
            </w:r>
          </w:p>
        </w:tc>
      </w:tr>
    </w:tbl>
    <w:p w:rsidR="000B59AB" w:rsidRDefault="000B59AB" w:rsidP="00D23118">
      <w:pPr>
        <w:pStyle w:val="Textmorebefore"/>
      </w:pPr>
      <w:r>
        <w:t xml:space="preserve">Today’s innovation is about more than </w:t>
      </w:r>
      <w:r w:rsidR="00B43C57">
        <w:t>research and development</w:t>
      </w:r>
      <w:r>
        <w:t>; it also</w:t>
      </w:r>
      <w:r w:rsidRPr="000B59AB">
        <w:t xml:space="preserve"> </w:t>
      </w:r>
      <w:r>
        <w:t xml:space="preserve">involves renewing organisational and business models, and marketing. Businesses in the biotechnology </w:t>
      </w:r>
      <w:r w:rsidR="000A2CB5">
        <w:t>industry</w:t>
      </w:r>
      <w:r>
        <w:t xml:space="preserve"> are coming to understand that this demands a more diverse workforce than they needed in their start-up phase. An </w:t>
      </w:r>
      <w:r w:rsidR="00B43C57">
        <w:t xml:space="preserve">industry position survey </w:t>
      </w:r>
      <w:r>
        <w:t>in 2013</w:t>
      </w:r>
      <w:r w:rsidR="00291823">
        <w:t xml:space="preserve"> (Grant Thornton</w:t>
      </w:r>
      <w:r w:rsidR="003626A6">
        <w:t xml:space="preserve"> 2013</w:t>
      </w:r>
      <w:r w:rsidR="00930D86">
        <w:t>, p.6</w:t>
      </w:r>
      <w:r w:rsidR="00291823">
        <w:t>)</w:t>
      </w:r>
      <w:r>
        <w:t xml:space="preserve">, for example, noted an </w:t>
      </w:r>
      <w:r w:rsidR="00B43C57">
        <w:t>anticipated</w:t>
      </w:r>
      <w:r>
        <w:t xml:space="preserve"> increase in demand for business development professionals, sales and ma</w:t>
      </w:r>
      <w:r w:rsidR="00291823">
        <w:t>r</w:t>
      </w:r>
      <w:r>
        <w:t>keting staff as the local industry matures.</w:t>
      </w:r>
    </w:p>
    <w:p w:rsidR="00662000" w:rsidRDefault="00DE0A44" w:rsidP="000B59AB">
      <w:pPr>
        <w:pStyle w:val="Text"/>
      </w:pPr>
      <w:r w:rsidRPr="003C0ED1">
        <w:t>The</w:t>
      </w:r>
      <w:r w:rsidR="00662000" w:rsidRPr="003C0ED1">
        <w:t xml:space="preserve"> Department of Innovation </w:t>
      </w:r>
      <w:r w:rsidRPr="003C0ED1">
        <w:t xml:space="preserve">food processing industry study </w:t>
      </w:r>
      <w:r w:rsidR="00662000" w:rsidRPr="003C0ED1">
        <w:t>highlights the importance of</w:t>
      </w:r>
      <w:r w:rsidR="00503D04" w:rsidRPr="003C0ED1">
        <w:t xml:space="preserve"> nurturing </w:t>
      </w:r>
      <w:r w:rsidR="00662000" w:rsidRPr="003C0ED1">
        <w:t xml:space="preserve">innovation in the workplace through investment in </w:t>
      </w:r>
      <w:r w:rsidR="003C0ED1" w:rsidRPr="003C0ED1">
        <w:t xml:space="preserve">on-the-job </w:t>
      </w:r>
      <w:r w:rsidR="00662000" w:rsidRPr="003C0ED1">
        <w:t>training and education</w:t>
      </w:r>
      <w:r w:rsidR="003C0ED1" w:rsidRPr="003C0ED1">
        <w:t>, and this is especially critical for small and medium enterprises</w:t>
      </w:r>
      <w:r w:rsidR="003626A6">
        <w:t xml:space="preserve"> (Department of Innovation</w:t>
      </w:r>
      <w:r w:rsidR="00662000" w:rsidRPr="003C0ED1">
        <w:t xml:space="preserve"> 2012). </w:t>
      </w:r>
      <w:r w:rsidR="00F94911">
        <w:t>This study</w:t>
      </w:r>
      <w:r w:rsidR="00662000" w:rsidRPr="003C0ED1">
        <w:t xml:space="preserve"> </w:t>
      </w:r>
      <w:r w:rsidR="00662000" w:rsidRPr="003C0ED1">
        <w:lastRenderedPageBreak/>
        <w:t>suggest</w:t>
      </w:r>
      <w:r w:rsidR="00F94911">
        <w:t>s</w:t>
      </w:r>
      <w:r w:rsidR="00662000" w:rsidRPr="003C0ED1">
        <w:t xml:space="preserve"> workers and businesses benefit from the ‘right environment and culture, including mutual respect as well as management and leadership skills development</w:t>
      </w:r>
      <w:r w:rsidR="00BB5639">
        <w:t xml:space="preserve">’ </w:t>
      </w:r>
      <w:r w:rsidR="000C191F">
        <w:t>(p.</w:t>
      </w:r>
      <w:r w:rsidR="003C0ED1" w:rsidRPr="003C0ED1">
        <w:t>162)</w:t>
      </w:r>
      <w:r w:rsidR="00662000" w:rsidRPr="003C0ED1">
        <w:t>.</w:t>
      </w:r>
      <w:r w:rsidR="006074C1">
        <w:t xml:space="preserve"> </w:t>
      </w:r>
    </w:p>
    <w:p w:rsidR="00F82C2B" w:rsidRDefault="00863350" w:rsidP="00B9540A">
      <w:pPr>
        <w:pStyle w:val="Text"/>
      </w:pPr>
      <w:r>
        <w:t xml:space="preserve">The 2013 </w:t>
      </w:r>
      <w:proofErr w:type="spellStart"/>
      <w:r w:rsidR="00B9540A">
        <w:t>Agrifoods</w:t>
      </w:r>
      <w:proofErr w:type="spellEnd"/>
      <w:r w:rsidR="00B9540A">
        <w:t xml:space="preserve"> scan </w:t>
      </w:r>
      <w:r>
        <w:t>(</w:t>
      </w:r>
      <w:proofErr w:type="spellStart"/>
      <w:r w:rsidR="00930D86">
        <w:t>p.</w:t>
      </w:r>
      <w:r w:rsidR="00B9540A">
        <w:t>viii</w:t>
      </w:r>
      <w:proofErr w:type="spellEnd"/>
      <w:r>
        <w:t>) listed ‘p</w:t>
      </w:r>
      <w:r w:rsidR="00B9540A">
        <w:t>oor speed-to-market of</w:t>
      </w:r>
      <w:r>
        <w:t xml:space="preserve"> </w:t>
      </w:r>
      <w:r w:rsidR="00B9540A">
        <w:t>publicly funded research</w:t>
      </w:r>
      <w:r>
        <w:t xml:space="preserve"> </w:t>
      </w:r>
      <w:r w:rsidR="00B9540A">
        <w:t xml:space="preserve">findings </w:t>
      </w:r>
      <w:r>
        <w:t>…</w:t>
      </w:r>
      <w:r w:rsidR="00B9540A">
        <w:t xml:space="preserve"> to be one</w:t>
      </w:r>
      <w:r>
        <w:t xml:space="preserve"> </w:t>
      </w:r>
      <w:r w:rsidR="00B9540A">
        <w:t>of the major constraints in</w:t>
      </w:r>
      <w:r>
        <w:t xml:space="preserve"> </w:t>
      </w:r>
      <w:r w:rsidR="00B9540A">
        <w:t xml:space="preserve">substantially lifting </w:t>
      </w:r>
      <w:proofErr w:type="spellStart"/>
      <w:r w:rsidR="00B9540A">
        <w:t>agrifood</w:t>
      </w:r>
      <w:proofErr w:type="spellEnd"/>
      <w:r>
        <w:t xml:space="preserve"> </w:t>
      </w:r>
      <w:r w:rsidR="00B9540A">
        <w:t>productivity levels</w:t>
      </w:r>
      <w:r>
        <w:t>’</w:t>
      </w:r>
      <w:r w:rsidR="00B9540A">
        <w:t xml:space="preserve">. </w:t>
      </w:r>
      <w:r>
        <w:t>The scan identified p</w:t>
      </w:r>
      <w:r w:rsidR="00B9540A">
        <w:t>araprofessional</w:t>
      </w:r>
      <w:r>
        <w:t xml:space="preserve">s and </w:t>
      </w:r>
      <w:r w:rsidR="00B9540A">
        <w:t>technician</w:t>
      </w:r>
      <w:r>
        <w:t>s as those responsible for much of the</w:t>
      </w:r>
      <w:r w:rsidR="00B9540A">
        <w:t xml:space="preserve"> application of new</w:t>
      </w:r>
      <w:r>
        <w:t xml:space="preserve"> </w:t>
      </w:r>
      <w:r w:rsidR="00B9540A">
        <w:t>practice and knowledge</w:t>
      </w:r>
      <w:r>
        <w:t>. They need therefore be equipped during their VET training to ‘</w:t>
      </w:r>
      <w:r w:rsidR="00B9540A">
        <w:t>spearhead</w:t>
      </w:r>
      <w:r>
        <w:t xml:space="preserve"> </w:t>
      </w:r>
      <w:r w:rsidR="00B9540A">
        <w:t>dissemination and application</w:t>
      </w:r>
      <w:r>
        <w:t xml:space="preserve"> [of research findings] </w:t>
      </w:r>
      <w:r w:rsidR="00B9540A">
        <w:t>back at the workplace</w:t>
      </w:r>
      <w:r w:rsidR="00930D86">
        <w:t>’</w:t>
      </w:r>
      <w:r>
        <w:t xml:space="preserve">. </w:t>
      </w:r>
    </w:p>
    <w:p w:rsidR="00FE3352" w:rsidRDefault="00863350" w:rsidP="00D23118">
      <w:pPr>
        <w:pStyle w:val="Text"/>
        <w:ind w:right="141"/>
      </w:pPr>
      <w:r>
        <w:t xml:space="preserve">The </w:t>
      </w:r>
      <w:r w:rsidR="008D67F9">
        <w:t xml:space="preserve">Australian </w:t>
      </w:r>
      <w:r w:rsidR="006C26DD">
        <w:t>Workforce and Productivity</w:t>
      </w:r>
      <w:r w:rsidR="008D67F9">
        <w:t xml:space="preserve"> Agency</w:t>
      </w:r>
      <w:r>
        <w:t xml:space="preserve"> survey of the </w:t>
      </w:r>
      <w:r w:rsidR="00FF1AB5">
        <w:t>food</w:t>
      </w:r>
      <w:r>
        <w:t xml:space="preserve"> </w:t>
      </w:r>
      <w:r w:rsidR="00FF1AB5">
        <w:t>industry</w:t>
      </w:r>
      <w:r>
        <w:t xml:space="preserve"> (</w:t>
      </w:r>
      <w:r w:rsidR="00930D86">
        <w:t>2013a, pp.</w:t>
      </w:r>
      <w:r w:rsidR="003626A6">
        <w:t>72—</w:t>
      </w:r>
      <w:r>
        <w:t xml:space="preserve">3) records the rise of a new set of </w:t>
      </w:r>
      <w:r w:rsidR="00FF1AB5">
        <w:t>workers</w:t>
      </w:r>
      <w:r>
        <w:t xml:space="preserve"> in the farming s</w:t>
      </w:r>
      <w:r w:rsidR="00FE3352">
        <w:t xml:space="preserve">ector: </w:t>
      </w:r>
      <w:r w:rsidRPr="001C5FDC">
        <w:t>small business consultants, paraprofessionals and spec</w:t>
      </w:r>
      <w:r w:rsidR="00FE3352" w:rsidRPr="001C5FDC">
        <w:t xml:space="preserve">ialist contractors, many of whom have taken the place of extension services in conveying knowledge </w:t>
      </w:r>
      <w:r w:rsidR="00322477" w:rsidRPr="001C5FDC">
        <w:t>about new</w:t>
      </w:r>
      <w:r w:rsidR="00FE3352" w:rsidRPr="001C5FDC">
        <w:t xml:space="preserve"> developments and techniques. </w:t>
      </w:r>
      <w:r w:rsidR="00930D86">
        <w:t>As</w:t>
      </w:r>
      <w:r w:rsidR="00FE3352" w:rsidRPr="00FE3352">
        <w:t xml:space="preserve"> the 2013 scan (</w:t>
      </w:r>
      <w:proofErr w:type="spellStart"/>
      <w:r w:rsidR="00930D86">
        <w:t>Agrifoods</w:t>
      </w:r>
      <w:proofErr w:type="spellEnd"/>
      <w:r w:rsidR="000C191F">
        <w:t xml:space="preserve"> 2013</w:t>
      </w:r>
      <w:r w:rsidR="00930D86">
        <w:t xml:space="preserve">, </w:t>
      </w:r>
      <w:r w:rsidR="00FE3352" w:rsidRPr="00FE3352">
        <w:t xml:space="preserve">p. 9) noted, the rise of the </w:t>
      </w:r>
      <w:r w:rsidR="00FF1AB5" w:rsidRPr="00FE3352">
        <w:t>micr</w:t>
      </w:r>
      <w:r w:rsidR="00FF1AB5">
        <w:t>o</w:t>
      </w:r>
      <w:r w:rsidR="001C5FDC">
        <w:t>-</w:t>
      </w:r>
      <w:r w:rsidR="00FE3352" w:rsidRPr="00FE3352">
        <w:t xml:space="preserve">business and entrepreneurs with research capacity is also challenging the traditional research, development and extension bodies. Crowdsourcing and </w:t>
      </w:r>
      <w:proofErr w:type="spellStart"/>
      <w:r w:rsidR="00FE3352" w:rsidRPr="00FE3352">
        <w:t>crowdtesting</w:t>
      </w:r>
      <w:proofErr w:type="spellEnd"/>
      <w:r w:rsidR="00FE3352" w:rsidRPr="00FE3352">
        <w:t xml:space="preserve"> are tapping into creativity </w:t>
      </w:r>
      <w:r w:rsidR="000C191F">
        <w:t>and encouraging dynamic problem-</w:t>
      </w:r>
      <w:r w:rsidR="00FE3352" w:rsidRPr="00FE3352">
        <w:t>solving. It is a concept set to challenge the speed to market</w:t>
      </w:r>
      <w:r w:rsidR="001C5FDC">
        <w:t>.</w:t>
      </w:r>
    </w:p>
    <w:p w:rsidR="00FF1AB5" w:rsidRPr="00FE3352" w:rsidRDefault="00FF1AB5" w:rsidP="001C5FDC">
      <w:pPr>
        <w:pStyle w:val="Text"/>
      </w:pPr>
      <w:r>
        <w:t xml:space="preserve">The </w:t>
      </w:r>
      <w:r w:rsidRPr="00FF1AB5">
        <w:t>Rural R&amp;D for Profit Policy Initiative</w:t>
      </w:r>
      <w:r>
        <w:t xml:space="preserve"> announced in the 2014 Budget continues the tradition of linking research with farmers. </w:t>
      </w:r>
    </w:p>
    <w:p w:rsidR="00197D2E" w:rsidRDefault="00197D2E">
      <w:pPr>
        <w:rPr>
          <w:rFonts w:ascii="Tahoma" w:hAnsi="Tahoma" w:cs="Tahoma"/>
          <w:color w:val="000000"/>
          <w:kern w:val="28"/>
          <w:sz w:val="56"/>
          <w:szCs w:val="56"/>
          <w:lang w:eastAsia="en-US"/>
        </w:rPr>
      </w:pPr>
      <w:r>
        <w:br w:type="page"/>
      </w:r>
    </w:p>
    <w:p w:rsidR="001A3E79" w:rsidRPr="00A553D3" w:rsidRDefault="00DD1D1F" w:rsidP="00197D2E">
      <w:pPr>
        <w:pStyle w:val="Heading1"/>
      </w:pPr>
      <w:bookmarkStart w:id="54" w:name="_Toc398541652"/>
      <w:r w:rsidRPr="00A553D3">
        <w:lastRenderedPageBreak/>
        <w:t>The teaching workforce</w:t>
      </w:r>
      <w:bookmarkEnd w:id="54"/>
    </w:p>
    <w:p w:rsidR="00BB1856" w:rsidRPr="00290FAE" w:rsidRDefault="00BB1856" w:rsidP="00290FAE">
      <w:pPr>
        <w:pStyle w:val="Text"/>
      </w:pPr>
      <w:r w:rsidRPr="00290FAE">
        <w:t xml:space="preserve">Positioning Australians to work in </w:t>
      </w:r>
      <w:r w:rsidR="00CE5992">
        <w:t>these</w:t>
      </w:r>
      <w:r w:rsidRPr="00290FAE">
        <w:t xml:space="preserve"> industries requires the r</w:t>
      </w:r>
      <w:r w:rsidR="00290FAE" w:rsidRPr="00290FAE">
        <w:t xml:space="preserve">ight teachers and trainers. At present, the workforce has gaps in its skills and, like so many industries, must address its ageing demographic. </w:t>
      </w:r>
    </w:p>
    <w:p w:rsidR="00290FAE" w:rsidRDefault="0088442A" w:rsidP="00231FD8">
      <w:pPr>
        <w:pStyle w:val="Heading2"/>
        <w:rPr>
          <w:lang w:val="en-GB"/>
        </w:rPr>
      </w:pPr>
      <w:bookmarkStart w:id="55" w:name="_Toc398541653"/>
      <w:r>
        <w:rPr>
          <w:lang w:val="en-GB"/>
        </w:rPr>
        <w:t>Science, technology, engineering and mathematics capacity of</w:t>
      </w:r>
      <w:r w:rsidR="00231FD8">
        <w:rPr>
          <w:lang w:val="en-GB"/>
        </w:rPr>
        <w:t> </w:t>
      </w:r>
      <w:r>
        <w:rPr>
          <w:lang w:val="en-GB"/>
        </w:rPr>
        <w:t>teachers</w:t>
      </w:r>
      <w:bookmarkEnd w:id="55"/>
    </w:p>
    <w:p w:rsidR="00FF1AB5" w:rsidRDefault="00290FAE" w:rsidP="00290FAE">
      <w:pPr>
        <w:pStyle w:val="Text"/>
      </w:pPr>
      <w:r w:rsidRPr="00290FAE">
        <w:t>A report by the Australian Counc</w:t>
      </w:r>
      <w:r w:rsidR="000C191F">
        <w:t>il of Learned Academies in 2013</w:t>
      </w:r>
      <w:r w:rsidRPr="00290FAE">
        <w:t xml:space="preserve"> found </w:t>
      </w:r>
      <w:r w:rsidR="00FF1AB5" w:rsidRPr="00290FAE">
        <w:t>capacity gaps in STEM teaching</w:t>
      </w:r>
      <w:r w:rsidR="00B43C57">
        <w:t>,</w:t>
      </w:r>
      <w:r w:rsidR="00FF1AB5" w:rsidRPr="00290FAE">
        <w:t xml:space="preserve"> with a high proportion of Australian secondary school teachers</w:t>
      </w:r>
      <w:r w:rsidRPr="00290FAE">
        <w:t xml:space="preserve"> </w:t>
      </w:r>
      <w:r w:rsidR="00930D86">
        <w:t>teaching out of their fi</w:t>
      </w:r>
      <w:r w:rsidR="00FF1AB5" w:rsidRPr="00290FAE">
        <w:t>eld of expertise</w:t>
      </w:r>
      <w:r w:rsidRPr="00290FAE">
        <w:t xml:space="preserve"> and without the qualif</w:t>
      </w:r>
      <w:r w:rsidR="00930D86">
        <w:t>ications or</w:t>
      </w:r>
      <w:r w:rsidR="000C191F">
        <w:t xml:space="preserve"> confidence to do so (</w:t>
      </w:r>
      <w:proofErr w:type="spellStart"/>
      <w:r w:rsidR="000C191F">
        <w:t>Marginson</w:t>
      </w:r>
      <w:proofErr w:type="spellEnd"/>
      <w:r w:rsidR="00930D86">
        <w:t xml:space="preserve"> et al.</w:t>
      </w:r>
      <w:r w:rsidR="00F905FF">
        <w:t xml:space="preserve"> 2013</w:t>
      </w:r>
      <w:r w:rsidR="000C191F">
        <w:t>,</w:t>
      </w:r>
      <w:r w:rsidR="00472A51">
        <w:t xml:space="preserve"> </w:t>
      </w:r>
      <w:r w:rsidR="00FF1AB5" w:rsidRPr="00290FAE">
        <w:t>p.2</w:t>
      </w:r>
      <w:r w:rsidR="00930D86">
        <w:t>).</w:t>
      </w:r>
      <w:r w:rsidR="00FF1AB5" w:rsidRPr="00290FAE">
        <w:t xml:space="preserve"> </w:t>
      </w:r>
    </w:p>
    <w:p w:rsidR="0000156A" w:rsidRDefault="00922335" w:rsidP="00922335">
      <w:pPr>
        <w:pStyle w:val="Text"/>
      </w:pPr>
      <w:proofErr w:type="spellStart"/>
      <w:r>
        <w:t>Berghella</w:t>
      </w:r>
      <w:proofErr w:type="spellEnd"/>
      <w:r>
        <w:t xml:space="preserve"> and </w:t>
      </w:r>
      <w:proofErr w:type="spellStart"/>
      <w:r>
        <w:t>Molenaar</w:t>
      </w:r>
      <w:proofErr w:type="spellEnd"/>
      <w:r w:rsidR="00930D86">
        <w:t xml:space="preserve"> (2013</w:t>
      </w:r>
      <w:r>
        <w:t>)</w:t>
      </w:r>
      <w:r w:rsidR="00290FAE">
        <w:t xml:space="preserve"> </w:t>
      </w:r>
      <w:r w:rsidR="00930D86">
        <w:t xml:space="preserve">investigated numeracy provision in </w:t>
      </w:r>
      <w:r w:rsidR="00290FAE">
        <w:t>the process manufacturing industry</w:t>
      </w:r>
      <w:r w:rsidR="00930D86">
        <w:t xml:space="preserve">. They </w:t>
      </w:r>
      <w:r w:rsidR="00290FAE">
        <w:t xml:space="preserve">found a </w:t>
      </w:r>
      <w:r w:rsidR="009972FC" w:rsidRPr="009972FC">
        <w:t>mismatch betwee</w:t>
      </w:r>
      <w:r w:rsidR="00930D86">
        <w:t xml:space="preserve">n what is required to address needs in the industry and the </w:t>
      </w:r>
      <w:r w:rsidR="009972FC" w:rsidRPr="009972FC">
        <w:t>capacity of VET practitioners</w:t>
      </w:r>
      <w:r w:rsidR="00290FAE" w:rsidRPr="00290FAE">
        <w:t xml:space="preserve"> in terms of their understanding of numeracy requirements, and their qualifications, skills and experience.</w:t>
      </w:r>
      <w:r w:rsidR="009972FC">
        <w:t xml:space="preserve"> </w:t>
      </w:r>
      <w:r>
        <w:t>It is likely this mismatch is more widespread within the VET workforce</w:t>
      </w:r>
      <w:r w:rsidR="0000156A">
        <w:t>.</w:t>
      </w:r>
    </w:p>
    <w:p w:rsidR="00E82D9C" w:rsidRPr="00E82D9C" w:rsidRDefault="0000156A" w:rsidP="00231FD8">
      <w:pPr>
        <w:pStyle w:val="Heading2"/>
        <w:rPr>
          <w:color w:val="333333"/>
          <w:szCs w:val="24"/>
          <w:lang w:val="en-GB" w:eastAsia="en-GB"/>
        </w:rPr>
      </w:pPr>
      <w:bookmarkStart w:id="56" w:name="_Toc398541654"/>
      <w:r>
        <w:t>L</w:t>
      </w:r>
      <w:r w:rsidRPr="0000156A">
        <w:t>anguage, literacy and numeracy</w:t>
      </w:r>
      <w:bookmarkEnd w:id="56"/>
      <w:r w:rsidRPr="0000156A">
        <w:t xml:space="preserve"> </w:t>
      </w:r>
    </w:p>
    <w:p w:rsidR="00E82D9C" w:rsidRDefault="0000156A" w:rsidP="00C53D43">
      <w:pPr>
        <w:pStyle w:val="Text"/>
      </w:pPr>
      <w:r>
        <w:t xml:space="preserve">The </w:t>
      </w:r>
      <w:r w:rsidR="000C191F">
        <w:t>Manufacturing Skills Australia</w:t>
      </w:r>
      <w:r>
        <w:t xml:space="preserve"> environmental scan (</w:t>
      </w:r>
      <w:r w:rsidR="00930D86">
        <w:t>2014</w:t>
      </w:r>
      <w:r w:rsidR="000C191F">
        <w:t>,</w:t>
      </w:r>
      <w:r w:rsidR="00930D86">
        <w:t xml:space="preserve"> </w:t>
      </w:r>
      <w:r>
        <w:t>p.39) notes that much of the work in language, literacy and numeracy</w:t>
      </w:r>
      <w:r w:rsidR="00930D86">
        <w:t xml:space="preserve"> </w:t>
      </w:r>
      <w:r w:rsidRPr="00C53D43">
        <w:t>requires specially trained practitioners</w:t>
      </w:r>
      <w:r w:rsidR="00930D86">
        <w:t xml:space="preserve">. It stated that </w:t>
      </w:r>
      <w:r w:rsidRPr="00C53D43">
        <w:t xml:space="preserve">the need for additional </w:t>
      </w:r>
      <w:r>
        <w:t xml:space="preserve">support in this area </w:t>
      </w:r>
      <w:r w:rsidR="00930D86">
        <w:t xml:space="preserve">was </w:t>
      </w:r>
      <w:r>
        <w:t xml:space="preserve">evident. In recent years there have been efforts to upgrade the </w:t>
      </w:r>
      <w:r w:rsidR="00930D86">
        <w:t>qualifications</w:t>
      </w:r>
      <w:r>
        <w:t xml:space="preserve"> of adult literacy teachers and</w:t>
      </w:r>
      <w:r w:rsidR="00B91F00">
        <w:t>, through the skills council, Innovation and</w:t>
      </w:r>
      <w:r w:rsidR="00472A51">
        <w:t xml:space="preserve"> </w:t>
      </w:r>
      <w:r w:rsidR="00B91F00">
        <w:t>Business Skills Australia,</w:t>
      </w:r>
      <w:r>
        <w:t xml:space="preserve"> to provide additional professional development</w:t>
      </w:r>
      <w:r w:rsidR="00930D86">
        <w:t xml:space="preserve"> both in teaching foundation skills and more broadly to build the capability </w:t>
      </w:r>
      <w:r w:rsidR="00F94911">
        <w:t xml:space="preserve">for undertaking this </w:t>
      </w:r>
      <w:r w:rsidR="00930D86">
        <w:t>among VET practitioners</w:t>
      </w:r>
      <w:r>
        <w:t xml:space="preserve">. </w:t>
      </w:r>
    </w:p>
    <w:p w:rsidR="0000156A" w:rsidRDefault="0000156A" w:rsidP="00231FD8">
      <w:pPr>
        <w:pStyle w:val="Heading2"/>
      </w:pPr>
      <w:bookmarkStart w:id="57" w:name="_Toc398541655"/>
      <w:r>
        <w:t>Professional development for VET practitioners</w:t>
      </w:r>
      <w:bookmarkEnd w:id="57"/>
    </w:p>
    <w:p w:rsidR="001A3E79" w:rsidRPr="00C53D43" w:rsidRDefault="0000156A" w:rsidP="00C53D43">
      <w:pPr>
        <w:pStyle w:val="Text"/>
      </w:pPr>
      <w:r w:rsidRPr="00C53D43">
        <w:t>P</w:t>
      </w:r>
      <w:r w:rsidR="001A3E79" w:rsidRPr="00C53D43">
        <w:t>rofession</w:t>
      </w:r>
      <w:r w:rsidRPr="00C53D43">
        <w:t>al development opportunities are e</w:t>
      </w:r>
      <w:r w:rsidR="00B91F00">
        <w:t>ssential if VET practitioners are to maintain the</w:t>
      </w:r>
      <w:r w:rsidR="000C191F">
        <w:t>ir</w:t>
      </w:r>
      <w:r w:rsidRPr="00C53D43">
        <w:t xml:space="preserve"> industry currency, further </w:t>
      </w:r>
      <w:r w:rsidR="00B91F00" w:rsidRPr="00C53D43">
        <w:t>upgrade</w:t>
      </w:r>
      <w:r w:rsidRPr="00C53D43">
        <w:t xml:space="preserve"> their</w:t>
      </w:r>
      <w:r w:rsidR="00B91F00">
        <w:t xml:space="preserve"> </w:t>
      </w:r>
      <w:r w:rsidRPr="00C53D43">
        <w:t xml:space="preserve">own skills and engage constructively in the innovation cycle. </w:t>
      </w:r>
      <w:r w:rsidR="00C53D43" w:rsidRPr="00C53D43">
        <w:t xml:space="preserve">The </w:t>
      </w:r>
      <w:r w:rsidR="000C191F">
        <w:t>Manufacturing Skills Australia</w:t>
      </w:r>
      <w:r w:rsidR="00C53D43" w:rsidRPr="00C53D43">
        <w:t xml:space="preserve"> scan reported</w:t>
      </w:r>
      <w:r w:rsidR="00472A51">
        <w:t xml:space="preserve"> </w:t>
      </w:r>
      <w:r w:rsidR="00B91F00">
        <w:t>(2014</w:t>
      </w:r>
      <w:r w:rsidR="000C191F">
        <w:t>,</w:t>
      </w:r>
      <w:r w:rsidR="00C53D43" w:rsidRPr="00C53D43">
        <w:t xml:space="preserve"> </w:t>
      </w:r>
      <w:r w:rsidR="00B43C57">
        <w:t>p.</w:t>
      </w:r>
      <w:r w:rsidR="001A3E79" w:rsidRPr="00C53D43">
        <w:t>38</w:t>
      </w:r>
      <w:r w:rsidR="000C191F">
        <w:t>) that 45</w:t>
      </w:r>
      <w:r w:rsidR="008D67F9">
        <w:t>%</w:t>
      </w:r>
      <w:r w:rsidR="00B91F00">
        <w:t xml:space="preserve"> of </w:t>
      </w:r>
      <w:r w:rsidR="000C191F">
        <w:t>registered training organisations</w:t>
      </w:r>
      <w:r w:rsidR="00B91F00">
        <w:t xml:space="preserve"> </w:t>
      </w:r>
      <w:r w:rsidR="000C191F">
        <w:t>claimed to</w:t>
      </w:r>
      <w:r w:rsidR="001A3E79" w:rsidRPr="00C53D43">
        <w:t xml:space="preserve"> suffer</w:t>
      </w:r>
      <w:r w:rsidR="00C53D43" w:rsidRPr="00C53D43">
        <w:t xml:space="preserve"> </w:t>
      </w:r>
      <w:r w:rsidR="001A3E79" w:rsidRPr="00C53D43">
        <w:t>from skills shortages</w:t>
      </w:r>
      <w:r w:rsidR="000C191F">
        <w:t>, while</w:t>
      </w:r>
      <w:r w:rsidR="001A3E79" w:rsidRPr="00C53D43">
        <w:t xml:space="preserve"> enterprises increasingly report that</w:t>
      </w:r>
      <w:r w:rsidR="00C53D43" w:rsidRPr="00C53D43">
        <w:t xml:space="preserve"> </w:t>
      </w:r>
      <w:r w:rsidR="001A3E79" w:rsidRPr="00C53D43">
        <w:t>training providers are not able to add any value to training</w:t>
      </w:r>
      <w:r w:rsidR="00C53D43" w:rsidRPr="00C53D43">
        <w:t xml:space="preserve"> </w:t>
      </w:r>
      <w:r w:rsidR="001A3E79" w:rsidRPr="00C53D43">
        <w:t>programs by way of technical expertise, especially in niche skill</w:t>
      </w:r>
      <w:r w:rsidR="00C53D43" w:rsidRPr="00C53D43">
        <w:t xml:space="preserve"> </w:t>
      </w:r>
      <w:r w:rsidR="001A3E79" w:rsidRPr="00C53D43">
        <w:t>areas.</w:t>
      </w:r>
      <w:r w:rsidR="00C53D43" w:rsidRPr="00C53D43">
        <w:t xml:space="preserve"> </w:t>
      </w:r>
    </w:p>
    <w:p w:rsidR="00C53D43" w:rsidRDefault="00C53D43" w:rsidP="00231FD8">
      <w:pPr>
        <w:pStyle w:val="Heading2"/>
      </w:pPr>
      <w:bookmarkStart w:id="58" w:name="_Toc398541656"/>
      <w:r>
        <w:t>Labour shortages</w:t>
      </w:r>
      <w:bookmarkEnd w:id="58"/>
      <w:r>
        <w:t xml:space="preserve"> </w:t>
      </w:r>
    </w:p>
    <w:p w:rsidR="00F94911" w:rsidRDefault="00B91F00" w:rsidP="00C53D43">
      <w:pPr>
        <w:pStyle w:val="Text"/>
      </w:pPr>
      <w:r>
        <w:t xml:space="preserve">The </w:t>
      </w:r>
      <w:proofErr w:type="spellStart"/>
      <w:r w:rsidR="001A3E79">
        <w:t>Agrifoods</w:t>
      </w:r>
      <w:proofErr w:type="spellEnd"/>
      <w:r w:rsidR="00C53D43">
        <w:t xml:space="preserve"> </w:t>
      </w:r>
      <w:r w:rsidR="001A3E79">
        <w:t>2013 environmental scan</w:t>
      </w:r>
      <w:r w:rsidR="00C53D43">
        <w:t xml:space="preserve"> </w:t>
      </w:r>
      <w:r w:rsidR="00B43C57">
        <w:t>(p.</w:t>
      </w:r>
      <w:r>
        <w:t xml:space="preserve">11) </w:t>
      </w:r>
      <w:r w:rsidR="00C53D43">
        <w:t xml:space="preserve">quoted the </w:t>
      </w:r>
      <w:r w:rsidR="001A3E79" w:rsidRPr="00C53D43">
        <w:t>Inquiry into Agricultural Education and</w:t>
      </w:r>
      <w:r w:rsidR="00C53D43" w:rsidRPr="00C53D43">
        <w:t xml:space="preserve"> </w:t>
      </w:r>
      <w:r w:rsidR="001A3E79" w:rsidRPr="00C53D43">
        <w:t>Training in Victoria</w:t>
      </w:r>
      <w:r w:rsidR="000C191F">
        <w:t>,</w:t>
      </w:r>
      <w:r w:rsidR="001A3E79" w:rsidRPr="00C53D43">
        <w:t xml:space="preserve"> </w:t>
      </w:r>
      <w:r w:rsidR="00C53D43" w:rsidRPr="00C53D43">
        <w:t>which heard</w:t>
      </w:r>
      <w:r w:rsidR="00F94911">
        <w:t xml:space="preserve">: </w:t>
      </w:r>
    </w:p>
    <w:p w:rsidR="00C53D43" w:rsidRPr="00C53D43" w:rsidRDefault="001A3E79" w:rsidP="00F94911">
      <w:pPr>
        <w:pStyle w:val="Quote"/>
      </w:pPr>
      <w:r w:rsidRPr="00C53D43">
        <w:t>There is a massive</w:t>
      </w:r>
      <w:r w:rsidR="00C53D43" w:rsidRPr="00C53D43">
        <w:t xml:space="preserve"> </w:t>
      </w:r>
      <w:r w:rsidRPr="00C53D43">
        <w:t>shortage of qualified Agriculture and Horticulture teachers</w:t>
      </w:r>
      <w:r w:rsidR="00C53D43" w:rsidRPr="00C53D43">
        <w:t xml:space="preserve"> </w:t>
      </w:r>
      <w:r w:rsidRPr="00C53D43">
        <w:t>across the state of Victoria and probably across Australia. Of</w:t>
      </w:r>
      <w:r w:rsidR="00C53D43" w:rsidRPr="00C53D43">
        <w:t xml:space="preserve"> </w:t>
      </w:r>
      <w:r w:rsidRPr="00C53D43">
        <w:t>those that are still teaching, many will soon reach retirement</w:t>
      </w:r>
      <w:r w:rsidR="00C53D43" w:rsidRPr="00C53D43">
        <w:t xml:space="preserve"> </w:t>
      </w:r>
      <w:r w:rsidRPr="00C53D43">
        <w:t>age and when</w:t>
      </w:r>
      <w:r w:rsidR="00F94911">
        <w:t xml:space="preserve"> they retire they leave a ‘gap’</w:t>
      </w:r>
      <w:r w:rsidRPr="00C53D43">
        <w:t>.</w:t>
      </w:r>
      <w:r w:rsidR="00C53D43">
        <w:t xml:space="preserve"> Filling that gap will be another step toward readying the training </w:t>
      </w:r>
      <w:r w:rsidR="000A2CB5">
        <w:t>system</w:t>
      </w:r>
      <w:r w:rsidR="00C53D43">
        <w:t xml:space="preserve"> to meet growing demand. </w:t>
      </w:r>
    </w:p>
    <w:p w:rsidR="00A067E0" w:rsidRDefault="00A067E0">
      <w:r>
        <w:br w:type="page"/>
      </w:r>
    </w:p>
    <w:p w:rsidR="00A067E0" w:rsidRDefault="00A067E0" w:rsidP="00A067E0">
      <w:pPr>
        <w:pStyle w:val="Heading1"/>
      </w:pPr>
      <w:bookmarkStart w:id="59" w:name="_Toc398541657"/>
      <w:r>
        <w:lastRenderedPageBreak/>
        <w:t>Conclusion</w:t>
      </w:r>
      <w:bookmarkEnd w:id="59"/>
    </w:p>
    <w:p w:rsidR="008A347D" w:rsidRDefault="00E27522" w:rsidP="00E27522">
      <w:pPr>
        <w:pStyle w:val="Text"/>
      </w:pPr>
      <w:r>
        <w:t xml:space="preserve">The question of how ready Australian </w:t>
      </w:r>
      <w:r w:rsidR="00F905FF">
        <w:t>industries</w:t>
      </w:r>
      <w:r w:rsidR="00B0714A">
        <w:t xml:space="preserve"> and the </w:t>
      </w:r>
      <w:r>
        <w:t xml:space="preserve">education and training system </w:t>
      </w:r>
      <w:r w:rsidR="00B43C57">
        <w:t>are</w:t>
      </w:r>
      <w:r>
        <w:t xml:space="preserve"> to meet demand for skills </w:t>
      </w:r>
      <w:r w:rsidR="00FC513A">
        <w:t xml:space="preserve">in the identified five industry </w:t>
      </w:r>
      <w:r w:rsidR="00B0714A">
        <w:t xml:space="preserve">growth </w:t>
      </w:r>
      <w:r w:rsidR="00FC513A">
        <w:t xml:space="preserve">areas </w:t>
      </w:r>
      <w:r>
        <w:t>has no straightforward answer</w:t>
      </w:r>
      <w:r w:rsidR="008A347D">
        <w:t>, and there is no one-size-fits all response for all industries</w:t>
      </w:r>
      <w:r>
        <w:t xml:space="preserve">. </w:t>
      </w:r>
    </w:p>
    <w:p w:rsidR="00B0714A" w:rsidRDefault="00E27522" w:rsidP="00E27522">
      <w:pPr>
        <w:pStyle w:val="Text"/>
      </w:pPr>
      <w:r>
        <w:t xml:space="preserve">This study </w:t>
      </w:r>
      <w:r w:rsidR="008A347D">
        <w:t>does however draw</w:t>
      </w:r>
      <w:r>
        <w:t xml:space="preserve"> out some common th</w:t>
      </w:r>
      <w:r w:rsidR="00B0714A">
        <w:t>emes across all five industries.</w:t>
      </w:r>
      <w:r>
        <w:t xml:space="preserve"> </w:t>
      </w:r>
      <w:r w:rsidR="00B0714A">
        <w:t>M</w:t>
      </w:r>
      <w:r>
        <w:t xml:space="preserve">any of </w:t>
      </w:r>
      <w:r w:rsidR="00DE74BA">
        <w:t xml:space="preserve">these </w:t>
      </w:r>
      <w:r w:rsidR="00F905FF">
        <w:t xml:space="preserve">themes </w:t>
      </w:r>
      <w:r w:rsidR="000D31A0">
        <w:t>point to the need for a significant cultural shift in thinking about the way s</w:t>
      </w:r>
      <w:r w:rsidR="000C191F">
        <w:t>kills are generated and used —</w:t>
      </w:r>
      <w:r w:rsidR="000D31A0">
        <w:t xml:space="preserve"> in the educational system, by employers and by individuals in their engagement with continuing professional development.</w:t>
      </w:r>
      <w:r>
        <w:t xml:space="preserve"> </w:t>
      </w:r>
      <w:r w:rsidR="00B0714A">
        <w:t>At present the</w:t>
      </w:r>
      <w:r w:rsidR="004D1F86">
        <w:t xml:space="preserve"> gap between </w:t>
      </w:r>
      <w:r w:rsidR="000C191F">
        <w:t xml:space="preserve">the </w:t>
      </w:r>
      <w:r w:rsidR="004D1F86">
        <w:t xml:space="preserve">knowledge generated in the education system and the skills demanded by employers and individuals </w:t>
      </w:r>
      <w:r w:rsidR="00B0714A">
        <w:t xml:space="preserve">is widening. Attention to the following points will assist in bridging that gap and </w:t>
      </w:r>
      <w:r w:rsidR="00F905FF">
        <w:t>improve</w:t>
      </w:r>
      <w:r w:rsidR="00B0714A">
        <w:t xml:space="preserve"> the </w:t>
      </w:r>
      <w:r w:rsidR="00F905FF">
        <w:t xml:space="preserve">ability of industries to marshal the right people for </w:t>
      </w:r>
      <w:r w:rsidR="00B0714A">
        <w:t>opportunities as they present themselves.</w:t>
      </w:r>
    </w:p>
    <w:p w:rsidR="00537F97" w:rsidRDefault="00537F97" w:rsidP="00CE5992">
      <w:pPr>
        <w:pStyle w:val="Text"/>
      </w:pPr>
      <w:r>
        <w:t>A crude division of responsibility for training in the future will be for educational institutions at secondary and tertiary level</w:t>
      </w:r>
      <w:r w:rsidR="00B43C57">
        <w:t>s</w:t>
      </w:r>
      <w:r>
        <w:t xml:space="preserve"> to provide a sound general education, including language, literacy and numeracy and STEM</w:t>
      </w:r>
      <w:r w:rsidR="00F905FF">
        <w:t xml:space="preserve"> skills</w:t>
      </w:r>
      <w:r>
        <w:t>, as well as underpinning know</w:t>
      </w:r>
      <w:r w:rsidR="00417066">
        <w:t>ledge in specific subject areas,</w:t>
      </w:r>
      <w:r>
        <w:t xml:space="preserve"> with enterprises preparing graduates for particular jobs and fostering workplace learning, continuing professional development and cooperation in the innovation cycle.</w:t>
      </w:r>
    </w:p>
    <w:p w:rsidR="000D5ED8" w:rsidRDefault="00417066" w:rsidP="00FC513A">
      <w:pPr>
        <w:pStyle w:val="Text"/>
      </w:pPr>
      <w:r>
        <w:t>The</w:t>
      </w:r>
      <w:r w:rsidR="004D1F86" w:rsidRPr="00FC513A">
        <w:t xml:space="preserve"> predominant picture that emerges is the need to develop a more nimble workforce. </w:t>
      </w:r>
      <w:r w:rsidR="000369ED">
        <w:t xml:space="preserve">This is primarily about </w:t>
      </w:r>
      <w:r w:rsidR="00E5305D">
        <w:t>willingness on the part of individuals</w:t>
      </w:r>
      <w:r w:rsidR="00537F97" w:rsidRPr="00FC513A">
        <w:t xml:space="preserve"> to learn </w:t>
      </w:r>
      <w:r w:rsidR="000369ED">
        <w:t xml:space="preserve">new skills and adapt to change. And it requires an </w:t>
      </w:r>
      <w:r w:rsidR="00537F97" w:rsidRPr="00FC513A">
        <w:t>industry culture committed to on</w:t>
      </w:r>
      <w:r w:rsidR="000369ED">
        <w:t>g</w:t>
      </w:r>
      <w:r w:rsidR="00F905FF">
        <w:t xml:space="preserve">oing professional development, </w:t>
      </w:r>
      <w:r w:rsidR="000369ED">
        <w:t xml:space="preserve">employers </w:t>
      </w:r>
      <w:r w:rsidR="00F905FF">
        <w:t xml:space="preserve">identifying and </w:t>
      </w:r>
      <w:r w:rsidR="000369ED">
        <w:t xml:space="preserve">supporting </w:t>
      </w:r>
      <w:r w:rsidR="00FC513A" w:rsidRPr="00FC513A">
        <w:t xml:space="preserve">continuous on-the-job learning and </w:t>
      </w:r>
      <w:r w:rsidR="00FC513A">
        <w:t xml:space="preserve">the accumulation of experience as well as </w:t>
      </w:r>
      <w:r w:rsidR="00FC513A" w:rsidRPr="00FC513A">
        <w:t>improved managerial capability.</w:t>
      </w:r>
      <w:r w:rsidR="00FC513A">
        <w:t xml:space="preserve"> </w:t>
      </w:r>
    </w:p>
    <w:p w:rsidR="00AE108D" w:rsidRDefault="00AE108D" w:rsidP="00FC513A">
      <w:pPr>
        <w:pStyle w:val="Text"/>
      </w:pPr>
      <w:r>
        <w:t xml:space="preserve">All industries need to maximise the incorporation of R&amp;D into enterprise behaviour, to improve their capacity to manage and to operate in Asia and beyond, and to be a key partner in global value chains. They need to capitalise on innovation opportunities and </w:t>
      </w:r>
      <w:r w:rsidR="00B43C57">
        <w:t xml:space="preserve">the </w:t>
      </w:r>
      <w:r>
        <w:t xml:space="preserve">commercialisation of R&amp;D. This </w:t>
      </w:r>
      <w:r w:rsidR="00417066">
        <w:t xml:space="preserve">necessitates a number </w:t>
      </w:r>
      <w:r w:rsidR="00B43C57">
        <w:t xml:space="preserve">of </w:t>
      </w:r>
      <w:r w:rsidR="00417066">
        <w:t>actions</w:t>
      </w:r>
      <w:r>
        <w:t>.</w:t>
      </w:r>
    </w:p>
    <w:p w:rsidR="00C16479" w:rsidRDefault="00B43C57" w:rsidP="00AE108D">
      <w:pPr>
        <w:pStyle w:val="Text"/>
      </w:pPr>
      <w:r>
        <w:t>Industry c</w:t>
      </w:r>
      <w:r w:rsidR="00C16479">
        <w:t>ollaboration with education and training providers is a key factor</w:t>
      </w:r>
      <w:r>
        <w:t xml:space="preserve"> in ensuring </w:t>
      </w:r>
      <w:r w:rsidR="00AE108D">
        <w:t>greater industry input into the nature of education and training</w:t>
      </w:r>
      <w:r w:rsidR="00513EC3">
        <w:t xml:space="preserve"> and </w:t>
      </w:r>
      <w:r w:rsidR="00C16479">
        <w:t xml:space="preserve">in </w:t>
      </w:r>
      <w:r w:rsidR="00513EC3">
        <w:t xml:space="preserve">anticipating </w:t>
      </w:r>
      <w:r>
        <w:t xml:space="preserve">the extent and nature of </w:t>
      </w:r>
      <w:r w:rsidR="0040687A">
        <w:t>future demand</w:t>
      </w:r>
      <w:r w:rsidR="00FC513A">
        <w:t>.</w:t>
      </w:r>
      <w:r w:rsidR="00C16479">
        <w:t xml:space="preserve"> Providers </w:t>
      </w:r>
      <w:r w:rsidR="00417066">
        <w:t>also</w:t>
      </w:r>
      <w:r w:rsidR="00C16479">
        <w:t xml:space="preserve"> need to foster collaboration in order to keep abreast of contemporary industry requirements.</w:t>
      </w:r>
      <w:r w:rsidR="000D5ED8">
        <w:t xml:space="preserve"> For some time industry has played a key role in the </w:t>
      </w:r>
      <w:r w:rsidR="00417066">
        <w:t>VET system;</w:t>
      </w:r>
      <w:r w:rsidR="000D5ED8">
        <w:t xml:space="preserve"> however</w:t>
      </w:r>
      <w:r w:rsidR="00417066">
        <w:t>,</w:t>
      </w:r>
      <w:r w:rsidR="000D5ED8">
        <w:t xml:space="preserve"> </w:t>
      </w:r>
      <w:r w:rsidR="00A07542">
        <w:t>collaboration</w:t>
      </w:r>
      <w:r w:rsidR="000D5ED8">
        <w:t xml:space="preserve"> is more than injecting industry relevance </w:t>
      </w:r>
      <w:r w:rsidR="0040687A">
        <w:t>in</w:t>
      </w:r>
      <w:r w:rsidR="000D5ED8">
        <w:t xml:space="preserve">to </w:t>
      </w:r>
      <w:r w:rsidR="0040687A">
        <w:t xml:space="preserve">the </w:t>
      </w:r>
      <w:r w:rsidR="000D5ED8">
        <w:t>skills and knowledge</w:t>
      </w:r>
      <w:r w:rsidR="00C16479">
        <w:t xml:space="preserve"> contained in </w:t>
      </w:r>
      <w:r w:rsidR="00417066">
        <w:t>training packages</w:t>
      </w:r>
      <w:r w:rsidR="000D5ED8">
        <w:t xml:space="preserve">. </w:t>
      </w:r>
      <w:r w:rsidR="00513EC3">
        <w:t xml:space="preserve">It is also more than training providers responding to short-term demand. </w:t>
      </w:r>
    </w:p>
    <w:p w:rsidR="00CE5992" w:rsidRDefault="00374DF8" w:rsidP="00AE108D">
      <w:pPr>
        <w:pStyle w:val="Text"/>
      </w:pPr>
      <w:r>
        <w:t>The idea of k</w:t>
      </w:r>
      <w:r w:rsidR="000D5ED8">
        <w:t>nowledge clusters</w:t>
      </w:r>
      <w:r w:rsidR="00A07542">
        <w:t xml:space="preserve"> or hubs</w:t>
      </w:r>
      <w:r w:rsidR="000D5ED8">
        <w:t>, in which companies adopt innovative strategies and interact</w:t>
      </w:r>
      <w:r>
        <w:t xml:space="preserve"> with educational institutions, </w:t>
      </w:r>
      <w:r w:rsidR="000D5ED8">
        <w:t>can foster the creation of skill-intensive jobs and a better match with workforce skills</w:t>
      </w:r>
      <w:r>
        <w:t>.</w:t>
      </w:r>
      <w:r w:rsidR="000D5ED8">
        <w:t xml:space="preserve"> Increasing </w:t>
      </w:r>
      <w:r>
        <w:t xml:space="preserve">this type of </w:t>
      </w:r>
      <w:r w:rsidR="000D5ED8">
        <w:t xml:space="preserve">industry involvement as a measure to enhance ‘dynamism’ in the five industries will be an important strategy </w:t>
      </w:r>
      <w:r w:rsidR="0040687A">
        <w:t>in</w:t>
      </w:r>
      <w:r w:rsidR="000D5ED8">
        <w:t xml:space="preserve"> </w:t>
      </w:r>
      <w:r w:rsidR="0040687A">
        <w:t>improving</w:t>
      </w:r>
      <w:r>
        <w:t xml:space="preserve"> the </w:t>
      </w:r>
      <w:r w:rsidR="00513EC3">
        <w:t>ability</w:t>
      </w:r>
      <w:r>
        <w:t xml:space="preserve"> of the education and training system to meet demand</w:t>
      </w:r>
      <w:r w:rsidR="000D5ED8">
        <w:t xml:space="preserve">. </w:t>
      </w:r>
    </w:p>
    <w:p w:rsidR="005155ED" w:rsidRDefault="00AE108D" w:rsidP="00AE108D">
      <w:pPr>
        <w:pStyle w:val="Text"/>
      </w:pPr>
      <w:r w:rsidRPr="005155ED">
        <w:t xml:space="preserve">Australia’s </w:t>
      </w:r>
      <w:r>
        <w:t>science, technology, engineering and mathematics</w:t>
      </w:r>
      <w:r w:rsidRPr="005155ED">
        <w:t xml:space="preserve"> capability must improve, not only at entry level </w:t>
      </w:r>
      <w:r>
        <w:t xml:space="preserve">in these industries (and others) </w:t>
      </w:r>
      <w:r w:rsidRPr="005155ED">
        <w:t>but through continuing professional education. The current emph</w:t>
      </w:r>
      <w:r w:rsidR="00417066">
        <w:t>asis in public funding on entry-</w:t>
      </w:r>
      <w:r w:rsidRPr="005155ED">
        <w:t xml:space="preserve">level </w:t>
      </w:r>
      <w:r>
        <w:t>training</w:t>
      </w:r>
      <w:r w:rsidRPr="005155ED">
        <w:t xml:space="preserve"> can work against the need to refresh STEM skills</w:t>
      </w:r>
      <w:r>
        <w:t>, as well as other skills,</w:t>
      </w:r>
      <w:r w:rsidRPr="005155ED">
        <w:t xml:space="preserve"> and potentially inhibits readiness to meet dema</w:t>
      </w:r>
      <w:r>
        <w:t>nd for growth in all industries.</w:t>
      </w:r>
    </w:p>
    <w:p w:rsidR="00C6425B" w:rsidRPr="00680ED5" w:rsidRDefault="00C6425B" w:rsidP="00C6425B">
      <w:pPr>
        <w:pStyle w:val="Text"/>
      </w:pPr>
      <w:r w:rsidRPr="00680ED5">
        <w:lastRenderedPageBreak/>
        <w:t xml:space="preserve">Enterprises have to better understand and be able to prepare for different phases in the value chain. Their employees need the right ‘innovation’ skills, which will differ depending on the nature of the innovation. In addition, the capacity to channel R&amp;D more quickly to the end-user will open up opportunities for small and micro-businesses engaged in knowledge diffusion. </w:t>
      </w:r>
    </w:p>
    <w:p w:rsidR="00023BD8" w:rsidRDefault="00023BD8" w:rsidP="00C6425B">
      <w:pPr>
        <w:pStyle w:val="Text"/>
      </w:pPr>
      <w:r w:rsidRPr="00680ED5">
        <w:t xml:space="preserve">Some particular problems </w:t>
      </w:r>
      <w:r w:rsidR="00BF50D6" w:rsidRPr="00680ED5">
        <w:t xml:space="preserve">and priorities </w:t>
      </w:r>
      <w:r w:rsidRPr="00680ED5">
        <w:t>are clear</w:t>
      </w:r>
      <w:r w:rsidR="00BF50D6" w:rsidRPr="00680ED5">
        <w:t xml:space="preserve"> for each industry</w:t>
      </w:r>
      <w:r w:rsidR="00DD164C" w:rsidRPr="00680ED5">
        <w:t xml:space="preserve">. In </w:t>
      </w:r>
      <w:r w:rsidRPr="00680ED5">
        <w:t>agricultu</w:t>
      </w:r>
      <w:r>
        <w:t>re and manufacturing, older</w:t>
      </w:r>
      <w:r w:rsidR="00417066">
        <w:t>,</w:t>
      </w:r>
      <w:r>
        <w:t xml:space="preserve"> low-skilled workers will need retraining to </w:t>
      </w:r>
      <w:r w:rsidR="0040687A">
        <w:t xml:space="preserve">enable them </w:t>
      </w:r>
      <w:r>
        <w:t>to find decent jobs in their changing industries.</w:t>
      </w:r>
      <w:r w:rsidR="00241B31">
        <w:t xml:space="preserve"> These industries also have to find ways of attracting younger workers with a variety of skill levels.</w:t>
      </w:r>
      <w:r>
        <w:t xml:space="preserve"> </w:t>
      </w:r>
      <w:r w:rsidR="00241B31">
        <w:t>In the oil and gas</w:t>
      </w:r>
      <w:r w:rsidR="00417066">
        <w:t xml:space="preserve"> industry</w:t>
      </w:r>
      <w:r w:rsidR="00241B31">
        <w:t xml:space="preserve">, and in mining, there is the </w:t>
      </w:r>
      <w:r w:rsidR="0040687A">
        <w:t xml:space="preserve">additional </w:t>
      </w:r>
      <w:r w:rsidR="00241B31">
        <w:t xml:space="preserve">challenge of recruiting and maintaining workers who have to work in remote and hazardous locations. </w:t>
      </w:r>
      <w:r>
        <w:t>In emerging industries</w:t>
      </w:r>
      <w:r w:rsidR="00417066">
        <w:t xml:space="preserve"> such as bio</w:t>
      </w:r>
      <w:r w:rsidR="00F905FF">
        <w:t>technology</w:t>
      </w:r>
      <w:r>
        <w:t>, universities and businesses will have to cooperate to ensure a supply of appropriately skilled graduates</w:t>
      </w:r>
      <w:r w:rsidR="00417066">
        <w:t>.</w:t>
      </w:r>
      <w:r w:rsidR="00241B31">
        <w:t xml:space="preserve"> They also need to be equipped to operate in a global labour market</w:t>
      </w:r>
      <w:r w:rsidR="0040687A">
        <w:t>.</w:t>
      </w:r>
    </w:p>
    <w:p w:rsidR="00AD2A61" w:rsidRPr="005155ED" w:rsidRDefault="006E33B0" w:rsidP="00AD2A61">
      <w:pPr>
        <w:pStyle w:val="Text"/>
      </w:pPr>
      <w:r>
        <w:t>The role of formal</w:t>
      </w:r>
      <w:r w:rsidR="005155ED" w:rsidRPr="005155ED">
        <w:t xml:space="preserve"> education should </w:t>
      </w:r>
      <w:r>
        <w:t xml:space="preserve">be to </w:t>
      </w:r>
      <w:r w:rsidR="005155ED" w:rsidRPr="005155ED">
        <w:t>provide solid foundations for entry into the workforce.</w:t>
      </w:r>
      <w:r>
        <w:t xml:space="preserve"> </w:t>
      </w:r>
      <w:r w:rsidRPr="005155ED">
        <w:t>Strong</w:t>
      </w:r>
      <w:r w:rsidR="0040687A">
        <w:t xml:space="preserve"> literacy and numeracy skills are</w:t>
      </w:r>
      <w:r w:rsidR="00417066">
        <w:t xml:space="preserve"> a pre</w:t>
      </w:r>
      <w:r w:rsidRPr="005155ED">
        <w:t>requisite for entry-level jobs a</w:t>
      </w:r>
      <w:r>
        <w:t xml:space="preserve">nd for transition to new roles. </w:t>
      </w:r>
      <w:r w:rsidR="00AD2A61" w:rsidRPr="005155ED">
        <w:t xml:space="preserve">Better career advice, starting at secondary school, is needed to attract young people to these industries and to lift female participation. </w:t>
      </w:r>
    </w:p>
    <w:p w:rsidR="00AD2A61" w:rsidRPr="005155ED" w:rsidRDefault="00AD2A61" w:rsidP="00AD2A61">
      <w:pPr>
        <w:pStyle w:val="Text"/>
      </w:pPr>
      <w:r>
        <w:t xml:space="preserve">Sustained efforts are needed </w:t>
      </w:r>
      <w:r w:rsidRPr="00680ED5">
        <w:t xml:space="preserve">by government, industry and education providers to advance efforts in skill utilisation and </w:t>
      </w:r>
      <w:r w:rsidR="00F94911">
        <w:t xml:space="preserve">to </w:t>
      </w:r>
      <w:r w:rsidRPr="00680ED5">
        <w:t xml:space="preserve">reduce skill gaps. </w:t>
      </w:r>
      <w:r w:rsidR="00C6425B" w:rsidRPr="00680ED5">
        <w:t xml:space="preserve">Acknowledgment that recognition of prior learning demands adequate resources and </w:t>
      </w:r>
      <w:r w:rsidR="00BB5639">
        <w:t>the provision</w:t>
      </w:r>
      <w:r w:rsidR="00F94911">
        <w:t xml:space="preserve"> of </w:t>
      </w:r>
      <w:r w:rsidR="00C6425B" w:rsidRPr="00680ED5">
        <w:t xml:space="preserve">funding for skill gap training (for example, using skill sets) will improve approaches to </w:t>
      </w:r>
      <w:proofErr w:type="spellStart"/>
      <w:r w:rsidR="00C6425B" w:rsidRPr="00680ED5">
        <w:t>upskilling</w:t>
      </w:r>
      <w:proofErr w:type="spellEnd"/>
      <w:r w:rsidR="00C6425B" w:rsidRPr="00680ED5">
        <w:t xml:space="preserve"> existing workers.</w:t>
      </w:r>
      <w:r w:rsidR="005155ED" w:rsidRPr="00680ED5">
        <w:t xml:space="preserve"> </w:t>
      </w:r>
      <w:r w:rsidRPr="00680ED5">
        <w:t>Labour mobility is another solution for filling specific skill gaps. The more highly skilled a worker is the</w:t>
      </w:r>
      <w:r w:rsidRPr="005155ED">
        <w:t xml:space="preserve"> greater potential there is for geographic </w:t>
      </w:r>
      <w:r>
        <w:t xml:space="preserve">and occupational </w:t>
      </w:r>
      <w:r w:rsidRPr="005155ED">
        <w:t>mobility.</w:t>
      </w:r>
    </w:p>
    <w:p w:rsidR="00241B31" w:rsidRDefault="00FC513A" w:rsidP="00AD2A61">
      <w:pPr>
        <w:pStyle w:val="Text"/>
      </w:pPr>
      <w:r>
        <w:t>T</w:t>
      </w:r>
      <w:r w:rsidR="00417066">
        <w:t>he role of employers is crucial —</w:t>
      </w:r>
      <w:r>
        <w:t xml:space="preserve"> in the workplace and in partnership with schools, VET institutions, universities and research organisations.</w:t>
      </w:r>
      <w:r w:rsidR="00241B31">
        <w:t xml:space="preserve"> Australian enterprise has still to meet the challenge of instilling stronger management and leadership qualities in its workforce. This is a task both for individual businesses and the formal education and training system. </w:t>
      </w:r>
    </w:p>
    <w:p w:rsidR="00AD2A61" w:rsidRDefault="00CE5992" w:rsidP="00AD2A61">
      <w:pPr>
        <w:pStyle w:val="Text"/>
      </w:pPr>
      <w:r>
        <w:t xml:space="preserve">To meet the demand for skilled labour, employers will need to look beyond traditional pools of workers. This requires employment and educational policies that encourage the participation of women and older workers, as well as conditions that continue to attract skilled migrants. </w:t>
      </w:r>
      <w:r w:rsidR="00AD2A61">
        <w:t>In addition</w:t>
      </w:r>
      <w:r w:rsidR="00417066">
        <w:t>,</w:t>
      </w:r>
      <w:r w:rsidR="00AD2A61">
        <w:t xml:space="preserve"> employers play an important role in offering s</w:t>
      </w:r>
      <w:r w:rsidR="00AD2A61" w:rsidRPr="005155ED">
        <w:t>erious work placements</w:t>
      </w:r>
      <w:r w:rsidR="00F94911">
        <w:t xml:space="preserve"> and</w:t>
      </w:r>
      <w:r w:rsidR="00AD2A61" w:rsidRPr="005155ED">
        <w:t xml:space="preserve"> </w:t>
      </w:r>
      <w:r w:rsidR="00AD2A61">
        <w:t xml:space="preserve">which </w:t>
      </w:r>
      <w:r w:rsidR="00AD2A61" w:rsidRPr="005155ED">
        <w:t>are effective for all students, whether at school, in VET or at university. These</w:t>
      </w:r>
      <w:r w:rsidR="00AD2A61">
        <w:t xml:space="preserve"> solutions</w:t>
      </w:r>
      <w:r w:rsidR="00AD2A61" w:rsidRPr="005155ED">
        <w:t xml:space="preserve"> are not cheap.</w:t>
      </w:r>
      <w:r w:rsidR="00AD2A61">
        <w:t xml:space="preserve"> </w:t>
      </w:r>
    </w:p>
    <w:p w:rsidR="00CF3DF7" w:rsidRPr="005155ED" w:rsidRDefault="00CF3DF7" w:rsidP="00CF3DF7">
      <w:pPr>
        <w:pStyle w:val="Text"/>
      </w:pPr>
      <w:r>
        <w:t>Underpinning readiness to meet demand are the teachers and trainers providing the new knowledge and skills</w:t>
      </w:r>
      <w:r w:rsidRPr="00290FAE">
        <w:t xml:space="preserve"> to work in </w:t>
      </w:r>
      <w:r>
        <w:t>these</w:t>
      </w:r>
      <w:r w:rsidRPr="00290FAE">
        <w:t xml:space="preserve"> industries.</w:t>
      </w:r>
      <w:r>
        <w:t xml:space="preserve"> </w:t>
      </w:r>
      <w:r w:rsidRPr="005155ED">
        <w:t>Addressing skills gaps and shortages in the teaching workforce is necessary.</w:t>
      </w:r>
      <w:r>
        <w:t xml:space="preserve"> </w:t>
      </w:r>
      <w:r w:rsidRPr="00C53D43">
        <w:t>Professional development opportunities are e</w:t>
      </w:r>
      <w:r>
        <w:t>ssential if practitioners are to maintain the</w:t>
      </w:r>
      <w:r w:rsidR="0040687A">
        <w:t>ir</w:t>
      </w:r>
      <w:r w:rsidRPr="00C53D43">
        <w:t xml:space="preserve"> industry currency, further upgrade their</w:t>
      </w:r>
      <w:r>
        <w:t xml:space="preserve"> </w:t>
      </w:r>
      <w:r w:rsidRPr="00C53D43">
        <w:t>own skills and engage constructively in the innovation cycle.</w:t>
      </w:r>
      <w:r w:rsidR="00513EC3">
        <w:t xml:space="preserve"> </w:t>
      </w:r>
    </w:p>
    <w:p w:rsidR="00FC513A" w:rsidRDefault="00147503" w:rsidP="00FC513A">
      <w:pPr>
        <w:pStyle w:val="Text"/>
      </w:pPr>
      <w:r>
        <w:t xml:space="preserve">How we view the industries and the job profiles within them is important. </w:t>
      </w:r>
      <w:r w:rsidR="00F94911">
        <w:t>The c</w:t>
      </w:r>
      <w:r w:rsidR="00FC513A">
        <w:t xml:space="preserve">lear categorisation of these industries, occupations and the skills required is challenging. Emerging job profiles will require generic skills that are attractive </w:t>
      </w:r>
      <w:r>
        <w:t>across the labour market</w:t>
      </w:r>
      <w:r w:rsidR="00FC513A">
        <w:t>. For those workers equipped with the right skills</w:t>
      </w:r>
      <w:r>
        <w:t>,</w:t>
      </w:r>
      <w:r w:rsidR="00FC513A">
        <w:t xml:space="preserve"> job mobility will be easier. They will be better able to choose work that pays better or suits their circumstances. Employers therefore will have to offer attractive working condit</w:t>
      </w:r>
      <w:r w:rsidR="005A427F">
        <w:t>ions and learning opportunities</w:t>
      </w:r>
      <w:r w:rsidR="00FC513A">
        <w:t xml:space="preserve"> and ensure that their recruitment strategies efficiently attract, select and retain talent. This also calls for a new way of thinking about skill demand and presents a challenge for those responsible for data collection.</w:t>
      </w:r>
    </w:p>
    <w:p w:rsidR="00944982" w:rsidRDefault="00847672" w:rsidP="00FC513A">
      <w:pPr>
        <w:pStyle w:val="Text"/>
      </w:pPr>
      <w:r>
        <w:lastRenderedPageBreak/>
        <w:t>In summary, t</w:t>
      </w:r>
      <w:r w:rsidR="00E5305D">
        <w:t>here is no question that a</w:t>
      </w:r>
      <w:r w:rsidR="00BF3BB3">
        <w:t xml:space="preserve">ppropriate education and training </w:t>
      </w:r>
      <w:r w:rsidR="005A427F">
        <w:t>for</w:t>
      </w:r>
      <w:r w:rsidR="00BF3BB3">
        <w:t xml:space="preserve"> new entrants and existing workers is fundamental if the areas of growth identified in the five industries in this study are to be realised.</w:t>
      </w:r>
      <w:r w:rsidR="00147503">
        <w:t xml:space="preserve"> </w:t>
      </w:r>
      <w:r w:rsidR="00B0714A">
        <w:t xml:space="preserve">Constraints </w:t>
      </w:r>
      <w:r w:rsidR="00E93CE1">
        <w:t>from within industry and the education and training system</w:t>
      </w:r>
      <w:r w:rsidR="00B0714A">
        <w:t xml:space="preserve"> </w:t>
      </w:r>
      <w:r w:rsidR="00F905FF">
        <w:t xml:space="preserve">as well as governance and funding policies </w:t>
      </w:r>
      <w:r w:rsidR="00B0714A">
        <w:t>are</w:t>
      </w:r>
      <w:r w:rsidR="00E93CE1">
        <w:t xml:space="preserve"> currently</w:t>
      </w:r>
      <w:r w:rsidR="00B0714A">
        <w:t xml:space="preserve"> </w:t>
      </w:r>
      <w:r w:rsidR="00FE115F">
        <w:t xml:space="preserve">impacting on readiness to meet demand. Overcoming </w:t>
      </w:r>
      <w:r w:rsidR="00E93CE1">
        <w:t>these</w:t>
      </w:r>
      <w:r w:rsidR="00FE115F">
        <w:t xml:space="preserve"> limitations will require</w:t>
      </w:r>
      <w:r w:rsidR="00BF3BB3">
        <w:t xml:space="preserve"> increased collaboration, a </w:t>
      </w:r>
      <w:r w:rsidR="00E93CE1">
        <w:t xml:space="preserve">cultural </w:t>
      </w:r>
      <w:r w:rsidR="00BF3BB3">
        <w:t xml:space="preserve">shift in thinking about </w:t>
      </w:r>
      <w:r w:rsidR="00E93CE1">
        <w:t>occupations and the</w:t>
      </w:r>
      <w:r w:rsidR="00BF3BB3">
        <w:t xml:space="preserve"> way skills are gained and deployed</w:t>
      </w:r>
      <w:r w:rsidR="0040687A">
        <w:t>,</w:t>
      </w:r>
      <w:r w:rsidR="00BF3BB3">
        <w:t xml:space="preserve"> as well as greater flexibility in the education and training system.</w:t>
      </w:r>
    </w:p>
    <w:p w:rsidR="00FC513A" w:rsidRDefault="00FC513A" w:rsidP="00CE5992">
      <w:pPr>
        <w:pStyle w:val="Text"/>
      </w:pPr>
    </w:p>
    <w:p w:rsidR="00E27522" w:rsidRDefault="00E27522" w:rsidP="00CE5992">
      <w:pPr>
        <w:pStyle w:val="Text"/>
      </w:pPr>
    </w:p>
    <w:p w:rsidR="005002F3" w:rsidRDefault="005002F3">
      <w:pPr>
        <w:rPr>
          <w:rFonts w:ascii="Tahoma" w:hAnsi="Tahoma" w:cs="Tahoma"/>
          <w:color w:val="000000"/>
          <w:kern w:val="28"/>
          <w:sz w:val="56"/>
          <w:szCs w:val="56"/>
          <w:lang w:eastAsia="en-US"/>
        </w:rPr>
      </w:pPr>
      <w:r>
        <w:br w:type="page"/>
      </w:r>
    </w:p>
    <w:p w:rsidR="00047A6C" w:rsidRDefault="0099103C" w:rsidP="00047A6C">
      <w:pPr>
        <w:pStyle w:val="Heading1"/>
      </w:pPr>
      <w:bookmarkStart w:id="60" w:name="_Toc398541658"/>
      <w:r>
        <w:lastRenderedPageBreak/>
        <w:t>References</w:t>
      </w:r>
      <w:bookmarkEnd w:id="60"/>
    </w:p>
    <w:p w:rsidR="0099103C" w:rsidRDefault="0099103C" w:rsidP="0099103C">
      <w:pPr>
        <w:pStyle w:val="References"/>
      </w:pPr>
      <w:proofErr w:type="gramStart"/>
      <w:r>
        <w:t xml:space="preserve">ABS </w:t>
      </w:r>
      <w:r w:rsidR="00EE26DB">
        <w:t xml:space="preserve">(Australian Bureau of Statistics) </w:t>
      </w:r>
      <w:r>
        <w:t xml:space="preserve">2006, </w:t>
      </w:r>
      <w:r w:rsidRPr="00EE26DB">
        <w:rPr>
          <w:i/>
        </w:rPr>
        <w:t>Australian and New Zealand Standard Industrial Classification</w:t>
      </w:r>
      <w:r w:rsidR="00EF6542">
        <w:t xml:space="preserve"> (ANZSIC), 2006 (Revision 1.0), cat.no.</w:t>
      </w:r>
      <w:r>
        <w:t>1292.0</w:t>
      </w:r>
      <w:r w:rsidRPr="00724D8E">
        <w:t xml:space="preserve">, </w:t>
      </w:r>
      <w:r w:rsidR="00EF6542">
        <w:t>ABS,</w:t>
      </w:r>
      <w:r>
        <w:t xml:space="preserve"> </w:t>
      </w:r>
      <w:r w:rsidRPr="00724D8E">
        <w:t>Canberra</w:t>
      </w:r>
      <w:r>
        <w:t>.</w:t>
      </w:r>
      <w:proofErr w:type="gramEnd"/>
    </w:p>
    <w:p w:rsidR="0099103C" w:rsidRDefault="00EF6542" w:rsidP="0099103C">
      <w:pPr>
        <w:pStyle w:val="References"/>
      </w:pPr>
      <w:proofErr w:type="gramStart"/>
      <w:r>
        <w:t>——</w:t>
      </w:r>
      <w:r w:rsidR="0099103C">
        <w:t>2011</w:t>
      </w:r>
      <w:r>
        <w:t xml:space="preserve">, 2011 </w:t>
      </w:r>
      <w:r w:rsidRPr="00EF6542">
        <w:rPr>
          <w:i/>
        </w:rPr>
        <w:t>Census —</w:t>
      </w:r>
      <w:r w:rsidR="0099103C" w:rsidRPr="00EF6542">
        <w:rPr>
          <w:i/>
        </w:rPr>
        <w:t xml:space="preserve"> </w:t>
      </w:r>
      <w:r w:rsidRPr="00EF6542">
        <w:rPr>
          <w:i/>
        </w:rPr>
        <w:t>employment, income and unpaid work,</w:t>
      </w:r>
      <w:r>
        <w:t xml:space="preserve"> ABS, Canberra.</w:t>
      </w:r>
      <w:proofErr w:type="gramEnd"/>
      <w:r>
        <w:t xml:space="preserve"> </w:t>
      </w:r>
    </w:p>
    <w:p w:rsidR="0099103C" w:rsidRPr="00724D8E" w:rsidRDefault="00EF6542" w:rsidP="0099103C">
      <w:pPr>
        <w:pStyle w:val="References"/>
      </w:pPr>
      <w:proofErr w:type="gramStart"/>
      <w:r>
        <w:t>——</w:t>
      </w:r>
      <w:r w:rsidR="0099103C" w:rsidRPr="002F6E23">
        <w:t>2012</w:t>
      </w:r>
      <w:r w:rsidR="0099103C" w:rsidRPr="00724D8E">
        <w:t xml:space="preserve">, </w:t>
      </w:r>
      <w:r w:rsidR="0099103C" w:rsidRPr="00EF6542">
        <w:rPr>
          <w:i/>
        </w:rPr>
        <w:t>Education</w:t>
      </w:r>
      <w:r w:rsidRPr="00EF6542">
        <w:rPr>
          <w:i/>
        </w:rPr>
        <w:t xml:space="preserve"> and work</w:t>
      </w:r>
      <w:r>
        <w:t>, Australia, May 2012, cat.no.6227.0</w:t>
      </w:r>
      <w:r w:rsidR="0099103C" w:rsidRPr="00724D8E">
        <w:t xml:space="preserve">, </w:t>
      </w:r>
      <w:r>
        <w:t>ABS,</w:t>
      </w:r>
      <w:r w:rsidR="0099103C">
        <w:t xml:space="preserve"> </w:t>
      </w:r>
      <w:r w:rsidR="00DF437F">
        <w:t>Canberra</w:t>
      </w:r>
      <w:r>
        <w:t>, viewed 8 September 2104,</w:t>
      </w:r>
      <w:r w:rsidR="00DF437F">
        <w:t xml:space="preserve"> </w:t>
      </w:r>
      <w:r>
        <w:t>&lt;</w:t>
      </w:r>
      <w:r w:rsidR="00DF437F" w:rsidRPr="00DF437F">
        <w:t>http://lmip.gov.au/default.aspx?LMIP/IndustryInformation/DataTools</w:t>
      </w:r>
      <w:r>
        <w:t>&gt;.</w:t>
      </w:r>
      <w:proofErr w:type="gramEnd"/>
    </w:p>
    <w:p w:rsidR="0099103C" w:rsidRDefault="00EF6542" w:rsidP="0099103C">
      <w:pPr>
        <w:pStyle w:val="References"/>
      </w:pPr>
      <w:r>
        <w:t>——</w:t>
      </w:r>
      <w:r w:rsidR="0099103C" w:rsidRPr="0099103C">
        <w:t>2013a</w:t>
      </w:r>
      <w:r w:rsidR="0099103C">
        <w:t xml:space="preserve">, </w:t>
      </w:r>
      <w:r w:rsidR="0099103C" w:rsidRPr="00EF6542">
        <w:rPr>
          <w:i/>
        </w:rPr>
        <w:t xml:space="preserve">Australian </w:t>
      </w:r>
      <w:r w:rsidRPr="00EF6542">
        <w:rPr>
          <w:i/>
        </w:rPr>
        <w:t xml:space="preserve">system of national accounts, original, </w:t>
      </w:r>
      <w:proofErr w:type="gramStart"/>
      <w:r w:rsidRPr="00EF6542">
        <w:rPr>
          <w:i/>
        </w:rPr>
        <w:t>chain</w:t>
      </w:r>
      <w:proofErr w:type="gramEnd"/>
      <w:r w:rsidRPr="00EF6542">
        <w:rPr>
          <w:i/>
        </w:rPr>
        <w:t xml:space="preserve"> volume measures</w:t>
      </w:r>
      <w:r>
        <w:t>, cat.no.</w:t>
      </w:r>
      <w:r w:rsidR="0040687A">
        <w:t>5206.0</w:t>
      </w:r>
      <w:r w:rsidR="0099103C" w:rsidRPr="00724D8E">
        <w:t xml:space="preserve">, </w:t>
      </w:r>
      <w:r>
        <w:t>ABS</w:t>
      </w:r>
      <w:r w:rsidR="0099103C" w:rsidRPr="00724D8E">
        <w:t>, Canberra.</w:t>
      </w:r>
    </w:p>
    <w:p w:rsidR="0099103C" w:rsidRDefault="00EF6542" w:rsidP="0099103C">
      <w:pPr>
        <w:pStyle w:val="References"/>
      </w:pPr>
      <w:r>
        <w:t>——</w:t>
      </w:r>
      <w:r w:rsidR="0099103C" w:rsidRPr="00315AB0">
        <w:t xml:space="preserve">2013b, </w:t>
      </w:r>
      <w:r w:rsidR="0099103C" w:rsidRPr="00EF6542">
        <w:rPr>
          <w:i/>
        </w:rPr>
        <w:t xml:space="preserve">Employee </w:t>
      </w:r>
      <w:r w:rsidRPr="00EF6542">
        <w:rPr>
          <w:i/>
        </w:rPr>
        <w:t>earnings, benefits and trade union membership,</w:t>
      </w:r>
      <w:r w:rsidRPr="00315AB0">
        <w:t xml:space="preserve"> </w:t>
      </w:r>
      <w:r w:rsidRPr="00F94911">
        <w:rPr>
          <w:i/>
        </w:rPr>
        <w:t>Australia</w:t>
      </w:r>
      <w:r>
        <w:t>, August 2013, cat.no.6310.0</w:t>
      </w:r>
      <w:r w:rsidR="0099103C" w:rsidRPr="00315AB0">
        <w:t>,</w:t>
      </w:r>
      <w:r w:rsidR="0099103C" w:rsidRPr="00724D8E">
        <w:t xml:space="preserve"> </w:t>
      </w:r>
      <w:r>
        <w:t>ABS, Canberra, viewed 8 September 2014,</w:t>
      </w:r>
      <w:r w:rsidR="0099103C">
        <w:t xml:space="preserve"> </w:t>
      </w:r>
      <w:r>
        <w:t>&lt;</w:t>
      </w:r>
      <w:hyperlink r:id="rId19" w:history="1">
        <w:r w:rsidR="009D4F55" w:rsidRPr="00695312">
          <w:rPr>
            <w:rStyle w:val="Hyperlink"/>
            <w:sz w:val="18"/>
          </w:rPr>
          <w:t>http://www.ausstats.abs.gov.au/Ausstats/ subscriber.nsf/0/FB46BB699848054DCA257CEC001E1B97/$File/63100_august%202013.pdf</w:t>
        </w:r>
      </w:hyperlink>
      <w:r w:rsidR="00643FD5">
        <w:t>&gt;</w:t>
      </w:r>
      <w:r w:rsidR="009D4F55">
        <w:t>.</w:t>
      </w:r>
    </w:p>
    <w:p w:rsidR="0099103C" w:rsidRDefault="00643FD5" w:rsidP="0099103C">
      <w:pPr>
        <w:pStyle w:val="References"/>
      </w:pPr>
      <w:r>
        <w:t>——</w:t>
      </w:r>
      <w:r w:rsidR="0099103C">
        <w:t xml:space="preserve">2014, </w:t>
      </w:r>
      <w:r w:rsidRPr="00643FD5">
        <w:rPr>
          <w:i/>
        </w:rPr>
        <w:t>Labour f</w:t>
      </w:r>
      <w:r w:rsidR="0099103C" w:rsidRPr="00643FD5">
        <w:rPr>
          <w:i/>
        </w:rPr>
        <w:t xml:space="preserve">orce, Australia, </w:t>
      </w:r>
      <w:r w:rsidRPr="00643FD5">
        <w:rPr>
          <w:i/>
        </w:rPr>
        <w:t>detailed, quarterly</w:t>
      </w:r>
      <w:r w:rsidR="0099103C" w:rsidRPr="0079290C">
        <w:t>, Feb</w:t>
      </w:r>
      <w:r>
        <w:t>.</w:t>
      </w:r>
      <w:r w:rsidR="0099103C" w:rsidRPr="0079290C">
        <w:t xml:space="preserve"> 2014</w:t>
      </w:r>
      <w:r>
        <w:t xml:space="preserve">, </w:t>
      </w:r>
      <w:r w:rsidR="0040687A">
        <w:t>cat.no.</w:t>
      </w:r>
      <w:r w:rsidR="0099103C" w:rsidRPr="0079290C">
        <w:t>6291.0.55.003</w:t>
      </w:r>
      <w:r w:rsidR="002A5D73">
        <w:t xml:space="preserve">, </w:t>
      </w:r>
      <w:r>
        <w:t>ABS</w:t>
      </w:r>
      <w:r w:rsidR="0099103C" w:rsidRPr="00724D8E">
        <w:t>, Canberra.</w:t>
      </w:r>
    </w:p>
    <w:p w:rsidR="002A5D73" w:rsidRDefault="002A5D73" w:rsidP="002A5D73">
      <w:pPr>
        <w:pStyle w:val="References"/>
      </w:pPr>
      <w:proofErr w:type="spellStart"/>
      <w:r w:rsidRPr="00F736A7">
        <w:t>Agrifood</w:t>
      </w:r>
      <w:proofErr w:type="spellEnd"/>
      <w:r w:rsidRPr="00F736A7">
        <w:t xml:space="preserve"> Skills Australia</w:t>
      </w:r>
      <w:r>
        <w:t xml:space="preserve"> </w:t>
      </w:r>
      <w:r w:rsidRPr="00F736A7">
        <w:t xml:space="preserve">2013, </w:t>
      </w:r>
      <w:r w:rsidRPr="009869ED">
        <w:rPr>
          <w:i/>
        </w:rPr>
        <w:t xml:space="preserve">2013 environmental scan of the </w:t>
      </w:r>
      <w:proofErr w:type="spellStart"/>
      <w:r w:rsidRPr="009869ED">
        <w:rPr>
          <w:i/>
        </w:rPr>
        <w:t>agrifood</w:t>
      </w:r>
      <w:proofErr w:type="spellEnd"/>
      <w:r w:rsidRPr="009869ED">
        <w:rPr>
          <w:i/>
        </w:rPr>
        <w:t xml:space="preserve"> industry: mind the gap: why </w:t>
      </w:r>
      <w:proofErr w:type="spellStart"/>
      <w:r w:rsidRPr="009869ED">
        <w:rPr>
          <w:i/>
        </w:rPr>
        <w:t>agrifood’s</w:t>
      </w:r>
      <w:proofErr w:type="spellEnd"/>
      <w:r w:rsidRPr="009869ED">
        <w:rPr>
          <w:i/>
        </w:rPr>
        <w:t xml:space="preserve"> potential in the Asian Century is far from assured</w:t>
      </w:r>
      <w:r w:rsidRPr="00F736A7">
        <w:t xml:space="preserve">, </w:t>
      </w:r>
      <w:proofErr w:type="spellStart"/>
      <w:r w:rsidRPr="00F736A7">
        <w:t>AgriFood</w:t>
      </w:r>
      <w:proofErr w:type="spellEnd"/>
      <w:r w:rsidRPr="00F736A7">
        <w:t xml:space="preserve"> Skills Australia, Kingston, viewed 20 May 2014, &lt;http://www.agrifoodskills.net.au/?page=2013Scan&gt;.</w:t>
      </w:r>
    </w:p>
    <w:p w:rsidR="002A5D73" w:rsidRDefault="002A5D73" w:rsidP="002A5D73">
      <w:pPr>
        <w:pStyle w:val="References"/>
      </w:pPr>
      <w:r w:rsidRPr="00F736A7">
        <w:t>Allen Consulting Group</w:t>
      </w:r>
      <w:r>
        <w:t xml:space="preserve"> </w:t>
      </w:r>
      <w:r w:rsidRPr="00F736A7">
        <w:t xml:space="preserve">2010, </w:t>
      </w:r>
      <w:r w:rsidRPr="00643FD5">
        <w:rPr>
          <w:i/>
        </w:rPr>
        <w:t>Victorian biotechnology industry skills review: report to the Victorian Department of Innovation, Industry and Regional Development</w:t>
      </w:r>
      <w:r w:rsidRPr="00F736A7">
        <w:t>, Allen Consulting Group, Melbourne, viewed 20 May 2014, &lt;http://www.allenconsult.com.au/publications/view.php?id=352&gt;.</w:t>
      </w:r>
    </w:p>
    <w:p w:rsidR="002A5D73" w:rsidRDefault="002A5D73" w:rsidP="002A5D73">
      <w:pPr>
        <w:pStyle w:val="References"/>
      </w:pPr>
      <w:proofErr w:type="spellStart"/>
      <w:proofErr w:type="gramStart"/>
      <w:r w:rsidRPr="00724D8E">
        <w:t>Aus</w:t>
      </w:r>
      <w:r>
        <w:t>t</w:t>
      </w:r>
      <w:r w:rsidRPr="00724D8E">
        <w:t>mine</w:t>
      </w:r>
      <w:proofErr w:type="spellEnd"/>
      <w:r w:rsidRPr="00724D8E">
        <w:t xml:space="preserve"> 2013, </w:t>
      </w:r>
      <w:r w:rsidRPr="002A5D73">
        <w:rPr>
          <w:i/>
        </w:rPr>
        <w:t>Australia’s new driver for growth — mining equipment, technology and services</w:t>
      </w:r>
      <w:r w:rsidRPr="00724D8E">
        <w:t xml:space="preserve">, </w:t>
      </w:r>
      <w:proofErr w:type="spellStart"/>
      <w:r w:rsidRPr="00724D8E">
        <w:t>Ausmine</w:t>
      </w:r>
      <w:proofErr w:type="spellEnd"/>
      <w:r w:rsidRPr="00724D8E">
        <w:t>, Sydney.</w:t>
      </w:r>
      <w:proofErr w:type="gramEnd"/>
    </w:p>
    <w:p w:rsidR="002A5D73" w:rsidRPr="009D4F55" w:rsidRDefault="002A5D73" w:rsidP="009D4F55">
      <w:pPr>
        <w:pStyle w:val="References"/>
        <w:ind w:right="-284"/>
        <w:rPr>
          <w:color w:val="1F497D"/>
          <w:szCs w:val="18"/>
        </w:rPr>
      </w:pPr>
      <w:proofErr w:type="spellStart"/>
      <w:proofErr w:type="gramStart"/>
      <w:r w:rsidRPr="009D4F55">
        <w:rPr>
          <w:szCs w:val="18"/>
        </w:rPr>
        <w:t>Austrade</w:t>
      </w:r>
      <w:proofErr w:type="spellEnd"/>
      <w:r w:rsidRPr="009D4F55">
        <w:rPr>
          <w:szCs w:val="18"/>
        </w:rPr>
        <w:t xml:space="preserve"> 2013</w:t>
      </w:r>
      <w:r w:rsidR="0040687A" w:rsidRPr="009D4F55">
        <w:rPr>
          <w:szCs w:val="18"/>
        </w:rPr>
        <w:t>,</w:t>
      </w:r>
      <w:r w:rsidRPr="009D4F55">
        <w:rPr>
          <w:szCs w:val="18"/>
        </w:rPr>
        <w:t xml:space="preserve"> </w:t>
      </w:r>
      <w:r w:rsidR="00F94911">
        <w:rPr>
          <w:szCs w:val="18"/>
        </w:rPr>
        <w:t xml:space="preserve">viewed 14 September 2014, </w:t>
      </w:r>
      <w:r w:rsidR="0040687A" w:rsidRPr="009D4F55">
        <w:rPr>
          <w:szCs w:val="18"/>
        </w:rPr>
        <w:t>&lt;</w:t>
      </w:r>
      <w:hyperlink r:id="rId20" w:history="1">
        <w:r w:rsidR="009D4F55" w:rsidRPr="00695312">
          <w:rPr>
            <w:rStyle w:val="Hyperlink"/>
            <w:sz w:val="18"/>
            <w:szCs w:val="18"/>
          </w:rPr>
          <w:t>http://www.austrade.gov.au/Mining-Equipment-Technology-Services-overview/default.aspx</w:t>
        </w:r>
      </w:hyperlink>
      <w:r w:rsidR="0040687A" w:rsidRPr="009D4F55">
        <w:rPr>
          <w:szCs w:val="18"/>
        </w:rPr>
        <w:t>&gt;.</w:t>
      </w:r>
      <w:proofErr w:type="gramEnd"/>
    </w:p>
    <w:p w:rsidR="002A5D73" w:rsidRPr="009D4F55" w:rsidRDefault="0040687A" w:rsidP="002A5D73">
      <w:pPr>
        <w:pStyle w:val="References"/>
      </w:pPr>
      <w:r>
        <w:t>——</w:t>
      </w:r>
      <w:r w:rsidR="002A5D73">
        <w:t xml:space="preserve">2014, </w:t>
      </w:r>
      <w:r w:rsidR="002A5D73" w:rsidRPr="002A5D73">
        <w:rPr>
          <w:i/>
        </w:rPr>
        <w:t>Manufacturing — bringing innovation and originality to global supply chains</w:t>
      </w:r>
      <w:r w:rsidR="002A5D73" w:rsidRPr="00724D8E">
        <w:t xml:space="preserve">, Australian Government Trade Commission, Canberra, </w:t>
      </w:r>
      <w:r w:rsidR="002A5D73">
        <w:t xml:space="preserve">viewed 8 September 2014, </w:t>
      </w:r>
      <w:r w:rsidR="002A5D73" w:rsidRPr="009D4F55">
        <w:t>&lt;</w:t>
      </w:r>
      <w:hyperlink r:id="rId21" w:history="1">
        <w:r w:rsidR="009D4F55" w:rsidRPr="00695312">
          <w:rPr>
            <w:rStyle w:val="Hyperlink"/>
            <w:sz w:val="18"/>
          </w:rPr>
          <w:t>http://www.austrade.gov.au/ Buy/Australian-Industry-Capability/Manufacturing/default.aspx</w:t>
        </w:r>
      </w:hyperlink>
      <w:r w:rsidR="002A5D73" w:rsidRPr="009D4F55">
        <w:t>&gt;.</w:t>
      </w:r>
    </w:p>
    <w:p w:rsidR="00231485" w:rsidRDefault="00643FD5" w:rsidP="00947AE9">
      <w:pPr>
        <w:pStyle w:val="References"/>
      </w:pPr>
      <w:r>
        <w:t>Australian Council of Deans of Agriculture</w:t>
      </w:r>
      <w:r w:rsidR="00D1444A">
        <w:t xml:space="preserve"> 2014</w:t>
      </w:r>
      <w:r w:rsidR="005E04E4">
        <w:t xml:space="preserve">, </w:t>
      </w:r>
      <w:r w:rsidR="005E04E4" w:rsidRPr="00643FD5">
        <w:rPr>
          <w:i/>
        </w:rPr>
        <w:t xml:space="preserve">Labour </w:t>
      </w:r>
      <w:r w:rsidRPr="00643FD5">
        <w:rPr>
          <w:i/>
        </w:rPr>
        <w:t>market clarity of agriculture graduates</w:t>
      </w:r>
      <w:r w:rsidR="005E04E4">
        <w:t>, viewed 14</w:t>
      </w:r>
      <w:r w:rsidR="009D4F55">
        <w:t> </w:t>
      </w:r>
      <w:r w:rsidR="005E04E4">
        <w:t>May</w:t>
      </w:r>
      <w:r>
        <w:t xml:space="preserve"> </w:t>
      </w:r>
      <w:r w:rsidR="005E04E4">
        <w:t>2014, &lt;h</w:t>
      </w:r>
      <w:r w:rsidR="00231485">
        <w:t>ttp://www.csu.edu.au/__data/assets/pdf_file/0006/861378/Labour-Market-Clarity-for-Agriculture-Graduates.pdf</w:t>
      </w:r>
      <w:r w:rsidR="005E04E4">
        <w:t>&gt;</w:t>
      </w:r>
      <w:r>
        <w:t>.</w:t>
      </w:r>
    </w:p>
    <w:p w:rsidR="002A5D73" w:rsidRDefault="002A5D73" w:rsidP="002A5D73">
      <w:pPr>
        <w:pStyle w:val="References"/>
      </w:pPr>
      <w:r w:rsidRPr="00841745">
        <w:t>Australian Industry Group</w:t>
      </w:r>
      <w:r>
        <w:t xml:space="preserve"> </w:t>
      </w:r>
      <w:r w:rsidRPr="00841745">
        <w:t xml:space="preserve">2013, </w:t>
      </w:r>
      <w:r w:rsidRPr="0040687A">
        <w:rPr>
          <w:i/>
        </w:rPr>
        <w:t>Lifting our science, technology, engineering and maths (STEM) skills</w:t>
      </w:r>
      <w:r w:rsidRPr="00841745">
        <w:t xml:space="preserve">, </w:t>
      </w:r>
      <w:proofErr w:type="spellStart"/>
      <w:r w:rsidR="0040687A">
        <w:t>AiG</w:t>
      </w:r>
      <w:proofErr w:type="spellEnd"/>
      <w:r w:rsidRPr="00841745">
        <w:t>, Sydney, viewed 20 May 2014, &lt;http://www.aigroup.com.au/portal/binary/com.epicentric.</w:t>
      </w:r>
      <w:r w:rsidR="009D4F55">
        <w:t xml:space="preserve"> </w:t>
      </w:r>
      <w:proofErr w:type="gramStart"/>
      <w:r w:rsidRPr="00841745">
        <w:t>contentmanagement.servlet.ContentDeliveryServlet/LIVE_CONTENT/Publications/Reports/2013/Ai_</w:t>
      </w:r>
      <w:r w:rsidR="009D4F55">
        <w:t xml:space="preserve"> </w:t>
      </w:r>
      <w:r w:rsidRPr="00841745">
        <w:t>Group_Skills_Survey_2012-STEM_FINAL_PRINTED.pdf&gt;.</w:t>
      </w:r>
      <w:proofErr w:type="gramEnd"/>
    </w:p>
    <w:p w:rsidR="00377A64" w:rsidRDefault="002A5D73" w:rsidP="00377A64">
      <w:pPr>
        <w:pStyle w:val="References"/>
      </w:pPr>
      <w:proofErr w:type="gramStart"/>
      <w:r>
        <w:t>——</w:t>
      </w:r>
      <w:r w:rsidR="00377A64">
        <w:t xml:space="preserve">2014, </w:t>
      </w:r>
      <w:r w:rsidR="00377A64" w:rsidRPr="009869ED">
        <w:rPr>
          <w:i/>
        </w:rPr>
        <w:t xml:space="preserve">Building </w:t>
      </w:r>
      <w:r w:rsidR="00643FD5" w:rsidRPr="009869ED">
        <w:rPr>
          <w:i/>
        </w:rPr>
        <w:t>employer commitment to workplace literacy programs</w:t>
      </w:r>
      <w:r w:rsidR="00643FD5">
        <w:t xml:space="preserve">, </w:t>
      </w:r>
      <w:proofErr w:type="spellStart"/>
      <w:r w:rsidR="0040687A">
        <w:t>AiG</w:t>
      </w:r>
      <w:proofErr w:type="spellEnd"/>
      <w:r w:rsidR="0040687A">
        <w:t xml:space="preserve">, Sydney, </w:t>
      </w:r>
      <w:r w:rsidR="00377A64">
        <w:t>viewed 20 April 2014</w:t>
      </w:r>
      <w:r w:rsidR="00643FD5">
        <w:t>,</w:t>
      </w:r>
      <w:r w:rsidR="00377A64">
        <w:t xml:space="preserve"> </w:t>
      </w:r>
      <w:r w:rsidR="009D4F55">
        <w:t>&lt;</w:t>
      </w:r>
      <w:hyperlink r:id="rId22" w:history="1">
        <w:r w:rsidR="00796CBA" w:rsidRPr="006D4CF2">
          <w:rPr>
            <w:rStyle w:val="Hyperlink"/>
            <w:sz w:val="18"/>
          </w:rPr>
          <w:t>http://www.aigroup.com.au/portal/site/aig/education/buildingemployer/</w:t>
        </w:r>
      </w:hyperlink>
      <w:r w:rsidR="00796CBA">
        <w:t>&gt;.</w:t>
      </w:r>
      <w:proofErr w:type="gramEnd"/>
    </w:p>
    <w:p w:rsidR="00796CBA" w:rsidRPr="009D4F55" w:rsidRDefault="00796CBA" w:rsidP="00796CBA">
      <w:pPr>
        <w:pStyle w:val="References"/>
        <w:rPr>
          <w:szCs w:val="18"/>
        </w:rPr>
      </w:pPr>
      <w:r w:rsidRPr="009D4F55">
        <w:rPr>
          <w:szCs w:val="18"/>
        </w:rPr>
        <w:t>Australian Manufacturing 2012, viewed 8 September 2014, &lt;</w:t>
      </w:r>
      <w:hyperlink r:id="rId23" w:history="1">
        <w:r w:rsidR="009D4F55" w:rsidRPr="00695312">
          <w:rPr>
            <w:rStyle w:val="Hyperlink"/>
            <w:sz w:val="18"/>
            <w:szCs w:val="18"/>
          </w:rPr>
          <w:t>http://www.australianmanufacturing.com.au/ 2003/rmit-universitys-advanced-manufacturing-precinct-impresses-prime-minister</w:t>
        </w:r>
      </w:hyperlink>
      <w:r w:rsidRPr="009D4F55">
        <w:rPr>
          <w:szCs w:val="18"/>
        </w:rPr>
        <w:t>&gt;.</w:t>
      </w:r>
    </w:p>
    <w:p w:rsidR="00377A64" w:rsidRPr="00724D8E" w:rsidRDefault="00643FD5" w:rsidP="00377A64">
      <w:pPr>
        <w:pStyle w:val="References"/>
      </w:pPr>
      <w:proofErr w:type="gramStart"/>
      <w:r>
        <w:rPr>
          <w:rFonts w:asciiTheme="majorHAnsi" w:hAnsiTheme="majorHAnsi" w:cstheme="majorHAnsi"/>
          <w:noProof/>
          <w:sz w:val="20"/>
          <w:lang w:val="en-US"/>
        </w:rPr>
        <w:t>Australian Petroleum Production &amp; Exploration Association</w:t>
      </w:r>
      <w:r w:rsidRPr="00C8318A">
        <w:rPr>
          <w:rFonts w:asciiTheme="majorHAnsi" w:hAnsiTheme="majorHAnsi" w:cstheme="majorHAnsi"/>
          <w:noProof/>
          <w:sz w:val="20"/>
          <w:lang w:val="en-US"/>
        </w:rPr>
        <w:t xml:space="preserve"> </w:t>
      </w:r>
      <w:r w:rsidR="00377A64">
        <w:t xml:space="preserve">2014a, </w:t>
      </w:r>
      <w:r w:rsidR="00377A64" w:rsidRPr="00643FD5">
        <w:rPr>
          <w:i/>
        </w:rPr>
        <w:t>Skills and careers,</w:t>
      </w:r>
      <w:r w:rsidR="00377A64">
        <w:t xml:space="preserve"> </w:t>
      </w:r>
      <w:r>
        <w:t>viewed 8 September 2014, &lt;</w:t>
      </w:r>
      <w:r w:rsidR="00377A64" w:rsidRPr="000F06F1">
        <w:t>http://www.appea.com.au/industry-in-depth/policy/skills/</w:t>
      </w:r>
      <w:r w:rsidR="00F94911">
        <w:t>&gt;</w:t>
      </w:r>
      <w:r w:rsidR="00377A64">
        <w:t>.</w:t>
      </w:r>
      <w:proofErr w:type="gramEnd"/>
    </w:p>
    <w:p w:rsidR="00377A64" w:rsidRPr="009D4F55" w:rsidRDefault="00643FD5" w:rsidP="00377A64">
      <w:pPr>
        <w:pStyle w:val="References"/>
      </w:pPr>
      <w:r>
        <w:t>——</w:t>
      </w:r>
      <w:r w:rsidR="00377A64">
        <w:t xml:space="preserve">2014b, </w:t>
      </w:r>
      <w:r w:rsidR="00377A64" w:rsidRPr="009D4F55">
        <w:rPr>
          <w:i/>
        </w:rPr>
        <w:t>What is natural gas</w:t>
      </w:r>
      <w:proofErr w:type="gramStart"/>
      <w:r w:rsidR="00377A64" w:rsidRPr="009D4F55">
        <w:rPr>
          <w:i/>
        </w:rPr>
        <w:t>?</w:t>
      </w:r>
      <w:r w:rsidR="00377A64">
        <w:t>,</w:t>
      </w:r>
      <w:proofErr w:type="gramEnd"/>
      <w:r w:rsidR="00377A64">
        <w:t xml:space="preserve"> </w:t>
      </w:r>
      <w:r>
        <w:t xml:space="preserve">viewed 8 September 2014, </w:t>
      </w:r>
      <w:r w:rsidR="002A5D73" w:rsidRPr="009D4F55">
        <w:t>&lt;</w:t>
      </w:r>
      <w:hyperlink r:id="rId24" w:history="1">
        <w:r w:rsidR="00377A64" w:rsidRPr="009D4F55">
          <w:t>http://www.appea.com.au/oil-gas-explained/oil-and-gas/what-is-natural-gas/</w:t>
        </w:r>
      </w:hyperlink>
      <w:r w:rsidR="002A5D73" w:rsidRPr="009D4F55">
        <w:t>&gt;</w:t>
      </w:r>
      <w:r w:rsidR="00377A64" w:rsidRPr="009D4F55">
        <w:t>.</w:t>
      </w:r>
    </w:p>
    <w:p w:rsidR="00F736A7" w:rsidRPr="00F736A7" w:rsidRDefault="008D67F9" w:rsidP="00947AE9">
      <w:pPr>
        <w:pStyle w:val="References"/>
        <w:rPr>
          <w:lang w:val="en-GB"/>
        </w:rPr>
      </w:pPr>
      <w:r>
        <w:rPr>
          <w:lang w:val="en-GB"/>
        </w:rPr>
        <w:t xml:space="preserve">Australian </w:t>
      </w:r>
      <w:r w:rsidR="006C26DD">
        <w:rPr>
          <w:lang w:val="en-GB"/>
        </w:rPr>
        <w:t>Workforce and Productivity</w:t>
      </w:r>
      <w:r>
        <w:rPr>
          <w:lang w:val="en-GB"/>
        </w:rPr>
        <w:t xml:space="preserve"> Agency</w:t>
      </w:r>
      <w:r w:rsidR="0099103C">
        <w:rPr>
          <w:lang w:val="en-GB"/>
        </w:rPr>
        <w:t xml:space="preserve"> 2013a</w:t>
      </w:r>
      <w:r w:rsidR="00796CBA">
        <w:rPr>
          <w:lang w:val="en-GB"/>
        </w:rPr>
        <w:t>,</w:t>
      </w:r>
      <w:r w:rsidR="0099103C">
        <w:rPr>
          <w:lang w:val="en-GB"/>
        </w:rPr>
        <w:t xml:space="preserve"> </w:t>
      </w:r>
      <w:r w:rsidR="00F736A7" w:rsidRPr="00F736A7">
        <w:rPr>
          <w:i/>
          <w:iCs/>
          <w:lang w:val="en-GB"/>
        </w:rPr>
        <w:t>Food and beverage workforce study</w:t>
      </w:r>
      <w:r w:rsidR="00F736A7" w:rsidRPr="00F736A7">
        <w:rPr>
          <w:lang w:val="en-GB"/>
        </w:rPr>
        <w:t xml:space="preserve">, AWPA, Canberra, viewed 20 May 2014, </w:t>
      </w:r>
      <w:r w:rsidR="00F736A7" w:rsidRPr="00756D3B">
        <w:t>&lt;</w:t>
      </w:r>
      <w:hyperlink r:id="rId25" w:history="1">
        <w:r w:rsidR="00756D3B" w:rsidRPr="00756D3B">
          <w:t>http://www.awpa.gov.au/our-work/sector-specific-skill-needs/Documents/Food and beverage workforce study.docx</w:t>
        </w:r>
      </w:hyperlink>
      <w:r w:rsidR="00F736A7" w:rsidRPr="00756D3B">
        <w:t>&gt;</w:t>
      </w:r>
      <w:r w:rsidR="00F736A7" w:rsidRPr="00F736A7">
        <w:rPr>
          <w:lang w:val="en-GB"/>
        </w:rPr>
        <w:t>.</w:t>
      </w:r>
    </w:p>
    <w:p w:rsidR="00F736A7" w:rsidRPr="00F736A7" w:rsidRDefault="00796CBA" w:rsidP="00947AE9">
      <w:pPr>
        <w:pStyle w:val="References"/>
        <w:rPr>
          <w:lang w:val="en-GB"/>
        </w:rPr>
      </w:pPr>
      <w:r>
        <w:rPr>
          <w:lang w:val="en-GB"/>
        </w:rPr>
        <w:t>——</w:t>
      </w:r>
      <w:r w:rsidR="0099103C">
        <w:rPr>
          <w:lang w:val="en-GB"/>
        </w:rPr>
        <w:t>2013b</w:t>
      </w:r>
      <w:r w:rsidR="00F94911">
        <w:rPr>
          <w:lang w:val="en-GB"/>
        </w:rPr>
        <w:t>,</w:t>
      </w:r>
      <w:r w:rsidR="00BB5639">
        <w:rPr>
          <w:lang w:val="en-GB"/>
        </w:rPr>
        <w:t xml:space="preserve"> </w:t>
      </w:r>
      <w:r w:rsidR="00F736A7" w:rsidRPr="00F736A7">
        <w:rPr>
          <w:i/>
          <w:iCs/>
          <w:lang w:val="en-GB"/>
        </w:rPr>
        <w:t>Resources sector skills needs: 2013</w:t>
      </w:r>
      <w:r w:rsidR="00F736A7" w:rsidRPr="00F736A7">
        <w:rPr>
          <w:lang w:val="en-GB"/>
        </w:rPr>
        <w:t>, Resources sector skills needs study, AWPA, Canberra, viewed 20 May 2014, &lt;http://www.awpa.gov.au/publications/Documents/Resources%20sector%20skills%</w:t>
      </w:r>
      <w:r w:rsidR="001F6EA9">
        <w:rPr>
          <w:lang w:val="en-GB"/>
        </w:rPr>
        <w:t xml:space="preserve"> </w:t>
      </w:r>
      <w:r w:rsidR="00F736A7" w:rsidRPr="00F736A7">
        <w:rPr>
          <w:lang w:val="en-GB"/>
        </w:rPr>
        <w:t>20needs%202013%20final.pdf&gt;.</w:t>
      </w:r>
    </w:p>
    <w:p w:rsidR="00942949" w:rsidRPr="00942949" w:rsidRDefault="00796CBA" w:rsidP="00377A64">
      <w:pPr>
        <w:pStyle w:val="References"/>
      </w:pPr>
      <w:r>
        <w:t>——</w:t>
      </w:r>
      <w:r w:rsidR="00942949" w:rsidRPr="00942949">
        <w:t>2013c</w:t>
      </w:r>
      <w:r>
        <w:t>,</w:t>
      </w:r>
      <w:r w:rsidR="00942949" w:rsidRPr="00942949">
        <w:t xml:space="preserve"> </w:t>
      </w:r>
      <w:r w:rsidR="00942949" w:rsidRPr="00796CBA">
        <w:rPr>
          <w:i/>
        </w:rPr>
        <w:t>Industry snapshot 2</w:t>
      </w:r>
      <w:r w:rsidRPr="00796CBA">
        <w:rPr>
          <w:i/>
        </w:rPr>
        <w:t>013: m</w:t>
      </w:r>
      <w:r w:rsidR="00942949" w:rsidRPr="00796CBA">
        <w:rPr>
          <w:i/>
        </w:rPr>
        <w:t>anufacturing</w:t>
      </w:r>
      <w:r w:rsidR="00942949" w:rsidRPr="00942949">
        <w:t xml:space="preserve">, </w:t>
      </w:r>
      <w:r>
        <w:t>AWPA</w:t>
      </w:r>
      <w:r w:rsidR="00942949" w:rsidRPr="00942949">
        <w:t>, Canberra</w:t>
      </w:r>
      <w:r>
        <w:t>.</w:t>
      </w:r>
    </w:p>
    <w:p w:rsidR="00377A64" w:rsidRPr="00942949" w:rsidRDefault="00796CBA" w:rsidP="00377A64">
      <w:pPr>
        <w:pStyle w:val="References"/>
      </w:pPr>
      <w:r>
        <w:t>——</w:t>
      </w:r>
      <w:r w:rsidR="00377A64" w:rsidRPr="00942949">
        <w:t>2013</w:t>
      </w:r>
      <w:r w:rsidR="00942949" w:rsidRPr="00942949">
        <w:t>d</w:t>
      </w:r>
      <w:r>
        <w:t xml:space="preserve">, </w:t>
      </w:r>
      <w:r w:rsidRPr="00796CBA">
        <w:rPr>
          <w:i/>
        </w:rPr>
        <w:t>Industry snapshot 2013: a</w:t>
      </w:r>
      <w:r w:rsidR="00377A64" w:rsidRPr="00796CBA">
        <w:rPr>
          <w:i/>
        </w:rPr>
        <w:t>griculture, forestry and fishing</w:t>
      </w:r>
      <w:r w:rsidR="00377A64" w:rsidRPr="00942949">
        <w:t xml:space="preserve">, </w:t>
      </w:r>
      <w:r>
        <w:t>AWPA</w:t>
      </w:r>
      <w:r w:rsidR="00377A64" w:rsidRPr="00942949">
        <w:t>, Canberra</w:t>
      </w:r>
      <w:r w:rsidR="00A058CB">
        <w:t>.</w:t>
      </w:r>
    </w:p>
    <w:p w:rsidR="00377A64" w:rsidRPr="007D35DA" w:rsidRDefault="00796CBA" w:rsidP="00377A64">
      <w:pPr>
        <w:pStyle w:val="References"/>
      </w:pPr>
      <w:r>
        <w:t>——</w:t>
      </w:r>
      <w:r w:rsidR="00377A64" w:rsidRPr="00796CBA">
        <w:t>2013</w:t>
      </w:r>
      <w:r w:rsidR="007D35DA" w:rsidRPr="00796CBA">
        <w:t>e</w:t>
      </w:r>
      <w:r>
        <w:rPr>
          <w:i/>
        </w:rPr>
        <w:t>,</w:t>
      </w:r>
      <w:r w:rsidRPr="00796CBA">
        <w:rPr>
          <w:i/>
        </w:rPr>
        <w:t xml:space="preserve"> Industry snapshot 2013: m</w:t>
      </w:r>
      <w:r w:rsidR="00377A64" w:rsidRPr="00796CBA">
        <w:rPr>
          <w:i/>
        </w:rPr>
        <w:t>ining</w:t>
      </w:r>
      <w:r w:rsidR="00377A64" w:rsidRPr="007D35DA">
        <w:t xml:space="preserve">, </w:t>
      </w:r>
      <w:r>
        <w:t>AWPA,</w:t>
      </w:r>
      <w:r w:rsidR="00377A64" w:rsidRPr="007D35DA">
        <w:t xml:space="preserve"> Canberra</w:t>
      </w:r>
      <w:r w:rsidR="00A058CB">
        <w:t>.</w:t>
      </w:r>
    </w:p>
    <w:p w:rsidR="00377A64" w:rsidRDefault="00796CBA" w:rsidP="00377A64">
      <w:pPr>
        <w:pStyle w:val="References"/>
      </w:pPr>
      <w:r>
        <w:t>——</w:t>
      </w:r>
      <w:r w:rsidR="00377A64" w:rsidRPr="007D35DA">
        <w:t>2013</w:t>
      </w:r>
      <w:r w:rsidR="007D35DA" w:rsidRPr="007D35DA">
        <w:t>f</w:t>
      </w:r>
      <w:r>
        <w:t>,</w:t>
      </w:r>
      <w:r w:rsidR="00377A64" w:rsidRPr="007D35DA">
        <w:t xml:space="preserve"> </w:t>
      </w:r>
      <w:r w:rsidR="00377A64" w:rsidRPr="00796CBA">
        <w:rPr>
          <w:i/>
        </w:rPr>
        <w:t>Food and beverage workforce issues paper</w:t>
      </w:r>
      <w:r w:rsidR="00377A64" w:rsidRPr="007D35DA">
        <w:t xml:space="preserve">, </w:t>
      </w:r>
      <w:r>
        <w:t>AWPA</w:t>
      </w:r>
      <w:r w:rsidR="00377A64" w:rsidRPr="007D35DA">
        <w:t>, Canberra</w:t>
      </w:r>
      <w:r w:rsidR="00A058CB">
        <w:t>.</w:t>
      </w:r>
    </w:p>
    <w:p w:rsidR="002F629F" w:rsidRPr="00724D8E" w:rsidRDefault="00796CBA" w:rsidP="00377A64">
      <w:pPr>
        <w:pStyle w:val="References"/>
      </w:pPr>
      <w:r>
        <w:t>——</w:t>
      </w:r>
      <w:r w:rsidR="002F629F">
        <w:t>2013g</w:t>
      </w:r>
      <w:r>
        <w:t>,</w:t>
      </w:r>
      <w:r w:rsidR="002F629F">
        <w:t xml:space="preserve"> </w:t>
      </w:r>
      <w:proofErr w:type="gramStart"/>
      <w:r w:rsidR="002F629F" w:rsidRPr="00796CBA">
        <w:rPr>
          <w:i/>
        </w:rPr>
        <w:t>Manufacturing</w:t>
      </w:r>
      <w:proofErr w:type="gramEnd"/>
      <w:r w:rsidR="002F629F" w:rsidRPr="00796CBA">
        <w:rPr>
          <w:i/>
        </w:rPr>
        <w:t xml:space="preserve"> workforce issues paper</w:t>
      </w:r>
      <w:r>
        <w:t xml:space="preserve">, AWPA, </w:t>
      </w:r>
      <w:r w:rsidR="002F629F">
        <w:t>Canberra</w:t>
      </w:r>
      <w:r w:rsidR="00A058CB">
        <w:t>.</w:t>
      </w:r>
    </w:p>
    <w:p w:rsidR="002F6E23" w:rsidRDefault="00796CBA" w:rsidP="002F6E23">
      <w:pPr>
        <w:pStyle w:val="References"/>
      </w:pPr>
      <w:proofErr w:type="gramStart"/>
      <w:r>
        <w:t xml:space="preserve">——2014, </w:t>
      </w:r>
      <w:r w:rsidR="002F6E23" w:rsidRPr="00A44E5E">
        <w:rPr>
          <w:i/>
        </w:rPr>
        <w:t>Manufacturing workforce study</w:t>
      </w:r>
      <w:r w:rsidR="002F6E23" w:rsidRPr="00897498">
        <w:t>, AWPA, Canberra, viewed 20 May 2014, &lt;http://www.awpa.gov.au/publications/Documents/Manufacturing%20workforce%20study.pdf&gt;.</w:t>
      </w:r>
      <w:proofErr w:type="gramEnd"/>
    </w:p>
    <w:p w:rsidR="00F736A7" w:rsidRPr="00F736A7" w:rsidRDefault="00796CBA" w:rsidP="00947AE9">
      <w:pPr>
        <w:pStyle w:val="References"/>
        <w:rPr>
          <w:lang w:val="en-GB"/>
        </w:rPr>
      </w:pPr>
      <w:proofErr w:type="spellStart"/>
      <w:proofErr w:type="gramStart"/>
      <w:r>
        <w:rPr>
          <w:lang w:val="en-GB"/>
        </w:rPr>
        <w:lastRenderedPageBreak/>
        <w:t>Berghella</w:t>
      </w:r>
      <w:proofErr w:type="spellEnd"/>
      <w:r>
        <w:rPr>
          <w:lang w:val="en-GB"/>
        </w:rPr>
        <w:t>, T &amp;</w:t>
      </w:r>
      <w:r w:rsidR="00F736A7" w:rsidRPr="00F736A7">
        <w:rPr>
          <w:lang w:val="en-GB"/>
        </w:rPr>
        <w:t xml:space="preserve"> </w:t>
      </w:r>
      <w:proofErr w:type="spellStart"/>
      <w:r w:rsidR="00F736A7" w:rsidRPr="00F736A7">
        <w:rPr>
          <w:lang w:val="en-GB"/>
        </w:rPr>
        <w:t>Molenaar</w:t>
      </w:r>
      <w:proofErr w:type="spellEnd"/>
      <w:r w:rsidR="00F736A7" w:rsidRPr="00F736A7">
        <w:rPr>
          <w:lang w:val="en-GB"/>
        </w:rPr>
        <w:t xml:space="preserve">, J 2013, </w:t>
      </w:r>
      <w:r w:rsidR="00F736A7" w:rsidRPr="00F736A7">
        <w:rPr>
          <w:i/>
          <w:iCs/>
          <w:lang w:val="en-GB"/>
        </w:rPr>
        <w:t>Seeking the N in LLN</w:t>
      </w:r>
      <w:r w:rsidR="00F736A7" w:rsidRPr="00F736A7">
        <w:rPr>
          <w:lang w:val="en-GB"/>
        </w:rPr>
        <w:t>, NCVER, Adelaide, viewed 20 May 2014, &lt;http://www.ncver.edu.au/publications/2627.html&gt;.</w:t>
      </w:r>
      <w:proofErr w:type="gramEnd"/>
    </w:p>
    <w:p w:rsidR="00A475B6" w:rsidRDefault="00A475B6" w:rsidP="00947AE9">
      <w:pPr>
        <w:pStyle w:val="References"/>
      </w:pPr>
      <w:r w:rsidRPr="00230400">
        <w:t>BH</w:t>
      </w:r>
      <w:r w:rsidR="005002F3">
        <w:t>P</w:t>
      </w:r>
      <w:r w:rsidR="00796CBA">
        <w:t xml:space="preserve"> Billiton</w:t>
      </w:r>
      <w:r w:rsidRPr="00230400">
        <w:t xml:space="preserve"> 2014</w:t>
      </w:r>
      <w:r w:rsidR="00796CBA">
        <w:t>,</w:t>
      </w:r>
      <w:r w:rsidRPr="00230400">
        <w:t xml:space="preserve"> viewed 20 May 2014</w:t>
      </w:r>
      <w:r w:rsidR="00796CBA">
        <w:t>,</w:t>
      </w:r>
      <w:r>
        <w:t xml:space="preserve"> </w:t>
      </w:r>
      <w:r w:rsidR="00796CBA">
        <w:t>&lt;</w:t>
      </w:r>
      <w:hyperlink r:id="rId26" w:history="1">
        <w:r w:rsidR="001F6EA9" w:rsidRPr="00695312">
          <w:rPr>
            <w:rStyle w:val="Hyperlink"/>
            <w:sz w:val="18"/>
          </w:rPr>
          <w:t>http://www.bhpbilliton.com/home/people/graduates/ Pages/default.aspx</w:t>
        </w:r>
      </w:hyperlink>
      <w:r w:rsidR="00796CBA">
        <w:t>&gt;.</w:t>
      </w:r>
    </w:p>
    <w:p w:rsidR="00841745" w:rsidRDefault="00796CBA" w:rsidP="00947AE9">
      <w:pPr>
        <w:pStyle w:val="References"/>
      </w:pPr>
      <w:r>
        <w:t>Black, S &amp;</w:t>
      </w:r>
      <w:r w:rsidR="00841745" w:rsidRPr="00841745">
        <w:t xml:space="preserve"> Yasukawa, K 2011, </w:t>
      </w:r>
      <w:proofErr w:type="gramStart"/>
      <w:r w:rsidR="00841745" w:rsidRPr="00796CBA">
        <w:rPr>
          <w:i/>
        </w:rPr>
        <w:t>Working</w:t>
      </w:r>
      <w:proofErr w:type="gramEnd"/>
      <w:r w:rsidR="00841745" w:rsidRPr="00796CBA">
        <w:rPr>
          <w:i/>
        </w:rPr>
        <w:t xml:space="preserve"> together: integrated language, literacy and numeracy support in vocational education and training</w:t>
      </w:r>
      <w:r w:rsidR="00841745" w:rsidRPr="00841745">
        <w:t>, CRLC, Broadway, viewed 20 May 2014, &lt;http://www.rilc.uts.edu.au/</w:t>
      </w:r>
      <w:r w:rsidR="001F6EA9">
        <w:t xml:space="preserve"> </w:t>
      </w:r>
      <w:proofErr w:type="spellStart"/>
      <w:r w:rsidR="00841745" w:rsidRPr="00841745">
        <w:t>pdfs</w:t>
      </w:r>
      <w:proofErr w:type="spellEnd"/>
      <w:r w:rsidR="00841745" w:rsidRPr="00841745">
        <w:t>/working-together-report.pdf&gt;.</w:t>
      </w:r>
    </w:p>
    <w:p w:rsidR="00326046" w:rsidRDefault="00326046" w:rsidP="00326046">
      <w:pPr>
        <w:pStyle w:val="References"/>
        <w:rPr>
          <w:lang w:val="en-GB"/>
        </w:rPr>
      </w:pPr>
      <w:r w:rsidRPr="00230400">
        <w:rPr>
          <w:lang w:val="en-GB"/>
        </w:rPr>
        <w:t>Curtin, P</w:t>
      </w:r>
      <w:r>
        <w:rPr>
          <w:lang w:val="en-GB"/>
        </w:rPr>
        <w:t>,</w:t>
      </w:r>
      <w:r w:rsidRPr="00230400">
        <w:rPr>
          <w:lang w:val="en-GB"/>
        </w:rPr>
        <w:t xml:space="preserve"> </w:t>
      </w:r>
      <w:proofErr w:type="spellStart"/>
      <w:r>
        <w:rPr>
          <w:lang w:val="en-GB"/>
        </w:rPr>
        <w:t>Stanwick</w:t>
      </w:r>
      <w:proofErr w:type="spellEnd"/>
      <w:r>
        <w:rPr>
          <w:lang w:val="en-GB"/>
        </w:rPr>
        <w:t>, J</w:t>
      </w:r>
      <w:r w:rsidR="001F6EA9">
        <w:rPr>
          <w:lang w:val="en-GB"/>
        </w:rPr>
        <w:t xml:space="preserve"> </w:t>
      </w:r>
      <w:r w:rsidRPr="00230400">
        <w:rPr>
          <w:lang w:val="en-GB"/>
        </w:rPr>
        <w:t xml:space="preserve">&amp; Beddie, </w:t>
      </w:r>
      <w:proofErr w:type="gramStart"/>
      <w:r w:rsidRPr="00230400">
        <w:rPr>
          <w:lang w:val="en-GB"/>
        </w:rPr>
        <w:t>F</w:t>
      </w:r>
      <w:proofErr w:type="gramEnd"/>
      <w:r w:rsidRPr="003F2E68">
        <w:rPr>
          <w:lang w:val="en-GB"/>
        </w:rPr>
        <w:t xml:space="preserve"> 2011, </w:t>
      </w:r>
      <w:r w:rsidRPr="003F2E68">
        <w:rPr>
          <w:i/>
          <w:lang w:val="en-GB"/>
        </w:rPr>
        <w:t>Fostering enterprise: the innovation and skills nexus: research readings</w:t>
      </w:r>
      <w:r w:rsidRPr="003F2E68">
        <w:rPr>
          <w:lang w:val="en-GB"/>
        </w:rPr>
        <w:t>, NCVER, Adelaide, viewed 21 May 2014, &lt;http://www.ncver.edu.au/publications/2367.html&gt;.</w:t>
      </w:r>
    </w:p>
    <w:p w:rsidR="00143DF2" w:rsidRPr="001825E9" w:rsidRDefault="00143DF2" w:rsidP="00143DF2">
      <w:pPr>
        <w:pStyle w:val="References"/>
      </w:pPr>
      <w:r>
        <w:t xml:space="preserve">Deloitte Access Economics 2012, </w:t>
      </w:r>
      <w:r w:rsidRPr="005736CE">
        <w:rPr>
          <w:i/>
        </w:rPr>
        <w:t>Advancing Australia: harnessing our comparative energy advantage</w:t>
      </w:r>
      <w:r w:rsidRPr="001825E9">
        <w:t>, Australian Petroleum Production and Exploration Association Limited</w:t>
      </w:r>
      <w:r>
        <w:t>, Sydney</w:t>
      </w:r>
      <w:r w:rsidRPr="001825E9">
        <w:t>.</w:t>
      </w:r>
    </w:p>
    <w:p w:rsidR="00377A64" w:rsidRDefault="005736CE" w:rsidP="00377A64">
      <w:pPr>
        <w:pStyle w:val="References"/>
      </w:pPr>
      <w:proofErr w:type="gramStart"/>
      <w:r w:rsidRPr="00724D8E">
        <w:t xml:space="preserve">Department of Agriculture, Fisheries and Forestry </w:t>
      </w:r>
      <w:r w:rsidR="00377A64" w:rsidRPr="00724D8E">
        <w:t xml:space="preserve">2013, </w:t>
      </w:r>
      <w:r w:rsidRPr="005736CE">
        <w:rPr>
          <w:i/>
        </w:rPr>
        <w:t>Australian food statistics 2011—</w:t>
      </w:r>
      <w:r w:rsidR="00377A64" w:rsidRPr="005736CE">
        <w:rPr>
          <w:i/>
        </w:rPr>
        <w:t>12</w:t>
      </w:r>
      <w:r w:rsidR="00377A64" w:rsidRPr="00724D8E">
        <w:t xml:space="preserve">, </w:t>
      </w:r>
      <w:r w:rsidRPr="00724D8E">
        <w:t>DAFF</w:t>
      </w:r>
      <w:r w:rsidR="00377A64" w:rsidRPr="00724D8E">
        <w:t>, Canberra.</w:t>
      </w:r>
      <w:proofErr w:type="gramEnd"/>
    </w:p>
    <w:p w:rsidR="00143DF2" w:rsidRPr="00680ED5" w:rsidRDefault="00143DF2" w:rsidP="00377A64">
      <w:pPr>
        <w:pStyle w:val="References"/>
      </w:pPr>
      <w:r>
        <w:t xml:space="preserve">Department of Foreign Affairs and Trade 2014, </w:t>
      </w:r>
      <w:r w:rsidRPr="00143DF2">
        <w:rPr>
          <w:i/>
        </w:rPr>
        <w:t>New Colombo Plan fact sheet,</w:t>
      </w:r>
      <w:r>
        <w:t xml:space="preserve"> viewed 11 September</w:t>
      </w:r>
      <w:r w:rsidR="00CE2B38">
        <w:t xml:space="preserve"> 2014</w:t>
      </w:r>
      <w:r>
        <w:t xml:space="preserve">, </w:t>
      </w:r>
      <w:r w:rsidRPr="00680ED5">
        <w:t>&lt;</w:t>
      </w:r>
      <w:hyperlink r:id="rId27" w:history="1">
        <w:r w:rsidRPr="00680ED5">
          <w:rPr>
            <w:rStyle w:val="Hyperlink"/>
            <w:sz w:val="18"/>
          </w:rPr>
          <w:t>http://www.dfat.gov.au/new-colombo-plan/ncp-fact-sheet.html</w:t>
        </w:r>
      </w:hyperlink>
      <w:r w:rsidR="008F0B14" w:rsidRPr="00680ED5">
        <w:rPr>
          <w:rStyle w:val="Hyperlink"/>
          <w:sz w:val="18"/>
        </w:rPr>
        <w:t>&gt;</w:t>
      </w:r>
      <w:r w:rsidRPr="00680ED5">
        <w:t>.</w:t>
      </w:r>
    </w:p>
    <w:p w:rsidR="00377A64" w:rsidRDefault="00377A64" w:rsidP="00377A64">
      <w:pPr>
        <w:pStyle w:val="References"/>
      </w:pPr>
      <w:r w:rsidRPr="00680ED5">
        <w:t>Department of Industry</w:t>
      </w:r>
      <w:r w:rsidRPr="00F94911">
        <w:t xml:space="preserve"> </w:t>
      </w:r>
      <w:r w:rsidR="00847672" w:rsidRPr="00F94911">
        <w:t>2014</w:t>
      </w:r>
      <w:r w:rsidR="00680ED5" w:rsidRPr="00F94911">
        <w:t>a</w:t>
      </w:r>
      <w:r w:rsidRPr="00F94911">
        <w:t>,</w:t>
      </w:r>
      <w:r w:rsidRPr="00680ED5">
        <w:rPr>
          <w:b/>
          <w:color w:val="FF0000"/>
        </w:rPr>
        <w:t xml:space="preserve"> </w:t>
      </w:r>
      <w:r w:rsidRPr="00680ED5">
        <w:rPr>
          <w:i/>
        </w:rPr>
        <w:t xml:space="preserve">Australian Innovation System </w:t>
      </w:r>
      <w:r w:rsidR="00F94911">
        <w:rPr>
          <w:i/>
        </w:rPr>
        <w:t>r</w:t>
      </w:r>
      <w:r w:rsidRPr="00680ED5">
        <w:rPr>
          <w:i/>
        </w:rPr>
        <w:t>eport 2013</w:t>
      </w:r>
      <w:r w:rsidR="005736CE" w:rsidRPr="00680ED5">
        <w:t>, Canberra, viewed 10 July 2014,</w:t>
      </w:r>
      <w:r w:rsidR="005736CE">
        <w:t xml:space="preserve"> &lt;</w:t>
      </w:r>
      <w:hyperlink r:id="rId28" w:history="1">
        <w:r w:rsidRPr="00431276">
          <w:rPr>
            <w:rStyle w:val="Hyperlink"/>
            <w:sz w:val="18"/>
          </w:rPr>
          <w:t>http://industry.gov.au/science/policy/AustralianInnovationSystemReport/AISR2013/index.html</w:t>
        </w:r>
      </w:hyperlink>
      <w:r w:rsidR="005736CE">
        <w:t>&gt;.</w:t>
      </w:r>
      <w:r>
        <w:t xml:space="preserve"> </w:t>
      </w:r>
    </w:p>
    <w:p w:rsidR="00377A64" w:rsidRDefault="005736CE" w:rsidP="00377A64">
      <w:pPr>
        <w:pStyle w:val="References"/>
        <w:rPr>
          <w:lang w:val="en-GB"/>
        </w:rPr>
      </w:pPr>
      <w:r>
        <w:t>——</w:t>
      </w:r>
      <w:r w:rsidR="00377A64">
        <w:t>2014</w:t>
      </w:r>
      <w:r w:rsidR="00CF3AE8">
        <w:t>b</w:t>
      </w:r>
      <w:r w:rsidR="00377A64">
        <w:t>,</w:t>
      </w:r>
      <w:r w:rsidR="00377A64" w:rsidRPr="005E04E4">
        <w:t xml:space="preserve"> </w:t>
      </w:r>
      <w:r>
        <w:rPr>
          <w:i/>
        </w:rPr>
        <w:t>Growing o</w:t>
      </w:r>
      <w:r w:rsidR="00377A64" w:rsidRPr="00091A87">
        <w:rPr>
          <w:i/>
        </w:rPr>
        <w:t xml:space="preserve">pportunities, South Australia and Victorian </w:t>
      </w:r>
      <w:r w:rsidRPr="00091A87">
        <w:rPr>
          <w:i/>
        </w:rPr>
        <w:t xml:space="preserve">comparative advantages, report of the panels </w:t>
      </w:r>
      <w:r w:rsidR="00377A64" w:rsidRPr="00091A87">
        <w:rPr>
          <w:i/>
        </w:rPr>
        <w:t>for the Reviews of the South Australian and Victorian Economies</w:t>
      </w:r>
      <w:r w:rsidR="00377A64">
        <w:t>, viewed 14 May 2014</w:t>
      </w:r>
      <w:r>
        <w:t>,</w:t>
      </w:r>
      <w:r w:rsidR="00377A64">
        <w:t xml:space="preserve"> &lt;</w:t>
      </w:r>
      <w:hyperlink r:id="rId29" w:history="1">
        <w:r w:rsidR="00377A64" w:rsidRPr="003E22EE">
          <w:t>http://www.industry.gov.au/AboutUs/CorporatePublications/ReviewofSouthAustralianandVictorianEconomies/Documents/GrowingOpportunities-SouthAustraliaandVictoria.pdf</w:t>
        </w:r>
      </w:hyperlink>
      <w:r w:rsidR="008F0B14">
        <w:t>&gt;.</w:t>
      </w:r>
    </w:p>
    <w:p w:rsidR="00A058CB" w:rsidRPr="001825E9" w:rsidRDefault="00A058CB" w:rsidP="00A058CB">
      <w:pPr>
        <w:pStyle w:val="References"/>
      </w:pPr>
      <w:r w:rsidRPr="001825E9">
        <w:t xml:space="preserve">Department of Immigration and Border Protection 2013, </w:t>
      </w:r>
      <w:r w:rsidRPr="005736CE">
        <w:rPr>
          <w:i/>
        </w:rPr>
        <w:t>Report Id BR0008 — Subclass 457 quarterly report quarter ending at 31 December 2013</w:t>
      </w:r>
      <w:r w:rsidRPr="001825E9">
        <w:t>, DIBP</w:t>
      </w:r>
      <w:r>
        <w:t>,</w:t>
      </w:r>
      <w:r w:rsidRPr="001825E9">
        <w:t xml:space="preserve"> Canberra.</w:t>
      </w:r>
    </w:p>
    <w:p w:rsidR="00377A64" w:rsidRDefault="005736CE" w:rsidP="00377A64">
      <w:pPr>
        <w:pStyle w:val="References"/>
      </w:pPr>
      <w:proofErr w:type="gramStart"/>
      <w:r w:rsidRPr="001825E9">
        <w:t>Department of Industry, Innovation, Climate Change, Science, Research and Tertiary Education</w:t>
      </w:r>
      <w:r w:rsidR="00377A64">
        <w:t xml:space="preserve"> 2013</w:t>
      </w:r>
      <w:r>
        <w:t>,</w:t>
      </w:r>
      <w:r w:rsidR="00377A64" w:rsidRPr="001825E9">
        <w:t xml:space="preserve"> </w:t>
      </w:r>
      <w:r w:rsidR="00377A64" w:rsidRPr="005736CE">
        <w:rPr>
          <w:i/>
        </w:rPr>
        <w:t xml:space="preserve">Australian </w:t>
      </w:r>
      <w:r w:rsidRPr="005736CE">
        <w:rPr>
          <w:i/>
        </w:rPr>
        <w:t xml:space="preserve">pharmaceuticals industry data card </w:t>
      </w:r>
      <w:r w:rsidR="00377A64" w:rsidRPr="005736CE">
        <w:rPr>
          <w:i/>
        </w:rPr>
        <w:t>2013</w:t>
      </w:r>
      <w:r w:rsidR="00377A64" w:rsidRPr="001825E9">
        <w:t xml:space="preserve">, </w:t>
      </w:r>
      <w:r>
        <w:t>DIICCSRTE</w:t>
      </w:r>
      <w:r w:rsidR="00A058CB">
        <w:t>,</w:t>
      </w:r>
      <w:r>
        <w:t xml:space="preserve"> </w:t>
      </w:r>
      <w:r w:rsidR="00377A64" w:rsidRPr="001825E9">
        <w:t>Canberra.</w:t>
      </w:r>
      <w:proofErr w:type="gramEnd"/>
    </w:p>
    <w:p w:rsidR="00377A64" w:rsidRDefault="005736CE" w:rsidP="00377A64">
      <w:pPr>
        <w:pStyle w:val="References"/>
      </w:pPr>
      <w:proofErr w:type="gramStart"/>
      <w:r>
        <w:rPr>
          <w:rFonts w:cs="HelveticaNeue-LightCond"/>
          <w:szCs w:val="19"/>
          <w:lang w:val="en-GB"/>
        </w:rPr>
        <w:t>——</w:t>
      </w:r>
      <w:r w:rsidR="00377A64">
        <w:rPr>
          <w:rFonts w:cs="HelveticaNeue-LightCond"/>
          <w:szCs w:val="19"/>
          <w:lang w:val="en-GB"/>
        </w:rPr>
        <w:t>2014</w:t>
      </w:r>
      <w:r>
        <w:rPr>
          <w:rFonts w:cs="HelveticaNeue-LightCond"/>
          <w:szCs w:val="19"/>
          <w:lang w:val="en-GB"/>
        </w:rPr>
        <w:t>,</w:t>
      </w:r>
      <w:r w:rsidR="00377A64">
        <w:rPr>
          <w:rFonts w:cs="HelveticaNeue-LightCond"/>
          <w:szCs w:val="19"/>
          <w:lang w:val="en-GB"/>
        </w:rPr>
        <w:t xml:space="preserve"> </w:t>
      </w:r>
      <w:r w:rsidR="00377A64" w:rsidRPr="005736CE">
        <w:rPr>
          <w:rFonts w:cs="HelveticaNeue-LightCond"/>
          <w:i/>
          <w:szCs w:val="19"/>
          <w:lang w:val="en-GB"/>
        </w:rPr>
        <w:t xml:space="preserve">Australian </w:t>
      </w:r>
      <w:r w:rsidRPr="005736CE">
        <w:rPr>
          <w:rFonts w:cs="HelveticaNeue-LightCond"/>
          <w:i/>
          <w:szCs w:val="19"/>
          <w:lang w:val="en-GB"/>
        </w:rPr>
        <w:t xml:space="preserve">pharmaceuticals industry data card </w:t>
      </w:r>
      <w:r w:rsidR="00377A64" w:rsidRPr="005736CE">
        <w:rPr>
          <w:rFonts w:cs="HelveticaNeue-LightCond"/>
          <w:i/>
          <w:szCs w:val="19"/>
          <w:lang w:val="en-GB"/>
        </w:rPr>
        <w:t>2014</w:t>
      </w:r>
      <w:r w:rsidR="00A058CB">
        <w:rPr>
          <w:rFonts w:cs="HelveticaNeue-LightCond"/>
          <w:szCs w:val="19"/>
          <w:lang w:val="en-GB"/>
        </w:rPr>
        <w:t xml:space="preserve">, </w:t>
      </w:r>
      <w:r w:rsidR="00A058CB">
        <w:t xml:space="preserve">DIICCSRTE, </w:t>
      </w:r>
      <w:r w:rsidR="00A058CB" w:rsidRPr="001825E9">
        <w:t>Canberra</w:t>
      </w:r>
      <w:r w:rsidR="00A058CB">
        <w:rPr>
          <w:rFonts w:cs="HelveticaNeue-LightCond"/>
          <w:szCs w:val="19"/>
          <w:lang w:val="en-GB"/>
        </w:rPr>
        <w:t xml:space="preserve">, </w:t>
      </w:r>
      <w:r w:rsidR="00D70BF8">
        <w:rPr>
          <w:rFonts w:cs="HelveticaNeue-LightCond"/>
          <w:szCs w:val="19"/>
          <w:lang w:val="en-GB"/>
        </w:rPr>
        <w:t>viewed 8 September 2014,</w:t>
      </w:r>
      <w:r w:rsidR="00377A64">
        <w:rPr>
          <w:rFonts w:cs="HelveticaNeue-LightCond"/>
          <w:szCs w:val="19"/>
          <w:lang w:val="en-GB"/>
        </w:rPr>
        <w:t xml:space="preserve"> </w:t>
      </w:r>
      <w:r>
        <w:rPr>
          <w:rFonts w:cs="HelveticaNeue-LightCond"/>
          <w:szCs w:val="19"/>
          <w:lang w:val="en-GB"/>
        </w:rPr>
        <w:t>&lt;</w:t>
      </w:r>
      <w:hyperlink r:id="rId30" w:history="1">
        <w:r w:rsidR="001F6EA9" w:rsidRPr="00695312">
          <w:rPr>
            <w:rStyle w:val="Hyperlink"/>
            <w:rFonts w:cs="HelveticaNeue-LightCond"/>
            <w:sz w:val="18"/>
            <w:szCs w:val="19"/>
            <w:lang w:val="en-GB"/>
          </w:rPr>
          <w:t>http://www.industry.gov.au/industry/PharmaceuticalsandHealthTechnologies/Pharmaceuticals/ Documents/Australian_Pharmaceuticals_Industry_Data_Card.pdf</w:t>
        </w:r>
      </w:hyperlink>
      <w:r w:rsidR="00D70BF8">
        <w:t>&gt;.</w:t>
      </w:r>
      <w:proofErr w:type="gramEnd"/>
    </w:p>
    <w:p w:rsidR="000E57E8" w:rsidRPr="00377A64" w:rsidRDefault="000E57E8" w:rsidP="000E57E8">
      <w:pPr>
        <w:pStyle w:val="References"/>
      </w:pPr>
      <w:r>
        <w:rPr>
          <w:rFonts w:cs="HelveticaNeue-LightCond"/>
          <w:szCs w:val="19"/>
          <w:lang w:val="en-GB"/>
        </w:rPr>
        <w:t xml:space="preserve">Department of Innovation 2012, </w:t>
      </w:r>
      <w:r w:rsidRPr="00A058CB">
        <w:rPr>
          <w:rFonts w:cs="HelveticaNeue-LightCond"/>
          <w:i/>
          <w:szCs w:val="19"/>
          <w:lang w:val="en-GB"/>
        </w:rPr>
        <w:t>Food Processing Industry Strategy Group Final report of the non-government members</w:t>
      </w:r>
      <w:r>
        <w:rPr>
          <w:rFonts w:cs="HelveticaNeue-LightCond"/>
          <w:szCs w:val="19"/>
          <w:lang w:val="en-GB"/>
        </w:rPr>
        <w:t>, Canberra, viewed 8 September 2014, &lt;</w:t>
      </w:r>
      <w:r w:rsidRPr="006074C1">
        <w:rPr>
          <w:rFonts w:cs="HelveticaNeue-LightCond"/>
          <w:szCs w:val="19"/>
          <w:lang w:val="en-GB"/>
        </w:rPr>
        <w:t>http://www.industry.gov.au/industry/</w:t>
      </w:r>
      <w:r w:rsidR="001F6EA9">
        <w:rPr>
          <w:rFonts w:cs="HelveticaNeue-LightCond"/>
          <w:szCs w:val="19"/>
          <w:lang w:val="en-GB"/>
        </w:rPr>
        <w:t xml:space="preserve"> </w:t>
      </w:r>
      <w:proofErr w:type="spellStart"/>
      <w:r w:rsidRPr="006074C1">
        <w:rPr>
          <w:rFonts w:cs="HelveticaNeue-LightCond"/>
          <w:szCs w:val="19"/>
          <w:lang w:val="en-GB"/>
        </w:rPr>
        <w:t>FoodProcessingIndustry</w:t>
      </w:r>
      <w:proofErr w:type="spellEnd"/>
      <w:r w:rsidRPr="006074C1">
        <w:rPr>
          <w:rFonts w:cs="HelveticaNeue-LightCond"/>
          <w:szCs w:val="19"/>
          <w:lang w:val="en-GB"/>
        </w:rPr>
        <w:t>/Documents/FPISGFinalReport2012.PDF</w:t>
      </w:r>
      <w:r>
        <w:rPr>
          <w:rFonts w:cs="HelveticaNeue-LightCond"/>
          <w:szCs w:val="19"/>
          <w:lang w:val="en-GB"/>
        </w:rPr>
        <w:t>&gt;.</w:t>
      </w:r>
    </w:p>
    <w:p w:rsidR="00377A64" w:rsidRDefault="005E04E4" w:rsidP="00377A64">
      <w:pPr>
        <w:pStyle w:val="References"/>
        <w:rPr>
          <w:rFonts w:cs="HelveticaNeue-LightCond"/>
          <w:szCs w:val="19"/>
          <w:lang w:val="en-GB"/>
        </w:rPr>
      </w:pPr>
      <w:r w:rsidRPr="005E04E4">
        <w:rPr>
          <w:rFonts w:cs="HelveticaNeue-LightCond"/>
          <w:szCs w:val="19"/>
          <w:lang w:val="en-GB"/>
        </w:rPr>
        <w:t>Drake-Brockman, J</w:t>
      </w:r>
      <w:r w:rsidRPr="005E04E4">
        <w:rPr>
          <w:szCs w:val="19"/>
        </w:rPr>
        <w:t xml:space="preserve"> 2014</w:t>
      </w:r>
      <w:r w:rsidR="00D70BF8">
        <w:rPr>
          <w:szCs w:val="19"/>
        </w:rPr>
        <w:t>,</w:t>
      </w:r>
      <w:r w:rsidRPr="005E04E4">
        <w:rPr>
          <w:szCs w:val="19"/>
        </w:rPr>
        <w:t xml:space="preserve"> ‘</w:t>
      </w:r>
      <w:r w:rsidRPr="005E04E4">
        <w:rPr>
          <w:rFonts w:cs="HelveticaNeue-LightCond"/>
          <w:szCs w:val="19"/>
          <w:lang w:val="en-GB"/>
        </w:rPr>
        <w:t>Advanced manufacturing global value chains and policy implications’</w:t>
      </w:r>
      <w:r w:rsidR="00D70BF8">
        <w:rPr>
          <w:rFonts w:cs="HelveticaNeue-LightCond"/>
          <w:szCs w:val="19"/>
          <w:lang w:val="en-GB"/>
        </w:rPr>
        <w:t>, in CEDA</w:t>
      </w:r>
      <w:r w:rsidR="00472A51">
        <w:rPr>
          <w:rFonts w:cs="HelveticaNeue-LightCond"/>
          <w:szCs w:val="19"/>
          <w:lang w:val="en-GB"/>
        </w:rPr>
        <w:t xml:space="preserve">, </w:t>
      </w:r>
      <w:r w:rsidRPr="005E04E4">
        <w:rPr>
          <w:rFonts w:cs="HelveticaNeue-LightCond"/>
          <w:i/>
          <w:szCs w:val="19"/>
          <w:lang w:val="en-GB"/>
        </w:rPr>
        <w:t xml:space="preserve">Advanced </w:t>
      </w:r>
      <w:r w:rsidR="00D70BF8" w:rsidRPr="005E04E4">
        <w:rPr>
          <w:rFonts w:cs="HelveticaNeue-LightCond"/>
          <w:i/>
          <w:szCs w:val="19"/>
          <w:lang w:val="en-GB"/>
        </w:rPr>
        <w:t xml:space="preserve">manufacturing: beyond </w:t>
      </w:r>
      <w:r w:rsidRPr="005E04E4">
        <w:rPr>
          <w:rFonts w:cs="HelveticaNeue-LightCond"/>
          <w:i/>
          <w:szCs w:val="19"/>
          <w:lang w:val="en-GB"/>
        </w:rPr>
        <w:t>the production lin</w:t>
      </w:r>
      <w:r w:rsidRPr="005E04E4">
        <w:rPr>
          <w:rFonts w:cs="HelveticaNeue-LightCond"/>
          <w:szCs w:val="19"/>
          <w:lang w:val="en-GB"/>
        </w:rPr>
        <w:t>e, Melbourne</w:t>
      </w:r>
      <w:r w:rsidR="00D70BF8">
        <w:rPr>
          <w:rFonts w:cs="HelveticaNeue-LightCond"/>
          <w:szCs w:val="19"/>
          <w:lang w:val="en-GB"/>
        </w:rPr>
        <w:t>.</w:t>
      </w:r>
    </w:p>
    <w:p w:rsidR="00377A64" w:rsidRPr="00377A64" w:rsidRDefault="00377A64" w:rsidP="001F6EA9">
      <w:pPr>
        <w:pStyle w:val="References"/>
        <w:ind w:right="-284"/>
        <w:rPr>
          <w:rFonts w:cs="HelveticaNeue-LightCond"/>
          <w:szCs w:val="19"/>
          <w:lang w:val="en-GB"/>
        </w:rPr>
      </w:pPr>
      <w:r w:rsidRPr="001825E9">
        <w:t xml:space="preserve">Ernst and Young 2012, </w:t>
      </w:r>
      <w:proofErr w:type="gramStart"/>
      <w:r w:rsidRPr="00D70BF8">
        <w:rPr>
          <w:i/>
        </w:rPr>
        <w:t>Beyond</w:t>
      </w:r>
      <w:proofErr w:type="gramEnd"/>
      <w:r w:rsidRPr="00D70BF8">
        <w:rPr>
          <w:i/>
        </w:rPr>
        <w:t xml:space="preserve"> borders</w:t>
      </w:r>
      <w:r w:rsidR="00D70BF8" w:rsidRPr="00D70BF8">
        <w:rPr>
          <w:i/>
        </w:rPr>
        <w:t>: g</w:t>
      </w:r>
      <w:r w:rsidRPr="00D70BF8">
        <w:rPr>
          <w:i/>
        </w:rPr>
        <w:t>lobal biotechnology report</w:t>
      </w:r>
      <w:r w:rsidRPr="001825E9">
        <w:t xml:space="preserve">, </w:t>
      </w:r>
      <w:r w:rsidR="00D70BF8">
        <w:t>viewed 8 September 2014, &lt;</w:t>
      </w:r>
      <w:r w:rsidRPr="001825E9">
        <w:t>http://www.ey.com/GL/en/Industries/Life-Sciences/Beyond-borders---global-biotechnology-report-2012</w:t>
      </w:r>
      <w:r w:rsidR="00D70BF8">
        <w:t>&gt;</w:t>
      </w:r>
      <w:r w:rsidRPr="001825E9">
        <w:t>.</w:t>
      </w:r>
    </w:p>
    <w:p w:rsidR="00D70BF8" w:rsidRDefault="00377A64" w:rsidP="00377A64">
      <w:pPr>
        <w:pStyle w:val="References"/>
      </w:pPr>
      <w:proofErr w:type="spellStart"/>
      <w:r w:rsidRPr="001825E9">
        <w:t>Gelade</w:t>
      </w:r>
      <w:proofErr w:type="spellEnd"/>
      <w:r w:rsidRPr="001825E9">
        <w:t xml:space="preserve">, S </w:t>
      </w:r>
      <w:r w:rsidR="00D70BF8">
        <w:t xml:space="preserve">&amp; Fox, T 2008, </w:t>
      </w:r>
      <w:r w:rsidR="00D70BF8" w:rsidRPr="00D70BF8">
        <w:rPr>
          <w:i/>
        </w:rPr>
        <w:t>Reality check: m</w:t>
      </w:r>
      <w:r w:rsidRPr="00D70BF8">
        <w:rPr>
          <w:i/>
        </w:rPr>
        <w:t>atching training to the needs of regional Australia,</w:t>
      </w:r>
      <w:r w:rsidR="00D70BF8">
        <w:t xml:space="preserve"> NCVER, Adelaide.</w:t>
      </w:r>
    </w:p>
    <w:p w:rsidR="00CE2B38" w:rsidRDefault="00CE2B38" w:rsidP="00947AE9">
      <w:pPr>
        <w:pStyle w:val="References"/>
        <w:rPr>
          <w:lang w:val="en-GB"/>
        </w:rPr>
      </w:pPr>
      <w:proofErr w:type="gramStart"/>
      <w:r w:rsidRPr="00CE2B38">
        <w:rPr>
          <w:lang w:val="en-GB"/>
        </w:rPr>
        <w:t>Global Alliance of SMEs 2014,</w:t>
      </w:r>
      <w:r>
        <w:rPr>
          <w:lang w:val="en-GB"/>
        </w:rPr>
        <w:t xml:space="preserve"> viewed </w:t>
      </w:r>
      <w:r w:rsidR="00DB3750">
        <w:rPr>
          <w:lang w:val="en-GB"/>
        </w:rPr>
        <w:t xml:space="preserve">11 September 2014, </w:t>
      </w:r>
      <w:r>
        <w:rPr>
          <w:lang w:val="en-GB"/>
        </w:rPr>
        <w:t>&lt;</w:t>
      </w:r>
      <w:hyperlink r:id="rId31" w:history="1">
        <w:r w:rsidRPr="001713BA">
          <w:rPr>
            <w:rStyle w:val="Hyperlink"/>
            <w:sz w:val="18"/>
            <w:lang w:val="en-GB"/>
          </w:rPr>
          <w:t>http://www.globalsmes.org/news/index.php?func=detail&amp;detailid=550&amp;catalog=27&amp;lan=en</w:t>
        </w:r>
      </w:hyperlink>
      <w:r>
        <w:rPr>
          <w:lang w:val="en-GB"/>
        </w:rPr>
        <w:t>&gt;.</w:t>
      </w:r>
      <w:proofErr w:type="gramEnd"/>
    </w:p>
    <w:p w:rsidR="00291823" w:rsidRPr="00061221" w:rsidRDefault="00061221" w:rsidP="00947AE9">
      <w:pPr>
        <w:pStyle w:val="References"/>
        <w:rPr>
          <w:lang w:val="en-GB"/>
        </w:rPr>
      </w:pPr>
      <w:r>
        <w:rPr>
          <w:lang w:val="en-GB"/>
        </w:rPr>
        <w:t>Grant Thornton</w:t>
      </w:r>
      <w:r w:rsidR="00291823">
        <w:rPr>
          <w:lang w:val="en-GB"/>
        </w:rPr>
        <w:t xml:space="preserve"> 2013</w:t>
      </w:r>
      <w:r>
        <w:rPr>
          <w:lang w:val="en-GB"/>
        </w:rPr>
        <w:t>,</w:t>
      </w:r>
      <w:r w:rsidR="00291823">
        <w:rPr>
          <w:lang w:val="en-GB"/>
        </w:rPr>
        <w:t xml:space="preserve"> </w:t>
      </w:r>
      <w:r w:rsidR="00291823" w:rsidRPr="00291823">
        <w:rPr>
          <w:i/>
          <w:lang w:val="en-GB"/>
        </w:rPr>
        <w:t xml:space="preserve">Industry </w:t>
      </w:r>
      <w:r w:rsidRPr="00291823">
        <w:rPr>
          <w:i/>
          <w:lang w:val="en-GB"/>
        </w:rPr>
        <w:t>position survey</w:t>
      </w:r>
      <w:r>
        <w:rPr>
          <w:i/>
          <w:lang w:val="en-GB"/>
        </w:rPr>
        <w:t>:</w:t>
      </w:r>
      <w:r w:rsidRPr="00291823">
        <w:rPr>
          <w:i/>
          <w:lang w:val="en-GB"/>
        </w:rPr>
        <w:t xml:space="preserve"> biotechnology</w:t>
      </w:r>
      <w:r>
        <w:rPr>
          <w:i/>
          <w:lang w:val="en-GB"/>
        </w:rPr>
        <w:t xml:space="preserve">, </w:t>
      </w:r>
      <w:r>
        <w:rPr>
          <w:lang w:val="en-GB"/>
        </w:rPr>
        <w:t>viewed 8 September 2014, &lt;</w:t>
      </w:r>
      <w:r w:rsidRPr="00061221">
        <w:rPr>
          <w:lang w:val="en-GB"/>
        </w:rPr>
        <w:t>http://www.grantthornton.com.au/files/gtal_2013_biotech_industry%20position_survey.pdf</w:t>
      </w:r>
      <w:r>
        <w:rPr>
          <w:lang w:val="en-GB"/>
        </w:rPr>
        <w:t>&gt;.</w:t>
      </w:r>
    </w:p>
    <w:p w:rsidR="00377A64" w:rsidRDefault="00061221" w:rsidP="00377A64">
      <w:pPr>
        <w:pStyle w:val="References"/>
        <w:rPr>
          <w:lang w:val="en-GB"/>
        </w:rPr>
      </w:pPr>
      <w:r w:rsidRPr="00F736A7">
        <w:rPr>
          <w:lang w:val="en-GB"/>
        </w:rPr>
        <w:t>Group Training Austr</w:t>
      </w:r>
      <w:r>
        <w:rPr>
          <w:lang w:val="en-GB"/>
        </w:rPr>
        <w:t xml:space="preserve">alia </w:t>
      </w:r>
      <w:r w:rsidR="00377A64">
        <w:rPr>
          <w:lang w:val="en-GB"/>
        </w:rPr>
        <w:t>2014</w:t>
      </w:r>
      <w:r w:rsidR="00377A64" w:rsidRPr="00F736A7">
        <w:rPr>
          <w:lang w:val="en-GB"/>
        </w:rPr>
        <w:t xml:space="preserve">, </w:t>
      </w:r>
      <w:r w:rsidR="00377A64" w:rsidRPr="00F736A7">
        <w:rPr>
          <w:i/>
          <w:iCs/>
          <w:lang w:val="en-GB"/>
        </w:rPr>
        <w:t>Work exposure and work placement programs in schools involving group training organisations</w:t>
      </w:r>
      <w:r>
        <w:rPr>
          <w:lang w:val="en-GB"/>
        </w:rPr>
        <w:t>, GTA, Sydney</w:t>
      </w:r>
      <w:r w:rsidR="00377A64" w:rsidRPr="00F736A7">
        <w:rPr>
          <w:lang w:val="en-GB"/>
        </w:rPr>
        <w:t>, viewed 20 May 2014, &lt;http://www.grouptraining.com.au/</w:t>
      </w:r>
      <w:r w:rsidR="001F6EA9">
        <w:rPr>
          <w:lang w:val="en-GB"/>
        </w:rPr>
        <w:t xml:space="preserve"> </w:t>
      </w:r>
      <w:r w:rsidR="00377A64" w:rsidRPr="00F736A7">
        <w:rPr>
          <w:lang w:val="en-GB"/>
        </w:rPr>
        <w:t>Publications/workexposureandplacementreport.html&gt;.</w:t>
      </w:r>
    </w:p>
    <w:p w:rsidR="00377A64" w:rsidRDefault="005E04E4" w:rsidP="00377A64">
      <w:pPr>
        <w:pStyle w:val="References"/>
        <w:rPr>
          <w:lang w:val="en-GB"/>
        </w:rPr>
      </w:pPr>
      <w:r>
        <w:rPr>
          <w:lang w:val="en-GB"/>
        </w:rPr>
        <w:t>Hansen</w:t>
      </w:r>
      <w:r w:rsidR="00061221">
        <w:rPr>
          <w:lang w:val="en-GB"/>
        </w:rPr>
        <w:t>, M</w:t>
      </w:r>
      <w:r>
        <w:rPr>
          <w:lang w:val="en-GB"/>
        </w:rPr>
        <w:t xml:space="preserve">T </w:t>
      </w:r>
      <w:r w:rsidR="00061221">
        <w:rPr>
          <w:lang w:val="en-GB"/>
        </w:rPr>
        <w:t>&amp;</w:t>
      </w:r>
      <w:r>
        <w:rPr>
          <w:lang w:val="en-GB"/>
        </w:rPr>
        <w:t xml:space="preserve"> </w:t>
      </w:r>
      <w:proofErr w:type="spellStart"/>
      <w:r>
        <w:rPr>
          <w:lang w:val="en-GB"/>
        </w:rPr>
        <w:t>Birkinshaw</w:t>
      </w:r>
      <w:proofErr w:type="spellEnd"/>
      <w:r>
        <w:rPr>
          <w:lang w:val="en-GB"/>
        </w:rPr>
        <w:t xml:space="preserve">, </w:t>
      </w:r>
      <w:r w:rsidR="00061221">
        <w:rPr>
          <w:lang w:val="en-GB"/>
        </w:rPr>
        <w:t xml:space="preserve">J </w:t>
      </w:r>
      <w:r>
        <w:rPr>
          <w:lang w:val="en-GB"/>
        </w:rPr>
        <w:t>2007</w:t>
      </w:r>
      <w:r w:rsidR="000E57E8">
        <w:rPr>
          <w:lang w:val="en-GB"/>
        </w:rPr>
        <w:t>,</w:t>
      </w:r>
      <w:r>
        <w:rPr>
          <w:lang w:val="en-GB"/>
        </w:rPr>
        <w:t xml:space="preserve"> ‘</w:t>
      </w:r>
      <w:r w:rsidRPr="005E04E4">
        <w:rPr>
          <w:lang w:val="en-GB"/>
        </w:rPr>
        <w:t xml:space="preserve">The </w:t>
      </w:r>
      <w:r w:rsidR="00061221" w:rsidRPr="005E04E4">
        <w:rPr>
          <w:lang w:val="en-GB"/>
        </w:rPr>
        <w:t>innovation value chain</w:t>
      </w:r>
      <w:r w:rsidR="00061221">
        <w:rPr>
          <w:lang w:val="en-GB"/>
        </w:rPr>
        <w:t>’,</w:t>
      </w:r>
      <w:r>
        <w:rPr>
          <w:lang w:val="en-GB"/>
        </w:rPr>
        <w:t xml:space="preserve"> </w:t>
      </w:r>
      <w:r w:rsidRPr="005E04E4">
        <w:rPr>
          <w:i/>
          <w:lang w:val="en-GB"/>
        </w:rPr>
        <w:t>Harvard Business Review, The Magazine</w:t>
      </w:r>
      <w:r w:rsidRPr="005E04E4">
        <w:rPr>
          <w:lang w:val="en-GB"/>
        </w:rPr>
        <w:t>, June 2007</w:t>
      </w:r>
      <w:r>
        <w:rPr>
          <w:lang w:val="en-GB"/>
        </w:rPr>
        <w:t>, viewed 20 May 2014</w:t>
      </w:r>
      <w:r w:rsidR="00061221">
        <w:rPr>
          <w:lang w:val="en-GB"/>
        </w:rPr>
        <w:t>,</w:t>
      </w:r>
      <w:r>
        <w:rPr>
          <w:lang w:val="en-GB"/>
        </w:rPr>
        <w:t xml:space="preserve"> &lt;</w:t>
      </w:r>
      <w:hyperlink r:id="rId32" w:history="1">
        <w:r w:rsidR="00377A64" w:rsidRPr="00654201">
          <w:rPr>
            <w:rStyle w:val="Hyperlink"/>
            <w:sz w:val="18"/>
            <w:lang w:val="en-GB"/>
          </w:rPr>
          <w:t>http://hbr.org/2007/06/the-innovation-value-chain/ar/</w:t>
        </w:r>
      </w:hyperlink>
      <w:r>
        <w:rPr>
          <w:lang w:val="en-GB"/>
        </w:rPr>
        <w:t>&gt;</w:t>
      </w:r>
      <w:r w:rsidR="00061221">
        <w:rPr>
          <w:lang w:val="en-GB"/>
        </w:rPr>
        <w:t>.</w:t>
      </w:r>
    </w:p>
    <w:p w:rsidR="00377A64" w:rsidRPr="00377A64" w:rsidRDefault="00377A64" w:rsidP="00377A64">
      <w:pPr>
        <w:pStyle w:val="References"/>
        <w:rPr>
          <w:lang w:val="en-GB"/>
        </w:rPr>
      </w:pPr>
      <w:r w:rsidRPr="00724D8E">
        <w:t xml:space="preserve">IBIS World </w:t>
      </w:r>
      <w:r>
        <w:t>2014</w:t>
      </w:r>
      <w:r w:rsidRPr="00724D8E">
        <w:t xml:space="preserve">, </w:t>
      </w:r>
      <w:r w:rsidR="00BB5639">
        <w:t>‘</w:t>
      </w:r>
      <w:r w:rsidRPr="00724D8E">
        <w:t xml:space="preserve">Pharmaceuticals </w:t>
      </w:r>
      <w:r w:rsidR="00061221" w:rsidRPr="00724D8E">
        <w:t>prod</w:t>
      </w:r>
      <w:r w:rsidR="00061221">
        <w:t xml:space="preserve">uct manufacturing in </w:t>
      </w:r>
      <w:r>
        <w:t>Australia</w:t>
      </w:r>
      <w:r w:rsidR="00BB5639">
        <w:t>’</w:t>
      </w:r>
      <w:r>
        <w:t>, March 2014</w:t>
      </w:r>
      <w:r w:rsidR="00061221">
        <w:t>, IBIS World, Melbourne, viewed 8 September 2014, &lt;</w:t>
      </w:r>
      <w:r w:rsidRPr="00D21AE3">
        <w:t>http://www.ibisworld.com.au/industry/default.aspx?indid=188</w:t>
      </w:r>
      <w:r w:rsidR="00061221">
        <w:t>&gt;.</w:t>
      </w:r>
    </w:p>
    <w:p w:rsidR="00680ED5" w:rsidRPr="00680ED5" w:rsidRDefault="00696E2F" w:rsidP="00947AE9">
      <w:pPr>
        <w:pStyle w:val="References"/>
        <w:rPr>
          <w:szCs w:val="18"/>
        </w:rPr>
      </w:pPr>
      <w:proofErr w:type="spellStart"/>
      <w:r w:rsidRPr="000E57E8">
        <w:rPr>
          <w:szCs w:val="18"/>
        </w:rPr>
        <w:t>Karmel</w:t>
      </w:r>
      <w:proofErr w:type="spellEnd"/>
      <w:r w:rsidRPr="000E57E8">
        <w:rPr>
          <w:szCs w:val="18"/>
        </w:rPr>
        <w:t>, T</w:t>
      </w:r>
      <w:r w:rsidR="00680ED5">
        <w:rPr>
          <w:szCs w:val="18"/>
        </w:rPr>
        <w:t xml:space="preserve"> 2009, </w:t>
      </w:r>
      <w:proofErr w:type="gramStart"/>
      <w:r w:rsidR="00680ED5">
        <w:rPr>
          <w:i/>
          <w:szCs w:val="18"/>
        </w:rPr>
        <w:t>The</w:t>
      </w:r>
      <w:proofErr w:type="gramEnd"/>
      <w:r w:rsidR="00680ED5">
        <w:rPr>
          <w:i/>
          <w:szCs w:val="18"/>
        </w:rPr>
        <w:t xml:space="preserve"> contribution of vocational education and training to Australia’s skills base, </w:t>
      </w:r>
      <w:r w:rsidR="00680ED5" w:rsidRPr="00680ED5">
        <w:rPr>
          <w:szCs w:val="18"/>
        </w:rPr>
        <w:t>NCVER, Adelaide.</w:t>
      </w:r>
    </w:p>
    <w:p w:rsidR="00696E2F" w:rsidRDefault="00680ED5" w:rsidP="00947AE9">
      <w:pPr>
        <w:pStyle w:val="References"/>
        <w:rPr>
          <w:sz w:val="19"/>
          <w:szCs w:val="19"/>
        </w:rPr>
      </w:pPr>
      <w:r>
        <w:rPr>
          <w:szCs w:val="18"/>
        </w:rPr>
        <w:t>——</w:t>
      </w:r>
      <w:r w:rsidR="00696E2F" w:rsidRPr="000E57E8">
        <w:rPr>
          <w:szCs w:val="18"/>
        </w:rPr>
        <w:t>2013, ‘Surely there are too many graduates now</w:t>
      </w:r>
      <w:proofErr w:type="gramStart"/>
      <w:r w:rsidR="00696E2F" w:rsidRPr="000E57E8">
        <w:rPr>
          <w:szCs w:val="18"/>
        </w:rPr>
        <w:t>?,</w:t>
      </w:r>
      <w:proofErr w:type="gramEnd"/>
      <w:r w:rsidR="00696E2F" w:rsidRPr="000E57E8">
        <w:rPr>
          <w:szCs w:val="18"/>
        </w:rPr>
        <w:t xml:space="preserve"> </w:t>
      </w:r>
      <w:r w:rsidR="00696E2F" w:rsidRPr="000E57E8">
        <w:rPr>
          <w:i/>
          <w:szCs w:val="18"/>
        </w:rPr>
        <w:t>Australian Bulletin of Labour Studies</w:t>
      </w:r>
      <w:r w:rsidR="00696E2F" w:rsidRPr="000E57E8">
        <w:rPr>
          <w:szCs w:val="18"/>
        </w:rPr>
        <w:t>, vol.39, no.2, National Institute of Labour Studies, Adelaide</w:t>
      </w:r>
      <w:r w:rsidR="00696E2F" w:rsidRPr="00696E2F">
        <w:rPr>
          <w:sz w:val="19"/>
          <w:szCs w:val="19"/>
        </w:rPr>
        <w:t>.</w:t>
      </w:r>
    </w:p>
    <w:p w:rsidR="00696E2F" w:rsidRPr="00696E2F" w:rsidRDefault="00696E2F" w:rsidP="00947AE9">
      <w:pPr>
        <w:pStyle w:val="References"/>
        <w:rPr>
          <w:lang w:val="en-GB"/>
        </w:rPr>
      </w:pPr>
      <w:proofErr w:type="spellStart"/>
      <w:r w:rsidRPr="00696E2F">
        <w:rPr>
          <w:lang w:val="en-GB"/>
        </w:rPr>
        <w:t>Karmel</w:t>
      </w:r>
      <w:proofErr w:type="spellEnd"/>
      <w:r w:rsidRPr="00696E2F">
        <w:rPr>
          <w:lang w:val="en-GB"/>
        </w:rPr>
        <w:t xml:space="preserve">, T, Roberts, D &amp; Lim, P 2014, </w:t>
      </w:r>
      <w:r w:rsidRPr="00696E2F">
        <w:rPr>
          <w:i/>
          <w:lang w:val="en-GB"/>
        </w:rPr>
        <w:t>The impact of increasing university participation on the pool of apprentices</w:t>
      </w:r>
      <w:r w:rsidRPr="00696E2F">
        <w:rPr>
          <w:lang w:val="en-GB"/>
        </w:rPr>
        <w:t>, LSAY research report no. 67, NCVER, Adelaide, viewed 28 May 2014, &lt;http://www.lsay.edu.au/publications/2720.html&gt;.</w:t>
      </w:r>
    </w:p>
    <w:p w:rsidR="00F736A7" w:rsidRDefault="00F736A7" w:rsidP="00947AE9">
      <w:pPr>
        <w:pStyle w:val="References"/>
        <w:rPr>
          <w:lang w:val="en-GB"/>
        </w:rPr>
      </w:pPr>
      <w:proofErr w:type="spellStart"/>
      <w:r w:rsidRPr="00F736A7">
        <w:rPr>
          <w:lang w:val="en-GB"/>
        </w:rPr>
        <w:t>Marginson</w:t>
      </w:r>
      <w:proofErr w:type="spellEnd"/>
      <w:r w:rsidRPr="00F736A7">
        <w:rPr>
          <w:lang w:val="en-GB"/>
        </w:rPr>
        <w:t xml:space="preserve">, S, </w:t>
      </w:r>
      <w:proofErr w:type="spellStart"/>
      <w:r w:rsidRPr="00F736A7">
        <w:rPr>
          <w:lang w:val="en-GB"/>
        </w:rPr>
        <w:t>Tytler</w:t>
      </w:r>
      <w:proofErr w:type="spellEnd"/>
      <w:r w:rsidRPr="00F736A7">
        <w:rPr>
          <w:lang w:val="en-GB"/>
        </w:rPr>
        <w:t xml:space="preserve">, R, Freeman, B &amp; Roberts, K 2013, </w:t>
      </w:r>
      <w:r w:rsidRPr="00F736A7">
        <w:rPr>
          <w:i/>
          <w:iCs/>
          <w:lang w:val="en-GB"/>
        </w:rPr>
        <w:t>STEM: country comparisons: final report</w:t>
      </w:r>
      <w:r w:rsidRPr="00F736A7">
        <w:rPr>
          <w:lang w:val="en-GB"/>
        </w:rPr>
        <w:t>, Australian Council of Learned Academies, Melbourne, viewed 20 May 2014, &lt;http://www.acola.org.au/PDF/SAF02Consultants/SAF02_STEM_%20FINAL.pdf&gt;.</w:t>
      </w:r>
    </w:p>
    <w:p w:rsidR="000E57E8" w:rsidRDefault="000E57E8" w:rsidP="000E57E8">
      <w:pPr>
        <w:pStyle w:val="References"/>
      </w:pPr>
      <w:proofErr w:type="spellStart"/>
      <w:r w:rsidRPr="00F55EBC">
        <w:lastRenderedPageBreak/>
        <w:t>Mavromaras</w:t>
      </w:r>
      <w:proofErr w:type="spellEnd"/>
      <w:r w:rsidRPr="00F55EBC">
        <w:t xml:space="preserve">, K, </w:t>
      </w:r>
      <w:proofErr w:type="spellStart"/>
      <w:r w:rsidRPr="00F55EBC">
        <w:t>Mahuteau</w:t>
      </w:r>
      <w:proofErr w:type="spellEnd"/>
      <w:r w:rsidRPr="00F55EBC">
        <w:t xml:space="preserve">, S &amp; Wei, Z 2013, </w:t>
      </w:r>
      <w:r w:rsidRPr="004A42F3">
        <w:rPr>
          <w:i/>
        </w:rPr>
        <w:t>Labour mobility and vocational education and training in Australia</w:t>
      </w:r>
      <w:r w:rsidRPr="00F55EBC">
        <w:t>, NCVER, Adelaide, viewed 20 May 2014, &lt;http://www.ncver.edu.au/publications/2625.html&gt;.</w:t>
      </w:r>
    </w:p>
    <w:p w:rsidR="00D55BC7" w:rsidRPr="00735718" w:rsidRDefault="00735718" w:rsidP="00D55BC7">
      <w:pPr>
        <w:pStyle w:val="References"/>
        <w:rPr>
          <w:lang w:val="en-GB"/>
        </w:rPr>
      </w:pPr>
      <w:proofErr w:type="spellStart"/>
      <w:r>
        <w:t>Mavromaras</w:t>
      </w:r>
      <w:proofErr w:type="spellEnd"/>
      <w:r>
        <w:t>, K, Healy, J, Richardson, S, Sloane, P, Wei</w:t>
      </w:r>
      <w:r w:rsidR="00061221">
        <w:t>,</w:t>
      </w:r>
      <w:r>
        <w:t xml:space="preserve"> Z </w:t>
      </w:r>
      <w:r w:rsidR="000E57E8">
        <w:t xml:space="preserve">&amp; </w:t>
      </w:r>
      <w:r>
        <w:t>Zhu</w:t>
      </w:r>
      <w:r w:rsidR="00061221">
        <w:t>,</w:t>
      </w:r>
      <w:r w:rsidR="000E57E8">
        <w:t xml:space="preserve"> R</w:t>
      </w:r>
      <w:r>
        <w:t xml:space="preserve"> 2013</w:t>
      </w:r>
      <w:r w:rsidR="000E57E8">
        <w:t>,</w:t>
      </w:r>
      <w:r>
        <w:t xml:space="preserve"> </w:t>
      </w:r>
      <w:r w:rsidR="00D55BC7" w:rsidRPr="00735718">
        <w:rPr>
          <w:i/>
          <w:iCs/>
          <w:lang w:val="en-GB"/>
        </w:rPr>
        <w:t xml:space="preserve">A </w:t>
      </w:r>
      <w:r w:rsidR="00061221" w:rsidRPr="00735718">
        <w:rPr>
          <w:i/>
          <w:iCs/>
          <w:lang w:val="en-GB"/>
        </w:rPr>
        <w:t>system for monitoring shortages and surpluses in the market for skills</w:t>
      </w:r>
      <w:r>
        <w:rPr>
          <w:iCs/>
          <w:lang w:val="en-GB"/>
        </w:rPr>
        <w:t>, National Institute of</w:t>
      </w:r>
      <w:r w:rsidR="00472A51">
        <w:rPr>
          <w:iCs/>
          <w:lang w:val="en-GB"/>
        </w:rPr>
        <w:t xml:space="preserve"> </w:t>
      </w:r>
      <w:r>
        <w:rPr>
          <w:iCs/>
          <w:lang w:val="en-GB"/>
        </w:rPr>
        <w:t>Labour Studies, Adelaide, viewed 18 July 2014</w:t>
      </w:r>
      <w:r w:rsidR="00061221">
        <w:rPr>
          <w:iCs/>
          <w:lang w:val="en-GB"/>
        </w:rPr>
        <w:t>,</w:t>
      </w:r>
      <w:r w:rsidR="001F6EA9">
        <w:rPr>
          <w:iCs/>
          <w:lang w:val="en-GB"/>
        </w:rPr>
        <w:t xml:space="preserve"> </w:t>
      </w:r>
      <w:r w:rsidRPr="00735718">
        <w:rPr>
          <w:rStyle w:val="Hyperlink"/>
          <w:sz w:val="18"/>
        </w:rPr>
        <w:t>&lt;</w:t>
      </w:r>
      <w:hyperlink r:id="rId33" w:history="1">
        <w:r w:rsidRPr="00404AF2">
          <w:rPr>
            <w:rStyle w:val="Hyperlink"/>
            <w:sz w:val="18"/>
          </w:rPr>
          <w:t>http://www.awpa.gov.au/publications/Documents/NILS-Monitoring%20Skills%20Imbalance.pdf</w:t>
        </w:r>
      </w:hyperlink>
      <w:r w:rsidRPr="00735718">
        <w:rPr>
          <w:lang w:val="en-GB"/>
        </w:rPr>
        <w:t xml:space="preserve"> </w:t>
      </w:r>
      <w:r>
        <w:rPr>
          <w:lang w:val="en-GB"/>
        </w:rPr>
        <w:t>&gt;</w:t>
      </w:r>
    </w:p>
    <w:p w:rsidR="008962C9" w:rsidRDefault="008962C9" w:rsidP="00947AE9">
      <w:pPr>
        <w:pStyle w:val="References"/>
      </w:pPr>
      <w:proofErr w:type="spellStart"/>
      <w:r>
        <w:t>McCrindle</w:t>
      </w:r>
      <w:proofErr w:type="spellEnd"/>
      <w:r>
        <w:t xml:space="preserve">, M 2014, </w:t>
      </w:r>
      <w:r w:rsidRPr="00B95478">
        <w:rPr>
          <w:i/>
        </w:rPr>
        <w:t xml:space="preserve">Gen Z </w:t>
      </w:r>
      <w:proofErr w:type="gramStart"/>
      <w:r w:rsidRPr="00B95478">
        <w:rPr>
          <w:i/>
        </w:rPr>
        <w:t>commence</w:t>
      </w:r>
      <w:proofErr w:type="gramEnd"/>
      <w:r w:rsidRPr="00B95478">
        <w:rPr>
          <w:i/>
        </w:rPr>
        <w:t xml:space="preserve"> university: choosing the right course</w:t>
      </w:r>
      <w:r>
        <w:t>, viewed 10 March 2014, &lt;</w:t>
      </w:r>
      <w:hyperlink r:id="rId34" w:history="1">
        <w:r w:rsidRPr="00B12DA4">
          <w:t>http://mccrindle.com.au/the-mccrindle-blog/generation-z-the-most-overrated-and-underrated-degrees</w:t>
        </w:r>
      </w:hyperlink>
      <w:r>
        <w:t xml:space="preserve"> viewed 10 March&gt;.</w:t>
      </w:r>
    </w:p>
    <w:p w:rsidR="00377A64" w:rsidRPr="00724D8E" w:rsidRDefault="00377A64" w:rsidP="00377A64">
      <w:pPr>
        <w:pStyle w:val="References"/>
      </w:pPr>
      <w:r>
        <w:t xml:space="preserve">Mining-technology.com 2007, </w:t>
      </w:r>
      <w:r w:rsidRPr="004A42F3">
        <w:rPr>
          <w:i/>
        </w:rPr>
        <w:t xml:space="preserve">Training </w:t>
      </w:r>
      <w:r w:rsidR="004A42F3" w:rsidRPr="004A42F3">
        <w:rPr>
          <w:i/>
        </w:rPr>
        <w:t>a future workforce, mining technology</w:t>
      </w:r>
      <w:r>
        <w:t xml:space="preserve">, Melbourne, </w:t>
      </w:r>
      <w:r w:rsidR="004A42F3">
        <w:t>viewed 8</w:t>
      </w:r>
      <w:r w:rsidR="001F6EA9">
        <w:t> </w:t>
      </w:r>
      <w:r w:rsidR="004A42F3">
        <w:t>September 2014, &lt;</w:t>
      </w:r>
      <w:r w:rsidRPr="0060408D">
        <w:t>http://www.mining-technology.com/features/feature1273/</w:t>
      </w:r>
      <w:r w:rsidR="004A42F3">
        <w:t>&gt;</w:t>
      </w:r>
      <w:r>
        <w:t>.</w:t>
      </w:r>
    </w:p>
    <w:p w:rsidR="00F736A7" w:rsidRPr="00F736A7" w:rsidRDefault="00F736A7" w:rsidP="00947AE9">
      <w:pPr>
        <w:pStyle w:val="References"/>
        <w:rPr>
          <w:lang w:val="en-GB"/>
        </w:rPr>
      </w:pPr>
      <w:proofErr w:type="spellStart"/>
      <w:r w:rsidRPr="00F736A7">
        <w:rPr>
          <w:lang w:val="en-GB"/>
        </w:rPr>
        <w:t>Moodie</w:t>
      </w:r>
      <w:proofErr w:type="spellEnd"/>
      <w:r w:rsidRPr="00F736A7">
        <w:rPr>
          <w:lang w:val="en-GB"/>
        </w:rPr>
        <w:t xml:space="preserve">, G, </w:t>
      </w:r>
      <w:proofErr w:type="spellStart"/>
      <w:r w:rsidRPr="00F736A7">
        <w:rPr>
          <w:lang w:val="en-GB"/>
        </w:rPr>
        <w:t>Fredman</w:t>
      </w:r>
      <w:proofErr w:type="spellEnd"/>
      <w:r w:rsidRPr="00F736A7">
        <w:rPr>
          <w:lang w:val="en-GB"/>
        </w:rPr>
        <w:t xml:space="preserve">, N, Bexley, E &amp; </w:t>
      </w:r>
      <w:proofErr w:type="spellStart"/>
      <w:r w:rsidRPr="00F736A7">
        <w:rPr>
          <w:lang w:val="en-GB"/>
        </w:rPr>
        <w:t>Wheelahan</w:t>
      </w:r>
      <w:proofErr w:type="spellEnd"/>
      <w:r w:rsidRPr="00F736A7">
        <w:rPr>
          <w:lang w:val="en-GB"/>
        </w:rPr>
        <w:t xml:space="preserve">, L 2013, </w:t>
      </w:r>
      <w:r w:rsidRPr="00F736A7">
        <w:rPr>
          <w:i/>
          <w:iCs/>
          <w:lang w:val="en-GB"/>
        </w:rPr>
        <w:t>Vocational education’s variable links to vocations</w:t>
      </w:r>
      <w:r w:rsidRPr="00F736A7">
        <w:rPr>
          <w:lang w:val="en-GB"/>
        </w:rPr>
        <w:t>, NCVER, Adelaide, viewed 20 May 2014, &lt;http://www.ncver.edu.au/publications/2689.html&gt;.</w:t>
      </w:r>
    </w:p>
    <w:p w:rsidR="00841745" w:rsidRPr="00841745" w:rsidRDefault="004A42F3" w:rsidP="00947AE9">
      <w:pPr>
        <w:pStyle w:val="References"/>
        <w:rPr>
          <w:lang w:val="en-GB"/>
        </w:rPr>
      </w:pPr>
      <w:r w:rsidRPr="00841745">
        <w:rPr>
          <w:lang w:val="en-GB"/>
        </w:rPr>
        <w:t>Manufacturing Skills Australia</w:t>
      </w:r>
      <w:r>
        <w:rPr>
          <w:lang w:val="en-GB"/>
        </w:rPr>
        <w:t xml:space="preserve"> </w:t>
      </w:r>
      <w:r w:rsidR="0099103C">
        <w:rPr>
          <w:lang w:val="en-GB"/>
        </w:rPr>
        <w:t>2014</w:t>
      </w:r>
      <w:r w:rsidR="00841745" w:rsidRPr="00841745">
        <w:rPr>
          <w:lang w:val="en-GB"/>
        </w:rPr>
        <w:t xml:space="preserve">, </w:t>
      </w:r>
      <w:r w:rsidR="00841745" w:rsidRPr="00841745">
        <w:rPr>
          <w:i/>
          <w:iCs/>
          <w:lang w:val="en-GB"/>
        </w:rPr>
        <w:t>2014 environmental scan: manufacturing: it’s in our national interest</w:t>
      </w:r>
      <w:r w:rsidR="00841745" w:rsidRPr="00841745">
        <w:rPr>
          <w:lang w:val="en-GB"/>
        </w:rPr>
        <w:t xml:space="preserve">, </w:t>
      </w:r>
      <w:r>
        <w:rPr>
          <w:lang w:val="en-GB"/>
        </w:rPr>
        <w:t>MSA</w:t>
      </w:r>
      <w:r w:rsidR="00841745" w:rsidRPr="00841745">
        <w:rPr>
          <w:lang w:val="en-GB"/>
        </w:rPr>
        <w:t>, North Sydney, viewed 20 May 2014, &lt;http://www.mskills.com.au/DownloadManager/downloads/</w:t>
      </w:r>
      <w:r w:rsidR="001F6EA9">
        <w:rPr>
          <w:lang w:val="en-GB"/>
        </w:rPr>
        <w:t xml:space="preserve"> </w:t>
      </w:r>
      <w:r w:rsidR="00841745" w:rsidRPr="00841745">
        <w:rPr>
          <w:lang w:val="en-GB"/>
        </w:rPr>
        <w:t>MSA%20Escan%202014.pdf&gt;.</w:t>
      </w:r>
    </w:p>
    <w:p w:rsidR="00377A64" w:rsidRPr="00724D8E" w:rsidRDefault="00377A64" w:rsidP="00377A64">
      <w:pPr>
        <w:pStyle w:val="References"/>
      </w:pPr>
      <w:r w:rsidRPr="00724D8E">
        <w:t xml:space="preserve">NCVER </w:t>
      </w:r>
      <w:r w:rsidR="004A42F3">
        <w:t xml:space="preserve">(National Centre for Vocational Education Research) </w:t>
      </w:r>
      <w:r w:rsidRPr="00724D8E">
        <w:t xml:space="preserve">2014, </w:t>
      </w:r>
      <w:r w:rsidRPr="004A42F3">
        <w:rPr>
          <w:i/>
        </w:rPr>
        <w:t>Australian vocational education and training statistics: apprentices and trainees 2013 —</w:t>
      </w:r>
      <w:r w:rsidR="004A42F3">
        <w:rPr>
          <w:i/>
        </w:rPr>
        <w:t xml:space="preserve"> </w:t>
      </w:r>
      <w:r w:rsidRPr="004A42F3">
        <w:rPr>
          <w:i/>
        </w:rPr>
        <w:t>December quarter</w:t>
      </w:r>
      <w:r w:rsidRPr="00724D8E">
        <w:t>, NCVER, Adelaide.</w:t>
      </w:r>
    </w:p>
    <w:p w:rsidR="00377A64" w:rsidRDefault="004A42F3" w:rsidP="00377A64">
      <w:pPr>
        <w:pStyle w:val="References"/>
      </w:pPr>
      <w:r>
        <w:t xml:space="preserve">National Statistical Service </w:t>
      </w:r>
      <w:r w:rsidR="00377A64">
        <w:t xml:space="preserve">2006, </w:t>
      </w:r>
      <w:r w:rsidR="00377A64" w:rsidRPr="004A42F3">
        <w:rPr>
          <w:i/>
        </w:rPr>
        <w:t>An information development plan for biotechnology statistics</w:t>
      </w:r>
      <w:r w:rsidR="00377A64">
        <w:t xml:space="preserve">, </w:t>
      </w:r>
      <w:r w:rsidR="00377A64" w:rsidRPr="00686515">
        <w:t>Biotechnology Statistical Users Group</w:t>
      </w:r>
      <w:r w:rsidR="00377A64">
        <w:t xml:space="preserve"> </w:t>
      </w:r>
      <w:r w:rsidR="00377A64" w:rsidRPr="00686515">
        <w:t>December 2006</w:t>
      </w:r>
      <w:r w:rsidR="00377A64">
        <w:t xml:space="preserve">, </w:t>
      </w:r>
      <w:r>
        <w:t>NSS</w:t>
      </w:r>
      <w:r w:rsidR="00377A64">
        <w:t>, Canberra</w:t>
      </w:r>
      <w:r>
        <w:t>, viewed 8 September 2014,</w:t>
      </w:r>
      <w:r w:rsidR="00377A64">
        <w:t xml:space="preserve"> </w:t>
      </w:r>
      <w:r w:rsidRPr="002D38E5">
        <w:t>&lt;</w:t>
      </w:r>
      <w:hyperlink r:id="rId35" w:history="1">
        <w:r w:rsidR="00377A64" w:rsidRPr="002D38E5">
          <w:t>http://www.nss.gov.au/nss/home.NSF/533222ebfd5ac03aca25711000044c9e/e0a5f30f1b5fec53ca25731e0017a4f4/$FILE/Biotechnology%20Information%20Development%20Plan_1.pdf</w:t>
        </w:r>
      </w:hyperlink>
      <w:r w:rsidRPr="002D38E5">
        <w:t>&gt;</w:t>
      </w:r>
      <w:r w:rsidR="00377A64" w:rsidRPr="002D38E5">
        <w:t>.</w:t>
      </w:r>
    </w:p>
    <w:p w:rsidR="00377A64" w:rsidRPr="00724D8E" w:rsidRDefault="00377A64" w:rsidP="00377A64">
      <w:pPr>
        <w:pStyle w:val="References"/>
      </w:pPr>
      <w:r w:rsidRPr="00724D8E">
        <w:t xml:space="preserve">OECD </w:t>
      </w:r>
      <w:r w:rsidR="004A42F3">
        <w:t xml:space="preserve">(Organisation for Economic Co-operation and Development) </w:t>
      </w:r>
      <w:r w:rsidRPr="00724D8E">
        <w:t xml:space="preserve">2005, </w:t>
      </w:r>
      <w:r w:rsidR="00326046">
        <w:t>‘</w:t>
      </w:r>
      <w:r w:rsidRPr="00724D8E">
        <w:t xml:space="preserve">Statistical </w:t>
      </w:r>
      <w:r w:rsidR="00326046" w:rsidRPr="00724D8E">
        <w:t>definition of biot</w:t>
      </w:r>
      <w:r w:rsidR="00326046">
        <w:t>echnology’</w:t>
      </w:r>
      <w:r w:rsidR="004A42F3">
        <w:t>, Paris, viewed 8 September 2014, &lt;</w:t>
      </w:r>
      <w:r w:rsidRPr="00724D8E">
        <w:t>http://www.oecd.org/sti/biotech/statistic</w:t>
      </w:r>
      <w:r w:rsidR="004A42F3">
        <w:t>aldefinitionofbiotechnology.htm&gt;.</w:t>
      </w:r>
      <w:r w:rsidRPr="00724D8E">
        <w:t xml:space="preserve"> </w:t>
      </w:r>
    </w:p>
    <w:p w:rsidR="00377A64" w:rsidRDefault="004A42F3" w:rsidP="00377A64">
      <w:pPr>
        <w:pStyle w:val="References"/>
        <w:rPr>
          <w:lang w:val="en-GB"/>
        </w:rPr>
      </w:pPr>
      <w:r>
        <w:rPr>
          <w:lang w:val="en-GB"/>
        </w:rPr>
        <w:t>——</w:t>
      </w:r>
      <w:r w:rsidR="00377A64">
        <w:rPr>
          <w:lang w:val="en-GB"/>
        </w:rPr>
        <w:t xml:space="preserve">2013, </w:t>
      </w:r>
      <w:r w:rsidR="00326046">
        <w:rPr>
          <w:lang w:val="en-GB"/>
        </w:rPr>
        <w:t>‘</w:t>
      </w:r>
      <w:r w:rsidR="00377A64">
        <w:rPr>
          <w:lang w:val="en-GB"/>
        </w:rPr>
        <w:t xml:space="preserve">Global </w:t>
      </w:r>
      <w:r>
        <w:rPr>
          <w:lang w:val="en-GB"/>
        </w:rPr>
        <w:t>value chains</w:t>
      </w:r>
      <w:r w:rsidR="00326046">
        <w:rPr>
          <w:lang w:val="en-GB"/>
        </w:rPr>
        <w:t>’,</w:t>
      </w:r>
      <w:r>
        <w:rPr>
          <w:lang w:val="en-GB"/>
        </w:rPr>
        <w:t xml:space="preserve"> </w:t>
      </w:r>
      <w:r w:rsidR="00377A64">
        <w:rPr>
          <w:lang w:val="en-GB"/>
        </w:rPr>
        <w:t>viewed 10 July 2014</w:t>
      </w:r>
      <w:r w:rsidR="00326046">
        <w:rPr>
          <w:lang w:val="en-GB"/>
        </w:rPr>
        <w:t>,</w:t>
      </w:r>
      <w:r w:rsidR="00377A64">
        <w:rPr>
          <w:lang w:val="en-GB"/>
        </w:rPr>
        <w:t xml:space="preserve"> </w:t>
      </w:r>
      <w:r w:rsidR="00326046">
        <w:rPr>
          <w:lang w:val="en-GB"/>
        </w:rPr>
        <w:t>&lt;</w:t>
      </w:r>
      <w:r w:rsidR="00377A64" w:rsidRPr="000103C0">
        <w:rPr>
          <w:lang w:val="en-GB"/>
        </w:rPr>
        <w:t>http://www.oecd.org/industry/ind/global-value-chains.htm</w:t>
      </w:r>
      <w:r w:rsidR="00326046">
        <w:rPr>
          <w:lang w:val="en-GB"/>
        </w:rPr>
        <w:t>&gt;.</w:t>
      </w:r>
      <w:r w:rsidR="00377A64" w:rsidRPr="000103C0">
        <w:rPr>
          <w:lang w:val="en-GB"/>
        </w:rPr>
        <w:t xml:space="preserve"> </w:t>
      </w:r>
    </w:p>
    <w:p w:rsidR="00A45901" w:rsidRDefault="00326046" w:rsidP="00A45901">
      <w:pPr>
        <w:pStyle w:val="References"/>
        <w:rPr>
          <w:iCs/>
          <w:lang w:val="en-GB"/>
        </w:rPr>
      </w:pPr>
      <w:r>
        <w:t>Office of the Chief Scientist</w:t>
      </w:r>
      <w:r w:rsidR="00A45901">
        <w:t xml:space="preserve"> 2013</w:t>
      </w:r>
      <w:r w:rsidR="000E57E8">
        <w:t>,</w:t>
      </w:r>
      <w:r w:rsidR="00A45901">
        <w:t xml:space="preserve"> </w:t>
      </w:r>
      <w:r w:rsidR="00A45901" w:rsidRPr="00A45901">
        <w:rPr>
          <w:i/>
          <w:iCs/>
          <w:lang w:val="en-GB"/>
        </w:rPr>
        <w:t xml:space="preserve">Science, </w:t>
      </w:r>
      <w:r w:rsidRPr="00A45901">
        <w:rPr>
          <w:i/>
          <w:iCs/>
          <w:lang w:val="en-GB"/>
        </w:rPr>
        <w:t xml:space="preserve">technology, </w:t>
      </w:r>
      <w:r>
        <w:rPr>
          <w:i/>
          <w:iCs/>
          <w:lang w:val="en-GB"/>
        </w:rPr>
        <w:t xml:space="preserve">engineering and mathematics in the </w:t>
      </w:r>
      <w:r w:rsidRPr="00A45901">
        <w:rPr>
          <w:i/>
          <w:iCs/>
          <w:lang w:val="en-GB"/>
        </w:rPr>
        <w:t>national interest: a strategic approach</w:t>
      </w:r>
      <w:r w:rsidR="00A45901">
        <w:rPr>
          <w:i/>
          <w:iCs/>
          <w:lang w:val="en-GB"/>
        </w:rPr>
        <w:t xml:space="preserve">, </w:t>
      </w:r>
      <w:r w:rsidR="00A45901">
        <w:rPr>
          <w:iCs/>
          <w:lang w:val="en-GB"/>
        </w:rPr>
        <w:t xml:space="preserve">viewed 19 July 2014, </w:t>
      </w:r>
      <w:r w:rsidR="00A45901" w:rsidRPr="00A45901">
        <w:t>&lt;</w:t>
      </w:r>
      <w:r w:rsidR="00A45901" w:rsidRPr="00A45901">
        <w:rPr>
          <w:iCs/>
          <w:lang w:val="en-GB"/>
        </w:rPr>
        <w:t>http://www.chiefscientist.gov.au/wp-content/uploads/STEMstrategy290713FINALweb.pdf&gt;</w:t>
      </w:r>
      <w:r>
        <w:rPr>
          <w:iCs/>
          <w:lang w:val="en-GB"/>
        </w:rPr>
        <w:t>.</w:t>
      </w:r>
    </w:p>
    <w:p w:rsidR="00326046" w:rsidRDefault="00326046" w:rsidP="00326046">
      <w:pPr>
        <w:pStyle w:val="References"/>
      </w:pPr>
      <w:proofErr w:type="gramStart"/>
      <w:r w:rsidRPr="001F2ED3">
        <w:t>Parliament of the Commonwealth of Australia</w:t>
      </w:r>
      <w:r>
        <w:t xml:space="preserve"> 2013, </w:t>
      </w:r>
      <w:r w:rsidRPr="002D38E5">
        <w:rPr>
          <w:i/>
        </w:rPr>
        <w:t>Report on Australia’s oil refinery industry</w:t>
      </w:r>
      <w:r>
        <w:t xml:space="preserve">, </w:t>
      </w:r>
      <w:r w:rsidRPr="001F2ED3">
        <w:t>House of Representatives</w:t>
      </w:r>
      <w:r>
        <w:t xml:space="preserve"> </w:t>
      </w:r>
      <w:r w:rsidRPr="001F2ED3">
        <w:t>Standing Committee on Economics</w:t>
      </w:r>
      <w:r>
        <w:t xml:space="preserve">, </w:t>
      </w:r>
      <w:r w:rsidRPr="001F2ED3">
        <w:t>Canberra</w:t>
      </w:r>
      <w:r>
        <w:t>.</w:t>
      </w:r>
      <w:proofErr w:type="gramEnd"/>
    </w:p>
    <w:p w:rsidR="00377A64" w:rsidRPr="00724D8E" w:rsidRDefault="00377A64" w:rsidP="00377A64">
      <w:pPr>
        <w:pStyle w:val="References"/>
      </w:pPr>
      <w:proofErr w:type="gramStart"/>
      <w:r w:rsidRPr="00724D8E">
        <w:t xml:space="preserve">Pharmaceuticals Industry Strategy Group 2009, </w:t>
      </w:r>
      <w:r w:rsidRPr="002D38E5">
        <w:rPr>
          <w:i/>
        </w:rPr>
        <w:t>Final report</w:t>
      </w:r>
      <w:r w:rsidRPr="00724D8E">
        <w:t>, Pharmaceuticals Industry Strategy Group, Canberra.</w:t>
      </w:r>
      <w:proofErr w:type="gramEnd"/>
    </w:p>
    <w:p w:rsidR="00377A64" w:rsidRPr="00724D8E" w:rsidRDefault="00377A64" w:rsidP="00377A64">
      <w:pPr>
        <w:pStyle w:val="References"/>
      </w:pPr>
      <w:r w:rsidRPr="00724D8E">
        <w:t xml:space="preserve">President’s Council of Advisors on Science and Technology 2011, </w:t>
      </w:r>
      <w:r w:rsidRPr="002D38E5">
        <w:rPr>
          <w:i/>
        </w:rPr>
        <w:t>Report to the president on ensuring American leadership in advanced manufacturing</w:t>
      </w:r>
      <w:r w:rsidRPr="00724D8E">
        <w:t>, Executive Office of the President, Washington</w:t>
      </w:r>
      <w:r w:rsidR="00326046">
        <w:t>,</w:t>
      </w:r>
      <w:r w:rsidRPr="00724D8E">
        <w:t xml:space="preserve"> DC.</w:t>
      </w:r>
    </w:p>
    <w:p w:rsidR="00377A64" w:rsidRDefault="00377A64" w:rsidP="00377A64">
      <w:pPr>
        <w:pStyle w:val="References"/>
      </w:pPr>
      <w:r w:rsidRPr="00F55EBC">
        <w:t>Productivity Commission</w:t>
      </w:r>
      <w:r>
        <w:t xml:space="preserve"> </w:t>
      </w:r>
      <w:r w:rsidRPr="00F55EBC">
        <w:t xml:space="preserve">2014, </w:t>
      </w:r>
      <w:r w:rsidRPr="00326046">
        <w:rPr>
          <w:i/>
        </w:rPr>
        <w:t>Geographic labour m</w:t>
      </w:r>
      <w:r w:rsidR="00326046" w:rsidRPr="00326046">
        <w:rPr>
          <w:i/>
        </w:rPr>
        <w:t>obility</w:t>
      </w:r>
      <w:r w:rsidRPr="00F55EBC">
        <w:t>, Melbourne, viewed 20 May 2014, &lt;http://pc.gov.au/projects/study/labour-mobility/report&gt;.</w:t>
      </w:r>
    </w:p>
    <w:p w:rsidR="00377A64" w:rsidRPr="005E04E4" w:rsidRDefault="00377A64" w:rsidP="00377A64">
      <w:pPr>
        <w:pStyle w:val="References"/>
        <w:rPr>
          <w:lang w:val="en-GB"/>
        </w:rPr>
      </w:pPr>
      <w:proofErr w:type="spellStart"/>
      <w:r w:rsidRPr="005E04E4">
        <w:rPr>
          <w:lang w:val="en-GB"/>
        </w:rPr>
        <w:t>Roos</w:t>
      </w:r>
      <w:proofErr w:type="spellEnd"/>
      <w:r w:rsidRPr="005E04E4">
        <w:rPr>
          <w:lang w:val="en-GB"/>
        </w:rPr>
        <w:t>,</w:t>
      </w:r>
      <w:r>
        <w:rPr>
          <w:lang w:val="en-GB"/>
        </w:rPr>
        <w:t xml:space="preserve"> G 2014</w:t>
      </w:r>
      <w:r w:rsidR="00326046">
        <w:rPr>
          <w:lang w:val="en-GB"/>
        </w:rPr>
        <w:t>,</w:t>
      </w:r>
      <w:r>
        <w:rPr>
          <w:lang w:val="en-GB"/>
        </w:rPr>
        <w:t xml:space="preserve"> ‘</w:t>
      </w:r>
      <w:r w:rsidRPr="005E04E4">
        <w:rPr>
          <w:lang w:val="en-GB"/>
        </w:rPr>
        <w:t>The constantly changing manufacturing context</w:t>
      </w:r>
      <w:r>
        <w:rPr>
          <w:lang w:val="en-GB"/>
        </w:rPr>
        <w:t>’</w:t>
      </w:r>
      <w:r w:rsidR="000E57E8">
        <w:rPr>
          <w:lang w:val="en-GB"/>
        </w:rPr>
        <w:t>,</w:t>
      </w:r>
      <w:r>
        <w:rPr>
          <w:lang w:val="en-GB"/>
        </w:rPr>
        <w:t xml:space="preserve"> in </w:t>
      </w:r>
      <w:r w:rsidRPr="005E04E4">
        <w:rPr>
          <w:lang w:val="en-GB"/>
        </w:rPr>
        <w:t xml:space="preserve">CEDA, </w:t>
      </w:r>
      <w:r w:rsidRPr="005E04E4">
        <w:rPr>
          <w:i/>
          <w:lang w:val="en-GB"/>
        </w:rPr>
        <w:t xml:space="preserve">Advanced </w:t>
      </w:r>
      <w:r w:rsidR="00326046" w:rsidRPr="005E04E4">
        <w:rPr>
          <w:i/>
          <w:lang w:val="en-GB"/>
        </w:rPr>
        <w:t xml:space="preserve">manufacturing: beyond </w:t>
      </w:r>
      <w:r w:rsidRPr="005E04E4">
        <w:rPr>
          <w:i/>
          <w:lang w:val="en-GB"/>
        </w:rPr>
        <w:t>the production line</w:t>
      </w:r>
      <w:r>
        <w:rPr>
          <w:i/>
          <w:lang w:val="en-GB"/>
        </w:rPr>
        <w:t>,</w:t>
      </w:r>
      <w:r>
        <w:rPr>
          <w:lang w:val="en-GB"/>
        </w:rPr>
        <w:t xml:space="preserve"> Melbourne</w:t>
      </w:r>
      <w:r w:rsidR="00326046">
        <w:rPr>
          <w:lang w:val="en-GB"/>
        </w:rPr>
        <w:t>.</w:t>
      </w:r>
    </w:p>
    <w:p w:rsidR="00377A64" w:rsidRPr="007F336C" w:rsidRDefault="00377A64" w:rsidP="00377A64">
      <w:pPr>
        <w:pStyle w:val="References"/>
      </w:pPr>
      <w:r>
        <w:t>S</w:t>
      </w:r>
      <w:r w:rsidRPr="006A7570">
        <w:t>cott-</w:t>
      </w:r>
      <w:proofErr w:type="spellStart"/>
      <w:r>
        <w:t>K</w:t>
      </w:r>
      <w:r w:rsidRPr="006A7570">
        <w:t>emmis</w:t>
      </w:r>
      <w:proofErr w:type="spellEnd"/>
      <w:r>
        <w:t>, D 2013,</w:t>
      </w:r>
      <w:r w:rsidRPr="006A7570">
        <w:t xml:space="preserve"> </w:t>
      </w:r>
      <w:r w:rsidRPr="00326046">
        <w:rPr>
          <w:i/>
        </w:rPr>
        <w:t>How about those METS</w:t>
      </w:r>
      <w:r w:rsidR="00326046" w:rsidRPr="00326046">
        <w:rPr>
          <w:i/>
        </w:rPr>
        <w:t xml:space="preserve"> — l</w:t>
      </w:r>
      <w:r w:rsidRPr="00326046">
        <w:rPr>
          <w:i/>
        </w:rPr>
        <w:t>everaging Australia’s mining equipment, technology and services sector</w:t>
      </w:r>
      <w:r>
        <w:t xml:space="preserve">, </w:t>
      </w:r>
      <w:r w:rsidRPr="006A7570">
        <w:t>Minerals Council of Australia</w:t>
      </w:r>
      <w:r>
        <w:t>, Sydney.</w:t>
      </w:r>
    </w:p>
    <w:p w:rsidR="00377A64" w:rsidRDefault="00377A64" w:rsidP="00377A64">
      <w:pPr>
        <w:pStyle w:val="References"/>
        <w:rPr>
          <w:lang w:val="en-GB"/>
        </w:rPr>
      </w:pPr>
      <w:proofErr w:type="spellStart"/>
      <w:r w:rsidRPr="00F736A7">
        <w:rPr>
          <w:lang w:val="en-GB"/>
        </w:rPr>
        <w:t>SkillsDMC</w:t>
      </w:r>
      <w:proofErr w:type="spellEnd"/>
      <w:r w:rsidR="00230400">
        <w:rPr>
          <w:lang w:val="en-GB"/>
        </w:rPr>
        <w:t xml:space="preserve"> </w:t>
      </w:r>
      <w:r w:rsidRPr="00F736A7">
        <w:rPr>
          <w:lang w:val="en-GB"/>
        </w:rPr>
        <w:t xml:space="preserve">2013, </w:t>
      </w:r>
      <w:r w:rsidRPr="00F736A7">
        <w:rPr>
          <w:i/>
          <w:iCs/>
          <w:lang w:val="en-GB"/>
        </w:rPr>
        <w:t>Environmental scan 2013 resources and infrastructure industry: responding to challenges and opportunities</w:t>
      </w:r>
      <w:r w:rsidRPr="00F736A7">
        <w:rPr>
          <w:lang w:val="en-GB"/>
        </w:rPr>
        <w:t xml:space="preserve">, </w:t>
      </w:r>
      <w:proofErr w:type="spellStart"/>
      <w:r w:rsidRPr="00F736A7">
        <w:rPr>
          <w:lang w:val="en-GB"/>
        </w:rPr>
        <w:t>SkillsDMC</w:t>
      </w:r>
      <w:proofErr w:type="spellEnd"/>
      <w:r w:rsidRPr="00F736A7">
        <w:rPr>
          <w:lang w:val="en-GB"/>
        </w:rPr>
        <w:t>, Sydney, viewed 20 May 2014, &lt;http://www.isc.org.au/pdf/</w:t>
      </w:r>
      <w:r w:rsidR="002D38E5">
        <w:rPr>
          <w:lang w:val="en-GB"/>
        </w:rPr>
        <w:t xml:space="preserve"> </w:t>
      </w:r>
      <w:r w:rsidRPr="00F736A7">
        <w:rPr>
          <w:lang w:val="en-GB"/>
        </w:rPr>
        <w:t>SkillsDMCEnvironmentalScan2013.pdf&gt;.</w:t>
      </w:r>
    </w:p>
    <w:p w:rsidR="00377A64" w:rsidRPr="00230400" w:rsidRDefault="00326046" w:rsidP="00377A64">
      <w:pPr>
        <w:pStyle w:val="References"/>
        <w:rPr>
          <w:lang w:val="en-GB"/>
        </w:rPr>
      </w:pPr>
      <w:proofErr w:type="spellStart"/>
      <w:r>
        <w:rPr>
          <w:lang w:val="en-GB"/>
        </w:rPr>
        <w:t>Stanwick</w:t>
      </w:r>
      <w:proofErr w:type="spellEnd"/>
      <w:r>
        <w:rPr>
          <w:lang w:val="en-GB"/>
        </w:rPr>
        <w:t>, J</w:t>
      </w:r>
      <w:r w:rsidR="00377A64" w:rsidRPr="00230400">
        <w:rPr>
          <w:lang w:val="en-GB"/>
        </w:rPr>
        <w:t xml:space="preserve"> 2011, </w:t>
      </w:r>
      <w:r w:rsidR="00377A64" w:rsidRPr="00230400">
        <w:rPr>
          <w:i/>
          <w:iCs/>
          <w:lang w:val="en-GB"/>
        </w:rPr>
        <w:t>Innovation: its links with productivity and skill development: at a glance</w:t>
      </w:r>
      <w:r w:rsidR="00377A64" w:rsidRPr="00230400">
        <w:rPr>
          <w:lang w:val="en-GB"/>
        </w:rPr>
        <w:t>, NCVER, Adelaide, viewed 21 May 2014, &lt;http://www.ncver.edu.au/publications/2424.html&gt;.</w:t>
      </w:r>
    </w:p>
    <w:p w:rsidR="00214A30" w:rsidRPr="00F736A7" w:rsidRDefault="00214A30" w:rsidP="002D38E5">
      <w:pPr>
        <w:pStyle w:val="References"/>
        <w:ind w:right="-284"/>
        <w:rPr>
          <w:lang w:val="en-GB"/>
        </w:rPr>
      </w:pPr>
      <w:r w:rsidRPr="00213641">
        <w:rPr>
          <w:lang w:val="en-GB"/>
        </w:rPr>
        <w:t>Tasmanian Government 2014</w:t>
      </w:r>
      <w:r w:rsidR="00326046">
        <w:rPr>
          <w:lang w:val="en-GB"/>
        </w:rPr>
        <w:t>,</w:t>
      </w:r>
      <w:r>
        <w:rPr>
          <w:lang w:val="en-GB"/>
        </w:rPr>
        <w:t xml:space="preserve"> </w:t>
      </w:r>
      <w:r>
        <w:rPr>
          <w:i/>
          <w:lang w:val="en-GB"/>
        </w:rPr>
        <w:t xml:space="preserve">Advanced </w:t>
      </w:r>
      <w:r w:rsidR="00326046">
        <w:rPr>
          <w:i/>
          <w:lang w:val="en-GB"/>
        </w:rPr>
        <w:t xml:space="preserve">manufacturing sector summary </w:t>
      </w:r>
      <w:r>
        <w:rPr>
          <w:i/>
          <w:lang w:val="en-GB"/>
        </w:rPr>
        <w:t xml:space="preserve">2014, </w:t>
      </w:r>
      <w:r w:rsidRPr="00147CF4">
        <w:rPr>
          <w:lang w:val="en-GB"/>
        </w:rPr>
        <w:t>viewed 20 May 2014</w:t>
      </w:r>
      <w:r w:rsidR="00326046">
        <w:rPr>
          <w:lang w:val="en-GB"/>
        </w:rPr>
        <w:t>,</w:t>
      </w:r>
      <w:r>
        <w:rPr>
          <w:i/>
          <w:lang w:val="en-GB"/>
        </w:rPr>
        <w:t xml:space="preserve"> </w:t>
      </w:r>
      <w:r>
        <w:rPr>
          <w:lang w:val="en-GB"/>
        </w:rPr>
        <w:t>&lt;</w:t>
      </w:r>
      <w:r w:rsidRPr="00147CF4">
        <w:rPr>
          <w:lang w:val="en-GB"/>
        </w:rPr>
        <w:t>http://www.development.tas.gov.au/__data/assets/pdf_file/0006/82518/Advanced_Manufacturing.pdf</w:t>
      </w:r>
      <w:r>
        <w:rPr>
          <w:lang w:val="en-GB"/>
        </w:rPr>
        <w:t>&gt;</w:t>
      </w:r>
      <w:r w:rsidR="00326046">
        <w:rPr>
          <w:lang w:val="en-GB"/>
        </w:rPr>
        <w:t>.</w:t>
      </w:r>
    </w:p>
    <w:p w:rsidR="00377A64" w:rsidRDefault="00377A64" w:rsidP="00377A64">
      <w:pPr>
        <w:pStyle w:val="References"/>
      </w:pPr>
      <w:r w:rsidRPr="00724D8E">
        <w:t xml:space="preserve">Training and Skills Working Group 2009, </w:t>
      </w:r>
      <w:r w:rsidRPr="00840617">
        <w:rPr>
          <w:i/>
        </w:rPr>
        <w:t xml:space="preserve">Workforce, </w:t>
      </w:r>
      <w:r w:rsidR="00840617" w:rsidRPr="00840617">
        <w:rPr>
          <w:i/>
        </w:rPr>
        <w:t>training an</w:t>
      </w:r>
      <w:r w:rsidR="00840617">
        <w:rPr>
          <w:i/>
        </w:rPr>
        <w:t>d skills issues in agriculture —</w:t>
      </w:r>
      <w:r w:rsidR="00840617" w:rsidRPr="00840617">
        <w:rPr>
          <w:i/>
        </w:rPr>
        <w:t xml:space="preserve"> final report</w:t>
      </w:r>
      <w:r w:rsidRPr="00724D8E">
        <w:t>, a report to the Primary Industries Ministerial Council by the Industries Development Committee Workforce, Training and Skills Working Group, Canberra.</w:t>
      </w:r>
    </w:p>
    <w:p w:rsidR="00F55EBC" w:rsidRDefault="00F736A7" w:rsidP="00947AE9">
      <w:pPr>
        <w:pStyle w:val="References"/>
      </w:pPr>
      <w:r w:rsidRPr="00F736A7">
        <w:t>Victoria</w:t>
      </w:r>
      <w:r w:rsidR="00840617">
        <w:t>n</w:t>
      </w:r>
      <w:r w:rsidRPr="00F736A7">
        <w:t xml:space="preserve"> Department of State Development, Business and Innovation</w:t>
      </w:r>
      <w:r w:rsidR="003D1351">
        <w:t xml:space="preserve"> </w:t>
      </w:r>
      <w:r w:rsidRPr="00F736A7">
        <w:t xml:space="preserve">2012, </w:t>
      </w:r>
      <w:r w:rsidRPr="005E04E4">
        <w:rPr>
          <w:i/>
        </w:rPr>
        <w:t xml:space="preserve">Enabling </w:t>
      </w:r>
      <w:r w:rsidR="00840617" w:rsidRPr="005E04E4">
        <w:rPr>
          <w:i/>
        </w:rPr>
        <w:t>technologies skills strateg</w:t>
      </w:r>
      <w:r w:rsidR="00840617">
        <w:rPr>
          <w:i/>
        </w:rPr>
        <w:t>y: biotechnology 2012—</w:t>
      </w:r>
      <w:r w:rsidRPr="005E04E4">
        <w:rPr>
          <w:i/>
        </w:rPr>
        <w:t>15</w:t>
      </w:r>
      <w:r w:rsidR="00840617">
        <w:t>, DSDBI</w:t>
      </w:r>
      <w:r w:rsidRPr="00F736A7">
        <w:t>, Melbourne, viewed 20 May 2014, &lt;http://dsdbi.vic.gov.au/our-department/strategies-and-initiatives/enabling-technologies-skill-strategy-biotechnology/?a=65157&gt;.</w:t>
      </w:r>
    </w:p>
    <w:p w:rsidR="005E04E4" w:rsidRPr="00091A87" w:rsidRDefault="005E04E4" w:rsidP="00947AE9">
      <w:pPr>
        <w:pStyle w:val="References"/>
        <w:rPr>
          <w:lang w:val="en-GB"/>
        </w:rPr>
      </w:pPr>
      <w:proofErr w:type="spellStart"/>
      <w:r w:rsidRPr="00091A87">
        <w:rPr>
          <w:lang w:val="en-GB"/>
        </w:rPr>
        <w:t>Willox</w:t>
      </w:r>
      <w:proofErr w:type="spellEnd"/>
      <w:r w:rsidRPr="00091A87">
        <w:rPr>
          <w:lang w:val="en-GB"/>
        </w:rPr>
        <w:t>, I 2014</w:t>
      </w:r>
      <w:r w:rsidR="000E57E8">
        <w:rPr>
          <w:lang w:val="en-GB"/>
        </w:rPr>
        <w:t>,</w:t>
      </w:r>
      <w:r w:rsidRPr="00091A87">
        <w:rPr>
          <w:lang w:val="en-GB"/>
        </w:rPr>
        <w:t xml:space="preserve"> ‘Advanced manufacturing</w:t>
      </w:r>
      <w:r w:rsidR="00840617">
        <w:rPr>
          <w:lang w:val="en-GB"/>
        </w:rPr>
        <w:t>: a</w:t>
      </w:r>
      <w:r w:rsidRPr="00091A87">
        <w:rPr>
          <w:lang w:val="en-GB"/>
        </w:rPr>
        <w:t xml:space="preserve"> smarter approach for Australia’</w:t>
      </w:r>
      <w:r w:rsidR="00840617">
        <w:rPr>
          <w:lang w:val="en-GB"/>
        </w:rPr>
        <w:t>,</w:t>
      </w:r>
      <w:r w:rsidRPr="00091A87">
        <w:rPr>
          <w:lang w:val="en-GB"/>
        </w:rPr>
        <w:t xml:space="preserve"> </w:t>
      </w:r>
      <w:r w:rsidR="001E0DA3" w:rsidRPr="00091A87">
        <w:rPr>
          <w:lang w:val="en-GB"/>
        </w:rPr>
        <w:t>in CEDA</w:t>
      </w:r>
      <w:r w:rsidR="00840617">
        <w:rPr>
          <w:lang w:val="en-GB"/>
        </w:rPr>
        <w:t>,</w:t>
      </w:r>
      <w:r w:rsidRPr="00091A87">
        <w:rPr>
          <w:lang w:val="en-GB"/>
        </w:rPr>
        <w:t xml:space="preserve"> </w:t>
      </w:r>
      <w:r w:rsidRPr="00840617">
        <w:rPr>
          <w:i/>
          <w:lang w:val="en-GB"/>
        </w:rPr>
        <w:t xml:space="preserve">Advanced </w:t>
      </w:r>
      <w:r w:rsidR="00840617" w:rsidRPr="00840617">
        <w:rPr>
          <w:i/>
          <w:lang w:val="en-GB"/>
        </w:rPr>
        <w:t>manufacturing: beyond t</w:t>
      </w:r>
      <w:r w:rsidRPr="00840617">
        <w:rPr>
          <w:i/>
          <w:lang w:val="en-GB"/>
        </w:rPr>
        <w:t>he production line</w:t>
      </w:r>
      <w:r w:rsidRPr="00091A87">
        <w:rPr>
          <w:lang w:val="en-GB"/>
        </w:rPr>
        <w:t>, Melbourne</w:t>
      </w:r>
      <w:r w:rsidR="00840617">
        <w:rPr>
          <w:lang w:val="en-GB"/>
        </w:rPr>
        <w:t>.</w:t>
      </w:r>
    </w:p>
    <w:p w:rsidR="00716BBD" w:rsidRDefault="00840617" w:rsidP="00361260">
      <w:pPr>
        <w:pStyle w:val="References"/>
        <w:rPr>
          <w:lang w:val="en-GB"/>
        </w:rPr>
      </w:pPr>
      <w:r>
        <w:rPr>
          <w:lang w:val="en-GB"/>
        </w:rPr>
        <w:t>World Economic Forum</w:t>
      </w:r>
      <w:r w:rsidR="003D1351" w:rsidRPr="00091A87">
        <w:rPr>
          <w:lang w:val="en-GB"/>
        </w:rPr>
        <w:t xml:space="preserve"> 2014, </w:t>
      </w:r>
      <w:r w:rsidRPr="00840617">
        <w:rPr>
          <w:i/>
          <w:lang w:val="en-GB"/>
        </w:rPr>
        <w:t>Matching skills and labour market needs: building social partnerships for better skills and better jobs</w:t>
      </w:r>
      <w:r w:rsidRPr="00091A87">
        <w:rPr>
          <w:lang w:val="en-GB"/>
        </w:rPr>
        <w:t>,</w:t>
      </w:r>
      <w:r w:rsidR="00091A87" w:rsidRPr="00091A87">
        <w:rPr>
          <w:lang w:val="en-GB"/>
        </w:rPr>
        <w:t xml:space="preserve"> </w:t>
      </w:r>
      <w:r w:rsidR="003D1351" w:rsidRPr="00091A87">
        <w:rPr>
          <w:lang w:val="en-GB"/>
        </w:rPr>
        <w:t>Davos-</w:t>
      </w:r>
      <w:proofErr w:type="spellStart"/>
      <w:r w:rsidR="003D1351" w:rsidRPr="00091A87">
        <w:rPr>
          <w:lang w:val="en-GB"/>
        </w:rPr>
        <w:t>Klosters</w:t>
      </w:r>
      <w:proofErr w:type="spellEnd"/>
      <w:r w:rsidR="003D1351" w:rsidRPr="00091A87">
        <w:rPr>
          <w:lang w:val="en-GB"/>
        </w:rPr>
        <w:t>, Switzerland</w:t>
      </w:r>
      <w:r>
        <w:rPr>
          <w:lang w:val="en-GB"/>
        </w:rPr>
        <w:t>.</w:t>
      </w:r>
      <w:r w:rsidR="003D1351" w:rsidRPr="00091A87">
        <w:rPr>
          <w:lang w:val="en-GB"/>
        </w:rPr>
        <w:t xml:space="preserve"> </w:t>
      </w:r>
    </w:p>
    <w:p w:rsidR="002A67B5" w:rsidRDefault="002A67B5" w:rsidP="00091A87">
      <w:pPr>
        <w:pStyle w:val="Text"/>
        <w:rPr>
          <w:lang w:val="en-GB"/>
        </w:rPr>
        <w:sectPr w:rsidR="002A67B5" w:rsidSect="00F60BA5">
          <w:footerReference w:type="even" r:id="rId36"/>
          <w:footerReference w:type="default" r:id="rId37"/>
          <w:pgSz w:w="11907" w:h="16840" w:code="9"/>
          <w:pgMar w:top="1276" w:right="1701" w:bottom="1276" w:left="1418" w:header="709" w:footer="556" w:gutter="0"/>
          <w:cols w:space="708"/>
          <w:docGrid w:linePitch="360"/>
        </w:sectPr>
      </w:pPr>
    </w:p>
    <w:p w:rsidR="002A67B5" w:rsidRPr="002A67B5" w:rsidRDefault="00C16479" w:rsidP="00BD44A1">
      <w:pPr>
        <w:pStyle w:val="Heading1"/>
      </w:pPr>
      <w:bookmarkStart w:id="61" w:name="_Toc398541659"/>
      <w:r>
        <w:lastRenderedPageBreak/>
        <w:t>Appendix</w:t>
      </w:r>
      <w:r w:rsidR="00BD44A1">
        <w:t>:</w:t>
      </w:r>
      <w:r w:rsidR="00A067E0">
        <w:t xml:space="preserve"> </w:t>
      </w:r>
      <w:r>
        <w:t>Profile of the five industries</w:t>
      </w:r>
      <w:bookmarkEnd w:id="61"/>
    </w:p>
    <w:tbl>
      <w:tblPr>
        <w:tblStyle w:val="TableGrid"/>
        <w:tblW w:w="14005" w:type="dxa"/>
        <w:tblInd w:w="108"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2517"/>
        <w:gridCol w:w="2517"/>
        <w:gridCol w:w="2518"/>
        <w:gridCol w:w="2517"/>
        <w:gridCol w:w="2518"/>
      </w:tblGrid>
      <w:tr w:rsidR="00B15ADD" w:rsidRPr="00B15ADD" w:rsidTr="00B15ADD">
        <w:trPr>
          <w:cantSplit/>
          <w:tblHeader/>
        </w:trPr>
        <w:tc>
          <w:tcPr>
            <w:tcW w:w="1418" w:type="dxa"/>
            <w:tcBorders>
              <w:top w:val="single" w:sz="4" w:space="0" w:color="auto"/>
              <w:bottom w:val="single" w:sz="4" w:space="0" w:color="auto"/>
            </w:tcBorders>
            <w:shd w:val="clear" w:color="auto" w:fill="1F497D" w:themeFill="text2"/>
          </w:tcPr>
          <w:p w:rsidR="0047713F" w:rsidRPr="00B15ADD" w:rsidRDefault="0047713F" w:rsidP="00A25CA2">
            <w:pPr>
              <w:pStyle w:val="Tablehead1"/>
              <w:rPr>
                <w:color w:val="FFFFFF" w:themeColor="background1"/>
              </w:rPr>
            </w:pPr>
          </w:p>
        </w:tc>
        <w:tc>
          <w:tcPr>
            <w:tcW w:w="2517" w:type="dxa"/>
            <w:tcBorders>
              <w:top w:val="single" w:sz="4" w:space="0" w:color="auto"/>
              <w:bottom w:val="single" w:sz="4" w:space="0" w:color="auto"/>
            </w:tcBorders>
            <w:shd w:val="clear" w:color="auto" w:fill="1F497D" w:themeFill="text2"/>
          </w:tcPr>
          <w:p w:rsidR="0047713F" w:rsidRPr="00B15ADD" w:rsidRDefault="0047713F" w:rsidP="00A25CA2">
            <w:pPr>
              <w:pStyle w:val="Tablehead1"/>
              <w:rPr>
                <w:color w:val="FFFFFF" w:themeColor="background1"/>
              </w:rPr>
            </w:pPr>
            <w:r w:rsidRPr="00B15ADD">
              <w:rPr>
                <w:color w:val="FFFFFF" w:themeColor="background1"/>
              </w:rPr>
              <w:t>Food and agriculture</w:t>
            </w:r>
          </w:p>
        </w:tc>
        <w:tc>
          <w:tcPr>
            <w:tcW w:w="2517" w:type="dxa"/>
            <w:tcBorders>
              <w:top w:val="single" w:sz="4" w:space="0" w:color="auto"/>
              <w:bottom w:val="single" w:sz="4" w:space="0" w:color="auto"/>
            </w:tcBorders>
            <w:shd w:val="clear" w:color="auto" w:fill="1F497D" w:themeFill="text2"/>
          </w:tcPr>
          <w:p w:rsidR="0047713F" w:rsidRPr="00B15ADD" w:rsidRDefault="002F32B8" w:rsidP="00A25CA2">
            <w:pPr>
              <w:pStyle w:val="Tablehead1"/>
              <w:rPr>
                <w:color w:val="FFFFFF" w:themeColor="background1"/>
              </w:rPr>
            </w:pPr>
            <w:r w:rsidRPr="00B15ADD">
              <w:rPr>
                <w:color w:val="FFFFFF" w:themeColor="background1"/>
              </w:rPr>
              <w:t>Bio</w:t>
            </w:r>
            <w:r w:rsidR="0047713F" w:rsidRPr="00B15ADD">
              <w:rPr>
                <w:color w:val="FFFFFF" w:themeColor="background1"/>
              </w:rPr>
              <w:t>technology and pharmaceuticals</w:t>
            </w:r>
          </w:p>
        </w:tc>
        <w:tc>
          <w:tcPr>
            <w:tcW w:w="2518" w:type="dxa"/>
            <w:tcBorders>
              <w:top w:val="single" w:sz="4" w:space="0" w:color="auto"/>
              <w:bottom w:val="single" w:sz="4" w:space="0" w:color="auto"/>
            </w:tcBorders>
            <w:shd w:val="clear" w:color="auto" w:fill="1F497D" w:themeFill="text2"/>
          </w:tcPr>
          <w:p w:rsidR="0047713F" w:rsidRPr="00B15ADD" w:rsidRDefault="0047713F" w:rsidP="00A25CA2">
            <w:pPr>
              <w:pStyle w:val="Tablehead1"/>
              <w:rPr>
                <w:color w:val="FFFFFF" w:themeColor="background1"/>
              </w:rPr>
            </w:pPr>
            <w:r w:rsidRPr="00B15ADD">
              <w:rPr>
                <w:color w:val="FFFFFF" w:themeColor="background1"/>
              </w:rPr>
              <w:t xml:space="preserve">Advanced </w:t>
            </w:r>
            <w:r w:rsidR="00920F07" w:rsidRPr="00B15ADD">
              <w:rPr>
                <w:color w:val="FFFFFF" w:themeColor="background1"/>
              </w:rPr>
              <w:br/>
            </w:r>
            <w:r w:rsidRPr="00B15ADD">
              <w:rPr>
                <w:color w:val="FFFFFF" w:themeColor="background1"/>
              </w:rPr>
              <w:t>manufacturing</w:t>
            </w:r>
          </w:p>
        </w:tc>
        <w:tc>
          <w:tcPr>
            <w:tcW w:w="2517" w:type="dxa"/>
            <w:tcBorders>
              <w:top w:val="single" w:sz="4" w:space="0" w:color="auto"/>
              <w:bottom w:val="single" w:sz="4" w:space="0" w:color="auto"/>
            </w:tcBorders>
            <w:shd w:val="clear" w:color="auto" w:fill="1F497D" w:themeFill="text2"/>
          </w:tcPr>
          <w:p w:rsidR="0047713F" w:rsidRPr="00B15ADD" w:rsidRDefault="0047713F" w:rsidP="00A25CA2">
            <w:pPr>
              <w:pStyle w:val="Tablehead1"/>
              <w:rPr>
                <w:color w:val="FFFFFF" w:themeColor="background1"/>
              </w:rPr>
            </w:pPr>
            <w:r w:rsidRPr="00B15ADD">
              <w:rPr>
                <w:color w:val="FFFFFF" w:themeColor="background1"/>
              </w:rPr>
              <w:t>Mining equipment, technology and services</w:t>
            </w:r>
          </w:p>
        </w:tc>
        <w:tc>
          <w:tcPr>
            <w:tcW w:w="2518" w:type="dxa"/>
            <w:tcBorders>
              <w:top w:val="single" w:sz="4" w:space="0" w:color="auto"/>
              <w:bottom w:val="single" w:sz="4" w:space="0" w:color="auto"/>
            </w:tcBorders>
            <w:shd w:val="clear" w:color="auto" w:fill="1F497D" w:themeFill="text2"/>
          </w:tcPr>
          <w:p w:rsidR="0047713F" w:rsidRPr="00B15ADD" w:rsidRDefault="0047713F" w:rsidP="00A25CA2">
            <w:pPr>
              <w:pStyle w:val="Tablehead1"/>
              <w:rPr>
                <w:color w:val="FFFFFF" w:themeColor="background1"/>
              </w:rPr>
            </w:pPr>
            <w:r w:rsidRPr="00B15ADD">
              <w:rPr>
                <w:color w:val="FFFFFF" w:themeColor="background1"/>
              </w:rPr>
              <w:t>Oil and gas</w:t>
            </w:r>
          </w:p>
        </w:tc>
      </w:tr>
      <w:tr w:rsidR="0047713F" w:rsidRPr="003F0196" w:rsidTr="002E28D8">
        <w:trPr>
          <w:cantSplit/>
        </w:trPr>
        <w:tc>
          <w:tcPr>
            <w:tcW w:w="1418" w:type="dxa"/>
            <w:tcBorders>
              <w:top w:val="single" w:sz="4" w:space="0" w:color="auto"/>
              <w:bottom w:val="single" w:sz="4" w:space="0" w:color="auto"/>
            </w:tcBorders>
            <w:shd w:val="clear" w:color="auto" w:fill="C6D9F1" w:themeFill="text2" w:themeFillTint="33"/>
          </w:tcPr>
          <w:p w:rsidR="0047713F" w:rsidRPr="00920F07" w:rsidRDefault="0047713F" w:rsidP="003478EE">
            <w:pPr>
              <w:pStyle w:val="Tabletext"/>
              <w:spacing w:before="120"/>
              <w:rPr>
                <w:b/>
              </w:rPr>
            </w:pPr>
            <w:r w:rsidRPr="00920F07">
              <w:rPr>
                <w:b/>
              </w:rPr>
              <w:t>Definition</w:t>
            </w:r>
          </w:p>
        </w:tc>
        <w:tc>
          <w:tcPr>
            <w:tcW w:w="2517" w:type="dxa"/>
            <w:tcBorders>
              <w:top w:val="single" w:sz="4" w:space="0" w:color="auto"/>
              <w:bottom w:val="single" w:sz="4" w:space="0" w:color="auto"/>
            </w:tcBorders>
            <w:shd w:val="clear" w:color="auto" w:fill="auto"/>
          </w:tcPr>
          <w:p w:rsidR="0047713F" w:rsidRPr="00C8318A" w:rsidRDefault="0047713F" w:rsidP="003478EE">
            <w:pPr>
              <w:pStyle w:val="Tabletext"/>
              <w:spacing w:before="120"/>
            </w:pPr>
            <w:r w:rsidRPr="00C8318A">
              <w:t xml:space="preserve">The </w:t>
            </w:r>
            <w:r w:rsidRPr="0045619F">
              <w:rPr>
                <w:i/>
              </w:rPr>
              <w:t>food and agriculture industry</w:t>
            </w:r>
            <w:r w:rsidRPr="00C8318A">
              <w:t xml:space="preserve"> encompasses many sectors, including production of </w:t>
            </w:r>
            <w:r w:rsidR="0045619F">
              <w:t xml:space="preserve">the </w:t>
            </w:r>
            <w:r w:rsidRPr="00C8318A">
              <w:t>raw materials used in food (the farm and fishing sectors), the export, import and processing sectors, and domestic sales to consumers (</w:t>
            </w:r>
            <w:r w:rsidR="0045619F">
              <w:t>Department of Agriculture, Fisheries and Forestry</w:t>
            </w:r>
            <w:r w:rsidRPr="00C8318A">
              <w:t xml:space="preserve"> 2013).</w:t>
            </w:r>
          </w:p>
          <w:p w:rsidR="0047713F" w:rsidRPr="00C8318A" w:rsidRDefault="0047713F" w:rsidP="00920F07">
            <w:pPr>
              <w:pStyle w:val="Tabletext"/>
            </w:pPr>
            <w:r w:rsidRPr="00C8318A">
              <w:t xml:space="preserve">Some bodies, such as the </w:t>
            </w:r>
            <w:proofErr w:type="spellStart"/>
            <w:r w:rsidRPr="00C8318A">
              <w:t>Agrifood</w:t>
            </w:r>
            <w:proofErr w:type="spellEnd"/>
            <w:r w:rsidRPr="00C8318A">
              <w:t xml:space="preserve"> Industry Skills Council, also include activities like pharmaceutical processing and ra</w:t>
            </w:r>
            <w:r w:rsidR="0045619F">
              <w:t>cing (</w:t>
            </w:r>
            <w:proofErr w:type="spellStart"/>
            <w:r w:rsidR="0045619F">
              <w:t>Agrifood</w:t>
            </w:r>
            <w:proofErr w:type="spellEnd"/>
            <w:r w:rsidR="0045619F">
              <w:t xml:space="preserve"> Skills Australia</w:t>
            </w:r>
            <w:r w:rsidRPr="00C8318A">
              <w:t xml:space="preserve"> 2013).</w:t>
            </w:r>
          </w:p>
        </w:tc>
        <w:tc>
          <w:tcPr>
            <w:tcW w:w="2517" w:type="dxa"/>
            <w:tcBorders>
              <w:top w:val="single" w:sz="4" w:space="0" w:color="auto"/>
              <w:bottom w:val="single" w:sz="4" w:space="0" w:color="auto"/>
            </w:tcBorders>
            <w:shd w:val="clear" w:color="auto" w:fill="auto"/>
          </w:tcPr>
          <w:p w:rsidR="0047713F" w:rsidRDefault="0045619F" w:rsidP="003478EE">
            <w:pPr>
              <w:pStyle w:val="Tabletext"/>
              <w:spacing w:before="120"/>
            </w:pPr>
            <w:r>
              <w:t>The bio</w:t>
            </w:r>
            <w:r w:rsidR="0047713F" w:rsidRPr="00C8318A">
              <w:t>technology and pharmaceuticals industries are often considered as two separate, but overlapping, industries.</w:t>
            </w:r>
            <w:r w:rsidR="0047713F">
              <w:t xml:space="preserve"> </w:t>
            </w:r>
          </w:p>
          <w:p w:rsidR="0047713F" w:rsidRPr="00C8318A" w:rsidRDefault="0047713F" w:rsidP="00920F07">
            <w:pPr>
              <w:pStyle w:val="Tabletext"/>
            </w:pPr>
            <w:r>
              <w:t xml:space="preserve">While the pharmaceuticals industry has had a long history in Australia </w:t>
            </w:r>
            <w:r w:rsidR="0045619F">
              <w:t>the bio</w:t>
            </w:r>
            <w:r>
              <w:t xml:space="preserve">technology industry is relatively recent </w:t>
            </w:r>
            <w:r w:rsidR="0099103C">
              <w:t>and</w:t>
            </w:r>
            <w:r>
              <w:t xml:space="preserve"> over the last </w:t>
            </w:r>
            <w:r w:rsidR="0045619F">
              <w:t>ten</w:t>
            </w:r>
            <w:r>
              <w:t xml:space="preserve"> years or so </w:t>
            </w:r>
            <w:r w:rsidR="0099103C">
              <w:t>has been</w:t>
            </w:r>
            <w:r>
              <w:t xml:space="preserve"> showing signs of growing importance.</w:t>
            </w:r>
          </w:p>
          <w:p w:rsidR="0047713F" w:rsidRPr="00C8318A" w:rsidRDefault="0047713F" w:rsidP="00920F07">
            <w:pPr>
              <w:pStyle w:val="Tabletext"/>
            </w:pPr>
            <w:r w:rsidRPr="00C8318A">
              <w:t xml:space="preserve">The </w:t>
            </w:r>
            <w:r w:rsidR="0045619F">
              <w:rPr>
                <w:i/>
              </w:rPr>
              <w:t>bio</w:t>
            </w:r>
            <w:r w:rsidRPr="0045619F">
              <w:rPr>
                <w:i/>
              </w:rPr>
              <w:t>technology industry</w:t>
            </w:r>
            <w:r>
              <w:t xml:space="preserve"> is </w:t>
            </w:r>
            <w:r w:rsidRPr="00C8318A">
              <w:t>defined as those organisations involved in the application of science and technology to living organisms, as well as parts, products and models thereof, to alter living or non-living materials for the production of know</w:t>
            </w:r>
            <w:r w:rsidR="0045619F">
              <w:t>ledge, goods and services (OECD</w:t>
            </w:r>
            <w:r w:rsidRPr="00C8318A">
              <w:t xml:space="preserve"> 2005).</w:t>
            </w:r>
          </w:p>
          <w:p w:rsidR="0047713F" w:rsidRPr="00C8318A" w:rsidRDefault="0047713F" w:rsidP="00B15ADD">
            <w:pPr>
              <w:pStyle w:val="Tabletext"/>
              <w:spacing w:after="120"/>
            </w:pPr>
            <w:r w:rsidRPr="00C8318A">
              <w:t xml:space="preserve">The </w:t>
            </w:r>
            <w:r w:rsidRPr="0045619F">
              <w:rPr>
                <w:i/>
              </w:rPr>
              <w:t>pharmaceuticals industry</w:t>
            </w:r>
            <w:r w:rsidRPr="00C8318A">
              <w:t xml:space="preserve"> is defined as those organisations that contribute to the discovery, creation and supply of pharmaceuticals products and services, including prescription medicines and vaccines. The stages of the value chain include discovery </w:t>
            </w:r>
            <w:r w:rsidR="0045619F">
              <w:t xml:space="preserve">and </w:t>
            </w:r>
            <w:r w:rsidRPr="00C8318A">
              <w:t>research, and basic research a</w:t>
            </w:r>
            <w:r w:rsidR="0045619F">
              <w:t>n</w:t>
            </w:r>
            <w:r w:rsidRPr="00C8318A">
              <w:t>d development, through to clinical trials,</w:t>
            </w:r>
            <w:r>
              <w:t xml:space="preserve"> and then the manufacturing </w:t>
            </w:r>
            <w:r w:rsidR="0045619F">
              <w:t>and</w:t>
            </w:r>
            <w:r>
              <w:t xml:space="preserve"> </w:t>
            </w:r>
            <w:r w:rsidRPr="00C8318A">
              <w:t>marketing of pharmaceuticals (Pharmace</w:t>
            </w:r>
            <w:r w:rsidR="00A8284B">
              <w:t>uticals Industry Strategy Group</w:t>
            </w:r>
            <w:r w:rsidRPr="00C8318A">
              <w:t xml:space="preserve"> 2009).</w:t>
            </w:r>
          </w:p>
        </w:tc>
        <w:tc>
          <w:tcPr>
            <w:tcW w:w="2518" w:type="dxa"/>
            <w:tcBorders>
              <w:top w:val="single" w:sz="4" w:space="0" w:color="auto"/>
              <w:bottom w:val="single" w:sz="4" w:space="0" w:color="auto"/>
            </w:tcBorders>
            <w:shd w:val="clear" w:color="auto" w:fill="auto"/>
          </w:tcPr>
          <w:p w:rsidR="0047713F" w:rsidRPr="00C8318A" w:rsidRDefault="0047713F" w:rsidP="003478EE">
            <w:pPr>
              <w:pStyle w:val="Tabletext"/>
              <w:spacing w:before="120"/>
            </w:pPr>
            <w:r w:rsidRPr="0045619F">
              <w:rPr>
                <w:i/>
              </w:rPr>
              <w:t>Advanced manufacturing</w:t>
            </w:r>
            <w:r w:rsidRPr="00C8318A">
              <w:t xml:space="preserve"> is defined as a family of activities that:</w:t>
            </w:r>
          </w:p>
          <w:p w:rsidR="0047713F" w:rsidRPr="00C8318A" w:rsidRDefault="00920F07" w:rsidP="00920F07">
            <w:pPr>
              <w:pStyle w:val="Tabletext"/>
              <w:ind w:left="198" w:hanging="198"/>
            </w:pPr>
            <w:r>
              <w:rPr>
                <w:rFonts w:cs="Arial"/>
              </w:rPr>
              <w:t>▪</w:t>
            </w:r>
            <w:r>
              <w:tab/>
            </w:r>
            <w:r w:rsidR="0047713F" w:rsidRPr="00C8318A">
              <w:t xml:space="preserve">depend on the use and coordination of information, automation, computation, software, sensing, and networks, and/or </w:t>
            </w:r>
          </w:p>
          <w:p w:rsidR="0047713F" w:rsidRPr="00C8318A" w:rsidRDefault="00920F07" w:rsidP="00920F07">
            <w:pPr>
              <w:pStyle w:val="Tabletext"/>
              <w:ind w:left="198" w:hanging="198"/>
              <w:rPr>
                <w:rFonts w:asciiTheme="majorHAnsi" w:hAnsiTheme="majorHAnsi" w:cstheme="majorHAnsi"/>
                <w:sz w:val="20"/>
              </w:rPr>
            </w:pPr>
            <w:r>
              <w:rPr>
                <w:rFonts w:cs="Arial"/>
              </w:rPr>
              <w:t>▪</w:t>
            </w:r>
            <w:r>
              <w:tab/>
            </w:r>
            <w:r w:rsidR="0045619F">
              <w:t>make use of cutting-</w:t>
            </w:r>
            <w:r w:rsidR="0047713F" w:rsidRPr="00C8318A">
              <w:t>edge materials and emerging capabilities enabled by the physical and biological sciences, for example</w:t>
            </w:r>
            <w:r w:rsidR="0045619F">
              <w:t>,</w:t>
            </w:r>
            <w:r w:rsidR="0047713F" w:rsidRPr="00C8318A">
              <w:t xml:space="preserve"> nanotechnology, chemistry and biology (President’s Council of Adv</w:t>
            </w:r>
            <w:r w:rsidR="0045619F">
              <w:t>isors on Science and Technology</w:t>
            </w:r>
            <w:r w:rsidR="0047713F" w:rsidRPr="00C8318A">
              <w:t xml:space="preserve"> 2011).</w:t>
            </w:r>
          </w:p>
        </w:tc>
        <w:tc>
          <w:tcPr>
            <w:tcW w:w="2517" w:type="dxa"/>
            <w:tcBorders>
              <w:top w:val="single" w:sz="4" w:space="0" w:color="auto"/>
              <w:bottom w:val="single" w:sz="4" w:space="0" w:color="auto"/>
            </w:tcBorders>
            <w:shd w:val="clear" w:color="auto" w:fill="auto"/>
          </w:tcPr>
          <w:p w:rsidR="0047713F" w:rsidRPr="00C8318A" w:rsidRDefault="0047713F" w:rsidP="003478EE">
            <w:pPr>
              <w:pStyle w:val="Tabletext"/>
              <w:spacing w:before="120"/>
            </w:pPr>
            <w:r w:rsidRPr="00C8318A">
              <w:t xml:space="preserve">The </w:t>
            </w:r>
            <w:r w:rsidRPr="0045619F">
              <w:rPr>
                <w:i/>
              </w:rPr>
              <w:t>mining equipment, technology and services (METS) industry</w:t>
            </w:r>
            <w:r w:rsidRPr="00C8318A">
              <w:t xml:space="preserve"> is comprised of organisations that provide specialised support and solutions to the mining </w:t>
            </w:r>
            <w:r w:rsidR="0045619F">
              <w:t>and minerals industry (</w:t>
            </w:r>
            <w:proofErr w:type="spellStart"/>
            <w:r w:rsidR="0045619F">
              <w:t>Austmine</w:t>
            </w:r>
            <w:proofErr w:type="spellEnd"/>
            <w:r w:rsidRPr="00C8318A">
              <w:t xml:space="preserve"> 2013).</w:t>
            </w:r>
          </w:p>
          <w:p w:rsidR="0047713F" w:rsidRPr="00C8318A" w:rsidRDefault="0047713F" w:rsidP="00920F07">
            <w:pPr>
              <w:pStyle w:val="Tabletext"/>
            </w:pPr>
            <w:r w:rsidRPr="00C8318A">
              <w:t>METS work across a range of minerals and mining divisions.</w:t>
            </w:r>
            <w:r w:rsidR="00472A51">
              <w:t xml:space="preserve"> </w:t>
            </w:r>
            <w:r w:rsidRPr="00C8318A">
              <w:t>While some companies remain highly specialised in a certain commodity, the great majority work across several mineral types.</w:t>
            </w:r>
            <w:r w:rsidR="00472A51">
              <w:t xml:space="preserve"> </w:t>
            </w:r>
            <w:r w:rsidRPr="00C8318A">
              <w:t>A large percentage is also involved in o</w:t>
            </w:r>
            <w:r w:rsidR="005C4A4A">
              <w:t>il and gas extraction (</w:t>
            </w:r>
            <w:proofErr w:type="spellStart"/>
            <w:r w:rsidR="005C4A4A">
              <w:t>Austmine</w:t>
            </w:r>
            <w:proofErr w:type="spellEnd"/>
            <w:r w:rsidRPr="00C8318A">
              <w:t xml:space="preserve"> 2013).</w:t>
            </w:r>
          </w:p>
          <w:p w:rsidR="0047713F" w:rsidRPr="00C8318A" w:rsidRDefault="0047713F" w:rsidP="00920F07">
            <w:pPr>
              <w:pStyle w:val="Tabletext"/>
            </w:pPr>
            <w:r w:rsidRPr="00C8318A">
              <w:t xml:space="preserve">There are three broad segments of the METS </w:t>
            </w:r>
            <w:r>
              <w:t>industry</w:t>
            </w:r>
            <w:r w:rsidRPr="00C8318A">
              <w:t>:</w:t>
            </w:r>
          </w:p>
          <w:p w:rsidR="0047713F" w:rsidRPr="00C8318A" w:rsidRDefault="00920F07" w:rsidP="00920F07">
            <w:pPr>
              <w:pStyle w:val="Tabletext"/>
              <w:ind w:left="198" w:hanging="198"/>
            </w:pPr>
            <w:r>
              <w:rPr>
                <w:rFonts w:cs="Arial"/>
              </w:rPr>
              <w:t>▪</w:t>
            </w:r>
            <w:r>
              <w:tab/>
            </w:r>
            <w:r w:rsidR="0047713F" w:rsidRPr="00C8318A">
              <w:t xml:space="preserve">mining services </w:t>
            </w:r>
          </w:p>
          <w:p w:rsidR="0047713F" w:rsidRPr="00C8318A" w:rsidRDefault="00920F07" w:rsidP="00920F07">
            <w:pPr>
              <w:pStyle w:val="Tabletext"/>
              <w:ind w:left="198" w:hanging="198"/>
            </w:pPr>
            <w:r>
              <w:rPr>
                <w:rFonts w:cs="Arial"/>
              </w:rPr>
              <w:t>▪</w:t>
            </w:r>
            <w:r>
              <w:tab/>
            </w:r>
            <w:r w:rsidR="0047713F" w:rsidRPr="00C8318A">
              <w:t>mining and mineral processing equipment</w:t>
            </w:r>
          </w:p>
          <w:p w:rsidR="0047713F" w:rsidRPr="00C8318A" w:rsidRDefault="00920F07" w:rsidP="00920F07">
            <w:pPr>
              <w:pStyle w:val="Tabletext"/>
              <w:ind w:left="198" w:hanging="198"/>
              <w:rPr>
                <w:rFonts w:asciiTheme="majorHAnsi" w:hAnsiTheme="majorHAnsi" w:cstheme="majorHAnsi"/>
                <w:sz w:val="20"/>
              </w:rPr>
            </w:pPr>
            <w:r>
              <w:rPr>
                <w:rFonts w:cs="Arial"/>
              </w:rPr>
              <w:t>▪</w:t>
            </w:r>
            <w:r>
              <w:tab/>
            </w:r>
            <w:proofErr w:type="gramStart"/>
            <w:r w:rsidR="0047713F" w:rsidRPr="00C8318A">
              <w:t>firms</w:t>
            </w:r>
            <w:proofErr w:type="gramEnd"/>
            <w:r w:rsidR="0047713F" w:rsidRPr="00C8318A">
              <w:t xml:space="preserve"> providing highly specialised technology equipment, software and r</w:t>
            </w:r>
            <w:r w:rsidR="005C4A4A">
              <w:t>elated services</w:t>
            </w:r>
            <w:r w:rsidR="00472A51">
              <w:t xml:space="preserve"> </w:t>
            </w:r>
            <w:r w:rsidR="005C4A4A">
              <w:br/>
              <w:t>(Scott-</w:t>
            </w:r>
            <w:proofErr w:type="spellStart"/>
            <w:r w:rsidR="005C4A4A">
              <w:t>Kemmis</w:t>
            </w:r>
            <w:proofErr w:type="spellEnd"/>
            <w:r w:rsidR="0047713F" w:rsidRPr="00C8318A">
              <w:t xml:space="preserve"> 2013).</w:t>
            </w:r>
          </w:p>
        </w:tc>
        <w:tc>
          <w:tcPr>
            <w:tcW w:w="2518" w:type="dxa"/>
            <w:tcBorders>
              <w:top w:val="single" w:sz="4" w:space="0" w:color="auto"/>
              <w:bottom w:val="single" w:sz="4" w:space="0" w:color="auto"/>
            </w:tcBorders>
            <w:shd w:val="clear" w:color="auto" w:fill="auto"/>
          </w:tcPr>
          <w:p w:rsidR="0047713F" w:rsidRPr="00C8318A" w:rsidRDefault="0047713F" w:rsidP="003478EE">
            <w:pPr>
              <w:pStyle w:val="Tabletext"/>
              <w:spacing w:before="120"/>
            </w:pPr>
            <w:r w:rsidRPr="00C8318A">
              <w:t xml:space="preserve">The </w:t>
            </w:r>
            <w:r w:rsidRPr="0045619F">
              <w:rPr>
                <w:i/>
              </w:rPr>
              <w:t>oil and gas industry</w:t>
            </w:r>
            <w:r w:rsidRPr="00C8318A">
              <w:t xml:space="preserve"> encompasses the exploration, appraisal, development, construction and production of natural gas and petroleum liquid resources. The upstream segment of the petroleum sector involves the processing and delivery of products to either export terminals or domestic gas transmission pipel</w:t>
            </w:r>
            <w:r w:rsidR="00A8284B">
              <w:t>ines (Deloitte Access Economics</w:t>
            </w:r>
            <w:r w:rsidRPr="00C8318A">
              <w:t xml:space="preserve"> 2012). </w:t>
            </w:r>
          </w:p>
        </w:tc>
      </w:tr>
      <w:tr w:rsidR="0047713F" w:rsidRPr="003F0196" w:rsidTr="002E28D8">
        <w:trPr>
          <w:cantSplit/>
        </w:trPr>
        <w:tc>
          <w:tcPr>
            <w:tcW w:w="1418" w:type="dxa"/>
            <w:tcBorders>
              <w:top w:val="single" w:sz="4" w:space="0" w:color="auto"/>
              <w:bottom w:val="single" w:sz="4" w:space="0" w:color="auto"/>
            </w:tcBorders>
            <w:shd w:val="clear" w:color="auto" w:fill="C6D9F1" w:themeFill="text2" w:themeFillTint="33"/>
          </w:tcPr>
          <w:p w:rsidR="0047713F" w:rsidRPr="00920F07" w:rsidRDefault="0047713F" w:rsidP="003478EE">
            <w:pPr>
              <w:pStyle w:val="Tabletext"/>
              <w:spacing w:before="120"/>
              <w:rPr>
                <w:b/>
              </w:rPr>
            </w:pPr>
            <w:r w:rsidRPr="00920F07">
              <w:rPr>
                <w:b/>
              </w:rPr>
              <w:lastRenderedPageBreak/>
              <w:t>Value</w:t>
            </w:r>
          </w:p>
        </w:tc>
        <w:tc>
          <w:tcPr>
            <w:tcW w:w="2517" w:type="dxa"/>
            <w:tcBorders>
              <w:top w:val="single" w:sz="4" w:space="0" w:color="auto"/>
              <w:bottom w:val="single" w:sz="4" w:space="0" w:color="auto"/>
            </w:tcBorders>
            <w:shd w:val="clear" w:color="auto" w:fill="auto"/>
          </w:tcPr>
          <w:p w:rsidR="0047713F" w:rsidRPr="00C8318A" w:rsidRDefault="0047713F" w:rsidP="003478EE">
            <w:pPr>
              <w:pStyle w:val="Tabletext"/>
              <w:spacing w:before="120"/>
            </w:pPr>
            <w:r w:rsidRPr="00C8318A">
              <w:t>Collectively, food and agriculture industries contribute over $237 billion to the national economy, accounting for 18</w:t>
            </w:r>
            <w:r w:rsidR="008D67F9">
              <w:t>%</w:t>
            </w:r>
            <w:r w:rsidRPr="00C8318A">
              <w:t xml:space="preserve"> of Australia's </w:t>
            </w:r>
            <w:r w:rsidR="005C4A4A">
              <w:t>GDP (</w:t>
            </w:r>
            <w:proofErr w:type="spellStart"/>
            <w:r w:rsidR="005C4A4A">
              <w:t>Agrifood</w:t>
            </w:r>
            <w:proofErr w:type="spellEnd"/>
            <w:r w:rsidR="005C4A4A">
              <w:t xml:space="preserve"> Skills Australia</w:t>
            </w:r>
            <w:r w:rsidRPr="00C8318A">
              <w:t xml:space="preserve"> 2013).</w:t>
            </w:r>
          </w:p>
          <w:p w:rsidR="0047713F" w:rsidRPr="00C8318A" w:rsidRDefault="0047713F" w:rsidP="00920F07">
            <w:pPr>
              <w:pStyle w:val="Tabletext"/>
            </w:pPr>
            <w:r w:rsidRPr="00C8318A">
              <w:t>In 2013, the food and beverage sector alone contributed $184.2 billion (</w:t>
            </w:r>
            <w:proofErr w:type="spellStart"/>
            <w:r>
              <w:t>Agrifood</w:t>
            </w:r>
            <w:proofErr w:type="spellEnd"/>
            <w:r>
              <w:t xml:space="preserve"> Skills Australia</w:t>
            </w:r>
            <w:r w:rsidRPr="00C8318A">
              <w:t xml:space="preserve"> 2013).</w:t>
            </w:r>
          </w:p>
          <w:p w:rsidR="0047713F" w:rsidRPr="00C8318A" w:rsidRDefault="0047713F" w:rsidP="00920F07">
            <w:pPr>
              <w:pStyle w:val="Tabletext"/>
            </w:pPr>
            <w:r w:rsidRPr="00C8318A">
              <w:t>In 2013, the pharmaceutical sector (included in the total for food and agriculture) alone contributed $22.3 bil</w:t>
            </w:r>
            <w:r w:rsidR="005C4A4A">
              <w:t>lion (</w:t>
            </w:r>
            <w:proofErr w:type="spellStart"/>
            <w:r w:rsidR="005C4A4A">
              <w:t>Agrifood</w:t>
            </w:r>
            <w:proofErr w:type="spellEnd"/>
            <w:r w:rsidR="005C4A4A">
              <w:t xml:space="preserve"> Skills Australia</w:t>
            </w:r>
            <w:r w:rsidRPr="00C8318A">
              <w:t xml:space="preserve"> 2013).</w:t>
            </w:r>
          </w:p>
        </w:tc>
        <w:tc>
          <w:tcPr>
            <w:tcW w:w="2517" w:type="dxa"/>
            <w:tcBorders>
              <w:top w:val="single" w:sz="4" w:space="0" w:color="auto"/>
              <w:bottom w:val="single" w:sz="4" w:space="0" w:color="auto"/>
            </w:tcBorders>
            <w:shd w:val="clear" w:color="auto" w:fill="auto"/>
          </w:tcPr>
          <w:p w:rsidR="0047713F" w:rsidRPr="00C8318A" w:rsidRDefault="0047713F" w:rsidP="003478EE">
            <w:pPr>
              <w:pStyle w:val="Tabletext"/>
              <w:spacing w:before="120"/>
              <w:rPr>
                <w:noProof/>
                <w:lang w:val="en-US"/>
              </w:rPr>
            </w:pPr>
            <w:r w:rsidRPr="00C8318A">
              <w:rPr>
                <w:noProof/>
                <w:lang w:val="en-US"/>
              </w:rPr>
              <w:t>In 20</w:t>
            </w:r>
            <w:r>
              <w:rPr>
                <w:noProof/>
                <w:lang w:val="en-US"/>
              </w:rPr>
              <w:t>12</w:t>
            </w:r>
            <w:r w:rsidR="005C4A4A">
              <w:rPr>
                <w:noProof/>
                <w:lang w:val="en-US"/>
              </w:rPr>
              <w:t>–</w:t>
            </w:r>
            <w:r>
              <w:rPr>
                <w:noProof/>
                <w:lang w:val="en-US"/>
              </w:rPr>
              <w:t>13</w:t>
            </w:r>
            <w:r w:rsidRPr="00C8318A">
              <w:rPr>
                <w:noProof/>
                <w:lang w:val="en-US"/>
              </w:rPr>
              <w:t>, the pharmaeuticals industry generated $23.</w:t>
            </w:r>
            <w:r>
              <w:rPr>
                <w:noProof/>
                <w:lang w:val="en-US"/>
              </w:rPr>
              <w:t>4</w:t>
            </w:r>
            <w:r w:rsidRPr="00C8318A">
              <w:rPr>
                <w:noProof/>
                <w:lang w:val="en-US"/>
              </w:rPr>
              <w:t xml:space="preserve"> billion in revenue, with exports of $</w:t>
            </w:r>
            <w:r>
              <w:rPr>
                <w:noProof/>
                <w:lang w:val="en-US"/>
              </w:rPr>
              <w:t>3.89</w:t>
            </w:r>
            <w:r w:rsidRPr="00C8318A">
              <w:rPr>
                <w:noProof/>
                <w:lang w:val="en-US"/>
              </w:rPr>
              <w:t xml:space="preserve"> billion (</w:t>
            </w:r>
            <w:r w:rsidR="005C4A4A">
              <w:rPr>
                <w:noProof/>
                <w:lang w:val="en-US"/>
              </w:rPr>
              <w:t>Department of Indusrty, Innovation, Climate Change, Science, Research and Tertiary Education</w:t>
            </w:r>
            <w:r w:rsidRPr="00C8318A">
              <w:rPr>
                <w:noProof/>
                <w:lang w:val="en-US"/>
              </w:rPr>
              <w:t xml:space="preserve"> 201</w:t>
            </w:r>
            <w:r>
              <w:rPr>
                <w:noProof/>
                <w:lang w:val="en-US"/>
              </w:rPr>
              <w:t>4</w:t>
            </w:r>
            <w:r w:rsidRPr="00C8318A">
              <w:rPr>
                <w:noProof/>
                <w:lang w:val="en-US"/>
              </w:rPr>
              <w:t>).</w:t>
            </w:r>
          </w:p>
          <w:p w:rsidR="0047713F" w:rsidRPr="00C8318A" w:rsidRDefault="0047713F" w:rsidP="00920F07">
            <w:pPr>
              <w:pStyle w:val="Tabletext"/>
              <w:rPr>
                <w:noProof/>
                <w:lang w:val="en-US"/>
              </w:rPr>
            </w:pPr>
            <w:r w:rsidRPr="00C8318A">
              <w:rPr>
                <w:noProof/>
                <w:lang w:val="en-US"/>
              </w:rPr>
              <w:t xml:space="preserve">In 2011, the </w:t>
            </w:r>
            <w:r>
              <w:rPr>
                <w:noProof/>
                <w:lang w:val="en-US"/>
              </w:rPr>
              <w:t xml:space="preserve">Australian </w:t>
            </w:r>
            <w:r w:rsidRPr="00C8318A">
              <w:rPr>
                <w:noProof/>
                <w:lang w:val="en-US"/>
              </w:rPr>
              <w:t>biotechnology industry generated $US</w:t>
            </w:r>
            <w:r w:rsidR="00A8284B">
              <w:rPr>
                <w:noProof/>
                <w:lang w:val="en-US"/>
              </w:rPr>
              <w:t>4.712 in revenue (Ernst &amp; Young</w:t>
            </w:r>
            <w:r w:rsidRPr="00C8318A">
              <w:rPr>
                <w:noProof/>
                <w:lang w:val="en-US"/>
              </w:rPr>
              <w:t xml:space="preserve"> 2012).</w:t>
            </w:r>
          </w:p>
        </w:tc>
        <w:tc>
          <w:tcPr>
            <w:tcW w:w="2518" w:type="dxa"/>
            <w:tcBorders>
              <w:top w:val="single" w:sz="4" w:space="0" w:color="auto"/>
              <w:bottom w:val="single" w:sz="4" w:space="0" w:color="auto"/>
            </w:tcBorders>
            <w:shd w:val="clear" w:color="auto" w:fill="auto"/>
          </w:tcPr>
          <w:p w:rsidR="0047713F" w:rsidRPr="00C8318A" w:rsidRDefault="00A8284B" w:rsidP="003478EE">
            <w:pPr>
              <w:pStyle w:val="Tabletext"/>
              <w:spacing w:before="120"/>
              <w:rPr>
                <w:noProof/>
                <w:lang w:val="en-US"/>
              </w:rPr>
            </w:pPr>
            <w:r>
              <w:rPr>
                <w:noProof/>
                <w:lang w:val="en-US"/>
              </w:rPr>
              <w:t>The manufacturing i</w:t>
            </w:r>
            <w:r w:rsidR="0047713F" w:rsidRPr="00C8318A">
              <w:rPr>
                <w:noProof/>
                <w:lang w:val="en-US"/>
              </w:rPr>
              <w:t>ndustry contributes over $100 billion to the national economy (</w:t>
            </w:r>
            <w:r w:rsidR="005C4A4A">
              <w:rPr>
                <w:noProof/>
                <w:lang w:val="en-US"/>
              </w:rPr>
              <w:t>Department of Industry</w:t>
            </w:r>
            <w:r w:rsidR="0047713F">
              <w:rPr>
                <w:noProof/>
                <w:lang w:val="en-US"/>
              </w:rPr>
              <w:t xml:space="preserve"> 2014</w:t>
            </w:r>
            <w:r w:rsidR="0047713F" w:rsidRPr="00C8318A">
              <w:rPr>
                <w:noProof/>
                <w:lang w:val="en-US"/>
              </w:rPr>
              <w:t>).</w:t>
            </w:r>
          </w:p>
          <w:p w:rsidR="0047713F" w:rsidRPr="00C8318A" w:rsidRDefault="0047713F" w:rsidP="00B15ADD">
            <w:pPr>
              <w:pStyle w:val="Tabletext"/>
              <w:spacing w:after="120"/>
              <w:rPr>
                <w:noProof/>
                <w:lang w:val="en-US"/>
              </w:rPr>
            </w:pPr>
            <w:r w:rsidRPr="00C8318A">
              <w:rPr>
                <w:lang w:val="en-US" w:eastAsia="en-AU"/>
              </w:rPr>
              <w:t xml:space="preserve">Advanced manufacturing accounts for around half of Australia’s </w:t>
            </w:r>
            <w:r>
              <w:rPr>
                <w:lang w:val="en-US" w:eastAsia="en-AU"/>
              </w:rPr>
              <w:t>estimated $100</w:t>
            </w:r>
            <w:r w:rsidRPr="00C8318A">
              <w:rPr>
                <w:lang w:val="en-US" w:eastAsia="en-AU"/>
              </w:rPr>
              <w:t xml:space="preserve"> billion annual manufacturing output and is one of the fastest growing export </w:t>
            </w:r>
            <w:r>
              <w:rPr>
                <w:lang w:val="en-US" w:eastAsia="en-AU"/>
              </w:rPr>
              <w:t>industries</w:t>
            </w:r>
            <w:r w:rsidR="009737E2">
              <w:rPr>
                <w:lang w:val="en-US" w:eastAsia="en-AU"/>
              </w:rPr>
              <w:t xml:space="preserve"> including aerospace, automotive, machinery, tooling, instruments, chemicals, plastics and many other products with a high degree of transformation</w:t>
            </w:r>
            <w:r w:rsidRPr="00C8318A">
              <w:rPr>
                <w:lang w:val="en-US" w:eastAsia="en-AU"/>
              </w:rPr>
              <w:t xml:space="preserve"> (</w:t>
            </w:r>
            <w:r w:rsidR="0074426D">
              <w:rPr>
                <w:lang w:val="en-US" w:eastAsia="en-AU"/>
              </w:rPr>
              <w:t>Australian Manufacturing</w:t>
            </w:r>
            <w:r w:rsidR="009737E2">
              <w:rPr>
                <w:lang w:val="en-US" w:eastAsia="en-AU"/>
              </w:rPr>
              <w:t xml:space="preserve"> </w:t>
            </w:r>
            <w:r w:rsidR="0074426D">
              <w:rPr>
                <w:lang w:val="en-US" w:eastAsia="en-AU"/>
              </w:rPr>
              <w:t>2012</w:t>
            </w:r>
            <w:r w:rsidR="009737E2">
              <w:rPr>
                <w:lang w:val="en-US" w:eastAsia="en-AU"/>
              </w:rPr>
              <w:t xml:space="preserve">; </w:t>
            </w:r>
            <w:proofErr w:type="spellStart"/>
            <w:r w:rsidR="00A8284B">
              <w:rPr>
                <w:lang w:val="en-US" w:eastAsia="en-AU"/>
              </w:rPr>
              <w:t>Austrade</w:t>
            </w:r>
            <w:proofErr w:type="spellEnd"/>
            <w:r w:rsidRPr="00C8318A">
              <w:rPr>
                <w:lang w:val="en-US" w:eastAsia="en-AU"/>
              </w:rPr>
              <w:t xml:space="preserve"> 2014</w:t>
            </w:r>
            <w:r w:rsidR="00A8284B">
              <w:rPr>
                <w:lang w:val="en-US" w:eastAsia="en-AU"/>
              </w:rPr>
              <w:t>; Global Alliance of SMEs</w:t>
            </w:r>
            <w:r w:rsidR="0074426D">
              <w:rPr>
                <w:lang w:val="en-US" w:eastAsia="en-AU"/>
              </w:rPr>
              <w:t xml:space="preserve"> 2014</w:t>
            </w:r>
            <w:r w:rsidRPr="00C8318A">
              <w:rPr>
                <w:lang w:val="en-US" w:eastAsia="en-AU"/>
              </w:rPr>
              <w:t>).</w:t>
            </w:r>
          </w:p>
        </w:tc>
        <w:tc>
          <w:tcPr>
            <w:tcW w:w="2517" w:type="dxa"/>
            <w:tcBorders>
              <w:top w:val="single" w:sz="4" w:space="0" w:color="auto"/>
              <w:bottom w:val="single" w:sz="4" w:space="0" w:color="auto"/>
            </w:tcBorders>
            <w:shd w:val="clear" w:color="auto" w:fill="auto"/>
          </w:tcPr>
          <w:p w:rsidR="0047713F" w:rsidRPr="001E2023" w:rsidRDefault="0074426D" w:rsidP="003478EE">
            <w:pPr>
              <w:pStyle w:val="Tabletext"/>
              <w:spacing w:before="120"/>
            </w:pPr>
            <w:r w:rsidRPr="001E2023">
              <w:t xml:space="preserve">Australia’s METS sector contributes approximately A$10 billion annually to the economy with yearly </w:t>
            </w:r>
            <w:r w:rsidR="001E2023">
              <w:t>exports of at least A$3 billion</w:t>
            </w:r>
            <w:r w:rsidRPr="001E2023">
              <w:t xml:space="preserve"> </w:t>
            </w:r>
            <w:r w:rsidR="005C4A4A">
              <w:t>(</w:t>
            </w:r>
            <w:proofErr w:type="spellStart"/>
            <w:r w:rsidR="005C4A4A">
              <w:t>Austrade</w:t>
            </w:r>
            <w:proofErr w:type="spellEnd"/>
            <w:r w:rsidR="001E2023">
              <w:t xml:space="preserve"> 2013)</w:t>
            </w:r>
            <w:r w:rsidRPr="001E2023">
              <w:t>.</w:t>
            </w:r>
          </w:p>
        </w:tc>
        <w:tc>
          <w:tcPr>
            <w:tcW w:w="2518" w:type="dxa"/>
            <w:tcBorders>
              <w:top w:val="single" w:sz="4" w:space="0" w:color="auto"/>
              <w:bottom w:val="single" w:sz="4" w:space="0" w:color="auto"/>
            </w:tcBorders>
            <w:shd w:val="clear" w:color="auto" w:fill="auto"/>
          </w:tcPr>
          <w:p w:rsidR="0047713F" w:rsidRPr="00C8318A" w:rsidRDefault="0047713F" w:rsidP="003478EE">
            <w:pPr>
              <w:pStyle w:val="Tabletext"/>
              <w:spacing w:before="120"/>
              <w:rPr>
                <w:noProof/>
                <w:lang w:val="en-US"/>
              </w:rPr>
            </w:pPr>
            <w:r w:rsidRPr="00C8318A">
              <w:rPr>
                <w:noProof/>
                <w:lang w:val="en-US"/>
              </w:rPr>
              <w:t>The oil and gas industry contributed around $28.3 billion to the national economy in 2011, accounting for 2.1</w:t>
            </w:r>
            <w:r w:rsidR="008D67F9">
              <w:rPr>
                <w:noProof/>
                <w:lang w:val="en-US"/>
              </w:rPr>
              <w:t>%</w:t>
            </w:r>
            <w:r w:rsidRPr="00C8318A">
              <w:rPr>
                <w:noProof/>
                <w:lang w:val="en-US"/>
              </w:rPr>
              <w:t xml:space="preserve"> of Australia's </w:t>
            </w:r>
            <w:r w:rsidR="005C4A4A">
              <w:rPr>
                <w:noProof/>
                <w:lang w:val="en-US"/>
              </w:rPr>
              <w:t>GDP</w:t>
            </w:r>
            <w:r w:rsidR="00A8284B">
              <w:rPr>
                <w:noProof/>
                <w:lang w:val="en-US"/>
              </w:rPr>
              <w:t xml:space="preserve"> </w:t>
            </w:r>
            <w:r w:rsidRPr="00C8318A">
              <w:rPr>
                <w:noProof/>
                <w:lang w:val="en-US"/>
              </w:rPr>
              <w:t>in 2011 (Deloitte</w:t>
            </w:r>
            <w:r w:rsidR="00513EC3">
              <w:rPr>
                <w:noProof/>
                <w:lang w:val="en-US"/>
              </w:rPr>
              <w:t xml:space="preserve"> Access Economics</w:t>
            </w:r>
            <w:r w:rsidRPr="00C8318A">
              <w:rPr>
                <w:noProof/>
                <w:lang w:val="en-US"/>
              </w:rPr>
              <w:t xml:space="preserve"> 2012).</w:t>
            </w:r>
          </w:p>
          <w:p w:rsidR="0047713F" w:rsidRPr="00C8318A" w:rsidRDefault="0047713F" w:rsidP="00920F07">
            <w:pPr>
              <w:pStyle w:val="Tabletext"/>
              <w:rPr>
                <w:noProof/>
                <w:lang w:val="en-US"/>
              </w:rPr>
            </w:pPr>
            <w:r w:rsidRPr="00C8318A">
              <w:rPr>
                <w:noProof/>
                <w:lang w:val="en-US"/>
              </w:rPr>
              <w:t>Australia’s gas industry is delivering about $8 billion a year in tax revenue (</w:t>
            </w:r>
            <w:r w:rsidR="005C4A4A">
              <w:rPr>
                <w:noProof/>
                <w:lang w:val="en-US"/>
              </w:rPr>
              <w:t>Australian Petroleum Production &amp; Exploration Association</w:t>
            </w:r>
            <w:r w:rsidRPr="00C8318A">
              <w:rPr>
                <w:noProof/>
                <w:lang w:val="en-US"/>
              </w:rPr>
              <w:t xml:space="preserve"> 2014b).</w:t>
            </w:r>
          </w:p>
        </w:tc>
      </w:tr>
      <w:tr w:rsidR="0047713F" w:rsidRPr="003F0196" w:rsidTr="002E28D8">
        <w:tc>
          <w:tcPr>
            <w:tcW w:w="1418" w:type="dxa"/>
            <w:tcBorders>
              <w:top w:val="single" w:sz="4" w:space="0" w:color="auto"/>
              <w:bottom w:val="single" w:sz="4" w:space="0" w:color="auto"/>
            </w:tcBorders>
            <w:shd w:val="clear" w:color="auto" w:fill="C6D9F1" w:themeFill="text2" w:themeFillTint="33"/>
          </w:tcPr>
          <w:p w:rsidR="0047713F" w:rsidRPr="00920F07" w:rsidRDefault="0047713F" w:rsidP="003478EE">
            <w:pPr>
              <w:pStyle w:val="Tabletext"/>
              <w:spacing w:before="120"/>
              <w:rPr>
                <w:b/>
              </w:rPr>
            </w:pPr>
            <w:r w:rsidRPr="00920F07">
              <w:rPr>
                <w:b/>
              </w:rPr>
              <w:t>Workforce overall</w:t>
            </w:r>
          </w:p>
        </w:tc>
        <w:tc>
          <w:tcPr>
            <w:tcW w:w="2517" w:type="dxa"/>
            <w:tcBorders>
              <w:top w:val="single" w:sz="4" w:space="0" w:color="auto"/>
              <w:bottom w:val="single" w:sz="4" w:space="0" w:color="auto"/>
            </w:tcBorders>
            <w:shd w:val="clear" w:color="auto" w:fill="auto"/>
          </w:tcPr>
          <w:p w:rsidR="0047713F" w:rsidRPr="00C8318A" w:rsidRDefault="0047713F" w:rsidP="003478EE">
            <w:pPr>
              <w:pStyle w:val="Tabletext"/>
              <w:spacing w:before="120"/>
            </w:pPr>
            <w:r w:rsidRPr="00C8318A">
              <w:t>Employment figures for the food and agriculture industry vary considerably, highlighting discrepancies between sources in how the industry has been categorised.</w:t>
            </w:r>
          </w:p>
          <w:p w:rsidR="0047713F" w:rsidRPr="00C8318A" w:rsidRDefault="0047713F" w:rsidP="00920F07">
            <w:pPr>
              <w:pStyle w:val="Tabletext"/>
            </w:pPr>
            <w:r w:rsidRPr="00C8318A">
              <w:t>The food and agriculture indu</w:t>
            </w:r>
            <w:r w:rsidR="00A8284B">
              <w:t xml:space="preserve">stry employed approximately 825 000 workers across 180 </w:t>
            </w:r>
            <w:r w:rsidRPr="00C8318A">
              <w:t xml:space="preserve">000 enterprises in </w:t>
            </w:r>
            <w:r w:rsidR="00A8284B">
              <w:t>2013 (</w:t>
            </w:r>
            <w:proofErr w:type="spellStart"/>
            <w:r w:rsidR="00A8284B">
              <w:t>Agrifood</w:t>
            </w:r>
            <w:proofErr w:type="spellEnd"/>
            <w:r w:rsidR="00A8284B">
              <w:t xml:space="preserve"> Skills Australia</w:t>
            </w:r>
            <w:r w:rsidRPr="00C8318A">
              <w:t xml:space="preserve"> 2013).</w:t>
            </w:r>
          </w:p>
          <w:p w:rsidR="0047713F" w:rsidRPr="00920F07" w:rsidRDefault="00246402" w:rsidP="003478EE">
            <w:pPr>
              <w:pStyle w:val="Tabletext"/>
              <w:spacing w:before="120"/>
              <w:rPr>
                <w:b/>
              </w:rPr>
            </w:pPr>
            <w:r w:rsidRPr="00920F07">
              <w:rPr>
                <w:b/>
              </w:rPr>
              <w:t>Food i</w:t>
            </w:r>
            <w:r w:rsidR="0047713F" w:rsidRPr="00920F07">
              <w:rPr>
                <w:b/>
              </w:rPr>
              <w:t>ndustry</w:t>
            </w:r>
          </w:p>
          <w:p w:rsidR="0047713F" w:rsidRPr="00C8318A" w:rsidRDefault="0047713F" w:rsidP="00920F07">
            <w:pPr>
              <w:pStyle w:val="Tabletext"/>
            </w:pPr>
            <w:r w:rsidRPr="00C8318A">
              <w:t>The food industry – ranging from farm and fisheries production to food and beverage service – employed around 1.64</w:t>
            </w:r>
            <w:r w:rsidR="00E651ED">
              <w:t xml:space="preserve"> million people in 2011–</w:t>
            </w:r>
            <w:r w:rsidRPr="00C8318A">
              <w:t>12, around 15</w:t>
            </w:r>
            <w:r w:rsidR="00D91A42">
              <w:t xml:space="preserve">% </w:t>
            </w:r>
            <w:r w:rsidRPr="00C8318A">
              <w:t>of total employment in Australia (D</w:t>
            </w:r>
            <w:r w:rsidR="00D91A42">
              <w:t xml:space="preserve">epartment of </w:t>
            </w:r>
            <w:r w:rsidRPr="00C8318A">
              <w:t>A</w:t>
            </w:r>
            <w:r w:rsidR="00D91A42">
              <w:t xml:space="preserve">griculture, </w:t>
            </w:r>
            <w:r w:rsidRPr="00C8318A">
              <w:t>F</w:t>
            </w:r>
            <w:r w:rsidR="00D91A42">
              <w:t xml:space="preserve">isheries and </w:t>
            </w:r>
            <w:r w:rsidRPr="00C8318A">
              <w:t>F</w:t>
            </w:r>
            <w:r w:rsidR="00D91A42">
              <w:t>orestry</w:t>
            </w:r>
            <w:r w:rsidRPr="00C8318A">
              <w:t xml:space="preserve"> 2013).</w:t>
            </w:r>
          </w:p>
          <w:p w:rsidR="0047713F" w:rsidRPr="00920F07" w:rsidRDefault="0047713F" w:rsidP="003478EE">
            <w:pPr>
              <w:pStyle w:val="Tabletext"/>
              <w:spacing w:before="120"/>
              <w:rPr>
                <w:b/>
              </w:rPr>
            </w:pPr>
            <w:r w:rsidRPr="00920F07">
              <w:rPr>
                <w:b/>
              </w:rPr>
              <w:t>Agriculture, forestry and fishing Industry</w:t>
            </w:r>
          </w:p>
          <w:p w:rsidR="00FA13B1" w:rsidRDefault="00246402" w:rsidP="00FA13B1">
            <w:pPr>
              <w:pStyle w:val="Tabletext"/>
            </w:pPr>
            <w:r>
              <w:t>Employed approximately 316</w:t>
            </w:r>
            <w:r w:rsidR="00E651ED">
              <w:t> </w:t>
            </w:r>
            <w:r w:rsidR="0047713F" w:rsidRPr="00C8318A">
              <w:t>800 workers in 2013,</w:t>
            </w:r>
            <w:r>
              <w:t xml:space="preserve"> </w:t>
            </w:r>
          </w:p>
          <w:p w:rsidR="0047713F" w:rsidRPr="00C8318A" w:rsidRDefault="00246402" w:rsidP="00FA13B1">
            <w:pPr>
              <w:pStyle w:val="Tabletext"/>
              <w:spacing w:before="120"/>
            </w:pPr>
            <w:proofErr w:type="gramStart"/>
            <w:r>
              <w:lastRenderedPageBreak/>
              <w:t>accounting</w:t>
            </w:r>
            <w:proofErr w:type="gramEnd"/>
            <w:r>
              <w:t xml:space="preserve"> for just under 3</w:t>
            </w:r>
            <w:r w:rsidR="008D67F9">
              <w:t>%</w:t>
            </w:r>
            <w:r w:rsidR="0047713F" w:rsidRPr="00C8318A">
              <w:t xml:space="preserve"> of</w:t>
            </w:r>
            <w:r w:rsidR="00FA13B1">
              <w:t xml:space="preserve"> </w:t>
            </w:r>
            <w:r w:rsidR="0047713F" w:rsidRPr="00C8318A">
              <w:t>the total Australian workforce</w:t>
            </w:r>
            <w:r w:rsidR="0047713F">
              <w:t xml:space="preserve"> </w:t>
            </w:r>
            <w:r w:rsidR="0047713F" w:rsidRPr="00DD05A2">
              <w:t>(</w:t>
            </w:r>
            <w:r w:rsidR="008D67F9">
              <w:t xml:space="preserve">Australian </w:t>
            </w:r>
            <w:r w:rsidR="006C26DD">
              <w:t>Workforce and Productivity</w:t>
            </w:r>
            <w:r w:rsidR="008D67F9">
              <w:t xml:space="preserve"> Agency</w:t>
            </w:r>
            <w:r w:rsidR="0047713F" w:rsidRPr="00DD05A2">
              <w:t xml:space="preserve"> 2013</w:t>
            </w:r>
            <w:r w:rsidR="00942949">
              <w:t>d</w:t>
            </w:r>
            <w:r w:rsidR="0047713F" w:rsidRPr="00DD05A2">
              <w:t>).</w:t>
            </w:r>
          </w:p>
          <w:p w:rsidR="0047713F" w:rsidRPr="00C8318A" w:rsidRDefault="0047713F" w:rsidP="00B15ADD">
            <w:pPr>
              <w:pStyle w:val="Tabletext"/>
              <w:spacing w:after="120"/>
              <w:rPr>
                <w:rFonts w:asciiTheme="majorHAnsi" w:hAnsiTheme="majorHAnsi" w:cstheme="majorHAnsi"/>
                <w:sz w:val="20"/>
              </w:rPr>
            </w:pPr>
            <w:r w:rsidRPr="00C8318A">
              <w:t>86</w:t>
            </w:r>
            <w:r w:rsidR="008D67F9">
              <w:t>%</w:t>
            </w:r>
            <w:r w:rsidRPr="00C8318A">
              <w:t xml:space="preserve"> of workers are employed in small enterprises, while a further 11</w:t>
            </w:r>
            <w:r w:rsidR="008D67F9">
              <w:t>%</w:t>
            </w:r>
            <w:r w:rsidRPr="00C8318A">
              <w:t xml:space="preserve"> are employed in medium-sized enterprises </w:t>
            </w:r>
            <w:r w:rsidRPr="00DD05A2">
              <w:t>(</w:t>
            </w:r>
            <w:r w:rsidR="008D67F9">
              <w:t xml:space="preserve">Australian </w:t>
            </w:r>
            <w:r w:rsidR="006C26DD">
              <w:t>Workforce and Productivity</w:t>
            </w:r>
            <w:r w:rsidR="008D67F9">
              <w:t xml:space="preserve"> Agency</w:t>
            </w:r>
            <w:r w:rsidRPr="00DD05A2">
              <w:t xml:space="preserve"> 2013</w:t>
            </w:r>
            <w:r w:rsidR="00942949">
              <w:t>d</w:t>
            </w:r>
            <w:r w:rsidRPr="00DD05A2">
              <w:t>).</w:t>
            </w:r>
          </w:p>
        </w:tc>
        <w:tc>
          <w:tcPr>
            <w:tcW w:w="2517" w:type="dxa"/>
            <w:tcBorders>
              <w:top w:val="single" w:sz="4" w:space="0" w:color="auto"/>
              <w:bottom w:val="single" w:sz="4" w:space="0" w:color="auto"/>
            </w:tcBorders>
            <w:shd w:val="clear" w:color="auto" w:fill="auto"/>
          </w:tcPr>
          <w:p w:rsidR="0099103C" w:rsidRDefault="0047713F" w:rsidP="003478EE">
            <w:pPr>
              <w:pStyle w:val="Tabletext"/>
              <w:spacing w:before="120"/>
            </w:pPr>
            <w:r w:rsidRPr="00C8318A">
              <w:rPr>
                <w:noProof/>
                <w:lang w:val="en-US"/>
              </w:rPr>
              <w:lastRenderedPageBreak/>
              <w:t xml:space="preserve">The biotech and pharmaceutical industry employed </w:t>
            </w:r>
            <w:r w:rsidR="005C4A4A">
              <w:rPr>
                <w:noProof/>
                <w:lang w:val="en-US"/>
              </w:rPr>
              <w:t xml:space="preserve">about 41 </w:t>
            </w:r>
            <w:r w:rsidRPr="00C8318A">
              <w:rPr>
                <w:noProof/>
                <w:lang w:val="en-US"/>
              </w:rPr>
              <w:t>000 workers in 2008</w:t>
            </w:r>
            <w:r w:rsidRPr="00C8318A">
              <w:t xml:space="preserve">. </w:t>
            </w:r>
          </w:p>
          <w:p w:rsidR="0047713F" w:rsidRPr="00C8318A" w:rsidRDefault="0047713F" w:rsidP="00920F07">
            <w:pPr>
              <w:pStyle w:val="Tabletext"/>
              <w:rPr>
                <w:noProof/>
                <w:lang w:val="en-US"/>
              </w:rPr>
            </w:pPr>
            <w:r w:rsidRPr="00C8318A">
              <w:rPr>
                <w:noProof/>
                <w:lang w:val="en-US"/>
              </w:rPr>
              <w:t>About a third of the employment is in</w:t>
            </w:r>
            <w:r w:rsidR="00472A51">
              <w:rPr>
                <w:noProof/>
                <w:lang w:val="en-US"/>
              </w:rPr>
              <w:t xml:space="preserve"> </w:t>
            </w:r>
            <w:r w:rsidRPr="00C8318A">
              <w:rPr>
                <w:noProof/>
                <w:lang w:val="en-US"/>
              </w:rPr>
              <w:t>pharmaceutical manufacturing (</w:t>
            </w:r>
            <w:r w:rsidR="005C4A4A">
              <w:rPr>
                <w:noProof/>
                <w:lang w:val="en-US"/>
              </w:rPr>
              <w:t>Department of Indus</w:t>
            </w:r>
            <w:r w:rsidR="00D91A42">
              <w:rPr>
                <w:noProof/>
                <w:lang w:val="en-US"/>
              </w:rPr>
              <w:t>t</w:t>
            </w:r>
            <w:r w:rsidR="005C4A4A">
              <w:rPr>
                <w:noProof/>
                <w:lang w:val="en-US"/>
              </w:rPr>
              <w:t>ry, Innovation, Climate Change, Science, Research and Tertiary Education</w:t>
            </w:r>
            <w:r w:rsidR="005C4A4A" w:rsidRPr="00C8318A">
              <w:rPr>
                <w:noProof/>
                <w:lang w:val="en-US"/>
              </w:rPr>
              <w:t xml:space="preserve"> </w:t>
            </w:r>
            <w:r>
              <w:rPr>
                <w:noProof/>
                <w:lang w:val="en-US"/>
              </w:rPr>
              <w:t xml:space="preserve">2013; </w:t>
            </w:r>
            <w:r w:rsidRPr="00C8318A">
              <w:rPr>
                <w:noProof/>
                <w:lang w:val="en-US"/>
              </w:rPr>
              <w:t>Pharmace</w:t>
            </w:r>
            <w:r w:rsidR="005C4A4A">
              <w:rPr>
                <w:noProof/>
                <w:lang w:val="en-US"/>
              </w:rPr>
              <w:t>uticals Industry Strategy Group</w:t>
            </w:r>
            <w:r w:rsidRPr="00C8318A">
              <w:rPr>
                <w:noProof/>
                <w:lang w:val="en-US"/>
              </w:rPr>
              <w:t xml:space="preserve"> 2009).</w:t>
            </w:r>
          </w:p>
          <w:p w:rsidR="0047713F" w:rsidRPr="00C8318A" w:rsidRDefault="0047713F" w:rsidP="00920F07">
            <w:pPr>
              <w:pStyle w:val="Tabletext"/>
              <w:rPr>
                <w:noProof/>
                <w:lang w:val="en-US"/>
              </w:rPr>
            </w:pPr>
            <w:r w:rsidRPr="00C8318A">
              <w:rPr>
                <w:noProof/>
                <w:lang w:val="en-US"/>
              </w:rPr>
              <w:t>In 20</w:t>
            </w:r>
            <w:r>
              <w:rPr>
                <w:noProof/>
                <w:lang w:val="en-US"/>
              </w:rPr>
              <w:t>12</w:t>
            </w:r>
            <w:r w:rsidR="005C4A4A">
              <w:rPr>
                <w:noProof/>
                <w:lang w:val="en-US"/>
              </w:rPr>
              <w:t>–</w:t>
            </w:r>
            <w:r w:rsidRPr="00C8318A">
              <w:rPr>
                <w:noProof/>
                <w:lang w:val="en-US"/>
              </w:rPr>
              <w:t>1</w:t>
            </w:r>
            <w:r>
              <w:rPr>
                <w:noProof/>
                <w:lang w:val="en-US"/>
              </w:rPr>
              <w:t>3</w:t>
            </w:r>
            <w:r w:rsidRPr="00C8318A">
              <w:rPr>
                <w:noProof/>
                <w:lang w:val="en-US"/>
              </w:rPr>
              <w:t xml:space="preserve">, about </w:t>
            </w:r>
            <w:r>
              <w:rPr>
                <w:noProof/>
                <w:lang w:val="en-US"/>
              </w:rPr>
              <w:t>15</w:t>
            </w:r>
            <w:r w:rsidR="00246402">
              <w:rPr>
                <w:noProof/>
                <w:lang w:val="en-US"/>
              </w:rPr>
              <w:t xml:space="preserve"> </w:t>
            </w:r>
            <w:r>
              <w:rPr>
                <w:noProof/>
                <w:lang w:val="en-US"/>
              </w:rPr>
              <w:t>5</w:t>
            </w:r>
            <w:r w:rsidRPr="00C8318A">
              <w:rPr>
                <w:noProof/>
                <w:lang w:val="en-US"/>
              </w:rPr>
              <w:t>00 were employed in pharmaceutical manufacturing (</w:t>
            </w:r>
            <w:r w:rsidR="00BB5639">
              <w:rPr>
                <w:noProof/>
                <w:lang w:val="en-US"/>
              </w:rPr>
              <w:t>Department of Industr</w:t>
            </w:r>
            <w:r w:rsidR="00246402">
              <w:rPr>
                <w:noProof/>
                <w:lang w:val="en-US"/>
              </w:rPr>
              <w:t>y, Innovation, Climate Change, Science, Research and Tertiary Education</w:t>
            </w:r>
            <w:r w:rsidR="00246402" w:rsidRPr="00C8318A">
              <w:rPr>
                <w:noProof/>
                <w:lang w:val="en-US"/>
              </w:rPr>
              <w:t xml:space="preserve"> </w:t>
            </w:r>
            <w:r>
              <w:rPr>
                <w:noProof/>
                <w:lang w:val="en-US"/>
              </w:rPr>
              <w:t xml:space="preserve">2014; </w:t>
            </w:r>
            <w:r w:rsidRPr="00C8318A">
              <w:rPr>
                <w:noProof/>
                <w:lang w:val="en-US"/>
              </w:rPr>
              <w:t>IB</w:t>
            </w:r>
            <w:r w:rsidR="00246402">
              <w:rPr>
                <w:noProof/>
                <w:lang w:val="en-US"/>
              </w:rPr>
              <w:t>IS World</w:t>
            </w:r>
            <w:r w:rsidRPr="00C8318A">
              <w:rPr>
                <w:noProof/>
                <w:lang w:val="en-US"/>
              </w:rPr>
              <w:t xml:space="preserve"> </w:t>
            </w:r>
            <w:r>
              <w:rPr>
                <w:noProof/>
                <w:lang w:val="en-US"/>
              </w:rPr>
              <w:t>2014</w:t>
            </w:r>
            <w:r w:rsidRPr="00C8318A">
              <w:rPr>
                <w:noProof/>
                <w:lang w:val="en-US"/>
              </w:rPr>
              <w:t>).</w:t>
            </w:r>
          </w:p>
          <w:p w:rsidR="0047713F" w:rsidRPr="00C8318A" w:rsidRDefault="00246402" w:rsidP="00920F07">
            <w:pPr>
              <w:pStyle w:val="Tabletext"/>
              <w:rPr>
                <w:noProof/>
                <w:lang w:val="en-US"/>
              </w:rPr>
            </w:pPr>
            <w:r>
              <w:rPr>
                <w:noProof/>
                <w:lang w:val="en-US"/>
              </w:rPr>
              <w:t xml:space="preserve">In 2011, 13 </w:t>
            </w:r>
            <w:r w:rsidR="0047713F" w:rsidRPr="00C8318A">
              <w:rPr>
                <w:noProof/>
                <w:lang w:val="en-US"/>
              </w:rPr>
              <w:t xml:space="preserve">140 were employed </w:t>
            </w:r>
            <w:r>
              <w:rPr>
                <w:noProof/>
                <w:lang w:val="en-US"/>
              </w:rPr>
              <w:t>in biotechnology (Ernst &amp; Young</w:t>
            </w:r>
            <w:r w:rsidR="0047713F" w:rsidRPr="00C8318A">
              <w:rPr>
                <w:noProof/>
                <w:lang w:val="en-US"/>
              </w:rPr>
              <w:t xml:space="preserve"> 2012).</w:t>
            </w:r>
            <w:r w:rsidR="00E651ED">
              <w:rPr>
                <w:noProof/>
                <w:lang w:val="en-US"/>
              </w:rPr>
              <w:t> </w:t>
            </w:r>
          </w:p>
        </w:tc>
        <w:tc>
          <w:tcPr>
            <w:tcW w:w="2518" w:type="dxa"/>
            <w:tcBorders>
              <w:top w:val="single" w:sz="4" w:space="0" w:color="auto"/>
              <w:bottom w:val="single" w:sz="4" w:space="0" w:color="auto"/>
            </w:tcBorders>
            <w:shd w:val="clear" w:color="auto" w:fill="auto"/>
          </w:tcPr>
          <w:p w:rsidR="0047713F" w:rsidRPr="00C8318A" w:rsidRDefault="0047713F" w:rsidP="003478EE">
            <w:pPr>
              <w:pStyle w:val="Tabletext"/>
              <w:spacing w:before="120"/>
              <w:rPr>
                <w:noProof/>
                <w:lang w:val="en-US"/>
              </w:rPr>
            </w:pPr>
            <w:r w:rsidRPr="00C8318A">
              <w:rPr>
                <w:noProof/>
                <w:lang w:val="en-US"/>
              </w:rPr>
              <w:t>The</w:t>
            </w:r>
            <w:r w:rsidR="00A8284B">
              <w:rPr>
                <w:noProof/>
                <w:lang w:val="en-US"/>
              </w:rPr>
              <w:t xml:space="preserve"> </w:t>
            </w:r>
            <w:r w:rsidR="00DB3750">
              <w:rPr>
                <w:noProof/>
                <w:lang w:val="en-US"/>
              </w:rPr>
              <w:t>m</w:t>
            </w:r>
            <w:r w:rsidR="00A8284B">
              <w:rPr>
                <w:noProof/>
                <w:lang w:val="en-US"/>
              </w:rPr>
              <w:t>anufacturing industry employs</w:t>
            </w:r>
            <w:r w:rsidRPr="00C8318A">
              <w:rPr>
                <w:noProof/>
                <w:lang w:val="en-US"/>
              </w:rPr>
              <w:t xml:space="preserve"> around </w:t>
            </w:r>
            <w:r w:rsidR="00A8284B">
              <w:rPr>
                <w:noProof/>
                <w:lang w:val="en-US"/>
              </w:rPr>
              <w:t>854 600 workers (ABS</w:t>
            </w:r>
            <w:r w:rsidRPr="00DD05A2">
              <w:rPr>
                <w:noProof/>
                <w:lang w:val="en-US"/>
              </w:rPr>
              <w:t xml:space="preserve"> 2013b).</w:t>
            </w:r>
          </w:p>
          <w:p w:rsidR="0047713F" w:rsidRPr="00C8318A" w:rsidRDefault="0047713F" w:rsidP="00920F07">
            <w:pPr>
              <w:pStyle w:val="Tabletext"/>
              <w:rPr>
                <w:noProof/>
                <w:lang w:val="en-US"/>
              </w:rPr>
            </w:pPr>
            <w:r w:rsidRPr="00C8318A">
              <w:rPr>
                <w:noProof/>
                <w:lang w:val="en-US"/>
              </w:rPr>
              <w:t>No figures are available for Advanced Manufacturing.</w:t>
            </w:r>
          </w:p>
        </w:tc>
        <w:tc>
          <w:tcPr>
            <w:tcW w:w="2517" w:type="dxa"/>
            <w:tcBorders>
              <w:top w:val="single" w:sz="4" w:space="0" w:color="auto"/>
              <w:bottom w:val="single" w:sz="4" w:space="0" w:color="auto"/>
            </w:tcBorders>
            <w:shd w:val="clear" w:color="auto" w:fill="auto"/>
          </w:tcPr>
          <w:p w:rsidR="0047713F" w:rsidRPr="00C8318A" w:rsidRDefault="001E2023" w:rsidP="003478EE">
            <w:pPr>
              <w:pStyle w:val="Tabletext"/>
              <w:spacing w:before="120"/>
              <w:rPr>
                <w:noProof/>
                <w:lang w:val="en-US"/>
              </w:rPr>
            </w:pPr>
            <w:r w:rsidRPr="001E2023">
              <w:t>The</w:t>
            </w:r>
            <w:r>
              <w:t xml:space="preserve"> METS</w:t>
            </w:r>
            <w:r w:rsidRPr="001E2023">
              <w:t xml:space="preserve"> sect</w:t>
            </w:r>
            <w:r>
              <w:t>or employs approximately 31</w:t>
            </w:r>
            <w:r w:rsidR="00DB3750">
              <w:t> </w:t>
            </w:r>
            <w:r>
              <w:t>300 people</w:t>
            </w:r>
            <w:r w:rsidRPr="001E2023">
              <w:t xml:space="preserve"> </w:t>
            </w:r>
            <w:r w:rsidR="0047713F" w:rsidRPr="00C8318A">
              <w:rPr>
                <w:noProof/>
                <w:lang w:val="en-US"/>
              </w:rPr>
              <w:t>(</w:t>
            </w:r>
            <w:r>
              <w:rPr>
                <w:noProof/>
                <w:lang w:val="en-US"/>
              </w:rPr>
              <w:t>Austrade</w:t>
            </w:r>
            <w:r w:rsidR="0047713F" w:rsidRPr="00C8318A">
              <w:rPr>
                <w:noProof/>
                <w:lang w:val="en-US"/>
              </w:rPr>
              <w:t xml:space="preserve"> 2013).</w:t>
            </w:r>
          </w:p>
          <w:p w:rsidR="0047713F" w:rsidRPr="00C8318A" w:rsidRDefault="0047713F" w:rsidP="00920F07">
            <w:pPr>
              <w:pStyle w:val="Tabletext"/>
              <w:rPr>
                <w:noProof/>
                <w:lang w:val="en-US"/>
              </w:rPr>
            </w:pPr>
            <w:r w:rsidRPr="00C8318A">
              <w:rPr>
                <w:noProof/>
                <w:lang w:val="en-US"/>
              </w:rPr>
              <w:t>While metropolitan centres house the greatest number of companies, METS are also located in regional and remote areas.</w:t>
            </w:r>
          </w:p>
          <w:p w:rsidR="0047713F" w:rsidRPr="00C8318A" w:rsidRDefault="0047713F" w:rsidP="00920F07">
            <w:pPr>
              <w:pStyle w:val="Tabletext"/>
              <w:rPr>
                <w:noProof/>
                <w:lang w:val="en-US"/>
              </w:rPr>
            </w:pPr>
            <w:r w:rsidRPr="00C8318A">
              <w:rPr>
                <w:noProof/>
                <w:lang w:val="en-US"/>
              </w:rPr>
              <w:t>The spread is such that it is difficult to pinpoint an exact geographic centre of METS activity, and it can only be said that METS has a truly national fo</w:t>
            </w:r>
            <w:r w:rsidR="00246402">
              <w:rPr>
                <w:noProof/>
                <w:lang w:val="en-US"/>
              </w:rPr>
              <w:t>ot</w:t>
            </w:r>
            <w:r w:rsidR="00BB5639">
              <w:rPr>
                <w:noProof/>
                <w:lang w:val="en-US"/>
              </w:rPr>
              <w:t>print</w:t>
            </w:r>
            <w:r w:rsidR="00246402">
              <w:rPr>
                <w:noProof/>
                <w:lang w:val="en-US"/>
              </w:rPr>
              <w:t xml:space="preserve"> (Austmine 2013, </w:t>
            </w:r>
            <w:r>
              <w:rPr>
                <w:noProof/>
                <w:lang w:val="en-US"/>
              </w:rPr>
              <w:t>p.17)</w:t>
            </w:r>
            <w:r w:rsidRPr="00C8318A">
              <w:rPr>
                <w:noProof/>
                <w:lang w:val="en-US"/>
              </w:rPr>
              <w:t>.</w:t>
            </w:r>
          </w:p>
        </w:tc>
        <w:tc>
          <w:tcPr>
            <w:tcW w:w="2518" w:type="dxa"/>
            <w:tcBorders>
              <w:top w:val="single" w:sz="4" w:space="0" w:color="auto"/>
              <w:bottom w:val="single" w:sz="4" w:space="0" w:color="auto"/>
            </w:tcBorders>
            <w:shd w:val="clear" w:color="auto" w:fill="auto"/>
          </w:tcPr>
          <w:p w:rsidR="0047713F" w:rsidRPr="00C8318A" w:rsidRDefault="0047713F" w:rsidP="003478EE">
            <w:pPr>
              <w:pStyle w:val="Tabletext"/>
              <w:spacing w:before="120"/>
              <w:rPr>
                <w:noProof/>
                <w:lang w:val="en-US"/>
              </w:rPr>
            </w:pPr>
            <w:r w:rsidRPr="00C8318A">
              <w:rPr>
                <w:noProof/>
                <w:lang w:val="en-US"/>
              </w:rPr>
              <w:t>The oil and</w:t>
            </w:r>
            <w:r w:rsidR="00D91A42">
              <w:rPr>
                <w:noProof/>
                <w:lang w:val="en-US"/>
              </w:rPr>
              <w:t xml:space="preserve"> gas industry employed about 28 </w:t>
            </w:r>
            <w:r w:rsidRPr="00C8318A">
              <w:rPr>
                <w:noProof/>
                <w:lang w:val="en-US"/>
              </w:rPr>
              <w:t xml:space="preserve">300 workers in 2012 </w:t>
            </w:r>
            <w:r w:rsidRPr="00032F4E">
              <w:rPr>
                <w:noProof/>
                <w:lang w:val="en-US"/>
              </w:rPr>
              <w:t>(</w:t>
            </w:r>
            <w:r w:rsidR="008D67F9">
              <w:rPr>
                <w:noProof/>
                <w:lang w:val="en-US"/>
              </w:rPr>
              <w:t xml:space="preserve">Australian </w:t>
            </w:r>
            <w:r w:rsidR="006C26DD">
              <w:rPr>
                <w:noProof/>
                <w:lang w:val="en-US"/>
              </w:rPr>
              <w:t>Workforce and Productivity</w:t>
            </w:r>
            <w:r w:rsidR="008D67F9">
              <w:rPr>
                <w:noProof/>
                <w:lang w:val="en-US"/>
              </w:rPr>
              <w:t xml:space="preserve"> Agency</w:t>
            </w:r>
            <w:r w:rsidR="00162254" w:rsidRPr="00032F4E">
              <w:rPr>
                <w:noProof/>
                <w:lang w:val="en-US"/>
              </w:rPr>
              <w:t xml:space="preserve"> 2013b</w:t>
            </w:r>
            <w:r w:rsidR="005C4A4A">
              <w:rPr>
                <w:noProof/>
                <w:lang w:val="en-US"/>
              </w:rPr>
              <w:t>,</w:t>
            </w:r>
            <w:r w:rsidR="001E2023">
              <w:rPr>
                <w:noProof/>
                <w:lang w:val="en-US"/>
              </w:rPr>
              <w:t xml:space="preserve"> p</w:t>
            </w:r>
            <w:r w:rsidR="00DB3750">
              <w:rPr>
                <w:noProof/>
                <w:lang w:val="en-US"/>
              </w:rPr>
              <w:t>.</w:t>
            </w:r>
            <w:r w:rsidR="001E2023">
              <w:rPr>
                <w:noProof/>
                <w:lang w:val="en-US"/>
              </w:rPr>
              <w:t>52</w:t>
            </w:r>
            <w:r w:rsidRPr="00C8318A">
              <w:rPr>
                <w:noProof/>
                <w:lang w:val="en-US"/>
              </w:rPr>
              <w:t>).</w:t>
            </w:r>
          </w:p>
          <w:p w:rsidR="0047713F" w:rsidRDefault="0047713F" w:rsidP="00920F07">
            <w:pPr>
              <w:pStyle w:val="Tabletext"/>
              <w:rPr>
                <w:noProof/>
                <w:lang w:val="en-US"/>
              </w:rPr>
            </w:pPr>
            <w:r w:rsidRPr="00DD05A2">
              <w:rPr>
                <w:noProof/>
                <w:lang w:val="en-US"/>
              </w:rPr>
              <w:t>As of February 2014, there were 26</w:t>
            </w:r>
            <w:r w:rsidR="00D91A42">
              <w:rPr>
                <w:noProof/>
                <w:lang w:val="en-US"/>
              </w:rPr>
              <w:t> </w:t>
            </w:r>
            <w:r w:rsidRPr="00DD05A2">
              <w:rPr>
                <w:noProof/>
                <w:lang w:val="en-US"/>
              </w:rPr>
              <w:t>400 workers employed in oil and gas extraction (</w:t>
            </w:r>
            <w:r w:rsidR="00246402">
              <w:rPr>
                <w:noProof/>
                <w:lang w:val="en-US"/>
              </w:rPr>
              <w:t xml:space="preserve">ABS </w:t>
            </w:r>
            <w:r>
              <w:rPr>
                <w:noProof/>
                <w:lang w:val="en-US"/>
              </w:rPr>
              <w:t>2014)</w:t>
            </w:r>
            <w:r w:rsidR="00920F07">
              <w:rPr>
                <w:noProof/>
                <w:lang w:val="en-US"/>
              </w:rPr>
              <w:t>.</w:t>
            </w:r>
          </w:p>
          <w:p w:rsidR="0047713F" w:rsidRPr="00C8318A" w:rsidRDefault="0047713F" w:rsidP="00920F07">
            <w:pPr>
              <w:pStyle w:val="Tabletext"/>
              <w:rPr>
                <w:noProof/>
                <w:lang w:val="en-US"/>
              </w:rPr>
            </w:pPr>
            <w:r w:rsidRPr="00C8318A">
              <w:rPr>
                <w:noProof/>
                <w:lang w:val="en-US"/>
              </w:rPr>
              <w:t xml:space="preserve">Like other industries in the resources </w:t>
            </w:r>
            <w:r>
              <w:rPr>
                <w:noProof/>
                <w:lang w:val="en-US"/>
              </w:rPr>
              <w:t>industry</w:t>
            </w:r>
            <w:r w:rsidRPr="00C8318A">
              <w:rPr>
                <w:noProof/>
                <w:lang w:val="en-US"/>
              </w:rPr>
              <w:t>, workers in the oil and gas industry tend to be highly mobile, in terms of both work patterns and job tenure. The workforce is also geographically mobile, with workers moving to regional locations and established mining town</w:t>
            </w:r>
            <w:r w:rsidR="00E651ED">
              <w:rPr>
                <w:noProof/>
                <w:lang w:val="en-US"/>
              </w:rPr>
              <w:t>s</w:t>
            </w:r>
            <w:r w:rsidRPr="00C8318A">
              <w:rPr>
                <w:noProof/>
                <w:lang w:val="en-US"/>
              </w:rPr>
              <w:t xml:space="preserve"> to work on remote sites. There is also an increasing trend towards extensive commuting, commonly referred to as ‘fly-in, fly-out’, although it also includes other modes of travel (</w:t>
            </w:r>
            <w:r w:rsidR="008D67F9">
              <w:rPr>
                <w:noProof/>
                <w:lang w:val="en-US"/>
              </w:rPr>
              <w:t xml:space="preserve">Australian </w:t>
            </w:r>
            <w:r w:rsidR="006C26DD">
              <w:rPr>
                <w:noProof/>
                <w:lang w:val="en-US"/>
              </w:rPr>
              <w:t>Workforce and Productivity</w:t>
            </w:r>
            <w:r w:rsidR="008D67F9">
              <w:rPr>
                <w:noProof/>
                <w:lang w:val="en-US"/>
              </w:rPr>
              <w:t xml:space="preserve"> Agency</w:t>
            </w:r>
            <w:r w:rsidRPr="00C8318A">
              <w:rPr>
                <w:noProof/>
                <w:lang w:val="en-US"/>
              </w:rPr>
              <w:t xml:space="preserve"> 2013</w:t>
            </w:r>
            <w:r w:rsidR="00DD05A2">
              <w:rPr>
                <w:noProof/>
                <w:lang w:val="en-US"/>
              </w:rPr>
              <w:t>b</w:t>
            </w:r>
            <w:r w:rsidRPr="00C8318A">
              <w:rPr>
                <w:noProof/>
                <w:lang w:val="en-US"/>
              </w:rPr>
              <w:t>).</w:t>
            </w:r>
          </w:p>
        </w:tc>
      </w:tr>
      <w:tr w:rsidR="0047713F" w:rsidRPr="003F0196" w:rsidTr="002E28D8">
        <w:trPr>
          <w:cantSplit/>
        </w:trPr>
        <w:tc>
          <w:tcPr>
            <w:tcW w:w="1418" w:type="dxa"/>
            <w:tcBorders>
              <w:top w:val="single" w:sz="4" w:space="0" w:color="auto"/>
              <w:bottom w:val="single" w:sz="4" w:space="0" w:color="auto"/>
            </w:tcBorders>
            <w:shd w:val="clear" w:color="auto" w:fill="C6D9F1" w:themeFill="text2" w:themeFillTint="33"/>
          </w:tcPr>
          <w:p w:rsidR="0047713F" w:rsidRPr="00920F07" w:rsidRDefault="0047713F" w:rsidP="003478EE">
            <w:pPr>
              <w:pStyle w:val="Tabletext"/>
              <w:spacing w:before="120"/>
              <w:rPr>
                <w:b/>
              </w:rPr>
            </w:pPr>
            <w:r w:rsidRPr="00920F07">
              <w:rPr>
                <w:b/>
              </w:rPr>
              <w:lastRenderedPageBreak/>
              <w:t>Earnings</w:t>
            </w:r>
          </w:p>
        </w:tc>
        <w:tc>
          <w:tcPr>
            <w:tcW w:w="2517" w:type="dxa"/>
            <w:tcBorders>
              <w:top w:val="single" w:sz="4" w:space="0" w:color="auto"/>
              <w:bottom w:val="single" w:sz="4" w:space="0" w:color="auto"/>
            </w:tcBorders>
            <w:shd w:val="clear" w:color="auto" w:fill="auto"/>
          </w:tcPr>
          <w:p w:rsidR="0047713F" w:rsidRPr="00DD05A2" w:rsidRDefault="0047713F" w:rsidP="003478EE">
            <w:pPr>
              <w:pStyle w:val="Tabletext"/>
              <w:spacing w:before="120"/>
            </w:pPr>
            <w:r w:rsidRPr="00DD05A2">
              <w:t xml:space="preserve">In 2013, median weekly earnings (full-time and before tax) in the </w:t>
            </w:r>
            <w:r w:rsidR="00E651ED" w:rsidRPr="00DD05A2">
              <w:t>agriculture, forest</w:t>
            </w:r>
            <w:r w:rsidR="00E651ED">
              <w:t xml:space="preserve">ry and fishing </w:t>
            </w:r>
            <w:r w:rsidR="00246402">
              <w:t xml:space="preserve">industry was $1146 (ABS </w:t>
            </w:r>
            <w:r w:rsidRPr="00DD05A2">
              <w:t>2013b)</w:t>
            </w:r>
          </w:p>
        </w:tc>
        <w:tc>
          <w:tcPr>
            <w:tcW w:w="2517" w:type="dxa"/>
            <w:tcBorders>
              <w:top w:val="single" w:sz="4" w:space="0" w:color="auto"/>
              <w:bottom w:val="single" w:sz="4" w:space="0" w:color="auto"/>
            </w:tcBorders>
            <w:shd w:val="clear" w:color="auto" w:fill="auto"/>
          </w:tcPr>
          <w:p w:rsidR="0047713F" w:rsidRPr="00DD05A2" w:rsidRDefault="0047713F" w:rsidP="003478EE">
            <w:pPr>
              <w:pStyle w:val="Tabletext"/>
              <w:spacing w:before="120"/>
            </w:pPr>
            <w:r w:rsidRPr="00DD05A2">
              <w:t>Not available</w:t>
            </w:r>
          </w:p>
        </w:tc>
        <w:tc>
          <w:tcPr>
            <w:tcW w:w="2518" w:type="dxa"/>
            <w:tcBorders>
              <w:top w:val="single" w:sz="4" w:space="0" w:color="auto"/>
              <w:bottom w:val="single" w:sz="4" w:space="0" w:color="auto"/>
            </w:tcBorders>
            <w:shd w:val="clear" w:color="auto" w:fill="auto"/>
          </w:tcPr>
          <w:p w:rsidR="0047713F" w:rsidRPr="00DD05A2" w:rsidRDefault="0047713F" w:rsidP="003478EE">
            <w:pPr>
              <w:pStyle w:val="Tabletext"/>
              <w:spacing w:before="120"/>
            </w:pPr>
            <w:r w:rsidRPr="00DD05A2">
              <w:t>In 2013, median weekly earnings (fu</w:t>
            </w:r>
            <w:r w:rsidR="00E651ED">
              <w:t>ll-time and before tax) in the m</w:t>
            </w:r>
            <w:r w:rsidRPr="00DD05A2">
              <w:t>anufac</w:t>
            </w:r>
            <w:r w:rsidR="00246402">
              <w:t>turing industry was $1</w:t>
            </w:r>
            <w:r w:rsidRPr="00DD05A2">
              <w:t>282.</w:t>
            </w:r>
          </w:p>
        </w:tc>
        <w:tc>
          <w:tcPr>
            <w:tcW w:w="2517" w:type="dxa"/>
            <w:tcBorders>
              <w:top w:val="single" w:sz="4" w:space="0" w:color="auto"/>
              <w:bottom w:val="single" w:sz="4" w:space="0" w:color="auto"/>
            </w:tcBorders>
            <w:shd w:val="clear" w:color="auto" w:fill="auto"/>
          </w:tcPr>
          <w:p w:rsidR="0047713F" w:rsidRPr="00DD05A2" w:rsidRDefault="0047713F" w:rsidP="003478EE">
            <w:pPr>
              <w:pStyle w:val="Tabletext"/>
              <w:spacing w:before="120"/>
            </w:pPr>
            <w:r w:rsidRPr="00DD05A2">
              <w:t>In 2013, median weekly earnings (full-time and before tax)</w:t>
            </w:r>
            <w:r w:rsidR="00E651ED">
              <w:t xml:space="preserve"> in the m</w:t>
            </w:r>
            <w:r w:rsidR="00246402">
              <w:t>ining industry was $2</w:t>
            </w:r>
            <w:r w:rsidRPr="00DD05A2">
              <w:t>268.</w:t>
            </w:r>
          </w:p>
        </w:tc>
        <w:tc>
          <w:tcPr>
            <w:tcW w:w="2518" w:type="dxa"/>
            <w:tcBorders>
              <w:top w:val="single" w:sz="4" w:space="0" w:color="auto"/>
              <w:bottom w:val="single" w:sz="4" w:space="0" w:color="auto"/>
            </w:tcBorders>
            <w:shd w:val="clear" w:color="auto" w:fill="auto"/>
          </w:tcPr>
          <w:p w:rsidR="0047713F" w:rsidRPr="00C8318A" w:rsidRDefault="0047713F" w:rsidP="00B15ADD">
            <w:pPr>
              <w:pStyle w:val="Tabletext"/>
              <w:spacing w:before="120" w:after="120"/>
              <w:rPr>
                <w:lang w:val="en-US" w:eastAsia="en-AU"/>
              </w:rPr>
            </w:pPr>
            <w:r w:rsidRPr="00C8318A">
              <w:rPr>
                <w:lang w:val="en-US" w:eastAsia="en-AU"/>
              </w:rPr>
              <w:t>In 2012, median weekly earnings (full-time and before tax) for workers i</w:t>
            </w:r>
            <w:r w:rsidR="00DB3750">
              <w:rPr>
                <w:lang w:val="en-US" w:eastAsia="en-AU"/>
              </w:rPr>
              <w:t>n oil and gas extraction (a sub-</w:t>
            </w:r>
            <w:r w:rsidRPr="00C8318A">
              <w:rPr>
                <w:lang w:val="en-US" w:eastAsia="en-AU"/>
              </w:rPr>
              <w:t xml:space="preserve">sector of </w:t>
            </w:r>
            <w:r w:rsidR="00E651ED" w:rsidRPr="00C8318A">
              <w:rPr>
                <w:lang w:val="en-US" w:eastAsia="en-AU"/>
              </w:rPr>
              <w:t>the mining indust</w:t>
            </w:r>
            <w:r w:rsidR="00E651ED">
              <w:rPr>
                <w:lang w:val="en-US" w:eastAsia="en-AU"/>
              </w:rPr>
              <w:t>ry</w:t>
            </w:r>
            <w:r w:rsidR="00246402">
              <w:rPr>
                <w:lang w:val="en-US" w:eastAsia="en-AU"/>
              </w:rPr>
              <w:t>) was $1</w:t>
            </w:r>
            <w:r w:rsidRPr="00C8318A">
              <w:rPr>
                <w:lang w:val="en-US" w:eastAsia="en-AU"/>
              </w:rPr>
              <w:t>878 in 2012 (</w:t>
            </w:r>
            <w:r w:rsidR="008D67F9">
              <w:rPr>
                <w:lang w:val="en-US" w:eastAsia="en-AU"/>
              </w:rPr>
              <w:t xml:space="preserve">Australian </w:t>
            </w:r>
            <w:r w:rsidR="006C26DD">
              <w:rPr>
                <w:lang w:val="en-US" w:eastAsia="en-AU"/>
              </w:rPr>
              <w:t>Workforce and Productivity</w:t>
            </w:r>
            <w:r w:rsidR="008D67F9">
              <w:rPr>
                <w:lang w:val="en-US" w:eastAsia="en-AU"/>
              </w:rPr>
              <w:t xml:space="preserve"> Agency</w:t>
            </w:r>
            <w:r w:rsidRPr="00C8318A">
              <w:rPr>
                <w:lang w:val="en-US" w:eastAsia="en-AU"/>
              </w:rPr>
              <w:t xml:space="preserve"> 2013</w:t>
            </w:r>
            <w:r w:rsidR="00DD05A2">
              <w:rPr>
                <w:lang w:val="en-US" w:eastAsia="en-AU"/>
              </w:rPr>
              <w:t>b</w:t>
            </w:r>
            <w:r w:rsidRPr="00C8318A">
              <w:rPr>
                <w:lang w:val="en-US" w:eastAsia="en-AU"/>
              </w:rPr>
              <w:t>).</w:t>
            </w:r>
          </w:p>
        </w:tc>
      </w:tr>
      <w:tr w:rsidR="0047713F" w:rsidRPr="003F0196" w:rsidTr="002E28D8">
        <w:tc>
          <w:tcPr>
            <w:tcW w:w="1418" w:type="dxa"/>
            <w:tcBorders>
              <w:top w:val="single" w:sz="4" w:space="0" w:color="auto"/>
              <w:bottom w:val="single" w:sz="4" w:space="0" w:color="auto"/>
            </w:tcBorders>
            <w:shd w:val="clear" w:color="auto" w:fill="C6D9F1" w:themeFill="text2" w:themeFillTint="33"/>
          </w:tcPr>
          <w:p w:rsidR="0047713F" w:rsidRPr="00920F07" w:rsidRDefault="0047713F" w:rsidP="00B15ADD">
            <w:pPr>
              <w:pStyle w:val="Tabletext"/>
              <w:spacing w:before="120"/>
              <w:rPr>
                <w:b/>
              </w:rPr>
            </w:pPr>
            <w:r w:rsidRPr="00920F07">
              <w:rPr>
                <w:b/>
              </w:rPr>
              <w:t>Workforce demographics</w:t>
            </w:r>
          </w:p>
        </w:tc>
        <w:tc>
          <w:tcPr>
            <w:tcW w:w="2517" w:type="dxa"/>
            <w:tcBorders>
              <w:top w:val="single" w:sz="4" w:space="0" w:color="auto"/>
              <w:bottom w:val="single" w:sz="4" w:space="0" w:color="auto"/>
            </w:tcBorders>
            <w:shd w:val="clear" w:color="auto" w:fill="auto"/>
          </w:tcPr>
          <w:p w:rsidR="0047713F" w:rsidRPr="00920F07" w:rsidRDefault="0047713F" w:rsidP="003478EE">
            <w:pPr>
              <w:pStyle w:val="Tabletext"/>
              <w:spacing w:before="120"/>
              <w:rPr>
                <w:b/>
              </w:rPr>
            </w:pPr>
            <w:r w:rsidRPr="00920F07">
              <w:rPr>
                <w:b/>
              </w:rPr>
              <w:t>Agriculture, forestry and fishing Industry</w:t>
            </w:r>
          </w:p>
          <w:p w:rsidR="0047713F" w:rsidRPr="00C8318A" w:rsidRDefault="007454CC" w:rsidP="007454CC">
            <w:pPr>
              <w:pStyle w:val="Tabletext"/>
              <w:ind w:left="198" w:hanging="198"/>
            </w:pPr>
            <w:r>
              <w:rPr>
                <w:rFonts w:cs="Arial"/>
              </w:rPr>
              <w:t>▪</w:t>
            </w:r>
            <w:r>
              <w:tab/>
            </w:r>
            <w:r w:rsidR="0047713F" w:rsidRPr="00C8318A">
              <w:t>70</w:t>
            </w:r>
            <w:r w:rsidR="008D67F9">
              <w:t>%</w:t>
            </w:r>
            <w:r w:rsidR="0047713F" w:rsidRPr="00C8318A">
              <w:t xml:space="preserve"> of the workforce is male.</w:t>
            </w:r>
          </w:p>
          <w:p w:rsidR="0047713F" w:rsidRPr="00C8318A" w:rsidRDefault="007454CC" w:rsidP="007454CC">
            <w:pPr>
              <w:pStyle w:val="Tabletext"/>
              <w:ind w:left="198" w:hanging="198"/>
            </w:pPr>
            <w:r>
              <w:rPr>
                <w:rFonts w:cs="Arial"/>
              </w:rPr>
              <w:t>▪</w:t>
            </w:r>
            <w:r>
              <w:tab/>
            </w:r>
            <w:r w:rsidR="00246402">
              <w:t>56%</w:t>
            </w:r>
            <w:r w:rsidR="0047713F" w:rsidRPr="00C8318A">
              <w:t xml:space="preserve"> of workers are aged 45 years or above.</w:t>
            </w:r>
          </w:p>
          <w:p w:rsidR="0047713F" w:rsidRPr="00032F4E" w:rsidRDefault="007454CC" w:rsidP="007454CC">
            <w:pPr>
              <w:pStyle w:val="Tabletext"/>
              <w:ind w:left="198" w:hanging="198"/>
            </w:pPr>
            <w:r>
              <w:rPr>
                <w:rFonts w:cs="Arial"/>
              </w:rPr>
              <w:t>▪</w:t>
            </w:r>
            <w:r>
              <w:tab/>
            </w:r>
            <w:r w:rsidR="0047713F" w:rsidRPr="00C8318A">
              <w:t>87</w:t>
            </w:r>
            <w:r w:rsidR="008D67F9">
              <w:t>%</w:t>
            </w:r>
            <w:r w:rsidR="0047713F" w:rsidRPr="00C8318A">
              <w:t xml:space="preserve"> of jobs are in regional and remote areas (</w:t>
            </w:r>
            <w:r w:rsidR="008D67F9">
              <w:t xml:space="preserve">Australian </w:t>
            </w:r>
            <w:r w:rsidR="006C26DD">
              <w:t>Workforce and Productivity</w:t>
            </w:r>
            <w:r w:rsidR="008D67F9">
              <w:t xml:space="preserve"> Agency</w:t>
            </w:r>
            <w:r w:rsidR="0047713F" w:rsidRPr="00032F4E">
              <w:t xml:space="preserve"> 2013</w:t>
            </w:r>
            <w:r w:rsidR="00596839" w:rsidRPr="00032F4E">
              <w:t>d</w:t>
            </w:r>
            <w:r w:rsidR="0047713F" w:rsidRPr="00032F4E">
              <w:t>).</w:t>
            </w:r>
          </w:p>
          <w:p w:rsidR="0047713F" w:rsidRPr="00C8318A" w:rsidRDefault="0047713F" w:rsidP="00920F07">
            <w:pPr>
              <w:pStyle w:val="Tabletext"/>
              <w:rPr>
                <w:rFonts w:asciiTheme="majorHAnsi" w:hAnsiTheme="majorHAnsi" w:cstheme="majorHAnsi"/>
                <w:sz w:val="20"/>
              </w:rPr>
            </w:pPr>
            <w:r w:rsidRPr="00C8318A">
              <w:t xml:space="preserve">In 2011, about 1.5% of workers were Indigenous </w:t>
            </w:r>
            <w:r w:rsidR="00246402">
              <w:t>(ABS</w:t>
            </w:r>
            <w:r w:rsidRPr="00DD05A2">
              <w:t xml:space="preserve"> 2011).</w:t>
            </w:r>
          </w:p>
        </w:tc>
        <w:tc>
          <w:tcPr>
            <w:tcW w:w="2517" w:type="dxa"/>
            <w:tcBorders>
              <w:top w:val="single" w:sz="4" w:space="0" w:color="auto"/>
              <w:bottom w:val="single" w:sz="4" w:space="0" w:color="auto"/>
            </w:tcBorders>
            <w:shd w:val="clear" w:color="auto" w:fill="auto"/>
          </w:tcPr>
          <w:p w:rsidR="0047713F" w:rsidRPr="00C8318A" w:rsidRDefault="0047713F" w:rsidP="002B5DD6">
            <w:pPr>
              <w:pStyle w:val="Text"/>
              <w:spacing w:before="120" w:after="120" w:line="240" w:lineRule="auto"/>
              <w:rPr>
                <w:rFonts w:asciiTheme="majorHAnsi" w:hAnsiTheme="majorHAnsi" w:cstheme="majorHAnsi"/>
                <w:sz w:val="20"/>
              </w:rPr>
            </w:pPr>
          </w:p>
        </w:tc>
        <w:tc>
          <w:tcPr>
            <w:tcW w:w="2518" w:type="dxa"/>
            <w:tcBorders>
              <w:top w:val="single" w:sz="4" w:space="0" w:color="auto"/>
              <w:bottom w:val="single" w:sz="4" w:space="0" w:color="auto"/>
            </w:tcBorders>
            <w:shd w:val="clear" w:color="auto" w:fill="auto"/>
          </w:tcPr>
          <w:p w:rsidR="0047713F" w:rsidRPr="00DD05A2" w:rsidRDefault="0047713F" w:rsidP="003478EE">
            <w:pPr>
              <w:pStyle w:val="Tabletext"/>
              <w:spacing w:before="120"/>
            </w:pPr>
            <w:r w:rsidRPr="00DD05A2">
              <w:t xml:space="preserve">No demographic information is available for </w:t>
            </w:r>
            <w:r w:rsidR="00246402" w:rsidRPr="00DD05A2">
              <w:t>advanced manufacturing</w:t>
            </w:r>
            <w:r w:rsidRPr="00DD05A2">
              <w:t xml:space="preserve">. All </w:t>
            </w:r>
            <w:r w:rsidR="00DB3750">
              <w:t>available reports point to the m</w:t>
            </w:r>
            <w:r w:rsidRPr="00DD05A2">
              <w:t>anufacturing industry in general</w:t>
            </w:r>
            <w:r w:rsidRPr="00246402">
              <w:rPr>
                <w:i/>
              </w:rPr>
              <w:t>. It should be noted there are variations between the sectors</w:t>
            </w:r>
            <w:r w:rsidR="00DB3750">
              <w:rPr>
                <w:i/>
              </w:rPr>
              <w:t>,</w:t>
            </w:r>
            <w:r w:rsidRPr="00246402">
              <w:rPr>
                <w:i/>
              </w:rPr>
              <w:t xml:space="preserve"> which are not reported here</w:t>
            </w:r>
            <w:r w:rsidRPr="00DD05A2">
              <w:rPr>
                <w:b/>
              </w:rPr>
              <w:t>.</w:t>
            </w:r>
          </w:p>
          <w:p w:rsidR="0047713F" w:rsidRPr="00920F07" w:rsidRDefault="00246402" w:rsidP="003478EE">
            <w:pPr>
              <w:pStyle w:val="Tabletext"/>
              <w:spacing w:before="120"/>
              <w:rPr>
                <w:b/>
              </w:rPr>
            </w:pPr>
            <w:r w:rsidRPr="00920F07">
              <w:rPr>
                <w:b/>
              </w:rPr>
              <w:t>Manufacturing i</w:t>
            </w:r>
            <w:r w:rsidR="0047713F" w:rsidRPr="00920F07">
              <w:rPr>
                <w:b/>
              </w:rPr>
              <w:t>ndustry</w:t>
            </w:r>
          </w:p>
          <w:p w:rsidR="0047713F" w:rsidRPr="00DD05A2" w:rsidRDefault="007454CC" w:rsidP="007454CC">
            <w:pPr>
              <w:pStyle w:val="Tabletext"/>
              <w:ind w:left="198" w:hanging="198"/>
            </w:pPr>
            <w:r>
              <w:rPr>
                <w:rFonts w:cs="Arial"/>
              </w:rPr>
              <w:t>▪</w:t>
            </w:r>
            <w:r>
              <w:tab/>
            </w:r>
            <w:r w:rsidR="0047713F" w:rsidRPr="00DD05A2">
              <w:t xml:space="preserve">Employment is spread relatively evenly between small </w:t>
            </w:r>
            <w:r w:rsidR="001E0DA3" w:rsidRPr="00DD05A2">
              <w:t>enterprises,</w:t>
            </w:r>
            <w:r w:rsidR="0047713F" w:rsidRPr="00DD05A2">
              <w:t xml:space="preserve"> medium-sized enterprises, and large-sized enterprises.</w:t>
            </w:r>
          </w:p>
          <w:p w:rsidR="0047713F" w:rsidRPr="00DD05A2" w:rsidRDefault="007454CC" w:rsidP="007454CC">
            <w:pPr>
              <w:pStyle w:val="Tabletext"/>
              <w:ind w:left="198" w:hanging="198"/>
            </w:pPr>
            <w:r>
              <w:rPr>
                <w:rFonts w:cs="Arial"/>
              </w:rPr>
              <w:t>▪</w:t>
            </w:r>
            <w:r>
              <w:tab/>
            </w:r>
            <w:r w:rsidR="0047713F" w:rsidRPr="00DD05A2">
              <w:t>35</w:t>
            </w:r>
            <w:r w:rsidR="008D67F9">
              <w:t>%</w:t>
            </w:r>
            <w:r w:rsidR="0047713F" w:rsidRPr="00DD05A2">
              <w:t xml:space="preserve"> of workers are employ</w:t>
            </w:r>
            <w:r w:rsidR="00246402">
              <w:t>ed in regional and remote areas</w:t>
            </w:r>
            <w:r w:rsidR="0047713F" w:rsidRPr="00DD05A2">
              <w:t xml:space="preserve"> (</w:t>
            </w:r>
            <w:r w:rsidR="008D67F9">
              <w:t xml:space="preserve">Australian </w:t>
            </w:r>
            <w:r w:rsidR="006C26DD">
              <w:t>Workforce and Productivity</w:t>
            </w:r>
            <w:r w:rsidR="008D67F9">
              <w:t xml:space="preserve"> Agency</w:t>
            </w:r>
            <w:r w:rsidR="00942949">
              <w:t xml:space="preserve"> </w:t>
            </w:r>
            <w:r w:rsidR="0047713F" w:rsidRPr="00DD05A2">
              <w:t>2013c)</w:t>
            </w:r>
            <w:r w:rsidR="00246402">
              <w:t>.</w:t>
            </w:r>
          </w:p>
          <w:p w:rsidR="0047713F" w:rsidRDefault="007454CC" w:rsidP="007454CC">
            <w:pPr>
              <w:pStyle w:val="Tabletext"/>
              <w:ind w:left="198" w:hanging="198"/>
            </w:pPr>
            <w:r>
              <w:rPr>
                <w:rFonts w:cs="Arial"/>
              </w:rPr>
              <w:t>▪</w:t>
            </w:r>
            <w:r>
              <w:tab/>
            </w:r>
            <w:r w:rsidR="0047713F" w:rsidRPr="00DD05A2">
              <w:t>65</w:t>
            </w:r>
            <w:r w:rsidR="008D67F9">
              <w:t>%</w:t>
            </w:r>
            <w:r w:rsidR="0047713F" w:rsidRPr="00DD05A2">
              <w:t xml:space="preserve"> of workers are male</w:t>
            </w:r>
            <w:r w:rsidR="009606E6">
              <w:t xml:space="preserve"> </w:t>
            </w:r>
            <w:r w:rsidR="0047713F" w:rsidRPr="00DD05A2">
              <w:t>(</w:t>
            </w:r>
            <w:r w:rsidR="008D67F9">
              <w:t xml:space="preserve">Australian </w:t>
            </w:r>
            <w:r w:rsidR="00AA60A9">
              <w:t>Workforce</w:t>
            </w:r>
            <w:r w:rsidR="008D67F9">
              <w:t xml:space="preserve"> </w:t>
            </w:r>
            <w:r w:rsidR="00734983">
              <w:t xml:space="preserve">and </w:t>
            </w:r>
            <w:r w:rsidR="008D67F9">
              <w:t>Productivity Agency</w:t>
            </w:r>
            <w:r w:rsidR="00942949">
              <w:t xml:space="preserve"> </w:t>
            </w:r>
            <w:r w:rsidR="0047713F" w:rsidRPr="00DD05A2">
              <w:t>2013c)</w:t>
            </w:r>
            <w:r w:rsidR="009606E6">
              <w:t>.</w:t>
            </w:r>
          </w:p>
          <w:p w:rsidR="00E7151E" w:rsidRDefault="00E7151E" w:rsidP="00E7151E">
            <w:pPr>
              <w:pStyle w:val="Text"/>
              <w:spacing w:line="240" w:lineRule="auto"/>
              <w:ind w:right="0"/>
            </w:pPr>
          </w:p>
          <w:p w:rsidR="00E7151E" w:rsidRPr="00E7151E" w:rsidRDefault="00E7151E" w:rsidP="00E7151E">
            <w:pPr>
              <w:pStyle w:val="Text"/>
              <w:spacing w:before="0"/>
              <w:ind w:right="0"/>
              <w:rPr>
                <w:sz w:val="4"/>
                <w:szCs w:val="4"/>
              </w:rPr>
            </w:pPr>
          </w:p>
          <w:p w:rsidR="0047713F" w:rsidRPr="00DD05A2" w:rsidRDefault="007454CC" w:rsidP="00E7151E">
            <w:pPr>
              <w:pStyle w:val="Tabletext"/>
              <w:spacing w:before="140"/>
              <w:ind w:left="198" w:hanging="198"/>
            </w:pPr>
            <w:r>
              <w:rPr>
                <w:rFonts w:cs="Arial"/>
              </w:rPr>
              <w:lastRenderedPageBreak/>
              <w:t>▪</w:t>
            </w:r>
            <w:r>
              <w:tab/>
            </w:r>
            <w:r w:rsidR="0047713F" w:rsidRPr="00DD05A2">
              <w:t>41</w:t>
            </w:r>
            <w:r w:rsidR="008D67F9">
              <w:t>%</w:t>
            </w:r>
            <w:r w:rsidR="00E651ED">
              <w:t xml:space="preserve"> of </w:t>
            </w:r>
            <w:r w:rsidR="0047713F" w:rsidRPr="00DD05A2">
              <w:t>workers are aged 45 years or above (</w:t>
            </w:r>
            <w:r w:rsidR="008D67F9">
              <w:t xml:space="preserve">Australian </w:t>
            </w:r>
            <w:r w:rsidR="006C26DD">
              <w:t>Workforce and Productivity</w:t>
            </w:r>
            <w:r w:rsidR="008D67F9">
              <w:t xml:space="preserve"> Agency</w:t>
            </w:r>
            <w:r w:rsidR="00942949">
              <w:t xml:space="preserve"> </w:t>
            </w:r>
            <w:r w:rsidR="0047713F" w:rsidRPr="00DD05A2">
              <w:t>2013c)</w:t>
            </w:r>
            <w:r w:rsidR="009606E6">
              <w:t>.</w:t>
            </w:r>
          </w:p>
          <w:p w:rsidR="0047713F" w:rsidRPr="00DD05A2" w:rsidRDefault="007454CC" w:rsidP="00E7151E">
            <w:pPr>
              <w:pStyle w:val="Tabletext"/>
              <w:ind w:left="198" w:hanging="198"/>
            </w:pPr>
            <w:r>
              <w:rPr>
                <w:rFonts w:cs="Arial"/>
              </w:rPr>
              <w:t>▪</w:t>
            </w:r>
            <w:r>
              <w:tab/>
            </w:r>
            <w:r w:rsidR="0047713F" w:rsidRPr="00DD05A2">
              <w:t>14</w:t>
            </w:r>
            <w:r w:rsidR="008D67F9">
              <w:t>%</w:t>
            </w:r>
            <w:r w:rsidR="0047713F" w:rsidRPr="00DD05A2">
              <w:t xml:space="preserve"> of workers work part-time (</w:t>
            </w:r>
            <w:r w:rsidR="008D67F9">
              <w:t xml:space="preserve">Australian </w:t>
            </w:r>
            <w:r w:rsidR="006C26DD">
              <w:t>Workforce and Productivity</w:t>
            </w:r>
            <w:r w:rsidR="008D67F9">
              <w:t xml:space="preserve"> Agency</w:t>
            </w:r>
            <w:r w:rsidR="00942949">
              <w:t xml:space="preserve"> </w:t>
            </w:r>
            <w:r w:rsidR="0047713F" w:rsidRPr="00DD05A2">
              <w:t>2013c)</w:t>
            </w:r>
            <w:r w:rsidR="009606E6">
              <w:t>.</w:t>
            </w:r>
          </w:p>
          <w:p w:rsidR="0047713F" w:rsidRPr="00DD05A2" w:rsidRDefault="007454CC" w:rsidP="007454CC">
            <w:pPr>
              <w:pStyle w:val="Tabletext"/>
              <w:ind w:left="198" w:hanging="198"/>
            </w:pPr>
            <w:r>
              <w:rPr>
                <w:rFonts w:cs="Arial"/>
              </w:rPr>
              <w:t>▪</w:t>
            </w:r>
            <w:r>
              <w:tab/>
            </w:r>
            <w:r w:rsidR="0047713F" w:rsidRPr="00DD05A2">
              <w:t>85.3</w:t>
            </w:r>
            <w:r w:rsidR="008D67F9">
              <w:t>%</w:t>
            </w:r>
            <w:r w:rsidR="00DB3750">
              <w:t xml:space="preserve"> of employment is full-</w:t>
            </w:r>
            <w:r w:rsidR="0047713F" w:rsidRPr="00DD05A2">
              <w:t>time</w:t>
            </w:r>
            <w:r w:rsidR="00DB3750">
              <w:t xml:space="preserve"> </w:t>
            </w:r>
            <w:r w:rsidR="0047713F" w:rsidRPr="00DD05A2">
              <w:t>(</w:t>
            </w:r>
            <w:r w:rsidR="008D67F9">
              <w:t xml:space="preserve">Australian </w:t>
            </w:r>
            <w:r w:rsidR="006C26DD">
              <w:t>Workforce and Productivity</w:t>
            </w:r>
            <w:r w:rsidR="008D67F9">
              <w:t xml:space="preserve"> Agency</w:t>
            </w:r>
            <w:r w:rsidR="0047713F" w:rsidRPr="00DD05A2">
              <w:t xml:space="preserve"> 2013</w:t>
            </w:r>
            <w:r w:rsidR="007D35DA">
              <w:t>c</w:t>
            </w:r>
            <w:r w:rsidR="0047713F" w:rsidRPr="00DD05A2">
              <w:t>)</w:t>
            </w:r>
            <w:r w:rsidR="009606E6">
              <w:t>.</w:t>
            </w:r>
          </w:p>
          <w:p w:rsidR="0047713F" w:rsidRPr="00DD05A2" w:rsidRDefault="007454CC" w:rsidP="00DB3750">
            <w:pPr>
              <w:pStyle w:val="Tabletext"/>
              <w:ind w:left="198" w:hanging="198"/>
            </w:pPr>
            <w:r>
              <w:rPr>
                <w:rFonts w:cs="Arial"/>
              </w:rPr>
              <w:t>▪</w:t>
            </w:r>
            <w:r>
              <w:tab/>
            </w:r>
            <w:r w:rsidR="0047713F" w:rsidRPr="00DD05A2">
              <w:t>In 2011, about 1.1% o</w:t>
            </w:r>
            <w:r w:rsidR="009606E6">
              <w:t>f workers were Indigenous (ABS</w:t>
            </w:r>
            <w:r w:rsidR="00E651ED">
              <w:t xml:space="preserve"> </w:t>
            </w:r>
            <w:r w:rsidR="0047713F" w:rsidRPr="00DD05A2">
              <w:t>2011).</w:t>
            </w:r>
          </w:p>
        </w:tc>
        <w:tc>
          <w:tcPr>
            <w:tcW w:w="2517" w:type="dxa"/>
            <w:tcBorders>
              <w:top w:val="single" w:sz="4" w:space="0" w:color="auto"/>
              <w:bottom w:val="single" w:sz="4" w:space="0" w:color="auto"/>
            </w:tcBorders>
            <w:shd w:val="clear" w:color="auto" w:fill="auto"/>
          </w:tcPr>
          <w:p w:rsidR="0047713F" w:rsidRPr="00DD05A2" w:rsidRDefault="0047713F" w:rsidP="003478EE">
            <w:pPr>
              <w:pStyle w:val="Tabletext"/>
              <w:spacing w:before="120"/>
            </w:pPr>
            <w:r w:rsidRPr="00DD05A2">
              <w:lastRenderedPageBreak/>
              <w:t xml:space="preserve">No demographic information is available for METS. All available reports point to the mining industry in general. </w:t>
            </w:r>
          </w:p>
          <w:p w:rsidR="0047713F" w:rsidRPr="00920F07" w:rsidRDefault="00E651ED" w:rsidP="003478EE">
            <w:pPr>
              <w:pStyle w:val="Tabletext"/>
              <w:spacing w:before="120"/>
              <w:rPr>
                <w:b/>
              </w:rPr>
            </w:pPr>
            <w:r w:rsidRPr="00920F07">
              <w:rPr>
                <w:b/>
              </w:rPr>
              <w:t>Mining i</w:t>
            </w:r>
            <w:r w:rsidR="0047713F" w:rsidRPr="00920F07">
              <w:rPr>
                <w:b/>
              </w:rPr>
              <w:t>ndustry</w:t>
            </w:r>
          </w:p>
          <w:p w:rsidR="0047713F" w:rsidRPr="00DD05A2" w:rsidRDefault="007454CC" w:rsidP="007454CC">
            <w:pPr>
              <w:pStyle w:val="Tabletext"/>
              <w:ind w:left="198" w:hanging="198"/>
            </w:pPr>
            <w:r>
              <w:rPr>
                <w:rFonts w:cs="Arial"/>
              </w:rPr>
              <w:t>▪</w:t>
            </w:r>
            <w:r>
              <w:tab/>
            </w:r>
            <w:r w:rsidR="0047713F" w:rsidRPr="00DD05A2">
              <w:t>70</w:t>
            </w:r>
            <w:r w:rsidR="008D67F9">
              <w:t>%</w:t>
            </w:r>
            <w:r w:rsidR="0047713F" w:rsidRPr="00DD05A2">
              <w:t xml:space="preserve"> of workers are employed in large enterprises, with only 15</w:t>
            </w:r>
            <w:r w:rsidR="008D67F9">
              <w:t>%</w:t>
            </w:r>
            <w:r w:rsidR="0047713F" w:rsidRPr="00DD05A2">
              <w:t xml:space="preserve"> employed in small enterprises (</w:t>
            </w:r>
            <w:r w:rsidR="008D67F9">
              <w:t xml:space="preserve">Australian </w:t>
            </w:r>
            <w:r w:rsidR="006C26DD">
              <w:t>Workforce and Productivity</w:t>
            </w:r>
            <w:r w:rsidR="008D67F9">
              <w:t xml:space="preserve"> Agency</w:t>
            </w:r>
            <w:r w:rsidR="00942949">
              <w:t xml:space="preserve"> 2013e</w:t>
            </w:r>
            <w:r w:rsidR="0047713F" w:rsidRPr="00DD05A2">
              <w:t>).</w:t>
            </w:r>
          </w:p>
          <w:p w:rsidR="0047713F" w:rsidRPr="00DD05A2" w:rsidRDefault="007454CC" w:rsidP="007454CC">
            <w:pPr>
              <w:pStyle w:val="Tabletext"/>
              <w:ind w:left="198" w:hanging="198"/>
            </w:pPr>
            <w:r>
              <w:rPr>
                <w:rFonts w:cs="Arial"/>
              </w:rPr>
              <w:t>▪</w:t>
            </w:r>
            <w:r>
              <w:tab/>
            </w:r>
            <w:r w:rsidR="0047713F" w:rsidRPr="00DD05A2">
              <w:t>Mining recorded the strongest employment growth of any industry over the past five years, at 79</w:t>
            </w:r>
            <w:r w:rsidR="008D67F9">
              <w:t>%</w:t>
            </w:r>
            <w:r w:rsidR="0047713F" w:rsidRPr="00DD05A2">
              <w:t xml:space="preserve"> (</w:t>
            </w:r>
            <w:r w:rsidR="008D67F9">
              <w:t xml:space="preserve">Australian </w:t>
            </w:r>
            <w:r w:rsidR="006C26DD">
              <w:t>Workforce and Productivity</w:t>
            </w:r>
            <w:r w:rsidR="008D67F9">
              <w:t xml:space="preserve"> Agency</w:t>
            </w:r>
            <w:r w:rsidR="00942949">
              <w:t xml:space="preserve"> 2013e</w:t>
            </w:r>
            <w:r w:rsidR="0047713F" w:rsidRPr="00DD05A2">
              <w:t>).</w:t>
            </w:r>
          </w:p>
          <w:p w:rsidR="0047713F" w:rsidRPr="00DD05A2" w:rsidRDefault="007454CC" w:rsidP="007454CC">
            <w:pPr>
              <w:pStyle w:val="Tabletext"/>
              <w:ind w:left="198" w:hanging="198"/>
            </w:pPr>
            <w:r>
              <w:rPr>
                <w:rFonts w:cs="Arial"/>
              </w:rPr>
              <w:t>▪</w:t>
            </w:r>
            <w:r>
              <w:tab/>
            </w:r>
            <w:r w:rsidR="0047713F" w:rsidRPr="00DD05A2">
              <w:t>61</w:t>
            </w:r>
            <w:r w:rsidR="008D67F9">
              <w:t>%</w:t>
            </w:r>
            <w:r w:rsidR="0047713F" w:rsidRPr="00DD05A2">
              <w:t xml:space="preserve"> of workers are employed in regional and remote areas (</w:t>
            </w:r>
            <w:r w:rsidR="008D67F9">
              <w:t xml:space="preserve">Australian </w:t>
            </w:r>
            <w:r w:rsidR="006C26DD">
              <w:t>Workforce and Productivity</w:t>
            </w:r>
            <w:r w:rsidR="008D67F9">
              <w:t xml:space="preserve"> Agency</w:t>
            </w:r>
            <w:r w:rsidR="00942949">
              <w:t xml:space="preserve"> 2013e</w:t>
            </w:r>
            <w:r w:rsidR="0047713F" w:rsidRPr="00DD05A2">
              <w:t>).</w:t>
            </w:r>
          </w:p>
          <w:p w:rsidR="0047713F" w:rsidRDefault="007454CC" w:rsidP="007454CC">
            <w:pPr>
              <w:pStyle w:val="Tabletext"/>
              <w:ind w:left="198" w:hanging="198"/>
            </w:pPr>
            <w:r>
              <w:rPr>
                <w:rFonts w:cs="Arial"/>
              </w:rPr>
              <w:t>▪</w:t>
            </w:r>
            <w:r>
              <w:tab/>
            </w:r>
            <w:r w:rsidR="0047713F" w:rsidRPr="00DD05A2">
              <w:t>84</w:t>
            </w:r>
            <w:r w:rsidR="008D67F9">
              <w:t>%</w:t>
            </w:r>
            <w:r w:rsidR="0047713F" w:rsidRPr="00DD05A2">
              <w:t xml:space="preserve"> of workers are male (</w:t>
            </w:r>
            <w:r w:rsidR="008D67F9">
              <w:t xml:space="preserve">Australian </w:t>
            </w:r>
            <w:r w:rsidR="006C26DD">
              <w:t>Workforce and Productivity</w:t>
            </w:r>
            <w:r w:rsidR="008D67F9">
              <w:t xml:space="preserve"> Agency</w:t>
            </w:r>
            <w:r w:rsidR="00942949">
              <w:t xml:space="preserve"> 2013e</w:t>
            </w:r>
            <w:r w:rsidR="0047713F" w:rsidRPr="00DD05A2">
              <w:t>).</w:t>
            </w:r>
          </w:p>
          <w:p w:rsidR="0047713F" w:rsidRPr="00DD05A2" w:rsidRDefault="007454CC" w:rsidP="00E7151E">
            <w:pPr>
              <w:pStyle w:val="Tabletext"/>
              <w:spacing w:before="180"/>
              <w:ind w:left="198" w:hanging="198"/>
            </w:pPr>
            <w:r>
              <w:rPr>
                <w:rFonts w:cs="Arial"/>
              </w:rPr>
              <w:lastRenderedPageBreak/>
              <w:t>▪</w:t>
            </w:r>
            <w:r>
              <w:tab/>
            </w:r>
            <w:r w:rsidR="0047713F" w:rsidRPr="00DD05A2">
              <w:t>97</w:t>
            </w:r>
            <w:r w:rsidR="008D67F9">
              <w:t>%</w:t>
            </w:r>
            <w:r w:rsidR="009606E6">
              <w:t xml:space="preserve"> of workers are employed full-</w:t>
            </w:r>
            <w:r w:rsidR="0047713F" w:rsidRPr="00DD05A2">
              <w:t>time (</w:t>
            </w:r>
            <w:r w:rsidR="008D67F9">
              <w:t xml:space="preserve">Australian </w:t>
            </w:r>
            <w:r w:rsidR="006C26DD">
              <w:t>Workforce and Productivity</w:t>
            </w:r>
            <w:r w:rsidR="008D67F9">
              <w:t xml:space="preserve"> Agency</w:t>
            </w:r>
            <w:r w:rsidR="00942949">
              <w:t xml:space="preserve"> 2013e</w:t>
            </w:r>
            <w:r w:rsidR="0047713F" w:rsidRPr="00DD05A2">
              <w:t>).</w:t>
            </w:r>
          </w:p>
          <w:p w:rsidR="0047713F" w:rsidRPr="00DD05A2" w:rsidRDefault="007454CC" w:rsidP="007454CC">
            <w:pPr>
              <w:pStyle w:val="Tabletext"/>
              <w:ind w:left="198" w:hanging="198"/>
            </w:pPr>
            <w:r>
              <w:rPr>
                <w:rFonts w:cs="Arial"/>
              </w:rPr>
              <w:t>▪</w:t>
            </w:r>
            <w:r>
              <w:tab/>
            </w:r>
            <w:r w:rsidR="0047713F" w:rsidRPr="00DD05A2">
              <w:t>Around 34</w:t>
            </w:r>
            <w:r w:rsidR="008D67F9">
              <w:t>%</w:t>
            </w:r>
            <w:r w:rsidR="0047713F" w:rsidRPr="00DD05A2">
              <w:t xml:space="preserve"> of the workers are aged 45 years or older (</w:t>
            </w:r>
            <w:r w:rsidR="008D67F9">
              <w:t xml:space="preserve">Australian </w:t>
            </w:r>
            <w:r w:rsidR="006C26DD">
              <w:t>Workforce and Productivity</w:t>
            </w:r>
            <w:r w:rsidR="008D67F9">
              <w:t xml:space="preserve"> Agency</w:t>
            </w:r>
            <w:r w:rsidR="00942949">
              <w:t xml:space="preserve"> 2013e</w:t>
            </w:r>
            <w:r w:rsidR="0047713F" w:rsidRPr="00DD05A2">
              <w:t>).</w:t>
            </w:r>
          </w:p>
          <w:p w:rsidR="0047713F" w:rsidRPr="00DD05A2" w:rsidRDefault="007454CC" w:rsidP="007454CC">
            <w:pPr>
              <w:pStyle w:val="Tabletext"/>
              <w:ind w:left="198" w:hanging="198"/>
            </w:pPr>
            <w:r>
              <w:rPr>
                <w:rFonts w:cs="Arial"/>
              </w:rPr>
              <w:t>▪</w:t>
            </w:r>
            <w:r>
              <w:tab/>
            </w:r>
            <w:r w:rsidR="0047713F" w:rsidRPr="00DD05A2">
              <w:t>In 2011, about 3.1% o</w:t>
            </w:r>
            <w:r w:rsidR="009606E6">
              <w:t>f workers were Indigenous (ABS</w:t>
            </w:r>
            <w:r w:rsidR="00E651ED">
              <w:t xml:space="preserve"> </w:t>
            </w:r>
            <w:r w:rsidR="0047713F" w:rsidRPr="00DD05A2">
              <w:t>2011).</w:t>
            </w:r>
          </w:p>
          <w:p w:rsidR="0047713F" w:rsidRPr="00DD05A2" w:rsidRDefault="0047713F" w:rsidP="00DB3750">
            <w:pPr>
              <w:pStyle w:val="Tabletext"/>
              <w:rPr>
                <w:rFonts w:asciiTheme="majorHAnsi" w:hAnsiTheme="majorHAnsi" w:cstheme="majorHAnsi"/>
                <w:sz w:val="20"/>
              </w:rPr>
            </w:pPr>
            <w:r w:rsidRPr="00DD05A2">
              <w:t xml:space="preserve">See also figures for the </w:t>
            </w:r>
            <w:r w:rsidR="00DB3750">
              <w:t>m</w:t>
            </w:r>
            <w:r w:rsidRPr="00DD05A2">
              <w:t xml:space="preserve">anufacturing </w:t>
            </w:r>
            <w:r w:rsidR="00DB3750">
              <w:t>i</w:t>
            </w:r>
            <w:r w:rsidRPr="00DD05A2">
              <w:t>ndustry.</w:t>
            </w:r>
          </w:p>
        </w:tc>
        <w:tc>
          <w:tcPr>
            <w:tcW w:w="2518" w:type="dxa"/>
            <w:tcBorders>
              <w:top w:val="single" w:sz="4" w:space="0" w:color="auto"/>
              <w:bottom w:val="single" w:sz="4" w:space="0" w:color="auto"/>
            </w:tcBorders>
            <w:shd w:val="clear" w:color="auto" w:fill="auto"/>
          </w:tcPr>
          <w:p w:rsidR="0047713F" w:rsidRPr="00DD05A2" w:rsidRDefault="0047713F" w:rsidP="003478EE">
            <w:pPr>
              <w:pStyle w:val="Tabletext"/>
              <w:spacing w:before="120"/>
            </w:pPr>
            <w:r w:rsidRPr="00DD05A2">
              <w:lastRenderedPageBreak/>
              <w:t>The oil and gas industry has a similar demographic to mining industry.</w:t>
            </w:r>
          </w:p>
          <w:p w:rsidR="0047713F" w:rsidRPr="00DD05A2" w:rsidRDefault="0047713F" w:rsidP="00920F07">
            <w:pPr>
              <w:pStyle w:val="Tabletext"/>
            </w:pPr>
            <w:r w:rsidRPr="00DD05A2">
              <w:t>The oil and gas extraction industry employs a lower proportion of Indigenous workers (at 1.3</w:t>
            </w:r>
            <w:r w:rsidR="008D67F9">
              <w:t>%</w:t>
            </w:r>
            <w:r w:rsidR="00DB3750">
              <w:t>) compared with m</w:t>
            </w:r>
            <w:r w:rsidRPr="00DD05A2">
              <w:t>ining generally (3.1</w:t>
            </w:r>
            <w:r w:rsidR="008D67F9">
              <w:t>%</w:t>
            </w:r>
            <w:r w:rsidRPr="00DD05A2">
              <w:t xml:space="preserve">) </w:t>
            </w:r>
            <w:r w:rsidRPr="00032F4E">
              <w:t>(</w:t>
            </w:r>
            <w:r w:rsidR="008D67F9">
              <w:t xml:space="preserve">Australian </w:t>
            </w:r>
            <w:r w:rsidR="006C26DD">
              <w:t>Workforce and Productivity</w:t>
            </w:r>
            <w:r w:rsidR="008D67F9">
              <w:t xml:space="preserve"> Agency</w:t>
            </w:r>
            <w:r w:rsidRPr="00032F4E">
              <w:t xml:space="preserve"> 2013</w:t>
            </w:r>
            <w:r w:rsidR="00DE07C4" w:rsidRPr="00032F4E">
              <w:t>b</w:t>
            </w:r>
            <w:r w:rsidR="009606E6">
              <w:t xml:space="preserve">; ABS </w:t>
            </w:r>
            <w:r w:rsidRPr="00DD05A2">
              <w:t>2011).</w:t>
            </w:r>
          </w:p>
          <w:p w:rsidR="0047713F" w:rsidRPr="00920F07" w:rsidRDefault="00E651ED" w:rsidP="003478EE">
            <w:pPr>
              <w:pStyle w:val="Tabletext"/>
              <w:spacing w:before="120"/>
              <w:rPr>
                <w:b/>
              </w:rPr>
            </w:pPr>
            <w:r w:rsidRPr="00920F07">
              <w:rPr>
                <w:b/>
              </w:rPr>
              <w:t>Mining i</w:t>
            </w:r>
            <w:r w:rsidR="0047713F" w:rsidRPr="00920F07">
              <w:rPr>
                <w:b/>
              </w:rPr>
              <w:t>ndustry</w:t>
            </w:r>
          </w:p>
          <w:p w:rsidR="0047713F" w:rsidRPr="00DD05A2" w:rsidRDefault="007454CC" w:rsidP="007454CC">
            <w:pPr>
              <w:pStyle w:val="Tabletext"/>
              <w:ind w:left="198" w:hanging="198"/>
            </w:pPr>
            <w:r>
              <w:rPr>
                <w:rFonts w:cs="Arial"/>
              </w:rPr>
              <w:t>▪</w:t>
            </w:r>
            <w:r>
              <w:tab/>
            </w:r>
            <w:r w:rsidR="0047713F" w:rsidRPr="00DD05A2">
              <w:t>70</w:t>
            </w:r>
            <w:r w:rsidR="008D67F9">
              <w:t>%</w:t>
            </w:r>
            <w:r w:rsidR="0047713F" w:rsidRPr="00DD05A2">
              <w:t xml:space="preserve"> of workers are employed in large enterprises, with only 15</w:t>
            </w:r>
            <w:r w:rsidR="008D67F9">
              <w:t>%</w:t>
            </w:r>
            <w:r w:rsidR="0047713F" w:rsidRPr="00DD05A2">
              <w:t xml:space="preserve"> employed in small enterprises (</w:t>
            </w:r>
            <w:r w:rsidR="008D67F9">
              <w:t xml:space="preserve">Australian </w:t>
            </w:r>
            <w:r w:rsidR="00AA60A9">
              <w:t xml:space="preserve">Workforce </w:t>
            </w:r>
            <w:r w:rsidR="00734983">
              <w:t xml:space="preserve">and </w:t>
            </w:r>
            <w:r w:rsidR="008D67F9">
              <w:t>Productivity Agency</w:t>
            </w:r>
            <w:r w:rsidR="00942949">
              <w:t xml:space="preserve"> 2013e</w:t>
            </w:r>
            <w:r w:rsidR="0047713F" w:rsidRPr="00DD05A2">
              <w:t>).</w:t>
            </w:r>
          </w:p>
          <w:p w:rsidR="0047713F" w:rsidRDefault="007454CC" w:rsidP="00E7151E">
            <w:pPr>
              <w:pStyle w:val="Tabletext"/>
              <w:spacing w:after="20"/>
              <w:ind w:left="198" w:hanging="198"/>
            </w:pPr>
            <w:r>
              <w:rPr>
                <w:rFonts w:cs="Arial"/>
              </w:rPr>
              <w:t>▪</w:t>
            </w:r>
            <w:r>
              <w:tab/>
            </w:r>
            <w:r w:rsidR="0047713F" w:rsidRPr="00DD05A2">
              <w:t>Mining recorded the strongest employment growth of any industry over the past five years, at 79</w:t>
            </w:r>
            <w:r w:rsidR="008D67F9">
              <w:t>%</w:t>
            </w:r>
            <w:r w:rsidR="0047713F" w:rsidRPr="00DD05A2">
              <w:t xml:space="preserve"> (</w:t>
            </w:r>
            <w:r w:rsidR="008D67F9">
              <w:t xml:space="preserve">Australian </w:t>
            </w:r>
            <w:r w:rsidR="006C26DD">
              <w:t>Workforce and Productivity</w:t>
            </w:r>
            <w:r w:rsidR="008D67F9">
              <w:t xml:space="preserve"> Agency</w:t>
            </w:r>
            <w:r w:rsidR="00942949">
              <w:t xml:space="preserve"> 2013e</w:t>
            </w:r>
            <w:r w:rsidR="0047713F" w:rsidRPr="00DD05A2">
              <w:t>).</w:t>
            </w:r>
          </w:p>
          <w:p w:rsidR="0047713F" w:rsidRPr="00DD05A2" w:rsidRDefault="007454CC" w:rsidP="00E7151E">
            <w:pPr>
              <w:pStyle w:val="Tabletext"/>
              <w:spacing w:before="180"/>
              <w:ind w:left="198" w:hanging="198"/>
            </w:pPr>
            <w:r>
              <w:rPr>
                <w:rFonts w:cs="Arial"/>
              </w:rPr>
              <w:lastRenderedPageBreak/>
              <w:t>▪</w:t>
            </w:r>
            <w:r>
              <w:tab/>
            </w:r>
            <w:r w:rsidR="0047713F" w:rsidRPr="00DD05A2">
              <w:t>61</w:t>
            </w:r>
            <w:r w:rsidR="008D67F9">
              <w:t>%</w:t>
            </w:r>
            <w:r w:rsidR="0047713F" w:rsidRPr="00DD05A2">
              <w:t xml:space="preserve"> of workers are employed in regional and remote areas (</w:t>
            </w:r>
            <w:r w:rsidR="008D67F9">
              <w:t xml:space="preserve">Australian </w:t>
            </w:r>
            <w:r w:rsidR="006C26DD">
              <w:t>Workforce and Productivity</w:t>
            </w:r>
            <w:r w:rsidR="008D67F9">
              <w:t xml:space="preserve"> Agency</w:t>
            </w:r>
            <w:r w:rsidR="00942949">
              <w:t xml:space="preserve"> 2013e</w:t>
            </w:r>
            <w:r w:rsidR="0047713F" w:rsidRPr="00DD05A2">
              <w:t>).</w:t>
            </w:r>
          </w:p>
          <w:p w:rsidR="0047713F" w:rsidRPr="00DD05A2" w:rsidRDefault="007454CC" w:rsidP="007454CC">
            <w:pPr>
              <w:pStyle w:val="Tabletext"/>
              <w:ind w:left="198" w:hanging="198"/>
            </w:pPr>
            <w:r>
              <w:rPr>
                <w:rFonts w:cs="Arial"/>
              </w:rPr>
              <w:t>▪</w:t>
            </w:r>
            <w:r>
              <w:tab/>
            </w:r>
            <w:r w:rsidR="0047713F" w:rsidRPr="00DD05A2">
              <w:t>84</w:t>
            </w:r>
            <w:r w:rsidR="008D67F9">
              <w:t>%</w:t>
            </w:r>
            <w:r w:rsidR="0047713F" w:rsidRPr="00DD05A2">
              <w:t xml:space="preserve"> of workers are male (</w:t>
            </w:r>
            <w:r w:rsidR="008D67F9">
              <w:t xml:space="preserve">Australian </w:t>
            </w:r>
            <w:r w:rsidR="006C26DD">
              <w:t>Workforce and Productivity</w:t>
            </w:r>
            <w:r w:rsidR="008D67F9">
              <w:t xml:space="preserve"> Agency</w:t>
            </w:r>
            <w:r w:rsidR="00942949">
              <w:t xml:space="preserve"> 2013e</w:t>
            </w:r>
            <w:r w:rsidR="0047713F" w:rsidRPr="00DD05A2">
              <w:t>).</w:t>
            </w:r>
          </w:p>
          <w:p w:rsidR="0047713F" w:rsidRPr="00DD05A2" w:rsidRDefault="007454CC" w:rsidP="007454CC">
            <w:pPr>
              <w:pStyle w:val="Tabletext"/>
              <w:ind w:left="198" w:hanging="198"/>
            </w:pPr>
            <w:r>
              <w:rPr>
                <w:rFonts w:cs="Arial"/>
              </w:rPr>
              <w:t>▪</w:t>
            </w:r>
            <w:r>
              <w:tab/>
            </w:r>
            <w:r w:rsidR="0047713F" w:rsidRPr="00DD05A2">
              <w:t>97</w:t>
            </w:r>
            <w:r w:rsidR="008D67F9">
              <w:t>%</w:t>
            </w:r>
            <w:r w:rsidR="009606E6">
              <w:t xml:space="preserve"> of workers are employed full-</w:t>
            </w:r>
            <w:r w:rsidR="0047713F" w:rsidRPr="00DD05A2">
              <w:t>time (</w:t>
            </w:r>
            <w:r w:rsidR="008D67F9">
              <w:t xml:space="preserve">Australian </w:t>
            </w:r>
            <w:r w:rsidR="006C26DD">
              <w:t>Workforce and Productivity</w:t>
            </w:r>
            <w:r w:rsidR="008D67F9">
              <w:t xml:space="preserve"> Agency</w:t>
            </w:r>
            <w:r w:rsidR="00942949">
              <w:t xml:space="preserve"> 2013e</w:t>
            </w:r>
            <w:r w:rsidR="0047713F" w:rsidRPr="00DD05A2">
              <w:t>).</w:t>
            </w:r>
          </w:p>
          <w:p w:rsidR="0047713F" w:rsidRPr="00DD05A2" w:rsidRDefault="007454CC" w:rsidP="00E83850">
            <w:pPr>
              <w:pStyle w:val="Tabletext"/>
              <w:spacing w:after="120"/>
              <w:ind w:left="198" w:hanging="198"/>
            </w:pPr>
            <w:r>
              <w:rPr>
                <w:rFonts w:cs="Arial"/>
              </w:rPr>
              <w:t>▪</w:t>
            </w:r>
            <w:r>
              <w:tab/>
            </w:r>
            <w:r w:rsidR="0047713F" w:rsidRPr="00DD05A2">
              <w:t>Around 34</w:t>
            </w:r>
            <w:r w:rsidR="008D67F9">
              <w:t>%</w:t>
            </w:r>
            <w:r w:rsidR="0047713F" w:rsidRPr="00DD05A2">
              <w:t xml:space="preserve"> of the workers are aged 45 years or older (</w:t>
            </w:r>
            <w:r w:rsidR="008D67F9">
              <w:t xml:space="preserve">Australian </w:t>
            </w:r>
            <w:r w:rsidR="006C26DD">
              <w:t>Workforce and Productivity</w:t>
            </w:r>
            <w:r w:rsidR="008D67F9">
              <w:t xml:space="preserve"> Agency</w:t>
            </w:r>
            <w:r w:rsidR="00942949">
              <w:t xml:space="preserve"> 2013e</w:t>
            </w:r>
            <w:r w:rsidR="0047713F" w:rsidRPr="00DD05A2">
              <w:t>).</w:t>
            </w:r>
          </w:p>
        </w:tc>
      </w:tr>
      <w:tr w:rsidR="0047713F" w:rsidRPr="003F0196" w:rsidTr="002E28D8">
        <w:trPr>
          <w:cantSplit/>
        </w:trPr>
        <w:tc>
          <w:tcPr>
            <w:tcW w:w="1418" w:type="dxa"/>
            <w:tcBorders>
              <w:top w:val="single" w:sz="4" w:space="0" w:color="auto"/>
              <w:bottom w:val="single" w:sz="4" w:space="0" w:color="auto"/>
            </w:tcBorders>
            <w:shd w:val="clear" w:color="auto" w:fill="C6D9F1" w:themeFill="text2" w:themeFillTint="33"/>
          </w:tcPr>
          <w:p w:rsidR="0047713F" w:rsidRPr="00920F07" w:rsidRDefault="009606E6" w:rsidP="003478EE">
            <w:pPr>
              <w:pStyle w:val="Tabletext"/>
              <w:spacing w:before="120"/>
              <w:rPr>
                <w:b/>
              </w:rPr>
            </w:pPr>
            <w:r w:rsidRPr="00920F07">
              <w:rPr>
                <w:b/>
              </w:rPr>
              <w:lastRenderedPageBreak/>
              <w:t xml:space="preserve">Workforce </w:t>
            </w:r>
            <w:r w:rsidR="00E651ED" w:rsidRPr="00920F07">
              <w:rPr>
                <w:b/>
              </w:rPr>
              <w:t>— a</w:t>
            </w:r>
            <w:r w:rsidR="0047713F" w:rsidRPr="00920F07">
              <w:rPr>
                <w:b/>
              </w:rPr>
              <w:t>pprentices and trainees</w:t>
            </w:r>
          </w:p>
        </w:tc>
        <w:tc>
          <w:tcPr>
            <w:tcW w:w="2517" w:type="dxa"/>
            <w:tcBorders>
              <w:top w:val="single" w:sz="4" w:space="0" w:color="auto"/>
              <w:bottom w:val="single" w:sz="4" w:space="0" w:color="auto"/>
            </w:tcBorders>
            <w:shd w:val="clear" w:color="auto" w:fill="auto"/>
          </w:tcPr>
          <w:p w:rsidR="0047713F" w:rsidRPr="00DD05A2" w:rsidRDefault="0047713F" w:rsidP="00E83850">
            <w:pPr>
              <w:pStyle w:val="Tabletext"/>
              <w:spacing w:before="120" w:after="120"/>
              <w:rPr>
                <w:noProof/>
              </w:rPr>
            </w:pPr>
            <w:r w:rsidRPr="00DD05A2">
              <w:rPr>
                <w:noProof/>
              </w:rPr>
              <w:t xml:space="preserve">As at </w:t>
            </w:r>
            <w:r w:rsidR="009606E6">
              <w:rPr>
                <w:noProof/>
              </w:rPr>
              <w:t xml:space="preserve">31 December 2013, there were 29 </w:t>
            </w:r>
            <w:r w:rsidRPr="00DD05A2">
              <w:rPr>
                <w:noProof/>
              </w:rPr>
              <w:t>380</w:t>
            </w:r>
            <w:r w:rsidRPr="00DD05A2">
              <w:t xml:space="preserve"> </w:t>
            </w:r>
            <w:r w:rsidRPr="00162254">
              <w:rPr>
                <w:noProof/>
              </w:rPr>
              <w:t>apprentices and trainees in training with the</w:t>
            </w:r>
            <w:r w:rsidRPr="00DD05A2">
              <w:rPr>
                <w:noProof/>
              </w:rPr>
              <w:t xml:space="preserve"> </w:t>
            </w:r>
            <w:r w:rsidRPr="009606E6">
              <w:rPr>
                <w:i/>
                <w:noProof/>
              </w:rPr>
              <w:t>Agrifood Industry Skills Council</w:t>
            </w:r>
            <w:r w:rsidRPr="00DD05A2">
              <w:rPr>
                <w:b/>
                <w:noProof/>
              </w:rPr>
              <w:t>.</w:t>
            </w:r>
            <w:r w:rsidRPr="00DD05A2">
              <w:rPr>
                <w:noProof/>
              </w:rPr>
              <w:t xml:space="preserve"> Of </w:t>
            </w:r>
            <w:r w:rsidR="009606E6">
              <w:rPr>
                <w:noProof/>
              </w:rPr>
              <w:t>these, 76%</w:t>
            </w:r>
            <w:r w:rsidRPr="005E4BF3">
              <w:rPr>
                <w:noProof/>
              </w:rPr>
              <w:t xml:space="preserve"> were male. And 5</w:t>
            </w:r>
            <w:r w:rsidR="002E7B75" w:rsidRPr="005E4BF3">
              <w:rPr>
                <w:noProof/>
              </w:rPr>
              <w:t>1</w:t>
            </w:r>
            <w:r w:rsidR="009606E6">
              <w:rPr>
                <w:noProof/>
              </w:rPr>
              <w:t>%</w:t>
            </w:r>
            <w:r w:rsidR="00472A51">
              <w:rPr>
                <w:noProof/>
              </w:rPr>
              <w:t xml:space="preserve"> </w:t>
            </w:r>
            <w:r w:rsidRPr="005E4BF3">
              <w:rPr>
                <w:noProof/>
              </w:rPr>
              <w:t>were were in non-metropolitan</w:t>
            </w:r>
            <w:r w:rsidR="009606E6">
              <w:rPr>
                <w:noProof/>
              </w:rPr>
              <w:t xml:space="preserve"> areas (NCVER</w:t>
            </w:r>
            <w:r w:rsidRPr="00DD05A2">
              <w:rPr>
                <w:noProof/>
              </w:rPr>
              <w:t xml:space="preserve"> 2014).</w:t>
            </w:r>
          </w:p>
        </w:tc>
        <w:tc>
          <w:tcPr>
            <w:tcW w:w="2517" w:type="dxa"/>
            <w:tcBorders>
              <w:top w:val="single" w:sz="4" w:space="0" w:color="auto"/>
              <w:bottom w:val="single" w:sz="4" w:space="0" w:color="auto"/>
            </w:tcBorders>
            <w:shd w:val="clear" w:color="auto" w:fill="auto"/>
          </w:tcPr>
          <w:p w:rsidR="0047713F" w:rsidRPr="00DD05A2" w:rsidRDefault="0047713F" w:rsidP="003478EE">
            <w:pPr>
              <w:pStyle w:val="Tabletext"/>
              <w:spacing w:before="120"/>
              <w:rPr>
                <w:noProof/>
                <w:lang w:val="en-US"/>
              </w:rPr>
            </w:pPr>
            <w:r w:rsidRPr="00DD05A2">
              <w:rPr>
                <w:noProof/>
                <w:lang w:val="en-US"/>
              </w:rPr>
              <w:t>Not available</w:t>
            </w:r>
          </w:p>
        </w:tc>
        <w:tc>
          <w:tcPr>
            <w:tcW w:w="2518" w:type="dxa"/>
            <w:tcBorders>
              <w:top w:val="single" w:sz="4" w:space="0" w:color="auto"/>
              <w:bottom w:val="single" w:sz="4" w:space="0" w:color="auto"/>
            </w:tcBorders>
            <w:shd w:val="clear" w:color="auto" w:fill="auto"/>
          </w:tcPr>
          <w:p w:rsidR="0047713F" w:rsidRPr="00DD05A2" w:rsidRDefault="0047713F" w:rsidP="003478EE">
            <w:pPr>
              <w:pStyle w:val="Tabletext"/>
              <w:spacing w:before="120"/>
              <w:rPr>
                <w:noProof/>
              </w:rPr>
            </w:pPr>
            <w:r w:rsidRPr="00DD05A2">
              <w:rPr>
                <w:noProof/>
              </w:rPr>
              <w:t xml:space="preserve">As at 31 December 2013, there were about </w:t>
            </w:r>
            <w:r w:rsidR="009606E6">
              <w:t xml:space="preserve">51 </w:t>
            </w:r>
            <w:r w:rsidRPr="00DD05A2">
              <w:t xml:space="preserve">319 </w:t>
            </w:r>
            <w:r w:rsidRPr="00162254">
              <w:rPr>
                <w:noProof/>
              </w:rPr>
              <w:t>apprentices and trainees in training with the</w:t>
            </w:r>
            <w:r w:rsidRPr="00DD05A2">
              <w:rPr>
                <w:noProof/>
              </w:rPr>
              <w:t xml:space="preserve"> </w:t>
            </w:r>
            <w:r w:rsidRPr="009606E6">
              <w:rPr>
                <w:i/>
                <w:noProof/>
              </w:rPr>
              <w:t>Manufacturing Industry Skills Council</w:t>
            </w:r>
            <w:r w:rsidR="009606E6">
              <w:rPr>
                <w:noProof/>
              </w:rPr>
              <w:t>. Of these, 90% were male. And 43% we</w:t>
            </w:r>
            <w:r w:rsidR="008C4CD4">
              <w:rPr>
                <w:noProof/>
              </w:rPr>
              <w:t>re</w:t>
            </w:r>
            <w:r w:rsidRPr="00DD05A2">
              <w:rPr>
                <w:noProof/>
              </w:rPr>
              <w:t xml:space="preserve"> located outside the major cities </w:t>
            </w:r>
            <w:r w:rsidR="009606E6">
              <w:rPr>
                <w:noProof/>
                <w:lang w:val="en-US" w:eastAsia="en-AU"/>
              </w:rPr>
              <w:t xml:space="preserve">(NCVER </w:t>
            </w:r>
            <w:r w:rsidRPr="00DD05A2">
              <w:rPr>
                <w:noProof/>
                <w:lang w:val="en-US" w:eastAsia="en-AU"/>
              </w:rPr>
              <w:t>2014).</w:t>
            </w:r>
          </w:p>
        </w:tc>
        <w:tc>
          <w:tcPr>
            <w:tcW w:w="2517" w:type="dxa"/>
            <w:tcBorders>
              <w:top w:val="single" w:sz="4" w:space="0" w:color="auto"/>
              <w:bottom w:val="single" w:sz="4" w:space="0" w:color="auto"/>
            </w:tcBorders>
            <w:shd w:val="clear" w:color="auto" w:fill="auto"/>
          </w:tcPr>
          <w:p w:rsidR="0047713F" w:rsidRPr="00DD05A2" w:rsidRDefault="0047713F" w:rsidP="003478EE">
            <w:pPr>
              <w:pStyle w:val="Tabletext"/>
              <w:spacing w:before="120"/>
              <w:rPr>
                <w:noProof/>
              </w:rPr>
            </w:pPr>
            <w:r w:rsidRPr="00DD05A2">
              <w:rPr>
                <w:noProof/>
              </w:rPr>
              <w:t xml:space="preserve">As at 31 December 2013, there were about </w:t>
            </w:r>
            <w:r w:rsidR="009606E6">
              <w:t xml:space="preserve">10 </w:t>
            </w:r>
            <w:r w:rsidRPr="00DD05A2">
              <w:t xml:space="preserve">865 </w:t>
            </w:r>
            <w:r w:rsidRPr="00162254">
              <w:rPr>
                <w:noProof/>
              </w:rPr>
              <w:t>apprentices and trainees in training with</w:t>
            </w:r>
            <w:r w:rsidRPr="00DD05A2">
              <w:rPr>
                <w:b/>
                <w:noProof/>
              </w:rPr>
              <w:t xml:space="preserve"> </w:t>
            </w:r>
            <w:r w:rsidRPr="00E651ED">
              <w:rPr>
                <w:noProof/>
              </w:rPr>
              <w:t xml:space="preserve">the </w:t>
            </w:r>
            <w:r w:rsidR="00E651ED">
              <w:rPr>
                <w:i/>
                <w:noProof/>
              </w:rPr>
              <w:t>m</w:t>
            </w:r>
            <w:r w:rsidR="009606E6">
              <w:rPr>
                <w:i/>
                <w:noProof/>
              </w:rPr>
              <w:t>ining i</w:t>
            </w:r>
            <w:r w:rsidRPr="009606E6">
              <w:rPr>
                <w:i/>
                <w:noProof/>
              </w:rPr>
              <w:t>ndustry</w:t>
            </w:r>
            <w:r w:rsidRPr="00DD05A2">
              <w:rPr>
                <w:noProof/>
              </w:rPr>
              <w:t>. Of these, 89</w:t>
            </w:r>
            <w:r w:rsidR="009606E6">
              <w:rPr>
                <w:noProof/>
              </w:rPr>
              <w:t>%</w:t>
            </w:r>
            <w:r w:rsidRPr="00DD05A2">
              <w:rPr>
                <w:noProof/>
              </w:rPr>
              <w:t xml:space="preserve"> were male. 61</w:t>
            </w:r>
            <w:r w:rsidR="009606E6">
              <w:rPr>
                <w:noProof/>
              </w:rPr>
              <w:t>%</w:t>
            </w:r>
            <w:r w:rsidRPr="00DD05A2">
              <w:rPr>
                <w:noProof/>
              </w:rPr>
              <w:t xml:space="preserve"> were located outside the major cities </w:t>
            </w:r>
            <w:r w:rsidR="009606E6">
              <w:rPr>
                <w:noProof/>
                <w:lang w:val="en-US" w:eastAsia="en-AU"/>
              </w:rPr>
              <w:t xml:space="preserve">(NCVER </w:t>
            </w:r>
            <w:r w:rsidRPr="00DD05A2">
              <w:rPr>
                <w:noProof/>
                <w:lang w:val="en-US" w:eastAsia="en-AU"/>
              </w:rPr>
              <w:t>2014).</w:t>
            </w:r>
          </w:p>
        </w:tc>
        <w:tc>
          <w:tcPr>
            <w:tcW w:w="2518" w:type="dxa"/>
            <w:tcBorders>
              <w:top w:val="single" w:sz="4" w:space="0" w:color="auto"/>
              <w:bottom w:val="single" w:sz="4" w:space="0" w:color="auto"/>
            </w:tcBorders>
            <w:shd w:val="clear" w:color="auto" w:fill="auto"/>
          </w:tcPr>
          <w:p w:rsidR="0047713F" w:rsidRPr="00DD05A2" w:rsidRDefault="0047713F" w:rsidP="003478EE">
            <w:pPr>
              <w:pStyle w:val="Tabletext"/>
              <w:spacing w:before="120"/>
              <w:rPr>
                <w:noProof/>
                <w:lang w:val="en-US"/>
              </w:rPr>
            </w:pPr>
            <w:r w:rsidRPr="00DD05A2">
              <w:rPr>
                <w:noProof/>
                <w:lang w:val="en-US"/>
              </w:rPr>
              <w:t xml:space="preserve">As at 31 December 2013, there were about 554 </w:t>
            </w:r>
            <w:r w:rsidRPr="00162254">
              <w:rPr>
                <w:noProof/>
                <w:lang w:val="en-US"/>
              </w:rPr>
              <w:t xml:space="preserve">apprentices and trainees </w:t>
            </w:r>
            <w:r w:rsidRPr="00162254">
              <w:rPr>
                <w:noProof/>
              </w:rPr>
              <w:t>in training with</w:t>
            </w:r>
            <w:r w:rsidRPr="00DD05A2">
              <w:rPr>
                <w:b/>
                <w:noProof/>
              </w:rPr>
              <w:t xml:space="preserve"> </w:t>
            </w:r>
            <w:r w:rsidRPr="00DD05A2">
              <w:rPr>
                <w:noProof/>
                <w:lang w:val="en-US"/>
              </w:rPr>
              <w:t xml:space="preserve">the </w:t>
            </w:r>
            <w:r w:rsidR="009606E6">
              <w:rPr>
                <w:i/>
                <w:noProof/>
                <w:lang w:val="en-US"/>
              </w:rPr>
              <w:t>o</w:t>
            </w:r>
            <w:r w:rsidRPr="009606E6">
              <w:rPr>
                <w:i/>
                <w:noProof/>
                <w:lang w:val="en-US"/>
              </w:rPr>
              <w:t>il and gas extraction industry</w:t>
            </w:r>
            <w:r w:rsidR="009606E6">
              <w:rPr>
                <w:noProof/>
                <w:lang w:val="en-US"/>
              </w:rPr>
              <w:t xml:space="preserve">. Of these, 92% were male. And 41% </w:t>
            </w:r>
            <w:r w:rsidRPr="00DD05A2">
              <w:rPr>
                <w:noProof/>
                <w:lang w:val="en-US"/>
              </w:rPr>
              <w:t xml:space="preserve">were were in non-metropolitan areas </w:t>
            </w:r>
            <w:r w:rsidR="009606E6">
              <w:rPr>
                <w:noProof/>
                <w:lang w:val="en-US" w:eastAsia="en-AU"/>
              </w:rPr>
              <w:t>(NCVER</w:t>
            </w:r>
            <w:r w:rsidRPr="00DD05A2">
              <w:rPr>
                <w:noProof/>
                <w:lang w:val="en-US" w:eastAsia="en-AU"/>
              </w:rPr>
              <w:t xml:space="preserve"> 2014).</w:t>
            </w:r>
          </w:p>
        </w:tc>
      </w:tr>
      <w:tr w:rsidR="0047713F" w:rsidRPr="003F0196" w:rsidTr="00510A21">
        <w:tc>
          <w:tcPr>
            <w:tcW w:w="1418" w:type="dxa"/>
            <w:tcBorders>
              <w:top w:val="single" w:sz="4" w:space="0" w:color="auto"/>
              <w:bottom w:val="single" w:sz="4" w:space="0" w:color="auto"/>
            </w:tcBorders>
            <w:shd w:val="clear" w:color="auto" w:fill="C6D9F1" w:themeFill="text2" w:themeFillTint="33"/>
          </w:tcPr>
          <w:p w:rsidR="0047713F" w:rsidRPr="00920F07" w:rsidRDefault="0047713F" w:rsidP="003478EE">
            <w:pPr>
              <w:pStyle w:val="Tabletext"/>
              <w:spacing w:before="120"/>
              <w:rPr>
                <w:b/>
              </w:rPr>
            </w:pPr>
            <w:r w:rsidRPr="00920F07">
              <w:rPr>
                <w:b/>
              </w:rPr>
              <w:t>Workforce educational attainment</w:t>
            </w:r>
          </w:p>
        </w:tc>
        <w:tc>
          <w:tcPr>
            <w:tcW w:w="2517" w:type="dxa"/>
            <w:tcBorders>
              <w:top w:val="single" w:sz="4" w:space="0" w:color="auto"/>
              <w:bottom w:val="single" w:sz="4" w:space="0" w:color="auto"/>
            </w:tcBorders>
            <w:shd w:val="clear" w:color="auto" w:fill="auto"/>
          </w:tcPr>
          <w:p w:rsidR="0047713F" w:rsidRPr="0099103C" w:rsidRDefault="0047713F" w:rsidP="003478EE">
            <w:pPr>
              <w:pStyle w:val="Tabletext"/>
              <w:spacing w:before="120"/>
            </w:pPr>
            <w:r w:rsidRPr="0099103C">
              <w:t>These figures are not comp</w:t>
            </w:r>
            <w:r w:rsidR="00597E16">
              <w:t>rehensive, but rather a snap</w:t>
            </w:r>
            <w:r w:rsidRPr="0099103C">
              <w:t>shot of sectors within the broader industry to highlight the diversity in levels of educational attainment.</w:t>
            </w:r>
          </w:p>
          <w:p w:rsidR="0047713F" w:rsidRPr="00EF31C6" w:rsidRDefault="002F32B8" w:rsidP="007A6B5E">
            <w:pPr>
              <w:pStyle w:val="Tabletext"/>
              <w:spacing w:before="120"/>
              <w:rPr>
                <w:b/>
              </w:rPr>
            </w:pPr>
            <w:r w:rsidRPr="00EF31C6">
              <w:rPr>
                <w:b/>
              </w:rPr>
              <w:t>Food product manufacturing i</w:t>
            </w:r>
            <w:r w:rsidR="0047713F" w:rsidRPr="00EF31C6">
              <w:rPr>
                <w:b/>
              </w:rPr>
              <w:t>ndustry</w:t>
            </w:r>
          </w:p>
          <w:p w:rsidR="0047713F" w:rsidRPr="0099103C" w:rsidRDefault="00EF31C6" w:rsidP="00EF31C6">
            <w:pPr>
              <w:pStyle w:val="Tabletext"/>
              <w:ind w:left="198" w:hanging="198"/>
            </w:pPr>
            <w:r>
              <w:rPr>
                <w:rFonts w:cs="Arial"/>
              </w:rPr>
              <w:t>▪</w:t>
            </w:r>
            <w:r>
              <w:tab/>
            </w:r>
            <w:r w:rsidR="0047713F" w:rsidRPr="0099103C">
              <w:t>60</w:t>
            </w:r>
            <w:r w:rsidR="008D67F9">
              <w:t>%</w:t>
            </w:r>
            <w:r w:rsidR="0047713F" w:rsidRPr="0099103C">
              <w:t xml:space="preserve"> do not hold a post-school qualification</w:t>
            </w:r>
            <w:r w:rsidR="00597E16">
              <w:t>.</w:t>
            </w:r>
          </w:p>
          <w:p w:rsidR="0047713F" w:rsidRPr="0099103C" w:rsidRDefault="00EF31C6" w:rsidP="00EF31C6">
            <w:pPr>
              <w:pStyle w:val="Tabletext"/>
              <w:ind w:left="198" w:hanging="198"/>
            </w:pPr>
            <w:r>
              <w:rPr>
                <w:rFonts w:cs="Arial"/>
              </w:rPr>
              <w:t>▪</w:t>
            </w:r>
            <w:r>
              <w:tab/>
            </w:r>
            <w:r w:rsidR="0047713F" w:rsidRPr="0099103C">
              <w:t>18</w:t>
            </w:r>
            <w:r w:rsidR="008D67F9">
              <w:t>%</w:t>
            </w:r>
            <w:r w:rsidR="00597E16">
              <w:t xml:space="preserve"> of workers have completed a c</w:t>
            </w:r>
            <w:r w:rsidR="0047713F" w:rsidRPr="0099103C">
              <w:t>ertificate III or IV qualification</w:t>
            </w:r>
            <w:r w:rsidR="00597E16">
              <w:t>.</w:t>
            </w:r>
          </w:p>
          <w:p w:rsidR="0047713F" w:rsidRPr="0099103C" w:rsidRDefault="00EF31C6" w:rsidP="00EF31C6">
            <w:pPr>
              <w:pStyle w:val="Tabletext"/>
              <w:ind w:left="198" w:hanging="198"/>
            </w:pPr>
            <w:r>
              <w:rPr>
                <w:rFonts w:cs="Arial"/>
              </w:rPr>
              <w:t>▪</w:t>
            </w:r>
            <w:r>
              <w:tab/>
            </w:r>
            <w:r w:rsidR="0047713F" w:rsidRPr="0099103C">
              <w:t>22</w:t>
            </w:r>
            <w:r w:rsidR="008D67F9">
              <w:t>%</w:t>
            </w:r>
            <w:r w:rsidR="00597E16">
              <w:t xml:space="preserve"> have completed a d</w:t>
            </w:r>
            <w:r w:rsidR="0047713F" w:rsidRPr="0099103C">
              <w:t>iploma or higher</w:t>
            </w:r>
            <w:r w:rsidR="00DB3750">
              <w:t>-</w:t>
            </w:r>
            <w:r w:rsidR="00597E16">
              <w:t>level qualification (ABS</w:t>
            </w:r>
            <w:r w:rsidR="002F6E23">
              <w:t xml:space="preserve"> 2012</w:t>
            </w:r>
            <w:r w:rsidR="0047713F" w:rsidRPr="0099103C">
              <w:t>).</w:t>
            </w:r>
          </w:p>
          <w:p w:rsidR="00E7151E" w:rsidRDefault="00E7151E" w:rsidP="007A6B5E">
            <w:pPr>
              <w:pStyle w:val="Tabletext"/>
              <w:spacing w:before="120"/>
              <w:rPr>
                <w:b/>
              </w:rPr>
            </w:pPr>
          </w:p>
          <w:p w:rsidR="00E7151E" w:rsidRPr="00E7151E" w:rsidRDefault="00E7151E" w:rsidP="007A6B5E">
            <w:pPr>
              <w:pStyle w:val="Tabletext"/>
              <w:spacing w:before="120"/>
              <w:rPr>
                <w:b/>
                <w:sz w:val="8"/>
                <w:szCs w:val="8"/>
              </w:rPr>
            </w:pPr>
          </w:p>
          <w:p w:rsidR="0047713F" w:rsidRPr="00EF31C6" w:rsidRDefault="0047713F" w:rsidP="00E7151E">
            <w:pPr>
              <w:pStyle w:val="Tabletext"/>
              <w:spacing w:before="120"/>
              <w:rPr>
                <w:b/>
              </w:rPr>
            </w:pPr>
            <w:r w:rsidRPr="00EF31C6">
              <w:rPr>
                <w:b/>
              </w:rPr>
              <w:lastRenderedPageBreak/>
              <w:t>Agr</w:t>
            </w:r>
            <w:r w:rsidR="002F32B8" w:rsidRPr="00EF31C6">
              <w:rPr>
                <w:b/>
              </w:rPr>
              <w:t>iculture, forestry and fishing i</w:t>
            </w:r>
            <w:r w:rsidRPr="00EF31C6">
              <w:rPr>
                <w:b/>
              </w:rPr>
              <w:t>ndustry</w:t>
            </w:r>
          </w:p>
          <w:p w:rsidR="0047713F" w:rsidRPr="0099103C" w:rsidRDefault="00EF31C6" w:rsidP="00EF31C6">
            <w:pPr>
              <w:pStyle w:val="Tabletext"/>
              <w:ind w:left="198" w:hanging="198"/>
            </w:pPr>
            <w:r>
              <w:rPr>
                <w:rFonts w:cs="Arial"/>
              </w:rPr>
              <w:t>▪</w:t>
            </w:r>
            <w:r>
              <w:tab/>
            </w:r>
            <w:r w:rsidR="0047713F" w:rsidRPr="0099103C">
              <w:t>61</w:t>
            </w:r>
            <w:r w:rsidR="008D67F9">
              <w:t>%</w:t>
            </w:r>
            <w:r w:rsidR="0047713F" w:rsidRPr="0099103C">
              <w:t xml:space="preserve"> do not hold a post-school qualification</w:t>
            </w:r>
            <w:r w:rsidR="00C508FB">
              <w:t>.</w:t>
            </w:r>
          </w:p>
          <w:p w:rsidR="0047713F" w:rsidRPr="0099103C" w:rsidRDefault="00EF31C6" w:rsidP="00E7151E">
            <w:pPr>
              <w:pStyle w:val="Tabletext"/>
              <w:ind w:left="198" w:hanging="198"/>
            </w:pPr>
            <w:r>
              <w:rPr>
                <w:rFonts w:cs="Arial"/>
              </w:rPr>
              <w:t>▪</w:t>
            </w:r>
            <w:r>
              <w:tab/>
            </w:r>
            <w:r w:rsidR="0047713F" w:rsidRPr="0099103C">
              <w:t>18</w:t>
            </w:r>
            <w:r w:rsidR="008D67F9">
              <w:t>%</w:t>
            </w:r>
            <w:r w:rsidR="00C508FB">
              <w:t xml:space="preserve"> of workers have completed a c</w:t>
            </w:r>
            <w:r w:rsidR="0047713F" w:rsidRPr="0099103C">
              <w:t>ertificate III or IV qualification</w:t>
            </w:r>
            <w:r w:rsidR="00C508FB">
              <w:t>.</w:t>
            </w:r>
          </w:p>
          <w:p w:rsidR="0047713F" w:rsidRPr="0099103C" w:rsidRDefault="00EF31C6" w:rsidP="00EF31C6">
            <w:pPr>
              <w:pStyle w:val="Tabletext"/>
              <w:ind w:left="198" w:hanging="198"/>
            </w:pPr>
            <w:r>
              <w:rPr>
                <w:rFonts w:cs="Arial"/>
              </w:rPr>
              <w:t>▪</w:t>
            </w:r>
            <w:r>
              <w:tab/>
            </w:r>
            <w:r w:rsidR="0047713F" w:rsidRPr="0099103C">
              <w:t>21</w:t>
            </w:r>
            <w:r w:rsidR="008D67F9">
              <w:t>%</w:t>
            </w:r>
            <w:r w:rsidR="0047713F" w:rsidRPr="0099103C">
              <w:t xml:space="preserve"> have</w:t>
            </w:r>
            <w:r w:rsidR="00C508FB">
              <w:t xml:space="preserve"> completed a d</w:t>
            </w:r>
            <w:r w:rsidR="002F32B8">
              <w:t>iploma or higher-</w:t>
            </w:r>
            <w:r w:rsidR="0047713F" w:rsidRPr="0099103C">
              <w:t xml:space="preserve">level qualification </w:t>
            </w:r>
            <w:r w:rsidR="00C508FB">
              <w:t>(ABS</w:t>
            </w:r>
            <w:r w:rsidR="002F6E23">
              <w:t xml:space="preserve"> 2012</w:t>
            </w:r>
            <w:r w:rsidR="0047713F" w:rsidRPr="0099103C">
              <w:t>).</w:t>
            </w:r>
          </w:p>
        </w:tc>
        <w:tc>
          <w:tcPr>
            <w:tcW w:w="2517" w:type="dxa"/>
            <w:tcBorders>
              <w:top w:val="single" w:sz="4" w:space="0" w:color="auto"/>
              <w:bottom w:val="single" w:sz="4" w:space="0" w:color="auto"/>
            </w:tcBorders>
            <w:shd w:val="clear" w:color="auto" w:fill="auto"/>
          </w:tcPr>
          <w:p w:rsidR="0047713F" w:rsidRPr="0099103C" w:rsidRDefault="0047713F" w:rsidP="003478EE">
            <w:pPr>
              <w:pStyle w:val="Tabletext"/>
              <w:spacing w:before="120"/>
              <w:rPr>
                <w:noProof/>
                <w:lang w:val="en-US"/>
              </w:rPr>
            </w:pPr>
            <w:r w:rsidRPr="0099103C">
              <w:rPr>
                <w:noProof/>
                <w:lang w:val="en-US"/>
              </w:rPr>
              <w:lastRenderedPageBreak/>
              <w:t>Companies involved in the earlier stages of the industry value chain tend to have a higher proportion of bachelor and postgraduate qualified employees than companies involved in the later stages of the industry value chain. Companies involved in the later stages of the industry value chain tend to have a greater proportion of their workforce with a certificate or diploma as their highest qualification (Pharmace</w:t>
            </w:r>
            <w:r w:rsidR="00C508FB">
              <w:rPr>
                <w:noProof/>
                <w:lang w:val="en-US"/>
              </w:rPr>
              <w:t>uticals Industry Strategy Group</w:t>
            </w:r>
            <w:r w:rsidRPr="0099103C">
              <w:rPr>
                <w:noProof/>
                <w:lang w:val="en-US"/>
              </w:rPr>
              <w:t xml:space="preserve"> 2009).</w:t>
            </w:r>
          </w:p>
          <w:p w:rsidR="00E7151E" w:rsidRDefault="00E7151E" w:rsidP="007A6B5E">
            <w:pPr>
              <w:pStyle w:val="Tabletext"/>
              <w:spacing w:before="120"/>
              <w:rPr>
                <w:b/>
              </w:rPr>
            </w:pPr>
          </w:p>
          <w:p w:rsidR="00E7151E" w:rsidRDefault="00E7151E" w:rsidP="00E7151E">
            <w:pPr>
              <w:pStyle w:val="Tabletext"/>
              <w:spacing w:before="0"/>
              <w:rPr>
                <w:b/>
              </w:rPr>
            </w:pPr>
          </w:p>
          <w:p w:rsidR="00E7151E" w:rsidRPr="00E7151E" w:rsidRDefault="00E7151E" w:rsidP="007A6B5E">
            <w:pPr>
              <w:pStyle w:val="Tabletext"/>
              <w:spacing w:before="120"/>
              <w:rPr>
                <w:b/>
                <w:sz w:val="8"/>
                <w:szCs w:val="8"/>
              </w:rPr>
            </w:pPr>
          </w:p>
          <w:p w:rsidR="0047713F" w:rsidRPr="00EF31C6" w:rsidRDefault="0047713F" w:rsidP="00E7151E">
            <w:pPr>
              <w:pStyle w:val="Tabletext"/>
              <w:spacing w:before="120"/>
              <w:rPr>
                <w:b/>
              </w:rPr>
            </w:pPr>
            <w:r w:rsidRPr="00EF31C6">
              <w:rPr>
                <w:b/>
              </w:rPr>
              <w:lastRenderedPageBreak/>
              <w:t>Pharmaceutical and m</w:t>
            </w:r>
            <w:r w:rsidR="00E651ED" w:rsidRPr="00EF31C6">
              <w:rPr>
                <w:b/>
              </w:rPr>
              <w:t>edicinal product manufacturing i</w:t>
            </w:r>
            <w:r w:rsidRPr="00EF31C6">
              <w:rPr>
                <w:b/>
              </w:rPr>
              <w:t>ndustry</w:t>
            </w:r>
          </w:p>
          <w:p w:rsidR="0047713F" w:rsidRPr="0099103C" w:rsidRDefault="00EF31C6" w:rsidP="00EF31C6">
            <w:pPr>
              <w:pStyle w:val="Tabletext"/>
              <w:ind w:left="198" w:hanging="198"/>
            </w:pPr>
            <w:r>
              <w:rPr>
                <w:rFonts w:cs="Arial"/>
              </w:rPr>
              <w:t>▪</w:t>
            </w:r>
            <w:r>
              <w:tab/>
            </w:r>
            <w:r w:rsidR="0047713F" w:rsidRPr="0099103C">
              <w:t>20</w:t>
            </w:r>
            <w:r w:rsidR="008D67F9">
              <w:t>%</w:t>
            </w:r>
            <w:r w:rsidR="0047713F" w:rsidRPr="0099103C">
              <w:t xml:space="preserve"> do not hold a post-school qualification</w:t>
            </w:r>
            <w:r w:rsidR="00C508FB">
              <w:t>.</w:t>
            </w:r>
          </w:p>
          <w:p w:rsidR="0047713F" w:rsidRPr="0099103C" w:rsidRDefault="00EF31C6" w:rsidP="00510A21">
            <w:pPr>
              <w:pStyle w:val="Tabletext"/>
              <w:spacing w:before="160"/>
              <w:ind w:left="198" w:hanging="198"/>
            </w:pPr>
            <w:r>
              <w:rPr>
                <w:rFonts w:cs="Arial"/>
              </w:rPr>
              <w:t>▪</w:t>
            </w:r>
            <w:r>
              <w:tab/>
            </w:r>
            <w:r w:rsidR="0047713F" w:rsidRPr="0099103C">
              <w:t>9</w:t>
            </w:r>
            <w:r w:rsidR="008D67F9">
              <w:t>%</w:t>
            </w:r>
            <w:r w:rsidR="00C508FB">
              <w:t xml:space="preserve"> of workers have completed a c</w:t>
            </w:r>
            <w:r w:rsidR="0047713F" w:rsidRPr="0099103C">
              <w:t>ertificate III or IV qualification</w:t>
            </w:r>
            <w:r w:rsidR="00C508FB">
              <w:t>.</w:t>
            </w:r>
          </w:p>
          <w:p w:rsidR="0047713F" w:rsidRPr="0099103C" w:rsidRDefault="00EF31C6" w:rsidP="00E83850">
            <w:pPr>
              <w:pStyle w:val="Tabletext"/>
              <w:spacing w:after="120"/>
              <w:ind w:left="198" w:hanging="198"/>
            </w:pPr>
            <w:r>
              <w:rPr>
                <w:rFonts w:cs="Arial"/>
              </w:rPr>
              <w:t>▪</w:t>
            </w:r>
            <w:r>
              <w:tab/>
            </w:r>
            <w:r w:rsidR="0047713F" w:rsidRPr="0099103C">
              <w:t>72</w:t>
            </w:r>
            <w:r w:rsidR="008D67F9">
              <w:t>%</w:t>
            </w:r>
            <w:r w:rsidR="00C508FB">
              <w:t xml:space="preserve"> have completed a d</w:t>
            </w:r>
            <w:r w:rsidR="0047713F" w:rsidRPr="0099103C">
              <w:t>iploma or higher</w:t>
            </w:r>
            <w:r w:rsidR="00E651ED">
              <w:t>-</w:t>
            </w:r>
            <w:r w:rsidR="00C508FB">
              <w:t>level qualification (ABS</w:t>
            </w:r>
            <w:r w:rsidR="002F6E23">
              <w:t xml:space="preserve"> 2012</w:t>
            </w:r>
            <w:r w:rsidR="0047713F" w:rsidRPr="0099103C">
              <w:t>).</w:t>
            </w:r>
          </w:p>
        </w:tc>
        <w:tc>
          <w:tcPr>
            <w:tcW w:w="2518" w:type="dxa"/>
            <w:tcBorders>
              <w:top w:val="single" w:sz="4" w:space="0" w:color="auto"/>
              <w:bottom w:val="single" w:sz="4" w:space="0" w:color="auto"/>
            </w:tcBorders>
            <w:shd w:val="clear" w:color="auto" w:fill="auto"/>
          </w:tcPr>
          <w:p w:rsidR="0047713F" w:rsidRPr="00EF31C6" w:rsidRDefault="0047713F" w:rsidP="003478EE">
            <w:pPr>
              <w:pStyle w:val="Tabletext"/>
              <w:spacing w:before="120"/>
              <w:rPr>
                <w:b/>
              </w:rPr>
            </w:pPr>
            <w:r w:rsidRPr="00EF31C6">
              <w:rPr>
                <w:b/>
              </w:rPr>
              <w:lastRenderedPageBreak/>
              <w:t>Manufac</w:t>
            </w:r>
            <w:r w:rsidR="00597E16" w:rsidRPr="00EF31C6">
              <w:rPr>
                <w:b/>
              </w:rPr>
              <w:t>turing i</w:t>
            </w:r>
            <w:r w:rsidRPr="00EF31C6">
              <w:rPr>
                <w:b/>
              </w:rPr>
              <w:t>ndustry</w:t>
            </w:r>
          </w:p>
          <w:p w:rsidR="0047713F" w:rsidRPr="0099103C" w:rsidRDefault="00EF31C6" w:rsidP="00EF31C6">
            <w:pPr>
              <w:pStyle w:val="Tabletext"/>
              <w:ind w:left="198" w:hanging="198"/>
            </w:pPr>
            <w:r>
              <w:rPr>
                <w:rFonts w:cs="Arial"/>
              </w:rPr>
              <w:t>▪</w:t>
            </w:r>
            <w:r>
              <w:tab/>
            </w:r>
            <w:r w:rsidR="0047713F" w:rsidRPr="0099103C">
              <w:t>48</w:t>
            </w:r>
            <w:r w:rsidR="008D67F9">
              <w:t>%</w:t>
            </w:r>
            <w:r w:rsidR="0047713F" w:rsidRPr="0099103C">
              <w:t xml:space="preserve"> do not hold a post-school qualification</w:t>
            </w:r>
            <w:r w:rsidR="00597E16">
              <w:t>.</w:t>
            </w:r>
          </w:p>
          <w:p w:rsidR="0047713F" w:rsidRPr="0099103C" w:rsidRDefault="00EF31C6" w:rsidP="00EF31C6">
            <w:pPr>
              <w:pStyle w:val="Tabletext"/>
              <w:ind w:left="198" w:hanging="198"/>
            </w:pPr>
            <w:r>
              <w:rPr>
                <w:rFonts w:cs="Arial"/>
              </w:rPr>
              <w:t>▪</w:t>
            </w:r>
            <w:r>
              <w:tab/>
            </w:r>
            <w:r w:rsidR="0047713F" w:rsidRPr="0099103C">
              <w:t>26</w:t>
            </w:r>
            <w:r w:rsidR="008D67F9">
              <w:t>%</w:t>
            </w:r>
            <w:r w:rsidR="00597E16">
              <w:t xml:space="preserve"> of workers have completed a c</w:t>
            </w:r>
            <w:r w:rsidR="0047713F" w:rsidRPr="0099103C">
              <w:t>ertificate III or IV qualification</w:t>
            </w:r>
            <w:r w:rsidR="00597E16">
              <w:t>.</w:t>
            </w:r>
          </w:p>
          <w:p w:rsidR="0047713F" w:rsidRPr="0099103C" w:rsidRDefault="00EF31C6" w:rsidP="00EF31C6">
            <w:pPr>
              <w:pStyle w:val="Tabletext"/>
              <w:ind w:left="198" w:hanging="198"/>
            </w:pPr>
            <w:r>
              <w:rPr>
                <w:rFonts w:cs="Arial"/>
              </w:rPr>
              <w:t>▪</w:t>
            </w:r>
            <w:r>
              <w:tab/>
            </w:r>
            <w:r w:rsidR="0047713F" w:rsidRPr="0099103C">
              <w:t>26</w:t>
            </w:r>
            <w:r w:rsidR="008D67F9">
              <w:t>%</w:t>
            </w:r>
            <w:r w:rsidR="00C508FB">
              <w:t xml:space="preserve"> have completed a d</w:t>
            </w:r>
            <w:r w:rsidR="0047713F" w:rsidRPr="0099103C">
              <w:t>iploma or higher</w:t>
            </w:r>
            <w:r w:rsidR="00E651ED">
              <w:t>-</w:t>
            </w:r>
            <w:r w:rsidR="00597E16">
              <w:t>level qualification (ABS</w:t>
            </w:r>
            <w:r w:rsidR="002F6E23">
              <w:t xml:space="preserve"> 2012</w:t>
            </w:r>
            <w:r w:rsidR="0047713F" w:rsidRPr="0099103C">
              <w:t>).</w:t>
            </w:r>
          </w:p>
          <w:p w:rsidR="00E7151E" w:rsidRDefault="0047713F" w:rsidP="00E7151E">
            <w:pPr>
              <w:pStyle w:val="Tabletext"/>
              <w:rPr>
                <w:noProof/>
                <w:lang w:val="en-US"/>
              </w:rPr>
            </w:pPr>
            <w:r w:rsidRPr="0099103C">
              <w:rPr>
                <w:noProof/>
                <w:lang w:val="en-US"/>
              </w:rPr>
              <w:t>Universities have historically been a minor source of skilled employees for the manufacturing industry. Currently 15</w:t>
            </w:r>
            <w:r w:rsidR="008D67F9">
              <w:rPr>
                <w:noProof/>
                <w:lang w:val="en-US"/>
              </w:rPr>
              <w:t>%</w:t>
            </w:r>
            <w:r w:rsidRPr="0099103C">
              <w:rPr>
                <w:noProof/>
                <w:lang w:val="en-US"/>
              </w:rPr>
              <w:t xml:space="preserve"> of workers in the top 20 employing occupations hold a qualification at the bachelor level and above, and in many of the highest employing occupations, </w:t>
            </w:r>
          </w:p>
          <w:p w:rsidR="0047713F" w:rsidRPr="0099103C" w:rsidRDefault="0047713F" w:rsidP="00E7151E">
            <w:pPr>
              <w:pStyle w:val="Tabletext"/>
              <w:spacing w:before="120"/>
              <w:rPr>
                <w:noProof/>
                <w:lang w:val="en-US"/>
              </w:rPr>
            </w:pPr>
            <w:r w:rsidRPr="0099103C">
              <w:rPr>
                <w:noProof/>
                <w:lang w:val="en-US"/>
              </w:rPr>
              <w:lastRenderedPageBreak/>
              <w:t xml:space="preserve">university-educated workers are almost non-existent </w:t>
            </w:r>
            <w:r w:rsidRPr="00032F4E">
              <w:rPr>
                <w:noProof/>
                <w:lang w:val="en-US"/>
              </w:rPr>
              <w:t>(</w:t>
            </w:r>
            <w:r w:rsidR="008D67F9" w:rsidRPr="00C508FB">
              <w:t xml:space="preserve">Australian </w:t>
            </w:r>
            <w:r w:rsidR="006C26DD">
              <w:t>Workforce and Productivity</w:t>
            </w:r>
            <w:r w:rsidR="008D67F9" w:rsidRPr="00C508FB">
              <w:t xml:space="preserve"> Agency</w:t>
            </w:r>
            <w:r w:rsidR="0099103C" w:rsidRPr="00C508FB">
              <w:t xml:space="preserve"> </w:t>
            </w:r>
            <w:r w:rsidR="002F629F" w:rsidRPr="00C508FB">
              <w:t>2013g,</w:t>
            </w:r>
            <w:r w:rsidR="0099103C" w:rsidRPr="00C508FB">
              <w:t xml:space="preserve"> citing </w:t>
            </w:r>
            <w:r w:rsidR="00C508FB">
              <w:rPr>
                <w:noProof/>
                <w:lang w:val="en-US"/>
              </w:rPr>
              <w:t>ABS</w:t>
            </w:r>
            <w:r w:rsidRPr="00C508FB">
              <w:rPr>
                <w:noProof/>
                <w:lang w:val="en-US"/>
              </w:rPr>
              <w:t xml:space="preserve"> 2011</w:t>
            </w:r>
            <w:r w:rsidRPr="0099103C">
              <w:rPr>
                <w:noProof/>
                <w:lang w:val="en-US"/>
              </w:rPr>
              <w:t>).</w:t>
            </w:r>
            <w:r w:rsidR="00472A51">
              <w:rPr>
                <w:noProof/>
                <w:lang w:val="en-US"/>
              </w:rPr>
              <w:t xml:space="preserve"> </w:t>
            </w:r>
          </w:p>
        </w:tc>
        <w:tc>
          <w:tcPr>
            <w:tcW w:w="2517" w:type="dxa"/>
            <w:tcBorders>
              <w:top w:val="single" w:sz="4" w:space="0" w:color="auto"/>
              <w:bottom w:val="single" w:sz="4" w:space="0" w:color="auto"/>
            </w:tcBorders>
            <w:shd w:val="clear" w:color="auto" w:fill="auto"/>
          </w:tcPr>
          <w:p w:rsidR="0047713F" w:rsidRPr="00EF31C6" w:rsidRDefault="00597E16" w:rsidP="003478EE">
            <w:pPr>
              <w:pStyle w:val="Tabletext"/>
              <w:spacing w:before="120"/>
              <w:rPr>
                <w:b/>
              </w:rPr>
            </w:pPr>
            <w:r w:rsidRPr="00EF31C6">
              <w:rPr>
                <w:b/>
              </w:rPr>
              <w:lastRenderedPageBreak/>
              <w:t>Mining i</w:t>
            </w:r>
            <w:r w:rsidR="0047713F" w:rsidRPr="00EF31C6">
              <w:rPr>
                <w:b/>
              </w:rPr>
              <w:t>ndustry</w:t>
            </w:r>
          </w:p>
          <w:p w:rsidR="0047713F" w:rsidRPr="00EF31C6" w:rsidRDefault="00EF31C6" w:rsidP="00EF31C6">
            <w:pPr>
              <w:pStyle w:val="Tabletext"/>
              <w:ind w:left="198" w:hanging="198"/>
            </w:pPr>
            <w:r>
              <w:rPr>
                <w:rFonts w:cs="Arial"/>
              </w:rPr>
              <w:t>▪</w:t>
            </w:r>
            <w:r>
              <w:tab/>
            </w:r>
            <w:r w:rsidR="0047713F" w:rsidRPr="0099103C">
              <w:t>38</w:t>
            </w:r>
            <w:r w:rsidR="008D67F9">
              <w:t>%</w:t>
            </w:r>
            <w:r w:rsidR="0047713F" w:rsidRPr="0099103C">
              <w:t xml:space="preserve"> do not hold a post-</w:t>
            </w:r>
            <w:r w:rsidR="0047713F" w:rsidRPr="00EF31C6">
              <w:t>school qualification</w:t>
            </w:r>
          </w:p>
          <w:p w:rsidR="0047713F" w:rsidRPr="00EF31C6" w:rsidRDefault="00EF31C6" w:rsidP="00EF31C6">
            <w:pPr>
              <w:pStyle w:val="Tabletext"/>
              <w:ind w:left="198" w:hanging="198"/>
            </w:pPr>
            <w:r>
              <w:rPr>
                <w:rFonts w:cs="Arial"/>
              </w:rPr>
              <w:t>▪</w:t>
            </w:r>
            <w:r>
              <w:tab/>
            </w:r>
            <w:r w:rsidR="0047713F" w:rsidRPr="00EF31C6">
              <w:t>36</w:t>
            </w:r>
            <w:r w:rsidR="008D67F9" w:rsidRPr="00EF31C6">
              <w:t>%</w:t>
            </w:r>
            <w:r w:rsidR="00597E16" w:rsidRPr="00EF31C6">
              <w:t xml:space="preserve"> of workers have completed a c</w:t>
            </w:r>
            <w:r w:rsidR="0047713F" w:rsidRPr="00EF31C6">
              <w:t>ertificate III or IV qualification</w:t>
            </w:r>
          </w:p>
          <w:p w:rsidR="0047713F" w:rsidRPr="0099103C" w:rsidRDefault="00EF31C6" w:rsidP="00EF31C6">
            <w:pPr>
              <w:pStyle w:val="Tabletext"/>
              <w:ind w:left="198" w:hanging="198"/>
            </w:pPr>
            <w:r>
              <w:rPr>
                <w:rFonts w:cs="Arial"/>
              </w:rPr>
              <w:t>▪</w:t>
            </w:r>
            <w:r>
              <w:tab/>
            </w:r>
            <w:r w:rsidR="0047713F" w:rsidRPr="00EF31C6">
              <w:t>26</w:t>
            </w:r>
            <w:r w:rsidR="008D67F9" w:rsidRPr="00EF31C6">
              <w:t>%</w:t>
            </w:r>
            <w:r w:rsidR="00C508FB" w:rsidRPr="00EF31C6">
              <w:t xml:space="preserve"> have completed a d</w:t>
            </w:r>
            <w:r w:rsidR="0047713F" w:rsidRPr="00EF31C6">
              <w:t>iploma</w:t>
            </w:r>
            <w:r w:rsidR="0047713F" w:rsidRPr="0099103C">
              <w:t xml:space="preserve"> or higher</w:t>
            </w:r>
            <w:r w:rsidR="00E651ED">
              <w:t>-</w:t>
            </w:r>
            <w:r w:rsidR="002F6E23">
              <w:t>level qual</w:t>
            </w:r>
            <w:r w:rsidR="00597E16">
              <w:t>ification (ABS</w:t>
            </w:r>
            <w:r w:rsidR="002F6E23">
              <w:t xml:space="preserve"> 2012</w:t>
            </w:r>
            <w:r w:rsidR="0047713F" w:rsidRPr="0099103C">
              <w:t>).</w:t>
            </w:r>
          </w:p>
          <w:p w:rsidR="0047713F" w:rsidRPr="0099103C" w:rsidRDefault="0047713F" w:rsidP="00EF31C6">
            <w:pPr>
              <w:pStyle w:val="Tabletext"/>
              <w:rPr>
                <w:noProof/>
                <w:lang w:val="en-US"/>
              </w:rPr>
            </w:pPr>
            <w:r w:rsidRPr="0099103C">
              <w:t xml:space="preserve">See also figures for the </w:t>
            </w:r>
            <w:r w:rsidR="00E651ED" w:rsidRPr="0099103C">
              <w:t xml:space="preserve">manufacturing industry </w:t>
            </w:r>
            <w:r w:rsidRPr="0099103C">
              <w:t>as a whole.</w:t>
            </w:r>
          </w:p>
        </w:tc>
        <w:tc>
          <w:tcPr>
            <w:tcW w:w="2518" w:type="dxa"/>
            <w:tcBorders>
              <w:top w:val="single" w:sz="4" w:space="0" w:color="auto"/>
              <w:bottom w:val="single" w:sz="4" w:space="0" w:color="auto"/>
            </w:tcBorders>
            <w:shd w:val="clear" w:color="auto" w:fill="auto"/>
          </w:tcPr>
          <w:p w:rsidR="0047713F" w:rsidRPr="0099103C" w:rsidRDefault="0047713F" w:rsidP="003478EE">
            <w:pPr>
              <w:pStyle w:val="Tabletext"/>
              <w:spacing w:before="120"/>
            </w:pPr>
            <w:r w:rsidRPr="00EF31C6">
              <w:rPr>
                <w:b/>
              </w:rPr>
              <w:t>Oil and gas extraction industry</w:t>
            </w:r>
            <w:r w:rsidR="00DB3750">
              <w:t xml:space="preserve"> (a sub-</w:t>
            </w:r>
            <w:r w:rsidR="00597E16">
              <w:t>sector of the m</w:t>
            </w:r>
            <w:r w:rsidRPr="0099103C">
              <w:t>ining industry)</w:t>
            </w:r>
          </w:p>
          <w:p w:rsidR="0047713F" w:rsidRPr="00EF31C6" w:rsidRDefault="00EF31C6" w:rsidP="00EF31C6">
            <w:pPr>
              <w:pStyle w:val="Tabletext"/>
              <w:ind w:left="198" w:hanging="198"/>
            </w:pPr>
            <w:r>
              <w:rPr>
                <w:rFonts w:cs="Arial"/>
              </w:rPr>
              <w:t>▪</w:t>
            </w:r>
            <w:r>
              <w:tab/>
            </w:r>
            <w:r w:rsidR="0047713F" w:rsidRPr="0099103C">
              <w:t>21</w:t>
            </w:r>
            <w:r w:rsidR="008D67F9">
              <w:t>%</w:t>
            </w:r>
            <w:r w:rsidR="0047713F" w:rsidRPr="0099103C">
              <w:t xml:space="preserve"> do not hold a post-</w:t>
            </w:r>
            <w:r w:rsidR="0047713F" w:rsidRPr="00EF31C6">
              <w:t>school qualification</w:t>
            </w:r>
            <w:r w:rsidR="00597E16" w:rsidRPr="00EF31C6">
              <w:t>.</w:t>
            </w:r>
          </w:p>
          <w:p w:rsidR="0047713F" w:rsidRPr="00EF31C6" w:rsidRDefault="00EF31C6" w:rsidP="00EF31C6">
            <w:pPr>
              <w:pStyle w:val="Tabletext"/>
              <w:ind w:left="198" w:hanging="198"/>
            </w:pPr>
            <w:r>
              <w:rPr>
                <w:rFonts w:cs="Arial"/>
              </w:rPr>
              <w:t>▪</w:t>
            </w:r>
            <w:r>
              <w:tab/>
            </w:r>
            <w:r w:rsidR="0047713F" w:rsidRPr="00EF31C6">
              <w:t>17</w:t>
            </w:r>
            <w:r w:rsidR="008D67F9" w:rsidRPr="00EF31C6">
              <w:t>%</w:t>
            </w:r>
            <w:r w:rsidR="00597E16" w:rsidRPr="00EF31C6">
              <w:t xml:space="preserve"> of workers have completed a c</w:t>
            </w:r>
            <w:r w:rsidR="0047713F" w:rsidRPr="00EF31C6">
              <w:t>ertificate III or IV qualification</w:t>
            </w:r>
            <w:r w:rsidR="00597E16" w:rsidRPr="00EF31C6">
              <w:t>.</w:t>
            </w:r>
          </w:p>
          <w:p w:rsidR="0047713F" w:rsidRPr="0099103C" w:rsidRDefault="00EF31C6" w:rsidP="00EF31C6">
            <w:pPr>
              <w:pStyle w:val="Tabletext"/>
              <w:ind w:left="198" w:hanging="198"/>
            </w:pPr>
            <w:r>
              <w:rPr>
                <w:rFonts w:cs="Arial"/>
              </w:rPr>
              <w:t>▪</w:t>
            </w:r>
            <w:r>
              <w:tab/>
            </w:r>
            <w:r w:rsidR="0047713F" w:rsidRPr="00EF31C6">
              <w:t>62</w:t>
            </w:r>
            <w:r w:rsidR="008D67F9" w:rsidRPr="00EF31C6">
              <w:t>%</w:t>
            </w:r>
            <w:r w:rsidR="00C508FB" w:rsidRPr="00EF31C6">
              <w:t xml:space="preserve"> have completed a d</w:t>
            </w:r>
            <w:r w:rsidR="00E651ED" w:rsidRPr="00EF31C6">
              <w:t>iploma</w:t>
            </w:r>
            <w:r w:rsidR="00E651ED">
              <w:t xml:space="preserve"> or higher-</w:t>
            </w:r>
            <w:r w:rsidR="0047713F" w:rsidRPr="0099103C">
              <w:t>level qualif</w:t>
            </w:r>
            <w:r w:rsidR="00C508FB">
              <w:t>ication (ABS</w:t>
            </w:r>
            <w:r w:rsidR="002F6E23">
              <w:t xml:space="preserve"> 2012</w:t>
            </w:r>
            <w:r w:rsidR="0047713F" w:rsidRPr="0099103C">
              <w:t>).</w:t>
            </w:r>
          </w:p>
          <w:p w:rsidR="0047713F" w:rsidRPr="0099103C" w:rsidRDefault="0047713F" w:rsidP="00EF31C6">
            <w:pPr>
              <w:pStyle w:val="Tabletext"/>
              <w:rPr>
                <w:rFonts w:asciiTheme="majorHAnsi" w:hAnsiTheme="majorHAnsi" w:cstheme="majorHAnsi"/>
                <w:noProof/>
                <w:sz w:val="20"/>
                <w:lang w:val="en-US"/>
              </w:rPr>
            </w:pPr>
            <w:r w:rsidRPr="0099103C">
              <w:t xml:space="preserve">See also figures for the </w:t>
            </w:r>
            <w:r w:rsidR="00E651ED" w:rsidRPr="0099103C">
              <w:t xml:space="preserve">mining industry </w:t>
            </w:r>
            <w:r w:rsidRPr="0099103C">
              <w:t>as a whole.</w:t>
            </w:r>
          </w:p>
        </w:tc>
      </w:tr>
      <w:tr w:rsidR="0047713F" w:rsidRPr="003F0196" w:rsidTr="00B15ADD">
        <w:trPr>
          <w:cantSplit/>
        </w:trPr>
        <w:tc>
          <w:tcPr>
            <w:tcW w:w="1418" w:type="dxa"/>
            <w:tcBorders>
              <w:top w:val="single" w:sz="4" w:space="0" w:color="auto"/>
              <w:bottom w:val="single" w:sz="18" w:space="0" w:color="1F497D" w:themeColor="text2"/>
            </w:tcBorders>
            <w:shd w:val="clear" w:color="auto" w:fill="C6D9F1" w:themeFill="text2" w:themeFillTint="33"/>
          </w:tcPr>
          <w:p w:rsidR="0047713F" w:rsidRPr="00920F07" w:rsidRDefault="0047713F" w:rsidP="003478EE">
            <w:pPr>
              <w:pStyle w:val="Tabletext"/>
              <w:spacing w:before="120"/>
              <w:rPr>
                <w:b/>
              </w:rPr>
            </w:pPr>
            <w:r w:rsidRPr="00920F07">
              <w:rPr>
                <w:b/>
              </w:rPr>
              <w:lastRenderedPageBreak/>
              <w:t>Migration</w:t>
            </w:r>
          </w:p>
        </w:tc>
        <w:tc>
          <w:tcPr>
            <w:tcW w:w="2517" w:type="dxa"/>
            <w:tcBorders>
              <w:top w:val="single" w:sz="4" w:space="0" w:color="auto"/>
              <w:bottom w:val="single" w:sz="18" w:space="0" w:color="1F497D" w:themeColor="text2"/>
            </w:tcBorders>
            <w:shd w:val="clear" w:color="auto" w:fill="auto"/>
          </w:tcPr>
          <w:p w:rsidR="0047713F" w:rsidRPr="0099103C" w:rsidRDefault="0047713F" w:rsidP="00E83850">
            <w:pPr>
              <w:pStyle w:val="Tabletext"/>
              <w:spacing w:before="120" w:after="120"/>
            </w:pPr>
            <w:r w:rsidRPr="0099103C">
              <w:t>Migrants play an important role in supporting fluctuating labour market needs in agriculture and food processing (</w:t>
            </w:r>
            <w:r w:rsidR="008D67F9">
              <w:t xml:space="preserve">Australian </w:t>
            </w:r>
            <w:r w:rsidR="006C26DD">
              <w:t>Workforce and Productivity</w:t>
            </w:r>
            <w:r w:rsidR="008D67F9">
              <w:t xml:space="preserve"> Agency</w:t>
            </w:r>
            <w:r w:rsidR="00C508FB">
              <w:t xml:space="preserve"> 2013a). Employer-</w:t>
            </w:r>
            <w:r w:rsidRPr="0099103C">
              <w:t xml:space="preserve">sponsored skilled worker temporary visas (457), working holiday visas (417) and the seasonal worker programs are used extensively to fill food and agriculture labour shortages </w:t>
            </w:r>
            <w:r w:rsidRPr="008C4CD4">
              <w:t>(</w:t>
            </w:r>
            <w:r w:rsidR="008D67F9">
              <w:t xml:space="preserve">Australian </w:t>
            </w:r>
            <w:r w:rsidR="006C26DD">
              <w:t>Workforce and Productivity</w:t>
            </w:r>
            <w:r w:rsidR="008D67F9">
              <w:t xml:space="preserve"> Agency</w:t>
            </w:r>
            <w:r w:rsidR="007D35DA" w:rsidRPr="008C4CD4">
              <w:t xml:space="preserve"> 2013f</w:t>
            </w:r>
            <w:r w:rsidRPr="008C4CD4">
              <w:t>).</w:t>
            </w:r>
          </w:p>
        </w:tc>
        <w:tc>
          <w:tcPr>
            <w:tcW w:w="2517" w:type="dxa"/>
            <w:tcBorders>
              <w:top w:val="single" w:sz="4" w:space="0" w:color="auto"/>
              <w:bottom w:val="single" w:sz="18" w:space="0" w:color="1F497D" w:themeColor="text2"/>
            </w:tcBorders>
            <w:shd w:val="clear" w:color="auto" w:fill="auto"/>
          </w:tcPr>
          <w:p w:rsidR="0047713F" w:rsidRPr="0079290C" w:rsidRDefault="0047713F" w:rsidP="003478EE">
            <w:pPr>
              <w:pStyle w:val="Tabletext"/>
              <w:spacing w:before="120"/>
              <w:rPr>
                <w:noProof/>
                <w:lang w:val="en-US"/>
              </w:rPr>
            </w:pPr>
          </w:p>
        </w:tc>
        <w:tc>
          <w:tcPr>
            <w:tcW w:w="2518" w:type="dxa"/>
            <w:tcBorders>
              <w:top w:val="single" w:sz="4" w:space="0" w:color="auto"/>
              <w:bottom w:val="single" w:sz="18" w:space="0" w:color="1F497D" w:themeColor="text2"/>
            </w:tcBorders>
            <w:shd w:val="clear" w:color="auto" w:fill="auto"/>
          </w:tcPr>
          <w:p w:rsidR="0047713F" w:rsidRPr="0079290C" w:rsidRDefault="0047713F" w:rsidP="003478EE">
            <w:pPr>
              <w:pStyle w:val="Tabletext"/>
              <w:spacing w:before="120"/>
              <w:rPr>
                <w:noProof/>
                <w:lang w:val="en-US"/>
              </w:rPr>
            </w:pPr>
          </w:p>
        </w:tc>
        <w:tc>
          <w:tcPr>
            <w:tcW w:w="2517" w:type="dxa"/>
            <w:tcBorders>
              <w:top w:val="single" w:sz="4" w:space="0" w:color="auto"/>
              <w:bottom w:val="single" w:sz="18" w:space="0" w:color="1F497D" w:themeColor="text2"/>
            </w:tcBorders>
            <w:shd w:val="clear" w:color="auto" w:fill="auto"/>
          </w:tcPr>
          <w:p w:rsidR="0047713F" w:rsidRPr="0079290C" w:rsidRDefault="0047713F" w:rsidP="003478EE">
            <w:pPr>
              <w:pStyle w:val="Tabletext"/>
              <w:spacing w:before="120"/>
              <w:rPr>
                <w:noProof/>
                <w:lang w:val="en-US"/>
              </w:rPr>
            </w:pPr>
          </w:p>
        </w:tc>
        <w:tc>
          <w:tcPr>
            <w:tcW w:w="2518" w:type="dxa"/>
            <w:tcBorders>
              <w:top w:val="single" w:sz="4" w:space="0" w:color="auto"/>
              <w:bottom w:val="single" w:sz="18" w:space="0" w:color="1F497D" w:themeColor="text2"/>
            </w:tcBorders>
            <w:shd w:val="clear" w:color="auto" w:fill="auto"/>
          </w:tcPr>
          <w:p w:rsidR="0047713F" w:rsidRPr="0079290C" w:rsidRDefault="0047713F" w:rsidP="003478EE">
            <w:pPr>
              <w:pStyle w:val="Tabletext"/>
              <w:spacing w:before="120"/>
              <w:rPr>
                <w:noProof/>
              </w:rPr>
            </w:pPr>
            <w:r w:rsidRPr="0079290C">
              <w:t xml:space="preserve">Enterprise Migration Agreements have emerged as a flexible option to address skills shortages for short-term resource </w:t>
            </w:r>
            <w:r w:rsidR="00C508FB">
              <w:t>construction works. This policy</w:t>
            </w:r>
            <w:r w:rsidRPr="0079290C">
              <w:t xml:space="preserve"> allows developers to staff large resource developments (valued at more than $2 billion) using overseas workers on 457 visas during the intense up-fron</w:t>
            </w:r>
            <w:r w:rsidR="00C508FB">
              <w:t>t construction period (Deloitte Access Economics</w:t>
            </w:r>
            <w:r w:rsidRPr="0079290C">
              <w:t xml:space="preserve"> 2012).</w:t>
            </w:r>
          </w:p>
        </w:tc>
      </w:tr>
    </w:tbl>
    <w:p w:rsidR="00B85D3F" w:rsidRDefault="00B85D3F" w:rsidP="002A67B5">
      <w:pPr>
        <w:rPr>
          <w:b/>
        </w:rPr>
        <w:sectPr w:rsidR="00B85D3F" w:rsidSect="00B15ADD">
          <w:footerReference w:type="even" r:id="rId38"/>
          <w:footerReference w:type="default" r:id="rId39"/>
          <w:pgSz w:w="16838" w:h="11906" w:orient="landscape"/>
          <w:pgMar w:top="1418" w:right="1276" w:bottom="425" w:left="1276" w:header="709" w:footer="709" w:gutter="0"/>
          <w:cols w:space="708"/>
          <w:docGrid w:linePitch="360"/>
        </w:sectPr>
      </w:pPr>
    </w:p>
    <w:p w:rsidR="003D0747" w:rsidRDefault="003D0747" w:rsidP="002A67B5">
      <w:pPr>
        <w:rPr>
          <w:b/>
        </w:rPr>
        <w:sectPr w:rsidR="003D0747" w:rsidSect="00B85D3F">
          <w:type w:val="continuous"/>
          <w:pgSz w:w="16838" w:h="11906" w:orient="landscape"/>
          <w:pgMar w:top="1418" w:right="1276" w:bottom="425" w:left="1276" w:header="709" w:footer="709" w:gutter="0"/>
          <w:cols w:space="708"/>
          <w:docGrid w:linePitch="360"/>
        </w:sectPr>
      </w:pPr>
    </w:p>
    <w:p w:rsidR="00A067E0" w:rsidRPr="006646B0" w:rsidRDefault="00A067E0" w:rsidP="00B85D3F">
      <w:pPr>
        <w:pStyle w:val="Heading1"/>
        <w:rPr>
          <w:sz w:val="28"/>
          <w:szCs w:val="28"/>
        </w:rPr>
      </w:pPr>
    </w:p>
    <w:sectPr w:rsidR="00A067E0" w:rsidRPr="006646B0" w:rsidSect="00BD44A1">
      <w:footerReference w:type="even" r:id="rId40"/>
      <w:footerReference w:type="default" r:id="rId41"/>
      <w:pgSz w:w="11907" w:h="16840" w:code="9"/>
      <w:pgMar w:top="1276" w:right="1701" w:bottom="1276" w:left="1418" w:header="709"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6DD" w:rsidRDefault="006C26DD">
      <w:r>
        <w:separator/>
      </w:r>
    </w:p>
  </w:endnote>
  <w:endnote w:type="continuationSeparator" w:id="0">
    <w:p w:rsidR="006C26DD" w:rsidRDefault="006C2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45 Light">
    <w:altName w:val="Arial Unicode MS"/>
    <w:panose1 w:val="00000000000000000000"/>
    <w:charset w:val="00"/>
    <w:family w:val="swiss"/>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rebuchetMS-Bold">
    <w:altName w:val="Trebuchet MS"/>
    <w:panose1 w:val="00000000000000000000"/>
    <w:charset w:val="4D"/>
    <w:family w:val="auto"/>
    <w:notTrueType/>
    <w:pitch w:val="default"/>
    <w:sig w:usb0="00000003" w:usb1="00000000" w:usb2="00000000" w:usb3="00000000" w:csb0="00000001" w:csb1="00000000"/>
  </w:font>
  <w:font w:name="TrebuchetMS-Italic">
    <w:altName w:val="Trebuchet MS"/>
    <w:panose1 w:val="00000000000000000000"/>
    <w:charset w:val="4D"/>
    <w:family w:val="auto"/>
    <w:notTrueType/>
    <w:pitch w:val="default"/>
    <w:sig w:usb0="00000003" w:usb1="00000000" w:usb2="00000000" w:usb3="00000000" w:csb0="00000001" w:csb1="00000000"/>
  </w:font>
  <w:font w:name="Avant Garde">
    <w:altName w:val="Century Gothic"/>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Neue-LightCon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6DD" w:rsidRPr="008C0A74" w:rsidRDefault="006C26DD" w:rsidP="00FF5931">
    <w:pPr>
      <w:pStyle w:val="Footer"/>
      <w:tabs>
        <w:tab w:val="clear" w:pos="8505"/>
        <w:tab w:val="right" w:pos="8789"/>
      </w:tabs>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6DD" w:rsidRPr="009775C7" w:rsidRDefault="006C26DD" w:rsidP="008C0A74">
    <w:pPr>
      <w:pStyle w:val="Footer"/>
      <w:tabs>
        <w:tab w:val="clear" w:pos="8505"/>
        <w:tab w:val="right" w:pos="8789"/>
      </w:tabs>
      <w:rPr>
        <w:color w:val="FFFFFF" w:themeColor="background1"/>
      </w:rPr>
    </w:pPr>
    <w:r w:rsidRPr="009775C7">
      <w:rPr>
        <w:color w:val="FFFFFF" w:themeColor="background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6DD" w:rsidRPr="008C0A74" w:rsidRDefault="006C26DD" w:rsidP="00FF5931">
    <w:pPr>
      <w:pStyle w:val="Footer"/>
      <w:tabs>
        <w:tab w:val="clear" w:pos="8505"/>
        <w:tab w:val="right" w:pos="8789"/>
      </w:tabs>
      <w:rPr>
        <w:b/>
      </w:rPr>
    </w:pPr>
    <w:r>
      <w:rPr>
        <w:b/>
        <w:noProof/>
        <w:color w:val="FFFFFF" w:themeColor="background1"/>
        <w:lang w:eastAsia="en-AU"/>
      </w:rPr>
      <mc:AlternateContent>
        <mc:Choice Requires="wps">
          <w:drawing>
            <wp:anchor distT="0" distB="0" distL="114300" distR="114300" simplePos="0" relativeHeight="251672576" behindDoc="1" locked="0" layoutInCell="1" allowOverlap="1" wp14:anchorId="470E3174" wp14:editId="068BF7C0">
              <wp:simplePos x="0" y="0"/>
              <wp:positionH relativeFrom="column">
                <wp:posOffset>-1080135</wp:posOffset>
              </wp:positionH>
              <wp:positionV relativeFrom="paragraph">
                <wp:posOffset>-31115</wp:posOffset>
              </wp:positionV>
              <wp:extent cx="1257300" cy="238125"/>
              <wp:effectExtent l="0" t="0" r="3810" b="254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8125"/>
                      </a:xfrm>
                      <a:prstGeom prst="rect">
                        <a:avLst/>
                      </a:prstGeom>
                      <a:solidFill>
                        <a:schemeClr val="tx1">
                          <a:lumMod val="100000"/>
                          <a:lumOff val="0"/>
                        </a:scheme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5.05pt;margin-top:-2.45pt;width:99pt;height:18.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" fillcolor="black [3213]" stroked="f" strokecolor="#bfbfbf [2412]"/>
          </w:pict>
        </mc:Fallback>
      </mc:AlternateContent>
    </w:r>
    <w:r w:rsidRPr="008C0A74">
      <w:rPr>
        <w:b/>
        <w:color w:val="FFFFFF" w:themeColor="background1"/>
      </w:rPr>
      <w:fldChar w:fldCharType="begin"/>
    </w:r>
    <w:r w:rsidRPr="008C0A74">
      <w:rPr>
        <w:b/>
        <w:color w:val="FFFFFF" w:themeColor="background1"/>
      </w:rPr>
      <w:instrText xml:space="preserve"> PAGE </w:instrText>
    </w:r>
    <w:r w:rsidRPr="008C0A74">
      <w:rPr>
        <w:b/>
        <w:color w:val="FFFFFF" w:themeColor="background1"/>
      </w:rPr>
      <w:fldChar w:fldCharType="separate"/>
    </w:r>
    <w:r w:rsidR="004D7587">
      <w:rPr>
        <w:b/>
        <w:noProof/>
        <w:color w:val="FFFFFF" w:themeColor="background1"/>
      </w:rPr>
      <w:t>6</w:t>
    </w:r>
    <w:r w:rsidRPr="008C0A74">
      <w:rPr>
        <w:b/>
        <w:color w:val="FFFFFF" w:themeColor="background1"/>
      </w:rPr>
      <w:fldChar w:fldCharType="end"/>
    </w:r>
    <w:r w:rsidRPr="008C0A74">
      <w:rPr>
        <w:b/>
        <w:color w:val="FFFFFF" w:themeColor="background1"/>
      </w:rPr>
      <w:tab/>
    </w:r>
    <w:r>
      <w:rPr>
        <w:b/>
      </w:rPr>
      <w:t>Readiness to meet demand for skills: a study of five growth industries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6DD" w:rsidRPr="009775C7" w:rsidRDefault="006C26DD" w:rsidP="008C0A74">
    <w:pPr>
      <w:pStyle w:val="Footer"/>
      <w:tabs>
        <w:tab w:val="clear" w:pos="8505"/>
        <w:tab w:val="right" w:pos="8789"/>
      </w:tabs>
      <w:rPr>
        <w:color w:val="FFFFFF" w:themeColor="background1"/>
      </w:rPr>
    </w:pPr>
    <w:r>
      <w:rPr>
        <w:b/>
        <w:noProof/>
        <w:lang w:eastAsia="en-AU"/>
      </w:rPr>
      <mc:AlternateContent>
        <mc:Choice Requires="wps">
          <w:drawing>
            <wp:anchor distT="0" distB="0" distL="114300" distR="114300" simplePos="0" relativeHeight="251665408" behindDoc="1" locked="0" layoutInCell="1" allowOverlap="1" wp14:anchorId="25C16966" wp14:editId="07F53EC2">
              <wp:simplePos x="0" y="0"/>
              <wp:positionH relativeFrom="column">
                <wp:posOffset>5405120</wp:posOffset>
              </wp:positionH>
              <wp:positionV relativeFrom="paragraph">
                <wp:posOffset>-31115</wp:posOffset>
              </wp:positionV>
              <wp:extent cx="1257300" cy="238125"/>
              <wp:effectExtent l="0" t="0" r="0" b="952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8125"/>
                      </a:xfrm>
                      <a:prstGeom prst="rect">
                        <a:avLst/>
                      </a:prstGeom>
                      <a:solidFill>
                        <a:schemeClr val="tx1">
                          <a:lumMod val="100000"/>
                          <a:lumOff val="0"/>
                        </a:scheme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25.6pt;margin-top:-2.45pt;width:99pt;height:18.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" fillcolor="black [3213]" stroked="f" strokecolor="#bfbfbf [2412]"/>
          </w:pict>
        </mc:Fallback>
      </mc:AlternateContent>
    </w:r>
    <w:r w:rsidRPr="009775C7">
      <w:rPr>
        <w:b/>
      </w:rPr>
      <w:t>NCVER</w:t>
    </w:r>
    <w:r w:rsidRPr="009775C7">
      <w:tab/>
    </w:r>
    <w:r w:rsidRPr="009775C7">
      <w:rPr>
        <w:rStyle w:val="PageNumber"/>
        <w:rFonts w:cs="Tahoma"/>
        <w:b/>
        <w:color w:val="FFFFFF" w:themeColor="background1"/>
        <w:sz w:val="17"/>
      </w:rPr>
      <w:fldChar w:fldCharType="begin"/>
    </w:r>
    <w:r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4D7587">
      <w:rPr>
        <w:rStyle w:val="PageNumber"/>
        <w:rFonts w:cs="Tahoma"/>
        <w:b/>
        <w:noProof/>
        <w:color w:val="FFFFFF" w:themeColor="background1"/>
        <w:sz w:val="17"/>
      </w:rPr>
      <w:t>5</w:t>
    </w:r>
    <w:r w:rsidRPr="009775C7">
      <w:rPr>
        <w:rStyle w:val="PageNumber"/>
        <w:rFonts w:cs="Tahoma"/>
        <w:b/>
        <w:color w:val="FFFFFF" w:themeColor="background1"/>
        <w:sz w:val="17"/>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6DD" w:rsidRPr="008C0A74" w:rsidRDefault="006C26DD" w:rsidP="00FF5931">
    <w:pPr>
      <w:pStyle w:val="Footer"/>
      <w:tabs>
        <w:tab w:val="clear" w:pos="8505"/>
        <w:tab w:val="right" w:pos="8789"/>
      </w:tabs>
      <w:rPr>
        <w:b/>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6DD" w:rsidRPr="006524CD" w:rsidRDefault="006C26DD" w:rsidP="006524C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6DD" w:rsidRPr="00C8572F" w:rsidRDefault="006C26DD" w:rsidP="006524CD">
    <w:pPr>
      <w:pStyle w:val="Footer"/>
      <w:rPr>
        <w:b/>
        <w:bCs/>
      </w:rPr>
    </w:pPr>
    <w:r w:rsidRPr="00C8572F">
      <w:rPr>
        <w:b/>
        <w:color w:val="FFFFFF" w:themeColor="background1"/>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6DD" w:rsidRPr="009775C7" w:rsidRDefault="006C26DD" w:rsidP="008C0A74">
    <w:pPr>
      <w:pStyle w:val="Footer"/>
      <w:tabs>
        <w:tab w:val="clear" w:pos="8505"/>
        <w:tab w:val="right" w:pos="8789"/>
      </w:tabs>
      <w:rPr>
        <w:color w:val="FFFFFF" w:themeColor="background1"/>
      </w:rPr>
    </w:pPr>
    <w:r>
      <w:rPr>
        <w:b/>
        <w:noProof/>
        <w:lang w:eastAsia="en-AU"/>
      </w:rPr>
      <mc:AlternateContent>
        <mc:Choice Requires="wps">
          <w:drawing>
            <wp:anchor distT="0" distB="0" distL="114300" distR="114300" simplePos="0" relativeHeight="251670528" behindDoc="1" locked="0" layoutInCell="1" allowOverlap="1" wp14:anchorId="6CB0A3BF" wp14:editId="4F86D132">
              <wp:simplePos x="0" y="0"/>
              <wp:positionH relativeFrom="column">
                <wp:posOffset>5405120</wp:posOffset>
              </wp:positionH>
              <wp:positionV relativeFrom="paragraph">
                <wp:posOffset>-31115</wp:posOffset>
              </wp:positionV>
              <wp:extent cx="1257300" cy="238125"/>
              <wp:effectExtent l="0" t="0" r="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8125"/>
                      </a:xfrm>
                      <a:prstGeom prst="rect">
                        <a:avLst/>
                      </a:prstGeom>
                      <a:solidFill>
                        <a:schemeClr val="tx1">
                          <a:lumMod val="100000"/>
                          <a:lumOff val="0"/>
                        </a:scheme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25.6pt;margin-top:-2.45pt;width:99pt;height:18.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" fillcolor="black [3213]" stroked="f" strokecolor="#bfbfbf [2412]"/>
          </w:pict>
        </mc:Fallback>
      </mc:AlternateContent>
    </w:r>
    <w:r w:rsidRPr="009775C7">
      <w:rPr>
        <w:b/>
      </w:rPr>
      <w:t>NCVER</w:t>
    </w:r>
    <w:r w:rsidRPr="009775C7">
      <w:tab/>
    </w:r>
    <w:r w:rsidRPr="009775C7">
      <w:rPr>
        <w:rStyle w:val="PageNumber"/>
        <w:rFonts w:cs="Tahoma"/>
        <w:b/>
        <w:color w:val="FFFFFF" w:themeColor="background1"/>
        <w:sz w:val="17"/>
      </w:rPr>
      <w:fldChar w:fldCharType="begin"/>
    </w:r>
    <w:r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Pr>
        <w:rStyle w:val="PageNumber"/>
        <w:rFonts w:cs="Tahoma"/>
        <w:b/>
        <w:noProof/>
        <w:color w:val="FFFFFF" w:themeColor="background1"/>
        <w:sz w:val="17"/>
      </w:rPr>
      <w:t>39</w:t>
    </w:r>
    <w:r w:rsidRPr="009775C7">
      <w:rPr>
        <w:rStyle w:val="PageNumber"/>
        <w:rFonts w:cs="Tahoma"/>
        <w:b/>
        <w:color w:val="FFFFFF" w:themeColor="background1"/>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6DD" w:rsidRDefault="006C26DD">
      <w:r>
        <w:separator/>
      </w:r>
    </w:p>
  </w:footnote>
  <w:footnote w:type="continuationSeparator" w:id="0">
    <w:p w:rsidR="006C26DD" w:rsidRDefault="006C26DD">
      <w:r>
        <w:continuationSeparator/>
      </w:r>
    </w:p>
  </w:footnote>
  <w:footnote w:id="1">
    <w:p w:rsidR="006C26DD" w:rsidRDefault="006C26DD">
      <w:pPr>
        <w:pStyle w:val="FootnoteText"/>
      </w:pPr>
      <w:r>
        <w:rPr>
          <w:rStyle w:val="FootnoteReference"/>
        </w:rPr>
        <w:footnoteRef/>
      </w:r>
      <w:r>
        <w:tab/>
      </w:r>
      <w:r w:rsidRPr="0092743D">
        <w:t>While this definition embraces medical devices</w:t>
      </w:r>
      <w:r>
        <w:t>,</w:t>
      </w:r>
      <w:r w:rsidRPr="0092743D">
        <w:t xml:space="preserve"> the data analysis included in this report refers primarily to the biotechnology</w:t>
      </w:r>
      <w:r>
        <w:t xml:space="preserve"> and pharmaceuticals industries</w:t>
      </w:r>
      <w:r w:rsidRPr="0092743D">
        <w:t>.</w:t>
      </w:r>
    </w:p>
  </w:footnote>
  <w:footnote w:id="2">
    <w:p w:rsidR="006C26DD" w:rsidRPr="00252905" w:rsidRDefault="006C26DD" w:rsidP="00252905">
      <w:pPr>
        <w:pStyle w:val="FootnoteText"/>
      </w:pPr>
      <w:r>
        <w:rPr>
          <w:rStyle w:val="FootnoteReference"/>
        </w:rPr>
        <w:footnoteRef/>
      </w:r>
      <w:r>
        <w:t xml:space="preserve"> </w:t>
      </w:r>
      <w:r>
        <w:tab/>
      </w:r>
      <w:r w:rsidRPr="00A7399B">
        <w:t xml:space="preserve">An </w:t>
      </w:r>
      <w:proofErr w:type="spellStart"/>
      <w:r w:rsidRPr="00A7399B">
        <w:t>AiG</w:t>
      </w:r>
      <w:proofErr w:type="spellEnd"/>
      <w:r w:rsidRPr="00A7399B">
        <w:t xml:space="preserve"> project is trying to tackle concerns about competency-based progression</w:t>
      </w:r>
      <w:r>
        <w:t xml:space="preserve"> in engineering trades, which </w:t>
      </w:r>
      <w:r w:rsidRPr="00A7399B">
        <w:t>can also accelerate the training for those able to learn more quickly.</w:t>
      </w:r>
      <w:r>
        <w:t xml:space="preserve"> See &lt;</w:t>
      </w:r>
      <w:r w:rsidRPr="00A7399B">
        <w:t>http://www.aigroup.com.au/portal/site/</w:t>
      </w:r>
      <w:r w:rsidRPr="00252905">
        <w:t>aig/</w:t>
      </w:r>
      <w:r>
        <w:t xml:space="preserve"> </w:t>
      </w:r>
      <w:r w:rsidRPr="00252905">
        <w:t>education/</w:t>
      </w:r>
      <w:proofErr w:type="spellStart"/>
      <w:r w:rsidRPr="00252905">
        <w:t>engineeringexcellence</w:t>
      </w:r>
      <w:proofErr w:type="spellEnd"/>
      <w:r w:rsidRPr="00252905">
        <w:t>/&gt;.</w:t>
      </w:r>
    </w:p>
  </w:footnote>
  <w:footnote w:id="3">
    <w:p w:rsidR="006C26DD" w:rsidRDefault="006C26DD" w:rsidP="00252905">
      <w:pPr>
        <w:pStyle w:val="FootnoteText"/>
      </w:pPr>
      <w:r w:rsidRPr="00252905">
        <w:rPr>
          <w:rStyle w:val="FootnoteReference"/>
        </w:rPr>
        <w:footnoteRef/>
      </w:r>
      <w:r w:rsidRPr="00252905">
        <w:t xml:space="preserve"> </w:t>
      </w:r>
      <w:r>
        <w:tab/>
      </w:r>
      <w:r w:rsidRPr="00252905">
        <w:t>Vocational training occurs also in higher edu</w:t>
      </w:r>
      <w:r>
        <w:t>cation, although this was not the focus of the analysis.</w:t>
      </w:r>
    </w:p>
  </w:footnote>
  <w:footnote w:id="4">
    <w:p w:rsidR="006C26DD" w:rsidRDefault="006C26DD">
      <w:pPr>
        <w:pStyle w:val="FootnoteText"/>
      </w:pPr>
      <w:r>
        <w:rPr>
          <w:rStyle w:val="FootnoteReference"/>
        </w:rPr>
        <w:footnoteRef/>
      </w:r>
      <w:r>
        <w:t xml:space="preserve"> </w:t>
      </w:r>
      <w:r>
        <w:tab/>
        <w:t>&lt;</w:t>
      </w:r>
      <w:hyperlink r:id="rId1" w:history="1">
        <w:r w:rsidRPr="00695312">
          <w:rPr>
            <w:rStyle w:val="Hyperlink"/>
            <w:sz w:val="16"/>
          </w:rPr>
          <w:t>http://www.swinburne.edu.au/iel/programs/ibl</w:t>
        </w:r>
      </w:hyperlink>
      <w:r>
        <w:t>&gt;.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D088E84"/>
    <w:lvl w:ilvl="0">
      <w:start w:val="1"/>
      <w:numFmt w:val="decimal"/>
      <w:lvlText w:val="%1."/>
      <w:lvlJc w:val="left"/>
      <w:pPr>
        <w:tabs>
          <w:tab w:val="num" w:pos="1492"/>
        </w:tabs>
        <w:ind w:left="1492" w:hanging="360"/>
      </w:pPr>
    </w:lvl>
  </w:abstractNum>
  <w:abstractNum w:abstractNumId="1">
    <w:nsid w:val="FFFFFF7D"/>
    <w:multiLevelType w:val="singleLevel"/>
    <w:tmpl w:val="DAFA56DA"/>
    <w:lvl w:ilvl="0">
      <w:start w:val="1"/>
      <w:numFmt w:val="decimal"/>
      <w:lvlText w:val="%1."/>
      <w:lvlJc w:val="left"/>
      <w:pPr>
        <w:tabs>
          <w:tab w:val="num" w:pos="1209"/>
        </w:tabs>
        <w:ind w:left="1209" w:hanging="360"/>
      </w:pPr>
    </w:lvl>
  </w:abstractNum>
  <w:abstractNum w:abstractNumId="2">
    <w:nsid w:val="FFFFFF7E"/>
    <w:multiLevelType w:val="singleLevel"/>
    <w:tmpl w:val="65029B5E"/>
    <w:lvl w:ilvl="0">
      <w:start w:val="1"/>
      <w:numFmt w:val="decimal"/>
      <w:lvlText w:val="%1."/>
      <w:lvlJc w:val="left"/>
      <w:pPr>
        <w:tabs>
          <w:tab w:val="num" w:pos="926"/>
        </w:tabs>
        <w:ind w:left="926" w:hanging="360"/>
      </w:pPr>
    </w:lvl>
  </w:abstractNum>
  <w:abstractNum w:abstractNumId="3">
    <w:nsid w:val="FFFFFF7F"/>
    <w:multiLevelType w:val="singleLevel"/>
    <w:tmpl w:val="5BFE9E6E"/>
    <w:lvl w:ilvl="0">
      <w:start w:val="1"/>
      <w:numFmt w:val="decimal"/>
      <w:lvlText w:val="%1."/>
      <w:lvlJc w:val="left"/>
      <w:pPr>
        <w:tabs>
          <w:tab w:val="num" w:pos="643"/>
        </w:tabs>
        <w:ind w:left="643" w:hanging="360"/>
      </w:pPr>
    </w:lvl>
  </w:abstractNum>
  <w:abstractNum w:abstractNumId="4">
    <w:nsid w:val="FFFFFF80"/>
    <w:multiLevelType w:val="singleLevel"/>
    <w:tmpl w:val="D9C038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A4AE2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7F07F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0A05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CFEE2FC"/>
    <w:lvl w:ilvl="0">
      <w:start w:val="1"/>
      <w:numFmt w:val="decimal"/>
      <w:lvlText w:val="%1."/>
      <w:lvlJc w:val="left"/>
      <w:pPr>
        <w:tabs>
          <w:tab w:val="num" w:pos="360"/>
        </w:tabs>
        <w:ind w:left="360" w:hanging="360"/>
      </w:pPr>
    </w:lvl>
  </w:abstractNum>
  <w:abstractNum w:abstractNumId="9">
    <w:nsid w:val="FFFFFF89"/>
    <w:multiLevelType w:val="singleLevel"/>
    <w:tmpl w:val="286AC096"/>
    <w:lvl w:ilvl="0">
      <w:start w:val="1"/>
      <w:numFmt w:val="bullet"/>
      <w:lvlText w:val=""/>
      <w:lvlJc w:val="left"/>
      <w:pPr>
        <w:tabs>
          <w:tab w:val="num" w:pos="360"/>
        </w:tabs>
        <w:ind w:left="360" w:hanging="360"/>
      </w:pPr>
      <w:rPr>
        <w:rFonts w:ascii="Symbol" w:hAnsi="Symbol" w:hint="default"/>
      </w:rPr>
    </w:lvl>
  </w:abstractNum>
  <w:abstractNum w:abstractNumId="10">
    <w:nsid w:val="00A854F8"/>
    <w:multiLevelType w:val="hybridMultilevel"/>
    <w:tmpl w:val="EB804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1F410EF"/>
    <w:multiLevelType w:val="hybridMultilevel"/>
    <w:tmpl w:val="B6F0B62E"/>
    <w:lvl w:ilvl="0" w:tplc="98A0994A">
      <w:start w:val="1"/>
      <w:numFmt w:val="decimal"/>
      <w:pStyle w:val="NumberedListContinuing"/>
      <w:lvlText w:val="%1"/>
      <w:lvlJc w:val="left"/>
      <w:pPr>
        <w:tabs>
          <w:tab w:val="num" w:pos="284"/>
        </w:tabs>
        <w:ind w:left="0" w:firstLine="0"/>
      </w:pPr>
      <w:rPr>
        <w:rFonts w:hint="default"/>
      </w:rPr>
    </w:lvl>
    <w:lvl w:ilvl="1" w:tplc="0994B9E0">
      <w:start w:val="1"/>
      <w:numFmt w:val="lowerLetter"/>
      <w:pStyle w:val="NumberedAlphaLevel2"/>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05AA09C8"/>
    <w:multiLevelType w:val="hybridMultilevel"/>
    <w:tmpl w:val="D7A0C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7766FEB"/>
    <w:multiLevelType w:val="hybridMultilevel"/>
    <w:tmpl w:val="9AFC4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923339E"/>
    <w:multiLevelType w:val="hybridMultilevel"/>
    <w:tmpl w:val="C6D6B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3912672"/>
    <w:multiLevelType w:val="hybridMultilevel"/>
    <w:tmpl w:val="210E96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3A243F6"/>
    <w:multiLevelType w:val="hybridMultilevel"/>
    <w:tmpl w:val="F0021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D7A6113"/>
    <w:multiLevelType w:val="hybridMultilevel"/>
    <w:tmpl w:val="E1449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30E2563"/>
    <w:multiLevelType w:val="hybridMultilevel"/>
    <w:tmpl w:val="FE8C057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nsid w:val="43E8701F"/>
    <w:multiLevelType w:val="hybridMultilevel"/>
    <w:tmpl w:val="E93C31C6"/>
    <w:lvl w:ilvl="0" w:tplc="FC88AB88">
      <w:start w:val="1"/>
      <w:numFmt w:val="bullet"/>
      <w:pStyle w:val="Dotpoi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AC07085"/>
    <w:multiLevelType w:val="hybridMultilevel"/>
    <w:tmpl w:val="B8E83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B2464C3"/>
    <w:multiLevelType w:val="hybridMultilevel"/>
    <w:tmpl w:val="B1023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C4D5C00"/>
    <w:multiLevelType w:val="hybridMultilevel"/>
    <w:tmpl w:val="290C4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EE72E24"/>
    <w:multiLevelType w:val="hybridMultilevel"/>
    <w:tmpl w:val="9D625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1E16E92"/>
    <w:multiLevelType w:val="hybridMultilevel"/>
    <w:tmpl w:val="578E5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E27CBF"/>
    <w:multiLevelType w:val="hybridMultilevel"/>
    <w:tmpl w:val="431284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87F474D"/>
    <w:multiLevelType w:val="hybridMultilevel"/>
    <w:tmpl w:val="445AC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A2868E9"/>
    <w:multiLevelType w:val="hybridMultilevel"/>
    <w:tmpl w:val="00286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0920781"/>
    <w:multiLevelType w:val="hybridMultilevel"/>
    <w:tmpl w:val="0E4A6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0">
    <w:nsid w:val="6C7A61B3"/>
    <w:multiLevelType w:val="hybridMultilevel"/>
    <w:tmpl w:val="ACA0FA4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D7C09A2"/>
    <w:multiLevelType w:val="hybridMultilevel"/>
    <w:tmpl w:val="6CF44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E6568BB"/>
    <w:multiLevelType w:val="hybridMultilevel"/>
    <w:tmpl w:val="C88416EC"/>
    <w:lvl w:ilvl="0" w:tplc="CC7EA42E">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2561340"/>
    <w:multiLevelType w:val="hybridMultilevel"/>
    <w:tmpl w:val="7452D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37D4454"/>
    <w:multiLevelType w:val="hybridMultilevel"/>
    <w:tmpl w:val="1674B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3C177B6"/>
    <w:multiLevelType w:val="hybridMultilevel"/>
    <w:tmpl w:val="99421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3FF444F"/>
    <w:multiLevelType w:val="hybridMultilevel"/>
    <w:tmpl w:val="9B241A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51C14FB"/>
    <w:multiLevelType w:val="hybridMultilevel"/>
    <w:tmpl w:val="4F365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6C06C57"/>
    <w:multiLevelType w:val="hybridMultilevel"/>
    <w:tmpl w:val="0868B7BE"/>
    <w:lvl w:ilvl="0" w:tplc="866A224A">
      <w:numFmt w:val="bullet"/>
      <w:lvlText w:val="•"/>
      <w:lvlJc w:val="left"/>
      <w:pPr>
        <w:ind w:left="1080" w:hanging="720"/>
      </w:pPr>
      <w:rPr>
        <w:rFonts w:ascii="Trebuchet MS" w:eastAsia="Times New Roman" w:hAnsi="Trebuchet M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87D1DA2"/>
    <w:multiLevelType w:val="hybridMultilevel"/>
    <w:tmpl w:val="014E8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DEE578B"/>
    <w:multiLevelType w:val="hybridMultilevel"/>
    <w:tmpl w:val="4BE03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E9C05ED"/>
    <w:multiLevelType w:val="hybridMultilevel"/>
    <w:tmpl w:val="19B48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2"/>
  </w:num>
  <w:num w:numId="2">
    <w:abstractNumId w:val="29"/>
  </w:num>
  <w:num w:numId="3">
    <w:abstractNumId w:val="11"/>
  </w:num>
  <w:num w:numId="4">
    <w:abstractNumId w:val="10"/>
  </w:num>
  <w:num w:numId="5">
    <w:abstractNumId w:val="18"/>
  </w:num>
  <w:num w:numId="6">
    <w:abstractNumId w:val="36"/>
  </w:num>
  <w:num w:numId="7">
    <w:abstractNumId w:val="12"/>
  </w:num>
  <w:num w:numId="8">
    <w:abstractNumId w:val="38"/>
  </w:num>
  <w:num w:numId="9">
    <w:abstractNumId w:val="25"/>
  </w:num>
  <w:num w:numId="10">
    <w:abstractNumId w:val="19"/>
  </w:num>
  <w:num w:numId="11">
    <w:abstractNumId w:val="15"/>
  </w:num>
  <w:num w:numId="12">
    <w:abstractNumId w:val="14"/>
  </w:num>
  <w:num w:numId="13">
    <w:abstractNumId w:val="35"/>
  </w:num>
  <w:num w:numId="14">
    <w:abstractNumId w:val="37"/>
  </w:num>
  <w:num w:numId="15">
    <w:abstractNumId w:val="39"/>
  </w:num>
  <w:num w:numId="16">
    <w:abstractNumId w:val="20"/>
  </w:num>
  <w:num w:numId="17">
    <w:abstractNumId w:val="26"/>
  </w:num>
  <w:num w:numId="18">
    <w:abstractNumId w:val="33"/>
  </w:num>
  <w:num w:numId="19">
    <w:abstractNumId w:val="41"/>
  </w:num>
  <w:num w:numId="20">
    <w:abstractNumId w:val="17"/>
  </w:num>
  <w:num w:numId="21">
    <w:abstractNumId w:val="40"/>
  </w:num>
  <w:num w:numId="22">
    <w:abstractNumId w:val="16"/>
  </w:num>
  <w:num w:numId="23">
    <w:abstractNumId w:val="31"/>
  </w:num>
  <w:num w:numId="24">
    <w:abstractNumId w:val="27"/>
  </w:num>
  <w:num w:numId="25">
    <w:abstractNumId w:val="21"/>
  </w:num>
  <w:num w:numId="26">
    <w:abstractNumId w:val="24"/>
  </w:num>
  <w:num w:numId="27">
    <w:abstractNumId w:val="22"/>
  </w:num>
  <w:num w:numId="28">
    <w:abstractNumId w:val="23"/>
  </w:num>
  <w:num w:numId="29">
    <w:abstractNumId w:val="34"/>
  </w:num>
  <w:num w:numId="30">
    <w:abstractNumId w:val="28"/>
  </w:num>
  <w:num w:numId="31">
    <w:abstractNumId w:val="8"/>
  </w:num>
  <w:num w:numId="32">
    <w:abstractNumId w:val="3"/>
  </w:num>
  <w:num w:numId="33">
    <w:abstractNumId w:val="2"/>
  </w:num>
  <w:num w:numId="34">
    <w:abstractNumId w:val="1"/>
  </w:num>
  <w:num w:numId="35">
    <w:abstractNumId w:val="0"/>
  </w:num>
  <w:num w:numId="36">
    <w:abstractNumId w:val="9"/>
  </w:num>
  <w:num w:numId="37">
    <w:abstractNumId w:val="7"/>
  </w:num>
  <w:num w:numId="38">
    <w:abstractNumId w:val="6"/>
  </w:num>
  <w:num w:numId="39">
    <w:abstractNumId w:val="5"/>
  </w:num>
  <w:num w:numId="40">
    <w:abstractNumId w:val="4"/>
  </w:num>
  <w:num w:numId="41">
    <w:abstractNumId w:val="30"/>
  </w:num>
  <w:num w:numId="42">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1"/>
  <w:stylePaneSortMethod w:val="0000"/>
  <w:doNotTrackFormatting/>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D0A"/>
    <w:rsid w:val="0000156A"/>
    <w:rsid w:val="000016C7"/>
    <w:rsid w:val="000103C0"/>
    <w:rsid w:val="000108B2"/>
    <w:rsid w:val="000109C6"/>
    <w:rsid w:val="00012503"/>
    <w:rsid w:val="00012B64"/>
    <w:rsid w:val="00013265"/>
    <w:rsid w:val="00013AF5"/>
    <w:rsid w:val="00014311"/>
    <w:rsid w:val="00015F17"/>
    <w:rsid w:val="00017EDB"/>
    <w:rsid w:val="00022290"/>
    <w:rsid w:val="00022DE7"/>
    <w:rsid w:val="00023BD8"/>
    <w:rsid w:val="00030C6F"/>
    <w:rsid w:val="000315D7"/>
    <w:rsid w:val="00032F4E"/>
    <w:rsid w:val="000369ED"/>
    <w:rsid w:val="00041A3E"/>
    <w:rsid w:val="00047A6C"/>
    <w:rsid w:val="00050E92"/>
    <w:rsid w:val="00061221"/>
    <w:rsid w:val="0006125F"/>
    <w:rsid w:val="00065175"/>
    <w:rsid w:val="000715E2"/>
    <w:rsid w:val="00073D0A"/>
    <w:rsid w:val="00074683"/>
    <w:rsid w:val="00074BD4"/>
    <w:rsid w:val="00086920"/>
    <w:rsid w:val="00090AC0"/>
    <w:rsid w:val="00091A87"/>
    <w:rsid w:val="00095DD1"/>
    <w:rsid w:val="000964B3"/>
    <w:rsid w:val="000A0745"/>
    <w:rsid w:val="000A2CB5"/>
    <w:rsid w:val="000B59AB"/>
    <w:rsid w:val="000B70FA"/>
    <w:rsid w:val="000C191F"/>
    <w:rsid w:val="000D31A0"/>
    <w:rsid w:val="000D5ED8"/>
    <w:rsid w:val="000E15C8"/>
    <w:rsid w:val="000E557F"/>
    <w:rsid w:val="000E57E8"/>
    <w:rsid w:val="000E78EE"/>
    <w:rsid w:val="000F2C64"/>
    <w:rsid w:val="000F5602"/>
    <w:rsid w:val="000F641C"/>
    <w:rsid w:val="000F6A22"/>
    <w:rsid w:val="001010ED"/>
    <w:rsid w:val="00103686"/>
    <w:rsid w:val="00106FCE"/>
    <w:rsid w:val="0010756A"/>
    <w:rsid w:val="0010761A"/>
    <w:rsid w:val="00111325"/>
    <w:rsid w:val="001141E0"/>
    <w:rsid w:val="001159C0"/>
    <w:rsid w:val="00115A9A"/>
    <w:rsid w:val="00117B0F"/>
    <w:rsid w:val="001218E7"/>
    <w:rsid w:val="00121F55"/>
    <w:rsid w:val="00123B5C"/>
    <w:rsid w:val="00124000"/>
    <w:rsid w:val="00124FA1"/>
    <w:rsid w:val="00125A7F"/>
    <w:rsid w:val="00131F11"/>
    <w:rsid w:val="00132888"/>
    <w:rsid w:val="001338E6"/>
    <w:rsid w:val="0013542A"/>
    <w:rsid w:val="00135C75"/>
    <w:rsid w:val="001368C3"/>
    <w:rsid w:val="00143DF2"/>
    <w:rsid w:val="00144608"/>
    <w:rsid w:val="001466DA"/>
    <w:rsid w:val="00147503"/>
    <w:rsid w:val="00147CF4"/>
    <w:rsid w:val="00150874"/>
    <w:rsid w:val="001509F3"/>
    <w:rsid w:val="00155839"/>
    <w:rsid w:val="00156041"/>
    <w:rsid w:val="00157690"/>
    <w:rsid w:val="0016133C"/>
    <w:rsid w:val="00162254"/>
    <w:rsid w:val="00166EF6"/>
    <w:rsid w:val="00170452"/>
    <w:rsid w:val="0017092B"/>
    <w:rsid w:val="00177827"/>
    <w:rsid w:val="0018220F"/>
    <w:rsid w:val="00184504"/>
    <w:rsid w:val="00187238"/>
    <w:rsid w:val="00192399"/>
    <w:rsid w:val="001959F0"/>
    <w:rsid w:val="00197519"/>
    <w:rsid w:val="00197D2E"/>
    <w:rsid w:val="001A327F"/>
    <w:rsid w:val="001A3E79"/>
    <w:rsid w:val="001A50BA"/>
    <w:rsid w:val="001A68F6"/>
    <w:rsid w:val="001A6AF5"/>
    <w:rsid w:val="001B164C"/>
    <w:rsid w:val="001B40AB"/>
    <w:rsid w:val="001B4398"/>
    <w:rsid w:val="001B43CF"/>
    <w:rsid w:val="001B44B7"/>
    <w:rsid w:val="001B5571"/>
    <w:rsid w:val="001C0FB7"/>
    <w:rsid w:val="001C2CB5"/>
    <w:rsid w:val="001C5FDC"/>
    <w:rsid w:val="001D4A90"/>
    <w:rsid w:val="001D5F81"/>
    <w:rsid w:val="001E0DA3"/>
    <w:rsid w:val="001E2023"/>
    <w:rsid w:val="001E69DF"/>
    <w:rsid w:val="001F06FE"/>
    <w:rsid w:val="001F6EA9"/>
    <w:rsid w:val="001F73E4"/>
    <w:rsid w:val="001F7D84"/>
    <w:rsid w:val="002057E2"/>
    <w:rsid w:val="00212CFB"/>
    <w:rsid w:val="00213641"/>
    <w:rsid w:val="00214A30"/>
    <w:rsid w:val="0021546A"/>
    <w:rsid w:val="0021632C"/>
    <w:rsid w:val="00226436"/>
    <w:rsid w:val="002277A9"/>
    <w:rsid w:val="00230400"/>
    <w:rsid w:val="00231485"/>
    <w:rsid w:val="00231AAD"/>
    <w:rsid w:val="00231FD8"/>
    <w:rsid w:val="0023215F"/>
    <w:rsid w:val="00232D85"/>
    <w:rsid w:val="00233BFA"/>
    <w:rsid w:val="00234326"/>
    <w:rsid w:val="002403D2"/>
    <w:rsid w:val="00241B31"/>
    <w:rsid w:val="00242B00"/>
    <w:rsid w:val="00246402"/>
    <w:rsid w:val="00250E9D"/>
    <w:rsid w:val="00252905"/>
    <w:rsid w:val="00261E4C"/>
    <w:rsid w:val="00266799"/>
    <w:rsid w:val="00267C62"/>
    <w:rsid w:val="002700DE"/>
    <w:rsid w:val="00270219"/>
    <w:rsid w:val="00270674"/>
    <w:rsid w:val="00270DB7"/>
    <w:rsid w:val="00284FCB"/>
    <w:rsid w:val="00286775"/>
    <w:rsid w:val="00287A61"/>
    <w:rsid w:val="00290F43"/>
    <w:rsid w:val="00290FAE"/>
    <w:rsid w:val="00291823"/>
    <w:rsid w:val="00293256"/>
    <w:rsid w:val="002A0FEB"/>
    <w:rsid w:val="002A3643"/>
    <w:rsid w:val="002A5D73"/>
    <w:rsid w:val="002A67B5"/>
    <w:rsid w:val="002B31B4"/>
    <w:rsid w:val="002B55CD"/>
    <w:rsid w:val="002B5DD6"/>
    <w:rsid w:val="002D38E5"/>
    <w:rsid w:val="002D47D8"/>
    <w:rsid w:val="002E14BE"/>
    <w:rsid w:val="002E196B"/>
    <w:rsid w:val="002E28D8"/>
    <w:rsid w:val="002E3401"/>
    <w:rsid w:val="002E36DC"/>
    <w:rsid w:val="002E649A"/>
    <w:rsid w:val="002E7B75"/>
    <w:rsid w:val="002F09F9"/>
    <w:rsid w:val="002F32B8"/>
    <w:rsid w:val="002F629F"/>
    <w:rsid w:val="002F6E23"/>
    <w:rsid w:val="002F75D8"/>
    <w:rsid w:val="003030ED"/>
    <w:rsid w:val="00303F38"/>
    <w:rsid w:val="003056CA"/>
    <w:rsid w:val="0030596F"/>
    <w:rsid w:val="003065CB"/>
    <w:rsid w:val="00306AB0"/>
    <w:rsid w:val="00313F85"/>
    <w:rsid w:val="0031787F"/>
    <w:rsid w:val="00322477"/>
    <w:rsid w:val="00322901"/>
    <w:rsid w:val="00326046"/>
    <w:rsid w:val="0033070E"/>
    <w:rsid w:val="00333C99"/>
    <w:rsid w:val="00334CE3"/>
    <w:rsid w:val="00336BDD"/>
    <w:rsid w:val="0034046F"/>
    <w:rsid w:val="00340B4D"/>
    <w:rsid w:val="00341603"/>
    <w:rsid w:val="00342768"/>
    <w:rsid w:val="00342A9F"/>
    <w:rsid w:val="00342DC3"/>
    <w:rsid w:val="00344F21"/>
    <w:rsid w:val="003478EE"/>
    <w:rsid w:val="00356DFF"/>
    <w:rsid w:val="00361260"/>
    <w:rsid w:val="00362290"/>
    <w:rsid w:val="003626A6"/>
    <w:rsid w:val="003632CB"/>
    <w:rsid w:val="0036475C"/>
    <w:rsid w:val="00364C4B"/>
    <w:rsid w:val="00365C42"/>
    <w:rsid w:val="00372409"/>
    <w:rsid w:val="00374DF8"/>
    <w:rsid w:val="00376349"/>
    <w:rsid w:val="00376E43"/>
    <w:rsid w:val="00377A64"/>
    <w:rsid w:val="0038013F"/>
    <w:rsid w:val="003833AF"/>
    <w:rsid w:val="00387BC3"/>
    <w:rsid w:val="00396D2E"/>
    <w:rsid w:val="00397C94"/>
    <w:rsid w:val="003A08B0"/>
    <w:rsid w:val="003A0E4C"/>
    <w:rsid w:val="003A7C89"/>
    <w:rsid w:val="003B16DA"/>
    <w:rsid w:val="003B4825"/>
    <w:rsid w:val="003B483E"/>
    <w:rsid w:val="003B7AAE"/>
    <w:rsid w:val="003C0ED1"/>
    <w:rsid w:val="003C49EF"/>
    <w:rsid w:val="003D021B"/>
    <w:rsid w:val="003D0747"/>
    <w:rsid w:val="003D1351"/>
    <w:rsid w:val="003D5457"/>
    <w:rsid w:val="003D5EB0"/>
    <w:rsid w:val="003D6251"/>
    <w:rsid w:val="003E15D8"/>
    <w:rsid w:val="003E22EE"/>
    <w:rsid w:val="003E67CB"/>
    <w:rsid w:val="003F084D"/>
    <w:rsid w:val="003F174D"/>
    <w:rsid w:val="003F2E68"/>
    <w:rsid w:val="003F63D8"/>
    <w:rsid w:val="004045D0"/>
    <w:rsid w:val="00404960"/>
    <w:rsid w:val="00404BE4"/>
    <w:rsid w:val="0040687A"/>
    <w:rsid w:val="00417066"/>
    <w:rsid w:val="004202CD"/>
    <w:rsid w:val="00424A62"/>
    <w:rsid w:val="00424F57"/>
    <w:rsid w:val="00426F33"/>
    <w:rsid w:val="00430FD7"/>
    <w:rsid w:val="00435ED5"/>
    <w:rsid w:val="0045619F"/>
    <w:rsid w:val="0046020B"/>
    <w:rsid w:val="004652AA"/>
    <w:rsid w:val="004673BB"/>
    <w:rsid w:val="00472A51"/>
    <w:rsid w:val="0047713F"/>
    <w:rsid w:val="00477EDE"/>
    <w:rsid w:val="004806A0"/>
    <w:rsid w:val="004854DB"/>
    <w:rsid w:val="0048643A"/>
    <w:rsid w:val="0048663C"/>
    <w:rsid w:val="004930CB"/>
    <w:rsid w:val="004940C7"/>
    <w:rsid w:val="0049453B"/>
    <w:rsid w:val="004948C2"/>
    <w:rsid w:val="00494E7C"/>
    <w:rsid w:val="004A08B7"/>
    <w:rsid w:val="004A423F"/>
    <w:rsid w:val="004A42F3"/>
    <w:rsid w:val="004B0DA3"/>
    <w:rsid w:val="004B1195"/>
    <w:rsid w:val="004B4AE3"/>
    <w:rsid w:val="004B5F99"/>
    <w:rsid w:val="004B670E"/>
    <w:rsid w:val="004B766B"/>
    <w:rsid w:val="004C4063"/>
    <w:rsid w:val="004C50AC"/>
    <w:rsid w:val="004C6A08"/>
    <w:rsid w:val="004C6F52"/>
    <w:rsid w:val="004D1E77"/>
    <w:rsid w:val="004D1F86"/>
    <w:rsid w:val="004D4802"/>
    <w:rsid w:val="004D7587"/>
    <w:rsid w:val="004D7751"/>
    <w:rsid w:val="004E43FB"/>
    <w:rsid w:val="004E7227"/>
    <w:rsid w:val="004E7F19"/>
    <w:rsid w:val="004F6DEE"/>
    <w:rsid w:val="004F7609"/>
    <w:rsid w:val="004F7628"/>
    <w:rsid w:val="005002F3"/>
    <w:rsid w:val="00500EEE"/>
    <w:rsid w:val="00500F70"/>
    <w:rsid w:val="00501BA1"/>
    <w:rsid w:val="0050274B"/>
    <w:rsid w:val="00502B5E"/>
    <w:rsid w:val="00503D04"/>
    <w:rsid w:val="00510A21"/>
    <w:rsid w:val="00510BFC"/>
    <w:rsid w:val="00513AF5"/>
    <w:rsid w:val="00513EC3"/>
    <w:rsid w:val="005155ED"/>
    <w:rsid w:val="00516995"/>
    <w:rsid w:val="00520315"/>
    <w:rsid w:val="0052276C"/>
    <w:rsid w:val="00534111"/>
    <w:rsid w:val="00536016"/>
    <w:rsid w:val="00537F97"/>
    <w:rsid w:val="00541B94"/>
    <w:rsid w:val="005513D4"/>
    <w:rsid w:val="00551F11"/>
    <w:rsid w:val="005531FB"/>
    <w:rsid w:val="00566E88"/>
    <w:rsid w:val="00570758"/>
    <w:rsid w:val="005717D8"/>
    <w:rsid w:val="00571A9C"/>
    <w:rsid w:val="005736CE"/>
    <w:rsid w:val="00577091"/>
    <w:rsid w:val="0058231D"/>
    <w:rsid w:val="00584619"/>
    <w:rsid w:val="00596839"/>
    <w:rsid w:val="00597E16"/>
    <w:rsid w:val="005A427F"/>
    <w:rsid w:val="005C07AE"/>
    <w:rsid w:val="005C1FEC"/>
    <w:rsid w:val="005C277E"/>
    <w:rsid w:val="005C2EBD"/>
    <w:rsid w:val="005C3575"/>
    <w:rsid w:val="005C3B7B"/>
    <w:rsid w:val="005C4A4A"/>
    <w:rsid w:val="005C61F8"/>
    <w:rsid w:val="005D3E53"/>
    <w:rsid w:val="005E04E4"/>
    <w:rsid w:val="005E04EE"/>
    <w:rsid w:val="005E3328"/>
    <w:rsid w:val="005E4764"/>
    <w:rsid w:val="005E4BF3"/>
    <w:rsid w:val="005E6130"/>
    <w:rsid w:val="005F16CF"/>
    <w:rsid w:val="00606FFC"/>
    <w:rsid w:val="006074C1"/>
    <w:rsid w:val="00613ECE"/>
    <w:rsid w:val="00614810"/>
    <w:rsid w:val="00615993"/>
    <w:rsid w:val="00617DE0"/>
    <w:rsid w:val="00624BC1"/>
    <w:rsid w:val="0063651A"/>
    <w:rsid w:val="00641724"/>
    <w:rsid w:val="00642F7D"/>
    <w:rsid w:val="00643FD5"/>
    <w:rsid w:val="00650A37"/>
    <w:rsid w:val="00650F66"/>
    <w:rsid w:val="006524CD"/>
    <w:rsid w:val="00652973"/>
    <w:rsid w:val="00656679"/>
    <w:rsid w:val="006573B8"/>
    <w:rsid w:val="00662000"/>
    <w:rsid w:val="00662FB5"/>
    <w:rsid w:val="00663738"/>
    <w:rsid w:val="006646B0"/>
    <w:rsid w:val="0066489C"/>
    <w:rsid w:val="006669E2"/>
    <w:rsid w:val="00667C6A"/>
    <w:rsid w:val="00673C72"/>
    <w:rsid w:val="0067712D"/>
    <w:rsid w:val="00677B89"/>
    <w:rsid w:val="00680710"/>
    <w:rsid w:val="00680ED5"/>
    <w:rsid w:val="00682A97"/>
    <w:rsid w:val="00690B32"/>
    <w:rsid w:val="006924C5"/>
    <w:rsid w:val="0069351C"/>
    <w:rsid w:val="00696A48"/>
    <w:rsid w:val="00696E2F"/>
    <w:rsid w:val="006A131A"/>
    <w:rsid w:val="006A1CE4"/>
    <w:rsid w:val="006A41EA"/>
    <w:rsid w:val="006A4B1A"/>
    <w:rsid w:val="006A7EC0"/>
    <w:rsid w:val="006B5634"/>
    <w:rsid w:val="006C1063"/>
    <w:rsid w:val="006C251A"/>
    <w:rsid w:val="006C26DD"/>
    <w:rsid w:val="006C5DA9"/>
    <w:rsid w:val="006C66A5"/>
    <w:rsid w:val="006C7095"/>
    <w:rsid w:val="006D1D18"/>
    <w:rsid w:val="006D231C"/>
    <w:rsid w:val="006D490A"/>
    <w:rsid w:val="006E085B"/>
    <w:rsid w:val="006E33B0"/>
    <w:rsid w:val="006E55E8"/>
    <w:rsid w:val="006E5734"/>
    <w:rsid w:val="006F20AA"/>
    <w:rsid w:val="006F339F"/>
    <w:rsid w:val="006F6F83"/>
    <w:rsid w:val="006F75FA"/>
    <w:rsid w:val="006F7D2D"/>
    <w:rsid w:val="007037A4"/>
    <w:rsid w:val="00705CA8"/>
    <w:rsid w:val="00706BCD"/>
    <w:rsid w:val="007143FC"/>
    <w:rsid w:val="00714B6D"/>
    <w:rsid w:val="00716BBD"/>
    <w:rsid w:val="00716C53"/>
    <w:rsid w:val="00720B1E"/>
    <w:rsid w:val="00721E84"/>
    <w:rsid w:val="00730F7D"/>
    <w:rsid w:val="00731EC8"/>
    <w:rsid w:val="00734983"/>
    <w:rsid w:val="0073507A"/>
    <w:rsid w:val="00735718"/>
    <w:rsid w:val="007430DC"/>
    <w:rsid w:val="00743ACA"/>
    <w:rsid w:val="0074426D"/>
    <w:rsid w:val="00744530"/>
    <w:rsid w:val="007454CC"/>
    <w:rsid w:val="00746C4A"/>
    <w:rsid w:val="00747919"/>
    <w:rsid w:val="00751CD7"/>
    <w:rsid w:val="0075276B"/>
    <w:rsid w:val="00756D3B"/>
    <w:rsid w:val="00760E93"/>
    <w:rsid w:val="00783F44"/>
    <w:rsid w:val="00784F4E"/>
    <w:rsid w:val="00787494"/>
    <w:rsid w:val="00787618"/>
    <w:rsid w:val="00790B8A"/>
    <w:rsid w:val="00790D0F"/>
    <w:rsid w:val="00792580"/>
    <w:rsid w:val="00796CBA"/>
    <w:rsid w:val="00796EB4"/>
    <w:rsid w:val="007970C7"/>
    <w:rsid w:val="007A2079"/>
    <w:rsid w:val="007A64C8"/>
    <w:rsid w:val="007A6B5E"/>
    <w:rsid w:val="007B40B2"/>
    <w:rsid w:val="007B6C4A"/>
    <w:rsid w:val="007C3281"/>
    <w:rsid w:val="007C50A7"/>
    <w:rsid w:val="007C5CAA"/>
    <w:rsid w:val="007C75D3"/>
    <w:rsid w:val="007D2748"/>
    <w:rsid w:val="007D35DA"/>
    <w:rsid w:val="007D4D2B"/>
    <w:rsid w:val="007E26BE"/>
    <w:rsid w:val="007E2D8C"/>
    <w:rsid w:val="007E6C0E"/>
    <w:rsid w:val="007F69E5"/>
    <w:rsid w:val="00800A2B"/>
    <w:rsid w:val="008056ED"/>
    <w:rsid w:val="00806C1C"/>
    <w:rsid w:val="00813EE5"/>
    <w:rsid w:val="00815BDE"/>
    <w:rsid w:val="00820D51"/>
    <w:rsid w:val="00820E32"/>
    <w:rsid w:val="00823CAB"/>
    <w:rsid w:val="008264B8"/>
    <w:rsid w:val="00826757"/>
    <w:rsid w:val="00836F7A"/>
    <w:rsid w:val="0083776F"/>
    <w:rsid w:val="00840617"/>
    <w:rsid w:val="00841745"/>
    <w:rsid w:val="00842007"/>
    <w:rsid w:val="00842044"/>
    <w:rsid w:val="00842057"/>
    <w:rsid w:val="0084604B"/>
    <w:rsid w:val="00847672"/>
    <w:rsid w:val="00852661"/>
    <w:rsid w:val="00852F44"/>
    <w:rsid w:val="00853098"/>
    <w:rsid w:val="00854DE8"/>
    <w:rsid w:val="0085701B"/>
    <w:rsid w:val="00863350"/>
    <w:rsid w:val="0086401A"/>
    <w:rsid w:val="00864CD5"/>
    <w:rsid w:val="00874DA5"/>
    <w:rsid w:val="008759FC"/>
    <w:rsid w:val="0088442A"/>
    <w:rsid w:val="00886CCB"/>
    <w:rsid w:val="008923B6"/>
    <w:rsid w:val="0089313F"/>
    <w:rsid w:val="00894271"/>
    <w:rsid w:val="008962C9"/>
    <w:rsid w:val="00897498"/>
    <w:rsid w:val="008A295C"/>
    <w:rsid w:val="008A347D"/>
    <w:rsid w:val="008B03A9"/>
    <w:rsid w:val="008B0570"/>
    <w:rsid w:val="008B22E2"/>
    <w:rsid w:val="008B32C9"/>
    <w:rsid w:val="008B4B8A"/>
    <w:rsid w:val="008C0A74"/>
    <w:rsid w:val="008C1D33"/>
    <w:rsid w:val="008C2283"/>
    <w:rsid w:val="008C4CD4"/>
    <w:rsid w:val="008D5A7E"/>
    <w:rsid w:val="008D5DDA"/>
    <w:rsid w:val="008D67F9"/>
    <w:rsid w:val="008E062F"/>
    <w:rsid w:val="008E1805"/>
    <w:rsid w:val="008E1AD1"/>
    <w:rsid w:val="008E24B2"/>
    <w:rsid w:val="008E4F62"/>
    <w:rsid w:val="008E675F"/>
    <w:rsid w:val="008E7E64"/>
    <w:rsid w:val="008F0B14"/>
    <w:rsid w:val="008F20BA"/>
    <w:rsid w:val="008F3256"/>
    <w:rsid w:val="008F5716"/>
    <w:rsid w:val="008F6377"/>
    <w:rsid w:val="009058B5"/>
    <w:rsid w:val="00907D5D"/>
    <w:rsid w:val="009106F1"/>
    <w:rsid w:val="00915D35"/>
    <w:rsid w:val="00920226"/>
    <w:rsid w:val="00920F07"/>
    <w:rsid w:val="00921159"/>
    <w:rsid w:val="00922335"/>
    <w:rsid w:val="0092743D"/>
    <w:rsid w:val="00930D86"/>
    <w:rsid w:val="009319F7"/>
    <w:rsid w:val="00932912"/>
    <w:rsid w:val="00933317"/>
    <w:rsid w:val="00934F0B"/>
    <w:rsid w:val="00936002"/>
    <w:rsid w:val="00940BE6"/>
    <w:rsid w:val="00941446"/>
    <w:rsid w:val="009427AC"/>
    <w:rsid w:val="00942949"/>
    <w:rsid w:val="00943822"/>
    <w:rsid w:val="00944982"/>
    <w:rsid w:val="0094561D"/>
    <w:rsid w:val="00945D4A"/>
    <w:rsid w:val="009461ED"/>
    <w:rsid w:val="00946950"/>
    <w:rsid w:val="00947AE9"/>
    <w:rsid w:val="009538E6"/>
    <w:rsid w:val="00955D1A"/>
    <w:rsid w:val="009606E6"/>
    <w:rsid w:val="0096429B"/>
    <w:rsid w:val="00965E6D"/>
    <w:rsid w:val="009704E4"/>
    <w:rsid w:val="0097094E"/>
    <w:rsid w:val="00971915"/>
    <w:rsid w:val="009737E2"/>
    <w:rsid w:val="00976379"/>
    <w:rsid w:val="009775C7"/>
    <w:rsid w:val="00981F23"/>
    <w:rsid w:val="009869ED"/>
    <w:rsid w:val="00987A89"/>
    <w:rsid w:val="0099103C"/>
    <w:rsid w:val="0099171C"/>
    <w:rsid w:val="00996C09"/>
    <w:rsid w:val="009972FC"/>
    <w:rsid w:val="009A2399"/>
    <w:rsid w:val="009A5590"/>
    <w:rsid w:val="009A6317"/>
    <w:rsid w:val="009B0D82"/>
    <w:rsid w:val="009B198F"/>
    <w:rsid w:val="009B1FE5"/>
    <w:rsid w:val="009B605F"/>
    <w:rsid w:val="009B76F7"/>
    <w:rsid w:val="009C157A"/>
    <w:rsid w:val="009C22BE"/>
    <w:rsid w:val="009C323E"/>
    <w:rsid w:val="009C6C28"/>
    <w:rsid w:val="009D0294"/>
    <w:rsid w:val="009D0537"/>
    <w:rsid w:val="009D0F58"/>
    <w:rsid w:val="009D1087"/>
    <w:rsid w:val="009D461C"/>
    <w:rsid w:val="009D4F55"/>
    <w:rsid w:val="009D5AA8"/>
    <w:rsid w:val="009D6287"/>
    <w:rsid w:val="009E231A"/>
    <w:rsid w:val="009E2F64"/>
    <w:rsid w:val="009F5B67"/>
    <w:rsid w:val="009F699F"/>
    <w:rsid w:val="00A001FF"/>
    <w:rsid w:val="00A0053C"/>
    <w:rsid w:val="00A0448F"/>
    <w:rsid w:val="00A04DE7"/>
    <w:rsid w:val="00A058CB"/>
    <w:rsid w:val="00A067E0"/>
    <w:rsid w:val="00A07542"/>
    <w:rsid w:val="00A10A6B"/>
    <w:rsid w:val="00A10E2B"/>
    <w:rsid w:val="00A1416B"/>
    <w:rsid w:val="00A148F7"/>
    <w:rsid w:val="00A25CA2"/>
    <w:rsid w:val="00A2609E"/>
    <w:rsid w:val="00A30084"/>
    <w:rsid w:val="00A3101D"/>
    <w:rsid w:val="00A3466D"/>
    <w:rsid w:val="00A36EA1"/>
    <w:rsid w:val="00A44E5E"/>
    <w:rsid w:val="00A4516D"/>
    <w:rsid w:val="00A45901"/>
    <w:rsid w:val="00A475B6"/>
    <w:rsid w:val="00A50895"/>
    <w:rsid w:val="00A553D3"/>
    <w:rsid w:val="00A5674C"/>
    <w:rsid w:val="00A567A3"/>
    <w:rsid w:val="00A56A4A"/>
    <w:rsid w:val="00A5768C"/>
    <w:rsid w:val="00A6140F"/>
    <w:rsid w:val="00A64FAD"/>
    <w:rsid w:val="00A72F15"/>
    <w:rsid w:val="00A73318"/>
    <w:rsid w:val="00A73353"/>
    <w:rsid w:val="00A7399B"/>
    <w:rsid w:val="00A80B4E"/>
    <w:rsid w:val="00A82117"/>
    <w:rsid w:val="00A822E7"/>
    <w:rsid w:val="00A8284B"/>
    <w:rsid w:val="00A82FE1"/>
    <w:rsid w:val="00A83CF7"/>
    <w:rsid w:val="00A862CD"/>
    <w:rsid w:val="00A93402"/>
    <w:rsid w:val="00A93867"/>
    <w:rsid w:val="00A95677"/>
    <w:rsid w:val="00A960BA"/>
    <w:rsid w:val="00A96158"/>
    <w:rsid w:val="00AA0D6F"/>
    <w:rsid w:val="00AA44D4"/>
    <w:rsid w:val="00AA60A9"/>
    <w:rsid w:val="00AA674A"/>
    <w:rsid w:val="00AB7C9D"/>
    <w:rsid w:val="00AC053D"/>
    <w:rsid w:val="00AC4DB0"/>
    <w:rsid w:val="00AC5DD3"/>
    <w:rsid w:val="00AC688A"/>
    <w:rsid w:val="00AD1E6C"/>
    <w:rsid w:val="00AD2A61"/>
    <w:rsid w:val="00AD420E"/>
    <w:rsid w:val="00AE01AC"/>
    <w:rsid w:val="00AE108D"/>
    <w:rsid w:val="00AF1005"/>
    <w:rsid w:val="00AF40C4"/>
    <w:rsid w:val="00AF5B0C"/>
    <w:rsid w:val="00AF5BD1"/>
    <w:rsid w:val="00B03B1C"/>
    <w:rsid w:val="00B055E7"/>
    <w:rsid w:val="00B05E9C"/>
    <w:rsid w:val="00B05F5C"/>
    <w:rsid w:val="00B0714A"/>
    <w:rsid w:val="00B12AE6"/>
    <w:rsid w:val="00B12DA4"/>
    <w:rsid w:val="00B15ADD"/>
    <w:rsid w:val="00B269C7"/>
    <w:rsid w:val="00B34A5D"/>
    <w:rsid w:val="00B3580A"/>
    <w:rsid w:val="00B35CA4"/>
    <w:rsid w:val="00B372EE"/>
    <w:rsid w:val="00B405D4"/>
    <w:rsid w:val="00B41272"/>
    <w:rsid w:val="00B426FE"/>
    <w:rsid w:val="00B42EEA"/>
    <w:rsid w:val="00B43C57"/>
    <w:rsid w:val="00B46ABB"/>
    <w:rsid w:val="00B55776"/>
    <w:rsid w:val="00B604AC"/>
    <w:rsid w:val="00B632CE"/>
    <w:rsid w:val="00B7158B"/>
    <w:rsid w:val="00B76149"/>
    <w:rsid w:val="00B77043"/>
    <w:rsid w:val="00B84BE3"/>
    <w:rsid w:val="00B85D3F"/>
    <w:rsid w:val="00B85F75"/>
    <w:rsid w:val="00B862CD"/>
    <w:rsid w:val="00B86D06"/>
    <w:rsid w:val="00B91F00"/>
    <w:rsid w:val="00B94535"/>
    <w:rsid w:val="00B9493B"/>
    <w:rsid w:val="00B9540A"/>
    <w:rsid w:val="00B95478"/>
    <w:rsid w:val="00B96D74"/>
    <w:rsid w:val="00BA79AF"/>
    <w:rsid w:val="00BB113D"/>
    <w:rsid w:val="00BB1856"/>
    <w:rsid w:val="00BB20C5"/>
    <w:rsid w:val="00BB2528"/>
    <w:rsid w:val="00BB5639"/>
    <w:rsid w:val="00BB5824"/>
    <w:rsid w:val="00BC01F6"/>
    <w:rsid w:val="00BC0A89"/>
    <w:rsid w:val="00BC25AE"/>
    <w:rsid w:val="00BC5D2B"/>
    <w:rsid w:val="00BC6D6F"/>
    <w:rsid w:val="00BC6F00"/>
    <w:rsid w:val="00BC770A"/>
    <w:rsid w:val="00BC7C47"/>
    <w:rsid w:val="00BD44A1"/>
    <w:rsid w:val="00BD59F5"/>
    <w:rsid w:val="00BD606C"/>
    <w:rsid w:val="00BD6664"/>
    <w:rsid w:val="00BE5A5F"/>
    <w:rsid w:val="00BE5B31"/>
    <w:rsid w:val="00BE5FB9"/>
    <w:rsid w:val="00BF127D"/>
    <w:rsid w:val="00BF262B"/>
    <w:rsid w:val="00BF3BB3"/>
    <w:rsid w:val="00BF50D6"/>
    <w:rsid w:val="00BF690E"/>
    <w:rsid w:val="00C02FB3"/>
    <w:rsid w:val="00C053D5"/>
    <w:rsid w:val="00C138EA"/>
    <w:rsid w:val="00C14828"/>
    <w:rsid w:val="00C16479"/>
    <w:rsid w:val="00C17BD7"/>
    <w:rsid w:val="00C20BBC"/>
    <w:rsid w:val="00C22199"/>
    <w:rsid w:val="00C22FED"/>
    <w:rsid w:val="00C33649"/>
    <w:rsid w:val="00C34219"/>
    <w:rsid w:val="00C34CD2"/>
    <w:rsid w:val="00C367B6"/>
    <w:rsid w:val="00C37003"/>
    <w:rsid w:val="00C40840"/>
    <w:rsid w:val="00C4111F"/>
    <w:rsid w:val="00C437B3"/>
    <w:rsid w:val="00C45032"/>
    <w:rsid w:val="00C4615D"/>
    <w:rsid w:val="00C46160"/>
    <w:rsid w:val="00C4709B"/>
    <w:rsid w:val="00C508FB"/>
    <w:rsid w:val="00C53D43"/>
    <w:rsid w:val="00C54125"/>
    <w:rsid w:val="00C559F5"/>
    <w:rsid w:val="00C60A9F"/>
    <w:rsid w:val="00C63294"/>
    <w:rsid w:val="00C6425B"/>
    <w:rsid w:val="00C77652"/>
    <w:rsid w:val="00C77DC6"/>
    <w:rsid w:val="00C801DA"/>
    <w:rsid w:val="00C809A5"/>
    <w:rsid w:val="00C80C73"/>
    <w:rsid w:val="00C8318A"/>
    <w:rsid w:val="00C8408D"/>
    <w:rsid w:val="00C926F0"/>
    <w:rsid w:val="00C927B6"/>
    <w:rsid w:val="00C92B42"/>
    <w:rsid w:val="00C93A17"/>
    <w:rsid w:val="00C95CF9"/>
    <w:rsid w:val="00C9656D"/>
    <w:rsid w:val="00C96DF2"/>
    <w:rsid w:val="00CA2A4F"/>
    <w:rsid w:val="00CA4AFC"/>
    <w:rsid w:val="00CB0477"/>
    <w:rsid w:val="00CB2595"/>
    <w:rsid w:val="00CB40BE"/>
    <w:rsid w:val="00CB4EEC"/>
    <w:rsid w:val="00CB6B0E"/>
    <w:rsid w:val="00CD3FAC"/>
    <w:rsid w:val="00CD54E2"/>
    <w:rsid w:val="00CD5F32"/>
    <w:rsid w:val="00CD6765"/>
    <w:rsid w:val="00CD6BBA"/>
    <w:rsid w:val="00CE1315"/>
    <w:rsid w:val="00CE204F"/>
    <w:rsid w:val="00CE2B38"/>
    <w:rsid w:val="00CE5992"/>
    <w:rsid w:val="00CF3AE8"/>
    <w:rsid w:val="00CF3CED"/>
    <w:rsid w:val="00CF3DF7"/>
    <w:rsid w:val="00CF7C87"/>
    <w:rsid w:val="00D021EA"/>
    <w:rsid w:val="00D02438"/>
    <w:rsid w:val="00D03C15"/>
    <w:rsid w:val="00D117CC"/>
    <w:rsid w:val="00D13C33"/>
    <w:rsid w:val="00D1444A"/>
    <w:rsid w:val="00D21AE3"/>
    <w:rsid w:val="00D21C2A"/>
    <w:rsid w:val="00D222EA"/>
    <w:rsid w:val="00D22ABB"/>
    <w:rsid w:val="00D23118"/>
    <w:rsid w:val="00D2319D"/>
    <w:rsid w:val="00D25A8F"/>
    <w:rsid w:val="00D25D55"/>
    <w:rsid w:val="00D31F8E"/>
    <w:rsid w:val="00D37440"/>
    <w:rsid w:val="00D37AE4"/>
    <w:rsid w:val="00D434F4"/>
    <w:rsid w:val="00D439D9"/>
    <w:rsid w:val="00D43B5F"/>
    <w:rsid w:val="00D54125"/>
    <w:rsid w:val="00D55BC7"/>
    <w:rsid w:val="00D611C9"/>
    <w:rsid w:val="00D640E7"/>
    <w:rsid w:val="00D70BF8"/>
    <w:rsid w:val="00D733EA"/>
    <w:rsid w:val="00D74FDB"/>
    <w:rsid w:val="00D806B0"/>
    <w:rsid w:val="00D80B6D"/>
    <w:rsid w:val="00D91A42"/>
    <w:rsid w:val="00D92B79"/>
    <w:rsid w:val="00D950A4"/>
    <w:rsid w:val="00D95313"/>
    <w:rsid w:val="00DA71D8"/>
    <w:rsid w:val="00DB3750"/>
    <w:rsid w:val="00DB3AB6"/>
    <w:rsid w:val="00DB54D9"/>
    <w:rsid w:val="00DB599C"/>
    <w:rsid w:val="00DC3904"/>
    <w:rsid w:val="00DC3B78"/>
    <w:rsid w:val="00DC5243"/>
    <w:rsid w:val="00DC5F5C"/>
    <w:rsid w:val="00DD05A2"/>
    <w:rsid w:val="00DD0A8D"/>
    <w:rsid w:val="00DD164C"/>
    <w:rsid w:val="00DD1D1F"/>
    <w:rsid w:val="00DD2C63"/>
    <w:rsid w:val="00DD5E5F"/>
    <w:rsid w:val="00DD6D72"/>
    <w:rsid w:val="00DE07C4"/>
    <w:rsid w:val="00DE0A44"/>
    <w:rsid w:val="00DE2C71"/>
    <w:rsid w:val="00DE74BA"/>
    <w:rsid w:val="00DF1C7B"/>
    <w:rsid w:val="00DF437F"/>
    <w:rsid w:val="00DF4C2F"/>
    <w:rsid w:val="00DF52A1"/>
    <w:rsid w:val="00E02B78"/>
    <w:rsid w:val="00E03EDD"/>
    <w:rsid w:val="00E06B95"/>
    <w:rsid w:val="00E0763E"/>
    <w:rsid w:val="00E123CB"/>
    <w:rsid w:val="00E14FA9"/>
    <w:rsid w:val="00E17845"/>
    <w:rsid w:val="00E17CD5"/>
    <w:rsid w:val="00E21E2E"/>
    <w:rsid w:val="00E23136"/>
    <w:rsid w:val="00E236D0"/>
    <w:rsid w:val="00E23F3B"/>
    <w:rsid w:val="00E25C42"/>
    <w:rsid w:val="00E27522"/>
    <w:rsid w:val="00E34483"/>
    <w:rsid w:val="00E365F8"/>
    <w:rsid w:val="00E415FD"/>
    <w:rsid w:val="00E45A10"/>
    <w:rsid w:val="00E52313"/>
    <w:rsid w:val="00E5278E"/>
    <w:rsid w:val="00E5305D"/>
    <w:rsid w:val="00E56EC1"/>
    <w:rsid w:val="00E57478"/>
    <w:rsid w:val="00E62939"/>
    <w:rsid w:val="00E63CD2"/>
    <w:rsid w:val="00E651ED"/>
    <w:rsid w:val="00E70FA8"/>
    <w:rsid w:val="00E7151E"/>
    <w:rsid w:val="00E81A91"/>
    <w:rsid w:val="00E82D9C"/>
    <w:rsid w:val="00E83850"/>
    <w:rsid w:val="00E922E0"/>
    <w:rsid w:val="00E93CE1"/>
    <w:rsid w:val="00E95812"/>
    <w:rsid w:val="00E95948"/>
    <w:rsid w:val="00EA06CB"/>
    <w:rsid w:val="00EA1633"/>
    <w:rsid w:val="00EA3227"/>
    <w:rsid w:val="00EA3B08"/>
    <w:rsid w:val="00EB3AD1"/>
    <w:rsid w:val="00EC0CAE"/>
    <w:rsid w:val="00EC29E3"/>
    <w:rsid w:val="00EC3B91"/>
    <w:rsid w:val="00EC5A38"/>
    <w:rsid w:val="00ED012D"/>
    <w:rsid w:val="00ED24F6"/>
    <w:rsid w:val="00ED4D6D"/>
    <w:rsid w:val="00ED5DD0"/>
    <w:rsid w:val="00EE26DB"/>
    <w:rsid w:val="00EE2DEF"/>
    <w:rsid w:val="00EE42D9"/>
    <w:rsid w:val="00EE51E6"/>
    <w:rsid w:val="00EE5624"/>
    <w:rsid w:val="00EE6172"/>
    <w:rsid w:val="00EE67B3"/>
    <w:rsid w:val="00EF151D"/>
    <w:rsid w:val="00EF1DBF"/>
    <w:rsid w:val="00EF2531"/>
    <w:rsid w:val="00EF2FF6"/>
    <w:rsid w:val="00EF31C6"/>
    <w:rsid w:val="00EF3F79"/>
    <w:rsid w:val="00EF6542"/>
    <w:rsid w:val="00F04E13"/>
    <w:rsid w:val="00F0796A"/>
    <w:rsid w:val="00F1154E"/>
    <w:rsid w:val="00F1547A"/>
    <w:rsid w:val="00F175B8"/>
    <w:rsid w:val="00F2024E"/>
    <w:rsid w:val="00F24419"/>
    <w:rsid w:val="00F258F4"/>
    <w:rsid w:val="00F26042"/>
    <w:rsid w:val="00F27DA7"/>
    <w:rsid w:val="00F33814"/>
    <w:rsid w:val="00F51B74"/>
    <w:rsid w:val="00F537F0"/>
    <w:rsid w:val="00F55EBC"/>
    <w:rsid w:val="00F60BA5"/>
    <w:rsid w:val="00F65E8C"/>
    <w:rsid w:val="00F72E9E"/>
    <w:rsid w:val="00F736A7"/>
    <w:rsid w:val="00F82C2B"/>
    <w:rsid w:val="00F84CD4"/>
    <w:rsid w:val="00F8762F"/>
    <w:rsid w:val="00F905FF"/>
    <w:rsid w:val="00F921F9"/>
    <w:rsid w:val="00F93048"/>
    <w:rsid w:val="00F94911"/>
    <w:rsid w:val="00FA13B1"/>
    <w:rsid w:val="00FA584E"/>
    <w:rsid w:val="00FA796A"/>
    <w:rsid w:val="00FA79F7"/>
    <w:rsid w:val="00FB014F"/>
    <w:rsid w:val="00FB4E5D"/>
    <w:rsid w:val="00FC513A"/>
    <w:rsid w:val="00FD0BC7"/>
    <w:rsid w:val="00FE115F"/>
    <w:rsid w:val="00FE2CC4"/>
    <w:rsid w:val="00FE3352"/>
    <w:rsid w:val="00FE3F74"/>
    <w:rsid w:val="00FE4A2D"/>
    <w:rsid w:val="00FE7FAD"/>
    <w:rsid w:val="00FF1473"/>
    <w:rsid w:val="00FF1AB5"/>
    <w:rsid w:val="00FF246B"/>
    <w:rsid w:val="00FF37D5"/>
    <w:rsid w:val="00FF41C9"/>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1" w:qFormat="1"/>
    <w:lsdException w:name="heading 1" w:semiHidden="0" w:uiPriority="0" w:qFormat="1"/>
    <w:lsdException w:name="heading 2" w:semiHidden="0" w:uiPriority="0" w:qFormat="1"/>
    <w:lsdException w:name="heading 3" w:semiHidden="0" w:qFormat="1"/>
    <w:lsdException w:name="heading 4" w:semiHidden="0" w:uiPriority="0" w:qFormat="1"/>
    <w:lsdException w:name="heading 5" w:semiHidden="0" w:uiPriority="0"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iPriority="0" w:unhideWhenUsed="1"/>
    <w:lsdException w:name="caption" w:uiPriority="35" w:qFormat="1"/>
    <w:lsdException w:name="table of figures" w:unhideWhenUsed="1"/>
    <w:lsdException w:name="page number" w:uiPriority="0"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qFormat/>
    <w:rsid w:val="00D23118"/>
    <w:rPr>
      <w:sz w:val="24"/>
      <w:szCs w:val="24"/>
      <w:lang w:val="en-AU" w:eastAsia="en-AU"/>
    </w:rPr>
  </w:style>
  <w:style w:type="paragraph" w:styleId="Heading1">
    <w:name w:val="heading 1"/>
    <w:next w:val="Text"/>
    <w:link w:val="Heading1Char"/>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qFormat/>
    <w:rsid w:val="00197D2E"/>
    <w:pPr>
      <w:keepNext/>
      <w:spacing w:before="360"/>
      <w:ind w:right="-369"/>
      <w:outlineLvl w:val="1"/>
    </w:pPr>
    <w:rPr>
      <w:rFonts w:ascii="Tahoma" w:hAnsi="Tahoma" w:cs="Tahoma"/>
      <w:sz w:val="28"/>
      <w:lang w:val="en-AU"/>
    </w:rPr>
  </w:style>
  <w:style w:type="paragraph" w:styleId="Heading3">
    <w:name w:val="heading 3"/>
    <w:next w:val="Text"/>
    <w:link w:val="Heading3Char"/>
    <w:uiPriority w:val="99"/>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015F17"/>
    <w:pPr>
      <w:spacing w:before="240"/>
      <w:outlineLvl w:val="3"/>
    </w:pPr>
    <w:rPr>
      <w:rFonts w:ascii="Tahoma" w:hAnsi="Tahoma"/>
      <w:i/>
      <w:sz w:val="22"/>
      <w:lang w:val="en-AU"/>
    </w:rPr>
  </w:style>
  <w:style w:type="paragraph" w:styleId="Heading5">
    <w:name w:val="heading 5"/>
    <w:basedOn w:val="Normal"/>
    <w:next w:val="Normal"/>
    <w:qFormat/>
    <w:rsid w:val="007037A4"/>
    <w:pPr>
      <w:keepNext/>
      <w:spacing w:before="160" w:line="260" w:lineRule="exact"/>
      <w:outlineLvl w:val="4"/>
    </w:pPr>
    <w:rPr>
      <w:rFonts w:ascii="Tahoma" w:hAnsi="Tahoma"/>
      <w:b/>
      <w:sz w:val="19"/>
      <w:szCs w:val="20"/>
      <w:lang w:eastAsia="en-US"/>
    </w:rPr>
  </w:style>
  <w:style w:type="paragraph" w:styleId="Heading6">
    <w:name w:val="heading 6"/>
    <w:basedOn w:val="Normal"/>
    <w:next w:val="Normal"/>
    <w:qFormat/>
    <w:rsid w:val="007037A4"/>
    <w:pPr>
      <w:keepNext/>
      <w:spacing w:before="160" w:line="260" w:lineRule="exact"/>
      <w:ind w:left="2977"/>
      <w:outlineLvl w:val="5"/>
    </w:pPr>
    <w:rPr>
      <w:rFonts w:ascii="Tahoma" w:hAnsi="Tahoma"/>
      <w:sz w:val="20"/>
      <w:szCs w:val="20"/>
      <w:lang w:eastAsia="en-US"/>
    </w:rPr>
  </w:style>
  <w:style w:type="paragraph" w:styleId="Heading7">
    <w:name w:val="heading 7"/>
    <w:basedOn w:val="Normal"/>
    <w:next w:val="Normal"/>
    <w:qFormat/>
    <w:rsid w:val="007037A4"/>
    <w:pPr>
      <w:keepNext/>
      <w:spacing w:before="160" w:line="260" w:lineRule="exact"/>
      <w:jc w:val="center"/>
      <w:outlineLvl w:val="6"/>
    </w:pPr>
    <w:rPr>
      <w:rFonts w:ascii="Tahoma" w:hAnsi="Tahoma"/>
      <w:spacing w:val="20"/>
      <w:sz w:val="20"/>
      <w:szCs w:val="20"/>
      <w:lang w:eastAsia="en-US"/>
    </w:rPr>
  </w:style>
  <w:style w:type="paragraph" w:styleId="Heading8">
    <w:name w:val="heading 8"/>
    <w:basedOn w:val="Normal"/>
    <w:next w:val="Normal"/>
    <w:qFormat/>
    <w:rsid w:val="007037A4"/>
    <w:pPr>
      <w:keepNext/>
      <w:spacing w:before="160" w:line="260" w:lineRule="exact"/>
      <w:jc w:val="center"/>
      <w:outlineLvl w:val="7"/>
    </w:pPr>
    <w:rPr>
      <w:rFonts w:ascii="Tahoma" w:hAnsi="Tahoma"/>
      <w:color w:val="C0C0C0"/>
      <w:spacing w:val="6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qFormat/>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link w:val="FooterChar"/>
    <w:rsid w:val="00AA44D4"/>
    <w:pPr>
      <w:tabs>
        <w:tab w:val="right" w:pos="8505"/>
      </w:tabs>
      <w:spacing w:line="260" w:lineRule="exact"/>
    </w:pPr>
    <w:rPr>
      <w:rFonts w:ascii="Tahoma" w:hAnsi="Tahoma"/>
      <w:sz w:val="17"/>
      <w:szCs w:val="17"/>
      <w:lang w:eastAsia="en-US"/>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rFonts w:ascii="Trebuchet MS" w:hAnsi="Trebuchet MS"/>
      <w:noProof/>
      <w:color w:val="000000"/>
      <w:sz w:val="18"/>
      <w:szCs w:val="18"/>
      <w:lang w:eastAsia="en-US"/>
    </w:rPr>
  </w:style>
  <w:style w:type="paragraph" w:customStyle="1" w:styleId="tabletitle">
    <w:name w:val="tabletitle"/>
    <w:next w:val="Text"/>
    <w:rsid w:val="00226436"/>
    <w:pPr>
      <w:spacing w:before="360" w:after="80"/>
      <w:ind w:left="851" w:hanging="851"/>
    </w:pPr>
    <w:rPr>
      <w:rFonts w:ascii="Tahoma" w:hAnsi="Tahoma"/>
      <w:b/>
      <w:sz w:val="17"/>
      <w:lang w:val="en-AU"/>
    </w:rPr>
  </w:style>
  <w:style w:type="paragraph" w:customStyle="1" w:styleId="Tabletext">
    <w:name w:val="Table text"/>
    <w:next w:val="Text"/>
    <w:rsid w:val="00226436"/>
    <w:pPr>
      <w:spacing w:before="40" w:after="40"/>
    </w:pPr>
    <w:rPr>
      <w:rFonts w:ascii="Arial" w:hAnsi="Arial"/>
      <w:sz w:val="16"/>
      <w:lang w:val="en-AU"/>
    </w:rPr>
  </w:style>
  <w:style w:type="paragraph" w:customStyle="1" w:styleId="Tablehead1">
    <w:name w:val="Tablehead1"/>
    <w:rsid w:val="00226436"/>
    <w:pPr>
      <w:spacing w:before="80" w:after="80"/>
    </w:pPr>
    <w:rPr>
      <w:rFonts w:ascii="Arial" w:hAnsi="Arial"/>
      <w:b/>
      <w:sz w:val="17"/>
      <w:lang w:val="en-AU"/>
    </w:rPr>
  </w:style>
  <w:style w:type="paragraph" w:styleId="Quote">
    <w:name w:val="Quote"/>
    <w:basedOn w:val="Text"/>
    <w:link w:val="QuoteChar"/>
    <w:uiPriority w:val="29"/>
    <w:qFormat/>
    <w:rsid w:val="00252905"/>
    <w:pPr>
      <w:tabs>
        <w:tab w:val="right" w:pos="8136"/>
      </w:tabs>
      <w:spacing w:before="80"/>
      <w:ind w:left="567" w:right="652"/>
    </w:pPr>
    <w:rPr>
      <w:sz w:val="17"/>
    </w:rPr>
  </w:style>
  <w:style w:type="paragraph" w:customStyle="1" w:styleId="References">
    <w:name w:val="References"/>
    <w:rsid w:val="009D4F55"/>
    <w:pPr>
      <w:spacing w:before="80"/>
      <w:ind w:left="284" w:hanging="284"/>
    </w:pPr>
    <w:rPr>
      <w:rFonts w:ascii="Trebuchet MS" w:hAnsi="Trebuchet MS"/>
      <w:sz w:val="18"/>
      <w:lang w:val="en-AU"/>
    </w:rPr>
  </w:style>
  <w:style w:type="paragraph" w:customStyle="1" w:styleId="Tablehead2">
    <w:name w:val="Tablehead2"/>
    <w:basedOn w:val="Tablehead1"/>
    <w:rsid w:val="00226436"/>
    <w:pPr>
      <w:tabs>
        <w:tab w:val="left" w:pos="992"/>
      </w:tabs>
      <w:spacing w:before="20" w:after="20"/>
    </w:pPr>
    <w:rPr>
      <w:b w:val="0"/>
    </w:rPr>
  </w:style>
  <w:style w:type="paragraph" w:customStyle="1" w:styleId="Tablehead3">
    <w:name w:val="Tablehead3"/>
    <w:basedOn w:val="Tablehead2"/>
    <w:rsid w:val="00226436"/>
    <w:rPr>
      <w:i/>
    </w:rPr>
  </w:style>
  <w:style w:type="paragraph" w:styleId="TableofFigures">
    <w:name w:val="table of figures"/>
    <w:basedOn w:val="TOC1"/>
    <w:next w:val="Normal"/>
    <w:uiPriority w:val="99"/>
    <w:semiHidden/>
    <w:rsid w:val="00226436"/>
    <w:pPr>
      <w:tabs>
        <w:tab w:val="left" w:pos="284"/>
      </w:tabs>
      <w:spacing w:before="80"/>
      <w:ind w:left="425" w:right="1985" w:hanging="425"/>
    </w:pPr>
  </w:style>
  <w:style w:type="paragraph" w:customStyle="1" w:styleId="Imprint">
    <w:name w:val="Imprint"/>
    <w:basedOn w:val="Normal"/>
    <w:rsid w:val="009E231A"/>
    <w:pPr>
      <w:spacing w:before="160" w:line="260" w:lineRule="atLeast"/>
    </w:pPr>
    <w:rPr>
      <w:rFonts w:ascii="Trebuchet MS" w:hAnsi="Trebuchet MS"/>
      <w:sz w:val="16"/>
      <w:szCs w:val="20"/>
      <w:lang w:eastAsia="en-US"/>
    </w:rPr>
  </w:style>
  <w:style w:type="paragraph" w:customStyle="1" w:styleId="Figuretitle">
    <w:name w:val="Figuretitle"/>
    <w:basedOn w:val="tabletitle"/>
    <w:rsid w:val="005C2FCF"/>
  </w:style>
  <w:style w:type="paragraph" w:customStyle="1" w:styleId="Dotpoint1">
    <w:name w:val="Dotpoint1"/>
    <w:rsid w:val="009D1087"/>
    <w:pPr>
      <w:numPr>
        <w:numId w:val="1"/>
      </w:numPr>
      <w:tabs>
        <w:tab w:val="left" w:pos="284"/>
      </w:tabs>
      <w:spacing w:before="80" w:line="28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
      </w:numPr>
      <w:tabs>
        <w:tab w:val="clear" w:pos="284"/>
        <w:tab w:val="left" w:pos="567"/>
      </w:tabs>
      <w:ind w:left="568" w:hanging="284"/>
    </w:pPr>
  </w:style>
  <w:style w:type="paragraph" w:customStyle="1" w:styleId="NumberedListContinuing">
    <w:name w:val="NumberedListContinuing"/>
    <w:rsid w:val="00015F17"/>
    <w:pPr>
      <w:numPr>
        <w:numId w:val="3"/>
      </w:numPr>
      <w:spacing w:before="80" w:line="300" w:lineRule="exact"/>
      <w:ind w:left="284" w:hanging="284"/>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link w:val="FootnoteTextChar"/>
    <w:uiPriority w:val="99"/>
    <w:rsid w:val="00A5768C"/>
    <w:pPr>
      <w:tabs>
        <w:tab w:val="left" w:pos="170"/>
      </w:tabs>
      <w:spacing w:before="0" w:line="220" w:lineRule="exact"/>
      <w:ind w:left="170" w:right="0" w:hanging="170"/>
    </w:pPr>
    <w:rPr>
      <w:sz w:val="16"/>
    </w:rPr>
  </w:style>
  <w:style w:type="paragraph" w:styleId="NormalWeb">
    <w:name w:val="Normal (Web)"/>
    <w:basedOn w:val="Normal"/>
    <w:uiPriority w:val="99"/>
    <w:rsid w:val="009058B5"/>
    <w:pPr>
      <w:spacing w:before="100" w:beforeAutospacing="1" w:after="240" w:line="260" w:lineRule="exact"/>
    </w:pPr>
    <w:rPr>
      <w:rFonts w:ascii="Trebuchet MS" w:hAnsi="Trebuchet MS"/>
      <w:sz w:val="18"/>
      <w:szCs w:val="18"/>
      <w:lang w:eastAsia="en-US"/>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uiPriority w:val="99"/>
    <w:rsid w:val="00800A2B"/>
    <w:rPr>
      <w:rFonts w:ascii="Tahoma" w:hAnsi="Tahoma"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spacing w:before="160" w:line="260" w:lineRule="exact"/>
      <w:ind w:left="720"/>
      <w:contextualSpacing/>
    </w:pPr>
    <w:rPr>
      <w:rFonts w:ascii="Trebuchet MS" w:hAnsi="Trebuchet MS"/>
      <w:sz w:val="19"/>
      <w:szCs w:val="20"/>
      <w:lang w:eastAsia="en-US"/>
    </w:rPr>
  </w:style>
  <w:style w:type="paragraph" w:styleId="BodyText">
    <w:name w:val="Body Text"/>
    <w:basedOn w:val="Normal"/>
    <w:link w:val="BodyTextChar"/>
    <w:rsid w:val="00FE3F74"/>
    <w:rPr>
      <w:b/>
      <w:sz w:val="20"/>
      <w:szCs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rPr>
      <w:sz w:val="22"/>
      <w:szCs w:val="20"/>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after="120"/>
      <w:ind w:left="283"/>
    </w:pPr>
    <w:rPr>
      <w:sz w:val="22"/>
      <w:szCs w:val="20"/>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customStyle="1" w:styleId="NumberedAlphaLevel2">
    <w:name w:val="NumberedAlphaLevel2"/>
    <w:basedOn w:val="NumberedListContinuing"/>
    <w:uiPriority w:val="1"/>
    <w:qFormat/>
    <w:rsid w:val="00ED24F6"/>
    <w:pPr>
      <w:numPr>
        <w:ilvl w:val="1"/>
      </w:numPr>
      <w:tabs>
        <w:tab w:val="clear" w:pos="1440"/>
        <w:tab w:val="num" w:pos="567"/>
      </w:tabs>
      <w:ind w:left="567" w:hanging="283"/>
    </w:pPr>
  </w:style>
  <w:style w:type="character" w:customStyle="1" w:styleId="Heading1Char">
    <w:name w:val="Heading 1 Char"/>
    <w:basedOn w:val="DefaultParagraphFont"/>
    <w:link w:val="Heading1"/>
    <w:rsid w:val="007E26BE"/>
    <w:rPr>
      <w:rFonts w:ascii="Tahoma" w:hAnsi="Tahoma" w:cs="Tahoma"/>
      <w:color w:val="000000"/>
      <w:kern w:val="28"/>
      <w:sz w:val="56"/>
      <w:szCs w:val="56"/>
      <w:lang w:val="en-AU"/>
    </w:rPr>
  </w:style>
  <w:style w:type="character" w:customStyle="1" w:styleId="FootnoteTextChar">
    <w:name w:val="Footnote Text Char"/>
    <w:basedOn w:val="DefaultParagraphFont"/>
    <w:link w:val="FootnoteText"/>
    <w:uiPriority w:val="99"/>
    <w:rsid w:val="007E26BE"/>
    <w:rPr>
      <w:rFonts w:ascii="Trebuchet MS" w:hAnsi="Trebuchet MS"/>
      <w:sz w:val="16"/>
      <w:lang w:val="en-AU"/>
    </w:rPr>
  </w:style>
  <w:style w:type="character" w:styleId="FootnoteReference">
    <w:name w:val="footnote reference"/>
    <w:basedOn w:val="DefaultParagraphFont"/>
    <w:uiPriority w:val="99"/>
    <w:semiHidden/>
    <w:unhideWhenUsed/>
    <w:rsid w:val="007E26BE"/>
    <w:rPr>
      <w:vertAlign w:val="superscript"/>
    </w:rPr>
  </w:style>
  <w:style w:type="paragraph" w:customStyle="1" w:styleId="Default">
    <w:name w:val="Default"/>
    <w:rsid w:val="00424A62"/>
    <w:pPr>
      <w:autoSpaceDE w:val="0"/>
      <w:autoSpaceDN w:val="0"/>
      <w:adjustRightInd w:val="0"/>
    </w:pPr>
    <w:rPr>
      <w:rFonts w:ascii="Trebuchet MS" w:hAnsi="Trebuchet MS" w:cs="Trebuchet MS"/>
      <w:color w:val="000000"/>
      <w:sz w:val="24"/>
      <w:szCs w:val="24"/>
      <w:lang w:val="en-GB"/>
    </w:rPr>
  </w:style>
  <w:style w:type="character" w:styleId="CommentReference">
    <w:name w:val="annotation reference"/>
    <w:basedOn w:val="DefaultParagraphFont"/>
    <w:uiPriority w:val="99"/>
    <w:semiHidden/>
    <w:rsid w:val="00F24419"/>
    <w:rPr>
      <w:sz w:val="16"/>
      <w:szCs w:val="16"/>
    </w:rPr>
  </w:style>
  <w:style w:type="paragraph" w:styleId="CommentText">
    <w:name w:val="annotation text"/>
    <w:basedOn w:val="Normal"/>
    <w:link w:val="CommentTextChar"/>
    <w:uiPriority w:val="99"/>
    <w:semiHidden/>
    <w:rsid w:val="00F24419"/>
    <w:rPr>
      <w:sz w:val="20"/>
    </w:rPr>
  </w:style>
  <w:style w:type="character" w:customStyle="1" w:styleId="CommentTextChar">
    <w:name w:val="Comment Text Char"/>
    <w:basedOn w:val="DefaultParagraphFont"/>
    <w:link w:val="CommentText"/>
    <w:uiPriority w:val="99"/>
    <w:semiHidden/>
    <w:rsid w:val="00F24419"/>
    <w:rPr>
      <w:rFonts w:ascii="Trebuchet MS" w:hAnsi="Trebuchet MS"/>
      <w:lang w:val="en-AU"/>
    </w:rPr>
  </w:style>
  <w:style w:type="paragraph" w:styleId="CommentSubject">
    <w:name w:val="annotation subject"/>
    <w:basedOn w:val="CommentText"/>
    <w:next w:val="CommentText"/>
    <w:link w:val="CommentSubjectChar"/>
    <w:uiPriority w:val="99"/>
    <w:semiHidden/>
    <w:rsid w:val="00F24419"/>
    <w:rPr>
      <w:b/>
      <w:bCs/>
    </w:rPr>
  </w:style>
  <w:style w:type="character" w:customStyle="1" w:styleId="CommentSubjectChar">
    <w:name w:val="Comment Subject Char"/>
    <w:basedOn w:val="CommentTextChar"/>
    <w:link w:val="CommentSubject"/>
    <w:uiPriority w:val="99"/>
    <w:semiHidden/>
    <w:rsid w:val="00F24419"/>
    <w:rPr>
      <w:rFonts w:ascii="Trebuchet MS" w:hAnsi="Trebuchet MS"/>
      <w:b/>
      <w:bCs/>
      <w:lang w:val="en-AU"/>
    </w:rPr>
  </w:style>
  <w:style w:type="character" w:customStyle="1" w:styleId="QuoteChar">
    <w:name w:val="Quote Char"/>
    <w:basedOn w:val="DefaultParagraphFont"/>
    <w:link w:val="Quote"/>
    <w:uiPriority w:val="29"/>
    <w:rsid w:val="00252905"/>
    <w:rPr>
      <w:rFonts w:ascii="Trebuchet MS" w:hAnsi="Trebuchet MS"/>
      <w:sz w:val="17"/>
      <w:lang w:val="en-AU"/>
    </w:rPr>
  </w:style>
  <w:style w:type="paragraph" w:customStyle="1" w:styleId="Pa0">
    <w:name w:val="Pa0"/>
    <w:basedOn w:val="Default"/>
    <w:next w:val="Default"/>
    <w:uiPriority w:val="99"/>
    <w:rsid w:val="009A5590"/>
    <w:pPr>
      <w:spacing w:line="201" w:lineRule="atLeast"/>
    </w:pPr>
    <w:rPr>
      <w:rFonts w:ascii="Univers 45 Light" w:eastAsiaTheme="minorHAnsi" w:hAnsi="Univers 45 Light" w:cstheme="minorBidi"/>
      <w:color w:val="auto"/>
    </w:rPr>
  </w:style>
  <w:style w:type="character" w:customStyle="1" w:styleId="A3">
    <w:name w:val="A3"/>
    <w:uiPriority w:val="99"/>
    <w:rsid w:val="009A5590"/>
    <w:rPr>
      <w:rFonts w:cs="Univers 45 Light"/>
      <w:color w:val="000000"/>
      <w:sz w:val="11"/>
      <w:szCs w:val="11"/>
    </w:rPr>
  </w:style>
  <w:style w:type="character" w:customStyle="1" w:styleId="apple-converted-space">
    <w:name w:val="apple-converted-space"/>
    <w:basedOn w:val="DefaultParagraphFont"/>
    <w:rsid w:val="00E82D9C"/>
  </w:style>
  <w:style w:type="character" w:styleId="Emphasis">
    <w:name w:val="Emphasis"/>
    <w:basedOn w:val="DefaultParagraphFont"/>
    <w:uiPriority w:val="20"/>
    <w:qFormat/>
    <w:rsid w:val="00E82D9C"/>
    <w:rPr>
      <w:i/>
      <w:iCs/>
    </w:rPr>
  </w:style>
  <w:style w:type="character" w:customStyle="1" w:styleId="ITALICS">
    <w:name w:val="ITALICS"/>
    <w:uiPriority w:val="99"/>
    <w:rsid w:val="00863350"/>
    <w:rPr>
      <w:i/>
      <w:iCs/>
    </w:rPr>
  </w:style>
  <w:style w:type="paragraph" w:customStyle="1" w:styleId="10bFOOTNOTESover100">
    <w:name w:val="10b. FOOTNOTES over 100"/>
    <w:basedOn w:val="Normal"/>
    <w:uiPriority w:val="99"/>
    <w:rsid w:val="00863350"/>
    <w:pPr>
      <w:widowControl w:val="0"/>
      <w:suppressAutoHyphens/>
      <w:autoSpaceDE w:val="0"/>
      <w:autoSpaceDN w:val="0"/>
      <w:adjustRightInd w:val="0"/>
      <w:spacing w:after="142" w:line="276" w:lineRule="auto"/>
      <w:ind w:left="340" w:hanging="340"/>
      <w:textAlignment w:val="center"/>
    </w:pPr>
    <w:rPr>
      <w:rFonts w:ascii="ArialMT" w:eastAsiaTheme="minorEastAsia" w:hAnsi="ArialMT" w:cs="ArialMT"/>
      <w:color w:val="000000"/>
      <w:sz w:val="16"/>
      <w:szCs w:val="16"/>
      <w:lang w:val="en-US" w:eastAsia="ja-JP"/>
    </w:rPr>
  </w:style>
  <w:style w:type="paragraph" w:customStyle="1" w:styleId="04Bodytext">
    <w:name w:val="04. Body text"/>
    <w:basedOn w:val="Normal"/>
    <w:uiPriority w:val="99"/>
    <w:rsid w:val="002A67B5"/>
    <w:pPr>
      <w:widowControl w:val="0"/>
      <w:suppressAutoHyphens/>
      <w:autoSpaceDE w:val="0"/>
      <w:autoSpaceDN w:val="0"/>
      <w:adjustRightInd w:val="0"/>
      <w:spacing w:after="142" w:line="260" w:lineRule="atLeast"/>
      <w:textAlignment w:val="center"/>
    </w:pPr>
    <w:rPr>
      <w:rFonts w:ascii="Calibri" w:hAnsi="Calibri" w:cs="Calibri"/>
      <w:color w:val="000000"/>
      <w:sz w:val="20"/>
      <w:szCs w:val="20"/>
      <w:lang w:val="en-US"/>
    </w:rPr>
  </w:style>
  <w:style w:type="character" w:customStyle="1" w:styleId="FooterChar">
    <w:name w:val="Footer Char"/>
    <w:basedOn w:val="DefaultParagraphFont"/>
    <w:link w:val="Footer"/>
    <w:rsid w:val="002A67B5"/>
    <w:rPr>
      <w:rFonts w:ascii="Tahoma" w:hAnsi="Tahoma"/>
      <w:sz w:val="17"/>
      <w:szCs w:val="17"/>
      <w:lang w:val="en-AU"/>
    </w:rPr>
  </w:style>
  <w:style w:type="paragraph" w:customStyle="1" w:styleId="Dotpoint">
    <w:name w:val="Dotpoint"/>
    <w:basedOn w:val="04Bodytext"/>
    <w:qFormat/>
    <w:rsid w:val="002A67B5"/>
    <w:pPr>
      <w:numPr>
        <w:numId w:val="10"/>
      </w:numPr>
      <w:spacing w:after="0" w:line="240" w:lineRule="auto"/>
    </w:pPr>
  </w:style>
  <w:style w:type="paragraph" w:customStyle="1" w:styleId="Pa17">
    <w:name w:val="Pa17"/>
    <w:basedOn w:val="Default"/>
    <w:next w:val="Default"/>
    <w:uiPriority w:val="99"/>
    <w:rsid w:val="000E15C8"/>
    <w:pPr>
      <w:spacing w:line="171" w:lineRule="atLeast"/>
    </w:pPr>
    <w:rPr>
      <w:rFonts w:ascii="Helvetica 55 Roman" w:hAnsi="Helvetica 55 Roman" w:cs="Times New Roman"/>
      <w:color w:val="auto"/>
      <w:lang w:val="en-AU"/>
    </w:rPr>
  </w:style>
  <w:style w:type="paragraph" w:customStyle="1" w:styleId="Pa3">
    <w:name w:val="Pa3"/>
    <w:basedOn w:val="Default"/>
    <w:next w:val="Default"/>
    <w:uiPriority w:val="99"/>
    <w:rsid w:val="000E15C8"/>
    <w:pPr>
      <w:spacing w:line="171" w:lineRule="atLeast"/>
    </w:pPr>
    <w:rPr>
      <w:rFonts w:ascii="Helvetica 55 Roman" w:hAnsi="Helvetica 55 Roman" w:cs="Times New Roman"/>
      <w:color w:val="auto"/>
      <w:lang w:val="en-AU"/>
    </w:rPr>
  </w:style>
  <w:style w:type="character" w:customStyle="1" w:styleId="A4">
    <w:name w:val="A4"/>
    <w:uiPriority w:val="99"/>
    <w:rsid w:val="000E15C8"/>
    <w:rPr>
      <w:rFonts w:ascii="Helvetica 45 Light" w:hAnsi="Helvetica 45 Light" w:cs="Helvetica 45 Light"/>
      <w:color w:val="000000"/>
      <w:sz w:val="10"/>
      <w:szCs w:val="10"/>
    </w:rPr>
  </w:style>
  <w:style w:type="paragraph" w:customStyle="1" w:styleId="Pa11">
    <w:name w:val="Pa11"/>
    <w:basedOn w:val="Default"/>
    <w:next w:val="Default"/>
    <w:uiPriority w:val="99"/>
    <w:rsid w:val="000E15C8"/>
    <w:pPr>
      <w:spacing w:line="181" w:lineRule="atLeast"/>
    </w:pPr>
    <w:rPr>
      <w:rFonts w:ascii="Helvetica 55 Roman" w:hAnsi="Helvetica 55 Roman" w:cs="Times New Roman"/>
      <w:color w:val="auto"/>
      <w:lang w:val="en-AU"/>
    </w:rPr>
  </w:style>
  <w:style w:type="character" w:customStyle="1" w:styleId="Heading2Char">
    <w:name w:val="Heading 2 Char"/>
    <w:basedOn w:val="DefaultParagraphFont"/>
    <w:link w:val="Heading2"/>
    <w:rsid w:val="00197D2E"/>
    <w:rPr>
      <w:rFonts w:ascii="Tahoma" w:hAnsi="Tahoma" w:cs="Tahoma"/>
      <w:sz w:val="28"/>
      <w:lang w:val="en-AU"/>
    </w:rPr>
  </w:style>
  <w:style w:type="paragraph" w:customStyle="1" w:styleId="Tableheadingnew">
    <w:name w:val="Table heading new"/>
    <w:basedOn w:val="Normal"/>
    <w:uiPriority w:val="1"/>
    <w:qFormat/>
    <w:rsid w:val="009D1087"/>
    <w:pPr>
      <w:spacing w:before="120" w:after="80"/>
    </w:pPr>
    <w:rPr>
      <w:rFonts w:ascii="Tahoma" w:hAnsi="Tahoma" w:cs="Tahoma"/>
      <w:sz w:val="20"/>
      <w:szCs w:val="20"/>
    </w:rPr>
  </w:style>
  <w:style w:type="paragraph" w:styleId="Revision">
    <w:name w:val="Revision"/>
    <w:hidden/>
    <w:uiPriority w:val="99"/>
    <w:semiHidden/>
    <w:rsid w:val="00AA0D6F"/>
    <w:rPr>
      <w:sz w:val="24"/>
      <w:szCs w:val="24"/>
      <w:lang w:val="en-AU" w:eastAsia="en-AU"/>
    </w:rPr>
  </w:style>
  <w:style w:type="paragraph" w:customStyle="1" w:styleId="Textmorebefore">
    <w:name w:val="Text more # before"/>
    <w:basedOn w:val="Text"/>
    <w:uiPriority w:val="1"/>
    <w:qFormat/>
    <w:rsid w:val="00F33814"/>
    <w:pPr>
      <w:spacing w:before="360"/>
      <w:ind w:right="0"/>
    </w:pPr>
  </w:style>
  <w:style w:type="paragraph" w:styleId="EndnoteText">
    <w:name w:val="endnote text"/>
    <w:basedOn w:val="Normal"/>
    <w:link w:val="EndnoteTextChar"/>
    <w:uiPriority w:val="99"/>
    <w:semiHidden/>
    <w:rsid w:val="00095DD1"/>
    <w:rPr>
      <w:sz w:val="20"/>
      <w:szCs w:val="20"/>
    </w:rPr>
  </w:style>
  <w:style w:type="character" w:customStyle="1" w:styleId="EndnoteTextChar">
    <w:name w:val="Endnote Text Char"/>
    <w:basedOn w:val="DefaultParagraphFont"/>
    <w:link w:val="EndnoteText"/>
    <w:uiPriority w:val="99"/>
    <w:semiHidden/>
    <w:rsid w:val="00095DD1"/>
    <w:rPr>
      <w:lang w:val="en-AU" w:eastAsia="en-AU"/>
    </w:rPr>
  </w:style>
  <w:style w:type="character" w:styleId="EndnoteReference">
    <w:name w:val="endnote reference"/>
    <w:basedOn w:val="DefaultParagraphFont"/>
    <w:uiPriority w:val="99"/>
    <w:semiHidden/>
    <w:rsid w:val="00095DD1"/>
    <w:rPr>
      <w:vertAlign w:val="superscript"/>
    </w:rPr>
  </w:style>
  <w:style w:type="paragraph" w:customStyle="1" w:styleId="Textlessbefore">
    <w:name w:val="Text less # before"/>
    <w:basedOn w:val="Text"/>
    <w:uiPriority w:val="1"/>
    <w:qFormat/>
    <w:rsid w:val="009A6317"/>
    <w:pPr>
      <w:spacing w:before="80"/>
      <w:ind w:right="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1" w:qFormat="1"/>
    <w:lsdException w:name="heading 1" w:semiHidden="0" w:uiPriority="0" w:qFormat="1"/>
    <w:lsdException w:name="heading 2" w:semiHidden="0" w:uiPriority="0" w:qFormat="1"/>
    <w:lsdException w:name="heading 3" w:semiHidden="0" w:qFormat="1"/>
    <w:lsdException w:name="heading 4" w:semiHidden="0" w:uiPriority="0" w:qFormat="1"/>
    <w:lsdException w:name="heading 5" w:semiHidden="0" w:uiPriority="0"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iPriority="0" w:unhideWhenUsed="1"/>
    <w:lsdException w:name="caption" w:uiPriority="35" w:qFormat="1"/>
    <w:lsdException w:name="table of figures" w:unhideWhenUsed="1"/>
    <w:lsdException w:name="page number" w:uiPriority="0"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qFormat/>
    <w:rsid w:val="00D23118"/>
    <w:rPr>
      <w:sz w:val="24"/>
      <w:szCs w:val="24"/>
      <w:lang w:val="en-AU" w:eastAsia="en-AU"/>
    </w:rPr>
  </w:style>
  <w:style w:type="paragraph" w:styleId="Heading1">
    <w:name w:val="heading 1"/>
    <w:next w:val="Text"/>
    <w:link w:val="Heading1Char"/>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qFormat/>
    <w:rsid w:val="00197D2E"/>
    <w:pPr>
      <w:keepNext/>
      <w:spacing w:before="360"/>
      <w:ind w:right="-369"/>
      <w:outlineLvl w:val="1"/>
    </w:pPr>
    <w:rPr>
      <w:rFonts w:ascii="Tahoma" w:hAnsi="Tahoma" w:cs="Tahoma"/>
      <w:sz w:val="28"/>
      <w:lang w:val="en-AU"/>
    </w:rPr>
  </w:style>
  <w:style w:type="paragraph" w:styleId="Heading3">
    <w:name w:val="heading 3"/>
    <w:next w:val="Text"/>
    <w:link w:val="Heading3Char"/>
    <w:uiPriority w:val="99"/>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015F17"/>
    <w:pPr>
      <w:spacing w:before="240"/>
      <w:outlineLvl w:val="3"/>
    </w:pPr>
    <w:rPr>
      <w:rFonts w:ascii="Tahoma" w:hAnsi="Tahoma"/>
      <w:i/>
      <w:sz w:val="22"/>
      <w:lang w:val="en-AU"/>
    </w:rPr>
  </w:style>
  <w:style w:type="paragraph" w:styleId="Heading5">
    <w:name w:val="heading 5"/>
    <w:basedOn w:val="Normal"/>
    <w:next w:val="Normal"/>
    <w:qFormat/>
    <w:rsid w:val="007037A4"/>
    <w:pPr>
      <w:keepNext/>
      <w:spacing w:before="160" w:line="260" w:lineRule="exact"/>
      <w:outlineLvl w:val="4"/>
    </w:pPr>
    <w:rPr>
      <w:rFonts w:ascii="Tahoma" w:hAnsi="Tahoma"/>
      <w:b/>
      <w:sz w:val="19"/>
      <w:szCs w:val="20"/>
      <w:lang w:eastAsia="en-US"/>
    </w:rPr>
  </w:style>
  <w:style w:type="paragraph" w:styleId="Heading6">
    <w:name w:val="heading 6"/>
    <w:basedOn w:val="Normal"/>
    <w:next w:val="Normal"/>
    <w:qFormat/>
    <w:rsid w:val="007037A4"/>
    <w:pPr>
      <w:keepNext/>
      <w:spacing w:before="160" w:line="260" w:lineRule="exact"/>
      <w:ind w:left="2977"/>
      <w:outlineLvl w:val="5"/>
    </w:pPr>
    <w:rPr>
      <w:rFonts w:ascii="Tahoma" w:hAnsi="Tahoma"/>
      <w:sz w:val="20"/>
      <w:szCs w:val="20"/>
      <w:lang w:eastAsia="en-US"/>
    </w:rPr>
  </w:style>
  <w:style w:type="paragraph" w:styleId="Heading7">
    <w:name w:val="heading 7"/>
    <w:basedOn w:val="Normal"/>
    <w:next w:val="Normal"/>
    <w:qFormat/>
    <w:rsid w:val="007037A4"/>
    <w:pPr>
      <w:keepNext/>
      <w:spacing w:before="160" w:line="260" w:lineRule="exact"/>
      <w:jc w:val="center"/>
      <w:outlineLvl w:val="6"/>
    </w:pPr>
    <w:rPr>
      <w:rFonts w:ascii="Tahoma" w:hAnsi="Tahoma"/>
      <w:spacing w:val="20"/>
      <w:sz w:val="20"/>
      <w:szCs w:val="20"/>
      <w:lang w:eastAsia="en-US"/>
    </w:rPr>
  </w:style>
  <w:style w:type="paragraph" w:styleId="Heading8">
    <w:name w:val="heading 8"/>
    <w:basedOn w:val="Normal"/>
    <w:next w:val="Normal"/>
    <w:qFormat/>
    <w:rsid w:val="007037A4"/>
    <w:pPr>
      <w:keepNext/>
      <w:spacing w:before="160" w:line="260" w:lineRule="exact"/>
      <w:jc w:val="center"/>
      <w:outlineLvl w:val="7"/>
    </w:pPr>
    <w:rPr>
      <w:rFonts w:ascii="Tahoma" w:hAnsi="Tahoma"/>
      <w:color w:val="C0C0C0"/>
      <w:spacing w:val="6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qFormat/>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link w:val="FooterChar"/>
    <w:rsid w:val="00AA44D4"/>
    <w:pPr>
      <w:tabs>
        <w:tab w:val="right" w:pos="8505"/>
      </w:tabs>
      <w:spacing w:line="260" w:lineRule="exact"/>
    </w:pPr>
    <w:rPr>
      <w:rFonts w:ascii="Tahoma" w:hAnsi="Tahoma"/>
      <w:sz w:val="17"/>
      <w:szCs w:val="17"/>
      <w:lang w:eastAsia="en-US"/>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rFonts w:ascii="Trebuchet MS" w:hAnsi="Trebuchet MS"/>
      <w:noProof/>
      <w:color w:val="000000"/>
      <w:sz w:val="18"/>
      <w:szCs w:val="18"/>
      <w:lang w:eastAsia="en-US"/>
    </w:rPr>
  </w:style>
  <w:style w:type="paragraph" w:customStyle="1" w:styleId="tabletitle">
    <w:name w:val="tabletitle"/>
    <w:next w:val="Text"/>
    <w:rsid w:val="00226436"/>
    <w:pPr>
      <w:spacing w:before="360" w:after="80"/>
      <w:ind w:left="851" w:hanging="851"/>
    </w:pPr>
    <w:rPr>
      <w:rFonts w:ascii="Tahoma" w:hAnsi="Tahoma"/>
      <w:b/>
      <w:sz w:val="17"/>
      <w:lang w:val="en-AU"/>
    </w:rPr>
  </w:style>
  <w:style w:type="paragraph" w:customStyle="1" w:styleId="Tabletext">
    <w:name w:val="Table text"/>
    <w:next w:val="Text"/>
    <w:rsid w:val="00226436"/>
    <w:pPr>
      <w:spacing w:before="40" w:after="40"/>
    </w:pPr>
    <w:rPr>
      <w:rFonts w:ascii="Arial" w:hAnsi="Arial"/>
      <w:sz w:val="16"/>
      <w:lang w:val="en-AU"/>
    </w:rPr>
  </w:style>
  <w:style w:type="paragraph" w:customStyle="1" w:styleId="Tablehead1">
    <w:name w:val="Tablehead1"/>
    <w:rsid w:val="00226436"/>
    <w:pPr>
      <w:spacing w:before="80" w:after="80"/>
    </w:pPr>
    <w:rPr>
      <w:rFonts w:ascii="Arial" w:hAnsi="Arial"/>
      <w:b/>
      <w:sz w:val="17"/>
      <w:lang w:val="en-AU"/>
    </w:rPr>
  </w:style>
  <w:style w:type="paragraph" w:styleId="Quote">
    <w:name w:val="Quote"/>
    <w:basedOn w:val="Text"/>
    <w:link w:val="QuoteChar"/>
    <w:uiPriority w:val="29"/>
    <w:qFormat/>
    <w:rsid w:val="00252905"/>
    <w:pPr>
      <w:tabs>
        <w:tab w:val="right" w:pos="8136"/>
      </w:tabs>
      <w:spacing w:before="80"/>
      <w:ind w:left="567" w:right="652"/>
    </w:pPr>
    <w:rPr>
      <w:sz w:val="17"/>
    </w:rPr>
  </w:style>
  <w:style w:type="paragraph" w:customStyle="1" w:styleId="References">
    <w:name w:val="References"/>
    <w:rsid w:val="009D4F55"/>
    <w:pPr>
      <w:spacing w:before="80"/>
      <w:ind w:left="284" w:hanging="284"/>
    </w:pPr>
    <w:rPr>
      <w:rFonts w:ascii="Trebuchet MS" w:hAnsi="Trebuchet MS"/>
      <w:sz w:val="18"/>
      <w:lang w:val="en-AU"/>
    </w:rPr>
  </w:style>
  <w:style w:type="paragraph" w:customStyle="1" w:styleId="Tablehead2">
    <w:name w:val="Tablehead2"/>
    <w:basedOn w:val="Tablehead1"/>
    <w:rsid w:val="00226436"/>
    <w:pPr>
      <w:tabs>
        <w:tab w:val="left" w:pos="992"/>
      </w:tabs>
      <w:spacing w:before="20" w:after="20"/>
    </w:pPr>
    <w:rPr>
      <w:b w:val="0"/>
    </w:rPr>
  </w:style>
  <w:style w:type="paragraph" w:customStyle="1" w:styleId="Tablehead3">
    <w:name w:val="Tablehead3"/>
    <w:basedOn w:val="Tablehead2"/>
    <w:rsid w:val="00226436"/>
    <w:rPr>
      <w:i/>
    </w:rPr>
  </w:style>
  <w:style w:type="paragraph" w:styleId="TableofFigures">
    <w:name w:val="table of figures"/>
    <w:basedOn w:val="TOC1"/>
    <w:next w:val="Normal"/>
    <w:uiPriority w:val="99"/>
    <w:semiHidden/>
    <w:rsid w:val="00226436"/>
    <w:pPr>
      <w:tabs>
        <w:tab w:val="left" w:pos="284"/>
      </w:tabs>
      <w:spacing w:before="80"/>
      <w:ind w:left="425" w:right="1985" w:hanging="425"/>
    </w:pPr>
  </w:style>
  <w:style w:type="paragraph" w:customStyle="1" w:styleId="Imprint">
    <w:name w:val="Imprint"/>
    <w:basedOn w:val="Normal"/>
    <w:rsid w:val="009E231A"/>
    <w:pPr>
      <w:spacing w:before="160" w:line="260" w:lineRule="atLeast"/>
    </w:pPr>
    <w:rPr>
      <w:rFonts w:ascii="Trebuchet MS" w:hAnsi="Trebuchet MS"/>
      <w:sz w:val="16"/>
      <w:szCs w:val="20"/>
      <w:lang w:eastAsia="en-US"/>
    </w:rPr>
  </w:style>
  <w:style w:type="paragraph" w:customStyle="1" w:styleId="Figuretitle">
    <w:name w:val="Figuretitle"/>
    <w:basedOn w:val="tabletitle"/>
    <w:rsid w:val="005C2FCF"/>
  </w:style>
  <w:style w:type="paragraph" w:customStyle="1" w:styleId="Dotpoint1">
    <w:name w:val="Dotpoint1"/>
    <w:rsid w:val="009D1087"/>
    <w:pPr>
      <w:numPr>
        <w:numId w:val="1"/>
      </w:numPr>
      <w:tabs>
        <w:tab w:val="left" w:pos="284"/>
      </w:tabs>
      <w:spacing w:before="80" w:line="28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
      </w:numPr>
      <w:tabs>
        <w:tab w:val="clear" w:pos="284"/>
        <w:tab w:val="left" w:pos="567"/>
      </w:tabs>
      <w:ind w:left="568" w:hanging="284"/>
    </w:pPr>
  </w:style>
  <w:style w:type="paragraph" w:customStyle="1" w:styleId="NumberedListContinuing">
    <w:name w:val="NumberedListContinuing"/>
    <w:rsid w:val="00015F17"/>
    <w:pPr>
      <w:numPr>
        <w:numId w:val="3"/>
      </w:numPr>
      <w:spacing w:before="80" w:line="300" w:lineRule="exact"/>
      <w:ind w:left="284" w:hanging="284"/>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link w:val="FootnoteTextChar"/>
    <w:uiPriority w:val="99"/>
    <w:rsid w:val="00A5768C"/>
    <w:pPr>
      <w:tabs>
        <w:tab w:val="left" w:pos="170"/>
      </w:tabs>
      <w:spacing w:before="0" w:line="220" w:lineRule="exact"/>
      <w:ind w:left="170" w:right="0" w:hanging="170"/>
    </w:pPr>
    <w:rPr>
      <w:sz w:val="16"/>
    </w:rPr>
  </w:style>
  <w:style w:type="paragraph" w:styleId="NormalWeb">
    <w:name w:val="Normal (Web)"/>
    <w:basedOn w:val="Normal"/>
    <w:uiPriority w:val="99"/>
    <w:rsid w:val="009058B5"/>
    <w:pPr>
      <w:spacing w:before="100" w:beforeAutospacing="1" w:after="240" w:line="260" w:lineRule="exact"/>
    </w:pPr>
    <w:rPr>
      <w:rFonts w:ascii="Trebuchet MS" w:hAnsi="Trebuchet MS"/>
      <w:sz w:val="18"/>
      <w:szCs w:val="18"/>
      <w:lang w:eastAsia="en-US"/>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uiPriority w:val="99"/>
    <w:rsid w:val="00800A2B"/>
    <w:rPr>
      <w:rFonts w:ascii="Tahoma" w:hAnsi="Tahoma"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spacing w:before="160" w:line="260" w:lineRule="exact"/>
      <w:ind w:left="720"/>
      <w:contextualSpacing/>
    </w:pPr>
    <w:rPr>
      <w:rFonts w:ascii="Trebuchet MS" w:hAnsi="Trebuchet MS"/>
      <w:sz w:val="19"/>
      <w:szCs w:val="20"/>
      <w:lang w:eastAsia="en-US"/>
    </w:rPr>
  </w:style>
  <w:style w:type="paragraph" w:styleId="BodyText">
    <w:name w:val="Body Text"/>
    <w:basedOn w:val="Normal"/>
    <w:link w:val="BodyTextChar"/>
    <w:rsid w:val="00FE3F74"/>
    <w:rPr>
      <w:b/>
      <w:sz w:val="20"/>
      <w:szCs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rPr>
      <w:sz w:val="22"/>
      <w:szCs w:val="20"/>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after="120"/>
      <w:ind w:left="283"/>
    </w:pPr>
    <w:rPr>
      <w:sz w:val="22"/>
      <w:szCs w:val="20"/>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customStyle="1" w:styleId="NumberedAlphaLevel2">
    <w:name w:val="NumberedAlphaLevel2"/>
    <w:basedOn w:val="NumberedListContinuing"/>
    <w:uiPriority w:val="1"/>
    <w:qFormat/>
    <w:rsid w:val="00ED24F6"/>
    <w:pPr>
      <w:numPr>
        <w:ilvl w:val="1"/>
      </w:numPr>
      <w:tabs>
        <w:tab w:val="clear" w:pos="1440"/>
        <w:tab w:val="num" w:pos="567"/>
      </w:tabs>
      <w:ind w:left="567" w:hanging="283"/>
    </w:pPr>
  </w:style>
  <w:style w:type="character" w:customStyle="1" w:styleId="Heading1Char">
    <w:name w:val="Heading 1 Char"/>
    <w:basedOn w:val="DefaultParagraphFont"/>
    <w:link w:val="Heading1"/>
    <w:rsid w:val="007E26BE"/>
    <w:rPr>
      <w:rFonts w:ascii="Tahoma" w:hAnsi="Tahoma" w:cs="Tahoma"/>
      <w:color w:val="000000"/>
      <w:kern w:val="28"/>
      <w:sz w:val="56"/>
      <w:szCs w:val="56"/>
      <w:lang w:val="en-AU"/>
    </w:rPr>
  </w:style>
  <w:style w:type="character" w:customStyle="1" w:styleId="FootnoteTextChar">
    <w:name w:val="Footnote Text Char"/>
    <w:basedOn w:val="DefaultParagraphFont"/>
    <w:link w:val="FootnoteText"/>
    <w:uiPriority w:val="99"/>
    <w:rsid w:val="007E26BE"/>
    <w:rPr>
      <w:rFonts w:ascii="Trebuchet MS" w:hAnsi="Trebuchet MS"/>
      <w:sz w:val="16"/>
      <w:lang w:val="en-AU"/>
    </w:rPr>
  </w:style>
  <w:style w:type="character" w:styleId="FootnoteReference">
    <w:name w:val="footnote reference"/>
    <w:basedOn w:val="DefaultParagraphFont"/>
    <w:uiPriority w:val="99"/>
    <w:semiHidden/>
    <w:unhideWhenUsed/>
    <w:rsid w:val="007E26BE"/>
    <w:rPr>
      <w:vertAlign w:val="superscript"/>
    </w:rPr>
  </w:style>
  <w:style w:type="paragraph" w:customStyle="1" w:styleId="Default">
    <w:name w:val="Default"/>
    <w:rsid w:val="00424A62"/>
    <w:pPr>
      <w:autoSpaceDE w:val="0"/>
      <w:autoSpaceDN w:val="0"/>
      <w:adjustRightInd w:val="0"/>
    </w:pPr>
    <w:rPr>
      <w:rFonts w:ascii="Trebuchet MS" w:hAnsi="Trebuchet MS" w:cs="Trebuchet MS"/>
      <w:color w:val="000000"/>
      <w:sz w:val="24"/>
      <w:szCs w:val="24"/>
      <w:lang w:val="en-GB"/>
    </w:rPr>
  </w:style>
  <w:style w:type="character" w:styleId="CommentReference">
    <w:name w:val="annotation reference"/>
    <w:basedOn w:val="DefaultParagraphFont"/>
    <w:uiPriority w:val="99"/>
    <w:semiHidden/>
    <w:rsid w:val="00F24419"/>
    <w:rPr>
      <w:sz w:val="16"/>
      <w:szCs w:val="16"/>
    </w:rPr>
  </w:style>
  <w:style w:type="paragraph" w:styleId="CommentText">
    <w:name w:val="annotation text"/>
    <w:basedOn w:val="Normal"/>
    <w:link w:val="CommentTextChar"/>
    <w:uiPriority w:val="99"/>
    <w:semiHidden/>
    <w:rsid w:val="00F24419"/>
    <w:rPr>
      <w:sz w:val="20"/>
    </w:rPr>
  </w:style>
  <w:style w:type="character" w:customStyle="1" w:styleId="CommentTextChar">
    <w:name w:val="Comment Text Char"/>
    <w:basedOn w:val="DefaultParagraphFont"/>
    <w:link w:val="CommentText"/>
    <w:uiPriority w:val="99"/>
    <w:semiHidden/>
    <w:rsid w:val="00F24419"/>
    <w:rPr>
      <w:rFonts w:ascii="Trebuchet MS" w:hAnsi="Trebuchet MS"/>
      <w:lang w:val="en-AU"/>
    </w:rPr>
  </w:style>
  <w:style w:type="paragraph" w:styleId="CommentSubject">
    <w:name w:val="annotation subject"/>
    <w:basedOn w:val="CommentText"/>
    <w:next w:val="CommentText"/>
    <w:link w:val="CommentSubjectChar"/>
    <w:uiPriority w:val="99"/>
    <w:semiHidden/>
    <w:rsid w:val="00F24419"/>
    <w:rPr>
      <w:b/>
      <w:bCs/>
    </w:rPr>
  </w:style>
  <w:style w:type="character" w:customStyle="1" w:styleId="CommentSubjectChar">
    <w:name w:val="Comment Subject Char"/>
    <w:basedOn w:val="CommentTextChar"/>
    <w:link w:val="CommentSubject"/>
    <w:uiPriority w:val="99"/>
    <w:semiHidden/>
    <w:rsid w:val="00F24419"/>
    <w:rPr>
      <w:rFonts w:ascii="Trebuchet MS" w:hAnsi="Trebuchet MS"/>
      <w:b/>
      <w:bCs/>
      <w:lang w:val="en-AU"/>
    </w:rPr>
  </w:style>
  <w:style w:type="character" w:customStyle="1" w:styleId="QuoteChar">
    <w:name w:val="Quote Char"/>
    <w:basedOn w:val="DefaultParagraphFont"/>
    <w:link w:val="Quote"/>
    <w:uiPriority w:val="29"/>
    <w:rsid w:val="00252905"/>
    <w:rPr>
      <w:rFonts w:ascii="Trebuchet MS" w:hAnsi="Trebuchet MS"/>
      <w:sz w:val="17"/>
      <w:lang w:val="en-AU"/>
    </w:rPr>
  </w:style>
  <w:style w:type="paragraph" w:customStyle="1" w:styleId="Pa0">
    <w:name w:val="Pa0"/>
    <w:basedOn w:val="Default"/>
    <w:next w:val="Default"/>
    <w:uiPriority w:val="99"/>
    <w:rsid w:val="009A5590"/>
    <w:pPr>
      <w:spacing w:line="201" w:lineRule="atLeast"/>
    </w:pPr>
    <w:rPr>
      <w:rFonts w:ascii="Univers 45 Light" w:eastAsiaTheme="minorHAnsi" w:hAnsi="Univers 45 Light" w:cstheme="minorBidi"/>
      <w:color w:val="auto"/>
    </w:rPr>
  </w:style>
  <w:style w:type="character" w:customStyle="1" w:styleId="A3">
    <w:name w:val="A3"/>
    <w:uiPriority w:val="99"/>
    <w:rsid w:val="009A5590"/>
    <w:rPr>
      <w:rFonts w:cs="Univers 45 Light"/>
      <w:color w:val="000000"/>
      <w:sz w:val="11"/>
      <w:szCs w:val="11"/>
    </w:rPr>
  </w:style>
  <w:style w:type="character" w:customStyle="1" w:styleId="apple-converted-space">
    <w:name w:val="apple-converted-space"/>
    <w:basedOn w:val="DefaultParagraphFont"/>
    <w:rsid w:val="00E82D9C"/>
  </w:style>
  <w:style w:type="character" w:styleId="Emphasis">
    <w:name w:val="Emphasis"/>
    <w:basedOn w:val="DefaultParagraphFont"/>
    <w:uiPriority w:val="20"/>
    <w:qFormat/>
    <w:rsid w:val="00E82D9C"/>
    <w:rPr>
      <w:i/>
      <w:iCs/>
    </w:rPr>
  </w:style>
  <w:style w:type="character" w:customStyle="1" w:styleId="ITALICS">
    <w:name w:val="ITALICS"/>
    <w:uiPriority w:val="99"/>
    <w:rsid w:val="00863350"/>
    <w:rPr>
      <w:i/>
      <w:iCs/>
    </w:rPr>
  </w:style>
  <w:style w:type="paragraph" w:customStyle="1" w:styleId="10bFOOTNOTESover100">
    <w:name w:val="10b. FOOTNOTES over 100"/>
    <w:basedOn w:val="Normal"/>
    <w:uiPriority w:val="99"/>
    <w:rsid w:val="00863350"/>
    <w:pPr>
      <w:widowControl w:val="0"/>
      <w:suppressAutoHyphens/>
      <w:autoSpaceDE w:val="0"/>
      <w:autoSpaceDN w:val="0"/>
      <w:adjustRightInd w:val="0"/>
      <w:spacing w:after="142" w:line="276" w:lineRule="auto"/>
      <w:ind w:left="340" w:hanging="340"/>
      <w:textAlignment w:val="center"/>
    </w:pPr>
    <w:rPr>
      <w:rFonts w:ascii="ArialMT" w:eastAsiaTheme="minorEastAsia" w:hAnsi="ArialMT" w:cs="ArialMT"/>
      <w:color w:val="000000"/>
      <w:sz w:val="16"/>
      <w:szCs w:val="16"/>
      <w:lang w:val="en-US" w:eastAsia="ja-JP"/>
    </w:rPr>
  </w:style>
  <w:style w:type="paragraph" w:customStyle="1" w:styleId="04Bodytext">
    <w:name w:val="04. Body text"/>
    <w:basedOn w:val="Normal"/>
    <w:uiPriority w:val="99"/>
    <w:rsid w:val="002A67B5"/>
    <w:pPr>
      <w:widowControl w:val="0"/>
      <w:suppressAutoHyphens/>
      <w:autoSpaceDE w:val="0"/>
      <w:autoSpaceDN w:val="0"/>
      <w:adjustRightInd w:val="0"/>
      <w:spacing w:after="142" w:line="260" w:lineRule="atLeast"/>
      <w:textAlignment w:val="center"/>
    </w:pPr>
    <w:rPr>
      <w:rFonts w:ascii="Calibri" w:hAnsi="Calibri" w:cs="Calibri"/>
      <w:color w:val="000000"/>
      <w:sz w:val="20"/>
      <w:szCs w:val="20"/>
      <w:lang w:val="en-US"/>
    </w:rPr>
  </w:style>
  <w:style w:type="character" w:customStyle="1" w:styleId="FooterChar">
    <w:name w:val="Footer Char"/>
    <w:basedOn w:val="DefaultParagraphFont"/>
    <w:link w:val="Footer"/>
    <w:rsid w:val="002A67B5"/>
    <w:rPr>
      <w:rFonts w:ascii="Tahoma" w:hAnsi="Tahoma"/>
      <w:sz w:val="17"/>
      <w:szCs w:val="17"/>
      <w:lang w:val="en-AU"/>
    </w:rPr>
  </w:style>
  <w:style w:type="paragraph" w:customStyle="1" w:styleId="Dotpoint">
    <w:name w:val="Dotpoint"/>
    <w:basedOn w:val="04Bodytext"/>
    <w:qFormat/>
    <w:rsid w:val="002A67B5"/>
    <w:pPr>
      <w:numPr>
        <w:numId w:val="10"/>
      </w:numPr>
      <w:spacing w:after="0" w:line="240" w:lineRule="auto"/>
    </w:pPr>
  </w:style>
  <w:style w:type="paragraph" w:customStyle="1" w:styleId="Pa17">
    <w:name w:val="Pa17"/>
    <w:basedOn w:val="Default"/>
    <w:next w:val="Default"/>
    <w:uiPriority w:val="99"/>
    <w:rsid w:val="000E15C8"/>
    <w:pPr>
      <w:spacing w:line="171" w:lineRule="atLeast"/>
    </w:pPr>
    <w:rPr>
      <w:rFonts w:ascii="Helvetica 55 Roman" w:hAnsi="Helvetica 55 Roman" w:cs="Times New Roman"/>
      <w:color w:val="auto"/>
      <w:lang w:val="en-AU"/>
    </w:rPr>
  </w:style>
  <w:style w:type="paragraph" w:customStyle="1" w:styleId="Pa3">
    <w:name w:val="Pa3"/>
    <w:basedOn w:val="Default"/>
    <w:next w:val="Default"/>
    <w:uiPriority w:val="99"/>
    <w:rsid w:val="000E15C8"/>
    <w:pPr>
      <w:spacing w:line="171" w:lineRule="atLeast"/>
    </w:pPr>
    <w:rPr>
      <w:rFonts w:ascii="Helvetica 55 Roman" w:hAnsi="Helvetica 55 Roman" w:cs="Times New Roman"/>
      <w:color w:val="auto"/>
      <w:lang w:val="en-AU"/>
    </w:rPr>
  </w:style>
  <w:style w:type="character" w:customStyle="1" w:styleId="A4">
    <w:name w:val="A4"/>
    <w:uiPriority w:val="99"/>
    <w:rsid w:val="000E15C8"/>
    <w:rPr>
      <w:rFonts w:ascii="Helvetica 45 Light" w:hAnsi="Helvetica 45 Light" w:cs="Helvetica 45 Light"/>
      <w:color w:val="000000"/>
      <w:sz w:val="10"/>
      <w:szCs w:val="10"/>
    </w:rPr>
  </w:style>
  <w:style w:type="paragraph" w:customStyle="1" w:styleId="Pa11">
    <w:name w:val="Pa11"/>
    <w:basedOn w:val="Default"/>
    <w:next w:val="Default"/>
    <w:uiPriority w:val="99"/>
    <w:rsid w:val="000E15C8"/>
    <w:pPr>
      <w:spacing w:line="181" w:lineRule="atLeast"/>
    </w:pPr>
    <w:rPr>
      <w:rFonts w:ascii="Helvetica 55 Roman" w:hAnsi="Helvetica 55 Roman" w:cs="Times New Roman"/>
      <w:color w:val="auto"/>
      <w:lang w:val="en-AU"/>
    </w:rPr>
  </w:style>
  <w:style w:type="character" w:customStyle="1" w:styleId="Heading2Char">
    <w:name w:val="Heading 2 Char"/>
    <w:basedOn w:val="DefaultParagraphFont"/>
    <w:link w:val="Heading2"/>
    <w:rsid w:val="00197D2E"/>
    <w:rPr>
      <w:rFonts w:ascii="Tahoma" w:hAnsi="Tahoma" w:cs="Tahoma"/>
      <w:sz w:val="28"/>
      <w:lang w:val="en-AU"/>
    </w:rPr>
  </w:style>
  <w:style w:type="paragraph" w:customStyle="1" w:styleId="Tableheadingnew">
    <w:name w:val="Table heading new"/>
    <w:basedOn w:val="Normal"/>
    <w:uiPriority w:val="1"/>
    <w:qFormat/>
    <w:rsid w:val="009D1087"/>
    <w:pPr>
      <w:spacing w:before="120" w:after="80"/>
    </w:pPr>
    <w:rPr>
      <w:rFonts w:ascii="Tahoma" w:hAnsi="Tahoma" w:cs="Tahoma"/>
      <w:sz w:val="20"/>
      <w:szCs w:val="20"/>
    </w:rPr>
  </w:style>
  <w:style w:type="paragraph" w:styleId="Revision">
    <w:name w:val="Revision"/>
    <w:hidden/>
    <w:uiPriority w:val="99"/>
    <w:semiHidden/>
    <w:rsid w:val="00AA0D6F"/>
    <w:rPr>
      <w:sz w:val="24"/>
      <w:szCs w:val="24"/>
      <w:lang w:val="en-AU" w:eastAsia="en-AU"/>
    </w:rPr>
  </w:style>
  <w:style w:type="paragraph" w:customStyle="1" w:styleId="Textmorebefore">
    <w:name w:val="Text more # before"/>
    <w:basedOn w:val="Text"/>
    <w:uiPriority w:val="1"/>
    <w:qFormat/>
    <w:rsid w:val="00F33814"/>
    <w:pPr>
      <w:spacing w:before="360"/>
      <w:ind w:right="0"/>
    </w:pPr>
  </w:style>
  <w:style w:type="paragraph" w:styleId="EndnoteText">
    <w:name w:val="endnote text"/>
    <w:basedOn w:val="Normal"/>
    <w:link w:val="EndnoteTextChar"/>
    <w:uiPriority w:val="99"/>
    <w:semiHidden/>
    <w:rsid w:val="00095DD1"/>
    <w:rPr>
      <w:sz w:val="20"/>
      <w:szCs w:val="20"/>
    </w:rPr>
  </w:style>
  <w:style w:type="character" w:customStyle="1" w:styleId="EndnoteTextChar">
    <w:name w:val="Endnote Text Char"/>
    <w:basedOn w:val="DefaultParagraphFont"/>
    <w:link w:val="EndnoteText"/>
    <w:uiPriority w:val="99"/>
    <w:semiHidden/>
    <w:rsid w:val="00095DD1"/>
    <w:rPr>
      <w:lang w:val="en-AU" w:eastAsia="en-AU"/>
    </w:rPr>
  </w:style>
  <w:style w:type="character" w:styleId="EndnoteReference">
    <w:name w:val="endnote reference"/>
    <w:basedOn w:val="DefaultParagraphFont"/>
    <w:uiPriority w:val="99"/>
    <w:semiHidden/>
    <w:rsid w:val="00095DD1"/>
    <w:rPr>
      <w:vertAlign w:val="superscript"/>
    </w:rPr>
  </w:style>
  <w:style w:type="paragraph" w:customStyle="1" w:styleId="Textlessbefore">
    <w:name w:val="Text less # before"/>
    <w:basedOn w:val="Text"/>
    <w:uiPriority w:val="1"/>
    <w:qFormat/>
    <w:rsid w:val="009A6317"/>
    <w:pPr>
      <w:spacing w:before="80"/>
      <w:ind w:righ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327449">
      <w:bodyDiv w:val="1"/>
      <w:marLeft w:val="0"/>
      <w:marRight w:val="0"/>
      <w:marTop w:val="0"/>
      <w:marBottom w:val="0"/>
      <w:divBdr>
        <w:top w:val="none" w:sz="0" w:space="0" w:color="auto"/>
        <w:left w:val="none" w:sz="0" w:space="0" w:color="auto"/>
        <w:bottom w:val="none" w:sz="0" w:space="0" w:color="auto"/>
        <w:right w:val="none" w:sz="0" w:space="0" w:color="auto"/>
      </w:divBdr>
      <w:divsChild>
        <w:div w:id="674919175">
          <w:marLeft w:val="0"/>
          <w:marRight w:val="0"/>
          <w:marTop w:val="100"/>
          <w:marBottom w:val="100"/>
          <w:divBdr>
            <w:top w:val="none" w:sz="0" w:space="0" w:color="auto"/>
            <w:left w:val="none" w:sz="0" w:space="0" w:color="auto"/>
            <w:bottom w:val="none" w:sz="0" w:space="0" w:color="auto"/>
            <w:right w:val="none" w:sz="0" w:space="0" w:color="auto"/>
          </w:divBdr>
          <w:divsChild>
            <w:div w:id="1219828138">
              <w:marLeft w:val="0"/>
              <w:marRight w:val="0"/>
              <w:marTop w:val="0"/>
              <w:marBottom w:val="0"/>
              <w:divBdr>
                <w:top w:val="none" w:sz="0" w:space="0" w:color="auto"/>
                <w:left w:val="none" w:sz="0" w:space="0" w:color="auto"/>
                <w:bottom w:val="none" w:sz="0" w:space="0" w:color="auto"/>
                <w:right w:val="none" w:sz="0" w:space="0" w:color="auto"/>
              </w:divBdr>
              <w:divsChild>
                <w:div w:id="867988894">
                  <w:marLeft w:val="0"/>
                  <w:marRight w:val="0"/>
                  <w:marTop w:val="0"/>
                  <w:marBottom w:val="0"/>
                  <w:divBdr>
                    <w:top w:val="none" w:sz="0" w:space="0" w:color="auto"/>
                    <w:left w:val="none" w:sz="0" w:space="0" w:color="auto"/>
                    <w:bottom w:val="none" w:sz="0" w:space="0" w:color="auto"/>
                    <w:right w:val="none" w:sz="0" w:space="0" w:color="auto"/>
                  </w:divBdr>
                  <w:divsChild>
                    <w:div w:id="1797718845">
                      <w:marLeft w:val="0"/>
                      <w:marRight w:val="0"/>
                      <w:marTop w:val="0"/>
                      <w:marBottom w:val="0"/>
                      <w:divBdr>
                        <w:top w:val="none" w:sz="0" w:space="0" w:color="auto"/>
                        <w:left w:val="none" w:sz="0" w:space="0" w:color="auto"/>
                        <w:bottom w:val="none" w:sz="0" w:space="0" w:color="auto"/>
                        <w:right w:val="none" w:sz="0" w:space="0" w:color="auto"/>
                      </w:divBdr>
                      <w:divsChild>
                        <w:div w:id="964504251">
                          <w:marLeft w:val="0"/>
                          <w:marRight w:val="0"/>
                          <w:marTop w:val="0"/>
                          <w:marBottom w:val="0"/>
                          <w:divBdr>
                            <w:top w:val="none" w:sz="0" w:space="0" w:color="auto"/>
                            <w:left w:val="none" w:sz="0" w:space="0" w:color="auto"/>
                            <w:bottom w:val="none" w:sz="0" w:space="0" w:color="auto"/>
                            <w:right w:val="none" w:sz="0" w:space="0" w:color="auto"/>
                          </w:divBdr>
                          <w:divsChild>
                            <w:div w:id="1220937436">
                              <w:marLeft w:val="0"/>
                              <w:marRight w:val="0"/>
                              <w:marTop w:val="0"/>
                              <w:marBottom w:val="0"/>
                              <w:divBdr>
                                <w:top w:val="none" w:sz="0" w:space="0" w:color="auto"/>
                                <w:left w:val="none" w:sz="0" w:space="0" w:color="auto"/>
                                <w:bottom w:val="none" w:sz="0" w:space="0" w:color="auto"/>
                                <w:right w:val="none" w:sz="0" w:space="0" w:color="auto"/>
                              </w:divBdr>
                              <w:divsChild>
                                <w:div w:id="142891600">
                                  <w:marLeft w:val="0"/>
                                  <w:marRight w:val="0"/>
                                  <w:marTop w:val="0"/>
                                  <w:marBottom w:val="0"/>
                                  <w:divBdr>
                                    <w:top w:val="none" w:sz="0" w:space="0" w:color="auto"/>
                                    <w:left w:val="none" w:sz="0" w:space="0" w:color="auto"/>
                                    <w:bottom w:val="none" w:sz="0" w:space="0" w:color="auto"/>
                                    <w:right w:val="none" w:sz="0" w:space="0" w:color="auto"/>
                                  </w:divBdr>
                                  <w:divsChild>
                                    <w:div w:id="498739233">
                                      <w:marLeft w:val="0"/>
                                      <w:marRight w:val="0"/>
                                      <w:marTop w:val="0"/>
                                      <w:marBottom w:val="0"/>
                                      <w:divBdr>
                                        <w:top w:val="none" w:sz="0" w:space="0" w:color="auto"/>
                                        <w:left w:val="none" w:sz="0" w:space="0" w:color="auto"/>
                                        <w:bottom w:val="none" w:sz="0" w:space="0" w:color="auto"/>
                                        <w:right w:val="none" w:sz="0" w:space="0" w:color="auto"/>
                                      </w:divBdr>
                                      <w:divsChild>
                                        <w:div w:id="135561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755112">
      <w:bodyDiv w:val="1"/>
      <w:marLeft w:val="0"/>
      <w:marRight w:val="0"/>
      <w:marTop w:val="0"/>
      <w:marBottom w:val="0"/>
      <w:divBdr>
        <w:top w:val="none" w:sz="0" w:space="0" w:color="auto"/>
        <w:left w:val="none" w:sz="0" w:space="0" w:color="auto"/>
        <w:bottom w:val="none" w:sz="0" w:space="0" w:color="auto"/>
        <w:right w:val="none" w:sz="0" w:space="0" w:color="auto"/>
      </w:divBdr>
      <w:divsChild>
        <w:div w:id="1356343956">
          <w:marLeft w:val="0"/>
          <w:marRight w:val="0"/>
          <w:marTop w:val="0"/>
          <w:marBottom w:val="0"/>
          <w:divBdr>
            <w:top w:val="none" w:sz="0" w:space="0" w:color="auto"/>
            <w:left w:val="none" w:sz="0" w:space="0" w:color="auto"/>
            <w:bottom w:val="none" w:sz="0" w:space="0" w:color="auto"/>
            <w:right w:val="none" w:sz="0" w:space="0" w:color="auto"/>
          </w:divBdr>
          <w:divsChild>
            <w:div w:id="252904607">
              <w:marLeft w:val="0"/>
              <w:marRight w:val="0"/>
              <w:marTop w:val="0"/>
              <w:marBottom w:val="0"/>
              <w:divBdr>
                <w:top w:val="none" w:sz="0" w:space="0" w:color="auto"/>
                <w:left w:val="none" w:sz="0" w:space="0" w:color="auto"/>
                <w:bottom w:val="none" w:sz="0" w:space="0" w:color="auto"/>
                <w:right w:val="none" w:sz="0" w:space="0" w:color="auto"/>
              </w:divBdr>
              <w:divsChild>
                <w:div w:id="1169833041">
                  <w:marLeft w:val="0"/>
                  <w:marRight w:val="0"/>
                  <w:marTop w:val="0"/>
                  <w:marBottom w:val="0"/>
                  <w:divBdr>
                    <w:top w:val="none" w:sz="0" w:space="0" w:color="auto"/>
                    <w:left w:val="none" w:sz="0" w:space="0" w:color="auto"/>
                    <w:bottom w:val="none" w:sz="0" w:space="0" w:color="auto"/>
                    <w:right w:val="none" w:sz="0" w:space="0" w:color="auto"/>
                  </w:divBdr>
                  <w:divsChild>
                    <w:div w:id="1631017275">
                      <w:marLeft w:val="0"/>
                      <w:marRight w:val="0"/>
                      <w:marTop w:val="0"/>
                      <w:marBottom w:val="0"/>
                      <w:divBdr>
                        <w:top w:val="none" w:sz="0" w:space="0" w:color="auto"/>
                        <w:left w:val="none" w:sz="0" w:space="0" w:color="auto"/>
                        <w:bottom w:val="none" w:sz="0" w:space="0" w:color="auto"/>
                        <w:right w:val="none" w:sz="0" w:space="0" w:color="auto"/>
                      </w:divBdr>
                      <w:divsChild>
                        <w:div w:id="247545963">
                          <w:marLeft w:val="0"/>
                          <w:marRight w:val="0"/>
                          <w:marTop w:val="15"/>
                          <w:marBottom w:val="0"/>
                          <w:divBdr>
                            <w:top w:val="none" w:sz="0" w:space="0" w:color="auto"/>
                            <w:left w:val="none" w:sz="0" w:space="0" w:color="auto"/>
                            <w:bottom w:val="none" w:sz="0" w:space="0" w:color="auto"/>
                            <w:right w:val="none" w:sz="0" w:space="0" w:color="auto"/>
                          </w:divBdr>
                          <w:divsChild>
                            <w:div w:id="945892309">
                              <w:marLeft w:val="0"/>
                              <w:marRight w:val="0"/>
                              <w:marTop w:val="0"/>
                              <w:marBottom w:val="0"/>
                              <w:divBdr>
                                <w:top w:val="none" w:sz="0" w:space="0" w:color="auto"/>
                                <w:left w:val="none" w:sz="0" w:space="0" w:color="auto"/>
                                <w:bottom w:val="none" w:sz="0" w:space="0" w:color="auto"/>
                                <w:right w:val="none" w:sz="0" w:space="0" w:color="auto"/>
                              </w:divBdr>
                              <w:divsChild>
                                <w:div w:id="1977293757">
                                  <w:marLeft w:val="0"/>
                                  <w:marRight w:val="0"/>
                                  <w:marTop w:val="0"/>
                                  <w:marBottom w:val="0"/>
                                  <w:divBdr>
                                    <w:top w:val="none" w:sz="0" w:space="0" w:color="auto"/>
                                    <w:left w:val="none" w:sz="0" w:space="0" w:color="auto"/>
                                    <w:bottom w:val="none" w:sz="0" w:space="0" w:color="auto"/>
                                    <w:right w:val="none" w:sz="0" w:space="0" w:color="auto"/>
                                  </w:divBdr>
                                </w:div>
                                <w:div w:id="96161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288998">
      <w:bodyDiv w:val="1"/>
      <w:marLeft w:val="0"/>
      <w:marRight w:val="0"/>
      <w:marTop w:val="0"/>
      <w:marBottom w:val="0"/>
      <w:divBdr>
        <w:top w:val="none" w:sz="0" w:space="0" w:color="auto"/>
        <w:left w:val="none" w:sz="0" w:space="0" w:color="auto"/>
        <w:bottom w:val="none" w:sz="0" w:space="0" w:color="auto"/>
        <w:right w:val="none" w:sz="0" w:space="0" w:color="auto"/>
      </w:divBdr>
    </w:div>
    <w:div w:id="628434454">
      <w:bodyDiv w:val="1"/>
      <w:marLeft w:val="0"/>
      <w:marRight w:val="0"/>
      <w:marTop w:val="0"/>
      <w:marBottom w:val="0"/>
      <w:divBdr>
        <w:top w:val="none" w:sz="0" w:space="0" w:color="auto"/>
        <w:left w:val="none" w:sz="0" w:space="0" w:color="auto"/>
        <w:bottom w:val="none" w:sz="0" w:space="0" w:color="auto"/>
        <w:right w:val="none" w:sz="0" w:space="0" w:color="auto"/>
      </w:divBdr>
      <w:divsChild>
        <w:div w:id="847138309">
          <w:marLeft w:val="0"/>
          <w:marRight w:val="0"/>
          <w:marTop w:val="0"/>
          <w:marBottom w:val="600"/>
          <w:divBdr>
            <w:top w:val="none" w:sz="0" w:space="0" w:color="auto"/>
            <w:left w:val="none" w:sz="0" w:space="0" w:color="auto"/>
            <w:bottom w:val="none" w:sz="0" w:space="0" w:color="auto"/>
            <w:right w:val="none" w:sz="0" w:space="0" w:color="auto"/>
          </w:divBdr>
        </w:div>
      </w:divsChild>
    </w:div>
    <w:div w:id="628708146">
      <w:bodyDiv w:val="1"/>
      <w:marLeft w:val="0"/>
      <w:marRight w:val="0"/>
      <w:marTop w:val="0"/>
      <w:marBottom w:val="0"/>
      <w:divBdr>
        <w:top w:val="none" w:sz="0" w:space="0" w:color="auto"/>
        <w:left w:val="none" w:sz="0" w:space="0" w:color="auto"/>
        <w:bottom w:val="none" w:sz="0" w:space="0" w:color="auto"/>
        <w:right w:val="none" w:sz="0" w:space="0" w:color="auto"/>
      </w:divBdr>
    </w:div>
    <w:div w:id="688020100">
      <w:bodyDiv w:val="1"/>
      <w:marLeft w:val="0"/>
      <w:marRight w:val="0"/>
      <w:marTop w:val="0"/>
      <w:marBottom w:val="0"/>
      <w:divBdr>
        <w:top w:val="none" w:sz="0" w:space="0" w:color="auto"/>
        <w:left w:val="none" w:sz="0" w:space="0" w:color="auto"/>
        <w:bottom w:val="none" w:sz="0" w:space="0" w:color="auto"/>
        <w:right w:val="none" w:sz="0" w:space="0" w:color="auto"/>
      </w:divBdr>
    </w:div>
    <w:div w:id="839124216">
      <w:bodyDiv w:val="1"/>
      <w:marLeft w:val="0"/>
      <w:marRight w:val="0"/>
      <w:marTop w:val="0"/>
      <w:marBottom w:val="0"/>
      <w:divBdr>
        <w:top w:val="none" w:sz="0" w:space="0" w:color="auto"/>
        <w:left w:val="none" w:sz="0" w:space="0" w:color="auto"/>
        <w:bottom w:val="none" w:sz="0" w:space="0" w:color="auto"/>
        <w:right w:val="none" w:sz="0" w:space="0" w:color="auto"/>
      </w:divBdr>
    </w:div>
    <w:div w:id="961570978">
      <w:bodyDiv w:val="1"/>
      <w:marLeft w:val="0"/>
      <w:marRight w:val="0"/>
      <w:marTop w:val="0"/>
      <w:marBottom w:val="0"/>
      <w:divBdr>
        <w:top w:val="none" w:sz="0" w:space="0" w:color="auto"/>
        <w:left w:val="none" w:sz="0" w:space="0" w:color="auto"/>
        <w:bottom w:val="none" w:sz="0" w:space="0" w:color="auto"/>
        <w:right w:val="none" w:sz="0" w:space="0" w:color="auto"/>
      </w:divBdr>
    </w:div>
    <w:div w:id="992025980">
      <w:bodyDiv w:val="1"/>
      <w:marLeft w:val="0"/>
      <w:marRight w:val="0"/>
      <w:marTop w:val="0"/>
      <w:marBottom w:val="0"/>
      <w:divBdr>
        <w:top w:val="none" w:sz="0" w:space="0" w:color="auto"/>
        <w:left w:val="none" w:sz="0" w:space="0" w:color="auto"/>
        <w:bottom w:val="none" w:sz="0" w:space="0" w:color="auto"/>
        <w:right w:val="none" w:sz="0" w:space="0" w:color="auto"/>
      </w:divBdr>
    </w:div>
    <w:div w:id="1103182773">
      <w:bodyDiv w:val="1"/>
      <w:marLeft w:val="0"/>
      <w:marRight w:val="0"/>
      <w:marTop w:val="0"/>
      <w:marBottom w:val="0"/>
      <w:divBdr>
        <w:top w:val="none" w:sz="0" w:space="0" w:color="auto"/>
        <w:left w:val="none" w:sz="0" w:space="0" w:color="auto"/>
        <w:bottom w:val="none" w:sz="0" w:space="0" w:color="auto"/>
        <w:right w:val="none" w:sz="0" w:space="0" w:color="auto"/>
      </w:divBdr>
    </w:div>
    <w:div w:id="1264192123">
      <w:bodyDiv w:val="1"/>
      <w:marLeft w:val="0"/>
      <w:marRight w:val="0"/>
      <w:marTop w:val="0"/>
      <w:marBottom w:val="0"/>
      <w:divBdr>
        <w:top w:val="none" w:sz="0" w:space="0" w:color="auto"/>
        <w:left w:val="none" w:sz="0" w:space="0" w:color="auto"/>
        <w:bottom w:val="none" w:sz="0" w:space="0" w:color="auto"/>
        <w:right w:val="none" w:sz="0" w:space="0" w:color="auto"/>
      </w:divBdr>
    </w:div>
    <w:div w:id="1425876971">
      <w:bodyDiv w:val="1"/>
      <w:marLeft w:val="0"/>
      <w:marRight w:val="0"/>
      <w:marTop w:val="0"/>
      <w:marBottom w:val="0"/>
      <w:divBdr>
        <w:top w:val="none" w:sz="0" w:space="0" w:color="auto"/>
        <w:left w:val="none" w:sz="0" w:space="0" w:color="auto"/>
        <w:bottom w:val="none" w:sz="0" w:space="0" w:color="auto"/>
        <w:right w:val="none" w:sz="0" w:space="0" w:color="auto"/>
      </w:divBdr>
    </w:div>
    <w:div w:id="1460688633">
      <w:bodyDiv w:val="1"/>
      <w:marLeft w:val="0"/>
      <w:marRight w:val="0"/>
      <w:marTop w:val="0"/>
      <w:marBottom w:val="0"/>
      <w:divBdr>
        <w:top w:val="none" w:sz="0" w:space="0" w:color="auto"/>
        <w:left w:val="none" w:sz="0" w:space="0" w:color="auto"/>
        <w:bottom w:val="none" w:sz="0" w:space="0" w:color="auto"/>
        <w:right w:val="none" w:sz="0" w:space="0" w:color="auto"/>
      </w:divBdr>
    </w:div>
    <w:div w:id="1546793059">
      <w:bodyDiv w:val="1"/>
      <w:marLeft w:val="0"/>
      <w:marRight w:val="0"/>
      <w:marTop w:val="0"/>
      <w:marBottom w:val="0"/>
      <w:divBdr>
        <w:top w:val="none" w:sz="0" w:space="0" w:color="auto"/>
        <w:left w:val="none" w:sz="0" w:space="0" w:color="auto"/>
        <w:bottom w:val="none" w:sz="0" w:space="0" w:color="auto"/>
        <w:right w:val="none" w:sz="0" w:space="0" w:color="auto"/>
      </w:divBdr>
    </w:div>
    <w:div w:id="1575965983">
      <w:bodyDiv w:val="1"/>
      <w:marLeft w:val="0"/>
      <w:marRight w:val="0"/>
      <w:marTop w:val="0"/>
      <w:marBottom w:val="0"/>
      <w:divBdr>
        <w:top w:val="none" w:sz="0" w:space="0" w:color="auto"/>
        <w:left w:val="none" w:sz="0" w:space="0" w:color="auto"/>
        <w:bottom w:val="none" w:sz="0" w:space="0" w:color="auto"/>
        <w:right w:val="none" w:sz="0" w:space="0" w:color="auto"/>
      </w:divBdr>
    </w:div>
    <w:div w:id="1585723767">
      <w:bodyDiv w:val="1"/>
      <w:marLeft w:val="0"/>
      <w:marRight w:val="0"/>
      <w:marTop w:val="0"/>
      <w:marBottom w:val="0"/>
      <w:divBdr>
        <w:top w:val="none" w:sz="0" w:space="0" w:color="auto"/>
        <w:left w:val="none" w:sz="0" w:space="0" w:color="auto"/>
        <w:bottom w:val="none" w:sz="0" w:space="0" w:color="auto"/>
        <w:right w:val="none" w:sz="0" w:space="0" w:color="auto"/>
      </w:divBdr>
    </w:div>
    <w:div w:id="1609579389">
      <w:bodyDiv w:val="1"/>
      <w:marLeft w:val="0"/>
      <w:marRight w:val="0"/>
      <w:marTop w:val="0"/>
      <w:marBottom w:val="0"/>
      <w:divBdr>
        <w:top w:val="none" w:sz="0" w:space="0" w:color="auto"/>
        <w:left w:val="none" w:sz="0" w:space="0" w:color="auto"/>
        <w:bottom w:val="none" w:sz="0" w:space="0" w:color="auto"/>
        <w:right w:val="none" w:sz="0" w:space="0" w:color="auto"/>
      </w:divBdr>
    </w:div>
    <w:div w:id="1649941661">
      <w:bodyDiv w:val="1"/>
      <w:marLeft w:val="0"/>
      <w:marRight w:val="0"/>
      <w:marTop w:val="0"/>
      <w:marBottom w:val="0"/>
      <w:divBdr>
        <w:top w:val="none" w:sz="0" w:space="0" w:color="auto"/>
        <w:left w:val="none" w:sz="0" w:space="0" w:color="auto"/>
        <w:bottom w:val="none" w:sz="0" w:space="0" w:color="auto"/>
        <w:right w:val="none" w:sz="0" w:space="0" w:color="auto"/>
      </w:divBdr>
      <w:divsChild>
        <w:div w:id="315652267">
          <w:marLeft w:val="0"/>
          <w:marRight w:val="0"/>
          <w:marTop w:val="0"/>
          <w:marBottom w:val="0"/>
          <w:divBdr>
            <w:top w:val="none" w:sz="0" w:space="0" w:color="auto"/>
            <w:left w:val="none" w:sz="0" w:space="0" w:color="auto"/>
            <w:bottom w:val="none" w:sz="0" w:space="0" w:color="auto"/>
            <w:right w:val="none" w:sz="0" w:space="0" w:color="auto"/>
          </w:divBdr>
          <w:divsChild>
            <w:div w:id="1740978544">
              <w:marLeft w:val="0"/>
              <w:marRight w:val="0"/>
              <w:marTop w:val="0"/>
              <w:marBottom w:val="0"/>
              <w:divBdr>
                <w:top w:val="none" w:sz="0" w:space="0" w:color="auto"/>
                <w:left w:val="none" w:sz="0" w:space="0" w:color="auto"/>
                <w:bottom w:val="none" w:sz="0" w:space="0" w:color="auto"/>
                <w:right w:val="none" w:sz="0" w:space="0" w:color="auto"/>
              </w:divBdr>
              <w:divsChild>
                <w:div w:id="305594838">
                  <w:marLeft w:val="0"/>
                  <w:marRight w:val="0"/>
                  <w:marTop w:val="0"/>
                  <w:marBottom w:val="0"/>
                  <w:divBdr>
                    <w:top w:val="none" w:sz="0" w:space="0" w:color="auto"/>
                    <w:left w:val="none" w:sz="0" w:space="0" w:color="auto"/>
                    <w:bottom w:val="none" w:sz="0" w:space="0" w:color="auto"/>
                    <w:right w:val="none" w:sz="0" w:space="0" w:color="auto"/>
                  </w:divBdr>
                  <w:divsChild>
                    <w:div w:id="662778353">
                      <w:marLeft w:val="0"/>
                      <w:marRight w:val="0"/>
                      <w:marTop w:val="0"/>
                      <w:marBottom w:val="0"/>
                      <w:divBdr>
                        <w:top w:val="none" w:sz="0" w:space="0" w:color="auto"/>
                        <w:left w:val="none" w:sz="0" w:space="0" w:color="auto"/>
                        <w:bottom w:val="none" w:sz="0" w:space="0" w:color="auto"/>
                        <w:right w:val="none" w:sz="0" w:space="0" w:color="auto"/>
                      </w:divBdr>
                      <w:divsChild>
                        <w:div w:id="130903782">
                          <w:marLeft w:val="0"/>
                          <w:marRight w:val="0"/>
                          <w:marTop w:val="0"/>
                          <w:marBottom w:val="0"/>
                          <w:divBdr>
                            <w:top w:val="none" w:sz="0" w:space="0" w:color="auto"/>
                            <w:left w:val="none" w:sz="0" w:space="0" w:color="auto"/>
                            <w:bottom w:val="none" w:sz="0" w:space="0" w:color="auto"/>
                            <w:right w:val="none" w:sz="0" w:space="0" w:color="auto"/>
                          </w:divBdr>
                          <w:divsChild>
                            <w:div w:id="368916804">
                              <w:marLeft w:val="0"/>
                              <w:marRight w:val="0"/>
                              <w:marTop w:val="0"/>
                              <w:marBottom w:val="0"/>
                              <w:divBdr>
                                <w:top w:val="none" w:sz="0" w:space="0" w:color="auto"/>
                                <w:left w:val="none" w:sz="0" w:space="0" w:color="auto"/>
                                <w:bottom w:val="none" w:sz="0" w:space="0" w:color="auto"/>
                                <w:right w:val="none" w:sz="0" w:space="0" w:color="auto"/>
                              </w:divBdr>
                              <w:divsChild>
                                <w:div w:id="1598904340">
                                  <w:marLeft w:val="0"/>
                                  <w:marRight w:val="0"/>
                                  <w:marTop w:val="0"/>
                                  <w:marBottom w:val="0"/>
                                  <w:divBdr>
                                    <w:top w:val="none" w:sz="0" w:space="0" w:color="auto"/>
                                    <w:left w:val="none" w:sz="0" w:space="0" w:color="auto"/>
                                    <w:bottom w:val="none" w:sz="0" w:space="0" w:color="auto"/>
                                    <w:right w:val="none" w:sz="0" w:space="0" w:color="auto"/>
                                  </w:divBdr>
                                  <w:divsChild>
                                    <w:div w:id="988558926">
                                      <w:marLeft w:val="0"/>
                                      <w:marRight w:val="0"/>
                                      <w:marTop w:val="0"/>
                                      <w:marBottom w:val="0"/>
                                      <w:divBdr>
                                        <w:top w:val="none" w:sz="0" w:space="0" w:color="auto"/>
                                        <w:left w:val="none" w:sz="0" w:space="0" w:color="auto"/>
                                        <w:bottom w:val="none" w:sz="0" w:space="0" w:color="auto"/>
                                        <w:right w:val="none" w:sz="0" w:space="0" w:color="auto"/>
                                      </w:divBdr>
                                      <w:divsChild>
                                        <w:div w:id="1001079657">
                                          <w:marLeft w:val="0"/>
                                          <w:marRight w:val="0"/>
                                          <w:marTop w:val="0"/>
                                          <w:marBottom w:val="0"/>
                                          <w:divBdr>
                                            <w:top w:val="none" w:sz="0" w:space="0" w:color="auto"/>
                                            <w:left w:val="none" w:sz="0" w:space="0" w:color="auto"/>
                                            <w:bottom w:val="none" w:sz="0" w:space="0" w:color="auto"/>
                                            <w:right w:val="none" w:sz="0" w:space="0" w:color="auto"/>
                                          </w:divBdr>
                                          <w:divsChild>
                                            <w:div w:id="209614951">
                                              <w:marLeft w:val="0"/>
                                              <w:marRight w:val="0"/>
                                              <w:marTop w:val="0"/>
                                              <w:marBottom w:val="120"/>
                                              <w:divBdr>
                                                <w:top w:val="none" w:sz="0" w:space="0" w:color="auto"/>
                                                <w:left w:val="none" w:sz="0" w:space="0" w:color="auto"/>
                                                <w:bottom w:val="none" w:sz="0" w:space="0" w:color="auto"/>
                                                <w:right w:val="none" w:sz="0" w:space="0" w:color="auto"/>
                                              </w:divBdr>
                                              <w:divsChild>
                                                <w:div w:id="5441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792814">
      <w:bodyDiv w:val="1"/>
      <w:marLeft w:val="0"/>
      <w:marRight w:val="0"/>
      <w:marTop w:val="0"/>
      <w:marBottom w:val="0"/>
      <w:divBdr>
        <w:top w:val="none" w:sz="0" w:space="0" w:color="auto"/>
        <w:left w:val="none" w:sz="0" w:space="0" w:color="auto"/>
        <w:bottom w:val="none" w:sz="0" w:space="0" w:color="auto"/>
        <w:right w:val="none" w:sz="0" w:space="0" w:color="auto"/>
      </w:divBdr>
    </w:div>
    <w:div w:id="1864127581">
      <w:bodyDiv w:val="1"/>
      <w:marLeft w:val="0"/>
      <w:marRight w:val="0"/>
      <w:marTop w:val="0"/>
      <w:marBottom w:val="0"/>
      <w:divBdr>
        <w:top w:val="none" w:sz="0" w:space="0" w:color="auto"/>
        <w:left w:val="none" w:sz="0" w:space="0" w:color="auto"/>
        <w:bottom w:val="none" w:sz="0" w:space="0" w:color="auto"/>
        <w:right w:val="none" w:sz="0" w:space="0" w:color="auto"/>
      </w:divBdr>
      <w:divsChild>
        <w:div w:id="860434852">
          <w:marLeft w:val="0"/>
          <w:marRight w:val="0"/>
          <w:marTop w:val="0"/>
          <w:marBottom w:val="0"/>
          <w:divBdr>
            <w:top w:val="none" w:sz="0" w:space="0" w:color="auto"/>
            <w:left w:val="none" w:sz="0" w:space="0" w:color="auto"/>
            <w:bottom w:val="none" w:sz="0" w:space="0" w:color="auto"/>
            <w:right w:val="none" w:sz="0" w:space="0" w:color="auto"/>
          </w:divBdr>
          <w:divsChild>
            <w:div w:id="355423993">
              <w:marLeft w:val="0"/>
              <w:marRight w:val="0"/>
              <w:marTop w:val="0"/>
              <w:marBottom w:val="0"/>
              <w:divBdr>
                <w:top w:val="none" w:sz="0" w:space="0" w:color="auto"/>
                <w:left w:val="none" w:sz="0" w:space="0" w:color="auto"/>
                <w:bottom w:val="none" w:sz="0" w:space="0" w:color="auto"/>
                <w:right w:val="none" w:sz="0" w:space="0" w:color="auto"/>
              </w:divBdr>
              <w:divsChild>
                <w:div w:id="263080338">
                  <w:marLeft w:val="0"/>
                  <w:marRight w:val="0"/>
                  <w:marTop w:val="0"/>
                  <w:marBottom w:val="0"/>
                  <w:divBdr>
                    <w:top w:val="none" w:sz="0" w:space="0" w:color="auto"/>
                    <w:left w:val="none" w:sz="0" w:space="0" w:color="auto"/>
                    <w:bottom w:val="none" w:sz="0" w:space="0" w:color="auto"/>
                    <w:right w:val="none" w:sz="0" w:space="0" w:color="auto"/>
                  </w:divBdr>
                  <w:divsChild>
                    <w:div w:id="1003357808">
                      <w:marLeft w:val="0"/>
                      <w:marRight w:val="0"/>
                      <w:marTop w:val="0"/>
                      <w:marBottom w:val="0"/>
                      <w:divBdr>
                        <w:top w:val="none" w:sz="0" w:space="0" w:color="auto"/>
                        <w:left w:val="none" w:sz="0" w:space="0" w:color="auto"/>
                        <w:bottom w:val="none" w:sz="0" w:space="0" w:color="auto"/>
                        <w:right w:val="none" w:sz="0" w:space="0" w:color="auto"/>
                      </w:divBdr>
                      <w:divsChild>
                        <w:div w:id="139737509">
                          <w:marLeft w:val="0"/>
                          <w:marRight w:val="0"/>
                          <w:marTop w:val="15"/>
                          <w:marBottom w:val="0"/>
                          <w:divBdr>
                            <w:top w:val="none" w:sz="0" w:space="0" w:color="auto"/>
                            <w:left w:val="none" w:sz="0" w:space="0" w:color="auto"/>
                            <w:bottom w:val="none" w:sz="0" w:space="0" w:color="auto"/>
                            <w:right w:val="none" w:sz="0" w:space="0" w:color="auto"/>
                          </w:divBdr>
                          <w:divsChild>
                            <w:div w:id="2094811291">
                              <w:marLeft w:val="0"/>
                              <w:marRight w:val="0"/>
                              <w:marTop w:val="0"/>
                              <w:marBottom w:val="0"/>
                              <w:divBdr>
                                <w:top w:val="none" w:sz="0" w:space="0" w:color="auto"/>
                                <w:left w:val="none" w:sz="0" w:space="0" w:color="auto"/>
                                <w:bottom w:val="none" w:sz="0" w:space="0" w:color="auto"/>
                                <w:right w:val="none" w:sz="0" w:space="0" w:color="auto"/>
                              </w:divBdr>
                              <w:divsChild>
                                <w:div w:id="2009673457">
                                  <w:marLeft w:val="0"/>
                                  <w:marRight w:val="0"/>
                                  <w:marTop w:val="0"/>
                                  <w:marBottom w:val="0"/>
                                  <w:divBdr>
                                    <w:top w:val="none" w:sz="0" w:space="0" w:color="auto"/>
                                    <w:left w:val="none" w:sz="0" w:space="0" w:color="auto"/>
                                    <w:bottom w:val="none" w:sz="0" w:space="0" w:color="auto"/>
                                    <w:right w:val="none" w:sz="0" w:space="0" w:color="auto"/>
                                  </w:divBdr>
                                </w:div>
                                <w:div w:id="1848667668">
                                  <w:marLeft w:val="0"/>
                                  <w:marRight w:val="0"/>
                                  <w:marTop w:val="0"/>
                                  <w:marBottom w:val="0"/>
                                  <w:divBdr>
                                    <w:top w:val="none" w:sz="0" w:space="0" w:color="auto"/>
                                    <w:left w:val="none" w:sz="0" w:space="0" w:color="auto"/>
                                    <w:bottom w:val="none" w:sz="0" w:space="0" w:color="auto"/>
                                    <w:right w:val="none" w:sz="0" w:space="0" w:color="auto"/>
                                  </w:divBdr>
                                </w:div>
                                <w:div w:id="664477540">
                                  <w:marLeft w:val="0"/>
                                  <w:marRight w:val="0"/>
                                  <w:marTop w:val="0"/>
                                  <w:marBottom w:val="0"/>
                                  <w:divBdr>
                                    <w:top w:val="none" w:sz="0" w:space="0" w:color="auto"/>
                                    <w:left w:val="none" w:sz="0" w:space="0" w:color="auto"/>
                                    <w:bottom w:val="none" w:sz="0" w:space="0" w:color="auto"/>
                                    <w:right w:val="none" w:sz="0" w:space="0" w:color="auto"/>
                                  </w:divBdr>
                                </w:div>
                                <w:div w:id="1087002710">
                                  <w:marLeft w:val="0"/>
                                  <w:marRight w:val="0"/>
                                  <w:marTop w:val="0"/>
                                  <w:marBottom w:val="0"/>
                                  <w:divBdr>
                                    <w:top w:val="none" w:sz="0" w:space="0" w:color="auto"/>
                                    <w:left w:val="none" w:sz="0" w:space="0" w:color="auto"/>
                                    <w:bottom w:val="none" w:sz="0" w:space="0" w:color="auto"/>
                                    <w:right w:val="none" w:sz="0" w:space="0" w:color="auto"/>
                                  </w:divBdr>
                                </w:div>
                                <w:div w:id="1803185596">
                                  <w:marLeft w:val="0"/>
                                  <w:marRight w:val="0"/>
                                  <w:marTop w:val="0"/>
                                  <w:marBottom w:val="0"/>
                                  <w:divBdr>
                                    <w:top w:val="none" w:sz="0" w:space="0" w:color="auto"/>
                                    <w:left w:val="none" w:sz="0" w:space="0" w:color="auto"/>
                                    <w:bottom w:val="none" w:sz="0" w:space="0" w:color="auto"/>
                                    <w:right w:val="none" w:sz="0" w:space="0" w:color="auto"/>
                                  </w:divBdr>
                                </w:div>
                                <w:div w:id="1820997297">
                                  <w:marLeft w:val="0"/>
                                  <w:marRight w:val="0"/>
                                  <w:marTop w:val="0"/>
                                  <w:marBottom w:val="0"/>
                                  <w:divBdr>
                                    <w:top w:val="none" w:sz="0" w:space="0" w:color="auto"/>
                                    <w:left w:val="none" w:sz="0" w:space="0" w:color="auto"/>
                                    <w:bottom w:val="none" w:sz="0" w:space="0" w:color="auto"/>
                                    <w:right w:val="none" w:sz="0" w:space="0" w:color="auto"/>
                                  </w:divBdr>
                                </w:div>
                                <w:div w:id="776096951">
                                  <w:marLeft w:val="0"/>
                                  <w:marRight w:val="0"/>
                                  <w:marTop w:val="0"/>
                                  <w:marBottom w:val="0"/>
                                  <w:divBdr>
                                    <w:top w:val="none" w:sz="0" w:space="0" w:color="auto"/>
                                    <w:left w:val="none" w:sz="0" w:space="0" w:color="auto"/>
                                    <w:bottom w:val="none" w:sz="0" w:space="0" w:color="auto"/>
                                    <w:right w:val="none" w:sz="0" w:space="0" w:color="auto"/>
                                  </w:divBdr>
                                </w:div>
                                <w:div w:id="919560733">
                                  <w:marLeft w:val="0"/>
                                  <w:marRight w:val="0"/>
                                  <w:marTop w:val="0"/>
                                  <w:marBottom w:val="0"/>
                                  <w:divBdr>
                                    <w:top w:val="none" w:sz="0" w:space="0" w:color="auto"/>
                                    <w:left w:val="none" w:sz="0" w:space="0" w:color="auto"/>
                                    <w:bottom w:val="none" w:sz="0" w:space="0" w:color="auto"/>
                                    <w:right w:val="none" w:sz="0" w:space="0" w:color="auto"/>
                                  </w:divBdr>
                                </w:div>
                                <w:div w:id="203758835">
                                  <w:marLeft w:val="0"/>
                                  <w:marRight w:val="0"/>
                                  <w:marTop w:val="0"/>
                                  <w:marBottom w:val="0"/>
                                  <w:divBdr>
                                    <w:top w:val="none" w:sz="0" w:space="0" w:color="auto"/>
                                    <w:left w:val="none" w:sz="0" w:space="0" w:color="auto"/>
                                    <w:bottom w:val="none" w:sz="0" w:space="0" w:color="auto"/>
                                    <w:right w:val="none" w:sz="0" w:space="0" w:color="auto"/>
                                  </w:divBdr>
                                </w:div>
                                <w:div w:id="708381170">
                                  <w:marLeft w:val="0"/>
                                  <w:marRight w:val="0"/>
                                  <w:marTop w:val="0"/>
                                  <w:marBottom w:val="0"/>
                                  <w:divBdr>
                                    <w:top w:val="none" w:sz="0" w:space="0" w:color="auto"/>
                                    <w:left w:val="none" w:sz="0" w:space="0" w:color="auto"/>
                                    <w:bottom w:val="none" w:sz="0" w:space="0" w:color="auto"/>
                                    <w:right w:val="none" w:sz="0" w:space="0" w:color="auto"/>
                                  </w:divBdr>
                                </w:div>
                                <w:div w:id="545604977">
                                  <w:marLeft w:val="0"/>
                                  <w:marRight w:val="0"/>
                                  <w:marTop w:val="0"/>
                                  <w:marBottom w:val="0"/>
                                  <w:divBdr>
                                    <w:top w:val="none" w:sz="0" w:space="0" w:color="auto"/>
                                    <w:left w:val="none" w:sz="0" w:space="0" w:color="auto"/>
                                    <w:bottom w:val="none" w:sz="0" w:space="0" w:color="auto"/>
                                    <w:right w:val="none" w:sz="0" w:space="0" w:color="auto"/>
                                  </w:divBdr>
                                </w:div>
                                <w:div w:id="247203388">
                                  <w:marLeft w:val="0"/>
                                  <w:marRight w:val="0"/>
                                  <w:marTop w:val="0"/>
                                  <w:marBottom w:val="0"/>
                                  <w:divBdr>
                                    <w:top w:val="none" w:sz="0" w:space="0" w:color="auto"/>
                                    <w:left w:val="none" w:sz="0" w:space="0" w:color="auto"/>
                                    <w:bottom w:val="none" w:sz="0" w:space="0" w:color="auto"/>
                                    <w:right w:val="none" w:sz="0" w:space="0" w:color="auto"/>
                                  </w:divBdr>
                                </w:div>
                                <w:div w:id="1204365725">
                                  <w:marLeft w:val="0"/>
                                  <w:marRight w:val="0"/>
                                  <w:marTop w:val="0"/>
                                  <w:marBottom w:val="0"/>
                                  <w:divBdr>
                                    <w:top w:val="none" w:sz="0" w:space="0" w:color="auto"/>
                                    <w:left w:val="none" w:sz="0" w:space="0" w:color="auto"/>
                                    <w:bottom w:val="none" w:sz="0" w:space="0" w:color="auto"/>
                                    <w:right w:val="none" w:sz="0" w:space="0" w:color="auto"/>
                                  </w:divBdr>
                                </w:div>
                                <w:div w:id="266814744">
                                  <w:marLeft w:val="0"/>
                                  <w:marRight w:val="0"/>
                                  <w:marTop w:val="0"/>
                                  <w:marBottom w:val="0"/>
                                  <w:divBdr>
                                    <w:top w:val="none" w:sz="0" w:space="0" w:color="auto"/>
                                    <w:left w:val="none" w:sz="0" w:space="0" w:color="auto"/>
                                    <w:bottom w:val="none" w:sz="0" w:space="0" w:color="auto"/>
                                    <w:right w:val="none" w:sz="0" w:space="0" w:color="auto"/>
                                  </w:divBdr>
                                </w:div>
                                <w:div w:id="1257396299">
                                  <w:marLeft w:val="0"/>
                                  <w:marRight w:val="0"/>
                                  <w:marTop w:val="0"/>
                                  <w:marBottom w:val="0"/>
                                  <w:divBdr>
                                    <w:top w:val="none" w:sz="0" w:space="0" w:color="auto"/>
                                    <w:left w:val="none" w:sz="0" w:space="0" w:color="auto"/>
                                    <w:bottom w:val="none" w:sz="0" w:space="0" w:color="auto"/>
                                    <w:right w:val="none" w:sz="0" w:space="0" w:color="auto"/>
                                  </w:divBdr>
                                </w:div>
                                <w:div w:id="1195729785">
                                  <w:marLeft w:val="0"/>
                                  <w:marRight w:val="0"/>
                                  <w:marTop w:val="0"/>
                                  <w:marBottom w:val="0"/>
                                  <w:divBdr>
                                    <w:top w:val="none" w:sz="0" w:space="0" w:color="auto"/>
                                    <w:left w:val="none" w:sz="0" w:space="0" w:color="auto"/>
                                    <w:bottom w:val="none" w:sz="0" w:space="0" w:color="auto"/>
                                    <w:right w:val="none" w:sz="0" w:space="0" w:color="auto"/>
                                  </w:divBdr>
                                </w:div>
                                <w:div w:id="1137912995">
                                  <w:marLeft w:val="0"/>
                                  <w:marRight w:val="0"/>
                                  <w:marTop w:val="0"/>
                                  <w:marBottom w:val="0"/>
                                  <w:divBdr>
                                    <w:top w:val="none" w:sz="0" w:space="0" w:color="auto"/>
                                    <w:left w:val="none" w:sz="0" w:space="0" w:color="auto"/>
                                    <w:bottom w:val="none" w:sz="0" w:space="0" w:color="auto"/>
                                    <w:right w:val="none" w:sz="0" w:space="0" w:color="auto"/>
                                  </w:divBdr>
                                </w:div>
                                <w:div w:id="265310623">
                                  <w:marLeft w:val="0"/>
                                  <w:marRight w:val="0"/>
                                  <w:marTop w:val="0"/>
                                  <w:marBottom w:val="0"/>
                                  <w:divBdr>
                                    <w:top w:val="none" w:sz="0" w:space="0" w:color="auto"/>
                                    <w:left w:val="none" w:sz="0" w:space="0" w:color="auto"/>
                                    <w:bottom w:val="none" w:sz="0" w:space="0" w:color="auto"/>
                                    <w:right w:val="none" w:sz="0" w:space="0" w:color="auto"/>
                                  </w:divBdr>
                                </w:div>
                                <w:div w:id="1373381919">
                                  <w:marLeft w:val="0"/>
                                  <w:marRight w:val="0"/>
                                  <w:marTop w:val="0"/>
                                  <w:marBottom w:val="0"/>
                                  <w:divBdr>
                                    <w:top w:val="none" w:sz="0" w:space="0" w:color="auto"/>
                                    <w:left w:val="none" w:sz="0" w:space="0" w:color="auto"/>
                                    <w:bottom w:val="none" w:sz="0" w:space="0" w:color="auto"/>
                                    <w:right w:val="none" w:sz="0" w:space="0" w:color="auto"/>
                                  </w:divBdr>
                                </w:div>
                                <w:div w:id="684206922">
                                  <w:marLeft w:val="0"/>
                                  <w:marRight w:val="0"/>
                                  <w:marTop w:val="0"/>
                                  <w:marBottom w:val="0"/>
                                  <w:divBdr>
                                    <w:top w:val="none" w:sz="0" w:space="0" w:color="auto"/>
                                    <w:left w:val="none" w:sz="0" w:space="0" w:color="auto"/>
                                    <w:bottom w:val="none" w:sz="0" w:space="0" w:color="auto"/>
                                    <w:right w:val="none" w:sz="0" w:space="0" w:color="auto"/>
                                  </w:divBdr>
                                </w:div>
                                <w:div w:id="1509372064">
                                  <w:marLeft w:val="0"/>
                                  <w:marRight w:val="0"/>
                                  <w:marTop w:val="0"/>
                                  <w:marBottom w:val="0"/>
                                  <w:divBdr>
                                    <w:top w:val="none" w:sz="0" w:space="0" w:color="auto"/>
                                    <w:left w:val="none" w:sz="0" w:space="0" w:color="auto"/>
                                    <w:bottom w:val="none" w:sz="0" w:space="0" w:color="auto"/>
                                    <w:right w:val="none" w:sz="0" w:space="0" w:color="auto"/>
                                  </w:divBdr>
                                </w:div>
                                <w:div w:id="5912684">
                                  <w:marLeft w:val="0"/>
                                  <w:marRight w:val="0"/>
                                  <w:marTop w:val="0"/>
                                  <w:marBottom w:val="0"/>
                                  <w:divBdr>
                                    <w:top w:val="none" w:sz="0" w:space="0" w:color="auto"/>
                                    <w:left w:val="none" w:sz="0" w:space="0" w:color="auto"/>
                                    <w:bottom w:val="none" w:sz="0" w:space="0" w:color="auto"/>
                                    <w:right w:val="none" w:sz="0" w:space="0" w:color="auto"/>
                                  </w:divBdr>
                                </w:div>
                                <w:div w:id="573275001">
                                  <w:marLeft w:val="0"/>
                                  <w:marRight w:val="0"/>
                                  <w:marTop w:val="0"/>
                                  <w:marBottom w:val="0"/>
                                  <w:divBdr>
                                    <w:top w:val="none" w:sz="0" w:space="0" w:color="auto"/>
                                    <w:left w:val="none" w:sz="0" w:space="0" w:color="auto"/>
                                    <w:bottom w:val="none" w:sz="0" w:space="0" w:color="auto"/>
                                    <w:right w:val="none" w:sz="0" w:space="0" w:color="auto"/>
                                  </w:divBdr>
                                </w:div>
                                <w:div w:id="2142187106">
                                  <w:marLeft w:val="0"/>
                                  <w:marRight w:val="0"/>
                                  <w:marTop w:val="0"/>
                                  <w:marBottom w:val="0"/>
                                  <w:divBdr>
                                    <w:top w:val="none" w:sz="0" w:space="0" w:color="auto"/>
                                    <w:left w:val="none" w:sz="0" w:space="0" w:color="auto"/>
                                    <w:bottom w:val="none" w:sz="0" w:space="0" w:color="auto"/>
                                    <w:right w:val="none" w:sz="0" w:space="0" w:color="auto"/>
                                  </w:divBdr>
                                </w:div>
                                <w:div w:id="50276522">
                                  <w:marLeft w:val="0"/>
                                  <w:marRight w:val="0"/>
                                  <w:marTop w:val="0"/>
                                  <w:marBottom w:val="0"/>
                                  <w:divBdr>
                                    <w:top w:val="none" w:sz="0" w:space="0" w:color="auto"/>
                                    <w:left w:val="none" w:sz="0" w:space="0" w:color="auto"/>
                                    <w:bottom w:val="none" w:sz="0" w:space="0" w:color="auto"/>
                                    <w:right w:val="none" w:sz="0" w:space="0" w:color="auto"/>
                                  </w:divBdr>
                                </w:div>
                                <w:div w:id="137112977">
                                  <w:marLeft w:val="0"/>
                                  <w:marRight w:val="0"/>
                                  <w:marTop w:val="0"/>
                                  <w:marBottom w:val="0"/>
                                  <w:divBdr>
                                    <w:top w:val="none" w:sz="0" w:space="0" w:color="auto"/>
                                    <w:left w:val="none" w:sz="0" w:space="0" w:color="auto"/>
                                    <w:bottom w:val="none" w:sz="0" w:space="0" w:color="auto"/>
                                    <w:right w:val="none" w:sz="0" w:space="0" w:color="auto"/>
                                  </w:divBdr>
                                </w:div>
                                <w:div w:id="656687480">
                                  <w:marLeft w:val="0"/>
                                  <w:marRight w:val="0"/>
                                  <w:marTop w:val="0"/>
                                  <w:marBottom w:val="0"/>
                                  <w:divBdr>
                                    <w:top w:val="none" w:sz="0" w:space="0" w:color="auto"/>
                                    <w:left w:val="none" w:sz="0" w:space="0" w:color="auto"/>
                                    <w:bottom w:val="none" w:sz="0" w:space="0" w:color="auto"/>
                                    <w:right w:val="none" w:sz="0" w:space="0" w:color="auto"/>
                                  </w:divBdr>
                                </w:div>
                                <w:div w:id="780026190">
                                  <w:marLeft w:val="0"/>
                                  <w:marRight w:val="0"/>
                                  <w:marTop w:val="0"/>
                                  <w:marBottom w:val="0"/>
                                  <w:divBdr>
                                    <w:top w:val="none" w:sz="0" w:space="0" w:color="auto"/>
                                    <w:left w:val="none" w:sz="0" w:space="0" w:color="auto"/>
                                    <w:bottom w:val="none" w:sz="0" w:space="0" w:color="auto"/>
                                    <w:right w:val="none" w:sz="0" w:space="0" w:color="auto"/>
                                  </w:divBdr>
                                </w:div>
                                <w:div w:id="1541626632">
                                  <w:marLeft w:val="0"/>
                                  <w:marRight w:val="0"/>
                                  <w:marTop w:val="0"/>
                                  <w:marBottom w:val="0"/>
                                  <w:divBdr>
                                    <w:top w:val="none" w:sz="0" w:space="0" w:color="auto"/>
                                    <w:left w:val="none" w:sz="0" w:space="0" w:color="auto"/>
                                    <w:bottom w:val="none" w:sz="0" w:space="0" w:color="auto"/>
                                    <w:right w:val="none" w:sz="0" w:space="0" w:color="auto"/>
                                  </w:divBdr>
                                </w:div>
                                <w:div w:id="1990741242">
                                  <w:marLeft w:val="0"/>
                                  <w:marRight w:val="0"/>
                                  <w:marTop w:val="0"/>
                                  <w:marBottom w:val="0"/>
                                  <w:divBdr>
                                    <w:top w:val="none" w:sz="0" w:space="0" w:color="auto"/>
                                    <w:left w:val="none" w:sz="0" w:space="0" w:color="auto"/>
                                    <w:bottom w:val="none" w:sz="0" w:space="0" w:color="auto"/>
                                    <w:right w:val="none" w:sz="0" w:space="0" w:color="auto"/>
                                  </w:divBdr>
                                </w:div>
                                <w:div w:id="875586566">
                                  <w:marLeft w:val="0"/>
                                  <w:marRight w:val="0"/>
                                  <w:marTop w:val="0"/>
                                  <w:marBottom w:val="0"/>
                                  <w:divBdr>
                                    <w:top w:val="none" w:sz="0" w:space="0" w:color="auto"/>
                                    <w:left w:val="none" w:sz="0" w:space="0" w:color="auto"/>
                                    <w:bottom w:val="none" w:sz="0" w:space="0" w:color="auto"/>
                                    <w:right w:val="none" w:sz="0" w:space="0" w:color="auto"/>
                                  </w:divBdr>
                                </w:div>
                                <w:div w:id="1822308701">
                                  <w:marLeft w:val="0"/>
                                  <w:marRight w:val="0"/>
                                  <w:marTop w:val="0"/>
                                  <w:marBottom w:val="0"/>
                                  <w:divBdr>
                                    <w:top w:val="none" w:sz="0" w:space="0" w:color="auto"/>
                                    <w:left w:val="none" w:sz="0" w:space="0" w:color="auto"/>
                                    <w:bottom w:val="none" w:sz="0" w:space="0" w:color="auto"/>
                                    <w:right w:val="none" w:sz="0" w:space="0" w:color="auto"/>
                                  </w:divBdr>
                                </w:div>
                                <w:div w:id="876812738">
                                  <w:marLeft w:val="0"/>
                                  <w:marRight w:val="0"/>
                                  <w:marTop w:val="0"/>
                                  <w:marBottom w:val="0"/>
                                  <w:divBdr>
                                    <w:top w:val="none" w:sz="0" w:space="0" w:color="auto"/>
                                    <w:left w:val="none" w:sz="0" w:space="0" w:color="auto"/>
                                    <w:bottom w:val="none" w:sz="0" w:space="0" w:color="auto"/>
                                    <w:right w:val="none" w:sz="0" w:space="0" w:color="auto"/>
                                  </w:divBdr>
                                </w:div>
                                <w:div w:id="794756255">
                                  <w:marLeft w:val="0"/>
                                  <w:marRight w:val="0"/>
                                  <w:marTop w:val="0"/>
                                  <w:marBottom w:val="0"/>
                                  <w:divBdr>
                                    <w:top w:val="none" w:sz="0" w:space="0" w:color="auto"/>
                                    <w:left w:val="none" w:sz="0" w:space="0" w:color="auto"/>
                                    <w:bottom w:val="none" w:sz="0" w:space="0" w:color="auto"/>
                                    <w:right w:val="none" w:sz="0" w:space="0" w:color="auto"/>
                                  </w:divBdr>
                                </w:div>
                                <w:div w:id="1639414552">
                                  <w:marLeft w:val="0"/>
                                  <w:marRight w:val="0"/>
                                  <w:marTop w:val="0"/>
                                  <w:marBottom w:val="0"/>
                                  <w:divBdr>
                                    <w:top w:val="none" w:sz="0" w:space="0" w:color="auto"/>
                                    <w:left w:val="none" w:sz="0" w:space="0" w:color="auto"/>
                                    <w:bottom w:val="none" w:sz="0" w:space="0" w:color="auto"/>
                                    <w:right w:val="none" w:sz="0" w:space="0" w:color="auto"/>
                                  </w:divBdr>
                                </w:div>
                                <w:div w:id="1761754343">
                                  <w:marLeft w:val="0"/>
                                  <w:marRight w:val="0"/>
                                  <w:marTop w:val="0"/>
                                  <w:marBottom w:val="0"/>
                                  <w:divBdr>
                                    <w:top w:val="none" w:sz="0" w:space="0" w:color="auto"/>
                                    <w:left w:val="none" w:sz="0" w:space="0" w:color="auto"/>
                                    <w:bottom w:val="none" w:sz="0" w:space="0" w:color="auto"/>
                                    <w:right w:val="none" w:sz="0" w:space="0" w:color="auto"/>
                                  </w:divBdr>
                                </w:div>
                                <w:div w:id="2091458514">
                                  <w:marLeft w:val="0"/>
                                  <w:marRight w:val="0"/>
                                  <w:marTop w:val="0"/>
                                  <w:marBottom w:val="0"/>
                                  <w:divBdr>
                                    <w:top w:val="none" w:sz="0" w:space="0" w:color="auto"/>
                                    <w:left w:val="none" w:sz="0" w:space="0" w:color="auto"/>
                                    <w:bottom w:val="none" w:sz="0" w:space="0" w:color="auto"/>
                                    <w:right w:val="none" w:sz="0" w:space="0" w:color="auto"/>
                                  </w:divBdr>
                                </w:div>
                                <w:div w:id="1447430164">
                                  <w:marLeft w:val="0"/>
                                  <w:marRight w:val="0"/>
                                  <w:marTop w:val="0"/>
                                  <w:marBottom w:val="0"/>
                                  <w:divBdr>
                                    <w:top w:val="none" w:sz="0" w:space="0" w:color="auto"/>
                                    <w:left w:val="none" w:sz="0" w:space="0" w:color="auto"/>
                                    <w:bottom w:val="none" w:sz="0" w:space="0" w:color="auto"/>
                                    <w:right w:val="none" w:sz="0" w:space="0" w:color="auto"/>
                                  </w:divBdr>
                                </w:div>
                                <w:div w:id="1686515335">
                                  <w:marLeft w:val="0"/>
                                  <w:marRight w:val="0"/>
                                  <w:marTop w:val="0"/>
                                  <w:marBottom w:val="0"/>
                                  <w:divBdr>
                                    <w:top w:val="none" w:sz="0" w:space="0" w:color="auto"/>
                                    <w:left w:val="none" w:sz="0" w:space="0" w:color="auto"/>
                                    <w:bottom w:val="none" w:sz="0" w:space="0" w:color="auto"/>
                                    <w:right w:val="none" w:sz="0" w:space="0" w:color="auto"/>
                                  </w:divBdr>
                                </w:div>
                                <w:div w:id="269625667">
                                  <w:marLeft w:val="0"/>
                                  <w:marRight w:val="0"/>
                                  <w:marTop w:val="0"/>
                                  <w:marBottom w:val="0"/>
                                  <w:divBdr>
                                    <w:top w:val="none" w:sz="0" w:space="0" w:color="auto"/>
                                    <w:left w:val="none" w:sz="0" w:space="0" w:color="auto"/>
                                    <w:bottom w:val="none" w:sz="0" w:space="0" w:color="auto"/>
                                    <w:right w:val="none" w:sz="0" w:space="0" w:color="auto"/>
                                  </w:divBdr>
                                </w:div>
                                <w:div w:id="190075883">
                                  <w:marLeft w:val="0"/>
                                  <w:marRight w:val="0"/>
                                  <w:marTop w:val="0"/>
                                  <w:marBottom w:val="0"/>
                                  <w:divBdr>
                                    <w:top w:val="none" w:sz="0" w:space="0" w:color="auto"/>
                                    <w:left w:val="none" w:sz="0" w:space="0" w:color="auto"/>
                                    <w:bottom w:val="none" w:sz="0" w:space="0" w:color="auto"/>
                                    <w:right w:val="none" w:sz="0" w:space="0" w:color="auto"/>
                                  </w:divBdr>
                                </w:div>
                                <w:div w:id="232935734">
                                  <w:marLeft w:val="0"/>
                                  <w:marRight w:val="0"/>
                                  <w:marTop w:val="0"/>
                                  <w:marBottom w:val="0"/>
                                  <w:divBdr>
                                    <w:top w:val="none" w:sz="0" w:space="0" w:color="auto"/>
                                    <w:left w:val="none" w:sz="0" w:space="0" w:color="auto"/>
                                    <w:bottom w:val="none" w:sz="0" w:space="0" w:color="auto"/>
                                    <w:right w:val="none" w:sz="0" w:space="0" w:color="auto"/>
                                  </w:divBdr>
                                </w:div>
                                <w:div w:id="500464034">
                                  <w:marLeft w:val="0"/>
                                  <w:marRight w:val="0"/>
                                  <w:marTop w:val="0"/>
                                  <w:marBottom w:val="0"/>
                                  <w:divBdr>
                                    <w:top w:val="none" w:sz="0" w:space="0" w:color="auto"/>
                                    <w:left w:val="none" w:sz="0" w:space="0" w:color="auto"/>
                                    <w:bottom w:val="none" w:sz="0" w:space="0" w:color="auto"/>
                                    <w:right w:val="none" w:sz="0" w:space="0" w:color="auto"/>
                                  </w:divBdr>
                                </w:div>
                                <w:div w:id="1497382499">
                                  <w:marLeft w:val="0"/>
                                  <w:marRight w:val="0"/>
                                  <w:marTop w:val="0"/>
                                  <w:marBottom w:val="0"/>
                                  <w:divBdr>
                                    <w:top w:val="none" w:sz="0" w:space="0" w:color="auto"/>
                                    <w:left w:val="none" w:sz="0" w:space="0" w:color="auto"/>
                                    <w:bottom w:val="none" w:sz="0" w:space="0" w:color="auto"/>
                                    <w:right w:val="none" w:sz="0" w:space="0" w:color="auto"/>
                                  </w:divBdr>
                                </w:div>
                                <w:div w:id="18754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23883">
                          <w:marLeft w:val="0"/>
                          <w:marRight w:val="0"/>
                          <w:marTop w:val="15"/>
                          <w:marBottom w:val="0"/>
                          <w:divBdr>
                            <w:top w:val="none" w:sz="0" w:space="0" w:color="auto"/>
                            <w:left w:val="none" w:sz="0" w:space="0" w:color="auto"/>
                            <w:bottom w:val="none" w:sz="0" w:space="0" w:color="auto"/>
                            <w:right w:val="none" w:sz="0" w:space="0" w:color="auto"/>
                          </w:divBdr>
                          <w:divsChild>
                            <w:div w:id="1126463065">
                              <w:marLeft w:val="0"/>
                              <w:marRight w:val="0"/>
                              <w:marTop w:val="0"/>
                              <w:marBottom w:val="0"/>
                              <w:divBdr>
                                <w:top w:val="none" w:sz="0" w:space="0" w:color="auto"/>
                                <w:left w:val="none" w:sz="0" w:space="0" w:color="auto"/>
                                <w:bottom w:val="none" w:sz="0" w:space="0" w:color="auto"/>
                                <w:right w:val="none" w:sz="0" w:space="0" w:color="auto"/>
                              </w:divBdr>
                              <w:divsChild>
                                <w:div w:id="215747374">
                                  <w:marLeft w:val="0"/>
                                  <w:marRight w:val="0"/>
                                  <w:marTop w:val="0"/>
                                  <w:marBottom w:val="0"/>
                                  <w:divBdr>
                                    <w:top w:val="none" w:sz="0" w:space="0" w:color="auto"/>
                                    <w:left w:val="none" w:sz="0" w:space="0" w:color="auto"/>
                                    <w:bottom w:val="none" w:sz="0" w:space="0" w:color="auto"/>
                                    <w:right w:val="none" w:sz="0" w:space="0" w:color="auto"/>
                                  </w:divBdr>
                                </w:div>
                                <w:div w:id="1942106311">
                                  <w:marLeft w:val="0"/>
                                  <w:marRight w:val="0"/>
                                  <w:marTop w:val="0"/>
                                  <w:marBottom w:val="0"/>
                                  <w:divBdr>
                                    <w:top w:val="none" w:sz="0" w:space="0" w:color="auto"/>
                                    <w:left w:val="none" w:sz="0" w:space="0" w:color="auto"/>
                                    <w:bottom w:val="none" w:sz="0" w:space="0" w:color="auto"/>
                                    <w:right w:val="none" w:sz="0" w:space="0" w:color="auto"/>
                                  </w:divBdr>
                                </w:div>
                                <w:div w:id="1585918740">
                                  <w:marLeft w:val="0"/>
                                  <w:marRight w:val="0"/>
                                  <w:marTop w:val="0"/>
                                  <w:marBottom w:val="0"/>
                                  <w:divBdr>
                                    <w:top w:val="none" w:sz="0" w:space="0" w:color="auto"/>
                                    <w:left w:val="none" w:sz="0" w:space="0" w:color="auto"/>
                                    <w:bottom w:val="none" w:sz="0" w:space="0" w:color="auto"/>
                                    <w:right w:val="none" w:sz="0" w:space="0" w:color="auto"/>
                                  </w:divBdr>
                                </w:div>
                                <w:div w:id="341779361">
                                  <w:marLeft w:val="0"/>
                                  <w:marRight w:val="0"/>
                                  <w:marTop w:val="0"/>
                                  <w:marBottom w:val="0"/>
                                  <w:divBdr>
                                    <w:top w:val="none" w:sz="0" w:space="0" w:color="auto"/>
                                    <w:left w:val="none" w:sz="0" w:space="0" w:color="auto"/>
                                    <w:bottom w:val="none" w:sz="0" w:space="0" w:color="auto"/>
                                    <w:right w:val="none" w:sz="0" w:space="0" w:color="auto"/>
                                  </w:divBdr>
                                </w:div>
                                <w:div w:id="1566645658">
                                  <w:marLeft w:val="0"/>
                                  <w:marRight w:val="0"/>
                                  <w:marTop w:val="0"/>
                                  <w:marBottom w:val="0"/>
                                  <w:divBdr>
                                    <w:top w:val="none" w:sz="0" w:space="0" w:color="auto"/>
                                    <w:left w:val="none" w:sz="0" w:space="0" w:color="auto"/>
                                    <w:bottom w:val="none" w:sz="0" w:space="0" w:color="auto"/>
                                    <w:right w:val="none" w:sz="0" w:space="0" w:color="auto"/>
                                  </w:divBdr>
                                </w:div>
                                <w:div w:id="1039742324">
                                  <w:marLeft w:val="0"/>
                                  <w:marRight w:val="0"/>
                                  <w:marTop w:val="0"/>
                                  <w:marBottom w:val="0"/>
                                  <w:divBdr>
                                    <w:top w:val="none" w:sz="0" w:space="0" w:color="auto"/>
                                    <w:left w:val="none" w:sz="0" w:space="0" w:color="auto"/>
                                    <w:bottom w:val="none" w:sz="0" w:space="0" w:color="auto"/>
                                    <w:right w:val="none" w:sz="0" w:space="0" w:color="auto"/>
                                  </w:divBdr>
                                </w:div>
                                <w:div w:id="1112744514">
                                  <w:marLeft w:val="0"/>
                                  <w:marRight w:val="0"/>
                                  <w:marTop w:val="0"/>
                                  <w:marBottom w:val="0"/>
                                  <w:divBdr>
                                    <w:top w:val="none" w:sz="0" w:space="0" w:color="auto"/>
                                    <w:left w:val="none" w:sz="0" w:space="0" w:color="auto"/>
                                    <w:bottom w:val="none" w:sz="0" w:space="0" w:color="auto"/>
                                    <w:right w:val="none" w:sz="0" w:space="0" w:color="auto"/>
                                  </w:divBdr>
                                </w:div>
                                <w:div w:id="1302229821">
                                  <w:marLeft w:val="0"/>
                                  <w:marRight w:val="0"/>
                                  <w:marTop w:val="0"/>
                                  <w:marBottom w:val="0"/>
                                  <w:divBdr>
                                    <w:top w:val="none" w:sz="0" w:space="0" w:color="auto"/>
                                    <w:left w:val="none" w:sz="0" w:space="0" w:color="auto"/>
                                    <w:bottom w:val="none" w:sz="0" w:space="0" w:color="auto"/>
                                    <w:right w:val="none" w:sz="0" w:space="0" w:color="auto"/>
                                  </w:divBdr>
                                </w:div>
                                <w:div w:id="268392525">
                                  <w:marLeft w:val="0"/>
                                  <w:marRight w:val="0"/>
                                  <w:marTop w:val="0"/>
                                  <w:marBottom w:val="0"/>
                                  <w:divBdr>
                                    <w:top w:val="none" w:sz="0" w:space="0" w:color="auto"/>
                                    <w:left w:val="none" w:sz="0" w:space="0" w:color="auto"/>
                                    <w:bottom w:val="none" w:sz="0" w:space="0" w:color="auto"/>
                                    <w:right w:val="none" w:sz="0" w:space="0" w:color="auto"/>
                                  </w:divBdr>
                                </w:div>
                                <w:div w:id="559289857">
                                  <w:marLeft w:val="0"/>
                                  <w:marRight w:val="0"/>
                                  <w:marTop w:val="0"/>
                                  <w:marBottom w:val="0"/>
                                  <w:divBdr>
                                    <w:top w:val="none" w:sz="0" w:space="0" w:color="auto"/>
                                    <w:left w:val="none" w:sz="0" w:space="0" w:color="auto"/>
                                    <w:bottom w:val="none" w:sz="0" w:space="0" w:color="auto"/>
                                    <w:right w:val="none" w:sz="0" w:space="0" w:color="auto"/>
                                  </w:divBdr>
                                </w:div>
                                <w:div w:id="1087851135">
                                  <w:marLeft w:val="0"/>
                                  <w:marRight w:val="0"/>
                                  <w:marTop w:val="0"/>
                                  <w:marBottom w:val="0"/>
                                  <w:divBdr>
                                    <w:top w:val="none" w:sz="0" w:space="0" w:color="auto"/>
                                    <w:left w:val="none" w:sz="0" w:space="0" w:color="auto"/>
                                    <w:bottom w:val="none" w:sz="0" w:space="0" w:color="auto"/>
                                    <w:right w:val="none" w:sz="0" w:space="0" w:color="auto"/>
                                  </w:divBdr>
                                </w:div>
                                <w:div w:id="93327485">
                                  <w:marLeft w:val="0"/>
                                  <w:marRight w:val="0"/>
                                  <w:marTop w:val="0"/>
                                  <w:marBottom w:val="0"/>
                                  <w:divBdr>
                                    <w:top w:val="none" w:sz="0" w:space="0" w:color="auto"/>
                                    <w:left w:val="none" w:sz="0" w:space="0" w:color="auto"/>
                                    <w:bottom w:val="none" w:sz="0" w:space="0" w:color="auto"/>
                                    <w:right w:val="none" w:sz="0" w:space="0" w:color="auto"/>
                                  </w:divBdr>
                                </w:div>
                                <w:div w:id="527375853">
                                  <w:marLeft w:val="0"/>
                                  <w:marRight w:val="0"/>
                                  <w:marTop w:val="0"/>
                                  <w:marBottom w:val="0"/>
                                  <w:divBdr>
                                    <w:top w:val="none" w:sz="0" w:space="0" w:color="auto"/>
                                    <w:left w:val="none" w:sz="0" w:space="0" w:color="auto"/>
                                    <w:bottom w:val="none" w:sz="0" w:space="0" w:color="auto"/>
                                    <w:right w:val="none" w:sz="0" w:space="0" w:color="auto"/>
                                  </w:divBdr>
                                </w:div>
                                <w:div w:id="495919789">
                                  <w:marLeft w:val="0"/>
                                  <w:marRight w:val="0"/>
                                  <w:marTop w:val="0"/>
                                  <w:marBottom w:val="0"/>
                                  <w:divBdr>
                                    <w:top w:val="none" w:sz="0" w:space="0" w:color="auto"/>
                                    <w:left w:val="none" w:sz="0" w:space="0" w:color="auto"/>
                                    <w:bottom w:val="none" w:sz="0" w:space="0" w:color="auto"/>
                                    <w:right w:val="none" w:sz="0" w:space="0" w:color="auto"/>
                                  </w:divBdr>
                                </w:div>
                                <w:div w:id="1745953159">
                                  <w:marLeft w:val="0"/>
                                  <w:marRight w:val="0"/>
                                  <w:marTop w:val="0"/>
                                  <w:marBottom w:val="0"/>
                                  <w:divBdr>
                                    <w:top w:val="none" w:sz="0" w:space="0" w:color="auto"/>
                                    <w:left w:val="none" w:sz="0" w:space="0" w:color="auto"/>
                                    <w:bottom w:val="none" w:sz="0" w:space="0" w:color="auto"/>
                                    <w:right w:val="none" w:sz="0" w:space="0" w:color="auto"/>
                                  </w:divBdr>
                                </w:div>
                                <w:div w:id="1315645246">
                                  <w:marLeft w:val="0"/>
                                  <w:marRight w:val="0"/>
                                  <w:marTop w:val="0"/>
                                  <w:marBottom w:val="0"/>
                                  <w:divBdr>
                                    <w:top w:val="none" w:sz="0" w:space="0" w:color="auto"/>
                                    <w:left w:val="none" w:sz="0" w:space="0" w:color="auto"/>
                                    <w:bottom w:val="none" w:sz="0" w:space="0" w:color="auto"/>
                                    <w:right w:val="none" w:sz="0" w:space="0" w:color="auto"/>
                                  </w:divBdr>
                                </w:div>
                                <w:div w:id="416562736">
                                  <w:marLeft w:val="0"/>
                                  <w:marRight w:val="0"/>
                                  <w:marTop w:val="0"/>
                                  <w:marBottom w:val="0"/>
                                  <w:divBdr>
                                    <w:top w:val="none" w:sz="0" w:space="0" w:color="auto"/>
                                    <w:left w:val="none" w:sz="0" w:space="0" w:color="auto"/>
                                    <w:bottom w:val="none" w:sz="0" w:space="0" w:color="auto"/>
                                    <w:right w:val="none" w:sz="0" w:space="0" w:color="auto"/>
                                  </w:divBdr>
                                </w:div>
                                <w:div w:id="1541287938">
                                  <w:marLeft w:val="0"/>
                                  <w:marRight w:val="0"/>
                                  <w:marTop w:val="0"/>
                                  <w:marBottom w:val="0"/>
                                  <w:divBdr>
                                    <w:top w:val="none" w:sz="0" w:space="0" w:color="auto"/>
                                    <w:left w:val="none" w:sz="0" w:space="0" w:color="auto"/>
                                    <w:bottom w:val="none" w:sz="0" w:space="0" w:color="auto"/>
                                    <w:right w:val="none" w:sz="0" w:space="0" w:color="auto"/>
                                  </w:divBdr>
                                </w:div>
                                <w:div w:id="1269779667">
                                  <w:marLeft w:val="0"/>
                                  <w:marRight w:val="0"/>
                                  <w:marTop w:val="0"/>
                                  <w:marBottom w:val="0"/>
                                  <w:divBdr>
                                    <w:top w:val="none" w:sz="0" w:space="0" w:color="auto"/>
                                    <w:left w:val="none" w:sz="0" w:space="0" w:color="auto"/>
                                    <w:bottom w:val="none" w:sz="0" w:space="0" w:color="auto"/>
                                    <w:right w:val="none" w:sz="0" w:space="0" w:color="auto"/>
                                  </w:divBdr>
                                </w:div>
                                <w:div w:id="1821271305">
                                  <w:marLeft w:val="0"/>
                                  <w:marRight w:val="0"/>
                                  <w:marTop w:val="0"/>
                                  <w:marBottom w:val="0"/>
                                  <w:divBdr>
                                    <w:top w:val="none" w:sz="0" w:space="0" w:color="auto"/>
                                    <w:left w:val="none" w:sz="0" w:space="0" w:color="auto"/>
                                    <w:bottom w:val="none" w:sz="0" w:space="0" w:color="auto"/>
                                    <w:right w:val="none" w:sz="0" w:space="0" w:color="auto"/>
                                  </w:divBdr>
                                </w:div>
                                <w:div w:id="624847091">
                                  <w:marLeft w:val="0"/>
                                  <w:marRight w:val="0"/>
                                  <w:marTop w:val="0"/>
                                  <w:marBottom w:val="0"/>
                                  <w:divBdr>
                                    <w:top w:val="none" w:sz="0" w:space="0" w:color="auto"/>
                                    <w:left w:val="none" w:sz="0" w:space="0" w:color="auto"/>
                                    <w:bottom w:val="none" w:sz="0" w:space="0" w:color="auto"/>
                                    <w:right w:val="none" w:sz="0" w:space="0" w:color="auto"/>
                                  </w:divBdr>
                                </w:div>
                                <w:div w:id="1655141172">
                                  <w:marLeft w:val="0"/>
                                  <w:marRight w:val="0"/>
                                  <w:marTop w:val="0"/>
                                  <w:marBottom w:val="0"/>
                                  <w:divBdr>
                                    <w:top w:val="none" w:sz="0" w:space="0" w:color="auto"/>
                                    <w:left w:val="none" w:sz="0" w:space="0" w:color="auto"/>
                                    <w:bottom w:val="none" w:sz="0" w:space="0" w:color="auto"/>
                                    <w:right w:val="none" w:sz="0" w:space="0" w:color="auto"/>
                                  </w:divBdr>
                                </w:div>
                                <w:div w:id="694884017">
                                  <w:marLeft w:val="0"/>
                                  <w:marRight w:val="0"/>
                                  <w:marTop w:val="0"/>
                                  <w:marBottom w:val="0"/>
                                  <w:divBdr>
                                    <w:top w:val="none" w:sz="0" w:space="0" w:color="auto"/>
                                    <w:left w:val="none" w:sz="0" w:space="0" w:color="auto"/>
                                    <w:bottom w:val="none" w:sz="0" w:space="0" w:color="auto"/>
                                    <w:right w:val="none" w:sz="0" w:space="0" w:color="auto"/>
                                  </w:divBdr>
                                </w:div>
                                <w:div w:id="263074286">
                                  <w:marLeft w:val="0"/>
                                  <w:marRight w:val="0"/>
                                  <w:marTop w:val="0"/>
                                  <w:marBottom w:val="0"/>
                                  <w:divBdr>
                                    <w:top w:val="none" w:sz="0" w:space="0" w:color="auto"/>
                                    <w:left w:val="none" w:sz="0" w:space="0" w:color="auto"/>
                                    <w:bottom w:val="none" w:sz="0" w:space="0" w:color="auto"/>
                                    <w:right w:val="none" w:sz="0" w:space="0" w:color="auto"/>
                                  </w:divBdr>
                                </w:div>
                                <w:div w:id="2091928316">
                                  <w:marLeft w:val="0"/>
                                  <w:marRight w:val="0"/>
                                  <w:marTop w:val="0"/>
                                  <w:marBottom w:val="0"/>
                                  <w:divBdr>
                                    <w:top w:val="none" w:sz="0" w:space="0" w:color="auto"/>
                                    <w:left w:val="none" w:sz="0" w:space="0" w:color="auto"/>
                                    <w:bottom w:val="none" w:sz="0" w:space="0" w:color="auto"/>
                                    <w:right w:val="none" w:sz="0" w:space="0" w:color="auto"/>
                                  </w:divBdr>
                                </w:div>
                                <w:div w:id="1286085263">
                                  <w:marLeft w:val="0"/>
                                  <w:marRight w:val="0"/>
                                  <w:marTop w:val="0"/>
                                  <w:marBottom w:val="0"/>
                                  <w:divBdr>
                                    <w:top w:val="none" w:sz="0" w:space="0" w:color="auto"/>
                                    <w:left w:val="none" w:sz="0" w:space="0" w:color="auto"/>
                                    <w:bottom w:val="none" w:sz="0" w:space="0" w:color="auto"/>
                                    <w:right w:val="none" w:sz="0" w:space="0" w:color="auto"/>
                                  </w:divBdr>
                                </w:div>
                                <w:div w:id="1590190359">
                                  <w:marLeft w:val="0"/>
                                  <w:marRight w:val="0"/>
                                  <w:marTop w:val="0"/>
                                  <w:marBottom w:val="0"/>
                                  <w:divBdr>
                                    <w:top w:val="none" w:sz="0" w:space="0" w:color="auto"/>
                                    <w:left w:val="none" w:sz="0" w:space="0" w:color="auto"/>
                                    <w:bottom w:val="none" w:sz="0" w:space="0" w:color="auto"/>
                                    <w:right w:val="none" w:sz="0" w:space="0" w:color="auto"/>
                                  </w:divBdr>
                                </w:div>
                                <w:div w:id="1525748048">
                                  <w:marLeft w:val="0"/>
                                  <w:marRight w:val="0"/>
                                  <w:marTop w:val="0"/>
                                  <w:marBottom w:val="0"/>
                                  <w:divBdr>
                                    <w:top w:val="none" w:sz="0" w:space="0" w:color="auto"/>
                                    <w:left w:val="none" w:sz="0" w:space="0" w:color="auto"/>
                                    <w:bottom w:val="none" w:sz="0" w:space="0" w:color="auto"/>
                                    <w:right w:val="none" w:sz="0" w:space="0" w:color="auto"/>
                                  </w:divBdr>
                                </w:div>
                                <w:div w:id="826827466">
                                  <w:marLeft w:val="0"/>
                                  <w:marRight w:val="0"/>
                                  <w:marTop w:val="0"/>
                                  <w:marBottom w:val="0"/>
                                  <w:divBdr>
                                    <w:top w:val="none" w:sz="0" w:space="0" w:color="auto"/>
                                    <w:left w:val="none" w:sz="0" w:space="0" w:color="auto"/>
                                    <w:bottom w:val="none" w:sz="0" w:space="0" w:color="auto"/>
                                    <w:right w:val="none" w:sz="0" w:space="0" w:color="auto"/>
                                  </w:divBdr>
                                </w:div>
                                <w:div w:id="1928735273">
                                  <w:marLeft w:val="0"/>
                                  <w:marRight w:val="0"/>
                                  <w:marTop w:val="0"/>
                                  <w:marBottom w:val="0"/>
                                  <w:divBdr>
                                    <w:top w:val="none" w:sz="0" w:space="0" w:color="auto"/>
                                    <w:left w:val="none" w:sz="0" w:space="0" w:color="auto"/>
                                    <w:bottom w:val="none" w:sz="0" w:space="0" w:color="auto"/>
                                    <w:right w:val="none" w:sz="0" w:space="0" w:color="auto"/>
                                  </w:divBdr>
                                </w:div>
                                <w:div w:id="1835224678">
                                  <w:marLeft w:val="0"/>
                                  <w:marRight w:val="0"/>
                                  <w:marTop w:val="0"/>
                                  <w:marBottom w:val="0"/>
                                  <w:divBdr>
                                    <w:top w:val="none" w:sz="0" w:space="0" w:color="auto"/>
                                    <w:left w:val="none" w:sz="0" w:space="0" w:color="auto"/>
                                    <w:bottom w:val="none" w:sz="0" w:space="0" w:color="auto"/>
                                    <w:right w:val="none" w:sz="0" w:space="0" w:color="auto"/>
                                  </w:divBdr>
                                </w:div>
                                <w:div w:id="1264147962">
                                  <w:marLeft w:val="0"/>
                                  <w:marRight w:val="0"/>
                                  <w:marTop w:val="0"/>
                                  <w:marBottom w:val="0"/>
                                  <w:divBdr>
                                    <w:top w:val="none" w:sz="0" w:space="0" w:color="auto"/>
                                    <w:left w:val="none" w:sz="0" w:space="0" w:color="auto"/>
                                    <w:bottom w:val="none" w:sz="0" w:space="0" w:color="auto"/>
                                    <w:right w:val="none" w:sz="0" w:space="0" w:color="auto"/>
                                  </w:divBdr>
                                </w:div>
                                <w:div w:id="1858033614">
                                  <w:marLeft w:val="0"/>
                                  <w:marRight w:val="0"/>
                                  <w:marTop w:val="0"/>
                                  <w:marBottom w:val="0"/>
                                  <w:divBdr>
                                    <w:top w:val="none" w:sz="0" w:space="0" w:color="auto"/>
                                    <w:left w:val="none" w:sz="0" w:space="0" w:color="auto"/>
                                    <w:bottom w:val="none" w:sz="0" w:space="0" w:color="auto"/>
                                    <w:right w:val="none" w:sz="0" w:space="0" w:color="auto"/>
                                  </w:divBdr>
                                </w:div>
                                <w:div w:id="496844498">
                                  <w:marLeft w:val="0"/>
                                  <w:marRight w:val="0"/>
                                  <w:marTop w:val="0"/>
                                  <w:marBottom w:val="0"/>
                                  <w:divBdr>
                                    <w:top w:val="none" w:sz="0" w:space="0" w:color="auto"/>
                                    <w:left w:val="none" w:sz="0" w:space="0" w:color="auto"/>
                                    <w:bottom w:val="none" w:sz="0" w:space="0" w:color="auto"/>
                                    <w:right w:val="none" w:sz="0" w:space="0" w:color="auto"/>
                                  </w:divBdr>
                                </w:div>
                                <w:div w:id="329528066">
                                  <w:marLeft w:val="0"/>
                                  <w:marRight w:val="0"/>
                                  <w:marTop w:val="0"/>
                                  <w:marBottom w:val="0"/>
                                  <w:divBdr>
                                    <w:top w:val="none" w:sz="0" w:space="0" w:color="auto"/>
                                    <w:left w:val="none" w:sz="0" w:space="0" w:color="auto"/>
                                    <w:bottom w:val="none" w:sz="0" w:space="0" w:color="auto"/>
                                    <w:right w:val="none" w:sz="0" w:space="0" w:color="auto"/>
                                  </w:divBdr>
                                </w:div>
                                <w:div w:id="2031102023">
                                  <w:marLeft w:val="0"/>
                                  <w:marRight w:val="0"/>
                                  <w:marTop w:val="0"/>
                                  <w:marBottom w:val="0"/>
                                  <w:divBdr>
                                    <w:top w:val="none" w:sz="0" w:space="0" w:color="auto"/>
                                    <w:left w:val="none" w:sz="0" w:space="0" w:color="auto"/>
                                    <w:bottom w:val="none" w:sz="0" w:space="0" w:color="auto"/>
                                    <w:right w:val="none" w:sz="0" w:space="0" w:color="auto"/>
                                  </w:divBdr>
                                </w:div>
                                <w:div w:id="1380939347">
                                  <w:marLeft w:val="0"/>
                                  <w:marRight w:val="0"/>
                                  <w:marTop w:val="0"/>
                                  <w:marBottom w:val="0"/>
                                  <w:divBdr>
                                    <w:top w:val="none" w:sz="0" w:space="0" w:color="auto"/>
                                    <w:left w:val="none" w:sz="0" w:space="0" w:color="auto"/>
                                    <w:bottom w:val="none" w:sz="0" w:space="0" w:color="auto"/>
                                    <w:right w:val="none" w:sz="0" w:space="0" w:color="auto"/>
                                  </w:divBdr>
                                </w:div>
                                <w:div w:id="1881629073">
                                  <w:marLeft w:val="0"/>
                                  <w:marRight w:val="0"/>
                                  <w:marTop w:val="0"/>
                                  <w:marBottom w:val="0"/>
                                  <w:divBdr>
                                    <w:top w:val="none" w:sz="0" w:space="0" w:color="auto"/>
                                    <w:left w:val="none" w:sz="0" w:space="0" w:color="auto"/>
                                    <w:bottom w:val="none" w:sz="0" w:space="0" w:color="auto"/>
                                    <w:right w:val="none" w:sz="0" w:space="0" w:color="auto"/>
                                  </w:divBdr>
                                </w:div>
                                <w:div w:id="322196936">
                                  <w:marLeft w:val="0"/>
                                  <w:marRight w:val="0"/>
                                  <w:marTop w:val="0"/>
                                  <w:marBottom w:val="0"/>
                                  <w:divBdr>
                                    <w:top w:val="none" w:sz="0" w:space="0" w:color="auto"/>
                                    <w:left w:val="none" w:sz="0" w:space="0" w:color="auto"/>
                                    <w:bottom w:val="none" w:sz="0" w:space="0" w:color="auto"/>
                                    <w:right w:val="none" w:sz="0" w:space="0" w:color="auto"/>
                                  </w:divBdr>
                                </w:div>
                                <w:div w:id="63915486">
                                  <w:marLeft w:val="0"/>
                                  <w:marRight w:val="0"/>
                                  <w:marTop w:val="0"/>
                                  <w:marBottom w:val="0"/>
                                  <w:divBdr>
                                    <w:top w:val="none" w:sz="0" w:space="0" w:color="auto"/>
                                    <w:left w:val="none" w:sz="0" w:space="0" w:color="auto"/>
                                    <w:bottom w:val="none" w:sz="0" w:space="0" w:color="auto"/>
                                    <w:right w:val="none" w:sz="0" w:space="0" w:color="auto"/>
                                  </w:divBdr>
                                </w:div>
                                <w:div w:id="1734546656">
                                  <w:marLeft w:val="0"/>
                                  <w:marRight w:val="0"/>
                                  <w:marTop w:val="0"/>
                                  <w:marBottom w:val="0"/>
                                  <w:divBdr>
                                    <w:top w:val="none" w:sz="0" w:space="0" w:color="auto"/>
                                    <w:left w:val="none" w:sz="0" w:space="0" w:color="auto"/>
                                    <w:bottom w:val="none" w:sz="0" w:space="0" w:color="auto"/>
                                    <w:right w:val="none" w:sz="0" w:space="0" w:color="auto"/>
                                  </w:divBdr>
                                </w:div>
                                <w:div w:id="1936017536">
                                  <w:marLeft w:val="0"/>
                                  <w:marRight w:val="0"/>
                                  <w:marTop w:val="0"/>
                                  <w:marBottom w:val="0"/>
                                  <w:divBdr>
                                    <w:top w:val="none" w:sz="0" w:space="0" w:color="auto"/>
                                    <w:left w:val="none" w:sz="0" w:space="0" w:color="auto"/>
                                    <w:bottom w:val="none" w:sz="0" w:space="0" w:color="auto"/>
                                    <w:right w:val="none" w:sz="0" w:space="0" w:color="auto"/>
                                  </w:divBdr>
                                </w:div>
                                <w:div w:id="1781414294">
                                  <w:marLeft w:val="0"/>
                                  <w:marRight w:val="0"/>
                                  <w:marTop w:val="0"/>
                                  <w:marBottom w:val="0"/>
                                  <w:divBdr>
                                    <w:top w:val="none" w:sz="0" w:space="0" w:color="auto"/>
                                    <w:left w:val="none" w:sz="0" w:space="0" w:color="auto"/>
                                    <w:bottom w:val="none" w:sz="0" w:space="0" w:color="auto"/>
                                    <w:right w:val="none" w:sz="0" w:space="0" w:color="auto"/>
                                  </w:divBdr>
                                </w:div>
                                <w:div w:id="963853823">
                                  <w:marLeft w:val="0"/>
                                  <w:marRight w:val="0"/>
                                  <w:marTop w:val="0"/>
                                  <w:marBottom w:val="0"/>
                                  <w:divBdr>
                                    <w:top w:val="none" w:sz="0" w:space="0" w:color="auto"/>
                                    <w:left w:val="none" w:sz="0" w:space="0" w:color="auto"/>
                                    <w:bottom w:val="none" w:sz="0" w:space="0" w:color="auto"/>
                                    <w:right w:val="none" w:sz="0" w:space="0" w:color="auto"/>
                                  </w:divBdr>
                                </w:div>
                                <w:div w:id="1775977213">
                                  <w:marLeft w:val="0"/>
                                  <w:marRight w:val="0"/>
                                  <w:marTop w:val="0"/>
                                  <w:marBottom w:val="0"/>
                                  <w:divBdr>
                                    <w:top w:val="none" w:sz="0" w:space="0" w:color="auto"/>
                                    <w:left w:val="none" w:sz="0" w:space="0" w:color="auto"/>
                                    <w:bottom w:val="none" w:sz="0" w:space="0" w:color="auto"/>
                                    <w:right w:val="none" w:sz="0" w:space="0" w:color="auto"/>
                                  </w:divBdr>
                                </w:div>
                                <w:div w:id="19402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185628">
      <w:bodyDiv w:val="1"/>
      <w:marLeft w:val="0"/>
      <w:marRight w:val="0"/>
      <w:marTop w:val="0"/>
      <w:marBottom w:val="0"/>
      <w:divBdr>
        <w:top w:val="none" w:sz="0" w:space="0" w:color="auto"/>
        <w:left w:val="none" w:sz="0" w:space="0" w:color="auto"/>
        <w:bottom w:val="none" w:sz="0" w:space="0" w:color="auto"/>
        <w:right w:val="none" w:sz="0" w:space="0" w:color="auto"/>
      </w:divBdr>
      <w:divsChild>
        <w:div w:id="1888956532">
          <w:marLeft w:val="0"/>
          <w:marRight w:val="0"/>
          <w:marTop w:val="0"/>
          <w:marBottom w:val="0"/>
          <w:divBdr>
            <w:top w:val="none" w:sz="0" w:space="0" w:color="auto"/>
            <w:left w:val="none" w:sz="0" w:space="0" w:color="auto"/>
            <w:bottom w:val="none" w:sz="0" w:space="0" w:color="auto"/>
            <w:right w:val="none" w:sz="0" w:space="0" w:color="auto"/>
          </w:divBdr>
          <w:divsChild>
            <w:div w:id="2073887961">
              <w:marLeft w:val="0"/>
              <w:marRight w:val="0"/>
              <w:marTop w:val="0"/>
              <w:marBottom w:val="0"/>
              <w:divBdr>
                <w:top w:val="none" w:sz="0" w:space="0" w:color="auto"/>
                <w:left w:val="none" w:sz="0" w:space="0" w:color="auto"/>
                <w:bottom w:val="none" w:sz="0" w:space="0" w:color="auto"/>
                <w:right w:val="none" w:sz="0" w:space="0" w:color="auto"/>
              </w:divBdr>
              <w:divsChild>
                <w:div w:id="11602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1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www.swinburne.edu.au/iel/programs/ibl/" TargetMode="External"/><Relationship Id="rId26" Type="http://schemas.openxmlformats.org/officeDocument/2006/relationships/hyperlink" Target="http://www.bhpbilliton.com/home/people/graduates/%20Pages/default.aspx" TargetMode="Externa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www.austrade.gov.au/%20Buy/Australian-Industry-Capability/Manufacturing/default.aspx" TargetMode="External"/><Relationship Id="rId34" Type="http://schemas.openxmlformats.org/officeDocument/2006/relationships/hyperlink" Target="http://mccrindle.com.au/the-mccrindle-blog/generation-z-the-most-overrated-and-underrated-degrees"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www.awpa.gov.au/our-work/sector-specific-skill-needs/Documents/Food%20and%20beverage%20workforce%20study.docx" TargetMode="External"/><Relationship Id="rId33" Type="http://schemas.openxmlformats.org/officeDocument/2006/relationships/hyperlink" Target="http://www.awpa.gov.au/publications/Documents/NILS-Monitoring%20Skills%20Imbalance.pdf" TargetMode="Externa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austrade.gov.au/Mining-Equipment-Technology-Services-overview/default.aspx" TargetMode="External"/><Relationship Id="rId29" Type="http://schemas.openxmlformats.org/officeDocument/2006/relationships/hyperlink" Target="http://www.industry.gov.au/AboutUs/CorporatePublications/ReviewofSouthAustralianandVictorianEconomies/Documents/GrowingOpportunities-SouthAustraliaandVictoria.pdf" TargetMode="Externa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3.0/au/" TargetMode="External"/><Relationship Id="rId24" Type="http://schemas.openxmlformats.org/officeDocument/2006/relationships/hyperlink" Target="http://www.appea.com.au/oil-gas-explained/oil-and-gas/what-is-natural-gas/" TargetMode="External"/><Relationship Id="rId32" Type="http://schemas.openxmlformats.org/officeDocument/2006/relationships/hyperlink" Target="http://hbr.org/2007/06/the-innovation-value-chain/ar/" TargetMode="External"/><Relationship Id="rId37" Type="http://schemas.openxmlformats.org/officeDocument/2006/relationships/footer" Target="footer4.xml"/><Relationship Id="rId40"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yperlink" Target="http://twitter.com/ncver" TargetMode="External"/><Relationship Id="rId23" Type="http://schemas.openxmlformats.org/officeDocument/2006/relationships/hyperlink" Target="http://www.australianmanufacturing.com.au/%202003/rmit-universitys-advanced-manufacturing-precinct-impresses-prime-minister" TargetMode="External"/><Relationship Id="rId28" Type="http://schemas.openxmlformats.org/officeDocument/2006/relationships/hyperlink" Target="http://industry.gov.au/science/policy/AustralianInnovationSystemReport/AISR2013/index.html" TargetMode="External"/><Relationship Id="rId36" Type="http://schemas.openxmlformats.org/officeDocument/2006/relationships/footer" Target="footer3.xml"/><Relationship Id="rId10" Type="http://schemas.openxmlformats.org/officeDocument/2006/relationships/hyperlink" Target="http://www.voced.edu.au/" TargetMode="External"/><Relationship Id="rId19" Type="http://schemas.openxmlformats.org/officeDocument/2006/relationships/hyperlink" Target="http://www.ausstats.abs.gov.au/Ausstats/%20subscriber.nsf/0/FB46BB699848054DCA257CEC001E1B97/$File/63100_august%202013.pdf" TargetMode="External"/><Relationship Id="rId31" Type="http://schemas.openxmlformats.org/officeDocument/2006/relationships/hyperlink" Target="http://www.globalsmes.org/news/index.php?func=detail&amp;detailid=550&amp;catalog=27&amp;lan=e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yperlink" Target="http://www.aigroup.com.au/portal/site/aig/education/buildingemployer/" TargetMode="External"/><Relationship Id="rId27" Type="http://schemas.openxmlformats.org/officeDocument/2006/relationships/hyperlink" Target="http://www.dfat.gov.au/new-colombo-plan/ncp-fact-sheet.html" TargetMode="External"/><Relationship Id="rId30" Type="http://schemas.openxmlformats.org/officeDocument/2006/relationships/hyperlink" Target="http://www.industry.gov.au/industry/PharmaceuticalsandHealthTechnologies/Pharmaceuticals/%20Documents/Australian_Pharmaceuticals_Industry_Data_Card.pdf" TargetMode="External"/><Relationship Id="rId35" Type="http://schemas.openxmlformats.org/officeDocument/2006/relationships/hyperlink" Target="http://www.nss.gov.au/nss/home.NSF/533222ebfd5ac03aca25711000044c9e/e0a5f30f1b5fec53ca25731e0017a4f4/$FILE/Biotechnology%20Information%20Development%20Plan_1.pdf"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winburne.edu.au/iel/programs/ib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4F1E8-C91F-4A80-A106-C1BF63083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9CD9170.dotm</Template>
  <TotalTime>479</TotalTime>
  <Pages>38</Pages>
  <Words>15047</Words>
  <Characters>92394</Characters>
  <Application>Microsoft Office Word</Application>
  <DocSecurity>0</DocSecurity>
  <Lines>1885</Lines>
  <Paragraphs>624</Paragraphs>
  <ScaleCrop>false</ScaleCrop>
  <HeadingPairs>
    <vt:vector size="2" baseType="variant">
      <vt:variant>
        <vt:lpstr>Title</vt:lpstr>
      </vt:variant>
      <vt:variant>
        <vt:i4>1</vt:i4>
      </vt:variant>
    </vt:vector>
  </HeadingPairs>
  <TitlesOfParts>
    <vt:vector size="1" baseType="lpstr">
      <vt:lpstr>Readiness to meet demand for skills</vt:lpstr>
    </vt:vector>
  </TitlesOfParts>
  <Company>UQ</Company>
  <LinksUpToDate>false</LinksUpToDate>
  <CharactersWithSpaces>106817</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Readiness to meet demand for skills</dc:title>
  <dc:creator>Katrina Matheos</dc:creator>
  <cp:lastModifiedBy>Kaye McAdam</cp:lastModifiedBy>
  <cp:revision>61</cp:revision>
  <cp:lastPrinted>2014-10-07T05:19:00Z</cp:lastPrinted>
  <dcterms:created xsi:type="dcterms:W3CDTF">2014-09-09T03:51:00Z</dcterms:created>
  <dcterms:modified xsi:type="dcterms:W3CDTF">2014-10-08T22:39:00Z</dcterms:modified>
</cp:coreProperties>
</file>