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B1F" w:rsidRDefault="00501E99" w:rsidP="00885A3B">
      <w:pPr>
        <w:pStyle w:val="Heading3"/>
        <w:ind w:right="-1"/>
        <w:rPr>
          <w:kern w:val="28"/>
          <w:sz w:val="56"/>
          <w:szCs w:val="56"/>
        </w:rPr>
      </w:pPr>
      <w:bookmarkStart w:id="0" w:name="_Toc495748330"/>
      <w:bookmarkStart w:id="1" w:name="_Toc495810630"/>
      <w:bookmarkStart w:id="2" w:name="_Toc6031787"/>
      <w:bookmarkStart w:id="3" w:name="_Toc6031844"/>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928370</wp:posOffset>
                </wp:positionH>
                <wp:positionV relativeFrom="margin">
                  <wp:posOffset>8378190</wp:posOffset>
                </wp:positionV>
                <wp:extent cx="4533900" cy="1054100"/>
                <wp:effectExtent l="0" t="0"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AA7" w:rsidRPr="0080582C" w:rsidRDefault="00B10AA7" w:rsidP="008058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73.1pt;margin-top:659.7pt;width:357pt;height: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ztQ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" filled="f" stroked="f">
                <v:textbox>
                  <w:txbxContent>
                    <w:p w:rsidR="00B10AA7" w:rsidRPr="0080582C" w:rsidRDefault="00B10AA7" w:rsidP="0080582C"/>
                  </w:txbxContent>
                </v:textbox>
                <w10:wrap anchory="margin"/>
              </v:shape>
            </w:pict>
          </mc:Fallback>
        </mc:AlternateContent>
      </w:r>
      <w:bookmarkStart w:id="4" w:name="_Toc98394880"/>
      <w:bookmarkStart w:id="5" w:name="_Toc296423683"/>
      <w:bookmarkStart w:id="6" w:name="_Toc296497514"/>
      <w:r w:rsidR="00514B1F">
        <w:rPr>
          <w:noProof/>
          <w:kern w:val="28"/>
          <w:sz w:val="56"/>
          <w:szCs w:val="56"/>
          <w:lang w:eastAsia="en-AU"/>
        </w:rPr>
        <w:drawing>
          <wp:anchor distT="0" distB="0" distL="114300" distR="114300" simplePos="0" relativeHeight="251681792" behindDoc="1" locked="0" layoutInCell="1" allowOverlap="1">
            <wp:simplePos x="0" y="0"/>
            <wp:positionH relativeFrom="column">
              <wp:posOffset>-184150</wp:posOffset>
            </wp:positionH>
            <wp:positionV relativeFrom="paragraph">
              <wp:posOffset>537210</wp:posOffset>
            </wp:positionV>
            <wp:extent cx="2242820" cy="480695"/>
            <wp:effectExtent l="19050" t="0" r="5080" b="0"/>
            <wp:wrapSquare wrapText="bothSides"/>
            <wp:docPr id="4" name="Picture 1" descr="P:\PublicationComponents\logos\NCVER LOGOS\EPS - pagemaker_quark\NoLines2012\NCVER_Floating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EPS - pagemaker_quark\NoLines2012\NCVER_Floating_Mono.eps"/>
                    <pic:cNvPicPr>
                      <a:picLocks noChangeAspect="1" noChangeArrowheads="1"/>
                    </pic:cNvPicPr>
                  </pic:nvPicPr>
                  <pic:blipFill>
                    <a:blip r:embed="rId9" cstate="print"/>
                    <a:srcRect/>
                    <a:stretch>
                      <a:fillRect/>
                    </a:stretch>
                  </pic:blipFill>
                  <pic:spPr bwMode="auto">
                    <a:xfrm>
                      <a:off x="0" y="0"/>
                      <a:ext cx="2242820" cy="480695"/>
                    </a:xfrm>
                    <a:prstGeom prst="rect">
                      <a:avLst/>
                    </a:prstGeom>
                    <a:noFill/>
                    <a:ln w="9525">
                      <a:noFill/>
                      <a:miter lim="800000"/>
                      <a:headEnd/>
                      <a:tailEnd/>
                    </a:ln>
                  </pic:spPr>
                </pic:pic>
              </a:graphicData>
            </a:graphic>
          </wp:anchor>
        </w:drawing>
      </w:r>
    </w:p>
    <w:p w:rsidR="00514B1F" w:rsidRDefault="00514B1F" w:rsidP="00514B1F">
      <w:pPr>
        <w:pStyle w:val="PublicationTitle"/>
        <w:spacing w:before="0"/>
        <w:rPr>
          <w:sz w:val="40"/>
          <w:szCs w:val="40"/>
        </w:rPr>
      </w:pPr>
      <w:r>
        <w:rPr>
          <w:noProof/>
          <w:sz w:val="40"/>
          <w:szCs w:val="40"/>
          <w:lang w:eastAsia="en-AU"/>
        </w:rPr>
        <w:drawing>
          <wp:anchor distT="0" distB="0" distL="114300" distR="114300" simplePos="0" relativeHeight="251680768" behindDoc="1" locked="0" layoutInCell="1" allowOverlap="1">
            <wp:simplePos x="0" y="0"/>
            <wp:positionH relativeFrom="column">
              <wp:posOffset>-2564130</wp:posOffset>
            </wp:positionH>
            <wp:positionV relativeFrom="paragraph">
              <wp:posOffset>684530</wp:posOffset>
            </wp:positionV>
            <wp:extent cx="2724150" cy="914400"/>
            <wp:effectExtent l="19050" t="0" r="0" b="0"/>
            <wp:wrapTight wrapText="bothSides">
              <wp:wrapPolygon edited="0">
                <wp:start x="-151" y="0"/>
                <wp:lineTo x="-151" y="21150"/>
                <wp:lineTo x="21600" y="21150"/>
                <wp:lineTo x="21600" y="0"/>
                <wp:lineTo x="-151" y="0"/>
              </wp:wrapPolygon>
            </wp:wrapTight>
            <wp:docPr id="5" name="Picture 2" descr="P:\PublicationComponents\logos\Department of Industry\Dept_Industry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Department of Industry\Dept_Industry_inline.jpg"/>
                    <pic:cNvPicPr>
                      <a:picLocks noChangeAspect="1" noChangeArrowheads="1"/>
                    </pic:cNvPicPr>
                  </pic:nvPicPr>
                  <pic:blipFill>
                    <a:blip r:embed="rId10" cstate="print"/>
                    <a:srcRect/>
                    <a:stretch>
                      <a:fillRect/>
                    </a:stretch>
                  </pic:blipFill>
                  <pic:spPr bwMode="auto">
                    <a:xfrm>
                      <a:off x="0" y="0"/>
                      <a:ext cx="2724150" cy="914400"/>
                    </a:xfrm>
                    <a:prstGeom prst="rect">
                      <a:avLst/>
                    </a:prstGeom>
                    <a:noFill/>
                    <a:ln w="9525">
                      <a:noFill/>
                      <a:miter lim="800000"/>
                      <a:headEnd/>
                      <a:tailEnd/>
                    </a:ln>
                  </pic:spPr>
                </pic:pic>
              </a:graphicData>
            </a:graphic>
          </wp:anchor>
        </w:drawing>
      </w:r>
    </w:p>
    <w:p w:rsidR="00514B1F" w:rsidRPr="00566F29" w:rsidRDefault="00514B1F" w:rsidP="00514B1F">
      <w:pPr>
        <w:pStyle w:val="PublicationTitle"/>
        <w:spacing w:before="0" w:after="0"/>
        <w:rPr>
          <w:sz w:val="40"/>
          <w:szCs w:val="40"/>
        </w:rPr>
      </w:pPr>
    </w:p>
    <w:p w:rsidR="00514B1F" w:rsidRDefault="00514B1F" w:rsidP="00514B1F">
      <w:pPr>
        <w:pStyle w:val="PublicationTitle"/>
        <w:spacing w:before="0" w:after="400"/>
      </w:pPr>
    </w:p>
    <w:p w:rsidR="00514B1F" w:rsidRPr="005C2FCF" w:rsidRDefault="00514B1F" w:rsidP="00514B1F">
      <w:pPr>
        <w:pStyle w:val="PublicationTitle"/>
        <w:spacing w:before="0"/>
      </w:pPr>
      <w:r w:rsidRPr="001D26CC">
        <w:rPr>
          <w:rStyle w:val="Emphasis"/>
          <w:i w:val="0"/>
          <w:iCs w:val="0"/>
        </w:rPr>
        <w:t>Measuring VET participa</w:t>
      </w:r>
      <w:r w:rsidR="003332D7">
        <w:rPr>
          <w:rStyle w:val="Emphasis"/>
          <w:i w:val="0"/>
          <w:iCs w:val="0"/>
        </w:rPr>
        <w:t>tion by socio</w:t>
      </w:r>
      <w:r>
        <w:rPr>
          <w:rStyle w:val="Emphasis"/>
          <w:i w:val="0"/>
          <w:iCs w:val="0"/>
        </w:rPr>
        <w:t>economic status: a</w:t>
      </w:r>
      <w:r w:rsidRPr="001D26CC">
        <w:rPr>
          <w:rStyle w:val="Emphasis"/>
          <w:i w:val="0"/>
          <w:iCs w:val="0"/>
        </w:rPr>
        <w:t>n examination of the robustness of ABS SEIFA measures over time</w:t>
      </w:r>
    </w:p>
    <w:p w:rsidR="00514B1F" w:rsidRDefault="00514B1F" w:rsidP="00514B1F">
      <w:pPr>
        <w:pStyle w:val="Authors"/>
      </w:pPr>
      <w:r>
        <w:t>Patrick Lim</w:t>
      </w:r>
      <w:r>
        <w:br/>
        <w:t>Tom Karmel</w:t>
      </w:r>
    </w:p>
    <w:p w:rsidR="00514B1F" w:rsidRDefault="00514B1F" w:rsidP="00514B1F">
      <w:pPr>
        <w:pStyle w:val="Organisation"/>
      </w:pPr>
      <w:r>
        <w:t>National Centre for Vocational Education Research</w:t>
      </w:r>
    </w:p>
    <w:p w:rsidR="00514B1F" w:rsidRDefault="00501E99" w:rsidP="00514B1F">
      <w:pPr>
        <w:pStyle w:val="Heading3"/>
        <w:ind w:right="-1"/>
      </w:pP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928370</wp:posOffset>
                </wp:positionH>
                <wp:positionV relativeFrom="margin">
                  <wp:posOffset>8378190</wp:posOffset>
                </wp:positionV>
                <wp:extent cx="4533900" cy="1054100"/>
                <wp:effectExtent l="4445"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AA7" w:rsidRPr="00C53EA4" w:rsidRDefault="00B10AA7" w:rsidP="00514B1F">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t xml:space="preserve">or </w:t>
                            </w:r>
                            <w:r w:rsidRPr="005C2FCF">
                              <w:rPr>
                                <w:color w:val="000000"/>
                              </w:rPr>
                              <w:t>state and territory governments.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73.1pt;margin-top:659.7pt;width:357pt;height: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O8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" filled="f" stroked="f">
                <v:textbox>
                  <w:txbxContent>
                    <w:p w:rsidR="00B10AA7" w:rsidRPr="00C53EA4" w:rsidRDefault="00B10AA7" w:rsidP="00514B1F">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t xml:space="preserve">or </w:t>
                      </w:r>
                      <w:r w:rsidRPr="005C2FCF">
                        <w:rPr>
                          <w:color w:val="000000"/>
                        </w:rPr>
                        <w:t>state and territory governments.</w:t>
                      </w:r>
                    </w:p>
                  </w:txbxContent>
                </v:textbox>
                <w10:wrap anchory="margin"/>
              </v:shape>
            </w:pict>
          </mc:Fallback>
        </mc:AlternateContent>
      </w:r>
    </w:p>
    <w:p w:rsidR="00514B1F" w:rsidRPr="00E236D0" w:rsidRDefault="00501E99" w:rsidP="00514B1F">
      <w:pPr>
        <w:pStyle w:val="Heading3"/>
        <w:ind w:right="-1"/>
        <w:rPr>
          <w:b/>
          <w:sz w:val="19"/>
          <w:szCs w:val="19"/>
        </w:rPr>
      </w:pP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1015365</wp:posOffset>
                </wp:positionH>
                <wp:positionV relativeFrom="margin">
                  <wp:posOffset>7052945</wp:posOffset>
                </wp:positionV>
                <wp:extent cx="2789555" cy="1054100"/>
                <wp:effectExtent l="0" t="4445"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AA7" w:rsidRPr="00C53EA4" w:rsidRDefault="00B10AA7" w:rsidP="00514B1F">
                            <w:pPr>
                              <w:pStyle w:val="Heading3"/>
                              <w:rPr>
                                <w:rFonts w:ascii="Trebuchet MS" w:hAnsi="Trebuchet MS"/>
                                <w:szCs w:val="24"/>
                              </w:rPr>
                            </w:pPr>
                            <w:r w:rsidRPr="00C53EA4">
                              <w:rPr>
                                <w:rFonts w:ascii="Trebuchet MS" w:hAnsi="Trebuchet MS"/>
                                <w:szCs w:val="24"/>
                              </w:rPr>
                              <w:t xml:space="preserve">NATIONAL VOCATIONAL EDUCATION AND TRAINING RESEARCH PROGRAM </w:t>
                            </w:r>
                          </w:p>
                          <w:p w:rsidR="00B10AA7" w:rsidRPr="00C53EA4" w:rsidRDefault="00B10AA7" w:rsidP="00514B1F">
                            <w:pPr>
                              <w:pStyle w:val="Heading3"/>
                              <w:spacing w:before="80"/>
                              <w:rPr>
                                <w:szCs w:val="24"/>
                              </w:rPr>
                            </w:pPr>
                            <w:r w:rsidRPr="00C53EA4">
                              <w:rPr>
                                <w:rFonts w:ascii="Trebuchet MS" w:hAnsi="Trebuchet MS"/>
                                <w:b/>
                                <w:szCs w:val="24"/>
                              </w:rPr>
                              <w:t>OCCASIONAL PAPER</w:t>
                            </w:r>
                          </w:p>
                          <w:p w:rsidR="00B10AA7" w:rsidRDefault="00B10AA7" w:rsidP="00514B1F">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79.95pt;margin-top:555.35pt;width:219.65pt;height: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II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" filled="f" stroked="f">
                <v:textbox>
                  <w:txbxContent>
                    <w:p w:rsidR="00B10AA7" w:rsidRPr="00C53EA4" w:rsidRDefault="00B10AA7" w:rsidP="00514B1F">
                      <w:pPr>
                        <w:pStyle w:val="Heading3"/>
                        <w:rPr>
                          <w:rFonts w:ascii="Trebuchet MS" w:hAnsi="Trebuchet MS"/>
                          <w:szCs w:val="24"/>
                        </w:rPr>
                      </w:pPr>
                      <w:r w:rsidRPr="00C53EA4">
                        <w:rPr>
                          <w:rFonts w:ascii="Trebuchet MS" w:hAnsi="Trebuchet MS"/>
                          <w:szCs w:val="24"/>
                        </w:rPr>
                        <w:t xml:space="preserve">NATIONAL VOCATIONAL EDUCATION AND TRAINING RESEARCH PROGRAM </w:t>
                      </w:r>
                    </w:p>
                    <w:p w:rsidR="00B10AA7" w:rsidRPr="00C53EA4" w:rsidRDefault="00B10AA7" w:rsidP="00514B1F">
                      <w:pPr>
                        <w:pStyle w:val="Heading3"/>
                        <w:spacing w:before="80"/>
                        <w:rPr>
                          <w:szCs w:val="24"/>
                        </w:rPr>
                      </w:pPr>
                      <w:r w:rsidRPr="00C53EA4">
                        <w:rPr>
                          <w:rFonts w:ascii="Trebuchet MS" w:hAnsi="Trebuchet MS"/>
                          <w:b/>
                          <w:szCs w:val="24"/>
                        </w:rPr>
                        <w:t>OCCASIONAL PAPER</w:t>
                      </w:r>
                    </w:p>
                    <w:p w:rsidR="00B10AA7" w:rsidRDefault="00B10AA7" w:rsidP="00514B1F">
                      <w:pPr>
                        <w:pStyle w:val="Heading3"/>
                      </w:pPr>
                    </w:p>
                  </w:txbxContent>
                </v:textbox>
                <w10:wrap anchory="margin"/>
              </v:shape>
            </w:pict>
          </mc:Fallback>
        </mc:AlternateContent>
      </w:r>
      <w:r w:rsidR="00514B1F" w:rsidRPr="005C2FCF">
        <w:br w:type="page"/>
      </w:r>
    </w:p>
    <w:p w:rsidR="00514B1F" w:rsidRDefault="00514B1F" w:rsidP="00514B1F">
      <w:pPr>
        <w:pStyle w:val="Heading3"/>
      </w:pPr>
      <w:r>
        <w:lastRenderedPageBreak/>
        <w:t>Publisher</w:t>
      </w:r>
      <w:r w:rsidR="00E654C4">
        <w:t>’</w:t>
      </w:r>
      <w:r>
        <w:t>s note</w:t>
      </w:r>
    </w:p>
    <w:p w:rsidR="00E14F86" w:rsidRDefault="00501E99" w:rsidP="00C244B4">
      <w:pPr>
        <w:pStyle w:val="Text"/>
        <w:rPr>
          <w:rFonts w:ascii="Tahoma" w:hAnsi="Tahoma" w:cs="Tahoma"/>
          <w:color w:val="000000"/>
        </w:rPr>
      </w:pPr>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3027045</wp:posOffset>
                </wp:positionV>
                <wp:extent cx="5377815" cy="5791200"/>
                <wp:effectExtent l="0" t="0" r="3810" b="190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AA7" w:rsidRPr="00A021FC" w:rsidRDefault="00B10AA7" w:rsidP="00514B1F">
                            <w:pPr>
                              <w:pStyle w:val="Imprint"/>
                              <w:rPr>
                                <w:b/>
                              </w:rPr>
                            </w:pPr>
                            <w:r w:rsidRPr="00A021FC">
                              <w:rPr>
                                <w:b/>
                              </w:rPr>
                              <w:t xml:space="preserve">© Commonwealth of Australia, </w:t>
                            </w:r>
                            <w:r>
                              <w:rPr>
                                <w:b/>
                              </w:rPr>
                              <w:t>2014</w:t>
                            </w:r>
                          </w:p>
                          <w:p w:rsidR="00B10AA7" w:rsidRDefault="00B10AA7" w:rsidP="00514B1F">
                            <w:pPr>
                              <w:pStyle w:val="Imprint"/>
                              <w:rPr>
                                <w:sz w:val="20"/>
                              </w:rPr>
                            </w:pPr>
                            <w:r w:rsidRPr="00E80270">
                              <w:rPr>
                                <w:noProof/>
                                <w:sz w:val="20"/>
                                <w:lang w:eastAsia="en-AU"/>
                              </w:rPr>
                              <w:drawing>
                                <wp:inline distT="0" distB="0" distL="0" distR="0" wp14:anchorId="7A4AB833" wp14:editId="1F896E32">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10AA7" w:rsidRPr="00A021FC" w:rsidRDefault="00B10AA7" w:rsidP="00514B1F">
                            <w:pPr>
                              <w:pStyle w:val="Imprint"/>
                            </w:pPr>
                            <w:r w:rsidRPr="00A021FC">
                              <w:t>With the exception of the Commonwealth Coat of Arms, the Department</w:t>
                            </w:r>
                            <w:r>
                              <w:t>’</w:t>
                            </w:r>
                            <w:r w:rsidRPr="00A021FC">
                              <w:t xml:space="preserve">s logo, any material protected by a trade mark and where otherwise noted all material presented in this </w:t>
                            </w:r>
                            <w:r>
                              <w:br/>
                            </w:r>
                            <w:r w:rsidRPr="00A021FC">
                              <w:t xml:space="preserve">document is provided under a Creative Commons Attribution 3.0 Australia &lt;http://creativecommons.org/licenses/by/3.0/au&gt; licence. </w:t>
                            </w:r>
                          </w:p>
                          <w:p w:rsidR="00B10AA7" w:rsidRPr="00A021FC" w:rsidRDefault="00B10AA7" w:rsidP="00514B1F">
                            <w:pPr>
                              <w:pStyle w:val="Imprint"/>
                              <w:spacing w:before="80"/>
                            </w:pPr>
                            <w:r w:rsidRPr="00A021FC">
                              <w:t>The details of the relevant licence conditions are available on the Creative Commons website (accessible using the links provided) as is the full legal code for the CC BY 3.0 AU licence &lt;http://creativecommons.org/licenses/by/3.0/legalcode&gt;.</w:t>
                            </w:r>
                          </w:p>
                          <w:p w:rsidR="00B10AA7" w:rsidRPr="00A021FC" w:rsidRDefault="00B10AA7" w:rsidP="00514B1F">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B10AA7" w:rsidRPr="00A021FC" w:rsidRDefault="00B10AA7" w:rsidP="00514B1F">
                            <w:pPr>
                              <w:pStyle w:val="Imprint"/>
                            </w:pPr>
                            <w:r w:rsidRPr="00A021FC">
                              <w:t xml:space="preserve">This document should be attributed as </w:t>
                            </w:r>
                            <w:r>
                              <w:t xml:space="preserve">Lim, P &amp; Karmel, T 2014, </w:t>
                            </w:r>
                            <w:r w:rsidRPr="00514B1F">
                              <w:rPr>
                                <w:rStyle w:val="Emphasis"/>
                                <w:iCs w:val="0"/>
                              </w:rPr>
                              <w:t>Measuring VET participation</w:t>
                            </w:r>
                            <w:r>
                              <w:rPr>
                                <w:rStyle w:val="Emphasis"/>
                                <w:iCs w:val="0"/>
                              </w:rPr>
                              <w:t xml:space="preserve"> by socio</w:t>
                            </w:r>
                            <w:r w:rsidRPr="00514B1F">
                              <w:rPr>
                                <w:rStyle w:val="Emphasis"/>
                                <w:iCs w:val="0"/>
                              </w:rPr>
                              <w:t>economic status: an examination of the robustness of ABS SEIFA measures over time</w:t>
                            </w:r>
                            <w:r>
                              <w:rPr>
                                <w:i/>
                              </w:rPr>
                              <w:t xml:space="preserve">, </w:t>
                            </w:r>
                            <w:r w:rsidRPr="00A021FC">
                              <w:t>NCVER,</w:t>
                            </w:r>
                            <w:r>
                              <w:t> </w:t>
                            </w:r>
                            <w:r w:rsidRPr="00A021FC">
                              <w:t>Adelaide.</w:t>
                            </w:r>
                          </w:p>
                          <w:p w:rsidR="00B10AA7" w:rsidRPr="005C2FCF" w:rsidRDefault="00B10AA7" w:rsidP="00885A3B">
                            <w:pPr>
                              <w:pStyle w:val="Imprint"/>
                              <w:rPr>
                                <w:color w:val="000000"/>
                              </w:rPr>
                            </w:pPr>
                            <w:r w:rsidRPr="005C2FCF">
                              <w:rPr>
                                <w:color w:val="000000"/>
                              </w:rPr>
                              <w:t>ISBN</w:t>
                            </w:r>
                            <w:r w:rsidRPr="005C2FCF">
                              <w:rPr>
                                <w:color w:val="000000"/>
                              </w:rPr>
                              <w:tab/>
                            </w:r>
                            <w:r w:rsidRPr="002A43D3">
                              <w:rPr>
                                <w:color w:val="000000"/>
                              </w:rPr>
                              <w:t>978 1 922056 92 4</w:t>
                            </w:r>
                            <w:r>
                              <w:rPr>
                                <w:color w:val="000000"/>
                              </w:rPr>
                              <w:br/>
                            </w:r>
                            <w:r w:rsidRPr="005C2FCF">
                              <w:rPr>
                                <w:color w:val="000000"/>
                              </w:rPr>
                              <w:t>TD/TNC</w:t>
                            </w:r>
                            <w:r w:rsidRPr="005C2FCF">
                              <w:rPr>
                                <w:color w:val="000000"/>
                              </w:rPr>
                              <w:tab/>
                            </w:r>
                            <w:r w:rsidRPr="009463D4">
                              <w:rPr>
                                <w:color w:val="000000"/>
                              </w:rPr>
                              <w:t>115.1</w:t>
                            </w:r>
                            <w:r>
                              <w:rPr>
                                <w:color w:val="000000"/>
                              </w:rPr>
                              <w:t>9</w:t>
                            </w:r>
                          </w:p>
                          <w:p w:rsidR="00B10AA7" w:rsidRPr="005C2FCF" w:rsidRDefault="00B10AA7"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10AA7" w:rsidRPr="005C2FCF" w:rsidRDefault="00B10AA7" w:rsidP="001D5855">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B10AA7" w:rsidRDefault="00B10AA7" w:rsidP="001D5855">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B10AA7" w:rsidRPr="001D5855" w:rsidRDefault="00B10AA7" w:rsidP="001D5855">
                            <w:pPr>
                              <w:pStyle w:val="Imprint"/>
                            </w:pPr>
                            <w:r w:rsidRPr="001D5855">
                              <w:rPr>
                                <w:b/>
                              </w:rPr>
                              <w:t>Email</w:t>
                            </w:r>
                            <w:r w:rsidRPr="001D5855">
                              <w:t xml:space="preserve"> </w:t>
                            </w:r>
                            <w:hyperlink r:id="rId12" w:history="1">
                              <w:r w:rsidRPr="001D5855">
                                <w:rPr>
                                  <w:rStyle w:val="Hyperlink"/>
                                  <w:sz w:val="16"/>
                                </w:rPr>
                                <w:t>ncver@ncver.edu.au</w:t>
                              </w:r>
                            </w:hyperlink>
                            <w:r w:rsidRPr="001D5855">
                              <w:t xml:space="preserve">     </w:t>
                            </w:r>
                            <w:r w:rsidRPr="001D5855">
                              <w:rPr>
                                <w:b/>
                              </w:rPr>
                              <w:t>Web</w:t>
                            </w:r>
                            <w:r w:rsidRPr="001D5855">
                              <w:t xml:space="preserve"> &lt;http://www.ncver.edu.au&gt;  &lt;</w:t>
                            </w:r>
                            <w:hyperlink r:id="rId13" w:history="1">
                              <w:r w:rsidRPr="001D5855">
                                <w:rPr>
                                  <w:rStyle w:val="Hyperlink"/>
                                  <w:sz w:val="16"/>
                                </w:rPr>
                                <w:t>http://www.lsay.edu.au</w:t>
                              </w:r>
                            </w:hyperlink>
                            <w:r w:rsidRPr="001D5855">
                              <w:t>&gt;</w:t>
                            </w:r>
                          </w:p>
                          <w:p w:rsidR="00B10AA7" w:rsidRPr="001D5855" w:rsidRDefault="00B10AA7" w:rsidP="00B10AA7">
                            <w:pPr>
                              <w:pStyle w:val="Imprint"/>
                              <w:tabs>
                                <w:tab w:val="left" w:pos="1134"/>
                              </w:tabs>
                            </w:pPr>
                            <w:r w:rsidRPr="001D5855">
                              <w:rPr>
                                <w:b/>
                              </w:rPr>
                              <w:t>Follow us:</w:t>
                            </w:r>
                            <w:r w:rsidRPr="001D5855">
                              <w:t xml:space="preserve"> </w:t>
                            </w:r>
                            <w:r w:rsidRPr="001D5855">
                              <w:tab/>
                            </w:r>
                            <w:r>
                              <w:rPr>
                                <w:noProof/>
                                <w:lang w:eastAsia="en-AU"/>
                              </w:rPr>
                              <w:drawing>
                                <wp:inline distT="0" distB="0" distL="0" distR="0" wp14:anchorId="76553CC4" wp14:editId="3F092BC8">
                                  <wp:extent cx="123825" cy="142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5855">
                              <w:t xml:space="preserve"> &lt;http://twitter.com/ncver&gt;</w:t>
                            </w:r>
                            <w:r w:rsidRPr="001D5855">
                              <w:tab/>
                            </w:r>
                            <w:r>
                              <w:rPr>
                                <w:noProof/>
                                <w:lang w:eastAsia="en-AU"/>
                              </w:rPr>
                              <w:drawing>
                                <wp:inline distT="0" distB="0" distL="0" distR="0" wp14:anchorId="5DE165CE" wp14:editId="2B0B7AFC">
                                  <wp:extent cx="133350" cy="14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w:t>
                            </w:r>
                            <w:hyperlink r:id="rId16" w:history="1">
                              <w:r w:rsidRPr="001D5855">
                                <w:rPr>
                                  <w:rStyle w:val="Hyperlink"/>
                                  <w:sz w:val="16"/>
                                </w:rPr>
                                <w:t>http://www.linkedin.com/company/ncver</w:t>
                              </w:r>
                            </w:hyperlink>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0;margin-top:238.35pt;width:423.45pt;height:4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" filled="f" stroked="f">
                <v:textbox inset="0,,0">
                  <w:txbxContent>
                    <w:p w:rsidR="00B10AA7" w:rsidRPr="00A021FC" w:rsidRDefault="00B10AA7" w:rsidP="00514B1F">
                      <w:pPr>
                        <w:pStyle w:val="Imprint"/>
                        <w:rPr>
                          <w:b/>
                        </w:rPr>
                      </w:pPr>
                      <w:r w:rsidRPr="00A021FC">
                        <w:rPr>
                          <w:b/>
                        </w:rPr>
                        <w:t xml:space="preserve">© Commonwealth of Australia, </w:t>
                      </w:r>
                      <w:r>
                        <w:rPr>
                          <w:b/>
                        </w:rPr>
                        <w:t>2014</w:t>
                      </w:r>
                    </w:p>
                    <w:p w:rsidR="00B10AA7" w:rsidRDefault="00B10AA7" w:rsidP="00514B1F">
                      <w:pPr>
                        <w:pStyle w:val="Imprint"/>
                        <w:rPr>
                          <w:sz w:val="20"/>
                        </w:rPr>
                      </w:pPr>
                      <w:r w:rsidRPr="00E80270">
                        <w:rPr>
                          <w:noProof/>
                          <w:sz w:val="20"/>
                          <w:lang w:eastAsia="en-AU"/>
                        </w:rPr>
                        <w:drawing>
                          <wp:inline distT="0" distB="0" distL="0" distR="0" wp14:anchorId="7A4AB833" wp14:editId="1F896E32">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10AA7" w:rsidRPr="00A021FC" w:rsidRDefault="00B10AA7" w:rsidP="00514B1F">
                      <w:pPr>
                        <w:pStyle w:val="Imprint"/>
                      </w:pPr>
                      <w:r w:rsidRPr="00A021FC">
                        <w:t>With the exception of the Commonwealth Coat of Arms, the Department</w:t>
                      </w:r>
                      <w:r>
                        <w:t>’</w:t>
                      </w:r>
                      <w:r w:rsidRPr="00A021FC">
                        <w:t xml:space="preserve">s logo, any material protected by a trade mark and where otherwise noted all material presented in this </w:t>
                      </w:r>
                      <w:r>
                        <w:br/>
                      </w:r>
                      <w:r w:rsidRPr="00A021FC">
                        <w:t xml:space="preserve">document is provided under a Creative Commons Attribution 3.0 Australia &lt;http://creativecommons.org/licenses/by/3.0/au&gt; licence. </w:t>
                      </w:r>
                    </w:p>
                    <w:p w:rsidR="00B10AA7" w:rsidRPr="00A021FC" w:rsidRDefault="00B10AA7" w:rsidP="00514B1F">
                      <w:pPr>
                        <w:pStyle w:val="Imprint"/>
                        <w:spacing w:before="80"/>
                      </w:pPr>
                      <w:r w:rsidRPr="00A021FC">
                        <w:t>The details of the relevant licence conditions are available on the Creative Commons website (accessible using the links provided) as is the full legal code for the CC BY 3.0 AU licence &lt;http://creativecommons.org/licenses/by/3.0/legalcode&gt;.</w:t>
                      </w:r>
                    </w:p>
                    <w:p w:rsidR="00B10AA7" w:rsidRPr="00A021FC" w:rsidRDefault="00B10AA7" w:rsidP="00514B1F">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B10AA7" w:rsidRPr="00A021FC" w:rsidRDefault="00B10AA7" w:rsidP="00514B1F">
                      <w:pPr>
                        <w:pStyle w:val="Imprint"/>
                      </w:pPr>
                      <w:r w:rsidRPr="00A021FC">
                        <w:t xml:space="preserve">This document should be attributed as </w:t>
                      </w:r>
                      <w:r>
                        <w:t xml:space="preserve">Lim, P &amp; Karmel, T 2014, </w:t>
                      </w:r>
                      <w:r w:rsidRPr="00514B1F">
                        <w:rPr>
                          <w:rStyle w:val="Emphasis"/>
                          <w:iCs w:val="0"/>
                        </w:rPr>
                        <w:t>Measuring VET participation</w:t>
                      </w:r>
                      <w:r>
                        <w:rPr>
                          <w:rStyle w:val="Emphasis"/>
                          <w:iCs w:val="0"/>
                        </w:rPr>
                        <w:t xml:space="preserve"> by socio</w:t>
                      </w:r>
                      <w:r w:rsidRPr="00514B1F">
                        <w:rPr>
                          <w:rStyle w:val="Emphasis"/>
                          <w:iCs w:val="0"/>
                        </w:rPr>
                        <w:t>economic status: an examination of the robustness of ABS SEIFA measures over time</w:t>
                      </w:r>
                      <w:r>
                        <w:rPr>
                          <w:i/>
                        </w:rPr>
                        <w:t xml:space="preserve">, </w:t>
                      </w:r>
                      <w:r w:rsidRPr="00A021FC">
                        <w:t>NCVER,</w:t>
                      </w:r>
                      <w:r>
                        <w:t> </w:t>
                      </w:r>
                      <w:r w:rsidRPr="00A021FC">
                        <w:t>Adelaide.</w:t>
                      </w:r>
                    </w:p>
                    <w:p w:rsidR="00B10AA7" w:rsidRPr="005C2FCF" w:rsidRDefault="00B10AA7" w:rsidP="00885A3B">
                      <w:pPr>
                        <w:pStyle w:val="Imprint"/>
                        <w:rPr>
                          <w:color w:val="000000"/>
                        </w:rPr>
                      </w:pPr>
                      <w:r w:rsidRPr="005C2FCF">
                        <w:rPr>
                          <w:color w:val="000000"/>
                        </w:rPr>
                        <w:t>ISBN</w:t>
                      </w:r>
                      <w:r w:rsidRPr="005C2FCF">
                        <w:rPr>
                          <w:color w:val="000000"/>
                        </w:rPr>
                        <w:tab/>
                      </w:r>
                      <w:r w:rsidRPr="002A43D3">
                        <w:rPr>
                          <w:color w:val="000000"/>
                        </w:rPr>
                        <w:t>978 1 922056 92 4</w:t>
                      </w:r>
                      <w:r>
                        <w:rPr>
                          <w:color w:val="000000"/>
                        </w:rPr>
                        <w:br/>
                      </w:r>
                      <w:r w:rsidRPr="005C2FCF">
                        <w:rPr>
                          <w:color w:val="000000"/>
                        </w:rPr>
                        <w:t>TD/TNC</w:t>
                      </w:r>
                      <w:r w:rsidRPr="005C2FCF">
                        <w:rPr>
                          <w:color w:val="000000"/>
                        </w:rPr>
                        <w:tab/>
                      </w:r>
                      <w:r w:rsidRPr="009463D4">
                        <w:rPr>
                          <w:color w:val="000000"/>
                        </w:rPr>
                        <w:t>115.1</w:t>
                      </w:r>
                      <w:r>
                        <w:rPr>
                          <w:color w:val="000000"/>
                        </w:rPr>
                        <w:t>9</w:t>
                      </w:r>
                    </w:p>
                    <w:p w:rsidR="00B10AA7" w:rsidRPr="005C2FCF" w:rsidRDefault="00B10AA7"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10AA7" w:rsidRPr="005C2FCF" w:rsidRDefault="00B10AA7" w:rsidP="001D5855">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B10AA7" w:rsidRDefault="00B10AA7" w:rsidP="001D5855">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B10AA7" w:rsidRPr="001D5855" w:rsidRDefault="00B10AA7" w:rsidP="001D5855">
                      <w:pPr>
                        <w:pStyle w:val="Imprint"/>
                      </w:pPr>
                      <w:r w:rsidRPr="001D5855">
                        <w:rPr>
                          <w:b/>
                        </w:rPr>
                        <w:t>Email</w:t>
                      </w:r>
                      <w:r w:rsidRPr="001D5855">
                        <w:t xml:space="preserve"> </w:t>
                      </w:r>
                      <w:hyperlink r:id="rId17" w:history="1">
                        <w:r w:rsidRPr="001D5855">
                          <w:rPr>
                            <w:rStyle w:val="Hyperlink"/>
                            <w:sz w:val="16"/>
                          </w:rPr>
                          <w:t>ncver@ncver.edu.au</w:t>
                        </w:r>
                      </w:hyperlink>
                      <w:r w:rsidRPr="001D5855">
                        <w:t xml:space="preserve">     </w:t>
                      </w:r>
                      <w:r w:rsidRPr="001D5855">
                        <w:rPr>
                          <w:b/>
                        </w:rPr>
                        <w:t>Web</w:t>
                      </w:r>
                      <w:r w:rsidRPr="001D5855">
                        <w:t xml:space="preserve"> &lt;http://www.ncver.edu.au&gt;  &lt;</w:t>
                      </w:r>
                      <w:hyperlink r:id="rId18" w:history="1">
                        <w:r w:rsidRPr="001D5855">
                          <w:rPr>
                            <w:rStyle w:val="Hyperlink"/>
                            <w:sz w:val="16"/>
                          </w:rPr>
                          <w:t>http://www.lsay.edu.au</w:t>
                        </w:r>
                      </w:hyperlink>
                      <w:r w:rsidRPr="001D5855">
                        <w:t>&gt;</w:t>
                      </w:r>
                    </w:p>
                    <w:p w:rsidR="00B10AA7" w:rsidRPr="001D5855" w:rsidRDefault="00B10AA7" w:rsidP="00B10AA7">
                      <w:pPr>
                        <w:pStyle w:val="Imprint"/>
                        <w:tabs>
                          <w:tab w:val="left" w:pos="1134"/>
                        </w:tabs>
                      </w:pPr>
                      <w:r w:rsidRPr="001D5855">
                        <w:rPr>
                          <w:b/>
                        </w:rPr>
                        <w:t>Follow us:</w:t>
                      </w:r>
                      <w:r w:rsidRPr="001D5855">
                        <w:t xml:space="preserve"> </w:t>
                      </w:r>
                      <w:r w:rsidRPr="001D5855">
                        <w:tab/>
                      </w:r>
                      <w:r>
                        <w:rPr>
                          <w:noProof/>
                          <w:lang w:eastAsia="en-AU"/>
                        </w:rPr>
                        <w:drawing>
                          <wp:inline distT="0" distB="0" distL="0" distR="0" wp14:anchorId="76553CC4" wp14:editId="3F092BC8">
                            <wp:extent cx="123825" cy="142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5855">
                        <w:t xml:space="preserve"> &lt;http://twitter.com/ncver&gt;</w:t>
                      </w:r>
                      <w:r w:rsidRPr="001D5855">
                        <w:tab/>
                      </w:r>
                      <w:r>
                        <w:rPr>
                          <w:noProof/>
                          <w:lang w:eastAsia="en-AU"/>
                        </w:rPr>
                        <w:drawing>
                          <wp:inline distT="0" distB="0" distL="0" distR="0" wp14:anchorId="5DE165CE" wp14:editId="2B0B7AFC">
                            <wp:extent cx="133350" cy="14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w:t>
                      </w:r>
                      <w:hyperlink r:id="rId19" w:history="1">
                        <w:r w:rsidRPr="001D5855">
                          <w:rPr>
                            <w:rStyle w:val="Hyperlink"/>
                            <w:sz w:val="16"/>
                          </w:rPr>
                          <w:t>http://www.linkedin.com/company/ncver</w:t>
                        </w:r>
                      </w:hyperlink>
                    </w:p>
                  </w:txbxContent>
                </v:textbox>
              </v:shape>
            </w:pict>
          </mc:Fallback>
        </mc:AlternateContent>
      </w:r>
      <w:r w:rsidR="001C3CE4" w:rsidRPr="001C3CE4">
        <w:rPr>
          <w:sz w:val="16"/>
        </w:rPr>
        <w:t>This report has been prepared by the National Centre for Vocational Education Research (NCVER) on behalf of the former National Senior Officials Committee and the Principal Committees of the Council of Australian Governments’ (COAG) Industry Skills Council (previously the Standing Council on Tertiary Education, Skills and Employment).</w:t>
      </w:r>
      <w:r w:rsidR="00514B1F" w:rsidRPr="005C2FCF">
        <w:br w:type="page"/>
      </w:r>
    </w:p>
    <w:p w:rsidR="00E14F86" w:rsidRDefault="00E14F86" w:rsidP="00E14F86">
      <w:pPr>
        <w:pStyle w:val="Abouttheresearch"/>
      </w:pPr>
      <w:r>
        <w:lastRenderedPageBreak/>
        <w:t>About the research</w:t>
      </w:r>
    </w:p>
    <w:p w:rsidR="00E14F86" w:rsidRPr="001D26CC" w:rsidRDefault="00E14F86" w:rsidP="00885A3B">
      <w:pPr>
        <w:pStyle w:val="Abouttheresearchpubtitle"/>
        <w:rPr>
          <w:rStyle w:val="Emphasis"/>
          <w:i/>
          <w:iCs w:val="0"/>
        </w:rPr>
      </w:pPr>
      <w:r w:rsidRPr="001D26CC">
        <w:rPr>
          <w:rStyle w:val="Emphasis"/>
          <w:i/>
          <w:iCs w:val="0"/>
        </w:rPr>
        <w:t>Measuring VET participa</w:t>
      </w:r>
      <w:r>
        <w:rPr>
          <w:rStyle w:val="Emphasis"/>
          <w:i/>
          <w:iCs w:val="0"/>
        </w:rPr>
        <w:t>tion</w:t>
      </w:r>
      <w:r w:rsidR="003332D7">
        <w:rPr>
          <w:rStyle w:val="Emphasis"/>
          <w:i/>
          <w:iCs w:val="0"/>
        </w:rPr>
        <w:t xml:space="preserve"> by socio</w:t>
      </w:r>
      <w:r>
        <w:rPr>
          <w:rStyle w:val="Emphasis"/>
          <w:i/>
          <w:iCs w:val="0"/>
        </w:rPr>
        <w:t>economic status: a</w:t>
      </w:r>
      <w:r w:rsidRPr="001D26CC">
        <w:rPr>
          <w:rStyle w:val="Emphasis"/>
          <w:i/>
          <w:iCs w:val="0"/>
        </w:rPr>
        <w:t>n examination of the robustness of ABS SEIFA measures over time</w:t>
      </w:r>
    </w:p>
    <w:p w:rsidR="00E14F86" w:rsidRPr="001D26CC" w:rsidRDefault="00E14F86" w:rsidP="00885A3B">
      <w:pPr>
        <w:pStyle w:val="Heading3"/>
      </w:pPr>
      <w:r>
        <w:t>Patrick Lim and Tom Karmel, NCVER</w:t>
      </w:r>
    </w:p>
    <w:p w:rsidR="00E14F86" w:rsidRPr="00885A3B" w:rsidRDefault="00E14F86" w:rsidP="00885A3B">
      <w:pPr>
        <w:pStyle w:val="Text"/>
      </w:pPr>
      <w:r>
        <w:t>At every five-yearly census, the Australian Bureau of Statistics (ABS) recalculates both the SEIFA (Socio-economic Indexes for Areas) indexes and also recalibrates the borders and size</w:t>
      </w:r>
      <w:r w:rsidR="001D5855">
        <w:t>s</w:t>
      </w:r>
      <w:r>
        <w:t xml:space="preserve"> of the geographic areas from </w:t>
      </w:r>
      <w:r w:rsidRPr="00885A3B">
        <w:t xml:space="preserve">which these SEIFA measurements are derived. Further, over time, the composition of geographic areas may change, due to urban renewal or other factors. </w:t>
      </w:r>
    </w:p>
    <w:p w:rsidR="00E14F86" w:rsidRPr="00885A3B" w:rsidRDefault="00E14F86" w:rsidP="00885A3B">
      <w:pPr>
        <w:pStyle w:val="Text"/>
      </w:pPr>
      <w:r w:rsidRPr="00885A3B">
        <w:t>The National Centre for Vocational Education Research (NCVER) reports vocational education and training (VET) participation rates at least annually, and the question that arises is how well do the SEIFA indexes perform over the interim years, that is, between the releases of new census data. Of particular interest is the reporting of participation rates for the census years. In reporting the 2011 year, NCVER uses the 2006 census data, as the ABS does not release new SEIFA values until 18 months after each census. The focus of this paper is on VET participation rates; however, the methodology would be equally applicable to higher education or school participation.</w:t>
      </w:r>
    </w:p>
    <w:p w:rsidR="00E14F86" w:rsidRDefault="00E14F86" w:rsidP="00885A3B">
      <w:pPr>
        <w:pStyle w:val="Text"/>
      </w:pPr>
      <w:r w:rsidRPr="00885A3B">
        <w:t xml:space="preserve">The approach used in this paper is that the 2006 and </w:t>
      </w:r>
      <w:r w:rsidRPr="00BB551D">
        <w:t>2011 National VET Provider Collections</w:t>
      </w:r>
      <w:r w:rsidRPr="00885A3B">
        <w:t xml:space="preserve"> have had the 2006 and 2011 SEIFA measures</w:t>
      </w:r>
      <w:r>
        <w:t xml:space="preserve"> applied to each of them, along with the Australian populations at each time. Using these data, it was possible to determine VET participation rates (by age) as a proportion of the Australian population, using both the 2006 and 2011 census data. The SEIFA index used in this paper was the Index of Relative </w:t>
      </w:r>
      <w:r w:rsidR="00B0464A">
        <w:t xml:space="preserve">Socio-economic </w:t>
      </w:r>
      <w:bookmarkStart w:id="7" w:name="_GoBack"/>
      <w:bookmarkEnd w:id="7"/>
      <w:r>
        <w:t>Disadvantage (IRSD).</w:t>
      </w:r>
    </w:p>
    <w:p w:rsidR="00E14F86" w:rsidRDefault="00E14F86" w:rsidP="00E14F86">
      <w:pPr>
        <w:pStyle w:val="Keymessages"/>
      </w:pPr>
      <w:r>
        <w:t>Key messages</w:t>
      </w:r>
    </w:p>
    <w:p w:rsidR="00E14F86" w:rsidRDefault="00E14F86" w:rsidP="00E14F86">
      <w:pPr>
        <w:pStyle w:val="Dotpoint1"/>
      </w:pPr>
      <w:r>
        <w:t>The estimates of VET participation made for 2011 based on 2006 quintiles are reasonably accurate when the quintiles are based on statistical local areas (SLAs).</w:t>
      </w:r>
    </w:p>
    <w:p w:rsidR="00E14F86" w:rsidRDefault="00E14F86" w:rsidP="00E14F86">
      <w:pPr>
        <w:pStyle w:val="Dotpoint1"/>
      </w:pPr>
      <w:r>
        <w:t>The results based on postal areas (POAs) are not as accurate.</w:t>
      </w:r>
    </w:p>
    <w:p w:rsidR="00E14F86" w:rsidRDefault="00E14F86" w:rsidP="00E14F86">
      <w:pPr>
        <w:pStyle w:val="Dotpoint1"/>
      </w:pPr>
      <w:r>
        <w:t>The new Statistical Area 2 geographic boundaries will be more stable and accurate over time.</w:t>
      </w:r>
    </w:p>
    <w:p w:rsidR="00E14F86" w:rsidRDefault="00E14F86" w:rsidP="00E14F86">
      <w:pPr>
        <w:pStyle w:val="Dotpoint1"/>
      </w:pPr>
      <w:r>
        <w:t xml:space="preserve">The SEIFA quintiles (deciles) using area-based calculations are not to be taken as a robust benchmark in the sense of 20% of the population. That is, 20% of the population does not fall into the lowest quintile (for example). SEIFA quintiles are derived by ensuring that 20% of all geographic regions are in the quintile and thus the underlying distribution of the population does not evenly fall across the five quintiles. </w:t>
      </w:r>
    </w:p>
    <w:p w:rsidR="00E14F86" w:rsidRDefault="00E14F86" w:rsidP="00E14F86">
      <w:pPr>
        <w:pStyle w:val="Dotpoint1"/>
      </w:pPr>
      <w:r>
        <w:t>Any over- or under-representation of any socioeconomic status (SES) group cannot be judged accurately by whether the share of a particular quintile is over or under 20%.</w:t>
      </w:r>
    </w:p>
    <w:p w:rsidR="00E14F86" w:rsidRPr="00910C88" w:rsidRDefault="00E14F86" w:rsidP="00910C88">
      <w:pPr>
        <w:pStyle w:val="Text"/>
      </w:pPr>
    </w:p>
    <w:p w:rsidR="00E14F86" w:rsidRDefault="00E14F86" w:rsidP="00910C88">
      <w:pPr>
        <w:pStyle w:val="Text"/>
        <w:rPr>
          <w:kern w:val="28"/>
        </w:rPr>
      </w:pPr>
      <w:r w:rsidRPr="00910C88">
        <w:t>Rod</w:t>
      </w:r>
      <w:r>
        <w:t xml:space="preserve"> Camm</w:t>
      </w:r>
      <w:r w:rsidR="00910C88">
        <w:br/>
      </w:r>
      <w:r>
        <w:t>Managing Director, NCVER</w:t>
      </w:r>
      <w:r>
        <w:br w:type="page"/>
      </w:r>
    </w:p>
    <w:p w:rsidR="00E14F86" w:rsidRDefault="00E14F86" w:rsidP="00C244B4">
      <w:pPr>
        <w:pStyle w:val="Text"/>
        <w:rPr>
          <w:kern w:val="28"/>
        </w:rPr>
      </w:pPr>
    </w:p>
    <w:p w:rsidR="00E14F86" w:rsidRDefault="00E14F86" w:rsidP="0000135C">
      <w:pPr>
        <w:pStyle w:val="Abouttheresearch"/>
        <w:sectPr w:rsidR="00E14F86" w:rsidSect="00A151CB">
          <w:pgSz w:w="11907" w:h="16840" w:code="9"/>
          <w:pgMar w:top="1276" w:right="1701" w:bottom="1276" w:left="1418" w:header="709" w:footer="556" w:gutter="0"/>
          <w:cols w:space="708"/>
          <w:titlePg/>
          <w:docGrid w:linePitch="360"/>
        </w:sectPr>
      </w:pPr>
    </w:p>
    <w:p w:rsidR="00EB0AD7" w:rsidRPr="00DC5F5C" w:rsidRDefault="00EB0AD7" w:rsidP="00EC2586">
      <w:pPr>
        <w:pStyle w:val="Contents"/>
      </w:pPr>
      <w:r w:rsidRPr="00DC5F5C">
        <w:lastRenderedPageBreak/>
        <w:t>Contents</w:t>
      </w:r>
      <w:bookmarkEnd w:id="4"/>
      <w:bookmarkEnd w:id="5"/>
      <w:bookmarkEnd w:id="6"/>
    </w:p>
    <w:p w:rsidR="001129FC" w:rsidRDefault="00292C54">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1129FC">
        <w:t>Tables and figures</w:t>
      </w:r>
      <w:r w:rsidR="001129FC">
        <w:tab/>
      </w:r>
      <w:r>
        <w:fldChar w:fldCharType="begin"/>
      </w:r>
      <w:r w:rsidR="001129FC">
        <w:instrText xml:space="preserve"> PAGEREF _Toc383615926 \h </w:instrText>
      </w:r>
      <w:r>
        <w:fldChar w:fldCharType="separate"/>
      </w:r>
      <w:r w:rsidR="00943850">
        <w:t>6</w:t>
      </w:r>
      <w:r>
        <w:fldChar w:fldCharType="end"/>
      </w:r>
    </w:p>
    <w:p w:rsidR="001129FC" w:rsidRDefault="001129FC">
      <w:pPr>
        <w:pStyle w:val="TOC1"/>
        <w:rPr>
          <w:rFonts w:asciiTheme="minorHAnsi" w:eastAsiaTheme="minorEastAsia" w:hAnsiTheme="minorHAnsi" w:cstheme="minorBidi"/>
          <w:color w:val="auto"/>
          <w:sz w:val="22"/>
          <w:szCs w:val="22"/>
          <w:lang w:eastAsia="en-AU"/>
        </w:rPr>
      </w:pPr>
      <w:r>
        <w:t>Introduction</w:t>
      </w:r>
      <w:r>
        <w:tab/>
      </w:r>
      <w:r w:rsidR="00292C54">
        <w:fldChar w:fldCharType="begin"/>
      </w:r>
      <w:r>
        <w:instrText xml:space="preserve"> PAGEREF _Toc383615929 \h </w:instrText>
      </w:r>
      <w:r w:rsidR="00292C54">
        <w:fldChar w:fldCharType="separate"/>
      </w:r>
      <w:r w:rsidR="00943850">
        <w:t>8</w:t>
      </w:r>
      <w:r w:rsidR="00292C54">
        <w:fldChar w:fldCharType="end"/>
      </w:r>
    </w:p>
    <w:p w:rsidR="001129FC" w:rsidRDefault="001129FC">
      <w:pPr>
        <w:pStyle w:val="TOC1"/>
        <w:rPr>
          <w:rFonts w:asciiTheme="minorHAnsi" w:eastAsiaTheme="minorEastAsia" w:hAnsiTheme="minorHAnsi" w:cstheme="minorBidi"/>
          <w:color w:val="auto"/>
          <w:sz w:val="22"/>
          <w:szCs w:val="22"/>
          <w:lang w:eastAsia="en-AU"/>
        </w:rPr>
      </w:pPr>
      <w:r>
        <w:t>SEIFA and population measures</w:t>
      </w:r>
      <w:r>
        <w:tab/>
      </w:r>
      <w:r w:rsidR="00292C54">
        <w:fldChar w:fldCharType="begin"/>
      </w:r>
      <w:r>
        <w:instrText xml:space="preserve"> PAGEREF _Toc383615930 \h </w:instrText>
      </w:r>
      <w:r w:rsidR="00292C54">
        <w:fldChar w:fldCharType="separate"/>
      </w:r>
      <w:r w:rsidR="00943850">
        <w:t>10</w:t>
      </w:r>
      <w:r w:rsidR="00292C54">
        <w:fldChar w:fldCharType="end"/>
      </w:r>
    </w:p>
    <w:p w:rsidR="001129FC" w:rsidRDefault="001129FC">
      <w:pPr>
        <w:pStyle w:val="TOC1"/>
        <w:rPr>
          <w:rFonts w:asciiTheme="minorHAnsi" w:eastAsiaTheme="minorEastAsia" w:hAnsiTheme="minorHAnsi" w:cstheme="minorBidi"/>
          <w:color w:val="auto"/>
          <w:sz w:val="22"/>
          <w:szCs w:val="22"/>
          <w:lang w:eastAsia="en-AU"/>
        </w:rPr>
      </w:pPr>
      <w:r>
        <w:t>SEIFA over time</w:t>
      </w:r>
      <w:r>
        <w:tab/>
      </w:r>
      <w:r w:rsidR="00292C54">
        <w:fldChar w:fldCharType="begin"/>
      </w:r>
      <w:r>
        <w:instrText xml:space="preserve"> PAGEREF _Toc383615931 \h </w:instrText>
      </w:r>
      <w:r w:rsidR="00292C54">
        <w:fldChar w:fldCharType="separate"/>
      </w:r>
      <w:r w:rsidR="00943850">
        <w:t>12</w:t>
      </w:r>
      <w:r w:rsidR="00292C54">
        <w:fldChar w:fldCharType="end"/>
      </w:r>
    </w:p>
    <w:p w:rsidR="001129FC" w:rsidRDefault="001129FC">
      <w:pPr>
        <w:pStyle w:val="TOC2"/>
        <w:rPr>
          <w:rFonts w:asciiTheme="minorHAnsi" w:eastAsiaTheme="minorEastAsia" w:hAnsiTheme="minorHAnsi" w:cstheme="minorBidi"/>
          <w:color w:val="auto"/>
          <w:sz w:val="22"/>
          <w:szCs w:val="22"/>
          <w:lang w:eastAsia="en-AU"/>
        </w:rPr>
      </w:pPr>
      <w:r>
        <w:t>Changes based on statistical local area quintiles</w:t>
      </w:r>
      <w:r>
        <w:tab/>
      </w:r>
      <w:r w:rsidR="00292C54">
        <w:fldChar w:fldCharType="begin"/>
      </w:r>
      <w:r>
        <w:instrText xml:space="preserve"> PAGEREF _Toc383615932 \h </w:instrText>
      </w:r>
      <w:r w:rsidR="00292C54">
        <w:fldChar w:fldCharType="separate"/>
      </w:r>
      <w:r w:rsidR="00943850">
        <w:t>15</w:t>
      </w:r>
      <w:r w:rsidR="00292C54">
        <w:fldChar w:fldCharType="end"/>
      </w:r>
    </w:p>
    <w:p w:rsidR="001129FC" w:rsidRDefault="001129FC">
      <w:pPr>
        <w:pStyle w:val="TOC2"/>
        <w:rPr>
          <w:rFonts w:asciiTheme="minorHAnsi" w:eastAsiaTheme="minorEastAsia" w:hAnsiTheme="minorHAnsi" w:cstheme="minorBidi"/>
          <w:color w:val="auto"/>
          <w:sz w:val="22"/>
          <w:szCs w:val="22"/>
          <w:lang w:eastAsia="en-AU"/>
        </w:rPr>
      </w:pPr>
      <w:r>
        <w:t>Estimates at the qualification level</w:t>
      </w:r>
      <w:r>
        <w:tab/>
      </w:r>
      <w:r w:rsidR="00292C54">
        <w:fldChar w:fldCharType="begin"/>
      </w:r>
      <w:r>
        <w:instrText xml:space="preserve"> PAGEREF _Toc383615933 \h </w:instrText>
      </w:r>
      <w:r w:rsidR="00292C54">
        <w:fldChar w:fldCharType="separate"/>
      </w:r>
      <w:r w:rsidR="00943850">
        <w:t>19</w:t>
      </w:r>
      <w:r w:rsidR="00292C54">
        <w:fldChar w:fldCharType="end"/>
      </w:r>
    </w:p>
    <w:p w:rsidR="001129FC" w:rsidRDefault="001129FC">
      <w:pPr>
        <w:pStyle w:val="TOC1"/>
        <w:rPr>
          <w:rFonts w:asciiTheme="minorHAnsi" w:eastAsiaTheme="minorEastAsia" w:hAnsiTheme="minorHAnsi" w:cstheme="minorBidi"/>
          <w:color w:val="auto"/>
          <w:sz w:val="22"/>
          <w:szCs w:val="22"/>
          <w:lang w:eastAsia="en-AU"/>
        </w:rPr>
      </w:pPr>
      <w:r>
        <w:t>VET participation in 2006 and 2011</w:t>
      </w:r>
      <w:r>
        <w:tab/>
      </w:r>
      <w:r w:rsidR="00292C54">
        <w:fldChar w:fldCharType="begin"/>
      </w:r>
      <w:r>
        <w:instrText xml:space="preserve"> PAGEREF _Toc383615934 \h </w:instrText>
      </w:r>
      <w:r w:rsidR="00292C54">
        <w:fldChar w:fldCharType="separate"/>
      </w:r>
      <w:r w:rsidR="00943850">
        <w:t>24</w:t>
      </w:r>
      <w:r w:rsidR="00292C54">
        <w:fldChar w:fldCharType="end"/>
      </w:r>
    </w:p>
    <w:p w:rsidR="001129FC" w:rsidRDefault="001129FC">
      <w:pPr>
        <w:pStyle w:val="TOC1"/>
        <w:rPr>
          <w:rFonts w:asciiTheme="minorHAnsi" w:eastAsiaTheme="minorEastAsia" w:hAnsiTheme="minorHAnsi" w:cstheme="minorBidi"/>
          <w:color w:val="auto"/>
          <w:sz w:val="22"/>
          <w:szCs w:val="22"/>
          <w:lang w:eastAsia="en-AU"/>
        </w:rPr>
      </w:pPr>
      <w:r>
        <w:t>Discussion</w:t>
      </w:r>
      <w:r>
        <w:tab/>
      </w:r>
      <w:r w:rsidR="00292C54">
        <w:fldChar w:fldCharType="begin"/>
      </w:r>
      <w:r>
        <w:instrText xml:space="preserve"> PAGEREF _Toc383615935 \h </w:instrText>
      </w:r>
      <w:r w:rsidR="00292C54">
        <w:fldChar w:fldCharType="separate"/>
      </w:r>
      <w:r w:rsidR="00943850">
        <w:t>27</w:t>
      </w:r>
      <w:r w:rsidR="00292C54">
        <w:fldChar w:fldCharType="end"/>
      </w:r>
    </w:p>
    <w:p w:rsidR="001129FC" w:rsidRDefault="001129FC">
      <w:pPr>
        <w:pStyle w:val="TOC1"/>
        <w:rPr>
          <w:rFonts w:asciiTheme="minorHAnsi" w:eastAsiaTheme="minorEastAsia" w:hAnsiTheme="minorHAnsi" w:cstheme="minorBidi"/>
          <w:color w:val="auto"/>
          <w:sz w:val="22"/>
          <w:szCs w:val="22"/>
          <w:lang w:eastAsia="en-AU"/>
        </w:rPr>
      </w:pPr>
      <w:r>
        <w:t>References</w:t>
      </w:r>
      <w:r>
        <w:tab/>
      </w:r>
      <w:r w:rsidR="00292C54">
        <w:fldChar w:fldCharType="begin"/>
      </w:r>
      <w:r>
        <w:instrText xml:space="preserve"> PAGEREF _Toc383615936 \h </w:instrText>
      </w:r>
      <w:r w:rsidR="00292C54">
        <w:fldChar w:fldCharType="separate"/>
      </w:r>
      <w:r w:rsidR="00943850">
        <w:t>28</w:t>
      </w:r>
      <w:r w:rsidR="00292C54">
        <w:fldChar w:fldCharType="end"/>
      </w:r>
    </w:p>
    <w:p w:rsidR="001129FC" w:rsidRDefault="001129FC">
      <w:pPr>
        <w:pStyle w:val="TOC1"/>
        <w:rPr>
          <w:rFonts w:asciiTheme="minorHAnsi" w:eastAsiaTheme="minorEastAsia" w:hAnsiTheme="minorHAnsi" w:cstheme="minorBidi"/>
          <w:color w:val="auto"/>
          <w:sz w:val="22"/>
          <w:szCs w:val="22"/>
          <w:lang w:eastAsia="en-AU"/>
        </w:rPr>
      </w:pPr>
      <w:r>
        <w:t>Funding information</w:t>
      </w:r>
      <w:r>
        <w:tab/>
      </w:r>
      <w:r w:rsidR="00292C54">
        <w:fldChar w:fldCharType="begin"/>
      </w:r>
      <w:r>
        <w:instrText xml:space="preserve"> PAGEREF _Toc383615937 \h </w:instrText>
      </w:r>
      <w:r w:rsidR="00292C54">
        <w:fldChar w:fldCharType="separate"/>
      </w:r>
      <w:r w:rsidR="00943850">
        <w:t>29</w:t>
      </w:r>
      <w:r w:rsidR="00292C54">
        <w:fldChar w:fldCharType="end"/>
      </w:r>
    </w:p>
    <w:p w:rsidR="00EB0AD7" w:rsidRDefault="00292C54" w:rsidP="000D0F23">
      <w:pPr>
        <w:pStyle w:val="Text"/>
      </w:pPr>
      <w:r w:rsidRPr="009775C7">
        <w:fldChar w:fldCharType="end"/>
      </w:r>
      <w:bookmarkStart w:id="8" w:name="_Toc358365949"/>
      <w:bookmarkStart w:id="9" w:name="_Toc361404604"/>
      <w:bookmarkStart w:id="10" w:name="_Toc366048824"/>
      <w:bookmarkStart w:id="11" w:name="_Toc366142825"/>
    </w:p>
    <w:p w:rsidR="00E811C3" w:rsidRDefault="00E811C3" w:rsidP="000D0F23">
      <w:pPr>
        <w:pStyle w:val="Text"/>
        <w:rPr>
          <w:rFonts w:ascii="Tahoma" w:hAnsi="Tahoma" w:cs="Tahoma"/>
          <w:color w:val="000000"/>
          <w:kern w:val="28"/>
          <w:sz w:val="56"/>
          <w:szCs w:val="56"/>
        </w:rPr>
      </w:pPr>
      <w:r>
        <w:br w:type="page"/>
      </w:r>
    </w:p>
    <w:p w:rsidR="00E811C3" w:rsidRDefault="00E811C3" w:rsidP="00E811C3">
      <w:pPr>
        <w:pStyle w:val="Heading1"/>
      </w:pPr>
      <w:bookmarkStart w:id="12" w:name="_Toc366048829"/>
      <w:bookmarkStart w:id="13" w:name="_Toc383615926"/>
      <w:r>
        <w:lastRenderedPageBreak/>
        <w:t>Tables and figures</w:t>
      </w:r>
      <w:bookmarkEnd w:id="12"/>
      <w:bookmarkEnd w:id="13"/>
    </w:p>
    <w:p w:rsidR="00EC2586" w:rsidRDefault="00EC2586" w:rsidP="00EC2586">
      <w:pPr>
        <w:pStyle w:val="Heading2"/>
      </w:pPr>
      <w:bookmarkStart w:id="14" w:name="_Toc383615927"/>
      <w:r>
        <w:t>Tables</w:t>
      </w:r>
      <w:bookmarkEnd w:id="14"/>
    </w:p>
    <w:p w:rsidR="001129FC" w:rsidRDefault="00292C54">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1129FC">
        <w:instrText xml:space="preserve"> TOC \h \z \t "tabletitle" \c </w:instrText>
      </w:r>
      <w:r>
        <w:fldChar w:fldCharType="separate"/>
      </w:r>
      <w:hyperlink w:anchor="_Toc383616128" w:history="1">
        <w:r w:rsidR="001129FC" w:rsidRPr="00E54364">
          <w:rPr>
            <w:rStyle w:val="Hyperlink"/>
          </w:rPr>
          <w:t>1</w:t>
        </w:r>
        <w:r w:rsidR="001129FC">
          <w:rPr>
            <w:rFonts w:asciiTheme="minorHAnsi" w:eastAsiaTheme="minorEastAsia" w:hAnsiTheme="minorHAnsi" w:cstheme="minorBidi"/>
            <w:color w:val="auto"/>
            <w:sz w:val="22"/>
            <w:szCs w:val="22"/>
            <w:lang w:eastAsia="en-AU"/>
          </w:rPr>
          <w:tab/>
        </w:r>
        <w:r w:rsidR="001129FC" w:rsidRPr="00E54364">
          <w:rPr>
            <w:rStyle w:val="Hyperlink"/>
          </w:rPr>
          <w:t>Quintile distributions, Index of Relative Socio-economic Disadvantage, 2006 and 2011: postal area</w:t>
        </w:r>
        <w:r w:rsidR="001129FC">
          <w:rPr>
            <w:webHidden/>
          </w:rPr>
          <w:tab/>
        </w:r>
        <w:r>
          <w:rPr>
            <w:webHidden/>
          </w:rPr>
          <w:fldChar w:fldCharType="begin"/>
        </w:r>
        <w:r w:rsidR="001129FC">
          <w:rPr>
            <w:webHidden/>
          </w:rPr>
          <w:instrText xml:space="preserve"> PAGEREF _Toc383616128 \h </w:instrText>
        </w:r>
        <w:r>
          <w:rPr>
            <w:webHidden/>
          </w:rPr>
        </w:r>
        <w:r>
          <w:rPr>
            <w:webHidden/>
          </w:rPr>
          <w:fldChar w:fldCharType="separate"/>
        </w:r>
        <w:r w:rsidR="00806DF3">
          <w:rPr>
            <w:webHidden/>
          </w:rPr>
          <w:t>10</w:t>
        </w:r>
        <w:r>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29" w:history="1">
        <w:r w:rsidR="001129FC" w:rsidRPr="00E54364">
          <w:rPr>
            <w:rStyle w:val="Hyperlink"/>
          </w:rPr>
          <w:t>2</w:t>
        </w:r>
        <w:r w:rsidR="001129FC">
          <w:rPr>
            <w:rFonts w:asciiTheme="minorHAnsi" w:eastAsiaTheme="minorEastAsia" w:hAnsiTheme="minorHAnsi" w:cstheme="minorBidi"/>
            <w:color w:val="auto"/>
            <w:sz w:val="22"/>
            <w:szCs w:val="22"/>
            <w:lang w:eastAsia="en-AU"/>
          </w:rPr>
          <w:tab/>
        </w:r>
        <w:r w:rsidR="001129FC" w:rsidRPr="00E54364">
          <w:rPr>
            <w:rStyle w:val="Hyperlink"/>
          </w:rPr>
          <w:t>Quintile distributions, Index of Relative Socio-economic Disadvantage, 2006 and 2011: statistical local area</w:t>
        </w:r>
        <w:r w:rsidR="001129FC">
          <w:rPr>
            <w:webHidden/>
          </w:rPr>
          <w:tab/>
        </w:r>
        <w:r w:rsidR="00292C54">
          <w:rPr>
            <w:webHidden/>
          </w:rPr>
          <w:fldChar w:fldCharType="begin"/>
        </w:r>
        <w:r w:rsidR="001129FC">
          <w:rPr>
            <w:webHidden/>
          </w:rPr>
          <w:instrText xml:space="preserve"> PAGEREF _Toc383616129 \h </w:instrText>
        </w:r>
        <w:r w:rsidR="00292C54">
          <w:rPr>
            <w:webHidden/>
          </w:rPr>
        </w:r>
        <w:r w:rsidR="00292C54">
          <w:rPr>
            <w:webHidden/>
          </w:rPr>
          <w:fldChar w:fldCharType="separate"/>
        </w:r>
        <w:r w:rsidR="00806DF3">
          <w:rPr>
            <w:webHidden/>
          </w:rPr>
          <w:t>11</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0" w:history="1">
        <w:r w:rsidR="001129FC" w:rsidRPr="00E54364">
          <w:rPr>
            <w:rStyle w:val="Hyperlink"/>
          </w:rPr>
          <w:t>3</w:t>
        </w:r>
        <w:r w:rsidR="001129FC">
          <w:rPr>
            <w:rFonts w:asciiTheme="minorHAnsi" w:eastAsiaTheme="minorEastAsia" w:hAnsiTheme="minorHAnsi" w:cstheme="minorBidi"/>
            <w:color w:val="auto"/>
            <w:sz w:val="22"/>
            <w:szCs w:val="22"/>
            <w:lang w:eastAsia="en-AU"/>
          </w:rPr>
          <w:tab/>
        </w:r>
        <w:r w:rsidR="001129FC" w:rsidRPr="00E54364">
          <w:rPr>
            <w:rStyle w:val="Hyperlink"/>
          </w:rPr>
          <w:t>Population distribution by SEIFA Index of Relative Socio-economic Disadvantage postal area and statistical local area, 2006</w:t>
        </w:r>
        <w:r w:rsidR="001129FC">
          <w:rPr>
            <w:webHidden/>
          </w:rPr>
          <w:tab/>
        </w:r>
        <w:r w:rsidR="00292C54">
          <w:rPr>
            <w:webHidden/>
          </w:rPr>
          <w:fldChar w:fldCharType="begin"/>
        </w:r>
        <w:r w:rsidR="001129FC">
          <w:rPr>
            <w:webHidden/>
          </w:rPr>
          <w:instrText xml:space="preserve"> PAGEREF _Toc383616130 \h </w:instrText>
        </w:r>
        <w:r w:rsidR="00292C54">
          <w:rPr>
            <w:webHidden/>
          </w:rPr>
        </w:r>
        <w:r w:rsidR="00292C54">
          <w:rPr>
            <w:webHidden/>
          </w:rPr>
          <w:fldChar w:fldCharType="separate"/>
        </w:r>
        <w:r w:rsidR="00806DF3">
          <w:rPr>
            <w:webHidden/>
          </w:rPr>
          <w:t>11</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1" w:history="1">
        <w:r w:rsidR="001129FC" w:rsidRPr="00E54364">
          <w:rPr>
            <w:rStyle w:val="Hyperlink"/>
          </w:rPr>
          <w:t>4</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Cross-tabulation of 2006 SEIFA against 2011 SEIFA (Index of Relative </w:t>
        </w:r>
        <w:r w:rsidR="00E7735D">
          <w:rPr>
            <w:rStyle w:val="Hyperlink"/>
          </w:rPr>
          <w:br/>
        </w:r>
        <w:r w:rsidR="001129FC" w:rsidRPr="00E54364">
          <w:rPr>
            <w:rStyle w:val="Hyperlink"/>
          </w:rPr>
          <w:t>Socio-economic Disadvantage), by postal area</w:t>
        </w:r>
        <w:r w:rsidR="001129FC">
          <w:rPr>
            <w:webHidden/>
          </w:rPr>
          <w:tab/>
        </w:r>
        <w:r w:rsidR="00292C54">
          <w:rPr>
            <w:webHidden/>
          </w:rPr>
          <w:fldChar w:fldCharType="begin"/>
        </w:r>
        <w:r w:rsidR="001129FC">
          <w:rPr>
            <w:webHidden/>
          </w:rPr>
          <w:instrText xml:space="preserve"> PAGEREF _Toc383616131 \h </w:instrText>
        </w:r>
        <w:r w:rsidR="00292C54">
          <w:rPr>
            <w:webHidden/>
          </w:rPr>
        </w:r>
        <w:r w:rsidR="00292C54">
          <w:rPr>
            <w:webHidden/>
          </w:rPr>
          <w:fldChar w:fldCharType="separate"/>
        </w:r>
        <w:r w:rsidR="00806DF3">
          <w:rPr>
            <w:webHidden/>
          </w:rPr>
          <w:t>12</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2" w:history="1">
        <w:r w:rsidR="001129FC" w:rsidRPr="00E54364">
          <w:rPr>
            <w:rStyle w:val="Hyperlink"/>
          </w:rPr>
          <w:t>5</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Cross-tabulation of 2006 SEIFA against 2011 SEIFA (Index of Relative </w:t>
        </w:r>
        <w:r w:rsidR="00E7735D">
          <w:rPr>
            <w:rStyle w:val="Hyperlink"/>
          </w:rPr>
          <w:br/>
        </w:r>
        <w:r w:rsidR="001129FC" w:rsidRPr="00E54364">
          <w:rPr>
            <w:rStyle w:val="Hyperlink"/>
          </w:rPr>
          <w:t>Socio-economic Disadvantage), by statistical local area</w:t>
        </w:r>
        <w:r w:rsidR="001129FC">
          <w:rPr>
            <w:webHidden/>
          </w:rPr>
          <w:tab/>
        </w:r>
        <w:r w:rsidR="00292C54">
          <w:rPr>
            <w:webHidden/>
          </w:rPr>
          <w:fldChar w:fldCharType="begin"/>
        </w:r>
        <w:r w:rsidR="001129FC">
          <w:rPr>
            <w:webHidden/>
          </w:rPr>
          <w:instrText xml:space="preserve"> PAGEREF _Toc383616132 \h </w:instrText>
        </w:r>
        <w:r w:rsidR="00292C54">
          <w:rPr>
            <w:webHidden/>
          </w:rPr>
        </w:r>
        <w:r w:rsidR="00292C54">
          <w:rPr>
            <w:webHidden/>
          </w:rPr>
          <w:fldChar w:fldCharType="separate"/>
        </w:r>
        <w:r w:rsidR="00806DF3">
          <w:rPr>
            <w:webHidden/>
          </w:rPr>
          <w:t>12</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3" w:history="1">
        <w:r w:rsidR="001129FC" w:rsidRPr="00E54364">
          <w:rPr>
            <w:rStyle w:val="Hyperlink"/>
          </w:rPr>
          <w:t>6</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15 to 19-year-olds, 2006 and 2011, </w:t>
        </w:r>
        <w:r w:rsidR="00E7735D">
          <w:rPr>
            <w:rStyle w:val="Hyperlink"/>
          </w:rPr>
          <w:br/>
        </w:r>
        <w:r w:rsidR="001129FC" w:rsidRPr="00E54364">
          <w:rPr>
            <w:rStyle w:val="Hyperlink"/>
          </w:rPr>
          <w:t>postal areas</w:t>
        </w:r>
        <w:r w:rsidR="001129FC">
          <w:rPr>
            <w:webHidden/>
          </w:rPr>
          <w:tab/>
        </w:r>
        <w:r w:rsidR="00292C54">
          <w:rPr>
            <w:webHidden/>
          </w:rPr>
          <w:fldChar w:fldCharType="begin"/>
        </w:r>
        <w:r w:rsidR="001129FC">
          <w:rPr>
            <w:webHidden/>
          </w:rPr>
          <w:instrText xml:space="preserve"> PAGEREF _Toc383616133 \h </w:instrText>
        </w:r>
        <w:r w:rsidR="00292C54">
          <w:rPr>
            <w:webHidden/>
          </w:rPr>
        </w:r>
        <w:r w:rsidR="00292C54">
          <w:rPr>
            <w:webHidden/>
          </w:rPr>
          <w:fldChar w:fldCharType="separate"/>
        </w:r>
        <w:r w:rsidR="00806DF3">
          <w:rPr>
            <w:webHidden/>
          </w:rPr>
          <w:t>13</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4" w:history="1">
        <w:r w:rsidR="001129FC" w:rsidRPr="00E54364">
          <w:rPr>
            <w:rStyle w:val="Hyperlink"/>
          </w:rPr>
          <w:t>7</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15 to 19-year-olds, changes between 2006 </w:t>
        </w:r>
        <w:r w:rsidR="00E7735D">
          <w:rPr>
            <w:rStyle w:val="Hyperlink"/>
          </w:rPr>
          <w:br/>
        </w:r>
        <w:r w:rsidR="001129FC" w:rsidRPr="00E54364">
          <w:rPr>
            <w:rStyle w:val="Hyperlink"/>
          </w:rPr>
          <w:t xml:space="preserve">and 2011, </w:t>
        </w:r>
        <w:r w:rsidR="001D5855">
          <w:rPr>
            <w:rStyle w:val="Hyperlink"/>
          </w:rPr>
          <w:t>postal areas</w:t>
        </w:r>
        <w:r w:rsidR="001129FC">
          <w:rPr>
            <w:webHidden/>
          </w:rPr>
          <w:tab/>
        </w:r>
        <w:r w:rsidR="00292C54">
          <w:rPr>
            <w:webHidden/>
          </w:rPr>
          <w:fldChar w:fldCharType="begin"/>
        </w:r>
        <w:r w:rsidR="001129FC">
          <w:rPr>
            <w:webHidden/>
          </w:rPr>
          <w:instrText xml:space="preserve"> PAGEREF _Toc383616134 \h </w:instrText>
        </w:r>
        <w:r w:rsidR="00292C54">
          <w:rPr>
            <w:webHidden/>
          </w:rPr>
        </w:r>
        <w:r w:rsidR="00292C54">
          <w:rPr>
            <w:webHidden/>
          </w:rPr>
          <w:fldChar w:fldCharType="separate"/>
        </w:r>
        <w:r w:rsidR="00806DF3">
          <w:rPr>
            <w:webHidden/>
          </w:rPr>
          <w:t>14</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5" w:history="1">
        <w:r w:rsidR="001129FC" w:rsidRPr="00E54364">
          <w:rPr>
            <w:rStyle w:val="Hyperlink"/>
          </w:rPr>
          <w:t>8</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20 to 24-year-olds, 2006 and 2011, </w:t>
        </w:r>
        <w:r w:rsidR="00E7735D">
          <w:rPr>
            <w:rStyle w:val="Hyperlink"/>
          </w:rPr>
          <w:br/>
        </w:r>
        <w:r w:rsidR="001129FC" w:rsidRPr="00E54364">
          <w:rPr>
            <w:rStyle w:val="Hyperlink"/>
          </w:rPr>
          <w:t>postal areas</w:t>
        </w:r>
        <w:r w:rsidR="001129FC">
          <w:rPr>
            <w:webHidden/>
          </w:rPr>
          <w:tab/>
        </w:r>
        <w:r w:rsidR="00292C54">
          <w:rPr>
            <w:webHidden/>
          </w:rPr>
          <w:fldChar w:fldCharType="begin"/>
        </w:r>
        <w:r w:rsidR="001129FC">
          <w:rPr>
            <w:webHidden/>
          </w:rPr>
          <w:instrText xml:space="preserve"> PAGEREF _Toc383616135 \h </w:instrText>
        </w:r>
        <w:r w:rsidR="00292C54">
          <w:rPr>
            <w:webHidden/>
          </w:rPr>
        </w:r>
        <w:r w:rsidR="00292C54">
          <w:rPr>
            <w:webHidden/>
          </w:rPr>
          <w:fldChar w:fldCharType="separate"/>
        </w:r>
        <w:r w:rsidR="00806DF3">
          <w:rPr>
            <w:webHidden/>
          </w:rPr>
          <w:t>14</w:t>
        </w:r>
        <w:r w:rsidR="00292C54">
          <w:rPr>
            <w:webHidden/>
          </w:rPr>
          <w:fldChar w:fldCharType="end"/>
        </w:r>
      </w:hyperlink>
    </w:p>
    <w:p w:rsidR="001129FC" w:rsidRDefault="00B0464A">
      <w:pPr>
        <w:pStyle w:val="TableofFigures"/>
        <w:tabs>
          <w:tab w:val="left" w:pos="880"/>
        </w:tabs>
        <w:rPr>
          <w:rFonts w:asciiTheme="minorHAnsi" w:eastAsiaTheme="minorEastAsia" w:hAnsiTheme="minorHAnsi" w:cstheme="minorBidi"/>
          <w:color w:val="auto"/>
          <w:sz w:val="22"/>
          <w:szCs w:val="22"/>
          <w:lang w:eastAsia="en-AU"/>
        </w:rPr>
      </w:pPr>
      <w:hyperlink w:anchor="_Toc383616136" w:history="1">
        <w:r w:rsidR="001129FC" w:rsidRPr="00E54364">
          <w:rPr>
            <w:rStyle w:val="Hyperlink"/>
          </w:rPr>
          <w:t>9</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20 to 24-year-olds, changes between 2006 </w:t>
        </w:r>
        <w:r w:rsidR="00E7735D">
          <w:rPr>
            <w:rStyle w:val="Hyperlink"/>
          </w:rPr>
          <w:br/>
        </w:r>
        <w:r w:rsidR="001129FC" w:rsidRPr="00E54364">
          <w:rPr>
            <w:rStyle w:val="Hyperlink"/>
          </w:rPr>
          <w:t>and 2011, postal areas</w:t>
        </w:r>
        <w:r w:rsidR="001129FC">
          <w:rPr>
            <w:webHidden/>
          </w:rPr>
          <w:tab/>
        </w:r>
        <w:r w:rsidR="00292C54">
          <w:rPr>
            <w:webHidden/>
          </w:rPr>
          <w:fldChar w:fldCharType="begin"/>
        </w:r>
        <w:r w:rsidR="001129FC">
          <w:rPr>
            <w:webHidden/>
          </w:rPr>
          <w:instrText xml:space="preserve"> PAGEREF _Toc383616136 \h </w:instrText>
        </w:r>
        <w:r w:rsidR="00292C54">
          <w:rPr>
            <w:webHidden/>
          </w:rPr>
        </w:r>
        <w:r w:rsidR="00292C54">
          <w:rPr>
            <w:webHidden/>
          </w:rPr>
          <w:fldChar w:fldCharType="separate"/>
        </w:r>
        <w:r w:rsidR="00806DF3">
          <w:rPr>
            <w:webHidden/>
          </w:rPr>
          <w:t>14</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37" w:history="1">
        <w:r w:rsidR="001129FC" w:rsidRPr="00E54364">
          <w:rPr>
            <w:rStyle w:val="Hyperlink"/>
          </w:rPr>
          <w:t>10</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25 to 64-year-olds, 2006 and 2011, </w:t>
        </w:r>
        <w:r w:rsidR="00E7735D">
          <w:rPr>
            <w:rStyle w:val="Hyperlink"/>
          </w:rPr>
          <w:br/>
        </w:r>
        <w:r w:rsidR="001129FC" w:rsidRPr="00E54364">
          <w:rPr>
            <w:rStyle w:val="Hyperlink"/>
          </w:rPr>
          <w:t>postal areas</w:t>
        </w:r>
        <w:r w:rsidR="001129FC">
          <w:rPr>
            <w:webHidden/>
          </w:rPr>
          <w:tab/>
        </w:r>
        <w:r w:rsidR="00292C54">
          <w:rPr>
            <w:webHidden/>
          </w:rPr>
          <w:fldChar w:fldCharType="begin"/>
        </w:r>
        <w:r w:rsidR="001129FC">
          <w:rPr>
            <w:webHidden/>
          </w:rPr>
          <w:instrText xml:space="preserve"> PAGEREF _Toc383616137 \h </w:instrText>
        </w:r>
        <w:r w:rsidR="00292C54">
          <w:rPr>
            <w:webHidden/>
          </w:rPr>
        </w:r>
        <w:r w:rsidR="00292C54">
          <w:rPr>
            <w:webHidden/>
          </w:rPr>
          <w:fldChar w:fldCharType="separate"/>
        </w:r>
        <w:r w:rsidR="00806DF3">
          <w:rPr>
            <w:webHidden/>
          </w:rPr>
          <w:t>14</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38" w:history="1">
        <w:r w:rsidR="001129FC" w:rsidRPr="00E54364">
          <w:rPr>
            <w:rStyle w:val="Hyperlink"/>
          </w:rPr>
          <w:t>11</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25 to 64-year-olds, changes between 2006 </w:t>
        </w:r>
        <w:r w:rsidR="00E7735D">
          <w:rPr>
            <w:rStyle w:val="Hyperlink"/>
          </w:rPr>
          <w:br/>
        </w:r>
        <w:r w:rsidR="001129FC" w:rsidRPr="00E54364">
          <w:rPr>
            <w:rStyle w:val="Hyperlink"/>
          </w:rPr>
          <w:t>and 2011, postal areas</w:t>
        </w:r>
        <w:r w:rsidR="001129FC">
          <w:rPr>
            <w:webHidden/>
          </w:rPr>
          <w:tab/>
        </w:r>
        <w:r w:rsidR="00292C54">
          <w:rPr>
            <w:webHidden/>
          </w:rPr>
          <w:fldChar w:fldCharType="begin"/>
        </w:r>
        <w:r w:rsidR="001129FC">
          <w:rPr>
            <w:webHidden/>
          </w:rPr>
          <w:instrText xml:space="preserve"> PAGEREF _Toc383616138 \h </w:instrText>
        </w:r>
        <w:r w:rsidR="00292C54">
          <w:rPr>
            <w:webHidden/>
          </w:rPr>
        </w:r>
        <w:r w:rsidR="00292C54">
          <w:rPr>
            <w:webHidden/>
          </w:rPr>
          <w:fldChar w:fldCharType="separate"/>
        </w:r>
        <w:r w:rsidR="00806DF3">
          <w:rPr>
            <w:webHidden/>
          </w:rPr>
          <w:t>15</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39" w:history="1">
        <w:r w:rsidR="001129FC" w:rsidRPr="00E54364">
          <w:rPr>
            <w:rStyle w:val="Hyperlink"/>
          </w:rPr>
          <w:t>12</w:t>
        </w:r>
        <w:r w:rsidR="001129FC">
          <w:rPr>
            <w:rFonts w:asciiTheme="minorHAnsi" w:eastAsiaTheme="minorEastAsia" w:hAnsiTheme="minorHAnsi" w:cstheme="minorBidi"/>
            <w:color w:val="auto"/>
            <w:sz w:val="22"/>
            <w:szCs w:val="22"/>
            <w:lang w:eastAsia="en-AU"/>
          </w:rPr>
          <w:tab/>
        </w:r>
        <w:r w:rsidR="001129FC" w:rsidRPr="00E54364">
          <w:rPr>
            <w:rStyle w:val="Hyperlink"/>
          </w:rPr>
          <w:t>VET participation rates, 15 to 19-year-olds, 2006 and 2011, statistical local areas</w:t>
        </w:r>
        <w:r w:rsidR="001129FC">
          <w:rPr>
            <w:webHidden/>
          </w:rPr>
          <w:tab/>
        </w:r>
        <w:r w:rsidR="00292C54">
          <w:rPr>
            <w:webHidden/>
          </w:rPr>
          <w:fldChar w:fldCharType="begin"/>
        </w:r>
        <w:r w:rsidR="001129FC">
          <w:rPr>
            <w:webHidden/>
          </w:rPr>
          <w:instrText xml:space="preserve"> PAGEREF _Toc383616139 \h </w:instrText>
        </w:r>
        <w:r w:rsidR="00292C54">
          <w:rPr>
            <w:webHidden/>
          </w:rPr>
        </w:r>
        <w:r w:rsidR="00292C54">
          <w:rPr>
            <w:webHidden/>
          </w:rPr>
          <w:fldChar w:fldCharType="separate"/>
        </w:r>
        <w:r w:rsidR="00806DF3">
          <w:rPr>
            <w:webHidden/>
          </w:rPr>
          <w:t>16</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0" w:history="1">
        <w:r w:rsidR="001129FC" w:rsidRPr="00E54364">
          <w:rPr>
            <w:rStyle w:val="Hyperlink"/>
          </w:rPr>
          <w:t>13</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15 to 19-year-olds, changes between 2006 </w:t>
        </w:r>
        <w:r w:rsidR="00E7735D">
          <w:rPr>
            <w:rStyle w:val="Hyperlink"/>
          </w:rPr>
          <w:br/>
        </w:r>
        <w:r w:rsidR="001129FC" w:rsidRPr="00E54364">
          <w:rPr>
            <w:rStyle w:val="Hyperlink"/>
          </w:rPr>
          <w:t>and 2011, statistical local areas</w:t>
        </w:r>
        <w:r w:rsidR="001129FC">
          <w:rPr>
            <w:webHidden/>
          </w:rPr>
          <w:tab/>
        </w:r>
        <w:r w:rsidR="00292C54">
          <w:rPr>
            <w:webHidden/>
          </w:rPr>
          <w:fldChar w:fldCharType="begin"/>
        </w:r>
        <w:r w:rsidR="001129FC">
          <w:rPr>
            <w:webHidden/>
          </w:rPr>
          <w:instrText xml:space="preserve"> PAGEREF _Toc383616140 \h </w:instrText>
        </w:r>
        <w:r w:rsidR="00292C54">
          <w:rPr>
            <w:webHidden/>
          </w:rPr>
        </w:r>
        <w:r w:rsidR="00292C54">
          <w:rPr>
            <w:webHidden/>
          </w:rPr>
          <w:fldChar w:fldCharType="separate"/>
        </w:r>
        <w:r w:rsidR="00806DF3">
          <w:rPr>
            <w:webHidden/>
          </w:rPr>
          <w:t>16</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1" w:history="1">
        <w:r w:rsidR="001129FC" w:rsidRPr="00E54364">
          <w:rPr>
            <w:rStyle w:val="Hyperlink"/>
          </w:rPr>
          <w:t>14</w:t>
        </w:r>
        <w:r w:rsidR="001129FC">
          <w:rPr>
            <w:rFonts w:asciiTheme="minorHAnsi" w:eastAsiaTheme="minorEastAsia" w:hAnsiTheme="minorHAnsi" w:cstheme="minorBidi"/>
            <w:color w:val="auto"/>
            <w:sz w:val="22"/>
            <w:szCs w:val="22"/>
            <w:lang w:eastAsia="en-AU"/>
          </w:rPr>
          <w:tab/>
        </w:r>
        <w:r w:rsidR="001129FC" w:rsidRPr="00E54364">
          <w:rPr>
            <w:rStyle w:val="Hyperlink"/>
          </w:rPr>
          <w:t>VET participation rates, 20 to 24-year-olds, 2006 and 2011, statistical local areas</w:t>
        </w:r>
        <w:r w:rsidR="001129FC">
          <w:rPr>
            <w:webHidden/>
          </w:rPr>
          <w:tab/>
        </w:r>
        <w:r w:rsidR="00292C54">
          <w:rPr>
            <w:webHidden/>
          </w:rPr>
          <w:fldChar w:fldCharType="begin"/>
        </w:r>
        <w:r w:rsidR="001129FC">
          <w:rPr>
            <w:webHidden/>
          </w:rPr>
          <w:instrText xml:space="preserve"> PAGEREF _Toc383616141 \h </w:instrText>
        </w:r>
        <w:r w:rsidR="00292C54">
          <w:rPr>
            <w:webHidden/>
          </w:rPr>
        </w:r>
        <w:r w:rsidR="00292C54">
          <w:rPr>
            <w:webHidden/>
          </w:rPr>
          <w:fldChar w:fldCharType="separate"/>
        </w:r>
        <w:r w:rsidR="00806DF3">
          <w:rPr>
            <w:webHidden/>
          </w:rPr>
          <w:t>16</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2" w:history="1">
        <w:r w:rsidR="001129FC" w:rsidRPr="00E54364">
          <w:rPr>
            <w:rStyle w:val="Hyperlink"/>
          </w:rPr>
          <w:t>15</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20 to 24-year-olds, changes between 2006 </w:t>
        </w:r>
        <w:r w:rsidR="00E7735D">
          <w:rPr>
            <w:rStyle w:val="Hyperlink"/>
          </w:rPr>
          <w:br/>
        </w:r>
        <w:r w:rsidR="001129FC" w:rsidRPr="00E54364">
          <w:rPr>
            <w:rStyle w:val="Hyperlink"/>
          </w:rPr>
          <w:t>and 2011, statistical local areas</w:t>
        </w:r>
        <w:r w:rsidR="001129FC">
          <w:rPr>
            <w:webHidden/>
          </w:rPr>
          <w:tab/>
        </w:r>
        <w:r w:rsidR="00292C54">
          <w:rPr>
            <w:webHidden/>
          </w:rPr>
          <w:fldChar w:fldCharType="begin"/>
        </w:r>
        <w:r w:rsidR="001129FC">
          <w:rPr>
            <w:webHidden/>
          </w:rPr>
          <w:instrText xml:space="preserve"> PAGEREF _Toc383616142 \h </w:instrText>
        </w:r>
        <w:r w:rsidR="00292C54">
          <w:rPr>
            <w:webHidden/>
          </w:rPr>
        </w:r>
        <w:r w:rsidR="00292C54">
          <w:rPr>
            <w:webHidden/>
          </w:rPr>
          <w:fldChar w:fldCharType="separate"/>
        </w:r>
        <w:r w:rsidR="00806DF3">
          <w:rPr>
            <w:webHidden/>
          </w:rPr>
          <w:t>16</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3" w:history="1">
        <w:r w:rsidR="001129FC" w:rsidRPr="00E54364">
          <w:rPr>
            <w:rStyle w:val="Hyperlink"/>
          </w:rPr>
          <w:t>16</w:t>
        </w:r>
        <w:r w:rsidR="001129FC">
          <w:rPr>
            <w:rFonts w:asciiTheme="minorHAnsi" w:eastAsiaTheme="minorEastAsia" w:hAnsiTheme="minorHAnsi" w:cstheme="minorBidi"/>
            <w:color w:val="auto"/>
            <w:sz w:val="22"/>
            <w:szCs w:val="22"/>
            <w:lang w:eastAsia="en-AU"/>
          </w:rPr>
          <w:tab/>
        </w:r>
        <w:r w:rsidR="001129FC" w:rsidRPr="00E54364">
          <w:rPr>
            <w:rStyle w:val="Hyperlink"/>
          </w:rPr>
          <w:t>VET participation rates, 25 to 64-year-olds, 2006 and 2011, statistical local areas</w:t>
        </w:r>
        <w:r w:rsidR="001129FC">
          <w:rPr>
            <w:webHidden/>
          </w:rPr>
          <w:tab/>
        </w:r>
        <w:r w:rsidR="00292C54">
          <w:rPr>
            <w:webHidden/>
          </w:rPr>
          <w:fldChar w:fldCharType="begin"/>
        </w:r>
        <w:r w:rsidR="001129FC">
          <w:rPr>
            <w:webHidden/>
          </w:rPr>
          <w:instrText xml:space="preserve"> PAGEREF _Toc383616143 \h </w:instrText>
        </w:r>
        <w:r w:rsidR="00292C54">
          <w:rPr>
            <w:webHidden/>
          </w:rPr>
        </w:r>
        <w:r w:rsidR="00292C54">
          <w:rPr>
            <w:webHidden/>
          </w:rPr>
          <w:fldChar w:fldCharType="separate"/>
        </w:r>
        <w:r w:rsidR="00806DF3">
          <w:rPr>
            <w:webHidden/>
          </w:rPr>
          <w:t>17</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4" w:history="1">
        <w:r w:rsidR="001129FC" w:rsidRPr="00E54364">
          <w:rPr>
            <w:rStyle w:val="Hyperlink"/>
          </w:rPr>
          <w:t>17</w:t>
        </w:r>
        <w:r w:rsidR="001129FC">
          <w:rPr>
            <w:rFonts w:asciiTheme="minorHAnsi" w:eastAsiaTheme="minorEastAsia" w:hAnsiTheme="minorHAnsi" w:cstheme="minorBidi"/>
            <w:color w:val="auto"/>
            <w:sz w:val="22"/>
            <w:szCs w:val="22"/>
            <w:lang w:eastAsia="en-AU"/>
          </w:rPr>
          <w:tab/>
        </w:r>
        <w:r w:rsidR="001129FC" w:rsidRPr="00E54364">
          <w:rPr>
            <w:rStyle w:val="Hyperlink"/>
          </w:rPr>
          <w:t xml:space="preserve">VET participation rates, 25 to 64-year-olds, changes between 2006 </w:t>
        </w:r>
        <w:r w:rsidR="00E7735D">
          <w:rPr>
            <w:rStyle w:val="Hyperlink"/>
          </w:rPr>
          <w:br/>
        </w:r>
        <w:r w:rsidR="001129FC" w:rsidRPr="00E54364">
          <w:rPr>
            <w:rStyle w:val="Hyperlink"/>
          </w:rPr>
          <w:t>and 2011, statistical local areas</w:t>
        </w:r>
        <w:r w:rsidR="001129FC">
          <w:rPr>
            <w:webHidden/>
          </w:rPr>
          <w:tab/>
        </w:r>
        <w:r w:rsidR="00292C54">
          <w:rPr>
            <w:webHidden/>
          </w:rPr>
          <w:fldChar w:fldCharType="begin"/>
        </w:r>
        <w:r w:rsidR="001129FC">
          <w:rPr>
            <w:webHidden/>
          </w:rPr>
          <w:instrText xml:space="preserve"> PAGEREF _Toc383616144 \h </w:instrText>
        </w:r>
        <w:r w:rsidR="00292C54">
          <w:rPr>
            <w:webHidden/>
          </w:rPr>
        </w:r>
        <w:r w:rsidR="00292C54">
          <w:rPr>
            <w:webHidden/>
          </w:rPr>
          <w:fldChar w:fldCharType="separate"/>
        </w:r>
        <w:r w:rsidR="00806DF3">
          <w:rPr>
            <w:webHidden/>
          </w:rPr>
          <w:t>17</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5" w:history="1">
        <w:r w:rsidR="001129FC" w:rsidRPr="00E54364">
          <w:rPr>
            <w:rStyle w:val="Hyperlink"/>
          </w:rPr>
          <w:t>18</w:t>
        </w:r>
        <w:r w:rsidR="001129FC">
          <w:rPr>
            <w:rFonts w:asciiTheme="minorHAnsi" w:eastAsiaTheme="minorEastAsia" w:hAnsiTheme="minorHAnsi" w:cstheme="minorBidi"/>
            <w:color w:val="auto"/>
            <w:sz w:val="22"/>
            <w:szCs w:val="22"/>
            <w:lang w:eastAsia="en-AU"/>
          </w:rPr>
          <w:tab/>
        </w:r>
        <w:r w:rsidR="001129FC" w:rsidRPr="00E54364">
          <w:rPr>
            <w:rStyle w:val="Hyperlink"/>
          </w:rPr>
          <w:t>Participation in VET, 15 to 19-year-olds, by qualification and SES quintiles, statistical local areas, 2006</w:t>
        </w:r>
        <w:r w:rsidR="001129FC">
          <w:rPr>
            <w:webHidden/>
          </w:rPr>
          <w:tab/>
        </w:r>
        <w:r w:rsidR="00292C54">
          <w:rPr>
            <w:webHidden/>
          </w:rPr>
          <w:fldChar w:fldCharType="begin"/>
        </w:r>
        <w:r w:rsidR="001129FC">
          <w:rPr>
            <w:webHidden/>
          </w:rPr>
          <w:instrText xml:space="preserve"> PAGEREF _Toc383616145 \h </w:instrText>
        </w:r>
        <w:r w:rsidR="00292C54">
          <w:rPr>
            <w:webHidden/>
          </w:rPr>
        </w:r>
        <w:r w:rsidR="00292C54">
          <w:rPr>
            <w:webHidden/>
          </w:rPr>
          <w:fldChar w:fldCharType="separate"/>
        </w:r>
        <w:r w:rsidR="00806DF3">
          <w:rPr>
            <w:webHidden/>
          </w:rPr>
          <w:t>24</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6" w:history="1">
        <w:r w:rsidR="001129FC" w:rsidRPr="00E54364">
          <w:rPr>
            <w:rStyle w:val="Hyperlink"/>
          </w:rPr>
          <w:t>19</w:t>
        </w:r>
        <w:r w:rsidR="001129FC">
          <w:rPr>
            <w:rFonts w:asciiTheme="minorHAnsi" w:eastAsiaTheme="minorEastAsia" w:hAnsiTheme="minorHAnsi" w:cstheme="minorBidi"/>
            <w:color w:val="auto"/>
            <w:sz w:val="22"/>
            <w:szCs w:val="22"/>
            <w:lang w:eastAsia="en-AU"/>
          </w:rPr>
          <w:tab/>
        </w:r>
        <w:r w:rsidR="001129FC" w:rsidRPr="00E54364">
          <w:rPr>
            <w:rStyle w:val="Hyperlink"/>
          </w:rPr>
          <w:t>Participation in VET, 15 to 19-year-olds, by qualification and SES quintiles, statistical local areas, 2011</w:t>
        </w:r>
        <w:r w:rsidR="001129FC">
          <w:rPr>
            <w:webHidden/>
          </w:rPr>
          <w:tab/>
        </w:r>
        <w:r w:rsidR="00292C54">
          <w:rPr>
            <w:webHidden/>
          </w:rPr>
          <w:fldChar w:fldCharType="begin"/>
        </w:r>
        <w:r w:rsidR="001129FC">
          <w:rPr>
            <w:webHidden/>
          </w:rPr>
          <w:instrText xml:space="preserve"> PAGEREF _Toc383616146 \h </w:instrText>
        </w:r>
        <w:r w:rsidR="00292C54">
          <w:rPr>
            <w:webHidden/>
          </w:rPr>
        </w:r>
        <w:r w:rsidR="00292C54">
          <w:rPr>
            <w:webHidden/>
          </w:rPr>
          <w:fldChar w:fldCharType="separate"/>
        </w:r>
        <w:r w:rsidR="00806DF3">
          <w:rPr>
            <w:webHidden/>
          </w:rPr>
          <w:t>24</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7" w:history="1">
        <w:r w:rsidR="001129FC" w:rsidRPr="00E54364">
          <w:rPr>
            <w:rStyle w:val="Hyperlink"/>
          </w:rPr>
          <w:t>20</w:t>
        </w:r>
        <w:r w:rsidR="001129FC">
          <w:rPr>
            <w:rFonts w:asciiTheme="minorHAnsi" w:eastAsiaTheme="minorEastAsia" w:hAnsiTheme="minorHAnsi" w:cstheme="minorBidi"/>
            <w:color w:val="auto"/>
            <w:sz w:val="22"/>
            <w:szCs w:val="22"/>
            <w:lang w:eastAsia="en-AU"/>
          </w:rPr>
          <w:tab/>
        </w:r>
        <w:r w:rsidR="001129FC" w:rsidRPr="00E54364">
          <w:rPr>
            <w:rStyle w:val="Hyperlink"/>
          </w:rPr>
          <w:t>Participation in VET, 20 to 24-year-olds, by qualification and SES quintiles, statistical local areas, 2006</w:t>
        </w:r>
        <w:r w:rsidR="001129FC">
          <w:rPr>
            <w:webHidden/>
          </w:rPr>
          <w:tab/>
        </w:r>
        <w:r w:rsidR="00292C54">
          <w:rPr>
            <w:webHidden/>
          </w:rPr>
          <w:fldChar w:fldCharType="begin"/>
        </w:r>
        <w:r w:rsidR="001129FC">
          <w:rPr>
            <w:webHidden/>
          </w:rPr>
          <w:instrText xml:space="preserve"> PAGEREF _Toc383616147 \h </w:instrText>
        </w:r>
        <w:r w:rsidR="00292C54">
          <w:rPr>
            <w:webHidden/>
          </w:rPr>
        </w:r>
        <w:r w:rsidR="00292C54">
          <w:rPr>
            <w:webHidden/>
          </w:rPr>
          <w:fldChar w:fldCharType="separate"/>
        </w:r>
        <w:r w:rsidR="00806DF3">
          <w:rPr>
            <w:webHidden/>
          </w:rPr>
          <w:t>25</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8" w:history="1">
        <w:r w:rsidR="001129FC" w:rsidRPr="00E54364">
          <w:rPr>
            <w:rStyle w:val="Hyperlink"/>
          </w:rPr>
          <w:t>21</w:t>
        </w:r>
        <w:r w:rsidR="001129FC">
          <w:rPr>
            <w:rFonts w:asciiTheme="minorHAnsi" w:eastAsiaTheme="minorEastAsia" w:hAnsiTheme="minorHAnsi" w:cstheme="minorBidi"/>
            <w:color w:val="auto"/>
            <w:sz w:val="22"/>
            <w:szCs w:val="22"/>
            <w:lang w:eastAsia="en-AU"/>
          </w:rPr>
          <w:tab/>
        </w:r>
        <w:r w:rsidR="001129FC" w:rsidRPr="00E54364">
          <w:rPr>
            <w:rStyle w:val="Hyperlink"/>
          </w:rPr>
          <w:t>Participation in VET, 20 to 24-year-olds, by qualification and SES quintiles, statistical local areas, 2011</w:t>
        </w:r>
        <w:r w:rsidR="001129FC">
          <w:rPr>
            <w:webHidden/>
          </w:rPr>
          <w:tab/>
        </w:r>
        <w:r w:rsidR="00292C54">
          <w:rPr>
            <w:webHidden/>
          </w:rPr>
          <w:fldChar w:fldCharType="begin"/>
        </w:r>
        <w:r w:rsidR="001129FC">
          <w:rPr>
            <w:webHidden/>
          </w:rPr>
          <w:instrText xml:space="preserve"> PAGEREF _Toc383616148 \h </w:instrText>
        </w:r>
        <w:r w:rsidR="00292C54">
          <w:rPr>
            <w:webHidden/>
          </w:rPr>
        </w:r>
        <w:r w:rsidR="00292C54">
          <w:rPr>
            <w:webHidden/>
          </w:rPr>
          <w:fldChar w:fldCharType="separate"/>
        </w:r>
        <w:r w:rsidR="00806DF3">
          <w:rPr>
            <w:webHidden/>
          </w:rPr>
          <w:t>25</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49" w:history="1">
        <w:r w:rsidR="001129FC" w:rsidRPr="00E54364">
          <w:rPr>
            <w:rStyle w:val="Hyperlink"/>
          </w:rPr>
          <w:t>22</w:t>
        </w:r>
        <w:r w:rsidR="001129FC">
          <w:rPr>
            <w:rFonts w:asciiTheme="minorHAnsi" w:eastAsiaTheme="minorEastAsia" w:hAnsiTheme="minorHAnsi" w:cstheme="minorBidi"/>
            <w:color w:val="auto"/>
            <w:sz w:val="22"/>
            <w:szCs w:val="22"/>
            <w:lang w:eastAsia="en-AU"/>
          </w:rPr>
          <w:tab/>
        </w:r>
        <w:r w:rsidR="001129FC" w:rsidRPr="00E54364">
          <w:rPr>
            <w:rStyle w:val="Hyperlink"/>
          </w:rPr>
          <w:t>Participation in VET, 25 to 64-year-olds, by qualification and SES quintiles, statistical local areas, 2006</w:t>
        </w:r>
        <w:r w:rsidR="001129FC">
          <w:rPr>
            <w:webHidden/>
          </w:rPr>
          <w:tab/>
        </w:r>
        <w:r w:rsidR="00292C54">
          <w:rPr>
            <w:webHidden/>
          </w:rPr>
          <w:fldChar w:fldCharType="begin"/>
        </w:r>
        <w:r w:rsidR="001129FC">
          <w:rPr>
            <w:webHidden/>
          </w:rPr>
          <w:instrText xml:space="preserve"> PAGEREF _Toc383616149 \h </w:instrText>
        </w:r>
        <w:r w:rsidR="00292C54">
          <w:rPr>
            <w:webHidden/>
          </w:rPr>
        </w:r>
        <w:r w:rsidR="00292C54">
          <w:rPr>
            <w:webHidden/>
          </w:rPr>
          <w:fldChar w:fldCharType="separate"/>
        </w:r>
        <w:r w:rsidR="00806DF3">
          <w:rPr>
            <w:webHidden/>
          </w:rPr>
          <w:t>25</w:t>
        </w:r>
        <w:r w:rsidR="00292C54">
          <w:rPr>
            <w:webHidden/>
          </w:rPr>
          <w:fldChar w:fldCharType="end"/>
        </w:r>
      </w:hyperlink>
    </w:p>
    <w:p w:rsidR="001129FC" w:rsidRDefault="00B0464A">
      <w:pPr>
        <w:pStyle w:val="TableofFigures"/>
        <w:tabs>
          <w:tab w:val="left" w:pos="1100"/>
        </w:tabs>
        <w:rPr>
          <w:rFonts w:asciiTheme="minorHAnsi" w:eastAsiaTheme="minorEastAsia" w:hAnsiTheme="minorHAnsi" w:cstheme="minorBidi"/>
          <w:color w:val="auto"/>
          <w:sz w:val="22"/>
          <w:szCs w:val="22"/>
          <w:lang w:eastAsia="en-AU"/>
        </w:rPr>
      </w:pPr>
      <w:hyperlink w:anchor="_Toc383616150" w:history="1">
        <w:r w:rsidR="001129FC" w:rsidRPr="00E54364">
          <w:rPr>
            <w:rStyle w:val="Hyperlink"/>
          </w:rPr>
          <w:t>22</w:t>
        </w:r>
        <w:r w:rsidR="001129FC">
          <w:rPr>
            <w:rFonts w:asciiTheme="minorHAnsi" w:eastAsiaTheme="minorEastAsia" w:hAnsiTheme="minorHAnsi" w:cstheme="minorBidi"/>
            <w:color w:val="auto"/>
            <w:sz w:val="22"/>
            <w:szCs w:val="22"/>
            <w:lang w:eastAsia="en-AU"/>
          </w:rPr>
          <w:tab/>
        </w:r>
        <w:r w:rsidR="001129FC" w:rsidRPr="00E54364">
          <w:rPr>
            <w:rStyle w:val="Hyperlink"/>
          </w:rPr>
          <w:t>Participation in VET, 25 to 64-year-olds, by qualification and SES quintiles, statistical local areas, 2011</w:t>
        </w:r>
        <w:r w:rsidR="001129FC">
          <w:rPr>
            <w:webHidden/>
          </w:rPr>
          <w:tab/>
        </w:r>
        <w:r w:rsidR="00292C54">
          <w:rPr>
            <w:webHidden/>
          </w:rPr>
          <w:fldChar w:fldCharType="begin"/>
        </w:r>
        <w:r w:rsidR="001129FC">
          <w:rPr>
            <w:webHidden/>
          </w:rPr>
          <w:instrText xml:space="preserve"> PAGEREF _Toc383616150 \h </w:instrText>
        </w:r>
        <w:r w:rsidR="00292C54">
          <w:rPr>
            <w:webHidden/>
          </w:rPr>
        </w:r>
        <w:r w:rsidR="00292C54">
          <w:rPr>
            <w:webHidden/>
          </w:rPr>
          <w:fldChar w:fldCharType="separate"/>
        </w:r>
        <w:r w:rsidR="00806DF3">
          <w:rPr>
            <w:webHidden/>
          </w:rPr>
          <w:t>26</w:t>
        </w:r>
        <w:r w:rsidR="00292C54">
          <w:rPr>
            <w:webHidden/>
          </w:rPr>
          <w:fldChar w:fldCharType="end"/>
        </w:r>
      </w:hyperlink>
    </w:p>
    <w:p w:rsidR="001129FC" w:rsidRDefault="00292C54" w:rsidP="001129FC">
      <w:pPr>
        <w:pStyle w:val="Heading2"/>
      </w:pPr>
      <w:r>
        <w:fldChar w:fldCharType="end"/>
      </w:r>
      <w:r w:rsidR="001129FC">
        <w:t>Figures</w:t>
      </w:r>
    </w:p>
    <w:p w:rsidR="001129FC" w:rsidRDefault="00292C54">
      <w:pPr>
        <w:pStyle w:val="TableofFigures"/>
        <w:tabs>
          <w:tab w:val="left" w:pos="1100"/>
        </w:tabs>
        <w:rPr>
          <w:rFonts w:asciiTheme="minorHAnsi" w:eastAsiaTheme="minorEastAsia" w:hAnsiTheme="minorHAnsi" w:cstheme="minorBidi"/>
          <w:color w:val="auto"/>
          <w:sz w:val="22"/>
          <w:szCs w:val="22"/>
          <w:lang w:eastAsia="en-AU"/>
        </w:rPr>
      </w:pPr>
      <w:r>
        <w:fldChar w:fldCharType="begin"/>
      </w:r>
      <w:r w:rsidR="001129FC">
        <w:instrText xml:space="preserve"> TOC \f F \t "Figuretitle" \c </w:instrText>
      </w:r>
      <w:r>
        <w:fldChar w:fldCharType="separate"/>
      </w:r>
      <w:r w:rsidR="001129FC">
        <w:t>1</w:t>
      </w:r>
      <w:r w:rsidR="001129FC">
        <w:rPr>
          <w:rFonts w:asciiTheme="minorHAnsi" w:eastAsiaTheme="minorEastAsia" w:hAnsiTheme="minorHAnsi" w:cstheme="minorBidi"/>
          <w:color w:val="auto"/>
          <w:sz w:val="22"/>
          <w:szCs w:val="22"/>
          <w:lang w:eastAsia="en-AU"/>
        </w:rPr>
        <w:tab/>
      </w:r>
      <w:r w:rsidR="001129FC">
        <w:t xml:space="preserve">Actual and apparent changes in VET participation for age by SES </w:t>
      </w:r>
      <w:r w:rsidR="001C4193">
        <w:br/>
      </w:r>
      <w:r w:rsidR="001129FC">
        <w:t>quintiles, 2006—11, SEIFA (Index of Relative Socio-economic Disadvantage), postal areas (percentage points)</w:t>
      </w:r>
      <w:r w:rsidR="001129FC">
        <w:tab/>
      </w:r>
      <w:r>
        <w:fldChar w:fldCharType="begin"/>
      </w:r>
      <w:r w:rsidR="001129FC">
        <w:instrText xml:space="preserve"> PAGEREF _Toc383616076 \h </w:instrText>
      </w:r>
      <w:r>
        <w:fldChar w:fldCharType="separate"/>
      </w:r>
      <w:r w:rsidR="00943850">
        <w:t>15</w:t>
      </w:r>
      <w:r>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Apparent and actual VET participation rates for those aged </w:t>
      </w:r>
      <w:r w:rsidR="001C4193">
        <w:br/>
      </w:r>
      <w:r>
        <w:t>15—19 years, by SES quintile, 2011</w:t>
      </w:r>
      <w:r>
        <w:tab/>
      </w:r>
      <w:r w:rsidR="00292C54">
        <w:fldChar w:fldCharType="begin"/>
      </w:r>
      <w:r>
        <w:instrText xml:space="preserve"> PAGEREF _Toc383616077 \h </w:instrText>
      </w:r>
      <w:r w:rsidR="00292C54">
        <w:fldChar w:fldCharType="separate"/>
      </w:r>
      <w:r w:rsidR="00943850">
        <w:t>17</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Apparent and actual VET participation rates for those aged </w:t>
      </w:r>
      <w:r w:rsidR="001C4193">
        <w:br/>
      </w:r>
      <w:r>
        <w:t>20—24 years, by SES quintile, 2011</w:t>
      </w:r>
      <w:r>
        <w:tab/>
      </w:r>
      <w:r w:rsidR="00292C54">
        <w:fldChar w:fldCharType="begin"/>
      </w:r>
      <w:r>
        <w:instrText xml:space="preserve"> PAGEREF _Toc383616078 \h </w:instrText>
      </w:r>
      <w:r w:rsidR="00292C54">
        <w:fldChar w:fldCharType="separate"/>
      </w:r>
      <w:r w:rsidR="00943850">
        <w:t>18</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Apparent and actual VET participation rates for those aged </w:t>
      </w:r>
      <w:r w:rsidR="001C4193">
        <w:br/>
      </w:r>
      <w:r>
        <w:t>24—64 years, by SES quintile, 2011</w:t>
      </w:r>
      <w:r>
        <w:tab/>
      </w:r>
      <w:r w:rsidR="00292C54">
        <w:fldChar w:fldCharType="begin"/>
      </w:r>
      <w:r>
        <w:instrText xml:space="preserve"> PAGEREF _Toc383616079 \h </w:instrText>
      </w:r>
      <w:r w:rsidR="00292C54">
        <w:fldChar w:fldCharType="separate"/>
      </w:r>
      <w:r w:rsidR="00943850">
        <w:t>18</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Actual and apparent changes in VET participation for age by SES </w:t>
      </w:r>
      <w:r w:rsidR="001C4193">
        <w:br/>
      </w:r>
      <w:r>
        <w:t>quintiles, 2006—11, SEIFA, statistical local areas (percentage points)</w:t>
      </w:r>
      <w:r>
        <w:tab/>
      </w:r>
      <w:r w:rsidR="00292C54">
        <w:fldChar w:fldCharType="begin"/>
      </w:r>
      <w:r>
        <w:instrText xml:space="preserve"> PAGEREF _Toc383616080 \h </w:instrText>
      </w:r>
      <w:r w:rsidR="00292C54">
        <w:fldChar w:fldCharType="separate"/>
      </w:r>
      <w:r w:rsidR="00943850">
        <w:t>19</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VET qualification participation rates by SES quintiles for 2011, </w:t>
      </w:r>
      <w:r w:rsidR="001C4193">
        <w:br/>
      </w:r>
      <w:r>
        <w:t>15—19 years, actual (2011 quintiles) and apparent (2006 quintiles)</w:t>
      </w:r>
      <w:r>
        <w:tab/>
      </w:r>
      <w:r w:rsidR="00292C54">
        <w:fldChar w:fldCharType="begin"/>
      </w:r>
      <w:r>
        <w:instrText xml:space="preserve"> PAGEREF _Toc383616081 \h </w:instrText>
      </w:r>
      <w:r w:rsidR="00292C54">
        <w:fldChar w:fldCharType="separate"/>
      </w:r>
      <w:r w:rsidR="00943850">
        <w:t>20</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Changes between 2006 and 2011 in VET qualification participation </w:t>
      </w:r>
      <w:r w:rsidR="001C4193">
        <w:br/>
      </w:r>
      <w:r>
        <w:t xml:space="preserve">rates by SES quintiles, 15—19 years, actual (2011 based on 2011 </w:t>
      </w:r>
      <w:r w:rsidR="001C4193">
        <w:br/>
      </w:r>
      <w:r>
        <w:t>quintiles) and apparent (2011 based on 2006 quintiles)</w:t>
      </w:r>
      <w:r>
        <w:tab/>
      </w:r>
      <w:r w:rsidR="00292C54">
        <w:fldChar w:fldCharType="begin"/>
      </w:r>
      <w:r>
        <w:instrText xml:space="preserve"> PAGEREF _Toc383616082 \h </w:instrText>
      </w:r>
      <w:r w:rsidR="00292C54">
        <w:fldChar w:fldCharType="separate"/>
      </w:r>
      <w:r w:rsidR="00943850">
        <w:t>20</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VET qualification participation rates by SES quintiles for 2011, </w:t>
      </w:r>
      <w:r w:rsidR="001C4193">
        <w:br/>
      </w:r>
      <w:r>
        <w:t>20—24 years, actual (2011 quintiles) and apparent (2006 quintiles)</w:t>
      </w:r>
      <w:r>
        <w:tab/>
      </w:r>
      <w:r w:rsidR="00292C54">
        <w:fldChar w:fldCharType="begin"/>
      </w:r>
      <w:r>
        <w:instrText xml:space="preserve"> PAGEREF _Toc383616083 \h </w:instrText>
      </w:r>
      <w:r w:rsidR="00292C54">
        <w:fldChar w:fldCharType="separate"/>
      </w:r>
      <w:r w:rsidR="00943850">
        <w:t>21</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Changes between 2006 and 2011 in VET qualification participation </w:t>
      </w:r>
      <w:r w:rsidR="001C4193">
        <w:br/>
      </w:r>
      <w:r>
        <w:t xml:space="preserve">rates by SES quintiles, 20—24 years, actual (2011 based on 2011 </w:t>
      </w:r>
      <w:r w:rsidR="001C4193">
        <w:br/>
      </w:r>
      <w:r>
        <w:t>quintiles) and apparent (2011 based on 2006 quintiles)</w:t>
      </w:r>
      <w:r>
        <w:tab/>
      </w:r>
      <w:r w:rsidR="00292C54">
        <w:fldChar w:fldCharType="begin"/>
      </w:r>
      <w:r>
        <w:instrText xml:space="preserve"> PAGEREF _Toc383616084 \h </w:instrText>
      </w:r>
      <w:r w:rsidR="00292C54">
        <w:fldChar w:fldCharType="separate"/>
      </w:r>
      <w:r w:rsidR="00943850">
        <w:t>21</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VET qualification participation rates by SES quintiles for 2011, </w:t>
      </w:r>
      <w:r w:rsidR="001C4193">
        <w:br/>
      </w:r>
      <w:r>
        <w:t>25—64 years, actual (2011 quintiles) and apparent (2006 quintiles)</w:t>
      </w:r>
      <w:r>
        <w:tab/>
      </w:r>
      <w:r w:rsidR="00292C54">
        <w:fldChar w:fldCharType="begin"/>
      </w:r>
      <w:r>
        <w:instrText xml:space="preserve"> PAGEREF _Toc383616085 \h </w:instrText>
      </w:r>
      <w:r w:rsidR="00292C54">
        <w:fldChar w:fldCharType="separate"/>
      </w:r>
      <w:r w:rsidR="00943850">
        <w:t>22</w:t>
      </w:r>
      <w:r w:rsidR="00292C54">
        <w:fldChar w:fldCharType="end"/>
      </w:r>
    </w:p>
    <w:p w:rsidR="001129FC" w:rsidRDefault="001129FC">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Changes between 2006 and 2011 in VET qualification participation </w:t>
      </w:r>
      <w:r w:rsidR="001C4193">
        <w:br/>
      </w:r>
      <w:r>
        <w:t xml:space="preserve">rates by SES quintiles, 25—64 years, actual (2011 based on 2011 </w:t>
      </w:r>
      <w:r w:rsidR="001C4193">
        <w:br/>
      </w:r>
      <w:r>
        <w:t>quintiles) and apparent (2011 based on 2006 quintiles)</w:t>
      </w:r>
      <w:r>
        <w:tab/>
      </w:r>
      <w:r w:rsidR="00292C54">
        <w:fldChar w:fldCharType="begin"/>
      </w:r>
      <w:r>
        <w:instrText xml:space="preserve"> PAGEREF _Toc383616086 \h </w:instrText>
      </w:r>
      <w:r w:rsidR="00292C54">
        <w:fldChar w:fldCharType="separate"/>
      </w:r>
      <w:r w:rsidR="00943850">
        <w:t>22</w:t>
      </w:r>
      <w:r w:rsidR="00292C54">
        <w:fldChar w:fldCharType="end"/>
      </w:r>
    </w:p>
    <w:p w:rsidR="00E811C3" w:rsidRPr="00A93867" w:rsidRDefault="00292C54" w:rsidP="007C5B1B">
      <w:pPr>
        <w:pStyle w:val="Heading2"/>
        <w:rPr>
          <w:b/>
          <w:color w:val="000000"/>
          <w:kern w:val="28"/>
          <w:sz w:val="56"/>
          <w:szCs w:val="56"/>
        </w:rPr>
      </w:pPr>
      <w:r>
        <w:rPr>
          <w:rFonts w:ascii="Trebuchet MS" w:hAnsi="Trebuchet MS" w:cs="Times New Roman"/>
          <w:noProof/>
          <w:color w:val="000000"/>
          <w:sz w:val="19"/>
          <w:szCs w:val="19"/>
        </w:rPr>
        <w:fldChar w:fldCharType="end"/>
      </w:r>
      <w:r w:rsidR="00E811C3" w:rsidRPr="00A93867">
        <w:rPr>
          <w:b/>
        </w:rPr>
        <w:br w:type="page"/>
      </w:r>
    </w:p>
    <w:p w:rsidR="00E811C3" w:rsidRPr="005C2FCF" w:rsidRDefault="00F03B7F" w:rsidP="00E811C3">
      <w:pPr>
        <w:pStyle w:val="Heading1"/>
      </w:pPr>
      <w:bookmarkStart w:id="15" w:name="_Toc383615929"/>
      <w:r>
        <w:lastRenderedPageBreak/>
        <w:t>Introduction</w:t>
      </w:r>
      <w:bookmarkEnd w:id="15"/>
    </w:p>
    <w:p w:rsidR="001E29F7" w:rsidRPr="00EC2586" w:rsidRDefault="001E29F7" w:rsidP="00EC2586">
      <w:pPr>
        <w:pStyle w:val="Text"/>
      </w:pPr>
      <w:r>
        <w:t>The relationship between social and economic disadvantage and participation in tertiary education has received considerable policy attention over the years. In particular, the Bradley Review (</w:t>
      </w:r>
      <w:r w:rsidR="00CC2400">
        <w:t>Bradley</w:t>
      </w:r>
      <w:r w:rsidR="00EC2586">
        <w:t> </w:t>
      </w:r>
      <w:r w:rsidR="00CC2400">
        <w:t xml:space="preserve">et al. </w:t>
      </w:r>
      <w:r>
        <w:t xml:space="preserve">2008) recommended </w:t>
      </w:r>
      <w:r w:rsidR="00B43B1D">
        <w:t xml:space="preserve">greater participation </w:t>
      </w:r>
      <w:r w:rsidR="00E83317">
        <w:t>by</w:t>
      </w:r>
      <w:r>
        <w:t xml:space="preserve"> those with low socioeconomic </w:t>
      </w:r>
      <w:r w:rsidR="004C752A">
        <w:t xml:space="preserve">(SES) </w:t>
      </w:r>
      <w:r>
        <w:t xml:space="preserve">backgrounds in higher education. </w:t>
      </w:r>
      <w:r w:rsidR="00522237">
        <w:t>Following that review</w:t>
      </w:r>
      <w:r w:rsidR="00522237" w:rsidRPr="00EC2586">
        <w:t>, t</w:t>
      </w:r>
      <w:r w:rsidRPr="00EC2586">
        <w:t xml:space="preserve">he Australian Government </w:t>
      </w:r>
      <w:r w:rsidR="00522237" w:rsidRPr="00EC2586">
        <w:t>set targets for the</w:t>
      </w:r>
      <w:r w:rsidR="00EC2586">
        <w:t> </w:t>
      </w:r>
      <w:r w:rsidR="00522237" w:rsidRPr="00EC2586">
        <w:t xml:space="preserve">proportion </w:t>
      </w:r>
      <w:r w:rsidRPr="00EC2586">
        <w:t>of higher education enrolments at undergraduate level to be filled by people from low socioeconomic</w:t>
      </w:r>
      <w:r w:rsidR="00EC2586">
        <w:t> </w:t>
      </w:r>
      <w:r w:rsidRPr="00EC2586">
        <w:t xml:space="preserve">backgrounds. </w:t>
      </w:r>
    </w:p>
    <w:p w:rsidR="001E29F7" w:rsidRPr="00EC2586" w:rsidRDefault="001E29F7" w:rsidP="00EC2586">
      <w:pPr>
        <w:pStyle w:val="Text"/>
      </w:pPr>
      <w:r w:rsidRPr="00EC2586">
        <w:t xml:space="preserve">Lim </w:t>
      </w:r>
      <w:r w:rsidR="00CC2400" w:rsidRPr="00EC2586">
        <w:t>and</w:t>
      </w:r>
      <w:r w:rsidRPr="00EC2586">
        <w:t xml:space="preserve"> Gemici (201</w:t>
      </w:r>
      <w:r w:rsidR="00FF78BE" w:rsidRPr="00EC2586">
        <w:t>1</w:t>
      </w:r>
      <w:r w:rsidRPr="00EC2586">
        <w:t xml:space="preserve">) and Karmel and Lim (2013) show that there is </w:t>
      </w:r>
      <w:r w:rsidR="00CC2400" w:rsidRPr="00EC2586">
        <w:t xml:space="preserve">a </w:t>
      </w:r>
      <w:r w:rsidRPr="00EC2586">
        <w:t xml:space="preserve">very poor relationship between </w:t>
      </w:r>
      <w:r w:rsidR="004C752A" w:rsidRPr="00EC2586">
        <w:t>an individual</w:t>
      </w:r>
      <w:r w:rsidRPr="00EC2586">
        <w:t xml:space="preserve"> measure of </w:t>
      </w:r>
      <w:r w:rsidR="00CC2400" w:rsidRPr="00EC2586">
        <w:t>socioeconomic status</w:t>
      </w:r>
      <w:r w:rsidR="00565BE2" w:rsidRPr="00EC2586">
        <w:t xml:space="preserve"> and the area-</w:t>
      </w:r>
      <w:r w:rsidRPr="00EC2586">
        <w:t xml:space="preserve">based Socio-Economic Indexes for Area (SEIFA), produced by the Australian Bureau </w:t>
      </w:r>
      <w:r w:rsidR="00CC2400" w:rsidRPr="00EC2586">
        <w:t>of Statistics (ABS) after each c</w:t>
      </w:r>
      <w:r w:rsidRPr="00EC2586">
        <w:t xml:space="preserve">ensus of the Australian population. </w:t>
      </w:r>
      <w:r w:rsidR="006D5082" w:rsidRPr="00EC2586">
        <w:t>Nevertheless</w:t>
      </w:r>
      <w:r w:rsidR="00B43B1D" w:rsidRPr="00EC2586">
        <w:t>, tho</w:t>
      </w:r>
      <w:r w:rsidR="00D60536" w:rsidRPr="00EC2586">
        <w:t>se</w:t>
      </w:r>
      <w:r w:rsidRPr="00EC2586">
        <w:t xml:space="preserve"> papers show that SEIFA performs reasonably for monitoring the relationship between socioeconomic status and tertiary education participation.</w:t>
      </w:r>
    </w:p>
    <w:p w:rsidR="00060966" w:rsidRPr="00EC2586" w:rsidRDefault="001E29F7" w:rsidP="00EC2586">
      <w:pPr>
        <w:pStyle w:val="Text"/>
      </w:pPr>
      <w:r w:rsidRPr="00EC2586">
        <w:t xml:space="preserve">The particular issue investigated </w:t>
      </w:r>
      <w:r w:rsidR="00FC7F46" w:rsidRPr="00EC2586">
        <w:t>here</w:t>
      </w:r>
      <w:r w:rsidRPr="00EC2586">
        <w:t xml:space="preserve"> is the impact of using a measure of </w:t>
      </w:r>
      <w:r w:rsidR="00CC2400" w:rsidRPr="00EC2586">
        <w:t>socioeconomic status</w:t>
      </w:r>
      <w:r w:rsidRPr="00EC2586">
        <w:t xml:space="preserve"> (SEIFA) t</w:t>
      </w:r>
      <w:r w:rsidR="00B43B1D" w:rsidRPr="00EC2586">
        <w:t>hat remains static between the five</w:t>
      </w:r>
      <w:r w:rsidR="00CC2400" w:rsidRPr="00EC2586">
        <w:t>-</w:t>
      </w:r>
      <w:r w:rsidRPr="00EC2586">
        <w:t xml:space="preserve">yearly </w:t>
      </w:r>
      <w:r w:rsidR="00901F3F" w:rsidRPr="00EC2586">
        <w:t>censuses</w:t>
      </w:r>
      <w:r w:rsidRPr="00EC2586">
        <w:t>. This paper investigates whether</w:t>
      </w:r>
      <w:r w:rsidR="004936C6" w:rsidRPr="00EC2586">
        <w:t xml:space="preserve"> differences in the way geographic boundaries are defined or differences in the calculation of SEIFA values at different census</w:t>
      </w:r>
      <w:r w:rsidR="00060966" w:rsidRPr="00EC2586">
        <w:t>es</w:t>
      </w:r>
      <w:r w:rsidR="004936C6" w:rsidRPr="00EC2586">
        <w:t xml:space="preserve"> impact on the</w:t>
      </w:r>
      <w:r w:rsidRPr="00EC2586">
        <w:t xml:space="preserve"> measur</w:t>
      </w:r>
      <w:r w:rsidR="004936C6" w:rsidRPr="00EC2586">
        <w:t>ement of</w:t>
      </w:r>
      <w:r w:rsidRPr="00EC2586">
        <w:t xml:space="preserve"> </w:t>
      </w:r>
      <w:r w:rsidR="004936C6" w:rsidRPr="00EC2586">
        <w:t xml:space="preserve">education </w:t>
      </w:r>
      <w:r w:rsidRPr="00EC2586">
        <w:t>participation</w:t>
      </w:r>
      <w:r w:rsidR="004936C6" w:rsidRPr="00EC2586">
        <w:t xml:space="preserve"> rates</w:t>
      </w:r>
      <w:r w:rsidRPr="00EC2586">
        <w:t xml:space="preserve"> by socioeconomic status over time</w:t>
      </w:r>
      <w:r w:rsidR="00F03B7F" w:rsidRPr="00EC2586">
        <w:t xml:space="preserve">. </w:t>
      </w:r>
      <w:r w:rsidR="004936C6" w:rsidRPr="00EC2586">
        <w:t>These changes</w:t>
      </w:r>
      <w:r w:rsidR="00F238D0" w:rsidRPr="00EC2586">
        <w:t xml:space="preserve"> </w:t>
      </w:r>
      <w:r w:rsidR="00655E46" w:rsidRPr="00EC2586">
        <w:t>could potentially</w:t>
      </w:r>
      <w:r w:rsidR="00F238D0" w:rsidRPr="00EC2586">
        <w:t xml:space="preserve"> lead to </w:t>
      </w:r>
      <w:r w:rsidR="00655E46" w:rsidRPr="00EC2586">
        <w:t xml:space="preserve">a misreading </w:t>
      </w:r>
      <w:r w:rsidR="00635885" w:rsidRPr="00EC2586">
        <w:t>of</w:t>
      </w:r>
      <w:r w:rsidR="00655E46" w:rsidRPr="00EC2586">
        <w:t xml:space="preserve"> changes in participation. Apparent changes</w:t>
      </w:r>
      <w:r w:rsidR="00300CE3" w:rsidRPr="00EC2586">
        <w:t xml:space="preserve"> in participation </w:t>
      </w:r>
      <w:r w:rsidR="00F238D0" w:rsidRPr="00EC2586">
        <w:t>might simply be due to changes in boundaries</w:t>
      </w:r>
      <w:r w:rsidR="004936C6" w:rsidRPr="00EC2586">
        <w:t xml:space="preserve">, </w:t>
      </w:r>
      <w:r w:rsidR="00CA0990" w:rsidRPr="00EC2586">
        <w:t>the composition of neighbourhoods</w:t>
      </w:r>
      <w:r w:rsidR="00990BEE" w:rsidRPr="00EC2586">
        <w:t>,</w:t>
      </w:r>
      <w:r w:rsidR="004936C6" w:rsidRPr="00EC2586">
        <w:t xml:space="preserve"> or the way SEIFA is derived</w:t>
      </w:r>
      <w:r w:rsidR="00300CE3" w:rsidRPr="00EC2586">
        <w:t>,</w:t>
      </w:r>
      <w:r w:rsidR="00F238D0" w:rsidRPr="00EC2586">
        <w:t xml:space="preserve"> rather than changes in </w:t>
      </w:r>
      <w:r w:rsidR="00300CE3" w:rsidRPr="00EC2586">
        <w:t xml:space="preserve">the actual </w:t>
      </w:r>
      <w:r w:rsidR="00F238D0" w:rsidRPr="00EC2586">
        <w:t>participation rates</w:t>
      </w:r>
      <w:r w:rsidR="00300CE3" w:rsidRPr="00EC2586">
        <w:t xml:space="preserve"> for specific SES groups.</w:t>
      </w:r>
      <w:r w:rsidR="004936C6" w:rsidRPr="00EC2586">
        <w:t xml:space="preserve"> </w:t>
      </w:r>
    </w:p>
    <w:p w:rsidR="00D60536" w:rsidRPr="00EC2586" w:rsidRDefault="00DA1405" w:rsidP="00EC2586">
      <w:pPr>
        <w:pStyle w:val="Text"/>
      </w:pPr>
      <w:r w:rsidRPr="00EC2586">
        <w:t>The</w:t>
      </w:r>
      <w:r w:rsidR="00274B60" w:rsidRPr="00EC2586">
        <w:t xml:space="preserve"> approach </w:t>
      </w:r>
      <w:r w:rsidR="00E83317">
        <w:t>in</w:t>
      </w:r>
      <w:r w:rsidR="00274B60" w:rsidRPr="00EC2586">
        <w:t xml:space="preserve"> this paper is to </w:t>
      </w:r>
      <w:r w:rsidRPr="00EC2586">
        <w:t>use the 2006 and 2011 NCVER V</w:t>
      </w:r>
      <w:r w:rsidR="00635885" w:rsidRPr="00EC2586">
        <w:t>ET</w:t>
      </w:r>
      <w:r w:rsidRPr="00EC2586">
        <w:t xml:space="preserve"> collections and apply the 2006 and 2011 SEIFA measures to each of them in turn.</w:t>
      </w:r>
      <w:r w:rsidR="00635885" w:rsidRPr="00E83317">
        <w:rPr>
          <w:rStyle w:val="FootnoteReference"/>
        </w:rPr>
        <w:footnoteReference w:id="1"/>
      </w:r>
      <w:r w:rsidRPr="00E83317">
        <w:rPr>
          <w:vertAlign w:val="superscript"/>
        </w:rPr>
        <w:t xml:space="preserve"> </w:t>
      </w:r>
      <w:r w:rsidR="00274B60" w:rsidRPr="00EC2586">
        <w:t>T</w:t>
      </w:r>
      <w:r w:rsidR="00A83180" w:rsidRPr="00EC2586">
        <w:t xml:space="preserve">he SEIFA measures based on postal area (POA) </w:t>
      </w:r>
      <w:r w:rsidR="005636A2" w:rsidRPr="00EC2586">
        <w:t xml:space="preserve">and </w:t>
      </w:r>
      <w:r w:rsidR="00990BEE" w:rsidRPr="00EC2586">
        <w:t xml:space="preserve">statistical local areas </w:t>
      </w:r>
      <w:r w:rsidR="005636A2" w:rsidRPr="00EC2586">
        <w:t xml:space="preserve">(SLA) </w:t>
      </w:r>
      <w:r w:rsidR="00A83180" w:rsidRPr="00EC2586">
        <w:t>have been appended to the individual clients</w:t>
      </w:r>
      <w:r w:rsidR="00E654C4">
        <w:t>’</w:t>
      </w:r>
      <w:r w:rsidR="00565BE2" w:rsidRPr="00EC2586">
        <w:t xml:space="preserve"> postcode</w:t>
      </w:r>
      <w:r w:rsidR="005636A2" w:rsidRPr="00EC2586">
        <w:t xml:space="preserve"> and </w:t>
      </w:r>
      <w:r w:rsidR="00990BEE" w:rsidRPr="00EC2586">
        <w:t>statistical local area</w:t>
      </w:r>
      <w:r w:rsidR="00A83180" w:rsidRPr="00EC2586">
        <w:t xml:space="preserve"> in the collections</w:t>
      </w:r>
      <w:r w:rsidR="005636A2" w:rsidRPr="00EC2586">
        <w:t>. T</w:t>
      </w:r>
      <w:r w:rsidR="00CA7E9D" w:rsidRPr="00EC2586">
        <w:t xml:space="preserve">he focus is on </w:t>
      </w:r>
      <w:r w:rsidR="005636A2" w:rsidRPr="00EC2586">
        <w:t xml:space="preserve">the </w:t>
      </w:r>
      <w:r w:rsidR="00274B60" w:rsidRPr="00EC2586">
        <w:t xml:space="preserve">Index of </w:t>
      </w:r>
      <w:r w:rsidR="00137FCE" w:rsidRPr="00EC2586">
        <w:t xml:space="preserve">Relative </w:t>
      </w:r>
      <w:r w:rsidR="004C752A" w:rsidRPr="00EC2586">
        <w:t xml:space="preserve">Socio-economic </w:t>
      </w:r>
      <w:r w:rsidR="00272B26" w:rsidRPr="00EC2586">
        <w:t>Disadvantage</w:t>
      </w:r>
      <w:r w:rsidR="00E450FA" w:rsidRPr="00EC2586">
        <w:t xml:space="preserve"> (I</w:t>
      </w:r>
      <w:r w:rsidR="00272B26" w:rsidRPr="00EC2586">
        <w:t>RSD</w:t>
      </w:r>
      <w:r w:rsidR="00274B60" w:rsidRPr="00EC2586">
        <w:t>)</w:t>
      </w:r>
      <w:r w:rsidR="00522237" w:rsidRPr="00EC2586">
        <w:t>, one of four SEIFA measures</w:t>
      </w:r>
      <w:r w:rsidR="00D60536" w:rsidRPr="00EC2586">
        <w:t>.</w:t>
      </w:r>
    </w:p>
    <w:p w:rsidR="00C5018D" w:rsidRPr="00EC2586" w:rsidRDefault="005636A2" w:rsidP="00EC2586">
      <w:pPr>
        <w:pStyle w:val="Text"/>
      </w:pPr>
      <w:r w:rsidRPr="00EC2586">
        <w:t xml:space="preserve">Typically, </w:t>
      </w:r>
      <w:r w:rsidR="00565BE2" w:rsidRPr="00EC2586">
        <w:t xml:space="preserve">an </w:t>
      </w:r>
      <w:r w:rsidRPr="00EC2586">
        <w:t xml:space="preserve">analysis of educational participation by </w:t>
      </w:r>
      <w:r w:rsidR="00C71317" w:rsidRPr="00EC2586">
        <w:t>socioeconomic status</w:t>
      </w:r>
      <w:r w:rsidRPr="00EC2586">
        <w:t xml:space="preserve"> assigns each student a SEIFA quintile and then looks at the distribution of students across the quintiles, with an underlying assumption that if a SEIFA </w:t>
      </w:r>
      <w:r w:rsidR="00E654C4">
        <w:t>‘</w:t>
      </w:r>
      <w:r w:rsidRPr="00EC2586">
        <w:t>quintile</w:t>
      </w:r>
      <w:r w:rsidR="00E654C4">
        <w:t>’</w:t>
      </w:r>
      <w:r w:rsidR="00C71317" w:rsidRPr="00EC2586">
        <w:t xml:space="preserve"> has less (more) than 20%</w:t>
      </w:r>
      <w:r w:rsidRPr="00EC2586">
        <w:t xml:space="preserve"> of stud</w:t>
      </w:r>
      <w:r w:rsidR="00C71317" w:rsidRPr="00EC2586">
        <w:t>ents the</w:t>
      </w:r>
      <w:r w:rsidRPr="00EC2586">
        <w:t>n that SES group is under-represented (over-represented). However, thi</w:t>
      </w:r>
      <w:r w:rsidR="00B369C2" w:rsidRPr="00EC2586">
        <w:t xml:space="preserve">s approach is problematic because </w:t>
      </w:r>
      <w:r w:rsidR="00E654C4">
        <w:t>‘</w:t>
      </w:r>
      <w:r w:rsidR="00B369C2" w:rsidRPr="00EC2586">
        <w:t>quintiles ain</w:t>
      </w:r>
      <w:r w:rsidR="00E654C4">
        <w:t>’</w:t>
      </w:r>
      <w:r w:rsidR="00B369C2" w:rsidRPr="00EC2586">
        <w:t>t quintiles</w:t>
      </w:r>
      <w:r w:rsidR="00E654C4">
        <w:t>’</w:t>
      </w:r>
      <w:r w:rsidR="00C71317" w:rsidRPr="00EC2586">
        <w:t>.</w:t>
      </w:r>
      <w:r w:rsidR="00B369C2" w:rsidRPr="00EC2586">
        <w:t xml:space="preserve"> This is because the definition of quintiles does not necessarily represent the population in question. SEIFA quintil</w:t>
      </w:r>
      <w:r w:rsidR="00C71317" w:rsidRPr="00EC2586">
        <w:t>es ensure that 20%</w:t>
      </w:r>
      <w:r w:rsidR="00B369C2" w:rsidRPr="00EC2586">
        <w:t xml:space="preserve"> of the geographic areas are contained in each quintile without regard to the size of the population in each of those geographic areas. </w:t>
      </w:r>
      <w:r w:rsidR="0043723F" w:rsidRPr="00EC2586">
        <w:t>Our approach</w:t>
      </w:r>
      <w:r w:rsidR="00982486" w:rsidRPr="00EC2586">
        <w:t xml:space="preserve"> therefore</w:t>
      </w:r>
      <w:r w:rsidR="0043723F" w:rsidRPr="00EC2586">
        <w:t xml:space="preserve"> is to estimate the population in question</w:t>
      </w:r>
      <w:r w:rsidR="00E83317">
        <w:t>,</w:t>
      </w:r>
      <w:r w:rsidR="0043723F" w:rsidRPr="00EC2586">
        <w:t xml:space="preserve"> based on the ABS </w:t>
      </w:r>
      <w:r w:rsidR="004C752A" w:rsidRPr="00EC2586">
        <w:t>usual residents profile</w:t>
      </w:r>
      <w:r w:rsidR="0043723F" w:rsidRPr="00EC2586">
        <w:t xml:space="preserve"> (URP) or estimated resident populations (ERP)</w:t>
      </w:r>
      <w:r w:rsidR="00E83317">
        <w:t>,</w:t>
      </w:r>
      <w:r w:rsidR="0043723F" w:rsidRPr="00EC2586">
        <w:t xml:space="preserve"> for the relevant age groups by </w:t>
      </w:r>
      <w:r w:rsidR="004C5523" w:rsidRPr="00EC2586">
        <w:t xml:space="preserve">postal district </w:t>
      </w:r>
      <w:r w:rsidR="0043723F" w:rsidRPr="00EC2586">
        <w:t xml:space="preserve">and </w:t>
      </w:r>
      <w:r w:rsidR="00C71317" w:rsidRPr="00EC2586">
        <w:t>statistical local area</w:t>
      </w:r>
      <w:r w:rsidR="0043723F" w:rsidRPr="00EC2586">
        <w:t xml:space="preserve">, and then derive educational participation rates for the </w:t>
      </w:r>
      <w:r w:rsidR="00E654C4">
        <w:t>‘</w:t>
      </w:r>
      <w:r w:rsidR="0043723F" w:rsidRPr="00EC2586">
        <w:t>quintile</w:t>
      </w:r>
      <w:r w:rsidR="00E654C4">
        <w:t>’</w:t>
      </w:r>
      <w:r w:rsidR="0043723F" w:rsidRPr="00EC2586">
        <w:t xml:space="preserve"> based on the rates for each </w:t>
      </w:r>
      <w:r w:rsidR="00C71317" w:rsidRPr="00EC2586">
        <w:t>postal district and statistical local area</w:t>
      </w:r>
      <w:r w:rsidR="0043723F" w:rsidRPr="00EC2586">
        <w:t>.</w:t>
      </w:r>
    </w:p>
    <w:p w:rsidR="004C5523" w:rsidRDefault="001F05B2" w:rsidP="00EC2586">
      <w:pPr>
        <w:pStyle w:val="Text"/>
      </w:pPr>
      <w:r w:rsidRPr="00EC2586">
        <w:t>This approach also corrects a com</w:t>
      </w:r>
      <w:r>
        <w:t>mon misunderstanding</w:t>
      </w:r>
      <w:r w:rsidR="00AD1DD5">
        <w:t xml:space="preserve"> (as pointed out by Karmel &amp; Lim 2013)</w:t>
      </w:r>
      <w:r>
        <w:t xml:space="preserve">: that there is an issue in </w:t>
      </w:r>
      <w:r w:rsidR="00C71317">
        <w:t xml:space="preserve">vocational education and training </w:t>
      </w:r>
      <w:r w:rsidR="00E83317">
        <w:t>(VET) because those coming from a low-</w:t>
      </w:r>
      <w:r w:rsidR="004C5523">
        <w:t xml:space="preserve">SES background are skewed </w:t>
      </w:r>
      <w:r w:rsidR="00A54A85">
        <w:t>toward</w:t>
      </w:r>
      <w:r w:rsidR="00C71317">
        <w:t xml:space="preserve"> lower-</w:t>
      </w:r>
      <w:r w:rsidR="004C5523">
        <w:t>level qualifications. What counts is the participation rate at th</w:t>
      </w:r>
      <w:r w:rsidR="00C71317">
        <w:t xml:space="preserve">e various qualification levels — </w:t>
      </w:r>
      <w:r w:rsidR="004C5523">
        <w:t xml:space="preserve">if the </w:t>
      </w:r>
      <w:r w:rsidR="00A54A85">
        <w:t>participation</w:t>
      </w:r>
      <w:r w:rsidR="0080548E">
        <w:t xml:space="preserve"> rate in higher-</w:t>
      </w:r>
      <w:r w:rsidR="004C5523">
        <w:t>level qualifications is satisfactory</w:t>
      </w:r>
      <w:r w:rsidR="0080548E">
        <w:t>,</w:t>
      </w:r>
      <w:r w:rsidR="004C5523">
        <w:t xml:space="preserve"> </w:t>
      </w:r>
      <w:r w:rsidR="004C5523">
        <w:lastRenderedPageBreak/>
        <w:t xml:space="preserve">then the fact that there </w:t>
      </w:r>
      <w:r w:rsidR="00C71317">
        <w:t xml:space="preserve">are </w:t>
      </w:r>
      <w:r w:rsidR="004C5523">
        <w:t>also considerable num</w:t>
      </w:r>
      <w:r w:rsidR="00C71317">
        <w:t>bers of students studying lower-</w:t>
      </w:r>
      <w:r w:rsidR="004C5523">
        <w:t>level qualifications should not be of concern.</w:t>
      </w:r>
    </w:p>
    <w:p w:rsidR="00982486" w:rsidRDefault="00982486" w:rsidP="00982486">
      <w:pPr>
        <w:pStyle w:val="Text"/>
      </w:pPr>
      <w:r>
        <w:t xml:space="preserve">The structure of the paper is </w:t>
      </w:r>
      <w:r w:rsidR="004C5523">
        <w:t>as follows. We first provide</w:t>
      </w:r>
      <w:r>
        <w:t xml:space="preserve"> a description of the ABS SEIFA measures </w:t>
      </w:r>
      <w:r w:rsidR="004C5523">
        <w:t xml:space="preserve">and show how the distribution of the population differs from that of </w:t>
      </w:r>
      <w:r w:rsidR="000D1A71">
        <w:t>postal district and statistical local area</w:t>
      </w:r>
      <w:r w:rsidR="004C5523">
        <w:t>.</w:t>
      </w:r>
      <w:r w:rsidR="0068154E">
        <w:rPr>
          <w:rStyle w:val="FootnoteReference"/>
        </w:rPr>
        <w:footnoteReference w:id="2"/>
      </w:r>
      <w:r w:rsidR="004C5523">
        <w:t xml:space="preserve"> This is followed by an e</w:t>
      </w:r>
      <w:r w:rsidR="0080262C">
        <w:t xml:space="preserve">xamination </w:t>
      </w:r>
      <w:r w:rsidR="0080548E" w:rsidRPr="00AD6E4C">
        <w:t>of</w:t>
      </w:r>
      <w:r w:rsidR="00AD6E4C">
        <w:t xml:space="preserve"> VET participation</w:t>
      </w:r>
      <w:r w:rsidR="0080548E">
        <w:t xml:space="preserve"> </w:t>
      </w:r>
      <w:r w:rsidR="00060966">
        <w:t>using the static measure of SES</w:t>
      </w:r>
      <w:r w:rsidR="0080262C">
        <w:t xml:space="preserve"> over time, as the constituent building blocks change their population </w:t>
      </w:r>
      <w:r w:rsidR="00A54A85">
        <w:t>characteristics</w:t>
      </w:r>
      <w:r w:rsidR="0080262C">
        <w:t xml:space="preserve">, resulting </w:t>
      </w:r>
      <w:r w:rsidR="00A54A85">
        <w:t>inevitably</w:t>
      </w:r>
      <w:r w:rsidR="0080262C">
        <w:t xml:space="preserve"> in </w:t>
      </w:r>
      <w:r w:rsidR="00060966">
        <w:t>a change of SEIFA classification</w:t>
      </w:r>
      <w:r w:rsidR="00635885">
        <w:t xml:space="preserve"> </w:t>
      </w:r>
      <w:r w:rsidR="00060966">
        <w:t>for</w:t>
      </w:r>
      <w:r w:rsidR="00635885">
        <w:t xml:space="preserve"> areas</w:t>
      </w:r>
      <w:r w:rsidR="0080262C">
        <w:t>.</w:t>
      </w:r>
      <w:r w:rsidR="0001004B">
        <w:t xml:space="preserve"> </w:t>
      </w:r>
      <w:r w:rsidR="006D5082">
        <w:t xml:space="preserve">We find that the SEIFA measure based on </w:t>
      </w:r>
      <w:r w:rsidR="000D1A71">
        <w:t>statistical local area</w:t>
      </w:r>
      <w:r w:rsidR="006D5082">
        <w:t xml:space="preserve"> is reasonably robust, a rather comforting finding for po</w:t>
      </w:r>
      <w:r w:rsidR="000D1A71">
        <w:t>licy-</w:t>
      </w:r>
      <w:r w:rsidR="006D5082">
        <w:t xml:space="preserve">makers. We note, however, that </w:t>
      </w:r>
      <w:r w:rsidR="00522237">
        <w:t>the</w:t>
      </w:r>
      <w:r w:rsidR="006D5082">
        <w:t xml:space="preserve"> SEIFA based on </w:t>
      </w:r>
      <w:r w:rsidR="000D1A71">
        <w:t>postal district</w:t>
      </w:r>
      <w:r w:rsidR="006D5082">
        <w:t xml:space="preserve"> is less well behaved. To round out the paper, we present data on VET participation rates </w:t>
      </w:r>
      <w:r w:rsidR="00522237">
        <w:t xml:space="preserve">for 2006 and 2011 </w:t>
      </w:r>
      <w:r w:rsidR="006D5082">
        <w:t>according to SES qui</w:t>
      </w:r>
      <w:r w:rsidR="000D1A71">
        <w:t>ntiles for three age groups: 15—19 years, 20—24 years and 25—</w:t>
      </w:r>
      <w:r w:rsidR="006D5082">
        <w:t xml:space="preserve">64 years, based on the preferred </w:t>
      </w:r>
      <w:r w:rsidR="000D1A71">
        <w:t>statistical local area</w:t>
      </w:r>
      <w:r w:rsidR="006D5082">
        <w:t xml:space="preserve"> unit. These can be taken to be the definitive measures of how VET participation has changed between 2006 and 2011</w:t>
      </w:r>
      <w:r w:rsidR="00522237">
        <w:t xml:space="preserve"> in relation to socioeconomic status</w:t>
      </w:r>
      <w:r w:rsidR="006D5082">
        <w:t xml:space="preserve">. </w:t>
      </w:r>
      <w:r w:rsidR="0001004B">
        <w:t xml:space="preserve">We </w:t>
      </w:r>
      <w:r w:rsidR="0080262C">
        <w:t xml:space="preserve">end </w:t>
      </w:r>
      <w:r w:rsidR="0001004B">
        <w:t xml:space="preserve">with </w:t>
      </w:r>
      <w:r w:rsidR="00295707">
        <w:t>a brief discussion</w:t>
      </w:r>
      <w:r w:rsidR="002E0FB9">
        <w:t>.</w:t>
      </w:r>
    </w:p>
    <w:p w:rsidR="005E3AC0" w:rsidRPr="00982486" w:rsidRDefault="005E3AC0" w:rsidP="00982486">
      <w:pPr>
        <w:pStyle w:val="Text"/>
      </w:pPr>
      <w:r>
        <w:t>Finally, it is worth noting that the SEIFA stand</w:t>
      </w:r>
      <w:r w:rsidR="000D1A71">
        <w:t>ardised score measures of socio</w:t>
      </w:r>
      <w:r>
        <w:t>economic status have no</w:t>
      </w:r>
      <w:r w:rsidR="000D1A71">
        <w:t xml:space="preserve">t been designed for use in time </w:t>
      </w:r>
      <w:r>
        <w:t>serie</w:t>
      </w:r>
      <w:r w:rsidR="000D1A71">
        <w:t>s or longitudinal analysis (ABS</w:t>
      </w:r>
      <w:r>
        <w:t xml:space="preserve"> 2011), primarily due to changes in the boundaries, the way the indexes are calculated between censuses, and the fact t</w:t>
      </w:r>
      <w:r w:rsidR="0080548E">
        <w:t>hat t</w:t>
      </w:r>
      <w:r>
        <w:t>he standardised scores values are not equivalent over years. The ABS recommends using the deciles (quintiles, quartiles) in a time-series analysis. This paper uses SEIFA quintiles (derived using the published ABS deciles)</w:t>
      </w:r>
      <w:r w:rsidR="000D1A71">
        <w:t xml:space="preserve"> for comparisons between census</w:t>
      </w:r>
      <w:r>
        <w:t xml:space="preserve"> years.</w:t>
      </w:r>
    </w:p>
    <w:p w:rsidR="00E811C3" w:rsidRDefault="00E811C3" w:rsidP="00C244B4">
      <w:pPr>
        <w:pStyle w:val="Text"/>
        <w:rPr>
          <w:rFonts w:ascii="Tahoma" w:hAnsi="Tahoma"/>
          <w:sz w:val="17"/>
        </w:rPr>
      </w:pPr>
      <w:bookmarkStart w:id="16" w:name="_Toc296497273"/>
      <w:r>
        <w:br w:type="page"/>
      </w:r>
    </w:p>
    <w:p w:rsidR="00F03B7F" w:rsidRDefault="00FC7F46" w:rsidP="00E811C3">
      <w:pPr>
        <w:pStyle w:val="Heading1"/>
      </w:pPr>
      <w:bookmarkStart w:id="17" w:name="_Toc383615930"/>
      <w:bookmarkEnd w:id="16"/>
      <w:r>
        <w:lastRenderedPageBreak/>
        <w:t>SEIFA and p</w:t>
      </w:r>
      <w:r w:rsidR="00FD7C62">
        <w:t>opulation measures</w:t>
      </w:r>
      <w:bookmarkEnd w:id="17"/>
    </w:p>
    <w:p w:rsidR="00B84408" w:rsidRDefault="00B84408" w:rsidP="000D0F23">
      <w:pPr>
        <w:pStyle w:val="Text"/>
      </w:pPr>
      <w:r>
        <w:t>There are four SEIFA measures</w:t>
      </w:r>
      <w:r w:rsidR="00576BBC">
        <w:t xml:space="preserve"> (ABS 2011):</w:t>
      </w:r>
    </w:p>
    <w:p w:rsidR="00B84408" w:rsidRDefault="00B84408" w:rsidP="00B84408">
      <w:pPr>
        <w:pStyle w:val="NumberedListContinuing"/>
      </w:pPr>
      <w:r>
        <w:t>The Index of Relative Socio-economic Disadvantage (IRSD)</w:t>
      </w:r>
    </w:p>
    <w:p w:rsidR="00B84408" w:rsidRDefault="00B84408" w:rsidP="00B84408">
      <w:pPr>
        <w:pStyle w:val="NumberedListContinuing"/>
      </w:pPr>
      <w:r>
        <w:t>The Index of Relative Socio-economic Advantage and Disadvantage (IRSAD)</w:t>
      </w:r>
    </w:p>
    <w:p w:rsidR="00B84408" w:rsidRDefault="00B84408" w:rsidP="00B84408">
      <w:pPr>
        <w:pStyle w:val="NumberedListContinuing"/>
      </w:pPr>
      <w:r>
        <w:t>The Index of Edu</w:t>
      </w:r>
      <w:r w:rsidR="0080548E">
        <w:t>cation and Occupation (IEO)</w:t>
      </w:r>
    </w:p>
    <w:p w:rsidR="00B84408" w:rsidRDefault="00B84408" w:rsidP="00B84408">
      <w:pPr>
        <w:pStyle w:val="NumberedListContinuing"/>
      </w:pPr>
      <w:r>
        <w:t>The Index of Economic Resources (IER).</w:t>
      </w:r>
    </w:p>
    <w:p w:rsidR="00B84408" w:rsidRDefault="000D1A71" w:rsidP="000D0F23">
      <w:pPr>
        <w:pStyle w:val="Text"/>
      </w:pPr>
      <w:r>
        <w:t>SEIFA measures are area-</w:t>
      </w:r>
      <w:r w:rsidR="00AD1DD5">
        <w:t>based</w:t>
      </w:r>
      <w:r w:rsidR="00011EC8">
        <w:t xml:space="preserve"> </w:t>
      </w:r>
      <w:r w:rsidR="00B84408">
        <w:t>measures of advantage and disadv</w:t>
      </w:r>
      <w:r>
        <w:t>antage as opposed to individual-</w:t>
      </w:r>
      <w:r w:rsidR="00B84408">
        <w:t xml:space="preserve">level measures. </w:t>
      </w:r>
      <w:r w:rsidR="00011EC8">
        <w:t>T</w:t>
      </w:r>
      <w:r w:rsidR="00B84408">
        <w:t>he measures are constructed using the characteristics of the relevant community</w:t>
      </w:r>
      <w:r w:rsidR="00522237">
        <w:t xml:space="preserve"> in a particular geographic area</w:t>
      </w:r>
      <w:r>
        <w:t>,</w:t>
      </w:r>
      <w:r w:rsidR="00011EC8">
        <w:t xml:space="preserve"> with</w:t>
      </w:r>
      <w:r w:rsidR="00B84408">
        <w:t xml:space="preserve"> the data derived from relevant census data.</w:t>
      </w:r>
      <w:r w:rsidR="00CD3008">
        <w:t xml:space="preserve"> </w:t>
      </w:r>
    </w:p>
    <w:p w:rsidR="0001004B" w:rsidRDefault="00B84408" w:rsidP="0001004B">
      <w:pPr>
        <w:pStyle w:val="Text"/>
      </w:pPr>
      <w:r>
        <w:t>The methodology to calculate the indices is</w:t>
      </w:r>
      <w:r w:rsidR="00136C7D">
        <w:t xml:space="preserve"> a</w:t>
      </w:r>
      <w:r w:rsidR="000D1A71">
        <w:t xml:space="preserve"> multi</w:t>
      </w:r>
      <w:r>
        <w:t>dimensional framework in which the characteristics for each index are based on variables that relate to the particular topic.</w:t>
      </w:r>
      <w:r w:rsidR="0001004B">
        <w:t xml:space="preserve"> The variables are constructed using a weighted sum of the variables included in the index. The technique used is that </w:t>
      </w:r>
      <w:r w:rsidR="0080262C">
        <w:t xml:space="preserve">of Principal Component Analysis, a statistical approach that derives an index which explains the </w:t>
      </w:r>
      <w:r w:rsidR="00A54A85">
        <w:t>maximum</w:t>
      </w:r>
      <w:r w:rsidR="0080262C">
        <w:t xml:space="preserve"> amount of variance of the components</w:t>
      </w:r>
      <w:r w:rsidR="0001004B">
        <w:t xml:space="preserve">. In 2011, the indexes are calculated using the Statistical Area 1 (SA1) geographic regions. To determine the indexes for other geographic regions, </w:t>
      </w:r>
      <w:r w:rsidR="00C96F87">
        <w:t>the individual responses from the smallest unit are aggregated up to the relevant geographic level</w:t>
      </w:r>
      <w:r w:rsidR="0001004B">
        <w:t>. For earlier census</w:t>
      </w:r>
      <w:r w:rsidR="0080262C">
        <w:t>es</w:t>
      </w:r>
      <w:r w:rsidR="0001004B">
        <w:t xml:space="preserve"> </w:t>
      </w:r>
      <w:r w:rsidR="005A28D5">
        <w:t>the C</w:t>
      </w:r>
      <w:r w:rsidR="0001004B" w:rsidRPr="00011EC8">
        <w:t>ollect</w:t>
      </w:r>
      <w:r w:rsidR="005A28D5">
        <w:t>ion</w:t>
      </w:r>
      <w:r w:rsidR="0001004B" w:rsidRPr="00011EC8">
        <w:t xml:space="preserve"> </w:t>
      </w:r>
      <w:r w:rsidR="005A28D5">
        <w:t>D</w:t>
      </w:r>
      <w:r w:rsidR="0001004B" w:rsidRPr="00011EC8">
        <w:t>istrict (CD)</w:t>
      </w:r>
      <w:r w:rsidR="0001004B">
        <w:t xml:space="preserve"> is the smallest unit used to derive the indexes.</w:t>
      </w:r>
    </w:p>
    <w:p w:rsidR="00B84408" w:rsidRPr="004C16BC" w:rsidRDefault="007A62F6" w:rsidP="000D0F23">
      <w:pPr>
        <w:pStyle w:val="Text"/>
      </w:pPr>
      <w:r>
        <w:t xml:space="preserve">There is a strong relationship between the four indices, with correlations </w:t>
      </w:r>
      <w:r w:rsidR="00B43B1D">
        <w:t>better than</w:t>
      </w:r>
      <w:r>
        <w:t xml:space="preserve"> 0.5</w:t>
      </w:r>
      <w:r w:rsidR="00C96F87">
        <w:t>. For more information about the indices,</w:t>
      </w:r>
      <w:r w:rsidR="00B43B1D">
        <w:t xml:space="preserve"> readers are referred to the</w:t>
      </w:r>
      <w:r w:rsidR="00C96F87">
        <w:t xml:space="preserve"> </w:t>
      </w:r>
      <w:r w:rsidR="00136C7D">
        <w:t xml:space="preserve">SEIFA technical report </w:t>
      </w:r>
      <w:r w:rsidR="00522237">
        <w:t>(</w:t>
      </w:r>
      <w:r w:rsidR="00136C7D">
        <w:t xml:space="preserve">ABS </w:t>
      </w:r>
      <w:r w:rsidR="00522237">
        <w:t>2011)</w:t>
      </w:r>
      <w:r w:rsidR="00C96F87">
        <w:t>.</w:t>
      </w:r>
    </w:p>
    <w:p w:rsidR="00D5487F" w:rsidRDefault="00AD6E4C" w:rsidP="000D0F23">
      <w:pPr>
        <w:pStyle w:val="Text"/>
      </w:pPr>
      <w:r>
        <w:t>In developing the SEIFA indexes</w:t>
      </w:r>
      <w:r w:rsidR="00A54A85">
        <w:t>, the ABS divides the population</w:t>
      </w:r>
      <w:r>
        <w:t xml:space="preserve"> of geographic areas</w:t>
      </w:r>
      <w:r w:rsidR="00A54A85">
        <w:t xml:space="preserve"> into deciles</w:t>
      </w:r>
      <w:r w:rsidR="00AC1D9C">
        <w:t>,</w:t>
      </w:r>
      <w:r w:rsidR="00A54A85">
        <w:t xml:space="preserve"> such that 10% of the relevant geographic regions are in each decile</w:t>
      </w:r>
      <w:r w:rsidR="00AC1D9C">
        <w:t>. (W</w:t>
      </w:r>
      <w:r w:rsidR="00A54A85">
        <w:t>e have subsequently constructed quintiles by combining deciles</w:t>
      </w:r>
      <w:r w:rsidR="00AC1D9C">
        <w:t>.)</w:t>
      </w:r>
      <w:r w:rsidR="00A54A85">
        <w:t xml:space="preserve"> </w:t>
      </w:r>
      <w:r w:rsidR="00FE5347">
        <w:t xml:space="preserve">However, </w:t>
      </w:r>
      <w:r w:rsidR="00702482">
        <w:t>in terms o</w:t>
      </w:r>
      <w:r w:rsidR="00EE614D">
        <w:t xml:space="preserve">f </w:t>
      </w:r>
      <w:r>
        <w:t xml:space="preserve">Australian </w:t>
      </w:r>
      <w:r w:rsidR="00EE614D">
        <w:t>population numbers, it is clear</w:t>
      </w:r>
      <w:r w:rsidR="00702482">
        <w:t xml:space="preserve"> that the SEIFA indexes based on area do </w:t>
      </w:r>
      <w:r w:rsidR="00EE614D">
        <w:t xml:space="preserve">not give </w:t>
      </w:r>
      <w:r>
        <w:t xml:space="preserve">true </w:t>
      </w:r>
      <w:r w:rsidR="00EE614D">
        <w:t>population quintiles</w:t>
      </w:r>
      <w:r w:rsidR="00AC1D9C">
        <w:t xml:space="preserve"> (t</w:t>
      </w:r>
      <w:r w:rsidR="0080262C">
        <w:t xml:space="preserve">ables </w:t>
      </w:r>
      <w:r w:rsidR="00011EC8">
        <w:t>1</w:t>
      </w:r>
      <w:r w:rsidR="0080262C">
        <w:t xml:space="preserve"> and </w:t>
      </w:r>
      <w:r w:rsidR="00011EC8">
        <w:t>2</w:t>
      </w:r>
      <w:r w:rsidR="0080262C">
        <w:t>)</w:t>
      </w:r>
      <w:r w:rsidR="00EE614D">
        <w:t>.</w:t>
      </w:r>
    </w:p>
    <w:p w:rsidR="00FE5347" w:rsidRDefault="00FE5347" w:rsidP="00EC2586">
      <w:pPr>
        <w:pStyle w:val="tabletitle"/>
      </w:pPr>
      <w:bookmarkStart w:id="18" w:name="_Ref366074558"/>
      <w:bookmarkStart w:id="19" w:name="_Toc383616128"/>
      <w:r>
        <w:t xml:space="preserve">Table </w:t>
      </w:r>
      <w:r w:rsidR="00011EC8">
        <w:t>1</w:t>
      </w:r>
      <w:bookmarkEnd w:id="18"/>
      <w:r w:rsidR="00EC2586">
        <w:tab/>
      </w:r>
      <w:r w:rsidR="00272B26">
        <w:t xml:space="preserve">Quintile distributions, </w:t>
      </w:r>
      <w:r w:rsidR="00901F3F">
        <w:t>Index of Relative Socio-economic Disadvantage</w:t>
      </w:r>
      <w:r>
        <w:t>, 2006 and 2011</w:t>
      </w:r>
      <w:r w:rsidR="00AC1D9C">
        <w:t>:</w:t>
      </w:r>
      <w:r w:rsidR="00702482">
        <w:t xml:space="preserve"> </w:t>
      </w:r>
      <w:r w:rsidR="00E24483">
        <w:t xml:space="preserve">postal </w:t>
      </w:r>
      <w:r w:rsidR="00EA5E57">
        <w:t>area</w:t>
      </w:r>
      <w:bookmarkEnd w:id="19"/>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1758"/>
        <w:gridCol w:w="1758"/>
        <w:gridCol w:w="1758"/>
        <w:gridCol w:w="1758"/>
      </w:tblGrid>
      <w:tr w:rsidR="00EC2586" w:rsidRPr="00EC2586" w:rsidTr="00EC2586">
        <w:tc>
          <w:tcPr>
            <w:tcW w:w="1757" w:type="dxa"/>
            <w:tcBorders>
              <w:top w:val="single" w:sz="4" w:space="0" w:color="auto"/>
            </w:tcBorders>
          </w:tcPr>
          <w:p w:rsidR="00EC2586" w:rsidRPr="00EC2586" w:rsidRDefault="00EC2586" w:rsidP="00EC2586">
            <w:pPr>
              <w:pStyle w:val="Tablehead1"/>
            </w:pPr>
            <w:r w:rsidRPr="00EC2586">
              <w:t>Quintile</w:t>
            </w:r>
          </w:p>
        </w:tc>
        <w:tc>
          <w:tcPr>
            <w:tcW w:w="3516" w:type="dxa"/>
            <w:gridSpan w:val="2"/>
            <w:tcBorders>
              <w:top w:val="single" w:sz="4" w:space="0" w:color="auto"/>
            </w:tcBorders>
          </w:tcPr>
          <w:p w:rsidR="00EC2586" w:rsidRPr="00EC2586" w:rsidRDefault="00EC2586" w:rsidP="00EC2586">
            <w:pPr>
              <w:pStyle w:val="Tablehead1"/>
              <w:jc w:val="center"/>
            </w:pPr>
            <w:r w:rsidRPr="00EC2586">
              <w:t>Geographic region (POA)</w:t>
            </w:r>
          </w:p>
        </w:tc>
        <w:tc>
          <w:tcPr>
            <w:tcW w:w="3516" w:type="dxa"/>
            <w:gridSpan w:val="2"/>
            <w:tcBorders>
              <w:top w:val="single" w:sz="4" w:space="0" w:color="auto"/>
            </w:tcBorders>
          </w:tcPr>
          <w:p w:rsidR="00EC2586" w:rsidRPr="00EC2586" w:rsidRDefault="00EC2586" w:rsidP="00EC2586">
            <w:pPr>
              <w:pStyle w:val="Tablehead1"/>
              <w:jc w:val="center"/>
            </w:pPr>
            <w:r w:rsidRPr="00EC2586">
              <w:t>Population</w:t>
            </w:r>
          </w:p>
        </w:tc>
      </w:tr>
      <w:tr w:rsidR="00E835B7" w:rsidTr="00EC2586">
        <w:tc>
          <w:tcPr>
            <w:tcW w:w="1757" w:type="dxa"/>
            <w:tcBorders>
              <w:bottom w:val="single" w:sz="4" w:space="0" w:color="auto"/>
            </w:tcBorders>
          </w:tcPr>
          <w:p w:rsidR="00E835B7" w:rsidRDefault="00E835B7" w:rsidP="00EC2586">
            <w:pPr>
              <w:pStyle w:val="Tablehead2"/>
            </w:pPr>
          </w:p>
        </w:tc>
        <w:tc>
          <w:tcPr>
            <w:tcW w:w="1758" w:type="dxa"/>
            <w:tcBorders>
              <w:bottom w:val="single" w:sz="4" w:space="0" w:color="auto"/>
            </w:tcBorders>
          </w:tcPr>
          <w:p w:rsidR="00E835B7" w:rsidRDefault="00E835B7" w:rsidP="00EC2586">
            <w:pPr>
              <w:pStyle w:val="Tablehead2"/>
              <w:jc w:val="center"/>
            </w:pPr>
            <w:r>
              <w:t>2006</w:t>
            </w:r>
          </w:p>
        </w:tc>
        <w:tc>
          <w:tcPr>
            <w:tcW w:w="1758" w:type="dxa"/>
            <w:tcBorders>
              <w:bottom w:val="single" w:sz="4" w:space="0" w:color="auto"/>
            </w:tcBorders>
          </w:tcPr>
          <w:p w:rsidR="00E835B7" w:rsidRDefault="00E835B7" w:rsidP="00EC2586">
            <w:pPr>
              <w:pStyle w:val="Tablehead2"/>
              <w:jc w:val="center"/>
            </w:pPr>
            <w:r>
              <w:t>2011</w:t>
            </w:r>
          </w:p>
        </w:tc>
        <w:tc>
          <w:tcPr>
            <w:tcW w:w="1758" w:type="dxa"/>
            <w:tcBorders>
              <w:bottom w:val="single" w:sz="4" w:space="0" w:color="auto"/>
            </w:tcBorders>
          </w:tcPr>
          <w:p w:rsidR="00E835B7" w:rsidRDefault="00E835B7" w:rsidP="00EC2586">
            <w:pPr>
              <w:pStyle w:val="Tablehead2"/>
              <w:jc w:val="center"/>
            </w:pPr>
            <w:r>
              <w:t>2006</w:t>
            </w:r>
          </w:p>
        </w:tc>
        <w:tc>
          <w:tcPr>
            <w:tcW w:w="1758" w:type="dxa"/>
            <w:tcBorders>
              <w:bottom w:val="single" w:sz="4" w:space="0" w:color="auto"/>
            </w:tcBorders>
          </w:tcPr>
          <w:p w:rsidR="00E835B7" w:rsidRDefault="00E835B7" w:rsidP="00EC2586">
            <w:pPr>
              <w:pStyle w:val="Tablehead2"/>
              <w:jc w:val="center"/>
            </w:pPr>
            <w:r>
              <w:t>2011</w:t>
            </w:r>
          </w:p>
        </w:tc>
      </w:tr>
      <w:tr w:rsidR="00E835B7" w:rsidRPr="00EC2586" w:rsidTr="00EC2586">
        <w:tc>
          <w:tcPr>
            <w:tcW w:w="1757" w:type="dxa"/>
            <w:tcBorders>
              <w:top w:val="single" w:sz="4" w:space="0" w:color="auto"/>
            </w:tcBorders>
          </w:tcPr>
          <w:p w:rsidR="00E835B7" w:rsidRPr="00EC2586" w:rsidRDefault="00E835B7" w:rsidP="00EC2586">
            <w:pPr>
              <w:pStyle w:val="Tabletext"/>
            </w:pPr>
            <w:r w:rsidRPr="00EC2586">
              <w:t>1</w:t>
            </w:r>
          </w:p>
        </w:tc>
        <w:tc>
          <w:tcPr>
            <w:tcW w:w="1758" w:type="dxa"/>
            <w:tcBorders>
              <w:top w:val="single" w:sz="4" w:space="0" w:color="auto"/>
            </w:tcBorders>
          </w:tcPr>
          <w:p w:rsidR="00E835B7" w:rsidRPr="00EC2586" w:rsidRDefault="00BC31AF" w:rsidP="00EC2586">
            <w:pPr>
              <w:pStyle w:val="Tabletext"/>
              <w:tabs>
                <w:tab w:val="decimal" w:pos="765"/>
              </w:tabs>
            </w:pPr>
            <w:r w:rsidRPr="00EC2586">
              <w:t>19.6</w:t>
            </w:r>
          </w:p>
        </w:tc>
        <w:tc>
          <w:tcPr>
            <w:tcW w:w="1758" w:type="dxa"/>
            <w:tcBorders>
              <w:top w:val="single" w:sz="4" w:space="0" w:color="auto"/>
            </w:tcBorders>
          </w:tcPr>
          <w:p w:rsidR="00E835B7" w:rsidRPr="00EC2586" w:rsidRDefault="00E835B7" w:rsidP="00EC2586">
            <w:pPr>
              <w:pStyle w:val="Tabletext"/>
              <w:tabs>
                <w:tab w:val="decimal" w:pos="765"/>
              </w:tabs>
            </w:pPr>
            <w:r w:rsidRPr="00EC2586">
              <w:t>19.7</w:t>
            </w:r>
          </w:p>
        </w:tc>
        <w:tc>
          <w:tcPr>
            <w:tcW w:w="1758" w:type="dxa"/>
            <w:tcBorders>
              <w:top w:val="single" w:sz="4" w:space="0" w:color="auto"/>
            </w:tcBorders>
          </w:tcPr>
          <w:p w:rsidR="00E835B7" w:rsidRPr="00EC2586" w:rsidRDefault="00E835B7" w:rsidP="00EC2586">
            <w:pPr>
              <w:pStyle w:val="Tabletext"/>
              <w:tabs>
                <w:tab w:val="decimal" w:pos="765"/>
              </w:tabs>
            </w:pPr>
            <w:r w:rsidRPr="00EC2586">
              <w:t>15.0</w:t>
            </w:r>
          </w:p>
        </w:tc>
        <w:tc>
          <w:tcPr>
            <w:tcW w:w="1758" w:type="dxa"/>
            <w:tcBorders>
              <w:top w:val="single" w:sz="4" w:space="0" w:color="auto"/>
            </w:tcBorders>
          </w:tcPr>
          <w:p w:rsidR="00E835B7" w:rsidRPr="00EC2586" w:rsidRDefault="00E835B7" w:rsidP="00EC2586">
            <w:pPr>
              <w:pStyle w:val="Tabletext"/>
              <w:tabs>
                <w:tab w:val="decimal" w:pos="765"/>
              </w:tabs>
            </w:pPr>
            <w:r w:rsidRPr="00EC2586">
              <w:t>16.0</w:t>
            </w:r>
          </w:p>
        </w:tc>
      </w:tr>
      <w:tr w:rsidR="00E835B7" w:rsidRPr="00EC2586" w:rsidTr="00EC2586">
        <w:tc>
          <w:tcPr>
            <w:tcW w:w="1757" w:type="dxa"/>
          </w:tcPr>
          <w:p w:rsidR="00E835B7" w:rsidRPr="00EC2586" w:rsidRDefault="00E835B7" w:rsidP="00EC2586">
            <w:pPr>
              <w:pStyle w:val="Tabletext"/>
            </w:pPr>
            <w:r w:rsidRPr="00EC2586">
              <w:t>2</w:t>
            </w:r>
          </w:p>
        </w:tc>
        <w:tc>
          <w:tcPr>
            <w:tcW w:w="1758" w:type="dxa"/>
          </w:tcPr>
          <w:p w:rsidR="00E835B7" w:rsidRPr="00EC2586" w:rsidRDefault="00BC31AF" w:rsidP="00EC2586">
            <w:pPr>
              <w:pStyle w:val="Tabletext"/>
              <w:tabs>
                <w:tab w:val="decimal" w:pos="765"/>
              </w:tabs>
            </w:pPr>
            <w:r w:rsidRPr="00EC2586">
              <w:t>19.7</w:t>
            </w:r>
          </w:p>
        </w:tc>
        <w:tc>
          <w:tcPr>
            <w:tcW w:w="1758" w:type="dxa"/>
          </w:tcPr>
          <w:p w:rsidR="00E835B7" w:rsidRPr="00EC2586" w:rsidRDefault="00E835B7" w:rsidP="00EC2586">
            <w:pPr>
              <w:pStyle w:val="Tabletext"/>
              <w:tabs>
                <w:tab w:val="decimal" w:pos="765"/>
              </w:tabs>
            </w:pPr>
            <w:r w:rsidRPr="00EC2586">
              <w:t>19.7</w:t>
            </w:r>
          </w:p>
        </w:tc>
        <w:tc>
          <w:tcPr>
            <w:tcW w:w="1758" w:type="dxa"/>
          </w:tcPr>
          <w:p w:rsidR="00E835B7" w:rsidRPr="00EC2586" w:rsidRDefault="00E835B7" w:rsidP="00EC2586">
            <w:pPr>
              <w:pStyle w:val="Tabletext"/>
              <w:tabs>
                <w:tab w:val="decimal" w:pos="765"/>
              </w:tabs>
            </w:pPr>
            <w:r w:rsidRPr="00EC2586">
              <w:t>17.6</w:t>
            </w:r>
          </w:p>
        </w:tc>
        <w:tc>
          <w:tcPr>
            <w:tcW w:w="1758" w:type="dxa"/>
          </w:tcPr>
          <w:p w:rsidR="00E835B7" w:rsidRPr="00EC2586" w:rsidRDefault="00E835B7" w:rsidP="00EC2586">
            <w:pPr>
              <w:pStyle w:val="Tabletext"/>
              <w:tabs>
                <w:tab w:val="decimal" w:pos="765"/>
              </w:tabs>
            </w:pPr>
            <w:r w:rsidRPr="00EC2586">
              <w:t>17.7</w:t>
            </w:r>
          </w:p>
        </w:tc>
      </w:tr>
      <w:tr w:rsidR="00E835B7" w:rsidRPr="00EC2586" w:rsidTr="00EC2586">
        <w:tc>
          <w:tcPr>
            <w:tcW w:w="1757" w:type="dxa"/>
          </w:tcPr>
          <w:p w:rsidR="00E835B7" w:rsidRPr="00EC2586" w:rsidRDefault="00E835B7" w:rsidP="00EC2586">
            <w:pPr>
              <w:pStyle w:val="Tabletext"/>
            </w:pPr>
            <w:r w:rsidRPr="00EC2586">
              <w:t>3</w:t>
            </w:r>
          </w:p>
        </w:tc>
        <w:tc>
          <w:tcPr>
            <w:tcW w:w="1758" w:type="dxa"/>
          </w:tcPr>
          <w:p w:rsidR="00E835B7" w:rsidRPr="00EC2586" w:rsidRDefault="00BC31AF" w:rsidP="00EC2586">
            <w:pPr>
              <w:pStyle w:val="Tabletext"/>
              <w:tabs>
                <w:tab w:val="decimal" w:pos="765"/>
              </w:tabs>
            </w:pPr>
            <w:r w:rsidRPr="00EC2586">
              <w:t>19.7</w:t>
            </w:r>
          </w:p>
        </w:tc>
        <w:tc>
          <w:tcPr>
            <w:tcW w:w="1758" w:type="dxa"/>
          </w:tcPr>
          <w:p w:rsidR="00E835B7" w:rsidRPr="00EC2586" w:rsidRDefault="00BC31AF" w:rsidP="00EC2586">
            <w:pPr>
              <w:pStyle w:val="Tabletext"/>
              <w:tabs>
                <w:tab w:val="decimal" w:pos="765"/>
              </w:tabs>
            </w:pPr>
            <w:r w:rsidRPr="00EC2586">
              <w:t>19.8</w:t>
            </w:r>
          </w:p>
        </w:tc>
        <w:tc>
          <w:tcPr>
            <w:tcW w:w="1758" w:type="dxa"/>
          </w:tcPr>
          <w:p w:rsidR="00E835B7" w:rsidRPr="00EC2586" w:rsidRDefault="00BC31AF" w:rsidP="00EC2586">
            <w:pPr>
              <w:pStyle w:val="Tabletext"/>
              <w:tabs>
                <w:tab w:val="decimal" w:pos="765"/>
              </w:tabs>
            </w:pPr>
            <w:r w:rsidRPr="00EC2586">
              <w:t>20.4</w:t>
            </w:r>
          </w:p>
        </w:tc>
        <w:tc>
          <w:tcPr>
            <w:tcW w:w="1758" w:type="dxa"/>
          </w:tcPr>
          <w:p w:rsidR="00E835B7" w:rsidRPr="00EC2586" w:rsidRDefault="00E835B7" w:rsidP="00EC2586">
            <w:pPr>
              <w:pStyle w:val="Tabletext"/>
              <w:tabs>
                <w:tab w:val="decimal" w:pos="765"/>
              </w:tabs>
            </w:pPr>
            <w:r w:rsidRPr="00EC2586">
              <w:t>19.7</w:t>
            </w:r>
          </w:p>
        </w:tc>
      </w:tr>
      <w:tr w:rsidR="00E835B7" w:rsidRPr="00EC2586" w:rsidTr="00EC2586">
        <w:tc>
          <w:tcPr>
            <w:tcW w:w="1757" w:type="dxa"/>
          </w:tcPr>
          <w:p w:rsidR="00E835B7" w:rsidRPr="00EC2586" w:rsidRDefault="00E835B7" w:rsidP="00EC2586">
            <w:pPr>
              <w:pStyle w:val="Tabletext"/>
            </w:pPr>
            <w:r w:rsidRPr="00EC2586">
              <w:t>4</w:t>
            </w:r>
          </w:p>
        </w:tc>
        <w:tc>
          <w:tcPr>
            <w:tcW w:w="1758" w:type="dxa"/>
          </w:tcPr>
          <w:p w:rsidR="00E835B7" w:rsidRPr="00EC2586" w:rsidRDefault="00BC31AF" w:rsidP="00EC2586">
            <w:pPr>
              <w:pStyle w:val="Tabletext"/>
              <w:tabs>
                <w:tab w:val="decimal" w:pos="765"/>
              </w:tabs>
            </w:pPr>
            <w:r w:rsidRPr="00EC2586">
              <w:t>19.7</w:t>
            </w:r>
          </w:p>
        </w:tc>
        <w:tc>
          <w:tcPr>
            <w:tcW w:w="1758" w:type="dxa"/>
          </w:tcPr>
          <w:p w:rsidR="00E835B7" w:rsidRPr="00EC2586" w:rsidRDefault="00E835B7" w:rsidP="00EC2586">
            <w:pPr>
              <w:pStyle w:val="Tabletext"/>
              <w:tabs>
                <w:tab w:val="decimal" w:pos="765"/>
              </w:tabs>
            </w:pPr>
            <w:r w:rsidRPr="00EC2586">
              <w:t>19.7</w:t>
            </w:r>
          </w:p>
        </w:tc>
        <w:tc>
          <w:tcPr>
            <w:tcW w:w="1758" w:type="dxa"/>
          </w:tcPr>
          <w:p w:rsidR="00E835B7" w:rsidRPr="00EC2586" w:rsidRDefault="00BC31AF" w:rsidP="00EC2586">
            <w:pPr>
              <w:pStyle w:val="Tabletext"/>
              <w:tabs>
                <w:tab w:val="decimal" w:pos="765"/>
              </w:tabs>
            </w:pPr>
            <w:r w:rsidRPr="00EC2586">
              <w:t>21.4</w:t>
            </w:r>
          </w:p>
        </w:tc>
        <w:tc>
          <w:tcPr>
            <w:tcW w:w="1758" w:type="dxa"/>
          </w:tcPr>
          <w:p w:rsidR="00E835B7" w:rsidRPr="00EC2586" w:rsidRDefault="00BC31AF" w:rsidP="00EC2586">
            <w:pPr>
              <w:pStyle w:val="Tabletext"/>
              <w:tabs>
                <w:tab w:val="decimal" w:pos="765"/>
              </w:tabs>
            </w:pPr>
            <w:r w:rsidRPr="00EC2586">
              <w:t>21.</w:t>
            </w:r>
            <w:r w:rsidR="00E835B7" w:rsidRPr="00EC2586">
              <w:t>5</w:t>
            </w:r>
          </w:p>
        </w:tc>
      </w:tr>
      <w:tr w:rsidR="00E835B7" w:rsidRPr="00EC2586" w:rsidTr="00EC2586">
        <w:tc>
          <w:tcPr>
            <w:tcW w:w="1757" w:type="dxa"/>
          </w:tcPr>
          <w:p w:rsidR="00E835B7" w:rsidRPr="00EC2586" w:rsidRDefault="00E835B7" w:rsidP="00EC2586">
            <w:pPr>
              <w:pStyle w:val="Tabletext"/>
            </w:pPr>
            <w:r w:rsidRPr="00EC2586">
              <w:t>5</w:t>
            </w:r>
          </w:p>
        </w:tc>
        <w:tc>
          <w:tcPr>
            <w:tcW w:w="1758" w:type="dxa"/>
          </w:tcPr>
          <w:p w:rsidR="00E835B7" w:rsidRPr="00EC2586" w:rsidRDefault="00E835B7" w:rsidP="00EC2586">
            <w:pPr>
              <w:pStyle w:val="Tabletext"/>
              <w:tabs>
                <w:tab w:val="decimal" w:pos="765"/>
              </w:tabs>
            </w:pPr>
            <w:r w:rsidRPr="00EC2586">
              <w:t>19.6</w:t>
            </w:r>
          </w:p>
        </w:tc>
        <w:tc>
          <w:tcPr>
            <w:tcW w:w="1758" w:type="dxa"/>
          </w:tcPr>
          <w:p w:rsidR="00E835B7" w:rsidRPr="00EC2586" w:rsidRDefault="00E835B7" w:rsidP="00EC2586">
            <w:pPr>
              <w:pStyle w:val="Tabletext"/>
              <w:tabs>
                <w:tab w:val="decimal" w:pos="765"/>
              </w:tabs>
            </w:pPr>
            <w:r w:rsidRPr="00EC2586">
              <w:t>19.7</w:t>
            </w:r>
          </w:p>
        </w:tc>
        <w:tc>
          <w:tcPr>
            <w:tcW w:w="1758" w:type="dxa"/>
          </w:tcPr>
          <w:p w:rsidR="00E835B7" w:rsidRPr="00EC2586" w:rsidRDefault="00BC31AF" w:rsidP="00EC2586">
            <w:pPr>
              <w:pStyle w:val="Tabletext"/>
              <w:tabs>
                <w:tab w:val="decimal" w:pos="765"/>
              </w:tabs>
            </w:pPr>
            <w:r w:rsidRPr="00EC2586">
              <w:t>25.7</w:t>
            </w:r>
          </w:p>
        </w:tc>
        <w:tc>
          <w:tcPr>
            <w:tcW w:w="1758" w:type="dxa"/>
          </w:tcPr>
          <w:p w:rsidR="00E835B7" w:rsidRPr="00EC2586" w:rsidRDefault="00E835B7" w:rsidP="00EC2586">
            <w:pPr>
              <w:pStyle w:val="Tabletext"/>
              <w:tabs>
                <w:tab w:val="decimal" w:pos="765"/>
              </w:tabs>
            </w:pPr>
            <w:r w:rsidRPr="00EC2586">
              <w:t>25.4</w:t>
            </w:r>
          </w:p>
        </w:tc>
      </w:tr>
      <w:tr w:rsidR="00E835B7" w:rsidRPr="00EC2586" w:rsidTr="003332D7">
        <w:tc>
          <w:tcPr>
            <w:tcW w:w="1757" w:type="dxa"/>
            <w:tcBorders>
              <w:bottom w:val="single" w:sz="4" w:space="0" w:color="auto"/>
            </w:tcBorders>
          </w:tcPr>
          <w:p w:rsidR="00E835B7" w:rsidRPr="00EC2586" w:rsidRDefault="00E835B7" w:rsidP="00EC2586">
            <w:pPr>
              <w:pStyle w:val="Tabletext"/>
            </w:pPr>
            <w:r w:rsidRPr="00EC2586">
              <w:t>Unknown</w:t>
            </w:r>
          </w:p>
        </w:tc>
        <w:tc>
          <w:tcPr>
            <w:tcW w:w="1758" w:type="dxa"/>
            <w:tcBorders>
              <w:bottom w:val="single" w:sz="4" w:space="0" w:color="auto"/>
            </w:tcBorders>
          </w:tcPr>
          <w:p w:rsidR="00E835B7" w:rsidRPr="00EC2586" w:rsidRDefault="00E835B7" w:rsidP="00EC2586">
            <w:pPr>
              <w:pStyle w:val="Tabletext"/>
              <w:tabs>
                <w:tab w:val="decimal" w:pos="765"/>
              </w:tabs>
            </w:pPr>
            <w:r w:rsidRPr="00EC2586">
              <w:t>1.8</w:t>
            </w:r>
          </w:p>
        </w:tc>
        <w:tc>
          <w:tcPr>
            <w:tcW w:w="1758" w:type="dxa"/>
            <w:tcBorders>
              <w:bottom w:val="single" w:sz="4" w:space="0" w:color="auto"/>
            </w:tcBorders>
          </w:tcPr>
          <w:p w:rsidR="00E835B7" w:rsidRPr="00EC2586" w:rsidRDefault="00BC31AF" w:rsidP="00EC2586">
            <w:pPr>
              <w:pStyle w:val="Tabletext"/>
              <w:tabs>
                <w:tab w:val="decimal" w:pos="765"/>
              </w:tabs>
            </w:pPr>
            <w:r w:rsidRPr="00EC2586">
              <w:t>1.3</w:t>
            </w:r>
          </w:p>
        </w:tc>
        <w:tc>
          <w:tcPr>
            <w:tcW w:w="1758" w:type="dxa"/>
            <w:tcBorders>
              <w:bottom w:val="single" w:sz="4" w:space="0" w:color="auto"/>
            </w:tcBorders>
          </w:tcPr>
          <w:p w:rsidR="00E835B7" w:rsidRPr="00EC2586" w:rsidRDefault="00E835B7" w:rsidP="00EC2586">
            <w:pPr>
              <w:pStyle w:val="Tabletext"/>
              <w:tabs>
                <w:tab w:val="decimal" w:pos="765"/>
              </w:tabs>
            </w:pPr>
            <w:r w:rsidRPr="00EC2586">
              <w:t>15.0</w:t>
            </w:r>
          </w:p>
        </w:tc>
        <w:tc>
          <w:tcPr>
            <w:tcW w:w="1758" w:type="dxa"/>
            <w:tcBorders>
              <w:bottom w:val="single" w:sz="4" w:space="0" w:color="auto"/>
            </w:tcBorders>
          </w:tcPr>
          <w:p w:rsidR="00E835B7" w:rsidRPr="00EC2586" w:rsidRDefault="00E835B7" w:rsidP="00EC2586">
            <w:pPr>
              <w:pStyle w:val="Tabletext"/>
              <w:tabs>
                <w:tab w:val="decimal" w:pos="765"/>
              </w:tabs>
            </w:pPr>
            <w:r w:rsidRPr="00EC2586">
              <w:t>0.0</w:t>
            </w:r>
          </w:p>
        </w:tc>
      </w:tr>
      <w:tr w:rsidR="00E835B7" w:rsidRPr="00EC2586" w:rsidTr="003332D7">
        <w:tc>
          <w:tcPr>
            <w:tcW w:w="1757" w:type="dxa"/>
            <w:tcBorders>
              <w:top w:val="single" w:sz="4" w:space="0" w:color="auto"/>
              <w:bottom w:val="single" w:sz="4" w:space="0" w:color="auto"/>
            </w:tcBorders>
          </w:tcPr>
          <w:p w:rsidR="00E835B7" w:rsidRPr="00EC2586" w:rsidRDefault="00E835B7" w:rsidP="00EC2586">
            <w:pPr>
              <w:pStyle w:val="Tabletext"/>
              <w:rPr>
                <w:b/>
              </w:rPr>
            </w:pPr>
            <w:r w:rsidRPr="00EC2586">
              <w:rPr>
                <w:b/>
              </w:rPr>
              <w:t>Total</w:t>
            </w:r>
          </w:p>
        </w:tc>
        <w:tc>
          <w:tcPr>
            <w:tcW w:w="1758" w:type="dxa"/>
            <w:tcBorders>
              <w:top w:val="single" w:sz="4" w:space="0" w:color="auto"/>
              <w:bottom w:val="single" w:sz="4" w:space="0" w:color="auto"/>
            </w:tcBorders>
          </w:tcPr>
          <w:p w:rsidR="00E835B7" w:rsidRPr="00EC2586" w:rsidRDefault="00BC31AF" w:rsidP="00EC2586">
            <w:pPr>
              <w:pStyle w:val="Tabletext"/>
              <w:tabs>
                <w:tab w:val="decimal" w:pos="765"/>
              </w:tabs>
              <w:rPr>
                <w:b/>
              </w:rPr>
            </w:pPr>
            <w:r w:rsidRPr="00EC2586">
              <w:rPr>
                <w:b/>
              </w:rPr>
              <w:t>100.0</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rPr>
              <w:t>100.0</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rPr>
              <w:t>100.0</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rPr>
              <w:t>100.0</w:t>
            </w:r>
          </w:p>
        </w:tc>
      </w:tr>
    </w:tbl>
    <w:p w:rsidR="0068154E" w:rsidRDefault="0068154E" w:rsidP="00702482">
      <w:pPr>
        <w:pStyle w:val="tabletitle"/>
      </w:pPr>
      <w:bookmarkStart w:id="20" w:name="_Ref366143257"/>
    </w:p>
    <w:p w:rsidR="0068154E" w:rsidRDefault="0068154E" w:rsidP="0068154E">
      <w:pPr>
        <w:pStyle w:val="Text"/>
        <w:rPr>
          <w:rFonts w:ascii="Tahoma" w:hAnsi="Tahoma"/>
          <w:sz w:val="17"/>
        </w:rPr>
      </w:pPr>
      <w:r>
        <w:br w:type="page"/>
      </w:r>
    </w:p>
    <w:p w:rsidR="00702482" w:rsidRPr="00825059" w:rsidRDefault="00702482" w:rsidP="00EC2586">
      <w:pPr>
        <w:pStyle w:val="tabletitle"/>
      </w:pPr>
      <w:bookmarkStart w:id="21" w:name="_Toc383616129"/>
      <w:r w:rsidRPr="00825059">
        <w:lastRenderedPageBreak/>
        <w:t>Table</w:t>
      </w:r>
      <w:r w:rsidR="00E7735D">
        <w:t xml:space="preserve"> </w:t>
      </w:r>
      <w:r w:rsidR="00011EC8">
        <w:t>2</w:t>
      </w:r>
      <w:bookmarkEnd w:id="20"/>
      <w:r w:rsidR="00EC2586">
        <w:tab/>
      </w:r>
      <w:r w:rsidR="00272B26">
        <w:t xml:space="preserve">Quintile distributions, </w:t>
      </w:r>
      <w:r w:rsidR="00901F3F">
        <w:t>Index of Relative Socio-economic Disadvantage</w:t>
      </w:r>
      <w:r w:rsidR="00E24483">
        <w:t>, 2006 and 2011:</w:t>
      </w:r>
      <w:r w:rsidRPr="00825059">
        <w:t xml:space="preserve"> </w:t>
      </w:r>
      <w:r w:rsidR="00E24483">
        <w:t>statistical local area</w:t>
      </w:r>
      <w:bookmarkEnd w:id="21"/>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1758"/>
        <w:gridCol w:w="1758"/>
        <w:gridCol w:w="1758"/>
        <w:gridCol w:w="1758"/>
      </w:tblGrid>
      <w:tr w:rsidR="00EC2586" w:rsidRPr="00EC2586" w:rsidTr="00EC2586">
        <w:tc>
          <w:tcPr>
            <w:tcW w:w="1757" w:type="dxa"/>
            <w:tcBorders>
              <w:top w:val="single" w:sz="4" w:space="0" w:color="auto"/>
            </w:tcBorders>
          </w:tcPr>
          <w:p w:rsidR="00EC2586" w:rsidRPr="00EC2586" w:rsidRDefault="00EC2586" w:rsidP="00EC2586">
            <w:pPr>
              <w:pStyle w:val="Tablehead1"/>
            </w:pPr>
            <w:r w:rsidRPr="00EC2586">
              <w:t>Quintile</w:t>
            </w:r>
          </w:p>
        </w:tc>
        <w:tc>
          <w:tcPr>
            <w:tcW w:w="3516" w:type="dxa"/>
            <w:gridSpan w:val="2"/>
            <w:tcBorders>
              <w:top w:val="single" w:sz="4" w:space="0" w:color="auto"/>
            </w:tcBorders>
          </w:tcPr>
          <w:p w:rsidR="00EC2586" w:rsidRPr="00EC2586" w:rsidRDefault="00EC2586" w:rsidP="00EC2586">
            <w:pPr>
              <w:pStyle w:val="Tablehead1"/>
              <w:jc w:val="center"/>
            </w:pPr>
            <w:r w:rsidRPr="00EC2586">
              <w:t>Geographic region (SLA)</w:t>
            </w:r>
          </w:p>
        </w:tc>
        <w:tc>
          <w:tcPr>
            <w:tcW w:w="3516" w:type="dxa"/>
            <w:gridSpan w:val="2"/>
            <w:tcBorders>
              <w:top w:val="single" w:sz="4" w:space="0" w:color="auto"/>
            </w:tcBorders>
          </w:tcPr>
          <w:p w:rsidR="00EC2586" w:rsidRPr="00EC2586" w:rsidRDefault="00EC2586" w:rsidP="00EC2586">
            <w:pPr>
              <w:pStyle w:val="Tablehead1"/>
              <w:jc w:val="center"/>
            </w:pPr>
            <w:r w:rsidRPr="00EC2586">
              <w:t>Population</w:t>
            </w:r>
          </w:p>
        </w:tc>
      </w:tr>
      <w:tr w:rsidR="00E835B7" w:rsidRPr="00825059" w:rsidTr="00EC2586">
        <w:tc>
          <w:tcPr>
            <w:tcW w:w="1757" w:type="dxa"/>
            <w:tcBorders>
              <w:bottom w:val="single" w:sz="4" w:space="0" w:color="auto"/>
            </w:tcBorders>
          </w:tcPr>
          <w:p w:rsidR="00E835B7" w:rsidRPr="00825059" w:rsidRDefault="00E835B7" w:rsidP="00EC2586">
            <w:pPr>
              <w:pStyle w:val="Tablehead2"/>
            </w:pPr>
          </w:p>
        </w:tc>
        <w:tc>
          <w:tcPr>
            <w:tcW w:w="1758" w:type="dxa"/>
            <w:tcBorders>
              <w:bottom w:val="single" w:sz="4" w:space="0" w:color="auto"/>
            </w:tcBorders>
          </w:tcPr>
          <w:p w:rsidR="00E835B7" w:rsidRPr="00825059" w:rsidRDefault="00E835B7" w:rsidP="00EC2586">
            <w:pPr>
              <w:pStyle w:val="Tablehead2"/>
              <w:jc w:val="center"/>
            </w:pPr>
            <w:r>
              <w:t>2006</w:t>
            </w:r>
          </w:p>
        </w:tc>
        <w:tc>
          <w:tcPr>
            <w:tcW w:w="1758" w:type="dxa"/>
            <w:tcBorders>
              <w:bottom w:val="single" w:sz="4" w:space="0" w:color="auto"/>
            </w:tcBorders>
          </w:tcPr>
          <w:p w:rsidR="00E835B7" w:rsidRPr="00825059" w:rsidRDefault="00E835B7" w:rsidP="00EC2586">
            <w:pPr>
              <w:pStyle w:val="Tablehead2"/>
              <w:jc w:val="center"/>
            </w:pPr>
            <w:r>
              <w:t>2011</w:t>
            </w:r>
          </w:p>
        </w:tc>
        <w:tc>
          <w:tcPr>
            <w:tcW w:w="1758" w:type="dxa"/>
            <w:tcBorders>
              <w:bottom w:val="single" w:sz="4" w:space="0" w:color="auto"/>
            </w:tcBorders>
          </w:tcPr>
          <w:p w:rsidR="00E835B7" w:rsidRPr="00825059" w:rsidRDefault="00E835B7" w:rsidP="00EC2586">
            <w:pPr>
              <w:pStyle w:val="Tablehead2"/>
              <w:jc w:val="center"/>
            </w:pPr>
            <w:r>
              <w:t>2006</w:t>
            </w:r>
          </w:p>
        </w:tc>
        <w:tc>
          <w:tcPr>
            <w:tcW w:w="1758" w:type="dxa"/>
            <w:tcBorders>
              <w:bottom w:val="single" w:sz="4" w:space="0" w:color="auto"/>
            </w:tcBorders>
          </w:tcPr>
          <w:p w:rsidR="00E835B7" w:rsidRPr="00825059" w:rsidRDefault="00E835B7" w:rsidP="00EC2586">
            <w:pPr>
              <w:pStyle w:val="Tablehead2"/>
              <w:jc w:val="center"/>
            </w:pPr>
            <w:r>
              <w:t>2011</w:t>
            </w:r>
          </w:p>
        </w:tc>
      </w:tr>
      <w:tr w:rsidR="00E835B7" w:rsidRPr="00EC2586" w:rsidTr="00EC2586">
        <w:tc>
          <w:tcPr>
            <w:tcW w:w="1757" w:type="dxa"/>
            <w:tcBorders>
              <w:top w:val="single" w:sz="4" w:space="0" w:color="auto"/>
            </w:tcBorders>
          </w:tcPr>
          <w:p w:rsidR="00E835B7" w:rsidRPr="00EC2586" w:rsidRDefault="00E835B7" w:rsidP="00EC2586">
            <w:pPr>
              <w:pStyle w:val="Tabletext"/>
            </w:pPr>
            <w:r w:rsidRPr="00EC2586">
              <w:t>1</w:t>
            </w:r>
          </w:p>
        </w:tc>
        <w:tc>
          <w:tcPr>
            <w:tcW w:w="1758" w:type="dxa"/>
            <w:tcBorders>
              <w:top w:val="single" w:sz="4" w:space="0" w:color="auto"/>
            </w:tcBorders>
          </w:tcPr>
          <w:p w:rsidR="00E835B7" w:rsidRPr="00EC2586" w:rsidRDefault="00E835B7" w:rsidP="00EC2586">
            <w:pPr>
              <w:pStyle w:val="Tabletext"/>
              <w:tabs>
                <w:tab w:val="decimal" w:pos="765"/>
              </w:tabs>
            </w:pPr>
            <w:r w:rsidRPr="00EC2586">
              <w:rPr>
                <w:szCs w:val="22"/>
              </w:rPr>
              <w:t>20.0</w:t>
            </w:r>
          </w:p>
        </w:tc>
        <w:tc>
          <w:tcPr>
            <w:tcW w:w="1758" w:type="dxa"/>
            <w:tcBorders>
              <w:top w:val="single" w:sz="4" w:space="0" w:color="auto"/>
            </w:tcBorders>
          </w:tcPr>
          <w:p w:rsidR="00E835B7" w:rsidRPr="00EC2586" w:rsidRDefault="00BC31AF" w:rsidP="00EC2586">
            <w:pPr>
              <w:pStyle w:val="Tabletext"/>
              <w:tabs>
                <w:tab w:val="decimal" w:pos="765"/>
              </w:tabs>
            </w:pPr>
            <w:r w:rsidRPr="00EC2586">
              <w:rPr>
                <w:szCs w:val="22"/>
              </w:rPr>
              <w:t>20.0</w:t>
            </w:r>
          </w:p>
        </w:tc>
        <w:tc>
          <w:tcPr>
            <w:tcW w:w="1758" w:type="dxa"/>
            <w:tcBorders>
              <w:top w:val="single" w:sz="4" w:space="0" w:color="auto"/>
            </w:tcBorders>
          </w:tcPr>
          <w:p w:rsidR="00E835B7" w:rsidRPr="00EC2586" w:rsidRDefault="00E835B7" w:rsidP="00EC2586">
            <w:pPr>
              <w:pStyle w:val="Tabletext"/>
              <w:tabs>
                <w:tab w:val="decimal" w:pos="765"/>
              </w:tabs>
            </w:pPr>
            <w:r w:rsidRPr="00EC2586">
              <w:t>13.2</w:t>
            </w:r>
          </w:p>
        </w:tc>
        <w:tc>
          <w:tcPr>
            <w:tcW w:w="1758" w:type="dxa"/>
            <w:tcBorders>
              <w:top w:val="single" w:sz="4" w:space="0" w:color="auto"/>
            </w:tcBorders>
          </w:tcPr>
          <w:p w:rsidR="00E835B7" w:rsidRPr="00EC2586" w:rsidRDefault="00BC31AF" w:rsidP="00EC2586">
            <w:pPr>
              <w:pStyle w:val="Tabletext"/>
              <w:tabs>
                <w:tab w:val="decimal" w:pos="765"/>
              </w:tabs>
            </w:pPr>
            <w:r w:rsidRPr="00EC2586">
              <w:t>16.0</w:t>
            </w:r>
          </w:p>
        </w:tc>
      </w:tr>
      <w:tr w:rsidR="00E835B7" w:rsidRPr="00EC2586" w:rsidTr="00EC2586">
        <w:tc>
          <w:tcPr>
            <w:tcW w:w="1757" w:type="dxa"/>
          </w:tcPr>
          <w:p w:rsidR="00E835B7" w:rsidRPr="00EC2586" w:rsidRDefault="00E835B7" w:rsidP="00EC2586">
            <w:pPr>
              <w:pStyle w:val="Tabletext"/>
            </w:pPr>
            <w:r w:rsidRPr="00EC2586">
              <w:t>2</w:t>
            </w:r>
          </w:p>
        </w:tc>
        <w:tc>
          <w:tcPr>
            <w:tcW w:w="1758" w:type="dxa"/>
          </w:tcPr>
          <w:p w:rsidR="00E835B7" w:rsidRPr="00EC2586" w:rsidRDefault="00E835B7" w:rsidP="00EC2586">
            <w:pPr>
              <w:pStyle w:val="Tabletext"/>
              <w:tabs>
                <w:tab w:val="decimal" w:pos="765"/>
              </w:tabs>
            </w:pPr>
            <w:r w:rsidRPr="00EC2586">
              <w:rPr>
                <w:szCs w:val="22"/>
              </w:rPr>
              <w:t>20.0</w:t>
            </w:r>
          </w:p>
        </w:tc>
        <w:tc>
          <w:tcPr>
            <w:tcW w:w="1758" w:type="dxa"/>
          </w:tcPr>
          <w:p w:rsidR="00E835B7" w:rsidRPr="00EC2586" w:rsidRDefault="00E835B7" w:rsidP="00EC2586">
            <w:pPr>
              <w:pStyle w:val="Tabletext"/>
              <w:tabs>
                <w:tab w:val="decimal" w:pos="765"/>
              </w:tabs>
            </w:pPr>
            <w:r w:rsidRPr="00EC2586">
              <w:rPr>
                <w:szCs w:val="22"/>
              </w:rPr>
              <w:t>20.0</w:t>
            </w:r>
          </w:p>
        </w:tc>
        <w:tc>
          <w:tcPr>
            <w:tcW w:w="1758" w:type="dxa"/>
          </w:tcPr>
          <w:p w:rsidR="00E835B7" w:rsidRPr="00EC2586" w:rsidRDefault="00BC31AF" w:rsidP="00EC2586">
            <w:pPr>
              <w:pStyle w:val="Tabletext"/>
              <w:tabs>
                <w:tab w:val="decimal" w:pos="765"/>
              </w:tabs>
            </w:pPr>
            <w:r w:rsidRPr="00EC2586">
              <w:t>21.8</w:t>
            </w:r>
          </w:p>
        </w:tc>
        <w:tc>
          <w:tcPr>
            <w:tcW w:w="1758" w:type="dxa"/>
          </w:tcPr>
          <w:p w:rsidR="00E835B7" w:rsidRPr="00EC2586" w:rsidRDefault="00E835B7" w:rsidP="00EC2586">
            <w:pPr>
              <w:pStyle w:val="Tabletext"/>
              <w:tabs>
                <w:tab w:val="decimal" w:pos="765"/>
              </w:tabs>
            </w:pPr>
            <w:r w:rsidRPr="00EC2586">
              <w:t>20.6</w:t>
            </w:r>
          </w:p>
        </w:tc>
      </w:tr>
      <w:tr w:rsidR="00E835B7" w:rsidRPr="00EC2586" w:rsidTr="00EC2586">
        <w:tc>
          <w:tcPr>
            <w:tcW w:w="1757" w:type="dxa"/>
          </w:tcPr>
          <w:p w:rsidR="00E835B7" w:rsidRPr="00EC2586" w:rsidRDefault="00E835B7" w:rsidP="00EC2586">
            <w:pPr>
              <w:pStyle w:val="Tabletext"/>
            </w:pPr>
            <w:r w:rsidRPr="00EC2586">
              <w:t>3</w:t>
            </w:r>
          </w:p>
        </w:tc>
        <w:tc>
          <w:tcPr>
            <w:tcW w:w="1758" w:type="dxa"/>
          </w:tcPr>
          <w:p w:rsidR="00E835B7" w:rsidRPr="00EC2586" w:rsidRDefault="00E835B7" w:rsidP="00EC2586">
            <w:pPr>
              <w:pStyle w:val="Tabletext"/>
              <w:tabs>
                <w:tab w:val="decimal" w:pos="765"/>
              </w:tabs>
            </w:pPr>
            <w:r w:rsidRPr="00EC2586">
              <w:rPr>
                <w:szCs w:val="22"/>
              </w:rPr>
              <w:t>20.0</w:t>
            </w:r>
          </w:p>
        </w:tc>
        <w:tc>
          <w:tcPr>
            <w:tcW w:w="1758" w:type="dxa"/>
          </w:tcPr>
          <w:p w:rsidR="00E835B7" w:rsidRPr="00EC2586" w:rsidRDefault="00E835B7" w:rsidP="00EC2586">
            <w:pPr>
              <w:pStyle w:val="Tabletext"/>
              <w:tabs>
                <w:tab w:val="decimal" w:pos="765"/>
              </w:tabs>
            </w:pPr>
            <w:r w:rsidRPr="00EC2586">
              <w:rPr>
                <w:szCs w:val="22"/>
              </w:rPr>
              <w:t>20.0</w:t>
            </w:r>
          </w:p>
        </w:tc>
        <w:tc>
          <w:tcPr>
            <w:tcW w:w="1758" w:type="dxa"/>
          </w:tcPr>
          <w:p w:rsidR="00E835B7" w:rsidRPr="00EC2586" w:rsidRDefault="00E835B7" w:rsidP="00EC2586">
            <w:pPr>
              <w:pStyle w:val="Tabletext"/>
              <w:tabs>
                <w:tab w:val="decimal" w:pos="765"/>
              </w:tabs>
            </w:pPr>
            <w:r w:rsidRPr="00EC2586">
              <w:t>20.4</w:t>
            </w:r>
          </w:p>
        </w:tc>
        <w:tc>
          <w:tcPr>
            <w:tcW w:w="1758" w:type="dxa"/>
          </w:tcPr>
          <w:p w:rsidR="00E835B7" w:rsidRPr="00EC2586" w:rsidRDefault="00BC31AF" w:rsidP="00EC2586">
            <w:pPr>
              <w:pStyle w:val="Tabletext"/>
              <w:tabs>
                <w:tab w:val="decimal" w:pos="765"/>
              </w:tabs>
            </w:pPr>
            <w:r w:rsidRPr="00EC2586">
              <w:t>20.1</w:t>
            </w:r>
          </w:p>
        </w:tc>
      </w:tr>
      <w:tr w:rsidR="00E835B7" w:rsidRPr="00EC2586" w:rsidTr="00EC2586">
        <w:tc>
          <w:tcPr>
            <w:tcW w:w="1757" w:type="dxa"/>
          </w:tcPr>
          <w:p w:rsidR="00E835B7" w:rsidRPr="00EC2586" w:rsidRDefault="00E835B7" w:rsidP="00EC2586">
            <w:pPr>
              <w:pStyle w:val="Tabletext"/>
            </w:pPr>
            <w:r w:rsidRPr="00EC2586">
              <w:t>4</w:t>
            </w:r>
          </w:p>
        </w:tc>
        <w:tc>
          <w:tcPr>
            <w:tcW w:w="1758" w:type="dxa"/>
          </w:tcPr>
          <w:p w:rsidR="00E835B7" w:rsidRPr="00EC2586" w:rsidRDefault="00E835B7" w:rsidP="00EC2586">
            <w:pPr>
              <w:pStyle w:val="Tabletext"/>
              <w:tabs>
                <w:tab w:val="decimal" w:pos="765"/>
              </w:tabs>
            </w:pPr>
            <w:r w:rsidRPr="00EC2586">
              <w:rPr>
                <w:szCs w:val="22"/>
              </w:rPr>
              <w:t>20.0</w:t>
            </w:r>
          </w:p>
        </w:tc>
        <w:tc>
          <w:tcPr>
            <w:tcW w:w="1758" w:type="dxa"/>
          </w:tcPr>
          <w:p w:rsidR="00E835B7" w:rsidRPr="00EC2586" w:rsidRDefault="00E835B7" w:rsidP="00EC2586">
            <w:pPr>
              <w:pStyle w:val="Tabletext"/>
              <w:tabs>
                <w:tab w:val="decimal" w:pos="765"/>
              </w:tabs>
            </w:pPr>
            <w:r w:rsidRPr="00EC2586">
              <w:rPr>
                <w:szCs w:val="22"/>
              </w:rPr>
              <w:t>20.0</w:t>
            </w:r>
          </w:p>
        </w:tc>
        <w:tc>
          <w:tcPr>
            <w:tcW w:w="1758" w:type="dxa"/>
          </w:tcPr>
          <w:p w:rsidR="00E835B7" w:rsidRPr="00EC2586" w:rsidRDefault="00E835B7" w:rsidP="00EC2586">
            <w:pPr>
              <w:pStyle w:val="Tabletext"/>
              <w:tabs>
                <w:tab w:val="decimal" w:pos="765"/>
              </w:tabs>
            </w:pPr>
            <w:r w:rsidRPr="00EC2586">
              <w:t>22.9</w:t>
            </w:r>
          </w:p>
        </w:tc>
        <w:tc>
          <w:tcPr>
            <w:tcW w:w="1758" w:type="dxa"/>
          </w:tcPr>
          <w:p w:rsidR="00E835B7" w:rsidRPr="00EC2586" w:rsidRDefault="00E835B7" w:rsidP="00EC2586">
            <w:pPr>
              <w:pStyle w:val="Tabletext"/>
              <w:tabs>
                <w:tab w:val="decimal" w:pos="765"/>
              </w:tabs>
            </w:pPr>
            <w:r w:rsidRPr="00EC2586">
              <w:t>23.9</w:t>
            </w:r>
          </w:p>
        </w:tc>
      </w:tr>
      <w:tr w:rsidR="00E835B7" w:rsidRPr="00EC2586" w:rsidTr="003332D7">
        <w:tc>
          <w:tcPr>
            <w:tcW w:w="1757" w:type="dxa"/>
            <w:tcBorders>
              <w:bottom w:val="single" w:sz="4" w:space="0" w:color="auto"/>
            </w:tcBorders>
          </w:tcPr>
          <w:p w:rsidR="00E835B7" w:rsidRPr="00EC2586" w:rsidRDefault="00E835B7" w:rsidP="00EC2586">
            <w:pPr>
              <w:pStyle w:val="Tabletext"/>
            </w:pPr>
            <w:r w:rsidRPr="00EC2586">
              <w:t>5</w:t>
            </w:r>
          </w:p>
        </w:tc>
        <w:tc>
          <w:tcPr>
            <w:tcW w:w="1758" w:type="dxa"/>
            <w:tcBorders>
              <w:bottom w:val="single" w:sz="4" w:space="0" w:color="auto"/>
            </w:tcBorders>
          </w:tcPr>
          <w:p w:rsidR="00E835B7" w:rsidRPr="00EC2586" w:rsidRDefault="00E835B7" w:rsidP="00EC2586">
            <w:pPr>
              <w:pStyle w:val="Tabletext"/>
              <w:tabs>
                <w:tab w:val="decimal" w:pos="765"/>
              </w:tabs>
            </w:pPr>
            <w:r w:rsidRPr="00EC2586">
              <w:rPr>
                <w:szCs w:val="22"/>
              </w:rPr>
              <w:t>20.0</w:t>
            </w:r>
          </w:p>
        </w:tc>
        <w:tc>
          <w:tcPr>
            <w:tcW w:w="1758" w:type="dxa"/>
            <w:tcBorders>
              <w:bottom w:val="single" w:sz="4" w:space="0" w:color="auto"/>
            </w:tcBorders>
          </w:tcPr>
          <w:p w:rsidR="00E835B7" w:rsidRPr="00EC2586" w:rsidRDefault="00BC31AF" w:rsidP="00EC2586">
            <w:pPr>
              <w:pStyle w:val="Tabletext"/>
              <w:tabs>
                <w:tab w:val="decimal" w:pos="765"/>
              </w:tabs>
            </w:pPr>
            <w:r w:rsidRPr="00EC2586">
              <w:rPr>
                <w:szCs w:val="22"/>
              </w:rPr>
              <w:t>20.0</w:t>
            </w:r>
          </w:p>
        </w:tc>
        <w:tc>
          <w:tcPr>
            <w:tcW w:w="1758" w:type="dxa"/>
            <w:tcBorders>
              <w:bottom w:val="single" w:sz="4" w:space="0" w:color="auto"/>
            </w:tcBorders>
          </w:tcPr>
          <w:p w:rsidR="00E835B7" w:rsidRPr="00EC2586" w:rsidRDefault="00E835B7" w:rsidP="00EC2586">
            <w:pPr>
              <w:pStyle w:val="Tabletext"/>
              <w:tabs>
                <w:tab w:val="decimal" w:pos="765"/>
              </w:tabs>
            </w:pPr>
            <w:r w:rsidRPr="00EC2586">
              <w:t>21.7</w:t>
            </w:r>
          </w:p>
        </w:tc>
        <w:tc>
          <w:tcPr>
            <w:tcW w:w="1758" w:type="dxa"/>
            <w:tcBorders>
              <w:bottom w:val="single" w:sz="4" w:space="0" w:color="auto"/>
            </w:tcBorders>
          </w:tcPr>
          <w:p w:rsidR="00E835B7" w:rsidRPr="00EC2586" w:rsidRDefault="00BC31AF" w:rsidP="00EC2586">
            <w:pPr>
              <w:pStyle w:val="Tabletext"/>
              <w:tabs>
                <w:tab w:val="decimal" w:pos="765"/>
              </w:tabs>
            </w:pPr>
            <w:r w:rsidRPr="00EC2586">
              <w:t>19.5</w:t>
            </w:r>
          </w:p>
        </w:tc>
      </w:tr>
      <w:tr w:rsidR="00E835B7" w:rsidRPr="00EC2586" w:rsidTr="003332D7">
        <w:tc>
          <w:tcPr>
            <w:tcW w:w="1757" w:type="dxa"/>
            <w:tcBorders>
              <w:top w:val="single" w:sz="4" w:space="0" w:color="auto"/>
              <w:bottom w:val="single" w:sz="4" w:space="0" w:color="auto"/>
            </w:tcBorders>
          </w:tcPr>
          <w:p w:rsidR="00E835B7" w:rsidRPr="00EC2586" w:rsidRDefault="00E835B7" w:rsidP="00EC2586">
            <w:pPr>
              <w:pStyle w:val="Tabletext"/>
              <w:rPr>
                <w:b/>
              </w:rPr>
            </w:pPr>
            <w:r w:rsidRPr="00EC2586">
              <w:rPr>
                <w:b/>
              </w:rPr>
              <w:t>Total</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szCs w:val="22"/>
              </w:rPr>
              <w:t>100.0</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szCs w:val="22"/>
              </w:rPr>
              <w:t>100.0</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szCs w:val="22"/>
              </w:rPr>
              <w:t>100.0</w:t>
            </w:r>
          </w:p>
        </w:tc>
        <w:tc>
          <w:tcPr>
            <w:tcW w:w="1758" w:type="dxa"/>
            <w:tcBorders>
              <w:top w:val="single" w:sz="4" w:space="0" w:color="auto"/>
              <w:bottom w:val="single" w:sz="4" w:space="0" w:color="auto"/>
            </w:tcBorders>
          </w:tcPr>
          <w:p w:rsidR="00E835B7" w:rsidRPr="00EC2586" w:rsidRDefault="00E835B7" w:rsidP="00EC2586">
            <w:pPr>
              <w:pStyle w:val="Tabletext"/>
              <w:tabs>
                <w:tab w:val="decimal" w:pos="765"/>
              </w:tabs>
              <w:rPr>
                <w:b/>
              </w:rPr>
            </w:pPr>
            <w:r w:rsidRPr="00EC2586">
              <w:rPr>
                <w:b/>
                <w:szCs w:val="22"/>
              </w:rPr>
              <w:t>100.0</w:t>
            </w:r>
          </w:p>
        </w:tc>
      </w:tr>
    </w:tbl>
    <w:p w:rsidR="00FD279C" w:rsidRPr="003919AF" w:rsidRDefault="0080262C" w:rsidP="003919AF">
      <w:pPr>
        <w:pStyle w:val="Textmorebefore"/>
      </w:pPr>
      <w:r>
        <w:t>In particular, we observe that there is</w:t>
      </w:r>
      <w:r w:rsidR="00011EC8">
        <w:t xml:space="preserve"> </w:t>
      </w:r>
      <w:r w:rsidR="00060966">
        <w:t>an</w:t>
      </w:r>
      <w:r w:rsidR="00011EC8">
        <w:t xml:space="preserve"> un</w:t>
      </w:r>
      <w:r>
        <w:t>equal spread of the Australian population across the five</w:t>
      </w:r>
      <w:r w:rsidR="003919AF">
        <w:t> </w:t>
      </w:r>
      <w:r>
        <w:t xml:space="preserve">quintiles. There are </w:t>
      </w:r>
      <w:r w:rsidR="00E24483">
        <w:t>fewer</w:t>
      </w:r>
      <w:r>
        <w:t xml:space="preserve"> people in the </w:t>
      </w:r>
      <w:r w:rsidRPr="003919AF">
        <w:t>most disadvantaged (quintil</w:t>
      </w:r>
      <w:r w:rsidR="00EA5E57" w:rsidRPr="003919AF">
        <w:t>e 1) quintile</w:t>
      </w:r>
      <w:r w:rsidRPr="003919AF">
        <w:t xml:space="preserve"> than in the </w:t>
      </w:r>
      <w:r w:rsidR="00522237" w:rsidRPr="003919AF">
        <w:t>other quintiles</w:t>
      </w:r>
      <w:r w:rsidRPr="003919AF">
        <w:t xml:space="preserve">. </w:t>
      </w:r>
    </w:p>
    <w:p w:rsidR="007C13EC" w:rsidRPr="003919AF" w:rsidRDefault="001F70CB" w:rsidP="003919AF">
      <w:pPr>
        <w:pStyle w:val="Text"/>
        <w:ind w:right="-143"/>
      </w:pPr>
      <w:r w:rsidRPr="003919AF">
        <w:t xml:space="preserve">Typically, </w:t>
      </w:r>
      <w:r w:rsidR="00EA5E57" w:rsidRPr="003919AF">
        <w:t xml:space="preserve">an </w:t>
      </w:r>
      <w:r w:rsidRPr="003919AF">
        <w:t xml:space="preserve">analysis of educational participation by </w:t>
      </w:r>
      <w:r w:rsidR="00E24483" w:rsidRPr="003919AF">
        <w:t>socioeconomic status</w:t>
      </w:r>
      <w:r w:rsidRPr="003919AF">
        <w:t xml:space="preserve"> assigns each student a SEIFA quintile and then looks at the distribution of students across the quintiles</w:t>
      </w:r>
      <w:r w:rsidR="00E24483" w:rsidRPr="003919AF">
        <w:t>.</w:t>
      </w:r>
      <w:r w:rsidR="004D71B6" w:rsidRPr="003919AF">
        <w:rPr>
          <w:rStyle w:val="FootnoteReference"/>
        </w:rPr>
        <w:footnoteReference w:id="3"/>
      </w:r>
      <w:r w:rsidRPr="003919AF">
        <w:t xml:space="preserve"> </w:t>
      </w:r>
      <w:r w:rsidR="00060FF3" w:rsidRPr="003919AF">
        <w:t>The</w:t>
      </w:r>
      <w:r w:rsidRPr="003919AF">
        <w:t xml:space="preserve"> underlying assumption</w:t>
      </w:r>
      <w:r w:rsidR="00060FF3" w:rsidRPr="003919AF">
        <w:t xml:space="preserve"> in this analysis is that</w:t>
      </w:r>
      <w:r w:rsidRPr="003919AF">
        <w:t xml:space="preserve"> if a SEIFA </w:t>
      </w:r>
      <w:r w:rsidR="00E654C4">
        <w:t>‘</w:t>
      </w:r>
      <w:r w:rsidRPr="003919AF">
        <w:t>quintile</w:t>
      </w:r>
      <w:r w:rsidR="00E654C4">
        <w:t>’</w:t>
      </w:r>
      <w:r w:rsidR="00E24483" w:rsidRPr="003919AF">
        <w:t xml:space="preserve"> has less (more) than 20%</w:t>
      </w:r>
      <w:r w:rsidRPr="003919AF">
        <w:t xml:space="preserve"> of students</w:t>
      </w:r>
      <w:r w:rsidR="0010667D" w:rsidRPr="003919AF">
        <w:t>,</w:t>
      </w:r>
      <w:r w:rsidRPr="003919AF">
        <w:t xml:space="preserve"> th</w:t>
      </w:r>
      <w:r w:rsidR="00060FF3" w:rsidRPr="003919AF">
        <w:t>e</w:t>
      </w:r>
      <w:r w:rsidRPr="003919AF">
        <w:t>n that SES group is under-represented (over-represented). However, we have seen</w:t>
      </w:r>
      <w:r w:rsidR="00060FF3" w:rsidRPr="003919AF">
        <w:t xml:space="preserve"> from the above</w:t>
      </w:r>
      <w:r w:rsidRPr="003919AF">
        <w:t xml:space="preserve"> that th</w:t>
      </w:r>
      <w:r w:rsidR="00060FF3" w:rsidRPr="003919AF">
        <w:t>e overall Australian population is not equally distributed across the five quintiles</w:t>
      </w:r>
      <w:r w:rsidR="007C13EC" w:rsidRPr="003919AF">
        <w:t>, and thus lower quintiles will always be under-represented and higher quintiles always over-represented</w:t>
      </w:r>
      <w:r w:rsidR="0010667D" w:rsidRPr="003919AF">
        <w:t>,</w:t>
      </w:r>
      <w:r w:rsidR="007C13EC" w:rsidRPr="003919AF">
        <w:t xml:space="preserve"> simply by construction.</w:t>
      </w:r>
      <w:r w:rsidR="00060FF3" w:rsidRPr="003919AF">
        <w:t xml:space="preserve"> </w:t>
      </w:r>
      <w:r w:rsidR="007C13EC" w:rsidRPr="003919AF">
        <w:t>Any</w:t>
      </w:r>
      <w:r w:rsidR="003919AF">
        <w:t> </w:t>
      </w:r>
      <w:r w:rsidR="00060FF3" w:rsidRPr="003919AF">
        <w:t>analysis</w:t>
      </w:r>
      <w:r w:rsidR="007C13EC" w:rsidRPr="003919AF">
        <w:t xml:space="preserve"> of education participation</w:t>
      </w:r>
      <w:r w:rsidR="00060FF3" w:rsidRPr="003919AF">
        <w:t xml:space="preserve"> should</w:t>
      </w:r>
      <w:r w:rsidR="007C13EC" w:rsidRPr="003919AF">
        <w:t xml:space="preserve"> therefore</w:t>
      </w:r>
      <w:r w:rsidR="00060FF3" w:rsidRPr="003919AF">
        <w:t xml:space="preserve"> compare </w:t>
      </w:r>
      <w:r w:rsidR="007C13EC" w:rsidRPr="003919AF">
        <w:t>participation as a proportion of the size of the relevant quintile.</w:t>
      </w:r>
      <w:r w:rsidRPr="003919AF">
        <w:t xml:space="preserve"> </w:t>
      </w:r>
      <w:r w:rsidR="00B87C8C" w:rsidRPr="003919AF">
        <w:t xml:space="preserve">Further, it should be noted that this issue would not disappear even if the quintiles lined up precisely with the Australian population. This is </w:t>
      </w:r>
      <w:r w:rsidR="00A54A85" w:rsidRPr="003919AF">
        <w:t>because</w:t>
      </w:r>
      <w:r w:rsidR="00B87C8C" w:rsidRPr="003919AF">
        <w:t xml:space="preserve"> educational participation is </w:t>
      </w:r>
      <w:r w:rsidR="00A54A85" w:rsidRPr="003919AF">
        <w:t>measured</w:t>
      </w:r>
      <w:r w:rsidR="00B87C8C" w:rsidRPr="003919AF">
        <w:t xml:space="preserve"> in </w:t>
      </w:r>
      <w:r w:rsidR="00E83317">
        <w:t>relation to</w:t>
      </w:r>
      <w:r w:rsidR="00B87C8C" w:rsidRPr="003919AF">
        <w:t xml:space="preserve"> speci</w:t>
      </w:r>
      <w:r w:rsidR="0010667D" w:rsidRPr="003919AF">
        <w:t>fic age groups (for example, 15—</w:t>
      </w:r>
      <w:r w:rsidR="00B87C8C" w:rsidRPr="003919AF">
        <w:t xml:space="preserve">19 years) and the geographic distribution of a </w:t>
      </w:r>
      <w:r w:rsidR="00A54A85" w:rsidRPr="003919AF">
        <w:t>particular</w:t>
      </w:r>
      <w:r w:rsidR="00B87C8C" w:rsidRPr="003919AF">
        <w:t xml:space="preserve"> age group will differ from that of the whole population.</w:t>
      </w:r>
    </w:p>
    <w:p w:rsidR="00B87C8C" w:rsidRDefault="00B87C8C" w:rsidP="003919AF">
      <w:pPr>
        <w:pStyle w:val="Text"/>
      </w:pPr>
      <w:r w:rsidRPr="003919AF">
        <w:t xml:space="preserve">Table </w:t>
      </w:r>
      <w:r w:rsidR="00635885" w:rsidRPr="003919AF">
        <w:t>3</w:t>
      </w:r>
      <w:r w:rsidRPr="003919AF">
        <w:t xml:space="preserve"> shows how the population distributions</w:t>
      </w:r>
      <w:r>
        <w:t xml:space="preserve"> across SES quintiles vary by age</w:t>
      </w:r>
      <w:r w:rsidR="006763F5">
        <w:t xml:space="preserve">. </w:t>
      </w:r>
      <w:r w:rsidR="004D71B6">
        <w:t>T</w:t>
      </w:r>
      <w:r w:rsidR="006763F5">
        <w:t xml:space="preserve">he table also shows that the distributions depend on the </w:t>
      </w:r>
      <w:r w:rsidR="00A54A85">
        <w:t>geographic</w:t>
      </w:r>
      <w:r w:rsidR="006763F5">
        <w:t xml:space="preserve"> unit, again emphasising the importance of using participation rates.</w:t>
      </w:r>
    </w:p>
    <w:p w:rsidR="006763F5" w:rsidRDefault="006763F5" w:rsidP="003919AF">
      <w:pPr>
        <w:pStyle w:val="tabletitle"/>
      </w:pPr>
      <w:bookmarkStart w:id="22" w:name="_Toc383616130"/>
      <w:r>
        <w:t xml:space="preserve">Table </w:t>
      </w:r>
      <w:r w:rsidR="00635885">
        <w:t>3</w:t>
      </w:r>
      <w:r w:rsidR="003919AF">
        <w:tab/>
      </w:r>
      <w:r>
        <w:t xml:space="preserve">Population distribution by SEIFA </w:t>
      </w:r>
      <w:r w:rsidR="00901F3F">
        <w:t>Index of Relative Socio-economic Disadvantage</w:t>
      </w:r>
      <w:r>
        <w:t xml:space="preserve"> </w:t>
      </w:r>
      <w:r w:rsidR="0010667D">
        <w:t xml:space="preserve">postal </w:t>
      </w:r>
      <w:r w:rsidR="00901F3F">
        <w:t>area</w:t>
      </w:r>
      <w:r>
        <w:t xml:space="preserve"> and </w:t>
      </w:r>
      <w:r w:rsidR="0010667D">
        <w:t>statistical local area</w:t>
      </w:r>
      <w:r w:rsidR="00EA5E57">
        <w:t>, 2006</w:t>
      </w:r>
      <w:bookmarkEnd w:id="22"/>
    </w:p>
    <w:tbl>
      <w:tblPr>
        <w:tblW w:w="8789" w:type="dxa"/>
        <w:tblInd w:w="93" w:type="dxa"/>
        <w:tblLayout w:type="fixed"/>
        <w:tblLook w:val="04A0" w:firstRow="1" w:lastRow="0" w:firstColumn="1" w:lastColumn="0" w:noHBand="0" w:noVBand="1"/>
      </w:tblPr>
      <w:tblGrid>
        <w:gridCol w:w="1255"/>
        <w:gridCol w:w="1256"/>
        <w:gridCol w:w="1255"/>
        <w:gridCol w:w="1256"/>
        <w:gridCol w:w="1255"/>
        <w:gridCol w:w="1256"/>
        <w:gridCol w:w="1256"/>
      </w:tblGrid>
      <w:tr w:rsidR="003919AF" w:rsidRPr="003919AF" w:rsidTr="003919AF">
        <w:tc>
          <w:tcPr>
            <w:tcW w:w="1255" w:type="dxa"/>
            <w:tcBorders>
              <w:top w:val="single" w:sz="4" w:space="0" w:color="auto"/>
              <w:left w:val="nil"/>
              <w:bottom w:val="nil"/>
              <w:right w:val="nil"/>
            </w:tcBorders>
            <w:shd w:val="clear" w:color="auto" w:fill="auto"/>
            <w:noWrap/>
            <w:hideMark/>
          </w:tcPr>
          <w:p w:rsidR="003919AF" w:rsidRPr="003919AF" w:rsidRDefault="003919AF" w:rsidP="003919AF">
            <w:pPr>
              <w:pStyle w:val="Tablehead1"/>
            </w:pPr>
            <w:r w:rsidRPr="003919AF">
              <w:t> Quintile</w:t>
            </w:r>
          </w:p>
        </w:tc>
        <w:tc>
          <w:tcPr>
            <w:tcW w:w="2511" w:type="dxa"/>
            <w:gridSpan w:val="2"/>
            <w:tcBorders>
              <w:top w:val="single" w:sz="4" w:space="0" w:color="auto"/>
              <w:left w:val="nil"/>
              <w:bottom w:val="nil"/>
              <w:right w:val="nil"/>
            </w:tcBorders>
            <w:shd w:val="clear" w:color="auto" w:fill="auto"/>
            <w:noWrap/>
            <w:hideMark/>
          </w:tcPr>
          <w:p w:rsidR="003919AF" w:rsidRPr="003919AF" w:rsidRDefault="003919AF" w:rsidP="003919AF">
            <w:pPr>
              <w:pStyle w:val="Tablehead1"/>
              <w:jc w:val="center"/>
            </w:pPr>
            <w:r w:rsidRPr="003919AF">
              <w:t>15 to 19-year-olds</w:t>
            </w:r>
          </w:p>
        </w:tc>
        <w:tc>
          <w:tcPr>
            <w:tcW w:w="2511" w:type="dxa"/>
            <w:gridSpan w:val="2"/>
            <w:tcBorders>
              <w:top w:val="single" w:sz="4" w:space="0" w:color="auto"/>
              <w:left w:val="nil"/>
              <w:bottom w:val="nil"/>
              <w:right w:val="nil"/>
            </w:tcBorders>
            <w:shd w:val="clear" w:color="auto" w:fill="auto"/>
            <w:noWrap/>
            <w:hideMark/>
          </w:tcPr>
          <w:p w:rsidR="003919AF" w:rsidRPr="003919AF" w:rsidRDefault="003919AF" w:rsidP="003919AF">
            <w:pPr>
              <w:pStyle w:val="Tablehead1"/>
              <w:jc w:val="center"/>
            </w:pPr>
            <w:r w:rsidRPr="003919AF">
              <w:t>20 to 24-year-olds</w:t>
            </w:r>
          </w:p>
        </w:tc>
        <w:tc>
          <w:tcPr>
            <w:tcW w:w="2512" w:type="dxa"/>
            <w:gridSpan w:val="2"/>
            <w:tcBorders>
              <w:top w:val="single" w:sz="4" w:space="0" w:color="auto"/>
              <w:left w:val="nil"/>
              <w:bottom w:val="nil"/>
              <w:right w:val="nil"/>
            </w:tcBorders>
            <w:shd w:val="clear" w:color="auto" w:fill="auto"/>
            <w:noWrap/>
            <w:hideMark/>
          </w:tcPr>
          <w:p w:rsidR="003919AF" w:rsidRPr="003919AF" w:rsidRDefault="003919AF" w:rsidP="003919AF">
            <w:pPr>
              <w:pStyle w:val="Tablehead1"/>
              <w:jc w:val="center"/>
            </w:pPr>
            <w:r w:rsidRPr="003919AF">
              <w:t>25 to 64-year-olds</w:t>
            </w:r>
          </w:p>
        </w:tc>
      </w:tr>
      <w:tr w:rsidR="006763F5" w:rsidRPr="0059365E" w:rsidTr="003919AF">
        <w:tc>
          <w:tcPr>
            <w:tcW w:w="1255" w:type="dxa"/>
            <w:tcBorders>
              <w:top w:val="nil"/>
              <w:left w:val="nil"/>
              <w:bottom w:val="single" w:sz="4" w:space="0" w:color="auto"/>
              <w:right w:val="nil"/>
            </w:tcBorders>
            <w:shd w:val="clear" w:color="auto" w:fill="auto"/>
            <w:noWrap/>
            <w:hideMark/>
          </w:tcPr>
          <w:p w:rsidR="006763F5" w:rsidRPr="0059365E" w:rsidRDefault="006763F5" w:rsidP="003919AF">
            <w:pPr>
              <w:pStyle w:val="Tablehead2"/>
            </w:pPr>
          </w:p>
        </w:tc>
        <w:tc>
          <w:tcPr>
            <w:tcW w:w="1256" w:type="dxa"/>
            <w:tcBorders>
              <w:top w:val="nil"/>
              <w:left w:val="nil"/>
              <w:bottom w:val="single" w:sz="4" w:space="0" w:color="auto"/>
              <w:right w:val="nil"/>
            </w:tcBorders>
            <w:shd w:val="clear" w:color="auto" w:fill="auto"/>
            <w:noWrap/>
            <w:hideMark/>
          </w:tcPr>
          <w:p w:rsidR="006763F5" w:rsidRPr="0059365E" w:rsidRDefault="006763F5" w:rsidP="003919AF">
            <w:pPr>
              <w:pStyle w:val="Tablehead2"/>
              <w:jc w:val="center"/>
            </w:pPr>
            <w:r w:rsidRPr="0059365E">
              <w:t>2006 POA</w:t>
            </w:r>
          </w:p>
        </w:tc>
        <w:tc>
          <w:tcPr>
            <w:tcW w:w="1255" w:type="dxa"/>
            <w:tcBorders>
              <w:top w:val="nil"/>
              <w:left w:val="nil"/>
              <w:bottom w:val="single" w:sz="4" w:space="0" w:color="auto"/>
              <w:right w:val="nil"/>
            </w:tcBorders>
            <w:shd w:val="clear" w:color="auto" w:fill="auto"/>
            <w:noWrap/>
            <w:hideMark/>
          </w:tcPr>
          <w:p w:rsidR="006763F5" w:rsidRPr="0059365E" w:rsidRDefault="006763F5" w:rsidP="003919AF">
            <w:pPr>
              <w:pStyle w:val="Tablehead2"/>
              <w:jc w:val="center"/>
            </w:pPr>
            <w:r w:rsidRPr="0059365E">
              <w:t>2006 SLA</w:t>
            </w:r>
          </w:p>
        </w:tc>
        <w:tc>
          <w:tcPr>
            <w:tcW w:w="1256" w:type="dxa"/>
            <w:tcBorders>
              <w:top w:val="nil"/>
              <w:left w:val="nil"/>
              <w:bottom w:val="single" w:sz="4" w:space="0" w:color="auto"/>
              <w:right w:val="nil"/>
            </w:tcBorders>
            <w:shd w:val="clear" w:color="auto" w:fill="auto"/>
            <w:noWrap/>
            <w:hideMark/>
          </w:tcPr>
          <w:p w:rsidR="006763F5" w:rsidRPr="0059365E" w:rsidRDefault="006763F5" w:rsidP="003919AF">
            <w:pPr>
              <w:pStyle w:val="Tablehead2"/>
              <w:jc w:val="center"/>
            </w:pPr>
            <w:r w:rsidRPr="0059365E">
              <w:t>2006 POA</w:t>
            </w:r>
          </w:p>
        </w:tc>
        <w:tc>
          <w:tcPr>
            <w:tcW w:w="1255" w:type="dxa"/>
            <w:tcBorders>
              <w:top w:val="nil"/>
              <w:left w:val="nil"/>
              <w:bottom w:val="single" w:sz="4" w:space="0" w:color="auto"/>
              <w:right w:val="nil"/>
            </w:tcBorders>
            <w:shd w:val="clear" w:color="auto" w:fill="auto"/>
            <w:noWrap/>
            <w:hideMark/>
          </w:tcPr>
          <w:p w:rsidR="006763F5" w:rsidRPr="0059365E" w:rsidRDefault="006763F5" w:rsidP="003919AF">
            <w:pPr>
              <w:pStyle w:val="Tablehead2"/>
              <w:jc w:val="center"/>
            </w:pPr>
            <w:r w:rsidRPr="0059365E">
              <w:t>2006 SLA</w:t>
            </w:r>
          </w:p>
        </w:tc>
        <w:tc>
          <w:tcPr>
            <w:tcW w:w="1256" w:type="dxa"/>
            <w:tcBorders>
              <w:top w:val="nil"/>
              <w:left w:val="nil"/>
              <w:bottom w:val="single" w:sz="4" w:space="0" w:color="auto"/>
              <w:right w:val="nil"/>
            </w:tcBorders>
            <w:shd w:val="clear" w:color="auto" w:fill="auto"/>
            <w:noWrap/>
            <w:hideMark/>
          </w:tcPr>
          <w:p w:rsidR="006763F5" w:rsidRPr="0059365E" w:rsidRDefault="006763F5" w:rsidP="003919AF">
            <w:pPr>
              <w:pStyle w:val="Tablehead2"/>
              <w:jc w:val="center"/>
            </w:pPr>
            <w:r w:rsidRPr="0059365E">
              <w:t>2006 POA</w:t>
            </w:r>
          </w:p>
        </w:tc>
        <w:tc>
          <w:tcPr>
            <w:tcW w:w="1256" w:type="dxa"/>
            <w:tcBorders>
              <w:top w:val="nil"/>
              <w:left w:val="nil"/>
              <w:bottom w:val="single" w:sz="4" w:space="0" w:color="auto"/>
              <w:right w:val="nil"/>
            </w:tcBorders>
            <w:shd w:val="clear" w:color="auto" w:fill="auto"/>
            <w:noWrap/>
            <w:hideMark/>
          </w:tcPr>
          <w:p w:rsidR="006763F5" w:rsidRPr="0059365E" w:rsidRDefault="006763F5" w:rsidP="003919AF">
            <w:pPr>
              <w:pStyle w:val="Tablehead2"/>
              <w:jc w:val="center"/>
            </w:pPr>
            <w:r w:rsidRPr="0059365E">
              <w:t>2006 SLA</w:t>
            </w:r>
          </w:p>
        </w:tc>
      </w:tr>
      <w:tr w:rsidR="00BC31AF" w:rsidRPr="003919AF" w:rsidTr="003919AF">
        <w:tc>
          <w:tcPr>
            <w:tcW w:w="1255" w:type="dxa"/>
            <w:tcBorders>
              <w:top w:val="nil"/>
              <w:left w:val="nil"/>
              <w:bottom w:val="nil"/>
              <w:right w:val="nil"/>
            </w:tcBorders>
            <w:shd w:val="clear" w:color="auto" w:fill="auto"/>
            <w:noWrap/>
            <w:hideMark/>
          </w:tcPr>
          <w:p w:rsidR="00BC31AF" w:rsidRPr="003919AF" w:rsidRDefault="00BC31AF" w:rsidP="003919AF">
            <w:pPr>
              <w:pStyle w:val="Tabletext"/>
            </w:pPr>
            <w:r w:rsidRPr="003919AF">
              <w:t>1</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14.9</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13.3</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14.5</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12.8</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14.4</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12.7</w:t>
            </w:r>
          </w:p>
        </w:tc>
      </w:tr>
      <w:tr w:rsidR="00BC31AF" w:rsidRPr="003919AF" w:rsidTr="003919AF">
        <w:tc>
          <w:tcPr>
            <w:tcW w:w="1255" w:type="dxa"/>
            <w:tcBorders>
              <w:top w:val="nil"/>
              <w:left w:val="nil"/>
              <w:bottom w:val="nil"/>
              <w:right w:val="nil"/>
            </w:tcBorders>
            <w:shd w:val="clear" w:color="auto" w:fill="auto"/>
            <w:noWrap/>
            <w:hideMark/>
          </w:tcPr>
          <w:p w:rsidR="00BC31AF" w:rsidRPr="003919AF" w:rsidRDefault="00BC31AF" w:rsidP="003919AF">
            <w:pPr>
              <w:pStyle w:val="Tabletext"/>
            </w:pPr>
            <w:r w:rsidRPr="003919AF">
              <w:t>2</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17.4</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21.5</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15.8</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20.0</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17.0</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21.0</w:t>
            </w:r>
          </w:p>
        </w:tc>
      </w:tr>
      <w:tr w:rsidR="00BC31AF" w:rsidRPr="003919AF" w:rsidTr="003919AF">
        <w:tc>
          <w:tcPr>
            <w:tcW w:w="1255" w:type="dxa"/>
            <w:tcBorders>
              <w:top w:val="nil"/>
              <w:left w:val="nil"/>
              <w:bottom w:val="nil"/>
              <w:right w:val="nil"/>
            </w:tcBorders>
            <w:shd w:val="clear" w:color="auto" w:fill="auto"/>
            <w:noWrap/>
            <w:hideMark/>
          </w:tcPr>
          <w:p w:rsidR="00BC31AF" w:rsidRPr="003919AF" w:rsidRDefault="00BC31AF" w:rsidP="003919AF">
            <w:pPr>
              <w:pStyle w:val="Tabletext"/>
            </w:pPr>
            <w:r w:rsidRPr="003919AF">
              <w:t>3</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20.2</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20.2</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20.4</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20.1</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20.2</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20.3</w:t>
            </w:r>
          </w:p>
        </w:tc>
      </w:tr>
      <w:tr w:rsidR="00BC31AF" w:rsidRPr="003919AF" w:rsidTr="003919AF">
        <w:tc>
          <w:tcPr>
            <w:tcW w:w="1255" w:type="dxa"/>
            <w:tcBorders>
              <w:top w:val="nil"/>
              <w:left w:val="nil"/>
              <w:bottom w:val="nil"/>
              <w:right w:val="nil"/>
            </w:tcBorders>
            <w:shd w:val="clear" w:color="auto" w:fill="auto"/>
            <w:noWrap/>
            <w:hideMark/>
          </w:tcPr>
          <w:p w:rsidR="00BC31AF" w:rsidRPr="003919AF" w:rsidRDefault="00BC31AF" w:rsidP="003919AF">
            <w:pPr>
              <w:pStyle w:val="Tabletext"/>
            </w:pPr>
            <w:r w:rsidRPr="003919AF">
              <w:t>4</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21.3</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22.9</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22.1</w:t>
            </w:r>
          </w:p>
        </w:tc>
        <w:tc>
          <w:tcPr>
            <w:tcW w:w="1255"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24.1</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21.7</w:t>
            </w:r>
          </w:p>
        </w:tc>
        <w:tc>
          <w:tcPr>
            <w:tcW w:w="1256" w:type="dxa"/>
            <w:tcBorders>
              <w:top w:val="nil"/>
              <w:left w:val="nil"/>
              <w:bottom w:val="nil"/>
              <w:right w:val="nil"/>
            </w:tcBorders>
            <w:shd w:val="clear" w:color="auto" w:fill="auto"/>
            <w:noWrap/>
            <w:hideMark/>
          </w:tcPr>
          <w:p w:rsidR="00BC31AF" w:rsidRPr="003919AF" w:rsidRDefault="00BC31AF" w:rsidP="003919AF">
            <w:pPr>
              <w:pStyle w:val="Tabletext"/>
              <w:tabs>
                <w:tab w:val="decimal" w:pos="510"/>
              </w:tabs>
            </w:pPr>
            <w:r w:rsidRPr="003919AF">
              <w:t>23.3</w:t>
            </w:r>
          </w:p>
        </w:tc>
      </w:tr>
      <w:tr w:rsidR="00BC31AF" w:rsidRPr="003919AF" w:rsidTr="003919AF">
        <w:tc>
          <w:tcPr>
            <w:tcW w:w="1255" w:type="dxa"/>
            <w:tcBorders>
              <w:top w:val="nil"/>
              <w:left w:val="nil"/>
              <w:right w:val="nil"/>
            </w:tcBorders>
            <w:shd w:val="clear" w:color="auto" w:fill="auto"/>
            <w:noWrap/>
            <w:hideMark/>
          </w:tcPr>
          <w:p w:rsidR="00BC31AF" w:rsidRPr="003919AF" w:rsidRDefault="00BC31AF" w:rsidP="003919AF">
            <w:pPr>
              <w:pStyle w:val="Tabletext"/>
            </w:pPr>
            <w:r w:rsidRPr="003919AF">
              <w:t>5</w:t>
            </w:r>
          </w:p>
        </w:tc>
        <w:tc>
          <w:tcPr>
            <w:tcW w:w="1256" w:type="dxa"/>
            <w:tcBorders>
              <w:top w:val="nil"/>
              <w:left w:val="nil"/>
              <w:right w:val="nil"/>
            </w:tcBorders>
            <w:shd w:val="clear" w:color="auto" w:fill="auto"/>
            <w:noWrap/>
            <w:hideMark/>
          </w:tcPr>
          <w:p w:rsidR="00BC31AF" w:rsidRPr="003919AF" w:rsidRDefault="00BC31AF" w:rsidP="003919AF">
            <w:pPr>
              <w:pStyle w:val="Tabletext"/>
              <w:tabs>
                <w:tab w:val="decimal" w:pos="510"/>
              </w:tabs>
            </w:pPr>
            <w:r w:rsidRPr="003919AF">
              <w:t>25.8</w:t>
            </w:r>
          </w:p>
        </w:tc>
        <w:tc>
          <w:tcPr>
            <w:tcW w:w="1255" w:type="dxa"/>
            <w:tcBorders>
              <w:top w:val="nil"/>
              <w:left w:val="nil"/>
              <w:right w:val="nil"/>
            </w:tcBorders>
            <w:shd w:val="clear" w:color="auto" w:fill="auto"/>
            <w:noWrap/>
            <w:hideMark/>
          </w:tcPr>
          <w:p w:rsidR="00BC31AF" w:rsidRPr="003919AF" w:rsidRDefault="00BC31AF" w:rsidP="003919AF">
            <w:pPr>
              <w:pStyle w:val="Tabletext"/>
              <w:tabs>
                <w:tab w:val="decimal" w:pos="510"/>
              </w:tabs>
            </w:pPr>
            <w:r w:rsidRPr="003919AF">
              <w:t>22.0</w:t>
            </w:r>
          </w:p>
        </w:tc>
        <w:tc>
          <w:tcPr>
            <w:tcW w:w="1256" w:type="dxa"/>
            <w:tcBorders>
              <w:top w:val="nil"/>
              <w:left w:val="nil"/>
              <w:right w:val="nil"/>
            </w:tcBorders>
            <w:shd w:val="clear" w:color="auto" w:fill="auto"/>
            <w:noWrap/>
            <w:hideMark/>
          </w:tcPr>
          <w:p w:rsidR="00BC31AF" w:rsidRPr="003919AF" w:rsidRDefault="00BC31AF" w:rsidP="003919AF">
            <w:pPr>
              <w:pStyle w:val="Tabletext"/>
              <w:tabs>
                <w:tab w:val="decimal" w:pos="510"/>
              </w:tabs>
            </w:pPr>
            <w:r w:rsidRPr="003919AF">
              <w:t>26.7</w:t>
            </w:r>
          </w:p>
        </w:tc>
        <w:tc>
          <w:tcPr>
            <w:tcW w:w="1255" w:type="dxa"/>
            <w:tcBorders>
              <w:top w:val="nil"/>
              <w:left w:val="nil"/>
              <w:right w:val="nil"/>
            </w:tcBorders>
            <w:shd w:val="clear" w:color="auto" w:fill="auto"/>
            <w:noWrap/>
            <w:hideMark/>
          </w:tcPr>
          <w:p w:rsidR="00BC31AF" w:rsidRPr="003919AF" w:rsidRDefault="00BC31AF" w:rsidP="003919AF">
            <w:pPr>
              <w:pStyle w:val="Tabletext"/>
              <w:tabs>
                <w:tab w:val="decimal" w:pos="510"/>
              </w:tabs>
            </w:pPr>
            <w:r w:rsidRPr="003919AF">
              <w:t>22.6</w:t>
            </w:r>
          </w:p>
        </w:tc>
        <w:tc>
          <w:tcPr>
            <w:tcW w:w="1256" w:type="dxa"/>
            <w:tcBorders>
              <w:top w:val="nil"/>
              <w:left w:val="nil"/>
              <w:right w:val="nil"/>
            </w:tcBorders>
            <w:shd w:val="clear" w:color="auto" w:fill="auto"/>
            <w:noWrap/>
            <w:hideMark/>
          </w:tcPr>
          <w:p w:rsidR="00BC31AF" w:rsidRPr="003919AF" w:rsidRDefault="00BC31AF" w:rsidP="003919AF">
            <w:pPr>
              <w:pStyle w:val="Tabletext"/>
              <w:tabs>
                <w:tab w:val="decimal" w:pos="510"/>
              </w:tabs>
            </w:pPr>
            <w:r w:rsidRPr="003919AF">
              <w:t>26.4</w:t>
            </w:r>
          </w:p>
        </w:tc>
        <w:tc>
          <w:tcPr>
            <w:tcW w:w="1256" w:type="dxa"/>
            <w:tcBorders>
              <w:top w:val="nil"/>
              <w:left w:val="nil"/>
              <w:right w:val="nil"/>
            </w:tcBorders>
            <w:shd w:val="clear" w:color="auto" w:fill="auto"/>
            <w:noWrap/>
            <w:hideMark/>
          </w:tcPr>
          <w:p w:rsidR="00BC31AF" w:rsidRPr="003919AF" w:rsidRDefault="00BC31AF" w:rsidP="003919AF">
            <w:pPr>
              <w:pStyle w:val="Tabletext"/>
              <w:tabs>
                <w:tab w:val="decimal" w:pos="510"/>
              </w:tabs>
            </w:pPr>
            <w:r w:rsidRPr="003919AF">
              <w:t>22.4</w:t>
            </w:r>
          </w:p>
        </w:tc>
      </w:tr>
      <w:tr w:rsidR="00BC31AF" w:rsidRPr="003919AF" w:rsidTr="003332D7">
        <w:tc>
          <w:tcPr>
            <w:tcW w:w="1255" w:type="dxa"/>
            <w:tcBorders>
              <w:top w:val="nil"/>
              <w:left w:val="nil"/>
              <w:bottom w:val="single" w:sz="4" w:space="0" w:color="auto"/>
              <w:right w:val="nil"/>
            </w:tcBorders>
            <w:shd w:val="clear" w:color="auto" w:fill="auto"/>
            <w:noWrap/>
            <w:hideMark/>
          </w:tcPr>
          <w:p w:rsidR="00BC31AF" w:rsidRPr="003919AF" w:rsidRDefault="00BC31AF" w:rsidP="003919AF">
            <w:pPr>
              <w:pStyle w:val="Tabletext"/>
            </w:pPr>
            <w:r w:rsidRPr="003919AF">
              <w:t>Unknown</w:t>
            </w:r>
          </w:p>
        </w:tc>
        <w:tc>
          <w:tcPr>
            <w:tcW w:w="1256" w:type="dxa"/>
            <w:tcBorders>
              <w:top w:val="nil"/>
              <w:left w:val="nil"/>
              <w:bottom w:val="single" w:sz="4" w:space="0" w:color="auto"/>
              <w:right w:val="nil"/>
            </w:tcBorders>
            <w:shd w:val="clear" w:color="auto" w:fill="auto"/>
            <w:noWrap/>
            <w:hideMark/>
          </w:tcPr>
          <w:p w:rsidR="00BC31AF" w:rsidRPr="003919AF" w:rsidRDefault="00BC31AF" w:rsidP="003919AF">
            <w:pPr>
              <w:pStyle w:val="Tabletext"/>
              <w:tabs>
                <w:tab w:val="decimal" w:pos="510"/>
              </w:tabs>
            </w:pPr>
            <w:r w:rsidRPr="003919AF">
              <w:t>0.4</w:t>
            </w:r>
          </w:p>
        </w:tc>
        <w:tc>
          <w:tcPr>
            <w:tcW w:w="1255" w:type="dxa"/>
            <w:tcBorders>
              <w:top w:val="nil"/>
              <w:left w:val="nil"/>
              <w:bottom w:val="single" w:sz="4" w:space="0" w:color="auto"/>
              <w:right w:val="nil"/>
            </w:tcBorders>
            <w:shd w:val="clear" w:color="auto" w:fill="auto"/>
            <w:noWrap/>
            <w:hideMark/>
          </w:tcPr>
          <w:p w:rsidR="00BC31AF" w:rsidRPr="003919AF" w:rsidRDefault="00BC31AF" w:rsidP="003919AF">
            <w:pPr>
              <w:pStyle w:val="Tabletext"/>
              <w:tabs>
                <w:tab w:val="decimal" w:pos="510"/>
              </w:tabs>
            </w:pPr>
            <w:r w:rsidRPr="003919AF">
              <w:t>0.2</w:t>
            </w:r>
          </w:p>
        </w:tc>
        <w:tc>
          <w:tcPr>
            <w:tcW w:w="1256" w:type="dxa"/>
            <w:tcBorders>
              <w:top w:val="nil"/>
              <w:left w:val="nil"/>
              <w:bottom w:val="single" w:sz="4" w:space="0" w:color="auto"/>
              <w:right w:val="nil"/>
            </w:tcBorders>
            <w:shd w:val="clear" w:color="auto" w:fill="auto"/>
            <w:noWrap/>
            <w:hideMark/>
          </w:tcPr>
          <w:p w:rsidR="00BC31AF" w:rsidRPr="003919AF" w:rsidRDefault="00BC31AF" w:rsidP="003919AF">
            <w:pPr>
              <w:pStyle w:val="Tabletext"/>
              <w:tabs>
                <w:tab w:val="decimal" w:pos="510"/>
              </w:tabs>
            </w:pPr>
            <w:r w:rsidRPr="003919AF">
              <w:t>0.6</w:t>
            </w:r>
          </w:p>
        </w:tc>
        <w:tc>
          <w:tcPr>
            <w:tcW w:w="1255" w:type="dxa"/>
            <w:tcBorders>
              <w:top w:val="nil"/>
              <w:left w:val="nil"/>
              <w:bottom w:val="single" w:sz="4" w:space="0" w:color="auto"/>
              <w:right w:val="nil"/>
            </w:tcBorders>
            <w:shd w:val="clear" w:color="auto" w:fill="auto"/>
            <w:noWrap/>
            <w:hideMark/>
          </w:tcPr>
          <w:p w:rsidR="00BC31AF" w:rsidRPr="003919AF" w:rsidRDefault="00BC31AF" w:rsidP="003919AF">
            <w:pPr>
              <w:pStyle w:val="Tabletext"/>
              <w:tabs>
                <w:tab w:val="decimal" w:pos="510"/>
              </w:tabs>
            </w:pPr>
            <w:r w:rsidRPr="003919AF">
              <w:t>0.4</w:t>
            </w:r>
          </w:p>
        </w:tc>
        <w:tc>
          <w:tcPr>
            <w:tcW w:w="1256" w:type="dxa"/>
            <w:tcBorders>
              <w:top w:val="nil"/>
              <w:left w:val="nil"/>
              <w:bottom w:val="single" w:sz="4" w:space="0" w:color="auto"/>
              <w:right w:val="nil"/>
            </w:tcBorders>
            <w:shd w:val="clear" w:color="auto" w:fill="auto"/>
            <w:noWrap/>
            <w:hideMark/>
          </w:tcPr>
          <w:p w:rsidR="00BC31AF" w:rsidRPr="003919AF" w:rsidRDefault="00BC31AF" w:rsidP="003919AF">
            <w:pPr>
              <w:pStyle w:val="Tabletext"/>
              <w:tabs>
                <w:tab w:val="decimal" w:pos="510"/>
              </w:tabs>
            </w:pPr>
            <w:r w:rsidRPr="003919AF">
              <w:t>0.3</w:t>
            </w:r>
          </w:p>
        </w:tc>
        <w:tc>
          <w:tcPr>
            <w:tcW w:w="1256" w:type="dxa"/>
            <w:tcBorders>
              <w:top w:val="nil"/>
              <w:left w:val="nil"/>
              <w:bottom w:val="single" w:sz="4" w:space="0" w:color="auto"/>
              <w:right w:val="nil"/>
            </w:tcBorders>
            <w:shd w:val="clear" w:color="auto" w:fill="auto"/>
            <w:noWrap/>
            <w:hideMark/>
          </w:tcPr>
          <w:p w:rsidR="00BC31AF" w:rsidRPr="003919AF" w:rsidRDefault="00BC31AF" w:rsidP="003919AF">
            <w:pPr>
              <w:pStyle w:val="Tabletext"/>
              <w:tabs>
                <w:tab w:val="decimal" w:pos="510"/>
              </w:tabs>
            </w:pPr>
            <w:r w:rsidRPr="003919AF">
              <w:t>0.3</w:t>
            </w:r>
          </w:p>
        </w:tc>
      </w:tr>
      <w:tr w:rsidR="006763F5" w:rsidRPr="003919AF" w:rsidTr="003332D7">
        <w:tc>
          <w:tcPr>
            <w:tcW w:w="1255" w:type="dxa"/>
            <w:tcBorders>
              <w:top w:val="single" w:sz="4" w:space="0" w:color="auto"/>
              <w:left w:val="nil"/>
              <w:bottom w:val="single" w:sz="4" w:space="0" w:color="auto"/>
              <w:right w:val="nil"/>
            </w:tcBorders>
            <w:shd w:val="clear" w:color="auto" w:fill="auto"/>
            <w:noWrap/>
            <w:hideMark/>
          </w:tcPr>
          <w:p w:rsidR="006763F5" w:rsidRPr="003919AF" w:rsidRDefault="006763F5" w:rsidP="00B10AA7">
            <w:pPr>
              <w:pStyle w:val="Tabletext"/>
              <w:rPr>
                <w:b/>
              </w:rPr>
            </w:pPr>
            <w:r w:rsidRPr="00B10AA7">
              <w:rPr>
                <w:b/>
              </w:rPr>
              <w:t>Total</w:t>
            </w:r>
            <w:r w:rsidR="00B10AA7">
              <w:rPr>
                <w:b/>
              </w:rPr>
              <w:t xml:space="preserve"> Aust. population by age group</w:t>
            </w:r>
          </w:p>
        </w:tc>
        <w:tc>
          <w:tcPr>
            <w:tcW w:w="1256" w:type="dxa"/>
            <w:tcBorders>
              <w:top w:val="single" w:sz="4" w:space="0" w:color="auto"/>
              <w:left w:val="nil"/>
              <w:bottom w:val="single" w:sz="4" w:space="0" w:color="auto"/>
              <w:right w:val="nil"/>
            </w:tcBorders>
            <w:shd w:val="clear" w:color="auto" w:fill="auto"/>
            <w:noWrap/>
            <w:hideMark/>
          </w:tcPr>
          <w:p w:rsidR="006763F5" w:rsidRPr="003919AF" w:rsidRDefault="006763F5" w:rsidP="003919AF">
            <w:pPr>
              <w:pStyle w:val="Tabletext"/>
              <w:jc w:val="center"/>
              <w:rPr>
                <w:b/>
              </w:rPr>
            </w:pPr>
            <w:r w:rsidRPr="003919AF">
              <w:rPr>
                <w:b/>
              </w:rPr>
              <w:t>1 356 906</w:t>
            </w:r>
          </w:p>
        </w:tc>
        <w:tc>
          <w:tcPr>
            <w:tcW w:w="1255" w:type="dxa"/>
            <w:tcBorders>
              <w:top w:val="single" w:sz="4" w:space="0" w:color="auto"/>
              <w:left w:val="nil"/>
              <w:bottom w:val="single" w:sz="4" w:space="0" w:color="auto"/>
              <w:right w:val="nil"/>
            </w:tcBorders>
            <w:shd w:val="clear" w:color="auto" w:fill="auto"/>
            <w:noWrap/>
            <w:hideMark/>
          </w:tcPr>
          <w:p w:rsidR="006763F5" w:rsidRPr="003919AF" w:rsidRDefault="006763F5" w:rsidP="003919AF">
            <w:pPr>
              <w:pStyle w:val="Tabletext"/>
              <w:jc w:val="center"/>
              <w:rPr>
                <w:b/>
              </w:rPr>
            </w:pPr>
            <w:r w:rsidRPr="003919AF">
              <w:rPr>
                <w:b/>
              </w:rPr>
              <w:t>1 356 904</w:t>
            </w:r>
          </w:p>
        </w:tc>
        <w:tc>
          <w:tcPr>
            <w:tcW w:w="1256" w:type="dxa"/>
            <w:tcBorders>
              <w:top w:val="single" w:sz="4" w:space="0" w:color="auto"/>
              <w:left w:val="nil"/>
              <w:bottom w:val="single" w:sz="4" w:space="0" w:color="auto"/>
              <w:right w:val="nil"/>
            </w:tcBorders>
            <w:shd w:val="clear" w:color="auto" w:fill="auto"/>
            <w:noWrap/>
            <w:hideMark/>
          </w:tcPr>
          <w:p w:rsidR="006763F5" w:rsidRPr="003919AF" w:rsidRDefault="006763F5" w:rsidP="003919AF">
            <w:pPr>
              <w:pStyle w:val="Tabletext"/>
              <w:jc w:val="center"/>
              <w:rPr>
                <w:b/>
              </w:rPr>
            </w:pPr>
            <w:r w:rsidRPr="003919AF">
              <w:rPr>
                <w:b/>
              </w:rPr>
              <w:t>1 347 362</w:t>
            </w:r>
          </w:p>
        </w:tc>
        <w:tc>
          <w:tcPr>
            <w:tcW w:w="1255" w:type="dxa"/>
            <w:tcBorders>
              <w:top w:val="single" w:sz="4" w:space="0" w:color="auto"/>
              <w:left w:val="nil"/>
              <w:bottom w:val="single" w:sz="4" w:space="0" w:color="auto"/>
              <w:right w:val="nil"/>
            </w:tcBorders>
            <w:shd w:val="clear" w:color="auto" w:fill="auto"/>
            <w:noWrap/>
            <w:hideMark/>
          </w:tcPr>
          <w:p w:rsidR="006763F5" w:rsidRPr="003919AF" w:rsidRDefault="006763F5" w:rsidP="003919AF">
            <w:pPr>
              <w:pStyle w:val="Tabletext"/>
              <w:jc w:val="center"/>
              <w:rPr>
                <w:b/>
              </w:rPr>
            </w:pPr>
            <w:r w:rsidRPr="003919AF">
              <w:rPr>
                <w:b/>
              </w:rPr>
              <w:t>1 347 360</w:t>
            </w:r>
          </w:p>
        </w:tc>
        <w:tc>
          <w:tcPr>
            <w:tcW w:w="1256" w:type="dxa"/>
            <w:tcBorders>
              <w:top w:val="single" w:sz="4" w:space="0" w:color="auto"/>
              <w:left w:val="nil"/>
              <w:bottom w:val="single" w:sz="4" w:space="0" w:color="auto"/>
              <w:right w:val="nil"/>
            </w:tcBorders>
            <w:shd w:val="clear" w:color="auto" w:fill="auto"/>
            <w:noWrap/>
            <w:hideMark/>
          </w:tcPr>
          <w:p w:rsidR="006763F5" w:rsidRPr="003919AF" w:rsidRDefault="006763F5" w:rsidP="003919AF">
            <w:pPr>
              <w:pStyle w:val="Tabletext"/>
              <w:jc w:val="center"/>
              <w:rPr>
                <w:b/>
              </w:rPr>
            </w:pPr>
            <w:r w:rsidRPr="003919AF">
              <w:rPr>
                <w:b/>
              </w:rPr>
              <w:t>10 569 442</w:t>
            </w:r>
          </w:p>
        </w:tc>
        <w:tc>
          <w:tcPr>
            <w:tcW w:w="1256" w:type="dxa"/>
            <w:tcBorders>
              <w:top w:val="single" w:sz="4" w:space="0" w:color="auto"/>
              <w:left w:val="nil"/>
              <w:bottom w:val="single" w:sz="4" w:space="0" w:color="auto"/>
              <w:right w:val="nil"/>
            </w:tcBorders>
            <w:shd w:val="clear" w:color="auto" w:fill="auto"/>
            <w:noWrap/>
            <w:hideMark/>
          </w:tcPr>
          <w:p w:rsidR="006763F5" w:rsidRPr="003919AF" w:rsidRDefault="00BC31AF" w:rsidP="003919AF">
            <w:pPr>
              <w:pStyle w:val="Tabletext"/>
              <w:jc w:val="center"/>
              <w:rPr>
                <w:b/>
              </w:rPr>
            </w:pPr>
            <w:r w:rsidRPr="003919AF">
              <w:rPr>
                <w:b/>
              </w:rPr>
              <w:t>10 569 439</w:t>
            </w:r>
          </w:p>
        </w:tc>
      </w:tr>
    </w:tbl>
    <w:p w:rsidR="003919AF" w:rsidRDefault="003919AF" w:rsidP="003919AF">
      <w:pPr>
        <w:pStyle w:val="Source"/>
      </w:pPr>
      <w:r>
        <w:t>Source:</w:t>
      </w:r>
      <w:r>
        <w:tab/>
        <w:t>ABS, 2006 Census of Population and Housing.</w:t>
      </w:r>
    </w:p>
    <w:p w:rsidR="004D71B6" w:rsidRDefault="004D71B6" w:rsidP="003919AF">
      <w:pPr>
        <w:pStyle w:val="Source"/>
        <w:rPr>
          <w:rFonts w:ascii="Tahoma" w:hAnsi="Tahoma" w:cs="Tahoma"/>
          <w:color w:val="000000"/>
          <w:kern w:val="28"/>
          <w:sz w:val="56"/>
          <w:szCs w:val="56"/>
        </w:rPr>
      </w:pPr>
      <w:r>
        <w:br w:type="page"/>
      </w:r>
    </w:p>
    <w:p w:rsidR="00081CF8" w:rsidRDefault="005A28D5" w:rsidP="00E43CA1">
      <w:pPr>
        <w:pStyle w:val="Heading1"/>
      </w:pPr>
      <w:bookmarkStart w:id="23" w:name="_Toc383615931"/>
      <w:r>
        <w:lastRenderedPageBreak/>
        <w:t>S</w:t>
      </w:r>
      <w:r w:rsidR="000E5583">
        <w:t>E</w:t>
      </w:r>
      <w:r>
        <w:t>I</w:t>
      </w:r>
      <w:r w:rsidR="000E5583">
        <w:t xml:space="preserve">FA </w:t>
      </w:r>
      <w:r w:rsidR="00081CF8">
        <w:t>over time</w:t>
      </w:r>
      <w:bookmarkEnd w:id="23"/>
    </w:p>
    <w:p w:rsidR="008238F1" w:rsidRPr="00A22406" w:rsidRDefault="00BB5951" w:rsidP="00A22406">
      <w:pPr>
        <w:pStyle w:val="Text"/>
      </w:pPr>
      <w:r>
        <w:t>When an index such as SEIFA is used to measure educational participation over time</w:t>
      </w:r>
      <w:r w:rsidR="00EA5E57">
        <w:t>,</w:t>
      </w:r>
      <w:r>
        <w:t xml:space="preserve"> there is an implicit assumption that </w:t>
      </w:r>
      <w:r w:rsidR="00E43CA1">
        <w:t>areas</w:t>
      </w:r>
      <w:r>
        <w:t xml:space="preserve"> are correctly assigned to a quintile. However, the characteristics of areas change over time and </w:t>
      </w:r>
      <w:r w:rsidRPr="00A22406">
        <w:t xml:space="preserve">inevitably there will be </w:t>
      </w:r>
      <w:r w:rsidR="00060966" w:rsidRPr="00A22406">
        <w:t>changes to SEIFA values</w:t>
      </w:r>
      <w:r w:rsidRPr="00A22406">
        <w:t xml:space="preserve">. </w:t>
      </w:r>
    </w:p>
    <w:p w:rsidR="007C2493" w:rsidRDefault="00F9545E" w:rsidP="00A22406">
      <w:pPr>
        <w:pStyle w:val="Text"/>
      </w:pPr>
      <w:r w:rsidRPr="00A22406">
        <w:t>Tables 4 and 5 show how the ge</w:t>
      </w:r>
      <w:r>
        <w:t>ographic regions have been reclassified between 2006 and 2011. Table 4 shows that</w:t>
      </w:r>
      <w:r w:rsidR="00FD2F58">
        <w:t>,</w:t>
      </w:r>
      <w:r>
        <w:t xml:space="preserve"> of the total </w:t>
      </w:r>
      <w:r w:rsidR="00AF0F47">
        <w:t>postal areas</w:t>
      </w:r>
      <w:r>
        <w:t xml:space="preserve"> classified in qui</w:t>
      </w:r>
      <w:r w:rsidR="00AF0F47">
        <w:t>ntile 1 in 2006, 81%</w:t>
      </w:r>
      <w:r>
        <w:t xml:space="preserve"> were again classified as quintile 1 in the 2011</w:t>
      </w:r>
      <w:r w:rsidR="00AF0F47">
        <w:t xml:space="preserve"> census. Subsequently 19%</w:t>
      </w:r>
      <w:r>
        <w:t xml:space="preserve"> had a different</w:t>
      </w:r>
      <w:r w:rsidR="00AF0F47">
        <w:t xml:space="preserve"> classification in 2011. Thus, t</w:t>
      </w:r>
      <w:r w:rsidR="00BB5951">
        <w:t>able</w:t>
      </w:r>
      <w:r>
        <w:t>s</w:t>
      </w:r>
      <w:r w:rsidR="00BB5951">
        <w:t xml:space="preserve"> </w:t>
      </w:r>
      <w:r w:rsidR="0003597A">
        <w:t>4</w:t>
      </w:r>
      <w:r w:rsidR="00BB5951">
        <w:t xml:space="preserve"> (</w:t>
      </w:r>
      <w:r w:rsidR="00AF0F47">
        <w:t>postal areas</w:t>
      </w:r>
      <w:r w:rsidR="00BB5951">
        <w:t xml:space="preserve">) and </w:t>
      </w:r>
      <w:r w:rsidR="0003597A">
        <w:t>5</w:t>
      </w:r>
      <w:r w:rsidR="00BB5951">
        <w:t xml:space="preserve"> (</w:t>
      </w:r>
      <w:r w:rsidR="00AF0F47">
        <w:t>statistical local areas</w:t>
      </w:r>
      <w:r w:rsidR="00BB5951">
        <w:t xml:space="preserve">) show the extent of </w:t>
      </w:r>
      <w:r>
        <w:t>reclassifications</w:t>
      </w:r>
      <w:r w:rsidR="00AF0F47">
        <w:t xml:space="preserve"> between the 2006 and 2011 c</w:t>
      </w:r>
      <w:r w:rsidR="00060966">
        <w:t>ensuses</w:t>
      </w:r>
      <w:r w:rsidR="009E2BAB">
        <w:t>.</w:t>
      </w:r>
    </w:p>
    <w:p w:rsidR="007C2493" w:rsidRPr="006F709E" w:rsidRDefault="007C2493" w:rsidP="00A22406">
      <w:pPr>
        <w:pStyle w:val="tabletitle"/>
      </w:pPr>
      <w:bookmarkStart w:id="24" w:name="_Ref358980669"/>
      <w:bookmarkStart w:id="25" w:name="_Toc383616131"/>
      <w:r w:rsidRPr="006F709E">
        <w:t xml:space="preserve">Table </w:t>
      </w:r>
      <w:r w:rsidR="0003597A">
        <w:t>4</w:t>
      </w:r>
      <w:bookmarkEnd w:id="24"/>
      <w:r w:rsidR="00A22406">
        <w:tab/>
      </w:r>
      <w:r w:rsidRPr="006F709E">
        <w:t>Cross-tabulation of 2006</w:t>
      </w:r>
      <w:r w:rsidR="00650706">
        <w:t xml:space="preserve"> SEIFA against 2011 SEIFA (</w:t>
      </w:r>
      <w:r w:rsidR="00901F3F">
        <w:t>Index of Relative Socio-economic Disadvantage</w:t>
      </w:r>
      <w:r w:rsidRPr="006F709E">
        <w:t>)</w:t>
      </w:r>
      <w:r w:rsidR="008717C3" w:rsidRPr="006F709E">
        <w:t xml:space="preserve">, by </w:t>
      </w:r>
      <w:r w:rsidR="00AF0F47">
        <w:t>postal area</w:t>
      </w:r>
      <w:bookmarkEnd w:id="25"/>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0"/>
        <w:gridCol w:w="1051"/>
        <w:gridCol w:w="1053"/>
        <w:gridCol w:w="1053"/>
        <w:gridCol w:w="1053"/>
        <w:gridCol w:w="1053"/>
        <w:gridCol w:w="1053"/>
        <w:gridCol w:w="1053"/>
      </w:tblGrid>
      <w:tr w:rsidR="00D7188C" w:rsidRPr="006F709E" w:rsidTr="00D7188C">
        <w:tc>
          <w:tcPr>
            <w:tcW w:w="808" w:type="pct"/>
            <w:tcBorders>
              <w:top w:val="single" w:sz="4" w:space="0" w:color="auto"/>
            </w:tcBorders>
          </w:tcPr>
          <w:p w:rsidR="00D7188C" w:rsidRPr="006F709E" w:rsidRDefault="00D7188C" w:rsidP="00A22406">
            <w:pPr>
              <w:pStyle w:val="Tablehead1"/>
            </w:pPr>
            <w:r w:rsidRPr="006F709E">
              <w:t xml:space="preserve">2006 </w:t>
            </w:r>
            <w:r>
              <w:t>q</w:t>
            </w:r>
            <w:r w:rsidRPr="006F709E">
              <w:t>uintiles</w:t>
            </w:r>
          </w:p>
        </w:tc>
        <w:tc>
          <w:tcPr>
            <w:tcW w:w="4192" w:type="pct"/>
            <w:gridSpan w:val="7"/>
            <w:tcBorders>
              <w:top w:val="single" w:sz="4" w:space="0" w:color="auto"/>
            </w:tcBorders>
          </w:tcPr>
          <w:p w:rsidR="00D7188C" w:rsidRPr="006F709E" w:rsidRDefault="00D7188C" w:rsidP="00D7188C">
            <w:pPr>
              <w:pStyle w:val="Tablehead1"/>
              <w:jc w:val="center"/>
            </w:pPr>
            <w:r>
              <w:t>2011 q</w:t>
            </w:r>
            <w:r w:rsidRPr="006F709E">
              <w:t>uintiles</w:t>
            </w:r>
          </w:p>
        </w:tc>
      </w:tr>
      <w:tr w:rsidR="007C2493" w:rsidRPr="006F709E" w:rsidTr="00D7188C">
        <w:tc>
          <w:tcPr>
            <w:tcW w:w="808" w:type="pct"/>
            <w:tcBorders>
              <w:bottom w:val="single" w:sz="4" w:space="0" w:color="auto"/>
            </w:tcBorders>
          </w:tcPr>
          <w:p w:rsidR="007C2493" w:rsidRPr="006F709E" w:rsidRDefault="007C2493" w:rsidP="00A22406">
            <w:pPr>
              <w:pStyle w:val="Tablehead2"/>
            </w:pPr>
          </w:p>
        </w:tc>
        <w:tc>
          <w:tcPr>
            <w:tcW w:w="598" w:type="pct"/>
            <w:tcBorders>
              <w:bottom w:val="single" w:sz="4" w:space="0" w:color="auto"/>
            </w:tcBorders>
          </w:tcPr>
          <w:p w:rsidR="007C2493" w:rsidRPr="006F709E" w:rsidRDefault="007C2493" w:rsidP="00D7188C">
            <w:pPr>
              <w:pStyle w:val="Tablehead2"/>
              <w:jc w:val="center"/>
            </w:pPr>
            <w:r w:rsidRPr="006F709E">
              <w:t>1</w:t>
            </w:r>
          </w:p>
        </w:tc>
        <w:tc>
          <w:tcPr>
            <w:tcW w:w="599" w:type="pct"/>
            <w:tcBorders>
              <w:bottom w:val="single" w:sz="4" w:space="0" w:color="auto"/>
            </w:tcBorders>
          </w:tcPr>
          <w:p w:rsidR="007C2493" w:rsidRPr="006F709E" w:rsidRDefault="007C2493" w:rsidP="00D7188C">
            <w:pPr>
              <w:pStyle w:val="Tablehead2"/>
              <w:jc w:val="center"/>
            </w:pPr>
            <w:r w:rsidRPr="006F709E">
              <w:t>2</w:t>
            </w:r>
          </w:p>
        </w:tc>
        <w:tc>
          <w:tcPr>
            <w:tcW w:w="599" w:type="pct"/>
            <w:tcBorders>
              <w:bottom w:val="single" w:sz="4" w:space="0" w:color="auto"/>
            </w:tcBorders>
          </w:tcPr>
          <w:p w:rsidR="007C2493" w:rsidRPr="006F709E" w:rsidRDefault="007C2493" w:rsidP="00D7188C">
            <w:pPr>
              <w:pStyle w:val="Tablehead2"/>
              <w:jc w:val="center"/>
            </w:pPr>
            <w:r w:rsidRPr="006F709E">
              <w:t>3</w:t>
            </w:r>
          </w:p>
        </w:tc>
        <w:tc>
          <w:tcPr>
            <w:tcW w:w="599" w:type="pct"/>
            <w:tcBorders>
              <w:bottom w:val="single" w:sz="4" w:space="0" w:color="auto"/>
            </w:tcBorders>
          </w:tcPr>
          <w:p w:rsidR="007C2493" w:rsidRPr="006F709E" w:rsidRDefault="007C2493" w:rsidP="00D7188C">
            <w:pPr>
              <w:pStyle w:val="Tablehead2"/>
              <w:jc w:val="center"/>
            </w:pPr>
            <w:r w:rsidRPr="006F709E">
              <w:t>4</w:t>
            </w:r>
          </w:p>
        </w:tc>
        <w:tc>
          <w:tcPr>
            <w:tcW w:w="599" w:type="pct"/>
            <w:tcBorders>
              <w:bottom w:val="single" w:sz="4" w:space="0" w:color="auto"/>
            </w:tcBorders>
          </w:tcPr>
          <w:p w:rsidR="007C2493" w:rsidRPr="006F709E" w:rsidRDefault="007C2493" w:rsidP="00D7188C">
            <w:pPr>
              <w:pStyle w:val="Tablehead2"/>
              <w:jc w:val="center"/>
            </w:pPr>
            <w:r w:rsidRPr="006F709E">
              <w:t>5</w:t>
            </w:r>
          </w:p>
        </w:tc>
        <w:tc>
          <w:tcPr>
            <w:tcW w:w="599" w:type="pct"/>
            <w:tcBorders>
              <w:bottom w:val="single" w:sz="4" w:space="0" w:color="auto"/>
            </w:tcBorders>
          </w:tcPr>
          <w:p w:rsidR="007C2493" w:rsidRPr="006F709E" w:rsidRDefault="007C2493" w:rsidP="00D7188C">
            <w:pPr>
              <w:pStyle w:val="Tablehead2"/>
              <w:jc w:val="center"/>
            </w:pPr>
            <w:r w:rsidRPr="006F709E">
              <w:t>Unknown</w:t>
            </w:r>
          </w:p>
        </w:tc>
        <w:tc>
          <w:tcPr>
            <w:tcW w:w="599" w:type="pct"/>
            <w:tcBorders>
              <w:bottom w:val="single" w:sz="4" w:space="0" w:color="auto"/>
            </w:tcBorders>
          </w:tcPr>
          <w:p w:rsidR="007C2493" w:rsidRPr="006F709E" w:rsidRDefault="007C2493" w:rsidP="00D7188C">
            <w:pPr>
              <w:pStyle w:val="Tablehead2"/>
              <w:jc w:val="center"/>
            </w:pPr>
            <w:r w:rsidRPr="006F709E">
              <w:t>Total</w:t>
            </w:r>
          </w:p>
        </w:tc>
      </w:tr>
      <w:tr w:rsidR="006F709E" w:rsidRPr="006F709E" w:rsidTr="00D7188C">
        <w:tc>
          <w:tcPr>
            <w:tcW w:w="808" w:type="pct"/>
            <w:tcBorders>
              <w:top w:val="single" w:sz="4" w:space="0" w:color="auto"/>
            </w:tcBorders>
          </w:tcPr>
          <w:p w:rsidR="006F709E" w:rsidRPr="00074B82" w:rsidRDefault="006F709E" w:rsidP="00A22406">
            <w:pPr>
              <w:pStyle w:val="Tabletext"/>
            </w:pPr>
            <w:r w:rsidRPr="00074B82">
              <w:t>1</w:t>
            </w:r>
          </w:p>
        </w:tc>
        <w:tc>
          <w:tcPr>
            <w:tcW w:w="598" w:type="pct"/>
            <w:tcBorders>
              <w:top w:val="single" w:sz="4" w:space="0" w:color="auto"/>
            </w:tcBorders>
            <w:shd w:val="clear" w:color="auto" w:fill="auto"/>
          </w:tcPr>
          <w:p w:rsidR="006F709E" w:rsidRPr="00CC2A11" w:rsidRDefault="006F709E" w:rsidP="00D7188C">
            <w:pPr>
              <w:pStyle w:val="Tabletext"/>
              <w:tabs>
                <w:tab w:val="decimal" w:pos="482"/>
              </w:tabs>
            </w:pPr>
            <w:r w:rsidRPr="00CC2A11">
              <w:t>81</w:t>
            </w:r>
          </w:p>
        </w:tc>
        <w:tc>
          <w:tcPr>
            <w:tcW w:w="599" w:type="pct"/>
            <w:tcBorders>
              <w:top w:val="single" w:sz="4" w:space="0" w:color="auto"/>
            </w:tcBorders>
          </w:tcPr>
          <w:p w:rsidR="006F709E" w:rsidRPr="00CC2A11" w:rsidRDefault="006F709E" w:rsidP="00D7188C">
            <w:pPr>
              <w:pStyle w:val="Tabletext"/>
              <w:tabs>
                <w:tab w:val="decimal" w:pos="482"/>
              </w:tabs>
            </w:pPr>
            <w:r w:rsidRPr="00CC2A11">
              <w:t>15</w:t>
            </w:r>
          </w:p>
        </w:tc>
        <w:tc>
          <w:tcPr>
            <w:tcW w:w="599" w:type="pct"/>
            <w:tcBorders>
              <w:top w:val="single" w:sz="4" w:space="0" w:color="auto"/>
            </w:tcBorders>
          </w:tcPr>
          <w:p w:rsidR="006F709E" w:rsidRPr="00CC2A11" w:rsidRDefault="006F709E" w:rsidP="00D7188C">
            <w:pPr>
              <w:pStyle w:val="Tabletext"/>
              <w:tabs>
                <w:tab w:val="decimal" w:pos="454"/>
              </w:tabs>
            </w:pPr>
            <w:r w:rsidRPr="00CC2A11">
              <w:t>3</w:t>
            </w:r>
          </w:p>
        </w:tc>
        <w:tc>
          <w:tcPr>
            <w:tcW w:w="599" w:type="pct"/>
            <w:tcBorders>
              <w:top w:val="single" w:sz="4" w:space="0" w:color="auto"/>
            </w:tcBorders>
          </w:tcPr>
          <w:p w:rsidR="006F709E" w:rsidRPr="00CC2A11" w:rsidRDefault="006F709E" w:rsidP="00D7188C">
            <w:pPr>
              <w:pStyle w:val="Tabletext"/>
              <w:tabs>
                <w:tab w:val="decimal" w:pos="454"/>
              </w:tabs>
            </w:pPr>
            <w:r w:rsidRPr="00CC2A11">
              <w:t>1</w:t>
            </w:r>
          </w:p>
        </w:tc>
        <w:tc>
          <w:tcPr>
            <w:tcW w:w="599" w:type="pct"/>
            <w:tcBorders>
              <w:top w:val="single" w:sz="4" w:space="0" w:color="auto"/>
            </w:tcBorders>
          </w:tcPr>
          <w:p w:rsidR="006F709E" w:rsidRPr="00CC2A11" w:rsidRDefault="006F709E" w:rsidP="00D7188C">
            <w:pPr>
              <w:pStyle w:val="Tabletext"/>
              <w:tabs>
                <w:tab w:val="decimal" w:pos="454"/>
              </w:tabs>
            </w:pPr>
            <w:r w:rsidRPr="00CC2A11">
              <w:t>0</w:t>
            </w:r>
          </w:p>
        </w:tc>
        <w:tc>
          <w:tcPr>
            <w:tcW w:w="599" w:type="pct"/>
            <w:tcBorders>
              <w:top w:val="single" w:sz="4" w:space="0" w:color="auto"/>
            </w:tcBorders>
          </w:tcPr>
          <w:p w:rsidR="006F709E" w:rsidRPr="00CC2A11" w:rsidRDefault="006F709E" w:rsidP="00D7188C">
            <w:pPr>
              <w:pStyle w:val="Tabletext"/>
              <w:tabs>
                <w:tab w:val="decimal" w:pos="454"/>
              </w:tabs>
            </w:pPr>
            <w:r w:rsidRPr="00CC2A11">
              <w:t>0</w:t>
            </w:r>
          </w:p>
        </w:tc>
        <w:tc>
          <w:tcPr>
            <w:tcW w:w="599" w:type="pct"/>
            <w:tcBorders>
              <w:top w:val="single" w:sz="4" w:space="0" w:color="auto"/>
            </w:tcBorders>
          </w:tcPr>
          <w:p w:rsidR="006F709E" w:rsidRPr="00CC2A11" w:rsidRDefault="006F709E" w:rsidP="00D7188C">
            <w:pPr>
              <w:pStyle w:val="Tabletext"/>
              <w:tabs>
                <w:tab w:val="decimal" w:pos="539"/>
              </w:tabs>
            </w:pPr>
            <w:r w:rsidRPr="00CC2A11">
              <w:t>100</w:t>
            </w:r>
          </w:p>
        </w:tc>
      </w:tr>
      <w:tr w:rsidR="006F709E" w:rsidRPr="006F709E" w:rsidTr="00D7188C">
        <w:tc>
          <w:tcPr>
            <w:tcW w:w="808" w:type="pct"/>
          </w:tcPr>
          <w:p w:rsidR="006F709E" w:rsidRPr="00074B82" w:rsidRDefault="006F709E" w:rsidP="00A22406">
            <w:pPr>
              <w:pStyle w:val="Tabletext"/>
            </w:pPr>
            <w:r w:rsidRPr="00074B82">
              <w:t>2</w:t>
            </w:r>
          </w:p>
        </w:tc>
        <w:tc>
          <w:tcPr>
            <w:tcW w:w="598" w:type="pct"/>
          </w:tcPr>
          <w:p w:rsidR="006F709E" w:rsidRPr="00CC2A11" w:rsidRDefault="006F709E" w:rsidP="00D7188C">
            <w:pPr>
              <w:pStyle w:val="Tabletext"/>
              <w:tabs>
                <w:tab w:val="decimal" w:pos="482"/>
              </w:tabs>
            </w:pPr>
            <w:r w:rsidRPr="00CC2A11">
              <w:t>16</w:t>
            </w:r>
          </w:p>
        </w:tc>
        <w:tc>
          <w:tcPr>
            <w:tcW w:w="599" w:type="pct"/>
            <w:shd w:val="clear" w:color="auto" w:fill="auto"/>
          </w:tcPr>
          <w:p w:rsidR="006F709E" w:rsidRPr="00CC2A11" w:rsidRDefault="006F709E" w:rsidP="00D7188C">
            <w:pPr>
              <w:pStyle w:val="Tabletext"/>
              <w:tabs>
                <w:tab w:val="decimal" w:pos="482"/>
              </w:tabs>
            </w:pPr>
            <w:r w:rsidRPr="00CC2A11">
              <w:t>63</w:t>
            </w:r>
          </w:p>
        </w:tc>
        <w:tc>
          <w:tcPr>
            <w:tcW w:w="599" w:type="pct"/>
          </w:tcPr>
          <w:p w:rsidR="006F709E" w:rsidRPr="00CC2A11" w:rsidRDefault="006F709E" w:rsidP="00D7188C">
            <w:pPr>
              <w:pStyle w:val="Tabletext"/>
              <w:tabs>
                <w:tab w:val="decimal" w:pos="454"/>
              </w:tabs>
            </w:pPr>
            <w:r w:rsidRPr="00CC2A11">
              <w:t>18</w:t>
            </w:r>
          </w:p>
        </w:tc>
        <w:tc>
          <w:tcPr>
            <w:tcW w:w="599" w:type="pct"/>
          </w:tcPr>
          <w:p w:rsidR="006F709E" w:rsidRPr="00CC2A11" w:rsidRDefault="006F709E" w:rsidP="00D7188C">
            <w:pPr>
              <w:pStyle w:val="Tabletext"/>
              <w:tabs>
                <w:tab w:val="decimal" w:pos="454"/>
              </w:tabs>
            </w:pPr>
            <w:r w:rsidRPr="00CC2A11">
              <w:t>2</w:t>
            </w:r>
          </w:p>
        </w:tc>
        <w:tc>
          <w:tcPr>
            <w:tcW w:w="599" w:type="pct"/>
          </w:tcPr>
          <w:p w:rsidR="006F709E" w:rsidRPr="00CC2A11" w:rsidRDefault="006F709E" w:rsidP="00D7188C">
            <w:pPr>
              <w:pStyle w:val="Tabletext"/>
              <w:tabs>
                <w:tab w:val="decimal" w:pos="454"/>
              </w:tabs>
            </w:pPr>
            <w:r w:rsidRPr="00CC2A11">
              <w:t>1</w:t>
            </w:r>
          </w:p>
        </w:tc>
        <w:tc>
          <w:tcPr>
            <w:tcW w:w="599" w:type="pct"/>
          </w:tcPr>
          <w:p w:rsidR="006F709E" w:rsidRPr="00CC2A11" w:rsidRDefault="006F709E" w:rsidP="00D7188C">
            <w:pPr>
              <w:pStyle w:val="Tabletext"/>
              <w:tabs>
                <w:tab w:val="decimal" w:pos="454"/>
              </w:tabs>
            </w:pPr>
            <w:r w:rsidRPr="00CC2A11">
              <w:t>0</w:t>
            </w:r>
          </w:p>
        </w:tc>
        <w:tc>
          <w:tcPr>
            <w:tcW w:w="599" w:type="pct"/>
          </w:tcPr>
          <w:p w:rsidR="006F709E" w:rsidRPr="00CC2A11" w:rsidRDefault="006F709E" w:rsidP="00D7188C">
            <w:pPr>
              <w:pStyle w:val="Tabletext"/>
              <w:tabs>
                <w:tab w:val="decimal" w:pos="539"/>
              </w:tabs>
            </w:pPr>
            <w:r w:rsidRPr="00CC2A11">
              <w:t>100</w:t>
            </w:r>
          </w:p>
        </w:tc>
      </w:tr>
      <w:tr w:rsidR="006F709E" w:rsidRPr="006F709E" w:rsidTr="00D7188C">
        <w:tc>
          <w:tcPr>
            <w:tcW w:w="808" w:type="pct"/>
          </w:tcPr>
          <w:p w:rsidR="006F709E" w:rsidRPr="00074B82" w:rsidRDefault="006F709E" w:rsidP="00A22406">
            <w:pPr>
              <w:pStyle w:val="Tabletext"/>
            </w:pPr>
            <w:r w:rsidRPr="00074B82">
              <w:t>3</w:t>
            </w:r>
          </w:p>
        </w:tc>
        <w:tc>
          <w:tcPr>
            <w:tcW w:w="598" w:type="pct"/>
          </w:tcPr>
          <w:p w:rsidR="006F709E" w:rsidRPr="00CC2A11" w:rsidRDefault="006F709E" w:rsidP="00D7188C">
            <w:pPr>
              <w:pStyle w:val="Tabletext"/>
              <w:tabs>
                <w:tab w:val="decimal" w:pos="482"/>
              </w:tabs>
            </w:pPr>
            <w:r w:rsidRPr="00CC2A11">
              <w:t>2</w:t>
            </w:r>
          </w:p>
        </w:tc>
        <w:tc>
          <w:tcPr>
            <w:tcW w:w="599" w:type="pct"/>
          </w:tcPr>
          <w:p w:rsidR="006F709E" w:rsidRPr="00CC2A11" w:rsidRDefault="006F709E" w:rsidP="00D7188C">
            <w:pPr>
              <w:pStyle w:val="Tabletext"/>
              <w:tabs>
                <w:tab w:val="decimal" w:pos="482"/>
              </w:tabs>
            </w:pPr>
            <w:r w:rsidRPr="00CC2A11">
              <w:t>19</w:t>
            </w:r>
          </w:p>
        </w:tc>
        <w:tc>
          <w:tcPr>
            <w:tcW w:w="599" w:type="pct"/>
            <w:shd w:val="clear" w:color="auto" w:fill="auto"/>
          </w:tcPr>
          <w:p w:rsidR="006F709E" w:rsidRPr="00CC2A11" w:rsidRDefault="006F709E" w:rsidP="00D7188C">
            <w:pPr>
              <w:pStyle w:val="Tabletext"/>
              <w:tabs>
                <w:tab w:val="decimal" w:pos="454"/>
              </w:tabs>
            </w:pPr>
            <w:r w:rsidRPr="00CC2A11">
              <w:t>64</w:t>
            </w:r>
          </w:p>
        </w:tc>
        <w:tc>
          <w:tcPr>
            <w:tcW w:w="599" w:type="pct"/>
          </w:tcPr>
          <w:p w:rsidR="006F709E" w:rsidRPr="00CC2A11" w:rsidRDefault="006F709E" w:rsidP="00D7188C">
            <w:pPr>
              <w:pStyle w:val="Tabletext"/>
              <w:tabs>
                <w:tab w:val="decimal" w:pos="454"/>
              </w:tabs>
            </w:pPr>
            <w:r w:rsidRPr="00CC2A11">
              <w:t>14</w:t>
            </w:r>
          </w:p>
        </w:tc>
        <w:tc>
          <w:tcPr>
            <w:tcW w:w="599" w:type="pct"/>
          </w:tcPr>
          <w:p w:rsidR="006F709E" w:rsidRPr="00CC2A11" w:rsidRDefault="006F709E" w:rsidP="00D7188C">
            <w:pPr>
              <w:pStyle w:val="Tabletext"/>
              <w:tabs>
                <w:tab w:val="decimal" w:pos="454"/>
              </w:tabs>
            </w:pPr>
            <w:r w:rsidRPr="00CC2A11">
              <w:t>0</w:t>
            </w:r>
          </w:p>
        </w:tc>
        <w:tc>
          <w:tcPr>
            <w:tcW w:w="599" w:type="pct"/>
          </w:tcPr>
          <w:p w:rsidR="006F709E" w:rsidRPr="00CC2A11" w:rsidRDefault="006F709E" w:rsidP="00D7188C">
            <w:pPr>
              <w:pStyle w:val="Tabletext"/>
              <w:tabs>
                <w:tab w:val="decimal" w:pos="454"/>
              </w:tabs>
            </w:pPr>
            <w:r w:rsidRPr="00CC2A11">
              <w:t>0</w:t>
            </w:r>
          </w:p>
        </w:tc>
        <w:tc>
          <w:tcPr>
            <w:tcW w:w="599" w:type="pct"/>
          </w:tcPr>
          <w:p w:rsidR="006F709E" w:rsidRPr="00CC2A11" w:rsidRDefault="006F709E" w:rsidP="00D7188C">
            <w:pPr>
              <w:pStyle w:val="Tabletext"/>
              <w:tabs>
                <w:tab w:val="decimal" w:pos="539"/>
              </w:tabs>
            </w:pPr>
            <w:r w:rsidRPr="00CC2A11">
              <w:t>100</w:t>
            </w:r>
          </w:p>
        </w:tc>
      </w:tr>
      <w:tr w:rsidR="006F709E" w:rsidRPr="006F709E" w:rsidTr="00D7188C">
        <w:tc>
          <w:tcPr>
            <w:tcW w:w="808" w:type="pct"/>
          </w:tcPr>
          <w:p w:rsidR="006F709E" w:rsidRPr="00074B82" w:rsidRDefault="006F709E" w:rsidP="00A22406">
            <w:pPr>
              <w:pStyle w:val="Tabletext"/>
            </w:pPr>
            <w:r w:rsidRPr="00074B82">
              <w:t>4</w:t>
            </w:r>
          </w:p>
        </w:tc>
        <w:tc>
          <w:tcPr>
            <w:tcW w:w="598" w:type="pct"/>
          </w:tcPr>
          <w:p w:rsidR="006F709E" w:rsidRPr="00CC2A11" w:rsidRDefault="006F709E" w:rsidP="00D7188C">
            <w:pPr>
              <w:pStyle w:val="Tabletext"/>
              <w:tabs>
                <w:tab w:val="decimal" w:pos="482"/>
              </w:tabs>
            </w:pPr>
            <w:r w:rsidRPr="00CC2A11">
              <w:t>1</w:t>
            </w:r>
          </w:p>
        </w:tc>
        <w:tc>
          <w:tcPr>
            <w:tcW w:w="599" w:type="pct"/>
          </w:tcPr>
          <w:p w:rsidR="006F709E" w:rsidRPr="00CC2A11" w:rsidRDefault="006F709E" w:rsidP="00D7188C">
            <w:pPr>
              <w:pStyle w:val="Tabletext"/>
              <w:tabs>
                <w:tab w:val="decimal" w:pos="482"/>
              </w:tabs>
            </w:pPr>
            <w:r w:rsidRPr="00CC2A11">
              <w:t>3</w:t>
            </w:r>
          </w:p>
        </w:tc>
        <w:tc>
          <w:tcPr>
            <w:tcW w:w="599" w:type="pct"/>
          </w:tcPr>
          <w:p w:rsidR="006F709E" w:rsidRPr="00CC2A11" w:rsidRDefault="006F709E" w:rsidP="00D7188C">
            <w:pPr>
              <w:pStyle w:val="Tabletext"/>
              <w:tabs>
                <w:tab w:val="decimal" w:pos="454"/>
              </w:tabs>
            </w:pPr>
            <w:r w:rsidRPr="00CC2A11">
              <w:t>14</w:t>
            </w:r>
          </w:p>
        </w:tc>
        <w:tc>
          <w:tcPr>
            <w:tcW w:w="599" w:type="pct"/>
            <w:shd w:val="clear" w:color="auto" w:fill="auto"/>
          </w:tcPr>
          <w:p w:rsidR="006F709E" w:rsidRPr="00CC2A11" w:rsidRDefault="006F709E" w:rsidP="00D7188C">
            <w:pPr>
              <w:pStyle w:val="Tabletext"/>
              <w:tabs>
                <w:tab w:val="decimal" w:pos="454"/>
              </w:tabs>
            </w:pPr>
            <w:r w:rsidRPr="00CC2A11">
              <w:t>73</w:t>
            </w:r>
          </w:p>
        </w:tc>
        <w:tc>
          <w:tcPr>
            <w:tcW w:w="599" w:type="pct"/>
          </w:tcPr>
          <w:p w:rsidR="006F709E" w:rsidRPr="00CC2A11" w:rsidRDefault="006F709E" w:rsidP="00D7188C">
            <w:pPr>
              <w:pStyle w:val="Tabletext"/>
              <w:tabs>
                <w:tab w:val="decimal" w:pos="454"/>
              </w:tabs>
            </w:pPr>
            <w:r w:rsidRPr="00CC2A11">
              <w:t>9</w:t>
            </w:r>
          </w:p>
        </w:tc>
        <w:tc>
          <w:tcPr>
            <w:tcW w:w="599" w:type="pct"/>
          </w:tcPr>
          <w:p w:rsidR="006F709E" w:rsidRPr="00CC2A11" w:rsidRDefault="006F709E" w:rsidP="00D7188C">
            <w:pPr>
              <w:pStyle w:val="Tabletext"/>
              <w:tabs>
                <w:tab w:val="decimal" w:pos="454"/>
              </w:tabs>
            </w:pPr>
            <w:r w:rsidRPr="00CC2A11">
              <w:t>0</w:t>
            </w:r>
          </w:p>
        </w:tc>
        <w:tc>
          <w:tcPr>
            <w:tcW w:w="599" w:type="pct"/>
          </w:tcPr>
          <w:p w:rsidR="006F709E" w:rsidRPr="00CC2A11" w:rsidRDefault="006F709E" w:rsidP="00D7188C">
            <w:pPr>
              <w:pStyle w:val="Tabletext"/>
              <w:tabs>
                <w:tab w:val="decimal" w:pos="539"/>
              </w:tabs>
            </w:pPr>
            <w:r w:rsidRPr="00CC2A11">
              <w:t>100</w:t>
            </w:r>
          </w:p>
        </w:tc>
      </w:tr>
      <w:tr w:rsidR="006F709E" w:rsidRPr="006F709E" w:rsidTr="00D7188C">
        <w:tc>
          <w:tcPr>
            <w:tcW w:w="808" w:type="pct"/>
            <w:tcBorders>
              <w:bottom w:val="single" w:sz="4" w:space="0" w:color="auto"/>
            </w:tcBorders>
          </w:tcPr>
          <w:p w:rsidR="006F709E" w:rsidRPr="00074B82" w:rsidRDefault="006F709E" w:rsidP="00A22406">
            <w:pPr>
              <w:pStyle w:val="Tabletext"/>
            </w:pPr>
            <w:r w:rsidRPr="00074B82">
              <w:t>5</w:t>
            </w:r>
          </w:p>
        </w:tc>
        <w:tc>
          <w:tcPr>
            <w:tcW w:w="598" w:type="pct"/>
            <w:tcBorders>
              <w:bottom w:val="single" w:sz="4" w:space="0" w:color="auto"/>
            </w:tcBorders>
          </w:tcPr>
          <w:p w:rsidR="006F709E" w:rsidRPr="00CC2A11" w:rsidRDefault="006F709E" w:rsidP="00D7188C">
            <w:pPr>
              <w:pStyle w:val="Tabletext"/>
              <w:tabs>
                <w:tab w:val="decimal" w:pos="482"/>
              </w:tabs>
            </w:pPr>
            <w:r w:rsidRPr="00CC2A11">
              <w:t>0</w:t>
            </w:r>
          </w:p>
        </w:tc>
        <w:tc>
          <w:tcPr>
            <w:tcW w:w="599" w:type="pct"/>
            <w:tcBorders>
              <w:bottom w:val="single" w:sz="4" w:space="0" w:color="auto"/>
            </w:tcBorders>
          </w:tcPr>
          <w:p w:rsidR="006F709E" w:rsidRPr="00CC2A11" w:rsidRDefault="006F709E" w:rsidP="00D7188C">
            <w:pPr>
              <w:pStyle w:val="Tabletext"/>
              <w:tabs>
                <w:tab w:val="decimal" w:pos="482"/>
              </w:tabs>
            </w:pPr>
            <w:r w:rsidRPr="00CC2A11">
              <w:t>0</w:t>
            </w:r>
          </w:p>
        </w:tc>
        <w:tc>
          <w:tcPr>
            <w:tcW w:w="599" w:type="pct"/>
            <w:tcBorders>
              <w:bottom w:val="single" w:sz="4" w:space="0" w:color="auto"/>
            </w:tcBorders>
          </w:tcPr>
          <w:p w:rsidR="006F709E" w:rsidRPr="00CC2A11" w:rsidRDefault="006F709E" w:rsidP="00D7188C">
            <w:pPr>
              <w:pStyle w:val="Tabletext"/>
              <w:tabs>
                <w:tab w:val="decimal" w:pos="454"/>
              </w:tabs>
            </w:pPr>
            <w:r w:rsidRPr="00CC2A11">
              <w:t>1</w:t>
            </w:r>
          </w:p>
        </w:tc>
        <w:tc>
          <w:tcPr>
            <w:tcW w:w="599" w:type="pct"/>
            <w:tcBorders>
              <w:bottom w:val="single" w:sz="4" w:space="0" w:color="auto"/>
            </w:tcBorders>
          </w:tcPr>
          <w:p w:rsidR="006F709E" w:rsidRPr="00CC2A11" w:rsidRDefault="006F709E" w:rsidP="00D7188C">
            <w:pPr>
              <w:pStyle w:val="Tabletext"/>
              <w:tabs>
                <w:tab w:val="decimal" w:pos="454"/>
              </w:tabs>
            </w:pPr>
            <w:r w:rsidRPr="00CC2A11">
              <w:t>11</w:t>
            </w:r>
          </w:p>
        </w:tc>
        <w:tc>
          <w:tcPr>
            <w:tcW w:w="599" w:type="pct"/>
            <w:tcBorders>
              <w:bottom w:val="single" w:sz="4" w:space="0" w:color="auto"/>
            </w:tcBorders>
            <w:shd w:val="clear" w:color="auto" w:fill="auto"/>
          </w:tcPr>
          <w:p w:rsidR="006F709E" w:rsidRPr="00CC2A11" w:rsidRDefault="006F709E" w:rsidP="00D7188C">
            <w:pPr>
              <w:pStyle w:val="Tabletext"/>
              <w:tabs>
                <w:tab w:val="decimal" w:pos="454"/>
              </w:tabs>
            </w:pPr>
            <w:r w:rsidRPr="00CC2A11">
              <w:t>88</w:t>
            </w:r>
          </w:p>
        </w:tc>
        <w:tc>
          <w:tcPr>
            <w:tcW w:w="599" w:type="pct"/>
            <w:tcBorders>
              <w:bottom w:val="single" w:sz="4" w:space="0" w:color="auto"/>
            </w:tcBorders>
          </w:tcPr>
          <w:p w:rsidR="006F709E" w:rsidRPr="00CC2A11" w:rsidRDefault="006F709E" w:rsidP="00D7188C">
            <w:pPr>
              <w:pStyle w:val="Tabletext"/>
              <w:tabs>
                <w:tab w:val="decimal" w:pos="454"/>
              </w:tabs>
            </w:pPr>
            <w:r w:rsidRPr="00CC2A11">
              <w:t>0</w:t>
            </w:r>
          </w:p>
        </w:tc>
        <w:tc>
          <w:tcPr>
            <w:tcW w:w="599" w:type="pct"/>
            <w:tcBorders>
              <w:bottom w:val="single" w:sz="4" w:space="0" w:color="auto"/>
            </w:tcBorders>
          </w:tcPr>
          <w:p w:rsidR="006F709E" w:rsidRPr="00CC2A11" w:rsidRDefault="006F709E" w:rsidP="00D7188C">
            <w:pPr>
              <w:pStyle w:val="Tabletext"/>
              <w:tabs>
                <w:tab w:val="decimal" w:pos="539"/>
              </w:tabs>
            </w:pPr>
            <w:r w:rsidRPr="00CC2A11">
              <w:t>100</w:t>
            </w:r>
          </w:p>
        </w:tc>
      </w:tr>
    </w:tbl>
    <w:p w:rsidR="003C0C6B" w:rsidRPr="006F709E" w:rsidRDefault="003C0C6B" w:rsidP="00A22406">
      <w:pPr>
        <w:pStyle w:val="tabletitle"/>
      </w:pPr>
      <w:bookmarkStart w:id="26" w:name="_Ref365296495"/>
      <w:bookmarkStart w:id="27" w:name="_Ref366497966"/>
      <w:bookmarkStart w:id="28" w:name="_Toc383616132"/>
      <w:r w:rsidRPr="006F709E">
        <w:t xml:space="preserve">Table </w:t>
      </w:r>
      <w:r w:rsidR="0003597A">
        <w:t>5</w:t>
      </w:r>
      <w:bookmarkEnd w:id="26"/>
      <w:bookmarkEnd w:id="27"/>
      <w:r w:rsidR="00A22406">
        <w:tab/>
      </w:r>
      <w:r w:rsidRPr="006F709E">
        <w:t xml:space="preserve">Cross-tabulation of 2006 SEIFA against 2011 </w:t>
      </w:r>
      <w:r w:rsidR="00650706">
        <w:t>SEIFA (</w:t>
      </w:r>
      <w:r w:rsidR="00901F3F">
        <w:t>Index of Relative Socio-economic Disadvantage</w:t>
      </w:r>
      <w:r w:rsidRPr="006F709E">
        <w:t xml:space="preserve">), by </w:t>
      </w:r>
      <w:r w:rsidR="00AF0F47">
        <w:t>statistical local area</w:t>
      </w:r>
      <w:bookmarkEnd w:id="28"/>
    </w:p>
    <w:tbl>
      <w:tblPr>
        <w:tblW w:w="8789" w:type="dxa"/>
        <w:tblInd w:w="93" w:type="dxa"/>
        <w:tblLayout w:type="fixed"/>
        <w:tblLook w:val="04A0" w:firstRow="1" w:lastRow="0" w:firstColumn="1" w:lastColumn="0" w:noHBand="0" w:noVBand="1"/>
      </w:tblPr>
      <w:tblGrid>
        <w:gridCol w:w="1433"/>
        <w:gridCol w:w="1050"/>
        <w:gridCol w:w="1051"/>
        <w:gridCol w:w="1051"/>
        <w:gridCol w:w="1051"/>
        <w:gridCol w:w="1051"/>
        <w:gridCol w:w="1051"/>
        <w:gridCol w:w="1051"/>
      </w:tblGrid>
      <w:tr w:rsidR="00D7188C" w:rsidRPr="006F709E" w:rsidTr="00D7188C">
        <w:tc>
          <w:tcPr>
            <w:tcW w:w="1433" w:type="dxa"/>
            <w:tcBorders>
              <w:top w:val="single" w:sz="4" w:space="0" w:color="auto"/>
              <w:left w:val="nil"/>
              <w:bottom w:val="nil"/>
              <w:right w:val="nil"/>
            </w:tcBorders>
            <w:shd w:val="clear" w:color="auto" w:fill="auto"/>
            <w:noWrap/>
            <w:hideMark/>
          </w:tcPr>
          <w:p w:rsidR="00D7188C" w:rsidRPr="006F709E" w:rsidRDefault="00D7188C" w:rsidP="00A22406">
            <w:pPr>
              <w:pStyle w:val="Tablehead1"/>
            </w:pPr>
            <w:r w:rsidRPr="006F709E">
              <w:t xml:space="preserve">2006 </w:t>
            </w:r>
            <w:r>
              <w:t>q</w:t>
            </w:r>
            <w:r w:rsidRPr="006F709E">
              <w:t>uintiles</w:t>
            </w:r>
          </w:p>
        </w:tc>
        <w:tc>
          <w:tcPr>
            <w:tcW w:w="7356" w:type="dxa"/>
            <w:gridSpan w:val="7"/>
            <w:tcBorders>
              <w:top w:val="single" w:sz="4" w:space="0" w:color="auto"/>
              <w:left w:val="nil"/>
              <w:bottom w:val="nil"/>
              <w:right w:val="nil"/>
            </w:tcBorders>
            <w:shd w:val="clear" w:color="auto" w:fill="auto"/>
            <w:noWrap/>
            <w:hideMark/>
          </w:tcPr>
          <w:p w:rsidR="00D7188C" w:rsidRPr="006F709E" w:rsidRDefault="00D7188C" w:rsidP="00D7188C">
            <w:pPr>
              <w:pStyle w:val="Tablehead1"/>
              <w:jc w:val="center"/>
            </w:pPr>
            <w:r>
              <w:t>2011 q</w:t>
            </w:r>
            <w:r w:rsidRPr="006F709E">
              <w:t>uintiles</w:t>
            </w:r>
          </w:p>
        </w:tc>
      </w:tr>
      <w:tr w:rsidR="003C0C6B" w:rsidRPr="006F709E" w:rsidTr="00D7188C">
        <w:tc>
          <w:tcPr>
            <w:tcW w:w="1433" w:type="dxa"/>
            <w:tcBorders>
              <w:top w:val="nil"/>
              <w:left w:val="nil"/>
              <w:bottom w:val="single" w:sz="4" w:space="0" w:color="auto"/>
              <w:right w:val="nil"/>
            </w:tcBorders>
            <w:shd w:val="clear" w:color="auto" w:fill="auto"/>
            <w:noWrap/>
            <w:hideMark/>
          </w:tcPr>
          <w:p w:rsidR="003C0C6B" w:rsidRPr="006F709E" w:rsidRDefault="003C0C6B" w:rsidP="00A22406">
            <w:pPr>
              <w:pStyle w:val="Tablehead2"/>
            </w:pPr>
          </w:p>
        </w:tc>
        <w:tc>
          <w:tcPr>
            <w:tcW w:w="1050"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1</w:t>
            </w:r>
          </w:p>
        </w:tc>
        <w:tc>
          <w:tcPr>
            <w:tcW w:w="1051"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2</w:t>
            </w:r>
          </w:p>
        </w:tc>
        <w:tc>
          <w:tcPr>
            <w:tcW w:w="1051"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3</w:t>
            </w:r>
          </w:p>
        </w:tc>
        <w:tc>
          <w:tcPr>
            <w:tcW w:w="1051"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4</w:t>
            </w:r>
          </w:p>
        </w:tc>
        <w:tc>
          <w:tcPr>
            <w:tcW w:w="1051"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5</w:t>
            </w:r>
          </w:p>
        </w:tc>
        <w:tc>
          <w:tcPr>
            <w:tcW w:w="1051"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Unknown</w:t>
            </w:r>
          </w:p>
        </w:tc>
        <w:tc>
          <w:tcPr>
            <w:tcW w:w="1051" w:type="dxa"/>
            <w:tcBorders>
              <w:top w:val="nil"/>
              <w:left w:val="nil"/>
              <w:bottom w:val="single" w:sz="4" w:space="0" w:color="auto"/>
              <w:right w:val="nil"/>
            </w:tcBorders>
            <w:shd w:val="clear" w:color="auto" w:fill="auto"/>
            <w:noWrap/>
            <w:hideMark/>
          </w:tcPr>
          <w:p w:rsidR="003C0C6B" w:rsidRPr="006F709E" w:rsidRDefault="003C0C6B" w:rsidP="00D7188C">
            <w:pPr>
              <w:pStyle w:val="Tablehead2"/>
              <w:jc w:val="center"/>
            </w:pPr>
            <w:r w:rsidRPr="006F709E">
              <w:t>Total</w:t>
            </w:r>
          </w:p>
        </w:tc>
      </w:tr>
      <w:tr w:rsidR="006F709E" w:rsidRPr="006F709E" w:rsidTr="00D7188C">
        <w:tc>
          <w:tcPr>
            <w:tcW w:w="1433" w:type="dxa"/>
            <w:tcBorders>
              <w:top w:val="single" w:sz="4" w:space="0" w:color="auto"/>
              <w:left w:val="nil"/>
              <w:bottom w:val="nil"/>
              <w:right w:val="nil"/>
            </w:tcBorders>
            <w:shd w:val="clear" w:color="auto" w:fill="auto"/>
            <w:noWrap/>
            <w:hideMark/>
          </w:tcPr>
          <w:p w:rsidR="006F709E" w:rsidRPr="00074B82" w:rsidRDefault="006F709E" w:rsidP="00A22406">
            <w:pPr>
              <w:pStyle w:val="Tabletext"/>
            </w:pPr>
            <w:r w:rsidRPr="00074B82">
              <w:t>1</w:t>
            </w:r>
          </w:p>
        </w:tc>
        <w:tc>
          <w:tcPr>
            <w:tcW w:w="1050"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482"/>
              </w:tabs>
            </w:pPr>
            <w:r w:rsidRPr="00CC2A11">
              <w:t>88</w:t>
            </w:r>
          </w:p>
        </w:tc>
        <w:tc>
          <w:tcPr>
            <w:tcW w:w="1051"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482"/>
              </w:tabs>
            </w:pPr>
            <w:r w:rsidRPr="00CC2A11">
              <w:t>11</w:t>
            </w:r>
          </w:p>
        </w:tc>
        <w:tc>
          <w:tcPr>
            <w:tcW w:w="1051"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1</w:t>
            </w:r>
          </w:p>
        </w:tc>
        <w:tc>
          <w:tcPr>
            <w:tcW w:w="1051"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1</w:t>
            </w:r>
          </w:p>
        </w:tc>
        <w:tc>
          <w:tcPr>
            <w:tcW w:w="1051" w:type="dxa"/>
            <w:tcBorders>
              <w:top w:val="single" w:sz="4" w:space="0" w:color="auto"/>
              <w:left w:val="nil"/>
              <w:bottom w:val="nil"/>
              <w:right w:val="nil"/>
            </w:tcBorders>
            <w:shd w:val="clear" w:color="auto" w:fill="auto"/>
            <w:noWrap/>
            <w:hideMark/>
          </w:tcPr>
          <w:p w:rsidR="006F709E" w:rsidRPr="00CC2A11" w:rsidRDefault="006F709E" w:rsidP="00D7188C">
            <w:pPr>
              <w:pStyle w:val="Tabletext"/>
              <w:tabs>
                <w:tab w:val="decimal" w:pos="539"/>
              </w:tabs>
            </w:pPr>
            <w:r w:rsidRPr="00CC2A11">
              <w:t>100</w:t>
            </w:r>
          </w:p>
        </w:tc>
      </w:tr>
      <w:tr w:rsidR="006F709E" w:rsidRPr="006F709E" w:rsidTr="00D7188C">
        <w:tc>
          <w:tcPr>
            <w:tcW w:w="1433" w:type="dxa"/>
            <w:tcBorders>
              <w:top w:val="nil"/>
              <w:left w:val="nil"/>
              <w:bottom w:val="nil"/>
              <w:right w:val="nil"/>
            </w:tcBorders>
            <w:shd w:val="clear" w:color="auto" w:fill="auto"/>
            <w:noWrap/>
            <w:hideMark/>
          </w:tcPr>
          <w:p w:rsidR="006F709E" w:rsidRPr="00074B82" w:rsidRDefault="006F709E" w:rsidP="00A22406">
            <w:pPr>
              <w:pStyle w:val="Tabletext"/>
            </w:pPr>
            <w:r w:rsidRPr="00074B82">
              <w:t>2</w:t>
            </w:r>
          </w:p>
        </w:tc>
        <w:tc>
          <w:tcPr>
            <w:tcW w:w="1050" w:type="dxa"/>
            <w:tcBorders>
              <w:top w:val="nil"/>
              <w:left w:val="nil"/>
              <w:bottom w:val="nil"/>
              <w:right w:val="nil"/>
            </w:tcBorders>
            <w:shd w:val="clear" w:color="auto" w:fill="auto"/>
            <w:noWrap/>
            <w:hideMark/>
          </w:tcPr>
          <w:p w:rsidR="006F709E" w:rsidRPr="00CC2A11" w:rsidRDefault="006F709E" w:rsidP="00D7188C">
            <w:pPr>
              <w:pStyle w:val="Tabletext"/>
              <w:tabs>
                <w:tab w:val="decimal" w:pos="482"/>
              </w:tabs>
            </w:pPr>
            <w:r w:rsidRPr="00CC2A11">
              <w:t>15</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82"/>
              </w:tabs>
            </w:pPr>
            <w:r w:rsidRPr="00CC2A11">
              <w:t>74</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11</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539"/>
              </w:tabs>
            </w:pPr>
            <w:r w:rsidRPr="00CC2A11">
              <w:t>100</w:t>
            </w:r>
          </w:p>
        </w:tc>
      </w:tr>
      <w:tr w:rsidR="006F709E" w:rsidRPr="006F709E" w:rsidTr="00CC2A11">
        <w:trPr>
          <w:trHeight w:val="257"/>
        </w:trPr>
        <w:tc>
          <w:tcPr>
            <w:tcW w:w="1433" w:type="dxa"/>
            <w:tcBorders>
              <w:top w:val="nil"/>
              <w:left w:val="nil"/>
              <w:bottom w:val="nil"/>
              <w:right w:val="nil"/>
            </w:tcBorders>
            <w:shd w:val="clear" w:color="auto" w:fill="auto"/>
            <w:noWrap/>
            <w:hideMark/>
          </w:tcPr>
          <w:p w:rsidR="006F709E" w:rsidRPr="00074B82" w:rsidRDefault="006F709E" w:rsidP="00A22406">
            <w:pPr>
              <w:pStyle w:val="Tabletext"/>
            </w:pPr>
            <w:r w:rsidRPr="00074B82">
              <w:t>3</w:t>
            </w:r>
          </w:p>
        </w:tc>
        <w:tc>
          <w:tcPr>
            <w:tcW w:w="1050" w:type="dxa"/>
            <w:tcBorders>
              <w:top w:val="nil"/>
              <w:left w:val="nil"/>
              <w:bottom w:val="nil"/>
              <w:right w:val="nil"/>
            </w:tcBorders>
            <w:shd w:val="clear" w:color="auto" w:fill="auto"/>
            <w:noWrap/>
            <w:hideMark/>
          </w:tcPr>
          <w:p w:rsidR="006F709E" w:rsidRPr="00CC2A11" w:rsidRDefault="006F709E" w:rsidP="00D7188C">
            <w:pPr>
              <w:pStyle w:val="Tabletext"/>
              <w:tabs>
                <w:tab w:val="decimal" w:pos="482"/>
              </w:tabs>
            </w:pPr>
            <w:r w:rsidRPr="00CC2A11">
              <w:t>0</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82"/>
              </w:tabs>
            </w:pPr>
            <w:r w:rsidRPr="00CC2A11">
              <w:t>18</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69</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12</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454"/>
              </w:tabs>
            </w:pPr>
            <w:r w:rsidRPr="00CC2A11">
              <w:t>0</w:t>
            </w:r>
          </w:p>
        </w:tc>
        <w:tc>
          <w:tcPr>
            <w:tcW w:w="1051" w:type="dxa"/>
            <w:tcBorders>
              <w:top w:val="nil"/>
              <w:left w:val="nil"/>
              <w:bottom w:val="nil"/>
              <w:right w:val="nil"/>
            </w:tcBorders>
            <w:shd w:val="clear" w:color="auto" w:fill="auto"/>
            <w:noWrap/>
            <w:hideMark/>
          </w:tcPr>
          <w:p w:rsidR="006F709E" w:rsidRPr="00CC2A11" w:rsidRDefault="006F709E" w:rsidP="00D7188C">
            <w:pPr>
              <w:pStyle w:val="Tabletext"/>
              <w:tabs>
                <w:tab w:val="decimal" w:pos="539"/>
              </w:tabs>
            </w:pPr>
            <w:r w:rsidRPr="00CC2A11">
              <w:t>100</w:t>
            </w:r>
          </w:p>
        </w:tc>
      </w:tr>
      <w:tr w:rsidR="006F709E" w:rsidRPr="006F709E" w:rsidTr="00D7188C">
        <w:tc>
          <w:tcPr>
            <w:tcW w:w="1433" w:type="dxa"/>
            <w:tcBorders>
              <w:top w:val="nil"/>
              <w:left w:val="nil"/>
              <w:right w:val="nil"/>
            </w:tcBorders>
            <w:shd w:val="clear" w:color="auto" w:fill="auto"/>
            <w:noWrap/>
            <w:hideMark/>
          </w:tcPr>
          <w:p w:rsidR="006F709E" w:rsidRPr="00074B82" w:rsidRDefault="006F709E" w:rsidP="00A22406">
            <w:pPr>
              <w:pStyle w:val="Tabletext"/>
            </w:pPr>
            <w:r w:rsidRPr="00074B82">
              <w:t>4</w:t>
            </w:r>
          </w:p>
        </w:tc>
        <w:tc>
          <w:tcPr>
            <w:tcW w:w="1050" w:type="dxa"/>
            <w:tcBorders>
              <w:top w:val="nil"/>
              <w:left w:val="nil"/>
              <w:right w:val="nil"/>
            </w:tcBorders>
            <w:shd w:val="clear" w:color="auto" w:fill="auto"/>
            <w:noWrap/>
            <w:hideMark/>
          </w:tcPr>
          <w:p w:rsidR="006F709E" w:rsidRPr="00CC2A11" w:rsidRDefault="006F709E" w:rsidP="00D7188C">
            <w:pPr>
              <w:pStyle w:val="Tabletext"/>
              <w:tabs>
                <w:tab w:val="decimal" w:pos="482"/>
              </w:tabs>
            </w:pPr>
            <w:r w:rsidRPr="00CC2A11">
              <w:t>0</w:t>
            </w:r>
          </w:p>
        </w:tc>
        <w:tc>
          <w:tcPr>
            <w:tcW w:w="1051" w:type="dxa"/>
            <w:tcBorders>
              <w:top w:val="nil"/>
              <w:left w:val="nil"/>
              <w:right w:val="nil"/>
            </w:tcBorders>
            <w:shd w:val="clear" w:color="auto" w:fill="auto"/>
            <w:noWrap/>
            <w:hideMark/>
          </w:tcPr>
          <w:p w:rsidR="006F709E" w:rsidRPr="00CC2A11" w:rsidRDefault="006F709E" w:rsidP="00D7188C">
            <w:pPr>
              <w:pStyle w:val="Tabletext"/>
              <w:tabs>
                <w:tab w:val="decimal" w:pos="482"/>
              </w:tabs>
            </w:pPr>
            <w:r w:rsidRPr="00CC2A11">
              <w:t>0</w:t>
            </w:r>
          </w:p>
        </w:tc>
        <w:tc>
          <w:tcPr>
            <w:tcW w:w="1051" w:type="dxa"/>
            <w:tcBorders>
              <w:top w:val="nil"/>
              <w:left w:val="nil"/>
              <w:right w:val="nil"/>
            </w:tcBorders>
            <w:shd w:val="clear" w:color="auto" w:fill="auto"/>
            <w:noWrap/>
            <w:hideMark/>
          </w:tcPr>
          <w:p w:rsidR="006F709E" w:rsidRPr="00CC2A11" w:rsidRDefault="006F709E" w:rsidP="00D7188C">
            <w:pPr>
              <w:pStyle w:val="Tabletext"/>
              <w:tabs>
                <w:tab w:val="decimal" w:pos="454"/>
              </w:tabs>
            </w:pPr>
            <w:r w:rsidRPr="00CC2A11">
              <w:t>16</w:t>
            </w:r>
          </w:p>
        </w:tc>
        <w:tc>
          <w:tcPr>
            <w:tcW w:w="1051" w:type="dxa"/>
            <w:tcBorders>
              <w:top w:val="nil"/>
              <w:left w:val="nil"/>
              <w:right w:val="nil"/>
            </w:tcBorders>
            <w:shd w:val="clear" w:color="auto" w:fill="auto"/>
            <w:noWrap/>
            <w:hideMark/>
          </w:tcPr>
          <w:p w:rsidR="006F709E" w:rsidRPr="00CC2A11" w:rsidRDefault="006F709E" w:rsidP="00D7188C">
            <w:pPr>
              <w:pStyle w:val="Tabletext"/>
              <w:tabs>
                <w:tab w:val="decimal" w:pos="454"/>
              </w:tabs>
            </w:pPr>
            <w:r w:rsidRPr="00CC2A11">
              <w:t>75</w:t>
            </w:r>
          </w:p>
        </w:tc>
        <w:tc>
          <w:tcPr>
            <w:tcW w:w="1051" w:type="dxa"/>
            <w:tcBorders>
              <w:top w:val="nil"/>
              <w:left w:val="nil"/>
              <w:right w:val="nil"/>
            </w:tcBorders>
            <w:shd w:val="clear" w:color="auto" w:fill="auto"/>
            <w:noWrap/>
            <w:hideMark/>
          </w:tcPr>
          <w:p w:rsidR="006F709E" w:rsidRPr="00CC2A11" w:rsidRDefault="006F709E" w:rsidP="00D7188C">
            <w:pPr>
              <w:pStyle w:val="Tabletext"/>
              <w:tabs>
                <w:tab w:val="decimal" w:pos="454"/>
              </w:tabs>
            </w:pPr>
            <w:r w:rsidRPr="00CC2A11">
              <w:t>7</w:t>
            </w:r>
          </w:p>
        </w:tc>
        <w:tc>
          <w:tcPr>
            <w:tcW w:w="1051" w:type="dxa"/>
            <w:tcBorders>
              <w:top w:val="nil"/>
              <w:left w:val="nil"/>
              <w:right w:val="nil"/>
            </w:tcBorders>
            <w:shd w:val="clear" w:color="auto" w:fill="auto"/>
            <w:noWrap/>
            <w:hideMark/>
          </w:tcPr>
          <w:p w:rsidR="006F709E" w:rsidRPr="00CC2A11" w:rsidRDefault="006F709E" w:rsidP="00D7188C">
            <w:pPr>
              <w:pStyle w:val="Tabletext"/>
              <w:tabs>
                <w:tab w:val="decimal" w:pos="454"/>
              </w:tabs>
            </w:pPr>
            <w:r w:rsidRPr="00CC2A11">
              <w:t>2</w:t>
            </w:r>
          </w:p>
        </w:tc>
        <w:tc>
          <w:tcPr>
            <w:tcW w:w="1051" w:type="dxa"/>
            <w:tcBorders>
              <w:top w:val="nil"/>
              <w:left w:val="nil"/>
              <w:right w:val="nil"/>
            </w:tcBorders>
            <w:shd w:val="clear" w:color="auto" w:fill="auto"/>
            <w:noWrap/>
            <w:hideMark/>
          </w:tcPr>
          <w:p w:rsidR="006F709E" w:rsidRPr="00CC2A11" w:rsidRDefault="006F709E" w:rsidP="00D7188C">
            <w:pPr>
              <w:pStyle w:val="Tabletext"/>
              <w:tabs>
                <w:tab w:val="decimal" w:pos="539"/>
              </w:tabs>
            </w:pPr>
            <w:r w:rsidRPr="00CC2A11">
              <w:t>100</w:t>
            </w:r>
          </w:p>
        </w:tc>
      </w:tr>
      <w:tr w:rsidR="006F709E" w:rsidRPr="006F709E" w:rsidTr="00D7188C">
        <w:tc>
          <w:tcPr>
            <w:tcW w:w="1433" w:type="dxa"/>
            <w:tcBorders>
              <w:top w:val="nil"/>
              <w:left w:val="nil"/>
              <w:bottom w:val="single" w:sz="4" w:space="0" w:color="auto"/>
              <w:right w:val="nil"/>
            </w:tcBorders>
            <w:shd w:val="clear" w:color="auto" w:fill="auto"/>
            <w:noWrap/>
            <w:hideMark/>
          </w:tcPr>
          <w:p w:rsidR="006F709E" w:rsidRPr="00074B82" w:rsidRDefault="006F709E" w:rsidP="00A22406">
            <w:pPr>
              <w:pStyle w:val="Tabletext"/>
            </w:pPr>
            <w:r w:rsidRPr="00074B82">
              <w:t>5</w:t>
            </w:r>
          </w:p>
        </w:tc>
        <w:tc>
          <w:tcPr>
            <w:tcW w:w="1050"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482"/>
              </w:tabs>
            </w:pPr>
            <w:r w:rsidRPr="00CC2A11">
              <w:t>0</w:t>
            </w:r>
          </w:p>
        </w:tc>
        <w:tc>
          <w:tcPr>
            <w:tcW w:w="1051"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482"/>
              </w:tabs>
            </w:pPr>
            <w:r w:rsidRPr="00CC2A11">
              <w:t>0</w:t>
            </w:r>
          </w:p>
        </w:tc>
        <w:tc>
          <w:tcPr>
            <w:tcW w:w="1051"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454"/>
              </w:tabs>
            </w:pPr>
            <w:r w:rsidRPr="00CC2A11">
              <w:t>1</w:t>
            </w:r>
          </w:p>
        </w:tc>
        <w:tc>
          <w:tcPr>
            <w:tcW w:w="1051"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454"/>
              </w:tabs>
            </w:pPr>
            <w:r w:rsidRPr="00CC2A11">
              <w:t>10</w:t>
            </w:r>
          </w:p>
        </w:tc>
        <w:tc>
          <w:tcPr>
            <w:tcW w:w="1051"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454"/>
              </w:tabs>
            </w:pPr>
            <w:r w:rsidRPr="00CC2A11">
              <w:t>88</w:t>
            </w:r>
          </w:p>
        </w:tc>
        <w:tc>
          <w:tcPr>
            <w:tcW w:w="1051"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454"/>
              </w:tabs>
            </w:pPr>
            <w:r w:rsidRPr="00CC2A11">
              <w:t>1</w:t>
            </w:r>
          </w:p>
        </w:tc>
        <w:tc>
          <w:tcPr>
            <w:tcW w:w="1051" w:type="dxa"/>
            <w:tcBorders>
              <w:top w:val="nil"/>
              <w:left w:val="nil"/>
              <w:bottom w:val="single" w:sz="4" w:space="0" w:color="auto"/>
              <w:right w:val="nil"/>
            </w:tcBorders>
            <w:shd w:val="clear" w:color="auto" w:fill="auto"/>
            <w:noWrap/>
            <w:hideMark/>
          </w:tcPr>
          <w:p w:rsidR="006F709E" w:rsidRPr="00CC2A11" w:rsidRDefault="006F709E" w:rsidP="00D7188C">
            <w:pPr>
              <w:pStyle w:val="Tabletext"/>
              <w:tabs>
                <w:tab w:val="decimal" w:pos="539"/>
              </w:tabs>
            </w:pPr>
            <w:r w:rsidRPr="00CC2A11">
              <w:t>100</w:t>
            </w:r>
          </w:p>
        </w:tc>
      </w:tr>
    </w:tbl>
    <w:p w:rsidR="0058532B" w:rsidRDefault="00A54A85" w:rsidP="00D7188C">
      <w:pPr>
        <w:pStyle w:val="Textmorebefore"/>
      </w:pPr>
      <w:r>
        <w:t>We see</w:t>
      </w:r>
      <w:r w:rsidR="009E2BAB">
        <w:t xml:space="preserve"> there is considerable </w:t>
      </w:r>
      <w:r w:rsidR="00060966">
        <w:t xml:space="preserve">change in the SEIFA classifications for both </w:t>
      </w:r>
      <w:r w:rsidR="00AF0F47">
        <w:t>postal areas</w:t>
      </w:r>
      <w:r w:rsidR="00060966">
        <w:t xml:space="preserve"> and </w:t>
      </w:r>
      <w:r w:rsidR="00AF0F47">
        <w:t>statistical local areas</w:t>
      </w:r>
      <w:r w:rsidR="00060966">
        <w:t xml:space="preserve"> between 2006 and 2011.</w:t>
      </w:r>
      <w:r w:rsidR="009E2BAB">
        <w:t xml:space="preserve"> For example, taking the first </w:t>
      </w:r>
      <w:r>
        <w:t>quintile</w:t>
      </w:r>
      <w:r w:rsidR="009E2BAB">
        <w:t xml:space="preserve"> in 2006 (defined by POA)</w:t>
      </w:r>
      <w:r w:rsidR="00496843">
        <w:t>,</w:t>
      </w:r>
      <w:r w:rsidR="009E2BAB">
        <w:t xml:space="preserve"> we see that 19% of the areas in that quintile in 2011 have been reassigned (in fact 1% of them to quintile 4). A second point is that the </w:t>
      </w:r>
      <w:r>
        <w:t>boundary</w:t>
      </w:r>
      <w:r w:rsidR="009E2BAB">
        <w:t xml:space="preserve"> effects prevent the </w:t>
      </w:r>
      <w:r>
        <w:t>discrepancies</w:t>
      </w:r>
      <w:r w:rsidR="009E2BAB">
        <w:t xml:space="preserve"> from </w:t>
      </w:r>
      <w:r>
        <w:t>cancelling</w:t>
      </w:r>
      <w:r w:rsidR="009E2BAB">
        <w:t xml:space="preserve"> out. </w:t>
      </w:r>
      <w:r w:rsidR="00060966">
        <w:t>T</w:t>
      </w:r>
      <w:r w:rsidR="009E2BAB">
        <w:t xml:space="preserve">hat is, the </w:t>
      </w:r>
      <w:r w:rsidR="00060966">
        <w:t>re</w:t>
      </w:r>
      <w:r w:rsidR="009E2BAB">
        <w:t xml:space="preserve">classification of areas in quintiles 1 and 5 are in only one direction. This boundary effect does not operate to the same extent for </w:t>
      </w:r>
      <w:r>
        <w:t>quintiles</w:t>
      </w:r>
      <w:r w:rsidR="009E2BAB">
        <w:t xml:space="preserve"> 2, 3 and 4 and thus the extent of </w:t>
      </w:r>
      <w:r w:rsidR="00060966">
        <w:t>re</w:t>
      </w:r>
      <w:r w:rsidR="009E2BAB">
        <w:t>classification tends to be higher for these quintiles.</w:t>
      </w:r>
    </w:p>
    <w:p w:rsidR="00FE5687" w:rsidRPr="00D7188C" w:rsidRDefault="00FE5687" w:rsidP="00D7188C">
      <w:pPr>
        <w:pStyle w:val="Text"/>
      </w:pPr>
      <w:r>
        <w:t xml:space="preserve">From table </w:t>
      </w:r>
      <w:r w:rsidR="0003597A">
        <w:t>5</w:t>
      </w:r>
      <w:r>
        <w:t xml:space="preserve">, it is clear that the </w:t>
      </w:r>
      <w:r w:rsidR="00496843">
        <w:t>statistical local areas</w:t>
      </w:r>
      <w:r>
        <w:t xml:space="preserve"> are more stable over time, that is, a</w:t>
      </w:r>
      <w:r w:rsidR="00496843">
        <w:t>n</w:t>
      </w:r>
      <w:r>
        <w:t xml:space="preserve"> SLA is more likely to be classified with the same SEIFA quintile in 2006 and 2011. This is most likely because the </w:t>
      </w:r>
      <w:r w:rsidR="00496843">
        <w:t>postal area</w:t>
      </w:r>
      <w:r>
        <w:t xml:space="preserve"> is at a lower lev</w:t>
      </w:r>
      <w:r w:rsidR="00496843">
        <w:t xml:space="preserve">el of </w:t>
      </w:r>
      <w:r w:rsidR="00496843" w:rsidRPr="00D7188C">
        <w:t>aggregation than the SLA —</w:t>
      </w:r>
      <w:r w:rsidRPr="00D7188C">
        <w:t xml:space="preserve"> the coarser the classification the less likely is </w:t>
      </w:r>
      <w:r w:rsidR="00060966" w:rsidRPr="00D7188C">
        <w:t>re</w:t>
      </w:r>
      <w:r w:rsidRPr="00D7188C">
        <w:t>classification.</w:t>
      </w:r>
    </w:p>
    <w:p w:rsidR="009E2BAB" w:rsidRPr="00D7188C" w:rsidRDefault="009E2BAB" w:rsidP="00D7188C">
      <w:pPr>
        <w:pStyle w:val="Text"/>
      </w:pPr>
      <w:r w:rsidRPr="00D7188C">
        <w:t xml:space="preserve">The </w:t>
      </w:r>
      <w:r w:rsidR="00A54A85" w:rsidRPr="00D7188C">
        <w:t>implication</w:t>
      </w:r>
      <w:r w:rsidRPr="00D7188C">
        <w:t xml:space="preserve"> of </w:t>
      </w:r>
      <w:r w:rsidR="00060966" w:rsidRPr="00D7188C">
        <w:t>these re</w:t>
      </w:r>
      <w:r w:rsidRPr="00D7188C">
        <w:t>classification</w:t>
      </w:r>
      <w:r w:rsidR="00060966" w:rsidRPr="00D7188C">
        <w:t>s</w:t>
      </w:r>
      <w:r w:rsidRPr="00D7188C">
        <w:t xml:space="preserve"> is that the relationship between SES quintile </w:t>
      </w:r>
      <w:r w:rsidR="00A54A85" w:rsidRPr="00D7188C">
        <w:t>and</w:t>
      </w:r>
      <w:r w:rsidRPr="00D7188C">
        <w:t xml:space="preserve"> educational participation will become distorted over time, with the </w:t>
      </w:r>
      <w:r w:rsidR="00A54A85" w:rsidRPr="00D7188C">
        <w:t>apparent</w:t>
      </w:r>
      <w:r w:rsidRPr="00D7188C">
        <w:t xml:space="preserve"> participation by </w:t>
      </w:r>
      <w:r w:rsidR="00496843" w:rsidRPr="00D7188C">
        <w:t>socioeconomic status</w:t>
      </w:r>
      <w:r w:rsidRPr="00D7188C">
        <w:t xml:space="preserve"> changing over time even if there </w:t>
      </w:r>
      <w:r w:rsidR="00FD2F58" w:rsidRPr="00D7188C">
        <w:t>is</w:t>
      </w:r>
      <w:r w:rsidRPr="00D7188C">
        <w:t xml:space="preserve"> no underlying change</w:t>
      </w:r>
      <w:r w:rsidR="00F22E05" w:rsidRPr="00D7188C">
        <w:t xml:space="preserve"> for the cohorts in question</w:t>
      </w:r>
      <w:r w:rsidRPr="00D7188C">
        <w:t>.</w:t>
      </w:r>
    </w:p>
    <w:p w:rsidR="00B817FC" w:rsidRPr="00D7188C" w:rsidRDefault="00A54A85" w:rsidP="00D7188C">
      <w:pPr>
        <w:pStyle w:val="Text"/>
      </w:pPr>
      <w:r w:rsidRPr="00D7188C">
        <w:lastRenderedPageBreak/>
        <w:t xml:space="preserve">We now investigate the impact of participation rates by SEIFA quintile through the use of indexes from different census years. The point is to see whether the </w:t>
      </w:r>
      <w:r w:rsidR="00060966" w:rsidRPr="00D7188C">
        <w:t>reclassification of the SEIFA of areas in 2011</w:t>
      </w:r>
      <w:r w:rsidRPr="00D7188C">
        <w:t xml:space="preserve"> </w:t>
      </w:r>
      <w:r w:rsidR="007C58C7" w:rsidRPr="00D7188C">
        <w:t>from</w:t>
      </w:r>
      <w:r w:rsidRPr="00D7188C">
        <w:t xml:space="preserve"> 2006 SEIFA has a significant impact on VET participation rates by SES quintile. </w:t>
      </w:r>
      <w:r w:rsidR="00B817FC" w:rsidRPr="00D7188C">
        <w:t xml:space="preserve">In order to do this, both the 2006 and 2011 indexes based on postal area </w:t>
      </w:r>
      <w:r w:rsidR="00315A88" w:rsidRPr="00D7188C">
        <w:t xml:space="preserve">and </w:t>
      </w:r>
      <w:r w:rsidR="00496843" w:rsidRPr="00D7188C">
        <w:t>statistical local area</w:t>
      </w:r>
      <w:r w:rsidR="00315A88" w:rsidRPr="00D7188C">
        <w:t xml:space="preserve"> </w:t>
      </w:r>
      <w:r w:rsidR="00B817FC" w:rsidRPr="00D7188C">
        <w:t>are appended to</w:t>
      </w:r>
      <w:r w:rsidR="00315A88" w:rsidRPr="00D7188C">
        <w:t xml:space="preserve"> VET</w:t>
      </w:r>
      <w:r w:rsidR="00B817FC" w:rsidRPr="00D7188C">
        <w:t xml:space="preserve"> clients </w:t>
      </w:r>
      <w:r w:rsidR="00315A88" w:rsidRPr="00D7188C">
        <w:t>using the</w:t>
      </w:r>
      <w:r w:rsidR="00496843" w:rsidRPr="00D7188C">
        <w:t xml:space="preserve"> 2006 and 2011</w:t>
      </w:r>
      <w:r w:rsidR="00FD2F58" w:rsidRPr="00D7188C">
        <w:t xml:space="preserve"> NCVER VET c</w:t>
      </w:r>
      <w:r w:rsidR="00B817FC" w:rsidRPr="00D7188C">
        <w:t>ollection</w:t>
      </w:r>
      <w:r w:rsidR="00315A88" w:rsidRPr="00D7188C">
        <w:t>.</w:t>
      </w:r>
    </w:p>
    <w:p w:rsidR="00F70F1E" w:rsidRPr="00D7188C" w:rsidRDefault="000E5583" w:rsidP="00D7188C">
      <w:pPr>
        <w:pStyle w:val="Text"/>
      </w:pPr>
      <w:r w:rsidRPr="00D7188C">
        <w:t>To</w:t>
      </w:r>
      <w:r w:rsidR="002A4CCF" w:rsidRPr="00D7188C">
        <w:t xml:space="preserve"> determine the impact of using a static SEIFA measure (say 200</w:t>
      </w:r>
      <w:r w:rsidRPr="00D7188C">
        <w:t>6) in the years between census</w:t>
      </w:r>
      <w:r w:rsidR="00897152" w:rsidRPr="00D7188C">
        <w:t>es</w:t>
      </w:r>
      <w:r w:rsidRPr="00D7188C">
        <w:t xml:space="preserve">, we present </w:t>
      </w:r>
      <w:bookmarkStart w:id="29" w:name="_Ref361298681"/>
      <w:r w:rsidR="00F70F1E" w:rsidRPr="00D7188C">
        <w:t>the impact of using SEIFA from two different census</w:t>
      </w:r>
      <w:r w:rsidR="00FE5687" w:rsidRPr="00D7188C">
        <w:t>es</w:t>
      </w:r>
      <w:r w:rsidR="00F70F1E" w:rsidRPr="00D7188C">
        <w:t xml:space="preserve"> on the same data</w:t>
      </w:r>
      <w:r w:rsidR="005040B8" w:rsidRPr="00D7188C">
        <w:t xml:space="preserve">. For example, </w:t>
      </w:r>
      <w:r w:rsidR="00496843" w:rsidRPr="00D7188C">
        <w:t>t</w:t>
      </w:r>
      <w:r w:rsidR="00FC7F46" w:rsidRPr="00D7188C">
        <w:t xml:space="preserve">able </w:t>
      </w:r>
      <w:r w:rsidR="0003597A" w:rsidRPr="00D7188C">
        <w:t>6</w:t>
      </w:r>
      <w:r w:rsidR="00FC7F46" w:rsidRPr="00D7188C">
        <w:t xml:space="preserve"> </w:t>
      </w:r>
      <w:r w:rsidR="005040B8" w:rsidRPr="00D7188C">
        <w:t>presents p</w:t>
      </w:r>
      <w:r w:rsidR="00496843" w:rsidRPr="00D7188C">
        <w:t>articipation rates for 15 to 19-years-</w:t>
      </w:r>
      <w:r w:rsidR="005040B8" w:rsidRPr="00D7188C">
        <w:t>olds for 2006</w:t>
      </w:r>
      <w:r w:rsidR="00496843" w:rsidRPr="00D7188C">
        <w:t>,</w:t>
      </w:r>
      <w:r w:rsidR="005040B8" w:rsidRPr="00D7188C">
        <w:t xml:space="preserve"> using 2006 SEIFA values, and the participation rates for the 2011 collection</w:t>
      </w:r>
      <w:r w:rsidR="00496843" w:rsidRPr="00D7188C">
        <w:t>,</w:t>
      </w:r>
      <w:r w:rsidR="005040B8" w:rsidRPr="00D7188C">
        <w:t xml:space="preserve"> using both 2006 and 2011 SEIFA values. </w:t>
      </w:r>
      <w:r w:rsidR="00496843" w:rsidRPr="00D7188C">
        <w:t xml:space="preserve">Columns two and four are the </w:t>
      </w:r>
      <w:r w:rsidR="00E654C4">
        <w:t>‘</w:t>
      </w:r>
      <w:r w:rsidR="00496843" w:rsidRPr="00D7188C">
        <w:t>truth</w:t>
      </w:r>
      <w:r w:rsidR="00E654C4">
        <w:t>’</w:t>
      </w:r>
      <w:r w:rsidR="00496843" w:rsidRPr="00D7188C">
        <w:t>;</w:t>
      </w:r>
      <w:r w:rsidR="006E1424" w:rsidRPr="00D7188C">
        <w:t xml:space="preserve"> that is, the participation rates for each quintile using the data and SEIFA values for the years they are collected. The mid</w:t>
      </w:r>
      <w:r w:rsidR="00496843" w:rsidRPr="00D7188C">
        <w:t xml:space="preserve">dle column represents the </w:t>
      </w:r>
      <w:r w:rsidR="00E654C4">
        <w:t>‘</w:t>
      </w:r>
      <w:r w:rsidR="006E1424" w:rsidRPr="00D7188C">
        <w:t>a</w:t>
      </w:r>
      <w:r w:rsidR="00661DE2" w:rsidRPr="00D7188C">
        <w:t>pparent</w:t>
      </w:r>
      <w:r w:rsidR="00E654C4">
        <w:t>’</w:t>
      </w:r>
      <w:r w:rsidR="00496843" w:rsidRPr="00D7188C">
        <w:t>;</w:t>
      </w:r>
      <w:r w:rsidR="006E1424" w:rsidRPr="00D7188C">
        <w:t xml:space="preserve"> that is</w:t>
      </w:r>
      <w:r w:rsidR="00496843" w:rsidRPr="00D7188C">
        <w:t>,</w:t>
      </w:r>
      <w:r w:rsidR="006E1424" w:rsidRPr="00D7188C">
        <w:t xml:space="preserve"> the participation rates for each quintile for the 2011 VET collection using the 2006 SEIFA values.</w:t>
      </w:r>
      <w:r w:rsidR="00E43CA1" w:rsidRPr="00D7188C">
        <w:rPr>
          <w:rStyle w:val="FootnoteReference"/>
        </w:rPr>
        <w:footnoteReference w:id="4"/>
      </w:r>
    </w:p>
    <w:p w:rsidR="0039262A" w:rsidRDefault="00661DE2" w:rsidP="00D7188C">
      <w:pPr>
        <w:pStyle w:val="Text"/>
        <w:rPr>
          <w:rFonts w:ascii="Tahoma" w:hAnsi="Tahoma"/>
          <w:b/>
          <w:sz w:val="17"/>
        </w:rPr>
      </w:pPr>
      <w:r w:rsidRPr="00D7188C">
        <w:t>We first consider the analysis b</w:t>
      </w:r>
      <w:r>
        <w:t xml:space="preserve">ased on </w:t>
      </w:r>
      <w:r w:rsidR="00FD2F58">
        <w:t>postal areas</w:t>
      </w:r>
      <w:r>
        <w:t>.</w:t>
      </w:r>
      <w:bookmarkStart w:id="30" w:name="_Ref361402147"/>
    </w:p>
    <w:p w:rsidR="00605671" w:rsidRPr="000706F1" w:rsidRDefault="00605671" w:rsidP="00D7188C">
      <w:pPr>
        <w:pStyle w:val="tabletitle"/>
      </w:pPr>
      <w:bookmarkStart w:id="31" w:name="_Toc383616133"/>
      <w:r w:rsidRPr="000706F1">
        <w:t>Table</w:t>
      </w:r>
      <w:bookmarkEnd w:id="29"/>
      <w:bookmarkEnd w:id="30"/>
      <w:r w:rsidR="0003597A">
        <w:t xml:space="preserve"> 6</w:t>
      </w:r>
      <w:r w:rsidR="00D7188C">
        <w:tab/>
      </w:r>
      <w:r w:rsidRPr="000706F1">
        <w:t>VET participation rates</w:t>
      </w:r>
      <w:r w:rsidR="00FD2F58">
        <w:t>, 15 to 19-year-</w:t>
      </w:r>
      <w:r w:rsidR="00FD2F58" w:rsidRPr="000706F1">
        <w:t>old</w:t>
      </w:r>
      <w:r w:rsidR="00FD2F58">
        <w:t>s</w:t>
      </w:r>
      <w:r w:rsidRPr="000706F1">
        <w:t>,</w:t>
      </w:r>
      <w:r w:rsidR="001628C3" w:rsidRPr="000706F1">
        <w:t xml:space="preserve"> 2006 and 2011, </w:t>
      </w:r>
      <w:r w:rsidR="00496843">
        <w:t>postal areas</w:t>
      </w:r>
      <w:bookmarkEnd w:id="31"/>
      <w:r w:rsidRPr="000706F1">
        <w:t xml:space="preserve"> </w:t>
      </w:r>
    </w:p>
    <w:tbl>
      <w:tblPr>
        <w:tblW w:w="8789" w:type="dxa"/>
        <w:tblInd w:w="108" w:type="dxa"/>
        <w:tblLayout w:type="fixed"/>
        <w:tblLook w:val="04A0" w:firstRow="1" w:lastRow="0" w:firstColumn="1" w:lastColumn="0" w:noHBand="0" w:noVBand="1"/>
      </w:tblPr>
      <w:tblGrid>
        <w:gridCol w:w="2197"/>
        <w:gridCol w:w="2197"/>
        <w:gridCol w:w="2197"/>
        <w:gridCol w:w="2198"/>
      </w:tblGrid>
      <w:tr w:rsidR="00605671" w:rsidRPr="00D7188C" w:rsidTr="00D7188C">
        <w:tc>
          <w:tcPr>
            <w:tcW w:w="2197" w:type="dxa"/>
            <w:tcBorders>
              <w:top w:val="single" w:sz="4" w:space="0" w:color="auto"/>
              <w:left w:val="nil"/>
              <w:bottom w:val="single" w:sz="4" w:space="0" w:color="auto"/>
              <w:right w:val="nil"/>
            </w:tcBorders>
            <w:shd w:val="clear" w:color="auto" w:fill="auto"/>
            <w:noWrap/>
            <w:hideMark/>
          </w:tcPr>
          <w:p w:rsidR="00605671" w:rsidRPr="00D7188C" w:rsidRDefault="00605671" w:rsidP="00D7188C">
            <w:pPr>
              <w:pStyle w:val="Tablehead1"/>
            </w:pPr>
            <w:r w:rsidRPr="00D7188C">
              <w:t>Quintile</w:t>
            </w:r>
          </w:p>
        </w:tc>
        <w:tc>
          <w:tcPr>
            <w:tcW w:w="2197" w:type="dxa"/>
            <w:tcBorders>
              <w:top w:val="single" w:sz="4" w:space="0" w:color="auto"/>
              <w:left w:val="nil"/>
              <w:bottom w:val="single" w:sz="4" w:space="0" w:color="auto"/>
              <w:right w:val="nil"/>
            </w:tcBorders>
            <w:shd w:val="clear" w:color="auto" w:fill="auto"/>
            <w:noWrap/>
            <w:hideMark/>
          </w:tcPr>
          <w:p w:rsidR="00605671" w:rsidRPr="00D7188C" w:rsidRDefault="00605671" w:rsidP="00D7188C">
            <w:pPr>
              <w:pStyle w:val="Tablehead1"/>
              <w:jc w:val="center"/>
            </w:pPr>
            <w:r w:rsidRPr="00D7188C">
              <w:t>2006 collection using 2006</w:t>
            </w:r>
            <w:r w:rsidR="00D7188C">
              <w:t xml:space="preserve"> quintiles</w:t>
            </w:r>
          </w:p>
        </w:tc>
        <w:tc>
          <w:tcPr>
            <w:tcW w:w="2197" w:type="dxa"/>
            <w:tcBorders>
              <w:top w:val="single" w:sz="4" w:space="0" w:color="auto"/>
              <w:left w:val="nil"/>
              <w:bottom w:val="single" w:sz="4" w:space="0" w:color="auto"/>
              <w:right w:val="nil"/>
            </w:tcBorders>
            <w:shd w:val="clear" w:color="auto" w:fill="auto"/>
            <w:noWrap/>
            <w:hideMark/>
          </w:tcPr>
          <w:p w:rsidR="00605671" w:rsidRPr="00D7188C" w:rsidRDefault="00605671" w:rsidP="00D7188C">
            <w:pPr>
              <w:pStyle w:val="Tablehead1"/>
              <w:jc w:val="center"/>
            </w:pPr>
            <w:r w:rsidRPr="00D7188C">
              <w:t>2011 collection using 2006</w:t>
            </w:r>
            <w:r w:rsidR="006B64F4" w:rsidRPr="00D7188C">
              <w:t xml:space="preserve"> quintiles</w:t>
            </w:r>
          </w:p>
        </w:tc>
        <w:tc>
          <w:tcPr>
            <w:tcW w:w="2198" w:type="dxa"/>
            <w:tcBorders>
              <w:top w:val="single" w:sz="4" w:space="0" w:color="auto"/>
              <w:left w:val="nil"/>
              <w:bottom w:val="single" w:sz="4" w:space="0" w:color="auto"/>
              <w:right w:val="nil"/>
            </w:tcBorders>
            <w:shd w:val="clear" w:color="auto" w:fill="auto"/>
            <w:noWrap/>
            <w:hideMark/>
          </w:tcPr>
          <w:p w:rsidR="00605671" w:rsidRPr="00D7188C" w:rsidRDefault="00605671" w:rsidP="00D7188C">
            <w:pPr>
              <w:pStyle w:val="Tablehead1"/>
              <w:jc w:val="center"/>
            </w:pPr>
            <w:r w:rsidRPr="00D7188C">
              <w:t>2011 collection using 2011</w:t>
            </w:r>
            <w:r w:rsidR="006B64F4" w:rsidRPr="00D7188C">
              <w:t xml:space="preserve"> quintiles</w:t>
            </w:r>
          </w:p>
        </w:tc>
      </w:tr>
      <w:tr w:rsidR="000706F1" w:rsidRPr="00D7188C" w:rsidTr="00D7188C">
        <w:tc>
          <w:tcPr>
            <w:tcW w:w="2197" w:type="dxa"/>
            <w:tcBorders>
              <w:top w:val="nil"/>
              <w:left w:val="nil"/>
              <w:bottom w:val="nil"/>
              <w:right w:val="nil"/>
            </w:tcBorders>
            <w:shd w:val="clear" w:color="auto" w:fill="auto"/>
            <w:noWrap/>
            <w:hideMark/>
          </w:tcPr>
          <w:p w:rsidR="000706F1" w:rsidRPr="00D7188C" w:rsidRDefault="000706F1" w:rsidP="00D7188C">
            <w:pPr>
              <w:pStyle w:val="Tabletext"/>
            </w:pPr>
            <w:r w:rsidRPr="00D7188C">
              <w:t>1</w:t>
            </w:r>
          </w:p>
        </w:tc>
        <w:tc>
          <w:tcPr>
            <w:tcW w:w="2197" w:type="dxa"/>
            <w:tcBorders>
              <w:top w:val="nil"/>
              <w:left w:val="nil"/>
              <w:bottom w:val="nil"/>
              <w:right w:val="nil"/>
            </w:tcBorders>
            <w:shd w:val="clear" w:color="auto" w:fill="auto"/>
            <w:noWrap/>
            <w:hideMark/>
          </w:tcPr>
          <w:p w:rsidR="000706F1" w:rsidRPr="00D7188C" w:rsidRDefault="0021066E" w:rsidP="00D7188C">
            <w:pPr>
              <w:pStyle w:val="Tabletext"/>
              <w:tabs>
                <w:tab w:val="decimal" w:pos="992"/>
              </w:tabs>
            </w:pPr>
            <w:r w:rsidRPr="00D7188C">
              <w:rPr>
                <w:szCs w:val="22"/>
              </w:rPr>
              <w:t>40.5</w:t>
            </w:r>
          </w:p>
        </w:tc>
        <w:tc>
          <w:tcPr>
            <w:tcW w:w="2197"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44.9</w:t>
            </w:r>
          </w:p>
        </w:tc>
        <w:tc>
          <w:tcPr>
            <w:tcW w:w="2198"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42.1</w:t>
            </w:r>
          </w:p>
        </w:tc>
      </w:tr>
      <w:tr w:rsidR="000706F1" w:rsidRPr="00D7188C" w:rsidTr="00D7188C">
        <w:tc>
          <w:tcPr>
            <w:tcW w:w="2197" w:type="dxa"/>
            <w:tcBorders>
              <w:top w:val="nil"/>
              <w:left w:val="nil"/>
              <w:bottom w:val="nil"/>
              <w:right w:val="nil"/>
            </w:tcBorders>
            <w:shd w:val="clear" w:color="auto" w:fill="auto"/>
            <w:noWrap/>
            <w:hideMark/>
          </w:tcPr>
          <w:p w:rsidR="000706F1" w:rsidRPr="00D7188C" w:rsidRDefault="000706F1" w:rsidP="00D7188C">
            <w:pPr>
              <w:pStyle w:val="Tabletext"/>
            </w:pPr>
            <w:r w:rsidRPr="00D7188C">
              <w:t>2</w:t>
            </w:r>
          </w:p>
        </w:tc>
        <w:tc>
          <w:tcPr>
            <w:tcW w:w="2197" w:type="dxa"/>
            <w:tcBorders>
              <w:top w:val="nil"/>
              <w:left w:val="nil"/>
              <w:bottom w:val="nil"/>
              <w:right w:val="nil"/>
            </w:tcBorders>
            <w:shd w:val="clear" w:color="auto" w:fill="auto"/>
            <w:noWrap/>
            <w:hideMark/>
          </w:tcPr>
          <w:p w:rsidR="000706F1" w:rsidRPr="00D7188C" w:rsidRDefault="0021066E" w:rsidP="00D7188C">
            <w:pPr>
              <w:pStyle w:val="Tabletext"/>
              <w:tabs>
                <w:tab w:val="decimal" w:pos="992"/>
              </w:tabs>
            </w:pPr>
            <w:r w:rsidRPr="00D7188C">
              <w:rPr>
                <w:szCs w:val="22"/>
              </w:rPr>
              <w:t>45.3</w:t>
            </w:r>
          </w:p>
        </w:tc>
        <w:tc>
          <w:tcPr>
            <w:tcW w:w="2197"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48.5</w:t>
            </w:r>
          </w:p>
        </w:tc>
        <w:tc>
          <w:tcPr>
            <w:tcW w:w="2198" w:type="dxa"/>
            <w:tcBorders>
              <w:top w:val="nil"/>
              <w:left w:val="nil"/>
              <w:bottom w:val="nil"/>
              <w:right w:val="nil"/>
            </w:tcBorders>
            <w:shd w:val="clear" w:color="auto" w:fill="auto"/>
            <w:noWrap/>
            <w:hideMark/>
          </w:tcPr>
          <w:p w:rsidR="000706F1" w:rsidRPr="00D7188C" w:rsidRDefault="0021066E" w:rsidP="00D7188C">
            <w:pPr>
              <w:pStyle w:val="Tabletext"/>
              <w:tabs>
                <w:tab w:val="decimal" w:pos="992"/>
              </w:tabs>
            </w:pPr>
            <w:r w:rsidRPr="00D7188C">
              <w:rPr>
                <w:szCs w:val="22"/>
              </w:rPr>
              <w:t>44.4</w:t>
            </w:r>
          </w:p>
        </w:tc>
      </w:tr>
      <w:tr w:rsidR="000706F1" w:rsidRPr="00D7188C" w:rsidTr="00D7188C">
        <w:tc>
          <w:tcPr>
            <w:tcW w:w="2197" w:type="dxa"/>
            <w:tcBorders>
              <w:top w:val="nil"/>
              <w:left w:val="nil"/>
              <w:bottom w:val="nil"/>
              <w:right w:val="nil"/>
            </w:tcBorders>
            <w:shd w:val="clear" w:color="auto" w:fill="auto"/>
            <w:noWrap/>
            <w:hideMark/>
          </w:tcPr>
          <w:p w:rsidR="000706F1" w:rsidRPr="00D7188C" w:rsidRDefault="000706F1" w:rsidP="00D7188C">
            <w:pPr>
              <w:pStyle w:val="Tabletext"/>
            </w:pPr>
            <w:r w:rsidRPr="00D7188C">
              <w:t>3</w:t>
            </w:r>
          </w:p>
        </w:tc>
        <w:tc>
          <w:tcPr>
            <w:tcW w:w="2197"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32.4</w:t>
            </w:r>
          </w:p>
        </w:tc>
        <w:tc>
          <w:tcPr>
            <w:tcW w:w="2197"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36.6</w:t>
            </w:r>
          </w:p>
        </w:tc>
        <w:tc>
          <w:tcPr>
            <w:tcW w:w="2198"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36.2</w:t>
            </w:r>
          </w:p>
        </w:tc>
      </w:tr>
      <w:tr w:rsidR="000706F1" w:rsidRPr="00D7188C" w:rsidTr="00D7188C">
        <w:tc>
          <w:tcPr>
            <w:tcW w:w="2197" w:type="dxa"/>
            <w:tcBorders>
              <w:top w:val="nil"/>
              <w:left w:val="nil"/>
              <w:bottom w:val="nil"/>
              <w:right w:val="nil"/>
            </w:tcBorders>
            <w:shd w:val="clear" w:color="auto" w:fill="auto"/>
            <w:noWrap/>
            <w:hideMark/>
          </w:tcPr>
          <w:p w:rsidR="000706F1" w:rsidRPr="00D7188C" w:rsidRDefault="000706F1" w:rsidP="00D7188C">
            <w:pPr>
              <w:pStyle w:val="Tabletext"/>
            </w:pPr>
            <w:r w:rsidRPr="00D7188C">
              <w:t>4</w:t>
            </w:r>
          </w:p>
        </w:tc>
        <w:tc>
          <w:tcPr>
            <w:tcW w:w="2197"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24.2</w:t>
            </w:r>
          </w:p>
        </w:tc>
        <w:tc>
          <w:tcPr>
            <w:tcW w:w="2197" w:type="dxa"/>
            <w:tcBorders>
              <w:top w:val="nil"/>
              <w:left w:val="nil"/>
              <w:bottom w:val="nil"/>
              <w:right w:val="nil"/>
            </w:tcBorders>
            <w:shd w:val="clear" w:color="auto" w:fill="auto"/>
            <w:noWrap/>
            <w:hideMark/>
          </w:tcPr>
          <w:p w:rsidR="000706F1" w:rsidRPr="00D7188C" w:rsidRDefault="000706F1" w:rsidP="00D7188C">
            <w:pPr>
              <w:pStyle w:val="Tabletext"/>
              <w:tabs>
                <w:tab w:val="decimal" w:pos="992"/>
              </w:tabs>
            </w:pPr>
            <w:r w:rsidRPr="00D7188C">
              <w:rPr>
                <w:szCs w:val="22"/>
              </w:rPr>
              <w:t>25.2</w:t>
            </w:r>
          </w:p>
        </w:tc>
        <w:tc>
          <w:tcPr>
            <w:tcW w:w="2198" w:type="dxa"/>
            <w:tcBorders>
              <w:top w:val="nil"/>
              <w:left w:val="nil"/>
              <w:bottom w:val="nil"/>
              <w:right w:val="nil"/>
            </w:tcBorders>
            <w:shd w:val="clear" w:color="auto" w:fill="auto"/>
            <w:noWrap/>
            <w:hideMark/>
          </w:tcPr>
          <w:p w:rsidR="000706F1" w:rsidRPr="00D7188C" w:rsidRDefault="0021066E" w:rsidP="00D7188C">
            <w:pPr>
              <w:pStyle w:val="Tabletext"/>
              <w:tabs>
                <w:tab w:val="decimal" w:pos="992"/>
              </w:tabs>
            </w:pPr>
            <w:r w:rsidRPr="00D7188C">
              <w:rPr>
                <w:szCs w:val="22"/>
              </w:rPr>
              <w:t>27.4</w:t>
            </w:r>
          </w:p>
        </w:tc>
      </w:tr>
      <w:tr w:rsidR="000706F1" w:rsidRPr="00D7188C" w:rsidTr="003332D7">
        <w:tc>
          <w:tcPr>
            <w:tcW w:w="2197" w:type="dxa"/>
            <w:tcBorders>
              <w:top w:val="nil"/>
              <w:left w:val="nil"/>
              <w:bottom w:val="single" w:sz="4" w:space="0" w:color="auto"/>
              <w:right w:val="nil"/>
            </w:tcBorders>
            <w:shd w:val="clear" w:color="auto" w:fill="auto"/>
            <w:noWrap/>
            <w:hideMark/>
          </w:tcPr>
          <w:p w:rsidR="000706F1" w:rsidRPr="00D7188C" w:rsidRDefault="000706F1" w:rsidP="00D7188C">
            <w:pPr>
              <w:pStyle w:val="Tabletext"/>
            </w:pPr>
            <w:r w:rsidRPr="00D7188C">
              <w:t>5</w:t>
            </w:r>
          </w:p>
        </w:tc>
        <w:tc>
          <w:tcPr>
            <w:tcW w:w="2197" w:type="dxa"/>
            <w:tcBorders>
              <w:top w:val="nil"/>
              <w:left w:val="nil"/>
              <w:bottom w:val="single" w:sz="4" w:space="0" w:color="auto"/>
              <w:right w:val="nil"/>
            </w:tcBorders>
            <w:shd w:val="clear" w:color="auto" w:fill="auto"/>
            <w:noWrap/>
            <w:hideMark/>
          </w:tcPr>
          <w:p w:rsidR="000706F1" w:rsidRPr="00D7188C" w:rsidRDefault="0021066E" w:rsidP="00D7188C">
            <w:pPr>
              <w:pStyle w:val="Tabletext"/>
              <w:tabs>
                <w:tab w:val="decimal" w:pos="992"/>
              </w:tabs>
            </w:pPr>
            <w:r w:rsidRPr="00D7188C">
              <w:rPr>
                <w:szCs w:val="22"/>
              </w:rPr>
              <w:t>19.6</w:t>
            </w:r>
          </w:p>
        </w:tc>
        <w:tc>
          <w:tcPr>
            <w:tcW w:w="2197" w:type="dxa"/>
            <w:tcBorders>
              <w:top w:val="nil"/>
              <w:left w:val="nil"/>
              <w:bottom w:val="single" w:sz="4" w:space="0" w:color="auto"/>
              <w:right w:val="nil"/>
            </w:tcBorders>
            <w:shd w:val="clear" w:color="auto" w:fill="auto"/>
            <w:noWrap/>
            <w:hideMark/>
          </w:tcPr>
          <w:p w:rsidR="000706F1" w:rsidRPr="00D7188C" w:rsidRDefault="0021066E" w:rsidP="00D7188C">
            <w:pPr>
              <w:pStyle w:val="Tabletext"/>
              <w:tabs>
                <w:tab w:val="decimal" w:pos="992"/>
              </w:tabs>
            </w:pPr>
            <w:r w:rsidRPr="00D7188C">
              <w:rPr>
                <w:szCs w:val="22"/>
              </w:rPr>
              <w:t>19.4</w:t>
            </w:r>
          </w:p>
        </w:tc>
        <w:tc>
          <w:tcPr>
            <w:tcW w:w="2198" w:type="dxa"/>
            <w:tcBorders>
              <w:top w:val="nil"/>
              <w:left w:val="nil"/>
              <w:bottom w:val="single" w:sz="4" w:space="0" w:color="auto"/>
              <w:right w:val="nil"/>
            </w:tcBorders>
            <w:shd w:val="clear" w:color="auto" w:fill="auto"/>
            <w:noWrap/>
            <w:hideMark/>
          </w:tcPr>
          <w:p w:rsidR="000706F1" w:rsidRPr="00D7188C" w:rsidRDefault="000706F1" w:rsidP="00D7188C">
            <w:pPr>
              <w:pStyle w:val="Tabletext"/>
              <w:tabs>
                <w:tab w:val="decimal" w:pos="992"/>
              </w:tabs>
            </w:pPr>
            <w:r w:rsidRPr="00D7188C">
              <w:rPr>
                <w:szCs w:val="22"/>
              </w:rPr>
              <w:t>21.3</w:t>
            </w:r>
          </w:p>
        </w:tc>
      </w:tr>
      <w:tr w:rsidR="000706F1" w:rsidRPr="00D7188C" w:rsidTr="003332D7">
        <w:tc>
          <w:tcPr>
            <w:tcW w:w="2197" w:type="dxa"/>
            <w:tcBorders>
              <w:top w:val="single" w:sz="4" w:space="0" w:color="auto"/>
              <w:left w:val="nil"/>
              <w:bottom w:val="single" w:sz="4" w:space="0" w:color="auto"/>
              <w:right w:val="nil"/>
            </w:tcBorders>
            <w:shd w:val="clear" w:color="auto" w:fill="auto"/>
            <w:noWrap/>
            <w:hideMark/>
          </w:tcPr>
          <w:p w:rsidR="000706F1" w:rsidRPr="00D7188C" w:rsidRDefault="00496843" w:rsidP="00D7188C">
            <w:pPr>
              <w:pStyle w:val="Tabletext"/>
              <w:rPr>
                <w:b/>
              </w:rPr>
            </w:pPr>
            <w:r w:rsidRPr="00D7188C">
              <w:rPr>
                <w:b/>
              </w:rPr>
              <w:t>Total 15 to 19-year-</w:t>
            </w:r>
            <w:r w:rsidR="000706F1" w:rsidRPr="00D7188C">
              <w:rPr>
                <w:b/>
              </w:rPr>
              <w:t>olds</w:t>
            </w:r>
          </w:p>
        </w:tc>
        <w:tc>
          <w:tcPr>
            <w:tcW w:w="2197" w:type="dxa"/>
            <w:tcBorders>
              <w:top w:val="single" w:sz="4" w:space="0" w:color="auto"/>
              <w:left w:val="nil"/>
              <w:bottom w:val="single" w:sz="4" w:space="0" w:color="auto"/>
              <w:right w:val="nil"/>
            </w:tcBorders>
            <w:shd w:val="clear" w:color="auto" w:fill="auto"/>
            <w:noWrap/>
            <w:hideMark/>
          </w:tcPr>
          <w:p w:rsidR="000706F1" w:rsidRPr="00D7188C" w:rsidRDefault="000706F1" w:rsidP="00D7188C">
            <w:pPr>
              <w:pStyle w:val="Tabletext"/>
              <w:tabs>
                <w:tab w:val="decimal" w:pos="992"/>
              </w:tabs>
              <w:rPr>
                <w:b/>
              </w:rPr>
            </w:pPr>
            <w:r w:rsidRPr="00D7188C">
              <w:rPr>
                <w:b/>
                <w:szCs w:val="22"/>
              </w:rPr>
              <w:t>30.7</w:t>
            </w:r>
          </w:p>
        </w:tc>
        <w:tc>
          <w:tcPr>
            <w:tcW w:w="2197" w:type="dxa"/>
            <w:tcBorders>
              <w:top w:val="single" w:sz="4" w:space="0" w:color="auto"/>
              <w:left w:val="nil"/>
              <w:bottom w:val="single" w:sz="4" w:space="0" w:color="auto"/>
              <w:right w:val="nil"/>
            </w:tcBorders>
            <w:shd w:val="clear" w:color="auto" w:fill="auto"/>
            <w:noWrap/>
            <w:hideMark/>
          </w:tcPr>
          <w:p w:rsidR="000706F1" w:rsidRPr="00D7188C" w:rsidRDefault="000706F1" w:rsidP="00D7188C">
            <w:pPr>
              <w:pStyle w:val="Tabletext"/>
              <w:tabs>
                <w:tab w:val="decimal" w:pos="992"/>
              </w:tabs>
              <w:rPr>
                <w:b/>
              </w:rPr>
            </w:pPr>
            <w:r w:rsidRPr="00D7188C">
              <w:rPr>
                <w:b/>
                <w:szCs w:val="22"/>
              </w:rPr>
              <w:t>33.0</w:t>
            </w:r>
          </w:p>
        </w:tc>
        <w:tc>
          <w:tcPr>
            <w:tcW w:w="2198" w:type="dxa"/>
            <w:tcBorders>
              <w:top w:val="single" w:sz="4" w:space="0" w:color="auto"/>
              <w:left w:val="nil"/>
              <w:bottom w:val="single" w:sz="4" w:space="0" w:color="auto"/>
              <w:right w:val="nil"/>
            </w:tcBorders>
            <w:shd w:val="clear" w:color="auto" w:fill="auto"/>
            <w:noWrap/>
            <w:hideMark/>
          </w:tcPr>
          <w:p w:rsidR="000706F1" w:rsidRPr="00D7188C" w:rsidRDefault="0021066E" w:rsidP="00D7188C">
            <w:pPr>
              <w:pStyle w:val="Tabletext"/>
              <w:tabs>
                <w:tab w:val="decimal" w:pos="992"/>
              </w:tabs>
              <w:rPr>
                <w:b/>
              </w:rPr>
            </w:pPr>
            <w:r w:rsidRPr="00D7188C">
              <w:rPr>
                <w:b/>
                <w:szCs w:val="22"/>
              </w:rPr>
              <w:t>33.0</w:t>
            </w:r>
          </w:p>
        </w:tc>
      </w:tr>
    </w:tbl>
    <w:p w:rsidR="00D677BE" w:rsidRDefault="00E43CA1" w:rsidP="00D7188C">
      <w:pPr>
        <w:pStyle w:val="Textmorebefore"/>
      </w:pPr>
      <w:bookmarkStart w:id="32" w:name="_Ref361235588"/>
      <w:r>
        <w:t xml:space="preserve">Table </w:t>
      </w:r>
      <w:r w:rsidR="0003597A">
        <w:t>6</w:t>
      </w:r>
      <w:r w:rsidR="00D677BE">
        <w:t xml:space="preserve"> shows an interesting pattern. Comparing columns 2 and 3 </w:t>
      </w:r>
      <w:r w:rsidR="00963952">
        <w:t xml:space="preserve">of this table </w:t>
      </w:r>
      <w:r w:rsidR="00D677BE">
        <w:t xml:space="preserve">we would tentatively </w:t>
      </w:r>
      <w:r w:rsidR="005A0BD1">
        <w:t>conclude</w:t>
      </w:r>
      <w:r w:rsidR="00D677BE">
        <w:t xml:space="preserve"> that the relationship between </w:t>
      </w:r>
      <w:r w:rsidR="00496843">
        <w:t>vocational education and training</w:t>
      </w:r>
      <w:r w:rsidR="00D677BE">
        <w:t xml:space="preserve"> and </w:t>
      </w:r>
      <w:r w:rsidR="00496843">
        <w:t>socioeconomic status</w:t>
      </w:r>
      <w:r w:rsidR="00D677BE">
        <w:t xml:space="preserve"> had strengthen</w:t>
      </w:r>
      <w:r w:rsidR="0039262A">
        <w:t>ed</w:t>
      </w:r>
      <w:r w:rsidR="00D677BE">
        <w:t>: participation has gone up</w:t>
      </w:r>
      <w:r w:rsidR="005A0BD1">
        <w:t xml:space="preserve"> </w:t>
      </w:r>
      <w:r w:rsidR="00D677BE">
        <w:t>in quintiles 1, 2</w:t>
      </w:r>
      <w:r w:rsidR="007C58C7">
        <w:t xml:space="preserve"> </w:t>
      </w:r>
      <w:r w:rsidR="00D677BE">
        <w:t xml:space="preserve">and 3 but </w:t>
      </w:r>
      <w:r w:rsidR="00661DE2">
        <w:t>there has been little change in quintiles 4 and 5.</w:t>
      </w:r>
      <w:r w:rsidR="00D677BE">
        <w:t xml:space="preserve"> However, when we compa</w:t>
      </w:r>
      <w:r w:rsidR="00CC2A11">
        <w:t>re columns 2 and 4 (that i</w:t>
      </w:r>
      <w:r w:rsidR="00CC2A11" w:rsidRPr="00963952">
        <w:t>s, 2006</w:t>
      </w:r>
      <w:r w:rsidR="00D677BE" w:rsidRPr="00963952">
        <w:t xml:space="preserve"> </w:t>
      </w:r>
      <w:r w:rsidR="005A0BD1" w:rsidRPr="00963952">
        <w:t>actual</w:t>
      </w:r>
      <w:r w:rsidR="00D677BE" w:rsidRPr="00963952">
        <w:t xml:space="preserve"> with</w:t>
      </w:r>
      <w:r w:rsidR="00CC2A11" w:rsidRPr="00963952">
        <w:t xml:space="preserve"> 2011 </w:t>
      </w:r>
      <w:r w:rsidR="00D677BE" w:rsidRPr="00963952">
        <w:t>ac</w:t>
      </w:r>
      <w:r w:rsidR="00D677BE">
        <w:t>tual)</w:t>
      </w:r>
      <w:r w:rsidR="00496843">
        <w:t>,</w:t>
      </w:r>
      <w:r w:rsidR="00D677BE">
        <w:t xml:space="preserve"> we see in fact that the increase in participation is concentrated in quintiles 3 and 4</w:t>
      </w:r>
      <w:r w:rsidR="00661DE2">
        <w:t>, and that participation increased in all quintiles except quintile 2</w:t>
      </w:r>
      <w:r w:rsidR="00D677BE">
        <w:t>.</w:t>
      </w:r>
    </w:p>
    <w:p w:rsidR="001978AB" w:rsidRDefault="001978AB" w:rsidP="00413E96">
      <w:pPr>
        <w:pStyle w:val="Text"/>
      </w:pPr>
      <w:r>
        <w:t>In</w:t>
      </w:r>
      <w:r w:rsidR="00496843">
        <w:t xml:space="preserve"> t</w:t>
      </w:r>
      <w:r w:rsidR="00413E96">
        <w:t xml:space="preserve">able </w:t>
      </w:r>
      <w:r w:rsidR="0003597A">
        <w:t>7</w:t>
      </w:r>
      <w:r>
        <w:t>, we present the differences between the columns in</w:t>
      </w:r>
      <w:r w:rsidR="00496843">
        <w:t xml:space="preserve"> t</w:t>
      </w:r>
      <w:r w:rsidR="00413E96">
        <w:t>able</w:t>
      </w:r>
      <w:r w:rsidR="00FC7F46">
        <w:t xml:space="preserve"> </w:t>
      </w:r>
      <w:r w:rsidR="0003597A">
        <w:t>6</w:t>
      </w:r>
      <w:r>
        <w:t xml:space="preserve">. The </w:t>
      </w:r>
      <w:r w:rsidR="00A506A5">
        <w:t>second</w:t>
      </w:r>
      <w:r>
        <w:t xml:space="preserve"> column shows the actual change in participation rates between 2006 and 2011</w:t>
      </w:r>
      <w:r w:rsidR="00CC2A11">
        <w:t xml:space="preserve"> </w:t>
      </w:r>
      <w:r>
        <w:t xml:space="preserve">(that is, based on columns </w:t>
      </w:r>
      <w:r w:rsidR="00496843">
        <w:t>2</w:t>
      </w:r>
      <w:r>
        <w:t xml:space="preserve"> and </w:t>
      </w:r>
      <w:r w:rsidR="00C810E0">
        <w:t>4</w:t>
      </w:r>
      <w:r>
        <w:t xml:space="preserve"> in </w:t>
      </w:r>
      <w:r w:rsidR="00C810E0">
        <w:t>t</w:t>
      </w:r>
      <w:r w:rsidR="00FC7F46">
        <w:t>able</w:t>
      </w:r>
      <w:r w:rsidR="00D7188C">
        <w:t> </w:t>
      </w:r>
      <w:r w:rsidR="0003597A">
        <w:t>6</w:t>
      </w:r>
      <w:r w:rsidR="0039262A">
        <w:t>)</w:t>
      </w:r>
      <w:r>
        <w:t xml:space="preserve">. </w:t>
      </w:r>
      <w:r w:rsidR="005A0BD1">
        <w:t>However, the estimates for each quintile (as defined in 2006) are quite poor, apart from quintile 4.</w:t>
      </w:r>
      <w:r w:rsidR="006B64F4">
        <w:t xml:space="preserve"> </w:t>
      </w:r>
      <w:r>
        <w:t>Of particular note is quintile 2</w:t>
      </w:r>
      <w:r w:rsidR="00C810E0">
        <w:t>, which is predicted as a three-</w:t>
      </w:r>
      <w:r w:rsidR="00CC2A11">
        <w:t>percentage-</w:t>
      </w:r>
      <w:r>
        <w:t>point increase when using the 2006 SEIFA, but actually is a small decrease in participation</w:t>
      </w:r>
      <w:r w:rsidR="00897152">
        <w:t xml:space="preserve">. For quintile 1 there is a very substantial </w:t>
      </w:r>
      <w:r>
        <w:t xml:space="preserve">overestimate </w:t>
      </w:r>
      <w:r w:rsidR="00AB7D27">
        <w:t>in growth</w:t>
      </w:r>
      <w:r w:rsidR="00897152">
        <w:t>.</w:t>
      </w:r>
    </w:p>
    <w:p w:rsidR="007C58C7" w:rsidRDefault="007C58C7" w:rsidP="00C244B4">
      <w:pPr>
        <w:pStyle w:val="Text"/>
        <w:rPr>
          <w:rFonts w:ascii="Tahoma" w:hAnsi="Tahoma"/>
          <w:sz w:val="17"/>
        </w:rPr>
      </w:pPr>
      <w:bookmarkStart w:id="33" w:name="_Ref366577669"/>
      <w:r>
        <w:br w:type="page"/>
      </w:r>
    </w:p>
    <w:p w:rsidR="00A328E9" w:rsidRPr="000706F1" w:rsidRDefault="0008247B" w:rsidP="006615C7">
      <w:pPr>
        <w:pStyle w:val="tabletitle"/>
      </w:pPr>
      <w:bookmarkStart w:id="34" w:name="_Toc383616134"/>
      <w:r w:rsidRPr="000706F1">
        <w:lastRenderedPageBreak/>
        <w:t>T</w:t>
      </w:r>
      <w:r w:rsidR="00A328E9" w:rsidRPr="000706F1">
        <w:t xml:space="preserve">able </w:t>
      </w:r>
      <w:r w:rsidR="0003597A">
        <w:t>7</w:t>
      </w:r>
      <w:bookmarkEnd w:id="32"/>
      <w:bookmarkEnd w:id="33"/>
      <w:r w:rsidR="006615C7">
        <w:tab/>
      </w:r>
      <w:r w:rsidR="00A328E9" w:rsidRPr="000706F1">
        <w:t xml:space="preserve">VET participation rates, </w:t>
      </w:r>
      <w:r w:rsidR="00FD2F58">
        <w:t>15 to 19-year-</w:t>
      </w:r>
      <w:r w:rsidR="00FD2F58" w:rsidRPr="000706F1">
        <w:t>old</w:t>
      </w:r>
      <w:r w:rsidR="00FD2F58">
        <w:t>s,</w:t>
      </w:r>
      <w:r w:rsidR="00FD2F58" w:rsidRPr="000706F1">
        <w:t xml:space="preserve"> </w:t>
      </w:r>
      <w:r w:rsidR="00A328E9" w:rsidRPr="000706F1">
        <w:t>changes between 2006 and 2011</w:t>
      </w:r>
      <w:r w:rsidR="001628C3" w:rsidRPr="000706F1">
        <w:t>,</w:t>
      </w:r>
      <w:bookmarkEnd w:id="34"/>
      <w:r w:rsidR="001D5855">
        <w:t xml:space="preserve"> postal areas</w:t>
      </w:r>
    </w:p>
    <w:tbl>
      <w:tblPr>
        <w:tblW w:w="8789" w:type="dxa"/>
        <w:tblInd w:w="108" w:type="dxa"/>
        <w:tblLayout w:type="fixed"/>
        <w:tblLook w:val="04A0" w:firstRow="1" w:lastRow="0" w:firstColumn="1" w:lastColumn="0" w:noHBand="0" w:noVBand="1"/>
      </w:tblPr>
      <w:tblGrid>
        <w:gridCol w:w="1985"/>
        <w:gridCol w:w="1701"/>
        <w:gridCol w:w="1701"/>
        <w:gridCol w:w="1701"/>
        <w:gridCol w:w="1701"/>
      </w:tblGrid>
      <w:tr w:rsidR="00897152" w:rsidRPr="006615C7" w:rsidTr="001157BA">
        <w:tc>
          <w:tcPr>
            <w:tcW w:w="1985" w:type="dxa"/>
            <w:tcBorders>
              <w:top w:val="single" w:sz="8" w:space="0" w:color="auto"/>
              <w:left w:val="nil"/>
              <w:bottom w:val="single" w:sz="8" w:space="0" w:color="auto"/>
              <w:right w:val="nil"/>
            </w:tcBorders>
            <w:noWrap/>
            <w:tcMar>
              <w:top w:w="0" w:type="dxa"/>
              <w:left w:w="108" w:type="dxa"/>
              <w:bottom w:w="0" w:type="dxa"/>
              <w:right w:w="108" w:type="dxa"/>
            </w:tcMar>
            <w:hideMark/>
          </w:tcPr>
          <w:p w:rsidR="00897152" w:rsidRPr="006615C7" w:rsidRDefault="00897152" w:rsidP="006615C7">
            <w:pPr>
              <w:pStyle w:val="Tablehead1"/>
            </w:pPr>
            <w:r w:rsidRPr="006615C7">
              <w:t>Quintile</w:t>
            </w:r>
          </w:p>
        </w:tc>
        <w:tc>
          <w:tcPr>
            <w:tcW w:w="1701" w:type="dxa"/>
            <w:tcBorders>
              <w:top w:val="single" w:sz="8" w:space="0" w:color="auto"/>
              <w:left w:val="nil"/>
              <w:bottom w:val="single" w:sz="8" w:space="0" w:color="auto"/>
              <w:right w:val="nil"/>
            </w:tcBorders>
            <w:noWrap/>
            <w:tcMar>
              <w:top w:w="0" w:type="dxa"/>
              <w:left w:w="108" w:type="dxa"/>
              <w:bottom w:w="0" w:type="dxa"/>
              <w:right w:w="108" w:type="dxa"/>
            </w:tcMar>
            <w:hideMark/>
          </w:tcPr>
          <w:p w:rsidR="00897152" w:rsidRPr="006615C7" w:rsidRDefault="007C58C7" w:rsidP="001157BA">
            <w:pPr>
              <w:pStyle w:val="Tablehead1"/>
              <w:jc w:val="center"/>
            </w:pPr>
            <w:r w:rsidRPr="006615C7">
              <w:t>C</w:t>
            </w:r>
            <w:r w:rsidR="00897152" w:rsidRPr="006615C7">
              <w:t xml:space="preserve">hange </w:t>
            </w:r>
            <w:r w:rsidRPr="006615C7">
              <w:t xml:space="preserve">using </w:t>
            </w:r>
            <w:r w:rsidR="00897152" w:rsidRPr="006615C7">
              <w:t xml:space="preserve">2006 </w:t>
            </w:r>
            <w:r w:rsidRPr="006615C7">
              <w:t xml:space="preserve">&amp; </w:t>
            </w:r>
            <w:r w:rsidR="00897152" w:rsidRPr="006615C7">
              <w:t>2011</w:t>
            </w:r>
            <w:r w:rsidRPr="006615C7">
              <w:t xml:space="preserve"> SEIFA</w:t>
            </w:r>
          </w:p>
        </w:tc>
        <w:tc>
          <w:tcPr>
            <w:tcW w:w="1701" w:type="dxa"/>
            <w:tcBorders>
              <w:top w:val="single" w:sz="8" w:space="0" w:color="auto"/>
              <w:left w:val="nil"/>
              <w:bottom w:val="single" w:sz="8" w:space="0" w:color="auto"/>
              <w:right w:val="nil"/>
            </w:tcBorders>
            <w:noWrap/>
            <w:tcMar>
              <w:top w:w="0" w:type="dxa"/>
              <w:left w:w="108" w:type="dxa"/>
              <w:bottom w:w="0" w:type="dxa"/>
              <w:right w:w="108" w:type="dxa"/>
            </w:tcMar>
            <w:hideMark/>
          </w:tcPr>
          <w:p w:rsidR="00897152" w:rsidRPr="006615C7" w:rsidRDefault="00897152" w:rsidP="006615C7">
            <w:pPr>
              <w:pStyle w:val="Tablehead1"/>
              <w:jc w:val="center"/>
            </w:pPr>
            <w:r w:rsidRPr="006615C7">
              <w:t>Estima</w:t>
            </w:r>
            <w:r w:rsidR="007C58C7" w:rsidRPr="006615C7">
              <w:t xml:space="preserve">ted change using </w:t>
            </w:r>
            <w:r w:rsidRPr="006615C7">
              <w:t xml:space="preserve">2006 </w:t>
            </w:r>
            <w:r w:rsidR="007C58C7" w:rsidRPr="006615C7">
              <w:t>SEIFA</w:t>
            </w:r>
          </w:p>
        </w:tc>
        <w:tc>
          <w:tcPr>
            <w:tcW w:w="1701" w:type="dxa"/>
            <w:tcBorders>
              <w:top w:val="single" w:sz="8" w:space="0" w:color="auto"/>
              <w:left w:val="nil"/>
              <w:bottom w:val="single" w:sz="8" w:space="0" w:color="auto"/>
              <w:right w:val="nil"/>
            </w:tcBorders>
            <w:noWrap/>
            <w:tcMar>
              <w:top w:w="0" w:type="dxa"/>
              <w:left w:w="108" w:type="dxa"/>
              <w:bottom w:w="0" w:type="dxa"/>
              <w:right w:w="108" w:type="dxa"/>
            </w:tcMar>
            <w:hideMark/>
          </w:tcPr>
          <w:p w:rsidR="00897152" w:rsidRPr="006615C7" w:rsidRDefault="00897152" w:rsidP="006615C7">
            <w:pPr>
              <w:pStyle w:val="Tablehead1"/>
              <w:jc w:val="center"/>
            </w:pPr>
            <w:r w:rsidRPr="006615C7">
              <w:t>Difference between actual change and estimated change</w:t>
            </w:r>
          </w:p>
        </w:tc>
        <w:tc>
          <w:tcPr>
            <w:tcW w:w="1701" w:type="dxa"/>
            <w:tcBorders>
              <w:top w:val="single" w:sz="8" w:space="0" w:color="auto"/>
              <w:left w:val="nil"/>
              <w:bottom w:val="single" w:sz="8" w:space="0" w:color="auto"/>
              <w:right w:val="nil"/>
            </w:tcBorders>
            <w:noWrap/>
            <w:tcMar>
              <w:top w:w="0" w:type="dxa"/>
              <w:left w:w="108" w:type="dxa"/>
              <w:bottom w:w="0" w:type="dxa"/>
              <w:right w:w="108" w:type="dxa"/>
            </w:tcMar>
            <w:hideMark/>
          </w:tcPr>
          <w:p w:rsidR="00897152" w:rsidRPr="006615C7" w:rsidRDefault="00897152" w:rsidP="001157BA">
            <w:pPr>
              <w:pStyle w:val="Tablehead1"/>
              <w:jc w:val="center"/>
            </w:pPr>
            <w:r w:rsidRPr="006615C7">
              <w:t xml:space="preserve">% of </w:t>
            </w:r>
            <w:r w:rsidR="007C58C7" w:rsidRPr="006615C7">
              <w:t>change</w:t>
            </w:r>
            <w:r w:rsidRPr="006615C7">
              <w:t xml:space="preserve"> </w:t>
            </w:r>
            <w:r w:rsidR="007C58C7" w:rsidRPr="006615C7">
              <w:t>versus estimated change</w:t>
            </w:r>
          </w:p>
        </w:tc>
      </w:tr>
      <w:tr w:rsidR="00897152" w:rsidRPr="006615C7" w:rsidTr="006615C7">
        <w:tc>
          <w:tcPr>
            <w:tcW w:w="1985" w:type="dxa"/>
            <w:noWrap/>
            <w:tcMar>
              <w:top w:w="0" w:type="dxa"/>
              <w:left w:w="108" w:type="dxa"/>
              <w:bottom w:w="0" w:type="dxa"/>
              <w:right w:w="108" w:type="dxa"/>
            </w:tcMar>
            <w:hideMark/>
          </w:tcPr>
          <w:p w:rsidR="00897152" w:rsidRPr="006615C7" w:rsidRDefault="00897152" w:rsidP="006615C7">
            <w:pPr>
              <w:pStyle w:val="Tabletext"/>
            </w:pPr>
            <w:r w:rsidRPr="006615C7">
              <w:t>1</w:t>
            </w:r>
          </w:p>
        </w:tc>
        <w:tc>
          <w:tcPr>
            <w:tcW w:w="1701" w:type="dxa"/>
            <w:noWrap/>
            <w:tcMar>
              <w:top w:w="0" w:type="dxa"/>
              <w:left w:w="108" w:type="dxa"/>
              <w:bottom w:w="0" w:type="dxa"/>
              <w:right w:w="108" w:type="dxa"/>
            </w:tcMar>
            <w:hideMark/>
          </w:tcPr>
          <w:p w:rsidR="00897152" w:rsidRPr="006615C7" w:rsidRDefault="0021066E" w:rsidP="001157BA">
            <w:pPr>
              <w:pStyle w:val="Tabletext"/>
              <w:tabs>
                <w:tab w:val="decimal" w:pos="737"/>
              </w:tabs>
            </w:pPr>
            <w:r w:rsidRPr="006615C7">
              <w:t>1.7</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37"/>
              </w:tabs>
            </w:pPr>
            <w:r w:rsidRPr="006615C7">
              <w:t>4.</w:t>
            </w:r>
            <w:r w:rsidR="00897152" w:rsidRPr="006615C7">
              <w:t>5</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-2.8</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94"/>
              </w:tabs>
            </w:pPr>
            <w:r w:rsidRPr="006615C7">
              <w:t>-169.1</w:t>
            </w:r>
          </w:p>
        </w:tc>
      </w:tr>
      <w:tr w:rsidR="00897152" w:rsidRPr="006615C7" w:rsidTr="006615C7">
        <w:tc>
          <w:tcPr>
            <w:tcW w:w="1985" w:type="dxa"/>
            <w:noWrap/>
            <w:tcMar>
              <w:top w:w="0" w:type="dxa"/>
              <w:left w:w="108" w:type="dxa"/>
              <w:bottom w:w="0" w:type="dxa"/>
              <w:right w:w="108" w:type="dxa"/>
            </w:tcMar>
            <w:hideMark/>
          </w:tcPr>
          <w:p w:rsidR="00897152" w:rsidRPr="006615C7" w:rsidRDefault="00897152" w:rsidP="006615C7">
            <w:pPr>
              <w:pStyle w:val="Tabletext"/>
            </w:pPr>
            <w:r w:rsidRPr="006615C7">
              <w:t>2</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-0.9</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3.2</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-4.1</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94"/>
              </w:tabs>
            </w:pPr>
            <w:r w:rsidRPr="006615C7">
              <w:t>458.3</w:t>
            </w:r>
          </w:p>
        </w:tc>
      </w:tr>
      <w:tr w:rsidR="00897152" w:rsidRPr="006615C7" w:rsidTr="006615C7">
        <w:tc>
          <w:tcPr>
            <w:tcW w:w="1985" w:type="dxa"/>
            <w:noWrap/>
            <w:tcMar>
              <w:top w:w="0" w:type="dxa"/>
              <w:left w:w="108" w:type="dxa"/>
              <w:bottom w:w="0" w:type="dxa"/>
              <w:right w:w="108" w:type="dxa"/>
            </w:tcMar>
            <w:hideMark/>
          </w:tcPr>
          <w:p w:rsidR="00897152" w:rsidRPr="006615C7" w:rsidRDefault="00897152" w:rsidP="006615C7">
            <w:pPr>
              <w:pStyle w:val="Tabletext"/>
            </w:pPr>
            <w:r w:rsidRPr="006615C7">
              <w:t>3</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37"/>
              </w:tabs>
            </w:pPr>
            <w:r w:rsidRPr="006615C7">
              <w:t>3.8</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4.1</w:t>
            </w:r>
          </w:p>
        </w:tc>
        <w:tc>
          <w:tcPr>
            <w:tcW w:w="1701" w:type="dxa"/>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-0.4</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94"/>
              </w:tabs>
            </w:pPr>
            <w:r w:rsidRPr="006615C7">
              <w:t>-10.9</w:t>
            </w:r>
          </w:p>
        </w:tc>
      </w:tr>
      <w:tr w:rsidR="00897152" w:rsidRPr="006615C7" w:rsidTr="006615C7">
        <w:tc>
          <w:tcPr>
            <w:tcW w:w="1985" w:type="dxa"/>
            <w:noWrap/>
            <w:tcMar>
              <w:top w:w="0" w:type="dxa"/>
              <w:left w:w="108" w:type="dxa"/>
              <w:bottom w:w="0" w:type="dxa"/>
              <w:right w:w="108" w:type="dxa"/>
            </w:tcMar>
            <w:hideMark/>
          </w:tcPr>
          <w:p w:rsidR="00897152" w:rsidRPr="006615C7" w:rsidRDefault="00897152" w:rsidP="006615C7">
            <w:pPr>
              <w:pStyle w:val="Tabletext"/>
            </w:pPr>
            <w:r w:rsidRPr="006615C7">
              <w:t>4</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37"/>
              </w:tabs>
            </w:pPr>
            <w:r w:rsidRPr="006615C7">
              <w:t>3.2</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37"/>
              </w:tabs>
            </w:pPr>
            <w:r w:rsidRPr="006615C7">
              <w:t>1.0</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37"/>
              </w:tabs>
            </w:pPr>
            <w:r w:rsidRPr="006615C7">
              <w:t>2.2</w:t>
            </w:r>
          </w:p>
        </w:tc>
        <w:tc>
          <w:tcPr>
            <w:tcW w:w="1701" w:type="dxa"/>
            <w:noWrap/>
            <w:tcMar>
              <w:top w:w="0" w:type="dxa"/>
              <w:left w:w="108" w:type="dxa"/>
              <w:bottom w:w="0" w:type="dxa"/>
              <w:right w:w="108" w:type="dxa"/>
            </w:tcMar>
            <w:hideMark/>
          </w:tcPr>
          <w:p w:rsidR="00897152" w:rsidRPr="006615C7" w:rsidRDefault="0021066E" w:rsidP="006615C7">
            <w:pPr>
              <w:pStyle w:val="Tabletext"/>
              <w:tabs>
                <w:tab w:val="decimal" w:pos="794"/>
              </w:tabs>
            </w:pPr>
            <w:r w:rsidRPr="006615C7">
              <w:t>68.1</w:t>
            </w:r>
          </w:p>
        </w:tc>
      </w:tr>
      <w:tr w:rsidR="00897152" w:rsidRPr="006615C7" w:rsidTr="00BA1892">
        <w:tc>
          <w:tcPr>
            <w:tcW w:w="1985" w:type="dxa"/>
            <w:tcBorders>
              <w:bottom w:val="single" w:sz="4" w:space="0" w:color="auto"/>
            </w:tcBorders>
            <w:noWrap/>
            <w:tcMar>
              <w:top w:w="0" w:type="dxa"/>
              <w:left w:w="108" w:type="dxa"/>
              <w:bottom w:w="0" w:type="dxa"/>
              <w:right w:w="108" w:type="dxa"/>
            </w:tcMar>
            <w:hideMark/>
          </w:tcPr>
          <w:p w:rsidR="00897152" w:rsidRPr="006615C7" w:rsidRDefault="00897152" w:rsidP="006615C7">
            <w:pPr>
              <w:pStyle w:val="Tabletext"/>
            </w:pPr>
            <w:r w:rsidRPr="006615C7">
              <w:t>5</w:t>
            </w:r>
          </w:p>
        </w:tc>
        <w:tc>
          <w:tcPr>
            <w:tcW w:w="1701" w:type="dxa"/>
            <w:tcBorders>
              <w:bottom w:val="single" w:sz="4" w:space="0" w:color="auto"/>
            </w:tcBorders>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1.7</w:t>
            </w:r>
          </w:p>
        </w:tc>
        <w:tc>
          <w:tcPr>
            <w:tcW w:w="1701" w:type="dxa"/>
            <w:tcBorders>
              <w:bottom w:val="single" w:sz="4" w:space="0" w:color="auto"/>
            </w:tcBorders>
            <w:noWrap/>
            <w:tcMar>
              <w:top w:w="0" w:type="dxa"/>
              <w:left w:w="108" w:type="dxa"/>
              <w:bottom w:w="0" w:type="dxa"/>
              <w:right w:w="108" w:type="dxa"/>
            </w:tcMar>
            <w:hideMark/>
          </w:tcPr>
          <w:p w:rsidR="00897152" w:rsidRPr="006615C7" w:rsidRDefault="0021066E" w:rsidP="006615C7">
            <w:pPr>
              <w:pStyle w:val="Tabletext"/>
              <w:tabs>
                <w:tab w:val="decimal" w:pos="737"/>
              </w:tabs>
            </w:pPr>
            <w:r w:rsidRPr="006615C7">
              <w:t>-0.2</w:t>
            </w:r>
          </w:p>
        </w:tc>
        <w:tc>
          <w:tcPr>
            <w:tcW w:w="1701" w:type="dxa"/>
            <w:tcBorders>
              <w:bottom w:val="single" w:sz="4" w:space="0" w:color="auto"/>
            </w:tcBorders>
            <w:noWrap/>
            <w:tcMar>
              <w:top w:w="0" w:type="dxa"/>
              <w:left w:w="108" w:type="dxa"/>
              <w:bottom w:w="0" w:type="dxa"/>
              <w:right w:w="108" w:type="dxa"/>
            </w:tcMar>
            <w:hideMark/>
          </w:tcPr>
          <w:p w:rsidR="00897152" w:rsidRPr="006615C7" w:rsidRDefault="00897152" w:rsidP="006615C7">
            <w:pPr>
              <w:pStyle w:val="Tabletext"/>
              <w:tabs>
                <w:tab w:val="decimal" w:pos="737"/>
              </w:tabs>
            </w:pPr>
            <w:r w:rsidRPr="006615C7">
              <w:t>1.9</w:t>
            </w:r>
          </w:p>
        </w:tc>
        <w:tc>
          <w:tcPr>
            <w:tcW w:w="1701" w:type="dxa"/>
            <w:tcBorders>
              <w:bottom w:val="single" w:sz="4" w:space="0" w:color="auto"/>
            </w:tcBorders>
            <w:noWrap/>
            <w:tcMar>
              <w:top w:w="0" w:type="dxa"/>
              <w:left w:w="108" w:type="dxa"/>
              <w:bottom w:w="0" w:type="dxa"/>
              <w:right w:w="108" w:type="dxa"/>
            </w:tcMar>
            <w:hideMark/>
          </w:tcPr>
          <w:p w:rsidR="00897152" w:rsidRPr="006615C7" w:rsidRDefault="00897152" w:rsidP="006615C7">
            <w:pPr>
              <w:pStyle w:val="Tabletext"/>
              <w:tabs>
                <w:tab w:val="decimal" w:pos="794"/>
              </w:tabs>
            </w:pPr>
            <w:r w:rsidRPr="006615C7">
              <w:t>110.6</w:t>
            </w:r>
          </w:p>
        </w:tc>
      </w:tr>
      <w:tr w:rsidR="00897152" w:rsidRPr="006615C7" w:rsidTr="00BA1892">
        <w:tc>
          <w:tcPr>
            <w:tcW w:w="1985" w:type="dxa"/>
            <w:tcBorders>
              <w:top w:val="single" w:sz="4" w:space="0" w:color="auto"/>
              <w:left w:val="nil"/>
              <w:bottom w:val="single" w:sz="4" w:space="0" w:color="auto"/>
              <w:right w:val="nil"/>
            </w:tcBorders>
            <w:noWrap/>
            <w:tcMar>
              <w:top w:w="0" w:type="dxa"/>
              <w:left w:w="108" w:type="dxa"/>
              <w:bottom w:w="0" w:type="dxa"/>
              <w:right w:w="0" w:type="dxa"/>
            </w:tcMar>
            <w:hideMark/>
          </w:tcPr>
          <w:p w:rsidR="00897152" w:rsidRPr="006615C7" w:rsidRDefault="00C810E0" w:rsidP="006615C7">
            <w:pPr>
              <w:pStyle w:val="Tabletext"/>
              <w:rPr>
                <w:b/>
              </w:rPr>
            </w:pPr>
            <w:r w:rsidRPr="006615C7">
              <w:rPr>
                <w:b/>
              </w:rPr>
              <w:t>Total 15 to 19-year-</w:t>
            </w:r>
            <w:r w:rsidR="00897152" w:rsidRPr="006615C7">
              <w:rPr>
                <w:b/>
              </w:rPr>
              <w:t>olds</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897152" w:rsidRPr="006615C7" w:rsidRDefault="0021066E" w:rsidP="006615C7">
            <w:pPr>
              <w:pStyle w:val="Tabletext"/>
              <w:tabs>
                <w:tab w:val="decimal" w:pos="737"/>
              </w:tabs>
              <w:rPr>
                <w:b/>
              </w:rPr>
            </w:pPr>
            <w:r w:rsidRPr="006615C7">
              <w:rPr>
                <w:b/>
              </w:rPr>
              <w:t>2.3</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897152" w:rsidRPr="006615C7" w:rsidRDefault="00897152" w:rsidP="006615C7">
            <w:pPr>
              <w:pStyle w:val="Tabletext"/>
              <w:tabs>
                <w:tab w:val="decimal" w:pos="737"/>
              </w:tabs>
              <w:rPr>
                <w:b/>
              </w:rPr>
            </w:pPr>
            <w:r w:rsidRPr="006615C7">
              <w:rPr>
                <w:b/>
              </w:rPr>
              <w:t>2.3</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897152" w:rsidRPr="006615C7" w:rsidRDefault="0021066E" w:rsidP="006615C7">
            <w:pPr>
              <w:pStyle w:val="Tabletext"/>
              <w:tabs>
                <w:tab w:val="decimal" w:pos="737"/>
              </w:tabs>
              <w:rPr>
                <w:b/>
              </w:rPr>
            </w:pPr>
            <w:r w:rsidRPr="006615C7">
              <w:rPr>
                <w:b/>
              </w:rPr>
              <w:t>-0.1</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897152" w:rsidRPr="006615C7" w:rsidRDefault="00897152" w:rsidP="006615C7">
            <w:pPr>
              <w:pStyle w:val="Tabletext"/>
              <w:tabs>
                <w:tab w:val="decimal" w:pos="794"/>
              </w:tabs>
              <w:rPr>
                <w:b/>
              </w:rPr>
            </w:pPr>
            <w:r w:rsidRPr="006615C7">
              <w:rPr>
                <w:b/>
              </w:rPr>
              <w:t>-2.4</w:t>
            </w:r>
          </w:p>
        </w:tc>
      </w:tr>
    </w:tbl>
    <w:p w:rsidR="0076714D" w:rsidRPr="006527C6" w:rsidRDefault="00806DF3" w:rsidP="00806DF3">
      <w:pPr>
        <w:pStyle w:val="Textmorebefore"/>
      </w:pPr>
      <w:r>
        <w:t xml:space="preserve">Tables </w:t>
      </w:r>
      <w:r w:rsidR="0003597A">
        <w:t>8</w:t>
      </w:r>
      <w:r w:rsidR="00A506A5">
        <w:t xml:space="preserve"> to 11 </w:t>
      </w:r>
      <w:r w:rsidR="0076714D">
        <w:t>present</w:t>
      </w:r>
      <w:r w:rsidR="00253354">
        <w:t xml:space="preserve"> similar</w:t>
      </w:r>
      <w:r w:rsidR="0076714D">
        <w:t xml:space="preserve"> information for the remaining two age groups</w:t>
      </w:r>
      <w:bookmarkStart w:id="35" w:name="_Ref365466555"/>
      <w:r w:rsidR="00253354">
        <w:t>.</w:t>
      </w:r>
    </w:p>
    <w:p w:rsidR="002A321B" w:rsidRPr="000706F1" w:rsidRDefault="002A321B" w:rsidP="006615C7">
      <w:pPr>
        <w:pStyle w:val="tabletitle"/>
      </w:pPr>
      <w:bookmarkStart w:id="36" w:name="_Toc383616135"/>
      <w:r w:rsidRPr="000706F1">
        <w:t xml:space="preserve">Table </w:t>
      </w:r>
      <w:bookmarkEnd w:id="35"/>
      <w:r w:rsidR="0003597A">
        <w:t>8</w:t>
      </w:r>
      <w:r w:rsidR="006615C7">
        <w:tab/>
      </w:r>
      <w:r w:rsidRPr="000706F1">
        <w:t xml:space="preserve">VET participation rates, </w:t>
      </w:r>
      <w:r w:rsidR="00FD2F58">
        <w:t>20 to 24-year-</w:t>
      </w:r>
      <w:r w:rsidR="00FD2F58" w:rsidRPr="000706F1">
        <w:t>old</w:t>
      </w:r>
      <w:r w:rsidR="00C722EA">
        <w:t>s,</w:t>
      </w:r>
      <w:r w:rsidR="00FD2F58" w:rsidRPr="000706F1">
        <w:t xml:space="preserve"> </w:t>
      </w:r>
      <w:r w:rsidR="001A2868">
        <w:t xml:space="preserve">2006 and 2011, </w:t>
      </w:r>
      <w:r w:rsidR="00C810E0">
        <w:t>postal areas</w:t>
      </w:r>
      <w:bookmarkEnd w:id="36"/>
    </w:p>
    <w:tbl>
      <w:tblPr>
        <w:tblW w:w="8789" w:type="dxa"/>
        <w:tblInd w:w="108" w:type="dxa"/>
        <w:tblLayout w:type="fixed"/>
        <w:tblLook w:val="04A0" w:firstRow="1" w:lastRow="0" w:firstColumn="1" w:lastColumn="0" w:noHBand="0" w:noVBand="1"/>
      </w:tblPr>
      <w:tblGrid>
        <w:gridCol w:w="1985"/>
        <w:gridCol w:w="2268"/>
        <w:gridCol w:w="2268"/>
        <w:gridCol w:w="2268"/>
      </w:tblGrid>
      <w:tr w:rsidR="002A321B" w:rsidRPr="006615C7" w:rsidTr="006615C7">
        <w:tc>
          <w:tcPr>
            <w:tcW w:w="1985" w:type="dxa"/>
            <w:tcBorders>
              <w:top w:val="single" w:sz="4" w:space="0" w:color="auto"/>
              <w:left w:val="nil"/>
              <w:bottom w:val="single" w:sz="4" w:space="0" w:color="auto"/>
              <w:right w:val="nil"/>
            </w:tcBorders>
            <w:shd w:val="clear" w:color="auto" w:fill="auto"/>
            <w:noWrap/>
            <w:hideMark/>
          </w:tcPr>
          <w:p w:rsidR="002A321B" w:rsidRPr="006615C7" w:rsidRDefault="002A321B" w:rsidP="006615C7">
            <w:pPr>
              <w:pStyle w:val="Tablehead1"/>
            </w:pPr>
            <w:r w:rsidRPr="006615C7">
              <w:t>Quintile</w:t>
            </w:r>
          </w:p>
        </w:tc>
        <w:tc>
          <w:tcPr>
            <w:tcW w:w="2268" w:type="dxa"/>
            <w:tcBorders>
              <w:top w:val="single" w:sz="4" w:space="0" w:color="auto"/>
              <w:left w:val="nil"/>
              <w:bottom w:val="single" w:sz="4" w:space="0" w:color="auto"/>
              <w:right w:val="nil"/>
            </w:tcBorders>
            <w:shd w:val="clear" w:color="auto" w:fill="auto"/>
            <w:noWrap/>
            <w:hideMark/>
          </w:tcPr>
          <w:p w:rsidR="002A321B" w:rsidRPr="006615C7" w:rsidRDefault="002A321B" w:rsidP="006615C7">
            <w:pPr>
              <w:pStyle w:val="Tablehead1"/>
              <w:jc w:val="center"/>
            </w:pPr>
            <w:r w:rsidRPr="006615C7">
              <w:t>2006 collection using 2006</w:t>
            </w:r>
            <w:r w:rsidR="006615C7">
              <w:t xml:space="preserve"> quintiles</w:t>
            </w:r>
          </w:p>
        </w:tc>
        <w:tc>
          <w:tcPr>
            <w:tcW w:w="2268" w:type="dxa"/>
            <w:tcBorders>
              <w:top w:val="single" w:sz="4" w:space="0" w:color="auto"/>
              <w:left w:val="nil"/>
              <w:bottom w:val="single" w:sz="4" w:space="0" w:color="auto"/>
              <w:right w:val="nil"/>
            </w:tcBorders>
            <w:shd w:val="clear" w:color="auto" w:fill="auto"/>
            <w:noWrap/>
            <w:hideMark/>
          </w:tcPr>
          <w:p w:rsidR="002A321B" w:rsidRPr="006615C7" w:rsidRDefault="002A321B" w:rsidP="006615C7">
            <w:pPr>
              <w:pStyle w:val="Tablehead1"/>
              <w:jc w:val="center"/>
            </w:pPr>
            <w:r w:rsidRPr="006615C7">
              <w:t>2011 collection using 2006</w:t>
            </w:r>
            <w:r w:rsidR="005A0BD1" w:rsidRPr="006615C7">
              <w:t xml:space="preserve"> quintiles</w:t>
            </w:r>
          </w:p>
        </w:tc>
        <w:tc>
          <w:tcPr>
            <w:tcW w:w="2268" w:type="dxa"/>
            <w:tcBorders>
              <w:top w:val="single" w:sz="4" w:space="0" w:color="auto"/>
              <w:left w:val="nil"/>
              <w:bottom w:val="single" w:sz="4" w:space="0" w:color="auto"/>
              <w:right w:val="nil"/>
            </w:tcBorders>
            <w:shd w:val="clear" w:color="auto" w:fill="auto"/>
            <w:noWrap/>
            <w:hideMark/>
          </w:tcPr>
          <w:p w:rsidR="002A321B" w:rsidRPr="006615C7" w:rsidRDefault="002A321B" w:rsidP="006615C7">
            <w:pPr>
              <w:pStyle w:val="Tablehead1"/>
              <w:jc w:val="center"/>
            </w:pPr>
            <w:r w:rsidRPr="006615C7">
              <w:t>2011 collection using 2011</w:t>
            </w:r>
            <w:r w:rsidR="006B64F4" w:rsidRPr="006615C7">
              <w:t xml:space="preserve"> quintiles</w:t>
            </w:r>
          </w:p>
        </w:tc>
      </w:tr>
      <w:tr w:rsidR="000706F1" w:rsidRPr="006615C7" w:rsidTr="006615C7">
        <w:tc>
          <w:tcPr>
            <w:tcW w:w="1985" w:type="dxa"/>
            <w:tcBorders>
              <w:top w:val="nil"/>
              <w:left w:val="nil"/>
              <w:bottom w:val="nil"/>
              <w:right w:val="nil"/>
            </w:tcBorders>
            <w:shd w:val="clear" w:color="auto" w:fill="auto"/>
            <w:noWrap/>
            <w:hideMark/>
          </w:tcPr>
          <w:p w:rsidR="000706F1" w:rsidRPr="006615C7" w:rsidRDefault="000706F1" w:rsidP="006615C7">
            <w:pPr>
              <w:pStyle w:val="Tabletext"/>
            </w:pPr>
            <w:r w:rsidRPr="006615C7">
              <w:t>1</w:t>
            </w:r>
          </w:p>
        </w:tc>
        <w:tc>
          <w:tcPr>
            <w:tcW w:w="2268" w:type="dxa"/>
            <w:tcBorders>
              <w:top w:val="nil"/>
              <w:left w:val="nil"/>
              <w:bottom w:val="nil"/>
              <w:right w:val="nil"/>
            </w:tcBorders>
            <w:shd w:val="clear" w:color="auto" w:fill="auto"/>
            <w:noWrap/>
            <w:hideMark/>
          </w:tcPr>
          <w:p w:rsidR="000706F1" w:rsidRPr="006615C7" w:rsidRDefault="0021066E" w:rsidP="006615C7">
            <w:pPr>
              <w:pStyle w:val="Tabletext"/>
              <w:tabs>
                <w:tab w:val="decimal" w:pos="1021"/>
              </w:tabs>
            </w:pPr>
            <w:r w:rsidRPr="006615C7">
              <w:rPr>
                <w:szCs w:val="22"/>
              </w:rPr>
              <w:t>23.0</w:t>
            </w:r>
          </w:p>
        </w:tc>
        <w:tc>
          <w:tcPr>
            <w:tcW w:w="2268" w:type="dxa"/>
            <w:tcBorders>
              <w:top w:val="nil"/>
              <w:left w:val="nil"/>
              <w:bottom w:val="nil"/>
              <w:right w:val="nil"/>
            </w:tcBorders>
            <w:shd w:val="clear" w:color="auto" w:fill="auto"/>
            <w:noWrap/>
            <w:hideMark/>
          </w:tcPr>
          <w:p w:rsidR="000706F1" w:rsidRPr="006615C7" w:rsidRDefault="0021066E" w:rsidP="006615C7">
            <w:pPr>
              <w:pStyle w:val="Tabletext"/>
              <w:tabs>
                <w:tab w:val="decimal" w:pos="1021"/>
              </w:tabs>
            </w:pPr>
            <w:r w:rsidRPr="006615C7">
              <w:rPr>
                <w:szCs w:val="22"/>
              </w:rPr>
              <w:t>23.9</w:t>
            </w:r>
          </w:p>
        </w:tc>
        <w:tc>
          <w:tcPr>
            <w:tcW w:w="2268" w:type="dxa"/>
            <w:tcBorders>
              <w:top w:val="nil"/>
              <w:left w:val="nil"/>
              <w:bottom w:val="nil"/>
              <w:right w:val="nil"/>
            </w:tcBorders>
            <w:shd w:val="clear" w:color="auto" w:fill="auto"/>
            <w:noWrap/>
            <w:hideMark/>
          </w:tcPr>
          <w:p w:rsidR="000706F1" w:rsidRPr="006615C7" w:rsidRDefault="0021066E" w:rsidP="006615C7">
            <w:pPr>
              <w:pStyle w:val="Tabletext"/>
              <w:tabs>
                <w:tab w:val="decimal" w:pos="1021"/>
              </w:tabs>
            </w:pPr>
            <w:r w:rsidRPr="006615C7">
              <w:rPr>
                <w:szCs w:val="22"/>
              </w:rPr>
              <w:t>25.0</w:t>
            </w:r>
          </w:p>
        </w:tc>
      </w:tr>
      <w:tr w:rsidR="000706F1" w:rsidRPr="006615C7" w:rsidTr="006615C7">
        <w:tc>
          <w:tcPr>
            <w:tcW w:w="1985" w:type="dxa"/>
            <w:tcBorders>
              <w:top w:val="nil"/>
              <w:left w:val="nil"/>
              <w:bottom w:val="nil"/>
              <w:right w:val="nil"/>
            </w:tcBorders>
            <w:shd w:val="clear" w:color="auto" w:fill="auto"/>
            <w:noWrap/>
            <w:hideMark/>
          </w:tcPr>
          <w:p w:rsidR="000706F1" w:rsidRPr="006615C7" w:rsidRDefault="000706F1" w:rsidP="006615C7">
            <w:pPr>
              <w:pStyle w:val="Tabletext"/>
            </w:pPr>
            <w:r w:rsidRPr="006615C7">
              <w:t>2</w:t>
            </w:r>
          </w:p>
        </w:tc>
        <w:tc>
          <w:tcPr>
            <w:tcW w:w="2268" w:type="dxa"/>
            <w:tcBorders>
              <w:top w:val="nil"/>
              <w:left w:val="nil"/>
              <w:bottom w:val="nil"/>
              <w:right w:val="nil"/>
            </w:tcBorders>
            <w:shd w:val="clear" w:color="auto" w:fill="auto"/>
            <w:noWrap/>
            <w:hideMark/>
          </w:tcPr>
          <w:p w:rsidR="000706F1" w:rsidRPr="006615C7" w:rsidRDefault="000706F1" w:rsidP="006615C7">
            <w:pPr>
              <w:pStyle w:val="Tabletext"/>
              <w:tabs>
                <w:tab w:val="decimal" w:pos="1021"/>
              </w:tabs>
            </w:pPr>
            <w:r w:rsidRPr="006615C7">
              <w:rPr>
                <w:szCs w:val="22"/>
              </w:rPr>
              <w:t>22.9</w:t>
            </w:r>
          </w:p>
        </w:tc>
        <w:tc>
          <w:tcPr>
            <w:tcW w:w="2268" w:type="dxa"/>
            <w:tcBorders>
              <w:top w:val="nil"/>
              <w:left w:val="nil"/>
              <w:bottom w:val="nil"/>
              <w:right w:val="nil"/>
            </w:tcBorders>
            <w:shd w:val="clear" w:color="auto" w:fill="auto"/>
            <w:noWrap/>
            <w:hideMark/>
          </w:tcPr>
          <w:p w:rsidR="000706F1" w:rsidRPr="006615C7" w:rsidRDefault="000706F1" w:rsidP="006615C7">
            <w:pPr>
              <w:pStyle w:val="Tabletext"/>
              <w:tabs>
                <w:tab w:val="decimal" w:pos="1021"/>
              </w:tabs>
            </w:pPr>
            <w:r w:rsidRPr="006615C7">
              <w:rPr>
                <w:szCs w:val="22"/>
              </w:rPr>
              <w:t>24.2</w:t>
            </w:r>
          </w:p>
        </w:tc>
        <w:tc>
          <w:tcPr>
            <w:tcW w:w="2268" w:type="dxa"/>
            <w:tcBorders>
              <w:top w:val="nil"/>
              <w:left w:val="nil"/>
              <w:bottom w:val="nil"/>
              <w:right w:val="nil"/>
            </w:tcBorders>
            <w:shd w:val="clear" w:color="auto" w:fill="auto"/>
            <w:noWrap/>
            <w:hideMark/>
          </w:tcPr>
          <w:p w:rsidR="000706F1" w:rsidRPr="006615C7" w:rsidRDefault="000706F1" w:rsidP="006615C7">
            <w:pPr>
              <w:pStyle w:val="Tabletext"/>
              <w:tabs>
                <w:tab w:val="decimal" w:pos="1021"/>
              </w:tabs>
            </w:pPr>
            <w:r w:rsidRPr="006615C7">
              <w:rPr>
                <w:szCs w:val="22"/>
              </w:rPr>
              <w:t>23.</w:t>
            </w:r>
            <w:r w:rsidR="0021066E" w:rsidRPr="006615C7">
              <w:rPr>
                <w:szCs w:val="22"/>
              </w:rPr>
              <w:t>2</w:t>
            </w:r>
          </w:p>
        </w:tc>
      </w:tr>
      <w:tr w:rsidR="000706F1" w:rsidRPr="006615C7" w:rsidTr="006615C7">
        <w:tc>
          <w:tcPr>
            <w:tcW w:w="1985" w:type="dxa"/>
            <w:tcBorders>
              <w:top w:val="nil"/>
              <w:left w:val="nil"/>
              <w:bottom w:val="nil"/>
              <w:right w:val="nil"/>
            </w:tcBorders>
            <w:shd w:val="clear" w:color="auto" w:fill="auto"/>
            <w:noWrap/>
            <w:hideMark/>
          </w:tcPr>
          <w:p w:rsidR="000706F1" w:rsidRPr="006615C7" w:rsidRDefault="000706F1" w:rsidP="006615C7">
            <w:pPr>
              <w:pStyle w:val="Tabletext"/>
            </w:pPr>
            <w:r w:rsidRPr="006615C7">
              <w:t>3</w:t>
            </w:r>
          </w:p>
        </w:tc>
        <w:tc>
          <w:tcPr>
            <w:tcW w:w="2268" w:type="dxa"/>
            <w:tcBorders>
              <w:top w:val="nil"/>
              <w:left w:val="nil"/>
              <w:bottom w:val="nil"/>
              <w:right w:val="nil"/>
            </w:tcBorders>
            <w:shd w:val="clear" w:color="auto" w:fill="auto"/>
            <w:noWrap/>
            <w:hideMark/>
          </w:tcPr>
          <w:p w:rsidR="000706F1" w:rsidRPr="006615C7" w:rsidRDefault="0021066E" w:rsidP="003C5439">
            <w:pPr>
              <w:pStyle w:val="Tabletext"/>
              <w:tabs>
                <w:tab w:val="decimal" w:pos="1021"/>
              </w:tabs>
            </w:pPr>
            <w:r w:rsidRPr="006615C7">
              <w:rPr>
                <w:szCs w:val="22"/>
              </w:rPr>
              <w:t>20.</w:t>
            </w:r>
            <w:r w:rsidR="000706F1" w:rsidRPr="006615C7">
              <w:rPr>
                <w:szCs w:val="22"/>
              </w:rPr>
              <w:t>5</w:t>
            </w:r>
          </w:p>
        </w:tc>
        <w:tc>
          <w:tcPr>
            <w:tcW w:w="2268" w:type="dxa"/>
            <w:tcBorders>
              <w:top w:val="nil"/>
              <w:left w:val="nil"/>
              <w:bottom w:val="nil"/>
              <w:right w:val="nil"/>
            </w:tcBorders>
            <w:shd w:val="clear" w:color="auto" w:fill="auto"/>
            <w:noWrap/>
            <w:hideMark/>
          </w:tcPr>
          <w:p w:rsidR="000706F1" w:rsidRPr="006615C7" w:rsidRDefault="000706F1" w:rsidP="006615C7">
            <w:pPr>
              <w:pStyle w:val="Tabletext"/>
              <w:tabs>
                <w:tab w:val="decimal" w:pos="1021"/>
              </w:tabs>
            </w:pPr>
            <w:r w:rsidRPr="006615C7">
              <w:rPr>
                <w:szCs w:val="22"/>
              </w:rPr>
              <w:t>21.7</w:t>
            </w:r>
          </w:p>
        </w:tc>
        <w:tc>
          <w:tcPr>
            <w:tcW w:w="2268" w:type="dxa"/>
            <w:tcBorders>
              <w:top w:val="nil"/>
              <w:left w:val="nil"/>
              <w:bottom w:val="nil"/>
              <w:right w:val="nil"/>
            </w:tcBorders>
            <w:shd w:val="clear" w:color="auto" w:fill="auto"/>
            <w:noWrap/>
            <w:hideMark/>
          </w:tcPr>
          <w:p w:rsidR="000706F1" w:rsidRPr="006615C7" w:rsidRDefault="0021066E" w:rsidP="006615C7">
            <w:pPr>
              <w:pStyle w:val="Tabletext"/>
              <w:tabs>
                <w:tab w:val="decimal" w:pos="1021"/>
              </w:tabs>
            </w:pPr>
            <w:r w:rsidRPr="006615C7">
              <w:rPr>
                <w:szCs w:val="22"/>
              </w:rPr>
              <w:t>21.5</w:t>
            </w:r>
          </w:p>
        </w:tc>
      </w:tr>
      <w:tr w:rsidR="000706F1" w:rsidRPr="006615C7" w:rsidTr="006615C7">
        <w:tc>
          <w:tcPr>
            <w:tcW w:w="1985" w:type="dxa"/>
            <w:tcBorders>
              <w:top w:val="nil"/>
              <w:left w:val="nil"/>
              <w:right w:val="nil"/>
            </w:tcBorders>
            <w:shd w:val="clear" w:color="auto" w:fill="auto"/>
            <w:noWrap/>
            <w:hideMark/>
          </w:tcPr>
          <w:p w:rsidR="000706F1" w:rsidRPr="006615C7" w:rsidRDefault="000706F1" w:rsidP="006615C7">
            <w:pPr>
              <w:pStyle w:val="Tabletext"/>
            </w:pPr>
            <w:r w:rsidRPr="006615C7">
              <w:t>4</w:t>
            </w:r>
          </w:p>
        </w:tc>
        <w:tc>
          <w:tcPr>
            <w:tcW w:w="2268" w:type="dxa"/>
            <w:tcBorders>
              <w:top w:val="nil"/>
              <w:left w:val="nil"/>
              <w:right w:val="nil"/>
            </w:tcBorders>
            <w:shd w:val="clear" w:color="auto" w:fill="auto"/>
            <w:noWrap/>
            <w:hideMark/>
          </w:tcPr>
          <w:p w:rsidR="000706F1" w:rsidRPr="006615C7" w:rsidRDefault="000706F1" w:rsidP="006615C7">
            <w:pPr>
              <w:pStyle w:val="Tabletext"/>
              <w:tabs>
                <w:tab w:val="decimal" w:pos="1021"/>
              </w:tabs>
            </w:pPr>
            <w:r w:rsidRPr="006615C7">
              <w:rPr>
                <w:szCs w:val="22"/>
              </w:rPr>
              <w:t>18.</w:t>
            </w:r>
            <w:r w:rsidR="0021066E" w:rsidRPr="006615C7">
              <w:rPr>
                <w:szCs w:val="22"/>
              </w:rPr>
              <w:t>3</w:t>
            </w:r>
          </w:p>
        </w:tc>
        <w:tc>
          <w:tcPr>
            <w:tcW w:w="2268" w:type="dxa"/>
            <w:tcBorders>
              <w:top w:val="nil"/>
              <w:left w:val="nil"/>
              <w:right w:val="nil"/>
            </w:tcBorders>
            <w:shd w:val="clear" w:color="auto" w:fill="auto"/>
            <w:noWrap/>
            <w:hideMark/>
          </w:tcPr>
          <w:p w:rsidR="000706F1" w:rsidRPr="006615C7" w:rsidRDefault="0021066E" w:rsidP="006615C7">
            <w:pPr>
              <w:pStyle w:val="Tabletext"/>
              <w:tabs>
                <w:tab w:val="decimal" w:pos="1021"/>
              </w:tabs>
            </w:pPr>
            <w:r w:rsidRPr="006615C7">
              <w:rPr>
                <w:szCs w:val="22"/>
              </w:rPr>
              <w:t>19.8</w:t>
            </w:r>
          </w:p>
        </w:tc>
        <w:tc>
          <w:tcPr>
            <w:tcW w:w="2268" w:type="dxa"/>
            <w:tcBorders>
              <w:top w:val="nil"/>
              <w:left w:val="nil"/>
              <w:right w:val="nil"/>
            </w:tcBorders>
            <w:shd w:val="clear" w:color="auto" w:fill="auto"/>
            <w:noWrap/>
            <w:hideMark/>
          </w:tcPr>
          <w:p w:rsidR="000706F1" w:rsidRPr="006615C7" w:rsidRDefault="0021066E" w:rsidP="006615C7">
            <w:pPr>
              <w:pStyle w:val="Tabletext"/>
              <w:tabs>
                <w:tab w:val="decimal" w:pos="1021"/>
              </w:tabs>
            </w:pPr>
            <w:r w:rsidRPr="006615C7">
              <w:rPr>
                <w:szCs w:val="22"/>
              </w:rPr>
              <w:t>19.</w:t>
            </w:r>
            <w:r w:rsidR="000706F1" w:rsidRPr="006615C7">
              <w:rPr>
                <w:szCs w:val="22"/>
              </w:rPr>
              <w:t>8</w:t>
            </w:r>
          </w:p>
        </w:tc>
      </w:tr>
      <w:tr w:rsidR="000706F1" w:rsidRPr="006615C7" w:rsidTr="003332D7">
        <w:tc>
          <w:tcPr>
            <w:tcW w:w="1985" w:type="dxa"/>
            <w:tcBorders>
              <w:top w:val="nil"/>
              <w:left w:val="nil"/>
              <w:bottom w:val="single" w:sz="4" w:space="0" w:color="auto"/>
              <w:right w:val="nil"/>
            </w:tcBorders>
            <w:shd w:val="clear" w:color="auto" w:fill="auto"/>
            <w:noWrap/>
            <w:hideMark/>
          </w:tcPr>
          <w:p w:rsidR="000706F1" w:rsidRPr="006615C7" w:rsidRDefault="000706F1" w:rsidP="006615C7">
            <w:pPr>
              <w:pStyle w:val="Tabletext"/>
            </w:pPr>
            <w:r w:rsidRPr="006615C7">
              <w:t>5</w:t>
            </w:r>
          </w:p>
        </w:tc>
        <w:tc>
          <w:tcPr>
            <w:tcW w:w="2268" w:type="dxa"/>
            <w:tcBorders>
              <w:top w:val="nil"/>
              <w:left w:val="nil"/>
              <w:bottom w:val="single" w:sz="4" w:space="0" w:color="auto"/>
              <w:right w:val="nil"/>
            </w:tcBorders>
            <w:shd w:val="clear" w:color="auto" w:fill="auto"/>
            <w:noWrap/>
            <w:hideMark/>
          </w:tcPr>
          <w:p w:rsidR="000706F1" w:rsidRPr="006615C7" w:rsidRDefault="0021066E" w:rsidP="006615C7">
            <w:pPr>
              <w:pStyle w:val="Tabletext"/>
              <w:tabs>
                <w:tab w:val="decimal" w:pos="1021"/>
              </w:tabs>
            </w:pPr>
            <w:r w:rsidRPr="006615C7">
              <w:rPr>
                <w:szCs w:val="22"/>
              </w:rPr>
              <w:t>15.6</w:t>
            </w:r>
          </w:p>
        </w:tc>
        <w:tc>
          <w:tcPr>
            <w:tcW w:w="2268" w:type="dxa"/>
            <w:tcBorders>
              <w:top w:val="nil"/>
              <w:left w:val="nil"/>
              <w:bottom w:val="single" w:sz="4" w:space="0" w:color="auto"/>
              <w:right w:val="nil"/>
            </w:tcBorders>
            <w:shd w:val="clear" w:color="auto" w:fill="auto"/>
            <w:noWrap/>
            <w:hideMark/>
          </w:tcPr>
          <w:p w:rsidR="000706F1" w:rsidRPr="006615C7" w:rsidRDefault="0021066E" w:rsidP="006615C7">
            <w:pPr>
              <w:pStyle w:val="Tabletext"/>
              <w:tabs>
                <w:tab w:val="decimal" w:pos="1021"/>
              </w:tabs>
            </w:pPr>
            <w:r w:rsidRPr="006615C7">
              <w:rPr>
                <w:szCs w:val="22"/>
              </w:rPr>
              <w:t>16.6</w:t>
            </w:r>
          </w:p>
        </w:tc>
        <w:tc>
          <w:tcPr>
            <w:tcW w:w="2268" w:type="dxa"/>
            <w:tcBorders>
              <w:top w:val="nil"/>
              <w:left w:val="nil"/>
              <w:bottom w:val="single" w:sz="4" w:space="0" w:color="auto"/>
              <w:right w:val="nil"/>
            </w:tcBorders>
            <w:shd w:val="clear" w:color="auto" w:fill="auto"/>
            <w:noWrap/>
            <w:hideMark/>
          </w:tcPr>
          <w:p w:rsidR="000706F1" w:rsidRPr="006615C7" w:rsidRDefault="000706F1" w:rsidP="006615C7">
            <w:pPr>
              <w:pStyle w:val="Tabletext"/>
              <w:tabs>
                <w:tab w:val="decimal" w:pos="1021"/>
              </w:tabs>
            </w:pPr>
            <w:r w:rsidRPr="006615C7">
              <w:rPr>
                <w:szCs w:val="22"/>
              </w:rPr>
              <w:t>16.5</w:t>
            </w:r>
          </w:p>
        </w:tc>
      </w:tr>
      <w:tr w:rsidR="000706F1" w:rsidRPr="006615C7" w:rsidTr="003332D7">
        <w:tc>
          <w:tcPr>
            <w:tcW w:w="1985" w:type="dxa"/>
            <w:tcBorders>
              <w:top w:val="single" w:sz="4" w:space="0" w:color="auto"/>
              <w:left w:val="nil"/>
              <w:bottom w:val="single" w:sz="4" w:space="0" w:color="auto"/>
              <w:right w:val="nil"/>
            </w:tcBorders>
            <w:shd w:val="clear" w:color="auto" w:fill="auto"/>
            <w:noWrap/>
            <w:tcMar>
              <w:right w:w="0" w:type="dxa"/>
            </w:tcMar>
            <w:hideMark/>
          </w:tcPr>
          <w:p w:rsidR="000706F1" w:rsidRPr="006615C7" w:rsidRDefault="00C810E0" w:rsidP="006615C7">
            <w:pPr>
              <w:pStyle w:val="Tabletext"/>
              <w:rPr>
                <w:b/>
              </w:rPr>
            </w:pPr>
            <w:r w:rsidRPr="006615C7">
              <w:rPr>
                <w:b/>
              </w:rPr>
              <w:t>Total 20 to 24-year-</w:t>
            </w:r>
            <w:r w:rsidR="000706F1" w:rsidRPr="006615C7">
              <w:rPr>
                <w:b/>
              </w:rPr>
              <w:t>olds</w:t>
            </w:r>
          </w:p>
        </w:tc>
        <w:tc>
          <w:tcPr>
            <w:tcW w:w="2268" w:type="dxa"/>
            <w:tcBorders>
              <w:top w:val="single" w:sz="4" w:space="0" w:color="auto"/>
              <w:left w:val="nil"/>
              <w:bottom w:val="single" w:sz="4" w:space="0" w:color="auto"/>
              <w:right w:val="nil"/>
            </w:tcBorders>
            <w:shd w:val="clear" w:color="auto" w:fill="auto"/>
            <w:noWrap/>
            <w:hideMark/>
          </w:tcPr>
          <w:p w:rsidR="000706F1" w:rsidRPr="006615C7" w:rsidRDefault="0021066E" w:rsidP="006615C7">
            <w:pPr>
              <w:pStyle w:val="Tabletext"/>
              <w:tabs>
                <w:tab w:val="decimal" w:pos="1021"/>
              </w:tabs>
              <w:rPr>
                <w:b/>
              </w:rPr>
            </w:pPr>
            <w:r w:rsidRPr="006615C7">
              <w:rPr>
                <w:b/>
                <w:szCs w:val="22"/>
              </w:rPr>
              <w:t>19.4</w:t>
            </w:r>
          </w:p>
        </w:tc>
        <w:tc>
          <w:tcPr>
            <w:tcW w:w="2268" w:type="dxa"/>
            <w:tcBorders>
              <w:top w:val="single" w:sz="4" w:space="0" w:color="auto"/>
              <w:left w:val="nil"/>
              <w:bottom w:val="single" w:sz="4" w:space="0" w:color="auto"/>
              <w:right w:val="nil"/>
            </w:tcBorders>
            <w:shd w:val="clear" w:color="auto" w:fill="auto"/>
            <w:noWrap/>
            <w:hideMark/>
          </w:tcPr>
          <w:p w:rsidR="000706F1" w:rsidRPr="006615C7" w:rsidRDefault="0021066E" w:rsidP="006615C7">
            <w:pPr>
              <w:pStyle w:val="Tabletext"/>
              <w:tabs>
                <w:tab w:val="decimal" w:pos="1021"/>
              </w:tabs>
              <w:rPr>
                <w:b/>
              </w:rPr>
            </w:pPr>
            <w:r w:rsidRPr="006615C7">
              <w:rPr>
                <w:b/>
                <w:szCs w:val="22"/>
              </w:rPr>
              <w:t>20.7</w:t>
            </w:r>
          </w:p>
        </w:tc>
        <w:tc>
          <w:tcPr>
            <w:tcW w:w="2268" w:type="dxa"/>
            <w:tcBorders>
              <w:top w:val="single" w:sz="4" w:space="0" w:color="auto"/>
              <w:left w:val="nil"/>
              <w:bottom w:val="single" w:sz="4" w:space="0" w:color="auto"/>
              <w:right w:val="nil"/>
            </w:tcBorders>
            <w:shd w:val="clear" w:color="auto" w:fill="auto"/>
            <w:noWrap/>
            <w:hideMark/>
          </w:tcPr>
          <w:p w:rsidR="000706F1" w:rsidRPr="006615C7" w:rsidRDefault="000706F1" w:rsidP="006615C7">
            <w:pPr>
              <w:pStyle w:val="Tabletext"/>
              <w:tabs>
                <w:tab w:val="decimal" w:pos="1021"/>
              </w:tabs>
              <w:rPr>
                <w:b/>
              </w:rPr>
            </w:pPr>
            <w:r w:rsidRPr="006615C7">
              <w:rPr>
                <w:b/>
                <w:szCs w:val="22"/>
              </w:rPr>
              <w:t>20.6</w:t>
            </w:r>
          </w:p>
        </w:tc>
      </w:tr>
    </w:tbl>
    <w:p w:rsidR="00F35A27" w:rsidRPr="000706F1" w:rsidRDefault="00F35A27" w:rsidP="006615C7">
      <w:pPr>
        <w:pStyle w:val="tabletitle"/>
      </w:pPr>
      <w:bookmarkStart w:id="37" w:name="_Toc383616136"/>
      <w:r w:rsidRPr="000706F1">
        <w:t xml:space="preserve">Table </w:t>
      </w:r>
      <w:r w:rsidR="0003597A">
        <w:t>9</w:t>
      </w:r>
      <w:r w:rsidR="006615C7">
        <w:tab/>
      </w:r>
      <w:r w:rsidRPr="000706F1">
        <w:t xml:space="preserve">VET participation rates, </w:t>
      </w:r>
      <w:r w:rsidR="00C722EA">
        <w:t>20 to 24-year-</w:t>
      </w:r>
      <w:r w:rsidR="00C722EA" w:rsidRPr="000706F1">
        <w:t>old</w:t>
      </w:r>
      <w:r w:rsidR="00C722EA">
        <w:t>s,</w:t>
      </w:r>
      <w:r w:rsidR="00C722EA" w:rsidRPr="000706F1">
        <w:t xml:space="preserve"> </w:t>
      </w:r>
      <w:r w:rsidRPr="000706F1">
        <w:t>changes between 2006 and 2011</w:t>
      </w:r>
      <w:r w:rsidR="0076714D" w:rsidRPr="000706F1">
        <w:t xml:space="preserve">, </w:t>
      </w:r>
      <w:r w:rsidR="00C810E0">
        <w:t>postal areas</w:t>
      </w:r>
      <w:bookmarkEnd w:id="37"/>
    </w:p>
    <w:tbl>
      <w:tblPr>
        <w:tblW w:w="8789" w:type="dxa"/>
        <w:tblInd w:w="108" w:type="dxa"/>
        <w:tblLayout w:type="fixed"/>
        <w:tblLook w:val="04A0" w:firstRow="1" w:lastRow="0" w:firstColumn="1" w:lastColumn="0" w:noHBand="0" w:noVBand="1"/>
      </w:tblPr>
      <w:tblGrid>
        <w:gridCol w:w="1985"/>
        <w:gridCol w:w="1701"/>
        <w:gridCol w:w="1701"/>
        <w:gridCol w:w="1701"/>
        <w:gridCol w:w="1701"/>
      </w:tblGrid>
      <w:tr w:rsidR="007C58C7" w:rsidRPr="006615C7" w:rsidTr="00BA1892">
        <w:tc>
          <w:tcPr>
            <w:tcW w:w="1985"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6615C7" w:rsidRDefault="007C58C7" w:rsidP="006615C7">
            <w:pPr>
              <w:pStyle w:val="Tablehead1"/>
            </w:pPr>
            <w:r w:rsidRPr="006615C7">
              <w:t>Quintile</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6615C7" w:rsidRDefault="007C58C7" w:rsidP="006615C7">
            <w:pPr>
              <w:pStyle w:val="Tablehead1"/>
              <w:jc w:val="center"/>
            </w:pPr>
            <w:r w:rsidRPr="006615C7">
              <w:t>Change using 2006 &amp; 2011 SEIFA</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6615C7" w:rsidRDefault="007C58C7" w:rsidP="006615C7">
            <w:pPr>
              <w:pStyle w:val="Tablehead1"/>
              <w:jc w:val="center"/>
            </w:pPr>
            <w:r w:rsidRPr="006615C7">
              <w:t>Estimated change using 2006 SEIFA</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6615C7" w:rsidRDefault="007C58C7" w:rsidP="006615C7">
            <w:pPr>
              <w:pStyle w:val="Tablehead1"/>
              <w:jc w:val="center"/>
            </w:pPr>
            <w:r w:rsidRPr="006615C7">
              <w:t>Difference between actual change and estimated change</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6615C7" w:rsidRDefault="007C58C7" w:rsidP="006615C7">
            <w:pPr>
              <w:pStyle w:val="Tablehead1"/>
              <w:jc w:val="center"/>
            </w:pPr>
            <w:r w:rsidRPr="006615C7">
              <w:t>% of change versus estimated change</w:t>
            </w:r>
          </w:p>
        </w:tc>
      </w:tr>
      <w:tr w:rsidR="00253354" w:rsidRPr="006615C7" w:rsidTr="00BA1892">
        <w:tc>
          <w:tcPr>
            <w:tcW w:w="1985" w:type="dxa"/>
            <w:tcBorders>
              <w:top w:val="single" w:sz="4" w:space="0" w:color="auto"/>
            </w:tcBorders>
            <w:noWrap/>
            <w:tcMar>
              <w:top w:w="0" w:type="dxa"/>
              <w:left w:w="108" w:type="dxa"/>
              <w:bottom w:w="0" w:type="dxa"/>
              <w:right w:w="108" w:type="dxa"/>
            </w:tcMar>
            <w:hideMark/>
          </w:tcPr>
          <w:p w:rsidR="00253354" w:rsidRPr="006615C7" w:rsidRDefault="00253354" w:rsidP="006615C7">
            <w:pPr>
              <w:pStyle w:val="Tabletext"/>
            </w:pPr>
            <w:r w:rsidRPr="006615C7">
              <w:t>1</w:t>
            </w:r>
          </w:p>
        </w:tc>
        <w:tc>
          <w:tcPr>
            <w:tcW w:w="1701" w:type="dxa"/>
            <w:tcBorders>
              <w:top w:val="single" w:sz="4" w:space="0" w:color="auto"/>
            </w:tcBorders>
            <w:noWrap/>
            <w:tcMar>
              <w:top w:w="0" w:type="dxa"/>
              <w:left w:w="108" w:type="dxa"/>
              <w:bottom w:w="0" w:type="dxa"/>
              <w:right w:w="108" w:type="dxa"/>
            </w:tcMar>
            <w:hideMark/>
          </w:tcPr>
          <w:p w:rsidR="00253354" w:rsidRPr="006615C7" w:rsidRDefault="0021066E" w:rsidP="001157BA">
            <w:pPr>
              <w:pStyle w:val="Tabletext"/>
              <w:tabs>
                <w:tab w:val="decimal" w:pos="737"/>
              </w:tabs>
            </w:pPr>
            <w:r w:rsidRPr="006615C7">
              <w:rPr>
                <w:szCs w:val="22"/>
              </w:rPr>
              <w:t>1.9</w:t>
            </w:r>
          </w:p>
        </w:tc>
        <w:tc>
          <w:tcPr>
            <w:tcW w:w="1701" w:type="dxa"/>
            <w:tcBorders>
              <w:top w:val="single" w:sz="4" w:space="0" w:color="auto"/>
            </w:tcBorders>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0.9</w:t>
            </w:r>
          </w:p>
        </w:tc>
        <w:tc>
          <w:tcPr>
            <w:tcW w:w="1701" w:type="dxa"/>
            <w:tcBorders>
              <w:top w:val="single" w:sz="4" w:space="0" w:color="auto"/>
            </w:tcBorders>
            <w:noWrap/>
            <w:tcMar>
              <w:top w:w="0" w:type="dxa"/>
              <w:left w:w="108" w:type="dxa"/>
              <w:bottom w:w="0" w:type="dxa"/>
              <w:right w:w="108" w:type="dxa"/>
            </w:tcMar>
            <w:hideMark/>
          </w:tcPr>
          <w:p w:rsidR="00253354" w:rsidRPr="006615C7" w:rsidRDefault="0021066E" w:rsidP="001157BA">
            <w:pPr>
              <w:pStyle w:val="Tabletext"/>
              <w:tabs>
                <w:tab w:val="decimal" w:pos="737"/>
              </w:tabs>
            </w:pPr>
            <w:r w:rsidRPr="006615C7">
              <w:rPr>
                <w:szCs w:val="22"/>
              </w:rPr>
              <w:t>1.0</w:t>
            </w:r>
          </w:p>
        </w:tc>
        <w:tc>
          <w:tcPr>
            <w:tcW w:w="1701" w:type="dxa"/>
            <w:tcBorders>
              <w:top w:val="single" w:sz="4" w:space="0" w:color="auto"/>
            </w:tcBorders>
            <w:noWrap/>
            <w:tcMar>
              <w:top w:w="0" w:type="dxa"/>
              <w:left w:w="108" w:type="dxa"/>
              <w:bottom w:w="0" w:type="dxa"/>
              <w:right w:w="108" w:type="dxa"/>
            </w:tcMar>
            <w:hideMark/>
          </w:tcPr>
          <w:p w:rsidR="00253354" w:rsidRPr="006615C7" w:rsidRDefault="0021066E" w:rsidP="001157BA">
            <w:pPr>
              <w:pStyle w:val="Tabletext"/>
              <w:tabs>
                <w:tab w:val="decimal" w:pos="765"/>
              </w:tabs>
            </w:pPr>
            <w:r w:rsidRPr="006615C7">
              <w:rPr>
                <w:szCs w:val="22"/>
              </w:rPr>
              <w:t>53.0</w:t>
            </w:r>
          </w:p>
        </w:tc>
      </w:tr>
      <w:tr w:rsidR="00253354" w:rsidRPr="006615C7" w:rsidTr="006615C7">
        <w:tc>
          <w:tcPr>
            <w:tcW w:w="1985" w:type="dxa"/>
            <w:noWrap/>
            <w:tcMar>
              <w:top w:w="0" w:type="dxa"/>
              <w:left w:w="108" w:type="dxa"/>
              <w:bottom w:w="0" w:type="dxa"/>
              <w:right w:w="108" w:type="dxa"/>
            </w:tcMar>
            <w:hideMark/>
          </w:tcPr>
          <w:p w:rsidR="00253354" w:rsidRPr="006615C7" w:rsidRDefault="00253354" w:rsidP="006615C7">
            <w:pPr>
              <w:pStyle w:val="Tabletext"/>
            </w:pPr>
            <w:r w:rsidRPr="006615C7">
              <w:t>2</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0.2</w:t>
            </w:r>
          </w:p>
        </w:tc>
        <w:tc>
          <w:tcPr>
            <w:tcW w:w="1701" w:type="dxa"/>
            <w:noWrap/>
            <w:tcMar>
              <w:top w:w="0" w:type="dxa"/>
              <w:left w:w="108" w:type="dxa"/>
              <w:bottom w:w="0" w:type="dxa"/>
              <w:right w:w="108" w:type="dxa"/>
            </w:tcMar>
            <w:hideMark/>
          </w:tcPr>
          <w:p w:rsidR="00253354" w:rsidRPr="006615C7" w:rsidRDefault="0021066E" w:rsidP="001157BA">
            <w:pPr>
              <w:pStyle w:val="Tabletext"/>
              <w:tabs>
                <w:tab w:val="decimal" w:pos="737"/>
              </w:tabs>
            </w:pPr>
            <w:r w:rsidRPr="006615C7">
              <w:rPr>
                <w:szCs w:val="22"/>
              </w:rPr>
              <w:t>1.3</w:t>
            </w:r>
          </w:p>
        </w:tc>
        <w:tc>
          <w:tcPr>
            <w:tcW w:w="1701" w:type="dxa"/>
            <w:noWrap/>
            <w:tcMar>
              <w:top w:w="0" w:type="dxa"/>
              <w:left w:w="108" w:type="dxa"/>
              <w:bottom w:w="0" w:type="dxa"/>
              <w:right w:w="108" w:type="dxa"/>
            </w:tcMar>
            <w:hideMark/>
          </w:tcPr>
          <w:p w:rsidR="00253354" w:rsidRPr="006615C7" w:rsidRDefault="0021066E" w:rsidP="001157BA">
            <w:pPr>
              <w:pStyle w:val="Tabletext"/>
              <w:tabs>
                <w:tab w:val="decimal" w:pos="737"/>
              </w:tabs>
            </w:pPr>
            <w:r w:rsidRPr="006615C7">
              <w:rPr>
                <w:szCs w:val="22"/>
              </w:rPr>
              <w:t>-1.1</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65"/>
              </w:tabs>
            </w:pPr>
            <w:r w:rsidRPr="006615C7">
              <w:rPr>
                <w:szCs w:val="22"/>
              </w:rPr>
              <w:t>-437.</w:t>
            </w:r>
            <w:r w:rsidR="0021066E" w:rsidRPr="006615C7">
              <w:rPr>
                <w:szCs w:val="22"/>
              </w:rPr>
              <w:t>3</w:t>
            </w:r>
          </w:p>
        </w:tc>
      </w:tr>
      <w:tr w:rsidR="00253354" w:rsidRPr="006615C7" w:rsidTr="006615C7">
        <w:tc>
          <w:tcPr>
            <w:tcW w:w="1985" w:type="dxa"/>
            <w:noWrap/>
            <w:tcMar>
              <w:top w:w="0" w:type="dxa"/>
              <w:left w:w="108" w:type="dxa"/>
              <w:bottom w:w="0" w:type="dxa"/>
              <w:right w:w="108" w:type="dxa"/>
            </w:tcMar>
            <w:hideMark/>
          </w:tcPr>
          <w:p w:rsidR="00253354" w:rsidRPr="006615C7" w:rsidRDefault="00253354" w:rsidP="006615C7">
            <w:pPr>
              <w:pStyle w:val="Tabletext"/>
            </w:pPr>
            <w:r w:rsidRPr="006615C7">
              <w:t>3</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1.0</w:t>
            </w:r>
          </w:p>
        </w:tc>
        <w:tc>
          <w:tcPr>
            <w:tcW w:w="1701" w:type="dxa"/>
            <w:noWrap/>
            <w:tcMar>
              <w:top w:w="0" w:type="dxa"/>
              <w:left w:w="108" w:type="dxa"/>
              <w:bottom w:w="0" w:type="dxa"/>
              <w:right w:w="108" w:type="dxa"/>
            </w:tcMar>
            <w:hideMark/>
          </w:tcPr>
          <w:p w:rsidR="00253354" w:rsidRPr="006615C7" w:rsidRDefault="00253354" w:rsidP="00CB35DD">
            <w:pPr>
              <w:pStyle w:val="Tabletext"/>
              <w:tabs>
                <w:tab w:val="decimal" w:pos="737"/>
              </w:tabs>
            </w:pPr>
            <w:r w:rsidRPr="006615C7">
              <w:rPr>
                <w:szCs w:val="22"/>
              </w:rPr>
              <w:t>1.2</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-0.2</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65"/>
              </w:tabs>
            </w:pPr>
            <w:r w:rsidRPr="006615C7">
              <w:rPr>
                <w:szCs w:val="22"/>
              </w:rPr>
              <w:t>-21.3</w:t>
            </w:r>
          </w:p>
        </w:tc>
      </w:tr>
      <w:tr w:rsidR="00253354" w:rsidRPr="006615C7" w:rsidTr="006615C7">
        <w:tc>
          <w:tcPr>
            <w:tcW w:w="1985" w:type="dxa"/>
            <w:noWrap/>
            <w:tcMar>
              <w:top w:w="0" w:type="dxa"/>
              <w:left w:w="108" w:type="dxa"/>
              <w:bottom w:w="0" w:type="dxa"/>
              <w:right w:w="108" w:type="dxa"/>
            </w:tcMar>
            <w:hideMark/>
          </w:tcPr>
          <w:p w:rsidR="00253354" w:rsidRPr="006615C7" w:rsidRDefault="00253354" w:rsidP="006615C7">
            <w:pPr>
              <w:pStyle w:val="Tabletext"/>
            </w:pPr>
            <w:r w:rsidRPr="006615C7">
              <w:t>4</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1.5</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1.5</w:t>
            </w:r>
          </w:p>
        </w:tc>
        <w:tc>
          <w:tcPr>
            <w:tcW w:w="1701" w:type="dxa"/>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-0.0</w:t>
            </w:r>
          </w:p>
        </w:tc>
        <w:tc>
          <w:tcPr>
            <w:tcW w:w="1701" w:type="dxa"/>
            <w:noWrap/>
            <w:tcMar>
              <w:top w:w="0" w:type="dxa"/>
              <w:left w:w="108" w:type="dxa"/>
              <w:bottom w:w="0" w:type="dxa"/>
              <w:right w:w="108" w:type="dxa"/>
            </w:tcMar>
            <w:hideMark/>
          </w:tcPr>
          <w:p w:rsidR="00253354" w:rsidRPr="006615C7" w:rsidRDefault="0021066E" w:rsidP="001157BA">
            <w:pPr>
              <w:pStyle w:val="Tabletext"/>
              <w:tabs>
                <w:tab w:val="decimal" w:pos="765"/>
              </w:tabs>
            </w:pPr>
            <w:r w:rsidRPr="006615C7">
              <w:rPr>
                <w:szCs w:val="22"/>
              </w:rPr>
              <w:t>-0.5</w:t>
            </w:r>
          </w:p>
        </w:tc>
      </w:tr>
      <w:tr w:rsidR="00253354" w:rsidRPr="006615C7" w:rsidTr="00BA1892">
        <w:tc>
          <w:tcPr>
            <w:tcW w:w="1985" w:type="dxa"/>
            <w:tcBorders>
              <w:bottom w:val="single" w:sz="4" w:space="0" w:color="auto"/>
            </w:tcBorders>
            <w:noWrap/>
            <w:tcMar>
              <w:top w:w="0" w:type="dxa"/>
              <w:left w:w="108" w:type="dxa"/>
              <w:bottom w:w="0" w:type="dxa"/>
              <w:right w:w="108" w:type="dxa"/>
            </w:tcMar>
            <w:hideMark/>
          </w:tcPr>
          <w:p w:rsidR="00253354" w:rsidRPr="006615C7" w:rsidRDefault="00253354" w:rsidP="006615C7">
            <w:pPr>
              <w:pStyle w:val="Tabletext"/>
            </w:pPr>
            <w:r w:rsidRPr="006615C7">
              <w:t>5</w:t>
            </w:r>
          </w:p>
        </w:tc>
        <w:tc>
          <w:tcPr>
            <w:tcW w:w="1701" w:type="dxa"/>
            <w:tcBorders>
              <w:bottom w:val="single" w:sz="4" w:space="0" w:color="auto"/>
            </w:tcBorders>
            <w:noWrap/>
            <w:tcMar>
              <w:top w:w="0" w:type="dxa"/>
              <w:left w:w="108" w:type="dxa"/>
              <w:bottom w:w="0" w:type="dxa"/>
              <w:right w:w="108" w:type="dxa"/>
            </w:tcMar>
            <w:hideMark/>
          </w:tcPr>
          <w:p w:rsidR="00253354" w:rsidRPr="006615C7" w:rsidRDefault="0021066E" w:rsidP="001157BA">
            <w:pPr>
              <w:pStyle w:val="Tabletext"/>
              <w:tabs>
                <w:tab w:val="decimal" w:pos="737"/>
              </w:tabs>
            </w:pPr>
            <w:r w:rsidRPr="006615C7">
              <w:rPr>
                <w:szCs w:val="22"/>
              </w:rPr>
              <w:t>1.0</w:t>
            </w:r>
          </w:p>
        </w:tc>
        <w:tc>
          <w:tcPr>
            <w:tcW w:w="1701" w:type="dxa"/>
            <w:tcBorders>
              <w:bottom w:val="single" w:sz="4" w:space="0" w:color="auto"/>
            </w:tcBorders>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1.0</w:t>
            </w:r>
          </w:p>
        </w:tc>
        <w:tc>
          <w:tcPr>
            <w:tcW w:w="1701" w:type="dxa"/>
            <w:tcBorders>
              <w:bottom w:val="single" w:sz="4" w:space="0" w:color="auto"/>
            </w:tcBorders>
            <w:noWrap/>
            <w:tcMar>
              <w:top w:w="0" w:type="dxa"/>
              <w:left w:w="108" w:type="dxa"/>
              <w:bottom w:w="0" w:type="dxa"/>
              <w:right w:w="108" w:type="dxa"/>
            </w:tcMar>
            <w:hideMark/>
          </w:tcPr>
          <w:p w:rsidR="00253354" w:rsidRPr="006615C7" w:rsidRDefault="00253354" w:rsidP="001157BA">
            <w:pPr>
              <w:pStyle w:val="Tabletext"/>
              <w:tabs>
                <w:tab w:val="decimal" w:pos="737"/>
              </w:tabs>
            </w:pPr>
            <w:r w:rsidRPr="006615C7">
              <w:rPr>
                <w:szCs w:val="22"/>
              </w:rPr>
              <w:t>-0.0</w:t>
            </w:r>
          </w:p>
        </w:tc>
        <w:tc>
          <w:tcPr>
            <w:tcW w:w="1701" w:type="dxa"/>
            <w:tcBorders>
              <w:bottom w:val="single" w:sz="4" w:space="0" w:color="auto"/>
            </w:tcBorders>
            <w:noWrap/>
            <w:tcMar>
              <w:top w:w="0" w:type="dxa"/>
              <w:left w:w="108" w:type="dxa"/>
              <w:bottom w:w="0" w:type="dxa"/>
              <w:right w:w="108" w:type="dxa"/>
            </w:tcMar>
            <w:hideMark/>
          </w:tcPr>
          <w:p w:rsidR="00253354" w:rsidRPr="006615C7" w:rsidRDefault="00253354" w:rsidP="001157BA">
            <w:pPr>
              <w:pStyle w:val="Tabletext"/>
              <w:tabs>
                <w:tab w:val="decimal" w:pos="765"/>
              </w:tabs>
            </w:pPr>
            <w:r w:rsidRPr="006615C7">
              <w:rPr>
                <w:szCs w:val="22"/>
              </w:rPr>
              <w:t>-4.6</w:t>
            </w:r>
          </w:p>
        </w:tc>
      </w:tr>
      <w:tr w:rsidR="00253354" w:rsidRPr="006615C7" w:rsidTr="00BA1892">
        <w:tc>
          <w:tcPr>
            <w:tcW w:w="1985" w:type="dxa"/>
            <w:tcBorders>
              <w:top w:val="single" w:sz="4" w:space="0" w:color="auto"/>
              <w:left w:val="nil"/>
              <w:bottom w:val="single" w:sz="4" w:space="0" w:color="auto"/>
              <w:right w:val="nil"/>
            </w:tcBorders>
            <w:noWrap/>
            <w:tcMar>
              <w:top w:w="0" w:type="dxa"/>
              <w:left w:w="108" w:type="dxa"/>
              <w:bottom w:w="0" w:type="dxa"/>
              <w:right w:w="0" w:type="dxa"/>
            </w:tcMar>
            <w:hideMark/>
          </w:tcPr>
          <w:p w:rsidR="00253354" w:rsidRPr="006615C7" w:rsidRDefault="00C810E0" w:rsidP="006615C7">
            <w:pPr>
              <w:pStyle w:val="Tabletext"/>
              <w:rPr>
                <w:b/>
              </w:rPr>
            </w:pPr>
            <w:r w:rsidRPr="006615C7">
              <w:rPr>
                <w:b/>
              </w:rPr>
              <w:t>Total 20 to 24-year-</w:t>
            </w:r>
            <w:r w:rsidR="00253354" w:rsidRPr="006615C7">
              <w:rPr>
                <w:b/>
              </w:rPr>
              <w:t>olds</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6615C7" w:rsidRDefault="00253354" w:rsidP="001157BA">
            <w:pPr>
              <w:pStyle w:val="Tabletext"/>
              <w:tabs>
                <w:tab w:val="decimal" w:pos="737"/>
              </w:tabs>
              <w:rPr>
                <w:b/>
              </w:rPr>
            </w:pPr>
            <w:r w:rsidRPr="006615C7">
              <w:rPr>
                <w:b/>
                <w:szCs w:val="22"/>
              </w:rPr>
              <w:t>1.2</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6615C7" w:rsidRDefault="0021066E" w:rsidP="001157BA">
            <w:pPr>
              <w:pStyle w:val="Tabletext"/>
              <w:tabs>
                <w:tab w:val="decimal" w:pos="737"/>
              </w:tabs>
              <w:rPr>
                <w:b/>
              </w:rPr>
            </w:pPr>
            <w:r w:rsidRPr="006615C7">
              <w:rPr>
                <w:b/>
                <w:szCs w:val="22"/>
              </w:rPr>
              <w:t>1.3</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6615C7" w:rsidRDefault="0021066E" w:rsidP="001157BA">
            <w:pPr>
              <w:pStyle w:val="Tabletext"/>
              <w:tabs>
                <w:tab w:val="decimal" w:pos="737"/>
              </w:tabs>
              <w:rPr>
                <w:b/>
              </w:rPr>
            </w:pPr>
            <w:r w:rsidRPr="006615C7">
              <w:rPr>
                <w:b/>
                <w:szCs w:val="22"/>
              </w:rPr>
              <w:t>-0.1</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6615C7" w:rsidRDefault="0021066E" w:rsidP="001157BA">
            <w:pPr>
              <w:pStyle w:val="Tabletext"/>
              <w:tabs>
                <w:tab w:val="decimal" w:pos="765"/>
              </w:tabs>
              <w:rPr>
                <w:b/>
              </w:rPr>
            </w:pPr>
            <w:r w:rsidRPr="006615C7">
              <w:rPr>
                <w:b/>
                <w:szCs w:val="22"/>
              </w:rPr>
              <w:t>-4.2</w:t>
            </w:r>
          </w:p>
        </w:tc>
      </w:tr>
    </w:tbl>
    <w:p w:rsidR="002A321B" w:rsidRPr="000706F1" w:rsidRDefault="002A321B" w:rsidP="006615C7">
      <w:pPr>
        <w:pStyle w:val="tabletitle"/>
      </w:pPr>
      <w:bookmarkStart w:id="38" w:name="_Toc383616137"/>
      <w:r w:rsidRPr="000706F1">
        <w:t xml:space="preserve">Table </w:t>
      </w:r>
      <w:r w:rsidR="005A0BD1">
        <w:t>1</w:t>
      </w:r>
      <w:r w:rsidR="0003597A">
        <w:t>0</w:t>
      </w:r>
      <w:r w:rsidR="006615C7">
        <w:tab/>
      </w:r>
      <w:r w:rsidRPr="000706F1">
        <w:t xml:space="preserve">VET participation rates, </w:t>
      </w:r>
      <w:r w:rsidR="00C722EA">
        <w:t>25 to 64-year-</w:t>
      </w:r>
      <w:r w:rsidR="00C722EA" w:rsidRPr="000706F1">
        <w:t>old</w:t>
      </w:r>
      <w:r w:rsidR="00C722EA">
        <w:t>s,</w:t>
      </w:r>
      <w:r w:rsidR="00C722EA" w:rsidRPr="000706F1">
        <w:t xml:space="preserve"> </w:t>
      </w:r>
      <w:r w:rsidR="001A2868">
        <w:t xml:space="preserve">2006 and 2011, </w:t>
      </w:r>
      <w:r w:rsidR="00C810E0">
        <w:t>postal areas</w:t>
      </w:r>
      <w:bookmarkEnd w:id="38"/>
    </w:p>
    <w:tbl>
      <w:tblPr>
        <w:tblW w:w="8789" w:type="dxa"/>
        <w:tblInd w:w="108" w:type="dxa"/>
        <w:tblLayout w:type="fixed"/>
        <w:tblLook w:val="04A0" w:firstRow="1" w:lastRow="0" w:firstColumn="1" w:lastColumn="0" w:noHBand="0" w:noVBand="1"/>
      </w:tblPr>
      <w:tblGrid>
        <w:gridCol w:w="1985"/>
        <w:gridCol w:w="2268"/>
        <w:gridCol w:w="2268"/>
        <w:gridCol w:w="2268"/>
      </w:tblGrid>
      <w:tr w:rsidR="002A321B" w:rsidRPr="003C5439" w:rsidTr="003C5439">
        <w:tc>
          <w:tcPr>
            <w:tcW w:w="1985" w:type="dxa"/>
            <w:tcBorders>
              <w:top w:val="single" w:sz="4" w:space="0" w:color="auto"/>
              <w:left w:val="nil"/>
              <w:bottom w:val="single" w:sz="4" w:space="0" w:color="auto"/>
              <w:right w:val="nil"/>
            </w:tcBorders>
            <w:shd w:val="clear" w:color="auto" w:fill="auto"/>
            <w:noWrap/>
            <w:hideMark/>
          </w:tcPr>
          <w:p w:rsidR="002A321B" w:rsidRPr="003C5439" w:rsidRDefault="002A321B" w:rsidP="003C5439">
            <w:pPr>
              <w:pStyle w:val="Tablehead1"/>
            </w:pPr>
            <w:r w:rsidRPr="003C5439">
              <w:t>Quintile</w:t>
            </w:r>
          </w:p>
        </w:tc>
        <w:tc>
          <w:tcPr>
            <w:tcW w:w="2268" w:type="dxa"/>
            <w:tcBorders>
              <w:top w:val="single" w:sz="4" w:space="0" w:color="auto"/>
              <w:left w:val="nil"/>
              <w:bottom w:val="single" w:sz="4" w:space="0" w:color="auto"/>
              <w:right w:val="nil"/>
            </w:tcBorders>
            <w:shd w:val="clear" w:color="auto" w:fill="auto"/>
            <w:noWrap/>
            <w:hideMark/>
          </w:tcPr>
          <w:p w:rsidR="002A321B" w:rsidRPr="003C5439" w:rsidRDefault="002A321B" w:rsidP="003C5439">
            <w:pPr>
              <w:pStyle w:val="Tablehead1"/>
              <w:jc w:val="center"/>
            </w:pPr>
            <w:r w:rsidRPr="003C5439">
              <w:t xml:space="preserve">2006 collection </w:t>
            </w:r>
            <w:r w:rsidR="003C5439">
              <w:br/>
            </w:r>
            <w:r w:rsidRPr="003C5439">
              <w:t>using 2006</w:t>
            </w:r>
          </w:p>
        </w:tc>
        <w:tc>
          <w:tcPr>
            <w:tcW w:w="2268" w:type="dxa"/>
            <w:tcBorders>
              <w:top w:val="single" w:sz="4" w:space="0" w:color="auto"/>
              <w:left w:val="nil"/>
              <w:bottom w:val="single" w:sz="4" w:space="0" w:color="auto"/>
              <w:right w:val="nil"/>
            </w:tcBorders>
            <w:shd w:val="clear" w:color="auto" w:fill="auto"/>
            <w:noWrap/>
            <w:hideMark/>
          </w:tcPr>
          <w:p w:rsidR="002A321B" w:rsidRPr="003C5439" w:rsidRDefault="002A321B" w:rsidP="003C5439">
            <w:pPr>
              <w:pStyle w:val="Tablehead1"/>
              <w:jc w:val="center"/>
            </w:pPr>
            <w:r w:rsidRPr="003C5439">
              <w:t>2011 collection using 2006</w:t>
            </w:r>
            <w:r w:rsidR="005A0BD1" w:rsidRPr="003C5439">
              <w:t xml:space="preserve"> quintiles</w:t>
            </w:r>
          </w:p>
        </w:tc>
        <w:tc>
          <w:tcPr>
            <w:tcW w:w="2268" w:type="dxa"/>
            <w:tcBorders>
              <w:top w:val="single" w:sz="4" w:space="0" w:color="auto"/>
              <w:left w:val="nil"/>
              <w:bottom w:val="single" w:sz="4" w:space="0" w:color="auto"/>
              <w:right w:val="nil"/>
            </w:tcBorders>
            <w:shd w:val="clear" w:color="auto" w:fill="auto"/>
            <w:noWrap/>
            <w:hideMark/>
          </w:tcPr>
          <w:p w:rsidR="002A321B" w:rsidRPr="003C5439" w:rsidRDefault="002A321B" w:rsidP="003C5439">
            <w:pPr>
              <w:pStyle w:val="Tablehead1"/>
              <w:jc w:val="center"/>
            </w:pPr>
            <w:r w:rsidRPr="003C5439">
              <w:t>2011 collection using 2011</w:t>
            </w:r>
            <w:r w:rsidR="006B64F4" w:rsidRPr="003C5439">
              <w:t xml:space="preserve"> quintiles</w:t>
            </w:r>
          </w:p>
        </w:tc>
      </w:tr>
      <w:tr w:rsidR="000706F1" w:rsidRPr="003C5439" w:rsidTr="003C5439">
        <w:tc>
          <w:tcPr>
            <w:tcW w:w="1985" w:type="dxa"/>
            <w:tcBorders>
              <w:top w:val="nil"/>
              <w:left w:val="nil"/>
              <w:bottom w:val="nil"/>
              <w:right w:val="nil"/>
            </w:tcBorders>
            <w:shd w:val="clear" w:color="auto" w:fill="auto"/>
            <w:noWrap/>
            <w:hideMark/>
          </w:tcPr>
          <w:p w:rsidR="000706F1" w:rsidRPr="003C5439" w:rsidRDefault="000706F1" w:rsidP="003C5439">
            <w:pPr>
              <w:pStyle w:val="Tabletext"/>
            </w:pPr>
            <w:r w:rsidRPr="003C5439">
              <w:t>1</w:t>
            </w:r>
          </w:p>
        </w:tc>
        <w:tc>
          <w:tcPr>
            <w:tcW w:w="2268" w:type="dxa"/>
            <w:tcBorders>
              <w:top w:val="nil"/>
              <w:left w:val="nil"/>
              <w:bottom w:val="nil"/>
              <w:right w:val="nil"/>
            </w:tcBorders>
            <w:shd w:val="clear" w:color="auto" w:fill="auto"/>
            <w:noWrap/>
            <w:hideMark/>
          </w:tcPr>
          <w:p w:rsidR="000706F1" w:rsidRPr="003C5439" w:rsidRDefault="0021066E" w:rsidP="003C5439">
            <w:pPr>
              <w:pStyle w:val="Tabletext"/>
              <w:tabs>
                <w:tab w:val="decimal" w:pos="1021"/>
              </w:tabs>
            </w:pPr>
            <w:r w:rsidRPr="003C5439">
              <w:t>10.8</w:t>
            </w:r>
          </w:p>
        </w:tc>
        <w:tc>
          <w:tcPr>
            <w:tcW w:w="2268" w:type="dxa"/>
            <w:tcBorders>
              <w:top w:val="nil"/>
              <w:left w:val="nil"/>
              <w:bottom w:val="nil"/>
              <w:right w:val="nil"/>
            </w:tcBorders>
            <w:shd w:val="clear" w:color="auto" w:fill="auto"/>
            <w:noWrap/>
            <w:hideMark/>
          </w:tcPr>
          <w:p w:rsidR="000706F1" w:rsidRPr="003C5439" w:rsidRDefault="0021066E" w:rsidP="003C5439">
            <w:pPr>
              <w:pStyle w:val="Tabletext"/>
              <w:tabs>
                <w:tab w:val="decimal" w:pos="1021"/>
              </w:tabs>
            </w:pPr>
            <w:r w:rsidRPr="003C5439">
              <w:t>11.2</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11.4</w:t>
            </w:r>
          </w:p>
        </w:tc>
      </w:tr>
      <w:tr w:rsidR="000706F1" w:rsidRPr="003C5439" w:rsidTr="003C5439">
        <w:tc>
          <w:tcPr>
            <w:tcW w:w="1985" w:type="dxa"/>
            <w:tcBorders>
              <w:top w:val="nil"/>
              <w:left w:val="nil"/>
              <w:bottom w:val="nil"/>
              <w:right w:val="nil"/>
            </w:tcBorders>
            <w:shd w:val="clear" w:color="auto" w:fill="auto"/>
            <w:noWrap/>
            <w:hideMark/>
          </w:tcPr>
          <w:p w:rsidR="000706F1" w:rsidRPr="003C5439" w:rsidRDefault="000706F1" w:rsidP="003C5439">
            <w:pPr>
              <w:pStyle w:val="Tabletext"/>
            </w:pPr>
            <w:r w:rsidRPr="003C5439">
              <w:t>2</w:t>
            </w:r>
          </w:p>
        </w:tc>
        <w:tc>
          <w:tcPr>
            <w:tcW w:w="2268" w:type="dxa"/>
            <w:tcBorders>
              <w:top w:val="nil"/>
              <w:left w:val="nil"/>
              <w:bottom w:val="nil"/>
              <w:right w:val="nil"/>
            </w:tcBorders>
            <w:shd w:val="clear" w:color="auto" w:fill="auto"/>
            <w:noWrap/>
            <w:hideMark/>
          </w:tcPr>
          <w:p w:rsidR="000706F1" w:rsidRPr="003C5439" w:rsidRDefault="000706F1" w:rsidP="009A4E14">
            <w:pPr>
              <w:pStyle w:val="Tabletext"/>
              <w:tabs>
                <w:tab w:val="decimal" w:pos="1021"/>
              </w:tabs>
            </w:pPr>
            <w:r w:rsidRPr="003C5439">
              <w:t>10.0</w:t>
            </w:r>
          </w:p>
        </w:tc>
        <w:tc>
          <w:tcPr>
            <w:tcW w:w="2268" w:type="dxa"/>
            <w:tcBorders>
              <w:top w:val="nil"/>
              <w:left w:val="nil"/>
              <w:bottom w:val="nil"/>
              <w:right w:val="nil"/>
            </w:tcBorders>
            <w:shd w:val="clear" w:color="auto" w:fill="auto"/>
            <w:noWrap/>
            <w:hideMark/>
          </w:tcPr>
          <w:p w:rsidR="000706F1" w:rsidRPr="003C5439" w:rsidRDefault="0021066E" w:rsidP="003C5439">
            <w:pPr>
              <w:pStyle w:val="Tabletext"/>
              <w:tabs>
                <w:tab w:val="decimal" w:pos="1021"/>
              </w:tabs>
            </w:pPr>
            <w:r w:rsidRPr="003C5439">
              <w:t>10.5</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10.4</w:t>
            </w:r>
          </w:p>
        </w:tc>
      </w:tr>
      <w:tr w:rsidR="000706F1" w:rsidRPr="003C5439" w:rsidTr="003C5439">
        <w:tc>
          <w:tcPr>
            <w:tcW w:w="1985" w:type="dxa"/>
            <w:tcBorders>
              <w:top w:val="nil"/>
              <w:left w:val="nil"/>
              <w:bottom w:val="nil"/>
              <w:right w:val="nil"/>
            </w:tcBorders>
            <w:shd w:val="clear" w:color="auto" w:fill="auto"/>
            <w:noWrap/>
            <w:hideMark/>
          </w:tcPr>
          <w:p w:rsidR="000706F1" w:rsidRPr="003C5439" w:rsidRDefault="000706F1" w:rsidP="003C5439">
            <w:pPr>
              <w:pStyle w:val="Tabletext"/>
            </w:pPr>
            <w:r w:rsidRPr="003C5439">
              <w:t>3</w:t>
            </w:r>
          </w:p>
        </w:tc>
        <w:tc>
          <w:tcPr>
            <w:tcW w:w="2268" w:type="dxa"/>
            <w:tcBorders>
              <w:top w:val="nil"/>
              <w:left w:val="nil"/>
              <w:bottom w:val="nil"/>
              <w:right w:val="nil"/>
            </w:tcBorders>
            <w:shd w:val="clear" w:color="auto" w:fill="auto"/>
            <w:noWrap/>
            <w:hideMark/>
          </w:tcPr>
          <w:p w:rsidR="000706F1" w:rsidRPr="003C5439" w:rsidRDefault="0021066E" w:rsidP="003C5439">
            <w:pPr>
              <w:pStyle w:val="Tabletext"/>
              <w:tabs>
                <w:tab w:val="decimal" w:pos="1021"/>
              </w:tabs>
            </w:pPr>
            <w:r w:rsidRPr="003C5439">
              <w:t>9.0</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9.4</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9.1</w:t>
            </w:r>
          </w:p>
        </w:tc>
      </w:tr>
      <w:tr w:rsidR="000706F1" w:rsidRPr="003C5439" w:rsidTr="003C5439">
        <w:tc>
          <w:tcPr>
            <w:tcW w:w="1985" w:type="dxa"/>
            <w:tcBorders>
              <w:top w:val="nil"/>
              <w:left w:val="nil"/>
              <w:bottom w:val="nil"/>
              <w:right w:val="nil"/>
            </w:tcBorders>
            <w:shd w:val="clear" w:color="auto" w:fill="auto"/>
            <w:noWrap/>
            <w:hideMark/>
          </w:tcPr>
          <w:p w:rsidR="000706F1" w:rsidRPr="003C5439" w:rsidRDefault="000706F1" w:rsidP="003C5439">
            <w:pPr>
              <w:pStyle w:val="Tabletext"/>
            </w:pPr>
            <w:r w:rsidRPr="003C5439">
              <w:t>4</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7.4</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8.0</w:t>
            </w:r>
          </w:p>
        </w:tc>
        <w:tc>
          <w:tcPr>
            <w:tcW w:w="2268" w:type="dxa"/>
            <w:tcBorders>
              <w:top w:val="nil"/>
              <w:left w:val="nil"/>
              <w:bottom w:val="nil"/>
              <w:right w:val="nil"/>
            </w:tcBorders>
            <w:shd w:val="clear" w:color="auto" w:fill="auto"/>
            <w:noWrap/>
            <w:hideMark/>
          </w:tcPr>
          <w:p w:rsidR="000706F1" w:rsidRPr="003C5439" w:rsidRDefault="000706F1" w:rsidP="003C5439">
            <w:pPr>
              <w:pStyle w:val="Tabletext"/>
              <w:tabs>
                <w:tab w:val="decimal" w:pos="1021"/>
              </w:tabs>
            </w:pPr>
            <w:r w:rsidRPr="003C5439">
              <w:t>8.0</w:t>
            </w:r>
          </w:p>
        </w:tc>
      </w:tr>
      <w:tr w:rsidR="000706F1" w:rsidRPr="003C5439" w:rsidTr="003332D7">
        <w:tc>
          <w:tcPr>
            <w:tcW w:w="1985" w:type="dxa"/>
            <w:tcBorders>
              <w:top w:val="nil"/>
              <w:left w:val="nil"/>
              <w:bottom w:val="single" w:sz="4" w:space="0" w:color="auto"/>
              <w:right w:val="nil"/>
            </w:tcBorders>
            <w:shd w:val="clear" w:color="auto" w:fill="auto"/>
            <w:noWrap/>
            <w:hideMark/>
          </w:tcPr>
          <w:p w:rsidR="000706F1" w:rsidRPr="003C5439" w:rsidRDefault="000706F1" w:rsidP="003C5439">
            <w:pPr>
              <w:pStyle w:val="Tabletext"/>
            </w:pPr>
            <w:r w:rsidRPr="003C5439">
              <w:t>5</w:t>
            </w:r>
          </w:p>
        </w:tc>
        <w:tc>
          <w:tcPr>
            <w:tcW w:w="2268" w:type="dxa"/>
            <w:tcBorders>
              <w:top w:val="nil"/>
              <w:left w:val="nil"/>
              <w:bottom w:val="single" w:sz="4" w:space="0" w:color="auto"/>
              <w:right w:val="nil"/>
            </w:tcBorders>
            <w:shd w:val="clear" w:color="auto" w:fill="auto"/>
            <w:noWrap/>
            <w:hideMark/>
          </w:tcPr>
          <w:p w:rsidR="000706F1" w:rsidRPr="003C5439" w:rsidRDefault="0021066E" w:rsidP="003C5439">
            <w:pPr>
              <w:pStyle w:val="Tabletext"/>
              <w:tabs>
                <w:tab w:val="decimal" w:pos="1021"/>
              </w:tabs>
            </w:pPr>
            <w:r w:rsidRPr="003C5439">
              <w:t>6.0</w:t>
            </w:r>
          </w:p>
        </w:tc>
        <w:tc>
          <w:tcPr>
            <w:tcW w:w="2268" w:type="dxa"/>
            <w:tcBorders>
              <w:top w:val="nil"/>
              <w:left w:val="nil"/>
              <w:bottom w:val="single" w:sz="4" w:space="0" w:color="auto"/>
              <w:right w:val="nil"/>
            </w:tcBorders>
            <w:shd w:val="clear" w:color="auto" w:fill="auto"/>
            <w:noWrap/>
            <w:hideMark/>
          </w:tcPr>
          <w:p w:rsidR="000706F1" w:rsidRPr="003C5439" w:rsidRDefault="000706F1" w:rsidP="003C5439">
            <w:pPr>
              <w:pStyle w:val="Tabletext"/>
              <w:tabs>
                <w:tab w:val="decimal" w:pos="1021"/>
              </w:tabs>
            </w:pPr>
            <w:r w:rsidRPr="003C5439">
              <w:t>6.3</w:t>
            </w:r>
          </w:p>
        </w:tc>
        <w:tc>
          <w:tcPr>
            <w:tcW w:w="2268" w:type="dxa"/>
            <w:tcBorders>
              <w:top w:val="nil"/>
              <w:left w:val="nil"/>
              <w:bottom w:val="single" w:sz="4" w:space="0" w:color="auto"/>
              <w:right w:val="nil"/>
            </w:tcBorders>
            <w:shd w:val="clear" w:color="auto" w:fill="auto"/>
            <w:noWrap/>
            <w:hideMark/>
          </w:tcPr>
          <w:p w:rsidR="000706F1" w:rsidRPr="003C5439" w:rsidRDefault="0021066E" w:rsidP="003C5439">
            <w:pPr>
              <w:pStyle w:val="Tabletext"/>
              <w:tabs>
                <w:tab w:val="decimal" w:pos="1021"/>
              </w:tabs>
            </w:pPr>
            <w:r w:rsidRPr="003C5439">
              <w:t>6.3</w:t>
            </w:r>
          </w:p>
        </w:tc>
      </w:tr>
      <w:tr w:rsidR="000706F1" w:rsidRPr="003C5439" w:rsidTr="003332D7">
        <w:tc>
          <w:tcPr>
            <w:tcW w:w="1985" w:type="dxa"/>
            <w:tcBorders>
              <w:top w:val="single" w:sz="4" w:space="0" w:color="auto"/>
              <w:left w:val="nil"/>
              <w:bottom w:val="single" w:sz="4" w:space="0" w:color="auto"/>
              <w:right w:val="nil"/>
            </w:tcBorders>
            <w:shd w:val="clear" w:color="auto" w:fill="auto"/>
            <w:noWrap/>
            <w:tcMar>
              <w:right w:w="0" w:type="dxa"/>
            </w:tcMar>
            <w:hideMark/>
          </w:tcPr>
          <w:p w:rsidR="000706F1" w:rsidRPr="003C5439" w:rsidRDefault="00C810E0" w:rsidP="003C5439">
            <w:pPr>
              <w:pStyle w:val="Tabletext"/>
              <w:rPr>
                <w:b/>
              </w:rPr>
            </w:pPr>
            <w:r w:rsidRPr="003C5439">
              <w:rPr>
                <w:b/>
              </w:rPr>
              <w:t>Total 25 to 64-year-</w:t>
            </w:r>
            <w:r w:rsidR="000706F1" w:rsidRPr="003C5439">
              <w:rPr>
                <w:b/>
              </w:rPr>
              <w:t>olds</w:t>
            </w:r>
          </w:p>
        </w:tc>
        <w:tc>
          <w:tcPr>
            <w:tcW w:w="2268" w:type="dxa"/>
            <w:tcBorders>
              <w:top w:val="single" w:sz="4" w:space="0" w:color="auto"/>
              <w:left w:val="nil"/>
              <w:bottom w:val="single" w:sz="4" w:space="0" w:color="auto"/>
              <w:right w:val="nil"/>
            </w:tcBorders>
            <w:shd w:val="clear" w:color="auto" w:fill="auto"/>
            <w:noWrap/>
            <w:hideMark/>
          </w:tcPr>
          <w:p w:rsidR="000706F1" w:rsidRPr="003C5439" w:rsidRDefault="0021066E" w:rsidP="003C5439">
            <w:pPr>
              <w:pStyle w:val="Tabletext"/>
              <w:tabs>
                <w:tab w:val="decimal" w:pos="1021"/>
              </w:tabs>
              <w:rPr>
                <w:b/>
              </w:rPr>
            </w:pPr>
            <w:r w:rsidRPr="003C5439">
              <w:rPr>
                <w:b/>
              </w:rPr>
              <w:t>8.3</w:t>
            </w:r>
          </w:p>
        </w:tc>
        <w:tc>
          <w:tcPr>
            <w:tcW w:w="2268" w:type="dxa"/>
            <w:tcBorders>
              <w:top w:val="single" w:sz="4" w:space="0" w:color="auto"/>
              <w:left w:val="nil"/>
              <w:bottom w:val="single" w:sz="4" w:space="0" w:color="auto"/>
              <w:right w:val="nil"/>
            </w:tcBorders>
            <w:shd w:val="clear" w:color="auto" w:fill="auto"/>
            <w:noWrap/>
            <w:hideMark/>
          </w:tcPr>
          <w:p w:rsidR="000706F1" w:rsidRPr="003C5439" w:rsidRDefault="0021066E" w:rsidP="003C5439">
            <w:pPr>
              <w:pStyle w:val="Tabletext"/>
              <w:tabs>
                <w:tab w:val="decimal" w:pos="1021"/>
              </w:tabs>
              <w:rPr>
                <w:b/>
              </w:rPr>
            </w:pPr>
            <w:r w:rsidRPr="003C5439">
              <w:rPr>
                <w:b/>
              </w:rPr>
              <w:t>8.7</w:t>
            </w:r>
          </w:p>
        </w:tc>
        <w:tc>
          <w:tcPr>
            <w:tcW w:w="2268" w:type="dxa"/>
            <w:tcBorders>
              <w:top w:val="single" w:sz="4" w:space="0" w:color="auto"/>
              <w:left w:val="nil"/>
              <w:bottom w:val="single" w:sz="4" w:space="0" w:color="auto"/>
              <w:right w:val="nil"/>
            </w:tcBorders>
            <w:shd w:val="clear" w:color="auto" w:fill="auto"/>
            <w:noWrap/>
            <w:hideMark/>
          </w:tcPr>
          <w:p w:rsidR="000706F1" w:rsidRPr="003C5439" w:rsidRDefault="000706F1" w:rsidP="003C5439">
            <w:pPr>
              <w:pStyle w:val="Tabletext"/>
              <w:tabs>
                <w:tab w:val="decimal" w:pos="1021"/>
              </w:tabs>
              <w:rPr>
                <w:b/>
              </w:rPr>
            </w:pPr>
            <w:r w:rsidRPr="003C5439">
              <w:rPr>
                <w:b/>
              </w:rPr>
              <w:t>8.7</w:t>
            </w:r>
          </w:p>
        </w:tc>
      </w:tr>
    </w:tbl>
    <w:p w:rsidR="003C5439" w:rsidRDefault="003C5439" w:rsidP="001D730F">
      <w:pPr>
        <w:pStyle w:val="tabletitle"/>
        <w:ind w:left="0" w:firstLine="0"/>
      </w:pPr>
      <w:bookmarkStart w:id="39" w:name="_Ref361402157"/>
    </w:p>
    <w:p w:rsidR="003C5439" w:rsidRDefault="003C5439" w:rsidP="003C5439">
      <w:pPr>
        <w:pStyle w:val="Text"/>
        <w:rPr>
          <w:rFonts w:ascii="Tahoma" w:hAnsi="Tahoma"/>
          <w:sz w:val="17"/>
        </w:rPr>
      </w:pPr>
      <w:r>
        <w:br w:type="page"/>
      </w:r>
    </w:p>
    <w:p w:rsidR="001D730F" w:rsidRPr="000706F1" w:rsidRDefault="001D730F" w:rsidP="00A67F2C">
      <w:pPr>
        <w:pStyle w:val="tabletitle"/>
      </w:pPr>
      <w:bookmarkStart w:id="40" w:name="_Toc383616138"/>
      <w:r w:rsidRPr="000706F1">
        <w:lastRenderedPageBreak/>
        <w:t>Table</w:t>
      </w:r>
      <w:bookmarkEnd w:id="39"/>
      <w:r w:rsidR="0003597A">
        <w:t xml:space="preserve"> 11</w:t>
      </w:r>
      <w:r w:rsidR="00A67F2C">
        <w:tab/>
      </w:r>
      <w:r w:rsidRPr="000706F1">
        <w:t xml:space="preserve">VET participation rates, </w:t>
      </w:r>
      <w:r w:rsidR="00C722EA">
        <w:t>25 to 64-year-</w:t>
      </w:r>
      <w:r w:rsidR="00C722EA" w:rsidRPr="000706F1">
        <w:t>old</w:t>
      </w:r>
      <w:r w:rsidR="00C722EA">
        <w:t>s,</w:t>
      </w:r>
      <w:r w:rsidR="00C722EA" w:rsidRPr="000706F1">
        <w:t xml:space="preserve"> </w:t>
      </w:r>
      <w:r w:rsidRPr="000706F1">
        <w:t>changes between 2006 and 2011</w:t>
      </w:r>
      <w:r w:rsidR="0076714D" w:rsidRPr="000706F1">
        <w:t xml:space="preserve">, </w:t>
      </w:r>
      <w:r w:rsidR="00062413">
        <w:t>postal areas</w:t>
      </w:r>
      <w:bookmarkEnd w:id="40"/>
    </w:p>
    <w:tbl>
      <w:tblPr>
        <w:tblW w:w="8789" w:type="dxa"/>
        <w:tblInd w:w="108" w:type="dxa"/>
        <w:tblLayout w:type="fixed"/>
        <w:tblLook w:val="04A0" w:firstRow="1" w:lastRow="0" w:firstColumn="1" w:lastColumn="0" w:noHBand="0" w:noVBand="1"/>
      </w:tblPr>
      <w:tblGrid>
        <w:gridCol w:w="1985"/>
        <w:gridCol w:w="1701"/>
        <w:gridCol w:w="1701"/>
        <w:gridCol w:w="1701"/>
        <w:gridCol w:w="1701"/>
      </w:tblGrid>
      <w:tr w:rsidR="007C58C7" w:rsidRPr="00CB35DD" w:rsidTr="00BA1892">
        <w:tc>
          <w:tcPr>
            <w:tcW w:w="1985"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CB35DD" w:rsidRDefault="007C58C7" w:rsidP="00CB35DD">
            <w:pPr>
              <w:pStyle w:val="Tablehead1"/>
            </w:pPr>
            <w:r w:rsidRPr="00CB35DD">
              <w:t>Quintile</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CB35DD" w:rsidRDefault="007C58C7" w:rsidP="00CB35DD">
            <w:pPr>
              <w:pStyle w:val="Tablehead1"/>
              <w:jc w:val="center"/>
            </w:pPr>
            <w:r w:rsidRPr="00CB35DD">
              <w:t>Change using 2006 &amp; 2011 SEIFA</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CB35DD" w:rsidRDefault="007C58C7" w:rsidP="00CB35DD">
            <w:pPr>
              <w:pStyle w:val="Tablehead1"/>
              <w:jc w:val="center"/>
            </w:pPr>
            <w:r w:rsidRPr="00CB35DD">
              <w:t>Estimated change using 2006 SEIFA</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CB35DD" w:rsidRDefault="007C58C7" w:rsidP="00CB35DD">
            <w:pPr>
              <w:pStyle w:val="Tablehead1"/>
              <w:jc w:val="center"/>
            </w:pPr>
            <w:r w:rsidRPr="00CB35DD">
              <w:t>Difference between actual change and estimated change</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7C58C7" w:rsidRPr="00CB35DD" w:rsidRDefault="007C58C7" w:rsidP="00CB35DD">
            <w:pPr>
              <w:pStyle w:val="Tablehead1"/>
              <w:jc w:val="center"/>
            </w:pPr>
            <w:r w:rsidRPr="00CB35DD">
              <w:t>% of change versus estimated change</w:t>
            </w:r>
          </w:p>
        </w:tc>
      </w:tr>
      <w:tr w:rsidR="00253354" w:rsidRPr="00CB35DD" w:rsidTr="00BA1892">
        <w:tc>
          <w:tcPr>
            <w:tcW w:w="1985" w:type="dxa"/>
            <w:tcBorders>
              <w:top w:val="single" w:sz="4" w:space="0" w:color="auto"/>
            </w:tcBorders>
            <w:noWrap/>
            <w:tcMar>
              <w:top w:w="0" w:type="dxa"/>
              <w:left w:w="108" w:type="dxa"/>
              <w:bottom w:w="0" w:type="dxa"/>
              <w:right w:w="108" w:type="dxa"/>
            </w:tcMar>
            <w:hideMark/>
          </w:tcPr>
          <w:p w:rsidR="00253354" w:rsidRPr="00CB35DD" w:rsidRDefault="00253354" w:rsidP="00CB35DD">
            <w:pPr>
              <w:pStyle w:val="Tabletext"/>
            </w:pPr>
            <w:r w:rsidRPr="00CB35DD">
              <w:t>1</w:t>
            </w:r>
          </w:p>
        </w:tc>
        <w:tc>
          <w:tcPr>
            <w:tcW w:w="1701" w:type="dxa"/>
            <w:tcBorders>
              <w:top w:val="single" w:sz="4" w:space="0" w:color="auto"/>
            </w:tcBorders>
            <w:noWrap/>
            <w:tcMar>
              <w:top w:w="0" w:type="dxa"/>
              <w:left w:w="108" w:type="dxa"/>
              <w:bottom w:w="0" w:type="dxa"/>
              <w:right w:w="108" w:type="dxa"/>
            </w:tcMar>
            <w:hideMark/>
          </w:tcPr>
          <w:p w:rsidR="00253354" w:rsidRPr="00CB35DD" w:rsidRDefault="0021066E" w:rsidP="00CB35DD">
            <w:pPr>
              <w:pStyle w:val="Tabletext"/>
              <w:tabs>
                <w:tab w:val="decimal" w:pos="737"/>
              </w:tabs>
            </w:pPr>
            <w:r w:rsidRPr="00CB35DD">
              <w:t>0.</w:t>
            </w:r>
            <w:r w:rsidR="00253354" w:rsidRPr="00CB35DD">
              <w:t>7</w:t>
            </w:r>
          </w:p>
        </w:tc>
        <w:tc>
          <w:tcPr>
            <w:tcW w:w="1701" w:type="dxa"/>
            <w:tcBorders>
              <w:top w:val="single" w:sz="4" w:space="0" w:color="auto"/>
            </w:tcBorders>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0.4</w:t>
            </w:r>
          </w:p>
        </w:tc>
        <w:tc>
          <w:tcPr>
            <w:tcW w:w="1701" w:type="dxa"/>
            <w:tcBorders>
              <w:top w:val="single" w:sz="4" w:space="0" w:color="auto"/>
            </w:tcBorders>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0.2</w:t>
            </w:r>
          </w:p>
        </w:tc>
        <w:tc>
          <w:tcPr>
            <w:tcW w:w="1701" w:type="dxa"/>
            <w:tcBorders>
              <w:top w:val="single" w:sz="4" w:space="0" w:color="auto"/>
            </w:tcBorders>
            <w:noWrap/>
            <w:tcMar>
              <w:top w:w="0" w:type="dxa"/>
              <w:left w:w="108" w:type="dxa"/>
              <w:bottom w:w="0" w:type="dxa"/>
              <w:right w:w="108" w:type="dxa"/>
            </w:tcMar>
            <w:hideMark/>
          </w:tcPr>
          <w:p w:rsidR="00253354" w:rsidRPr="00CB35DD" w:rsidRDefault="00253354" w:rsidP="00CB35DD">
            <w:pPr>
              <w:pStyle w:val="Tabletext"/>
              <w:tabs>
                <w:tab w:val="decimal" w:pos="765"/>
              </w:tabs>
            </w:pPr>
            <w:r w:rsidRPr="00CB35DD">
              <w:t>35.0</w:t>
            </w:r>
          </w:p>
        </w:tc>
      </w:tr>
      <w:tr w:rsidR="00253354" w:rsidRPr="00CB35DD" w:rsidTr="00CB35DD">
        <w:tc>
          <w:tcPr>
            <w:tcW w:w="1985" w:type="dxa"/>
            <w:noWrap/>
            <w:tcMar>
              <w:top w:w="0" w:type="dxa"/>
              <w:left w:w="108" w:type="dxa"/>
              <w:bottom w:w="0" w:type="dxa"/>
              <w:right w:w="108" w:type="dxa"/>
            </w:tcMar>
            <w:hideMark/>
          </w:tcPr>
          <w:p w:rsidR="00253354" w:rsidRPr="00CB35DD" w:rsidRDefault="00253354" w:rsidP="00CB35DD">
            <w:pPr>
              <w:pStyle w:val="Tabletext"/>
            </w:pPr>
            <w:r w:rsidRPr="00CB35DD">
              <w:t>2</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0.4</w:t>
            </w:r>
          </w:p>
        </w:tc>
        <w:tc>
          <w:tcPr>
            <w:tcW w:w="1701" w:type="dxa"/>
            <w:noWrap/>
            <w:tcMar>
              <w:top w:w="0" w:type="dxa"/>
              <w:left w:w="108" w:type="dxa"/>
              <w:bottom w:w="0" w:type="dxa"/>
              <w:right w:w="108" w:type="dxa"/>
            </w:tcMar>
            <w:hideMark/>
          </w:tcPr>
          <w:p w:rsidR="00253354" w:rsidRPr="00CB35DD" w:rsidRDefault="0021066E" w:rsidP="00CB35DD">
            <w:pPr>
              <w:pStyle w:val="Tabletext"/>
              <w:tabs>
                <w:tab w:val="decimal" w:pos="737"/>
              </w:tabs>
            </w:pPr>
            <w:r w:rsidRPr="00CB35DD">
              <w:t>0.5</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-0.0</w:t>
            </w:r>
          </w:p>
        </w:tc>
        <w:tc>
          <w:tcPr>
            <w:tcW w:w="1701" w:type="dxa"/>
            <w:noWrap/>
            <w:tcMar>
              <w:top w:w="0" w:type="dxa"/>
              <w:left w:w="108" w:type="dxa"/>
              <w:bottom w:w="0" w:type="dxa"/>
              <w:right w:w="108" w:type="dxa"/>
            </w:tcMar>
            <w:hideMark/>
          </w:tcPr>
          <w:p w:rsidR="00253354" w:rsidRPr="00CB35DD" w:rsidRDefault="0021066E" w:rsidP="00CB35DD">
            <w:pPr>
              <w:pStyle w:val="Tabletext"/>
              <w:tabs>
                <w:tab w:val="decimal" w:pos="765"/>
              </w:tabs>
            </w:pPr>
            <w:r w:rsidRPr="00CB35DD">
              <w:t>-9.8</w:t>
            </w:r>
          </w:p>
        </w:tc>
      </w:tr>
      <w:tr w:rsidR="00253354" w:rsidRPr="00CB35DD" w:rsidTr="00CB35DD">
        <w:tc>
          <w:tcPr>
            <w:tcW w:w="1985" w:type="dxa"/>
            <w:noWrap/>
            <w:tcMar>
              <w:top w:w="0" w:type="dxa"/>
              <w:left w:w="108" w:type="dxa"/>
              <w:bottom w:w="0" w:type="dxa"/>
              <w:right w:w="108" w:type="dxa"/>
            </w:tcMar>
            <w:hideMark/>
          </w:tcPr>
          <w:p w:rsidR="00253354" w:rsidRPr="00CB35DD" w:rsidRDefault="00253354" w:rsidP="00CB35DD">
            <w:pPr>
              <w:pStyle w:val="Tabletext"/>
            </w:pPr>
            <w:r w:rsidRPr="00CB35DD">
              <w:t>3</w:t>
            </w:r>
          </w:p>
        </w:tc>
        <w:tc>
          <w:tcPr>
            <w:tcW w:w="1701" w:type="dxa"/>
            <w:noWrap/>
            <w:tcMar>
              <w:top w:w="0" w:type="dxa"/>
              <w:left w:w="108" w:type="dxa"/>
              <w:bottom w:w="0" w:type="dxa"/>
              <w:right w:w="108" w:type="dxa"/>
            </w:tcMar>
            <w:hideMark/>
          </w:tcPr>
          <w:p w:rsidR="00253354" w:rsidRPr="00CB35DD" w:rsidRDefault="0021066E" w:rsidP="00CB35DD">
            <w:pPr>
              <w:pStyle w:val="Tabletext"/>
              <w:tabs>
                <w:tab w:val="decimal" w:pos="737"/>
              </w:tabs>
            </w:pPr>
            <w:r w:rsidRPr="00CB35DD">
              <w:t>0.2</w:t>
            </w:r>
          </w:p>
        </w:tc>
        <w:tc>
          <w:tcPr>
            <w:tcW w:w="1701" w:type="dxa"/>
            <w:noWrap/>
            <w:tcMar>
              <w:top w:w="0" w:type="dxa"/>
              <w:left w:w="108" w:type="dxa"/>
              <w:bottom w:w="0" w:type="dxa"/>
              <w:right w:w="108" w:type="dxa"/>
            </w:tcMar>
            <w:hideMark/>
          </w:tcPr>
          <w:p w:rsidR="00253354" w:rsidRPr="00CB35DD" w:rsidRDefault="0021066E" w:rsidP="00CB35DD">
            <w:pPr>
              <w:pStyle w:val="Tabletext"/>
              <w:tabs>
                <w:tab w:val="decimal" w:pos="737"/>
              </w:tabs>
            </w:pPr>
            <w:r w:rsidRPr="00CB35DD">
              <w:t>0.5</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-0.3</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65"/>
              </w:tabs>
            </w:pPr>
            <w:r w:rsidRPr="00CB35DD">
              <w:t>-152.7</w:t>
            </w:r>
          </w:p>
        </w:tc>
      </w:tr>
      <w:tr w:rsidR="00253354" w:rsidRPr="00CB35DD" w:rsidTr="00CB35DD">
        <w:tc>
          <w:tcPr>
            <w:tcW w:w="1985" w:type="dxa"/>
            <w:noWrap/>
            <w:tcMar>
              <w:top w:w="0" w:type="dxa"/>
              <w:left w:w="108" w:type="dxa"/>
              <w:bottom w:w="0" w:type="dxa"/>
              <w:right w:w="108" w:type="dxa"/>
            </w:tcMar>
            <w:hideMark/>
          </w:tcPr>
          <w:p w:rsidR="00253354" w:rsidRPr="00CB35DD" w:rsidRDefault="00253354" w:rsidP="00CB35DD">
            <w:pPr>
              <w:pStyle w:val="Tabletext"/>
            </w:pPr>
            <w:r w:rsidRPr="00CB35DD">
              <w:t>4</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0.6</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0.6</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0.0</w:t>
            </w:r>
          </w:p>
        </w:tc>
        <w:tc>
          <w:tcPr>
            <w:tcW w:w="1701" w:type="dxa"/>
            <w:noWrap/>
            <w:tcMar>
              <w:top w:w="0" w:type="dxa"/>
              <w:left w:w="108" w:type="dxa"/>
              <w:bottom w:w="0" w:type="dxa"/>
              <w:right w:w="108" w:type="dxa"/>
            </w:tcMar>
            <w:hideMark/>
          </w:tcPr>
          <w:p w:rsidR="00253354" w:rsidRPr="00CB35DD" w:rsidRDefault="00253354" w:rsidP="00CB35DD">
            <w:pPr>
              <w:pStyle w:val="Tabletext"/>
              <w:tabs>
                <w:tab w:val="decimal" w:pos="765"/>
              </w:tabs>
            </w:pPr>
            <w:r w:rsidRPr="00CB35DD">
              <w:t>-0.3</w:t>
            </w:r>
          </w:p>
        </w:tc>
      </w:tr>
      <w:tr w:rsidR="00253354" w:rsidRPr="00CB35DD" w:rsidTr="00BA1892">
        <w:tc>
          <w:tcPr>
            <w:tcW w:w="1985" w:type="dxa"/>
            <w:tcBorders>
              <w:bottom w:val="single" w:sz="4" w:space="0" w:color="auto"/>
            </w:tcBorders>
            <w:noWrap/>
            <w:tcMar>
              <w:top w:w="0" w:type="dxa"/>
              <w:left w:w="108" w:type="dxa"/>
              <w:bottom w:w="0" w:type="dxa"/>
              <w:right w:w="108" w:type="dxa"/>
            </w:tcMar>
            <w:hideMark/>
          </w:tcPr>
          <w:p w:rsidR="00253354" w:rsidRPr="00CB35DD" w:rsidRDefault="00253354" w:rsidP="00CB35DD">
            <w:pPr>
              <w:pStyle w:val="Tabletext"/>
            </w:pPr>
            <w:r w:rsidRPr="00CB35DD">
              <w:t>5</w:t>
            </w:r>
          </w:p>
        </w:tc>
        <w:tc>
          <w:tcPr>
            <w:tcW w:w="1701" w:type="dxa"/>
            <w:tcBorders>
              <w:bottom w:val="single" w:sz="4" w:space="0" w:color="auto"/>
            </w:tcBorders>
            <w:noWrap/>
            <w:tcMar>
              <w:top w:w="0" w:type="dxa"/>
              <w:left w:w="108" w:type="dxa"/>
              <w:bottom w:w="0" w:type="dxa"/>
              <w:right w:w="108" w:type="dxa"/>
            </w:tcMar>
            <w:hideMark/>
          </w:tcPr>
          <w:p w:rsidR="00253354" w:rsidRPr="00CB35DD" w:rsidRDefault="00253354" w:rsidP="00CB35DD">
            <w:pPr>
              <w:pStyle w:val="Tabletext"/>
              <w:tabs>
                <w:tab w:val="decimal" w:pos="737"/>
              </w:tabs>
            </w:pPr>
            <w:r w:rsidRPr="00CB35DD">
              <w:t>0.3</w:t>
            </w:r>
          </w:p>
        </w:tc>
        <w:tc>
          <w:tcPr>
            <w:tcW w:w="1701" w:type="dxa"/>
            <w:tcBorders>
              <w:bottom w:val="single" w:sz="4" w:space="0" w:color="auto"/>
            </w:tcBorders>
            <w:noWrap/>
            <w:tcMar>
              <w:top w:w="0" w:type="dxa"/>
              <w:left w:w="108" w:type="dxa"/>
              <w:bottom w:w="0" w:type="dxa"/>
              <w:right w:w="108" w:type="dxa"/>
            </w:tcMar>
            <w:hideMark/>
          </w:tcPr>
          <w:p w:rsidR="00253354" w:rsidRPr="00CB35DD" w:rsidRDefault="0021066E" w:rsidP="00CB35DD">
            <w:pPr>
              <w:pStyle w:val="Tabletext"/>
              <w:tabs>
                <w:tab w:val="decimal" w:pos="737"/>
              </w:tabs>
            </w:pPr>
            <w:r w:rsidRPr="00CB35DD">
              <w:t>0.4</w:t>
            </w:r>
          </w:p>
        </w:tc>
        <w:tc>
          <w:tcPr>
            <w:tcW w:w="1701" w:type="dxa"/>
            <w:tcBorders>
              <w:bottom w:val="single" w:sz="4" w:space="0" w:color="auto"/>
            </w:tcBorders>
            <w:noWrap/>
            <w:tcMar>
              <w:top w:w="0" w:type="dxa"/>
              <w:left w:w="108" w:type="dxa"/>
              <w:bottom w:w="0" w:type="dxa"/>
              <w:right w:w="108" w:type="dxa"/>
            </w:tcMar>
            <w:hideMark/>
          </w:tcPr>
          <w:p w:rsidR="00253354" w:rsidRPr="00CB35DD" w:rsidRDefault="0021066E" w:rsidP="00CB35DD">
            <w:pPr>
              <w:pStyle w:val="Tabletext"/>
              <w:tabs>
                <w:tab w:val="decimal" w:pos="737"/>
              </w:tabs>
            </w:pPr>
            <w:r w:rsidRPr="00CB35DD">
              <w:t>-0.1</w:t>
            </w:r>
          </w:p>
        </w:tc>
        <w:tc>
          <w:tcPr>
            <w:tcW w:w="1701" w:type="dxa"/>
            <w:tcBorders>
              <w:bottom w:val="single" w:sz="4" w:space="0" w:color="auto"/>
            </w:tcBorders>
            <w:noWrap/>
            <w:tcMar>
              <w:top w:w="0" w:type="dxa"/>
              <w:left w:w="108" w:type="dxa"/>
              <w:bottom w:w="0" w:type="dxa"/>
              <w:right w:w="108" w:type="dxa"/>
            </w:tcMar>
            <w:hideMark/>
          </w:tcPr>
          <w:p w:rsidR="00253354" w:rsidRPr="00CB35DD" w:rsidRDefault="0021066E" w:rsidP="00CB35DD">
            <w:pPr>
              <w:pStyle w:val="Tabletext"/>
              <w:tabs>
                <w:tab w:val="decimal" w:pos="765"/>
              </w:tabs>
            </w:pPr>
            <w:r w:rsidRPr="00CB35DD">
              <w:t>-19.4</w:t>
            </w:r>
          </w:p>
        </w:tc>
      </w:tr>
      <w:tr w:rsidR="00253354" w:rsidRPr="00CB35DD" w:rsidTr="00BA1892">
        <w:tc>
          <w:tcPr>
            <w:tcW w:w="1985" w:type="dxa"/>
            <w:tcBorders>
              <w:top w:val="single" w:sz="4" w:space="0" w:color="auto"/>
              <w:left w:val="nil"/>
              <w:bottom w:val="single" w:sz="4" w:space="0" w:color="auto"/>
              <w:right w:val="nil"/>
            </w:tcBorders>
            <w:noWrap/>
            <w:tcMar>
              <w:top w:w="0" w:type="dxa"/>
              <w:left w:w="108" w:type="dxa"/>
              <w:bottom w:w="0" w:type="dxa"/>
              <w:right w:w="0" w:type="dxa"/>
            </w:tcMar>
            <w:hideMark/>
          </w:tcPr>
          <w:p w:rsidR="00253354" w:rsidRPr="00CB35DD" w:rsidRDefault="00062413" w:rsidP="00CB35DD">
            <w:pPr>
              <w:pStyle w:val="Tabletext"/>
              <w:rPr>
                <w:b/>
              </w:rPr>
            </w:pPr>
            <w:r w:rsidRPr="00CB35DD">
              <w:rPr>
                <w:b/>
              </w:rPr>
              <w:t>Total 25 to 64-year-</w:t>
            </w:r>
            <w:r w:rsidR="00253354" w:rsidRPr="00CB35DD">
              <w:rPr>
                <w:b/>
              </w:rPr>
              <w:t>olds</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CB35DD" w:rsidRDefault="0021066E" w:rsidP="00CB35DD">
            <w:pPr>
              <w:pStyle w:val="Tabletext"/>
              <w:tabs>
                <w:tab w:val="decimal" w:pos="737"/>
              </w:tabs>
              <w:rPr>
                <w:b/>
              </w:rPr>
            </w:pPr>
            <w:r w:rsidRPr="00CB35DD">
              <w:rPr>
                <w:b/>
              </w:rPr>
              <w:t>0.5</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CB35DD" w:rsidRDefault="0021066E" w:rsidP="00CB35DD">
            <w:pPr>
              <w:pStyle w:val="Tabletext"/>
              <w:tabs>
                <w:tab w:val="decimal" w:pos="737"/>
              </w:tabs>
              <w:rPr>
                <w:b/>
              </w:rPr>
            </w:pPr>
            <w:r w:rsidRPr="00CB35DD">
              <w:rPr>
                <w:b/>
              </w:rPr>
              <w:t>0.5</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AC5066" w:rsidRDefault="00AC5066" w:rsidP="00CB35DD">
            <w:pPr>
              <w:pStyle w:val="Tabletext"/>
              <w:tabs>
                <w:tab w:val="decimal" w:pos="737"/>
              </w:tabs>
              <w:rPr>
                <w:b/>
                <w:vertAlign w:val="superscript"/>
              </w:rPr>
            </w:pPr>
            <w:r>
              <w:rPr>
                <w:b/>
              </w:rPr>
              <w:t>0.0</w:t>
            </w:r>
            <w:r>
              <w:rPr>
                <w:b/>
                <w:vertAlign w:val="superscript"/>
              </w:rPr>
              <w:t>1</w:t>
            </w:r>
          </w:p>
        </w:tc>
        <w:tc>
          <w:tcPr>
            <w:tcW w:w="1701" w:type="dxa"/>
            <w:tcBorders>
              <w:top w:val="single" w:sz="4" w:space="0" w:color="auto"/>
              <w:left w:val="nil"/>
              <w:bottom w:val="single" w:sz="4" w:space="0" w:color="auto"/>
              <w:right w:val="nil"/>
            </w:tcBorders>
            <w:noWrap/>
            <w:tcMar>
              <w:top w:w="0" w:type="dxa"/>
              <w:left w:w="108" w:type="dxa"/>
              <w:bottom w:w="0" w:type="dxa"/>
              <w:right w:w="108" w:type="dxa"/>
            </w:tcMar>
            <w:hideMark/>
          </w:tcPr>
          <w:p w:rsidR="00253354" w:rsidRPr="00CB35DD" w:rsidRDefault="00253354" w:rsidP="00CB35DD">
            <w:pPr>
              <w:pStyle w:val="Tabletext"/>
              <w:tabs>
                <w:tab w:val="decimal" w:pos="765"/>
              </w:tabs>
              <w:rPr>
                <w:b/>
              </w:rPr>
            </w:pPr>
            <w:r w:rsidRPr="00CB35DD">
              <w:rPr>
                <w:b/>
              </w:rPr>
              <w:t>-1.8</w:t>
            </w:r>
          </w:p>
        </w:tc>
      </w:tr>
    </w:tbl>
    <w:p w:rsidR="00AC5066" w:rsidRDefault="00AC5066" w:rsidP="00AC5066">
      <w:pPr>
        <w:pStyle w:val="Source"/>
        <w:tabs>
          <w:tab w:val="left" w:pos="851"/>
        </w:tabs>
        <w:ind w:left="709" w:hanging="709"/>
      </w:pPr>
      <w:r>
        <w:t>Note:</w:t>
      </w:r>
      <w:r>
        <w:tab/>
        <w:t>1</w:t>
      </w:r>
      <w:r>
        <w:tab/>
        <w:t>There is a small difference between the groups; however, rounding shows the difference as zero.</w:t>
      </w:r>
    </w:p>
    <w:p w:rsidR="007C6984" w:rsidRDefault="00A506A5" w:rsidP="00CB35DD">
      <w:pPr>
        <w:pStyle w:val="Textmorebefore"/>
      </w:pPr>
      <w:r>
        <w:t>From these tables, w</w:t>
      </w:r>
      <w:r w:rsidR="007C6984">
        <w:t xml:space="preserve">e see that in some cases the difference between the actual and apparent change is quite substantial. Of course, in some instances </w:t>
      </w:r>
      <w:r w:rsidR="00A54A85">
        <w:t>the</w:t>
      </w:r>
      <w:r w:rsidR="007C6984">
        <w:t xml:space="preserve"> actual changes are quite small and </w:t>
      </w:r>
      <w:r w:rsidR="00A54A85">
        <w:t>therefore</w:t>
      </w:r>
      <w:r w:rsidR="007C6984">
        <w:t xml:space="preserve"> a large relative discrepancy may not be </w:t>
      </w:r>
      <w:r w:rsidR="00CC2A11">
        <w:t>particularly</w:t>
      </w:r>
      <w:r w:rsidR="007C6984">
        <w:t xml:space="preserve"> </w:t>
      </w:r>
      <w:r w:rsidR="00A54A85">
        <w:t>important</w:t>
      </w:r>
      <w:r w:rsidR="007C6984">
        <w:t>. To give an overview</w:t>
      </w:r>
      <w:r w:rsidR="00062413">
        <w:t xml:space="preserve"> of t</w:t>
      </w:r>
      <w:r>
        <w:t>ables 6 to 11,</w:t>
      </w:r>
      <w:r w:rsidR="007C6984">
        <w:t xml:space="preserve"> we plot the actual </w:t>
      </w:r>
      <w:r w:rsidR="00661DE2">
        <w:t>and apparent changes in figure 1</w:t>
      </w:r>
      <w:r w:rsidR="007C6984">
        <w:t>.</w:t>
      </w:r>
      <w:r w:rsidR="00836245">
        <w:t xml:space="preserve"> Our </w:t>
      </w:r>
      <w:r w:rsidR="00062413">
        <w:t>five</w:t>
      </w:r>
      <w:r w:rsidR="00836245">
        <w:t xml:space="preserve"> </w:t>
      </w:r>
      <w:r w:rsidR="00A54A85">
        <w:t>quintiles</w:t>
      </w:r>
      <w:r w:rsidR="00836245">
        <w:t xml:space="preserve"> and </w:t>
      </w:r>
      <w:r w:rsidR="00062413">
        <w:t>three</w:t>
      </w:r>
      <w:r w:rsidR="00836245">
        <w:t xml:space="preserve"> age groups give 15 observations. In the figure, we plot actual and apparent ordered by size of the actual change.</w:t>
      </w:r>
    </w:p>
    <w:p w:rsidR="00253354" w:rsidRDefault="00780A79" w:rsidP="00CB35DD">
      <w:pPr>
        <w:pStyle w:val="Figuretitle"/>
      </w:pPr>
      <w:bookmarkStart w:id="41" w:name="_Toc383616076"/>
      <w:r>
        <w:rPr>
          <w:noProof/>
          <w:lang w:eastAsia="en-AU"/>
        </w:rPr>
        <w:drawing>
          <wp:anchor distT="0" distB="0" distL="114300" distR="114300" simplePos="0" relativeHeight="251696128" behindDoc="0" locked="0" layoutInCell="1" allowOverlap="1">
            <wp:simplePos x="0" y="0"/>
            <wp:positionH relativeFrom="column">
              <wp:posOffset>13970</wp:posOffset>
            </wp:positionH>
            <wp:positionV relativeFrom="paragraph">
              <wp:posOffset>605155</wp:posOffset>
            </wp:positionV>
            <wp:extent cx="4800600" cy="2743200"/>
            <wp:effectExtent l="19050" t="0" r="1905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53354">
        <w:t xml:space="preserve">Figure </w:t>
      </w:r>
      <w:r w:rsidR="0003597A">
        <w:t>1</w:t>
      </w:r>
      <w:r w:rsidR="00CB35DD">
        <w:tab/>
      </w:r>
      <w:r w:rsidR="00253354">
        <w:t xml:space="preserve">Actual and </w:t>
      </w:r>
      <w:r w:rsidR="00A506A5">
        <w:t xml:space="preserve">apparent </w:t>
      </w:r>
      <w:r w:rsidR="00253354">
        <w:t>changes in VET participation f</w:t>
      </w:r>
      <w:r w:rsidR="00CC2A11">
        <w:t>or age by SES quintiles, 2006–</w:t>
      </w:r>
      <w:r w:rsidR="00253354">
        <w:t>11, SEIFA (</w:t>
      </w:r>
      <w:r w:rsidR="00901F3F">
        <w:t>Index of Relative Socio-economic Disadvantage</w:t>
      </w:r>
      <w:r w:rsidR="00253354">
        <w:t xml:space="preserve">), </w:t>
      </w:r>
      <w:r w:rsidR="00062413">
        <w:t>postal areas</w:t>
      </w:r>
      <w:r w:rsidR="00253354">
        <w:t xml:space="preserve"> (percentage points)</w:t>
      </w:r>
      <w:bookmarkEnd w:id="41"/>
    </w:p>
    <w:p w:rsidR="00836245" w:rsidRDefault="00836245" w:rsidP="00CC2A11">
      <w:pPr>
        <w:pStyle w:val="Textmorebefore"/>
        <w:spacing w:before="460"/>
      </w:pPr>
      <w:r>
        <w:t xml:space="preserve">This summary provides little confidence that the 2006 SEIFA quintiles give an accurate picture of movements over 2006 and 2011. </w:t>
      </w:r>
      <w:r w:rsidR="00A54A85">
        <w:t>While there is little error associated with some points, there are large errors associated with others.</w:t>
      </w:r>
    </w:p>
    <w:p w:rsidR="00CC2A11" w:rsidRDefault="00CC2A11">
      <w:pPr>
        <w:spacing w:before="0" w:line="240" w:lineRule="auto"/>
        <w:rPr>
          <w:rFonts w:ascii="Tahoma" w:hAnsi="Tahoma" w:cs="Tahoma"/>
          <w:sz w:val="28"/>
        </w:rPr>
      </w:pPr>
      <w:bookmarkStart w:id="42" w:name="_Toc383615932"/>
      <w:r>
        <w:br w:type="page"/>
      </w:r>
    </w:p>
    <w:p w:rsidR="00A470EA" w:rsidRDefault="00A470EA" w:rsidP="00DC4418">
      <w:pPr>
        <w:pStyle w:val="Heading2"/>
      </w:pPr>
      <w:r>
        <w:lastRenderedPageBreak/>
        <w:t xml:space="preserve">Changes based on </w:t>
      </w:r>
      <w:r w:rsidR="00062413">
        <w:t>statistical local area</w:t>
      </w:r>
      <w:r>
        <w:t xml:space="preserve"> quintiles</w:t>
      </w:r>
      <w:bookmarkEnd w:id="42"/>
    </w:p>
    <w:p w:rsidR="00A470EA" w:rsidRDefault="00A470EA" w:rsidP="00DC4418">
      <w:pPr>
        <w:pStyle w:val="Text"/>
      </w:pPr>
      <w:r>
        <w:t xml:space="preserve">Tables </w:t>
      </w:r>
      <w:r w:rsidR="00062413">
        <w:t>12—</w:t>
      </w:r>
      <w:r w:rsidR="0003597A">
        <w:t>17</w:t>
      </w:r>
      <w:r w:rsidR="00AB07C7">
        <w:t xml:space="preserve"> </w:t>
      </w:r>
      <w:r>
        <w:t xml:space="preserve">provide </w:t>
      </w:r>
      <w:r w:rsidR="00AB07C7">
        <w:t>analogous</w:t>
      </w:r>
      <w:r>
        <w:t xml:space="preserve"> tables, but using </w:t>
      </w:r>
      <w:r w:rsidR="00062413">
        <w:t>statistical local areas</w:t>
      </w:r>
      <w:r>
        <w:t xml:space="preserve"> rather than </w:t>
      </w:r>
      <w:r w:rsidR="00062413" w:rsidRPr="00DC4418">
        <w:t>postal</w:t>
      </w:r>
      <w:r w:rsidR="00062413">
        <w:t xml:space="preserve"> areas</w:t>
      </w:r>
      <w:r>
        <w:t>.</w:t>
      </w:r>
    </w:p>
    <w:p w:rsidR="00A470EA" w:rsidRPr="00BD5687" w:rsidRDefault="00A470EA" w:rsidP="00DC4418">
      <w:pPr>
        <w:pStyle w:val="tabletitle"/>
      </w:pPr>
      <w:bookmarkStart w:id="43" w:name="_Toc366142863"/>
      <w:bookmarkStart w:id="44" w:name="_Toc383616139"/>
      <w:r w:rsidRPr="00BD5687">
        <w:t xml:space="preserve">Table </w:t>
      </w:r>
      <w:r w:rsidR="00736E9F">
        <w:t>1</w:t>
      </w:r>
      <w:r w:rsidR="0003597A">
        <w:t>2</w:t>
      </w:r>
      <w:r w:rsidR="00DC4418">
        <w:tab/>
      </w:r>
      <w:r w:rsidRPr="00BD5687">
        <w:t xml:space="preserve">VET participation rates, </w:t>
      </w:r>
      <w:r w:rsidR="00C722EA">
        <w:t>15 to 19-year-</w:t>
      </w:r>
      <w:r w:rsidR="00C722EA" w:rsidRPr="00BD5687">
        <w:t>old</w:t>
      </w:r>
      <w:r w:rsidR="00C722EA">
        <w:t>s,</w:t>
      </w:r>
      <w:r w:rsidR="00C722EA" w:rsidRPr="00BD5687">
        <w:t xml:space="preserve"> </w:t>
      </w:r>
      <w:r w:rsidR="001A2868">
        <w:t xml:space="preserve">2006 and 2011, </w:t>
      </w:r>
      <w:bookmarkEnd w:id="43"/>
      <w:r w:rsidR="00062413">
        <w:t>statistical local areas</w:t>
      </w:r>
      <w:bookmarkEnd w:id="44"/>
    </w:p>
    <w:tbl>
      <w:tblPr>
        <w:tblW w:w="8789" w:type="dxa"/>
        <w:tblInd w:w="93" w:type="dxa"/>
        <w:tblLayout w:type="fixed"/>
        <w:tblLook w:val="04A0" w:firstRow="1" w:lastRow="0" w:firstColumn="1" w:lastColumn="0" w:noHBand="0" w:noVBand="1"/>
      </w:tblPr>
      <w:tblGrid>
        <w:gridCol w:w="2000"/>
        <w:gridCol w:w="2263"/>
        <w:gridCol w:w="2263"/>
        <w:gridCol w:w="2263"/>
      </w:tblGrid>
      <w:tr w:rsidR="00A470EA" w:rsidRPr="00660257" w:rsidTr="00660257">
        <w:tc>
          <w:tcPr>
            <w:tcW w:w="2000" w:type="dxa"/>
            <w:tcBorders>
              <w:top w:val="single" w:sz="4" w:space="0" w:color="auto"/>
              <w:left w:val="nil"/>
              <w:bottom w:val="single" w:sz="4" w:space="0" w:color="auto"/>
              <w:right w:val="nil"/>
            </w:tcBorders>
            <w:shd w:val="clear" w:color="auto" w:fill="auto"/>
            <w:noWrap/>
            <w:hideMark/>
          </w:tcPr>
          <w:p w:rsidR="00A470EA" w:rsidRPr="00660257" w:rsidRDefault="00A470EA" w:rsidP="00660257">
            <w:pPr>
              <w:pStyle w:val="Tablehead1"/>
            </w:pPr>
            <w:r w:rsidRPr="00660257">
              <w:t>Quintile</w:t>
            </w:r>
          </w:p>
        </w:tc>
        <w:tc>
          <w:tcPr>
            <w:tcW w:w="2263" w:type="dxa"/>
            <w:tcBorders>
              <w:top w:val="single" w:sz="4" w:space="0" w:color="auto"/>
              <w:left w:val="nil"/>
              <w:bottom w:val="single" w:sz="4" w:space="0" w:color="auto"/>
              <w:right w:val="nil"/>
            </w:tcBorders>
            <w:shd w:val="clear" w:color="auto" w:fill="auto"/>
            <w:noWrap/>
            <w:hideMark/>
          </w:tcPr>
          <w:p w:rsidR="00A470EA" w:rsidRPr="00660257" w:rsidRDefault="00A470EA" w:rsidP="00660257">
            <w:pPr>
              <w:pStyle w:val="Tablehead1"/>
              <w:jc w:val="center"/>
            </w:pPr>
            <w:r w:rsidRPr="00660257">
              <w:t>2006 collection using 2006 SEIFA (truth)</w:t>
            </w:r>
          </w:p>
        </w:tc>
        <w:tc>
          <w:tcPr>
            <w:tcW w:w="2263" w:type="dxa"/>
            <w:tcBorders>
              <w:top w:val="single" w:sz="4" w:space="0" w:color="auto"/>
              <w:left w:val="nil"/>
              <w:bottom w:val="single" w:sz="4" w:space="0" w:color="auto"/>
              <w:right w:val="nil"/>
            </w:tcBorders>
            <w:shd w:val="clear" w:color="auto" w:fill="auto"/>
            <w:noWrap/>
            <w:hideMark/>
          </w:tcPr>
          <w:p w:rsidR="00A470EA" w:rsidRPr="00660257" w:rsidRDefault="00C722EA" w:rsidP="00660257">
            <w:pPr>
              <w:pStyle w:val="Tablehead1"/>
              <w:jc w:val="center"/>
            </w:pPr>
            <w:r w:rsidRPr="00660257">
              <w:t>2011 c</w:t>
            </w:r>
            <w:r w:rsidR="00A470EA" w:rsidRPr="00660257">
              <w:t>ollection using 2006 SEIFA</w:t>
            </w:r>
          </w:p>
        </w:tc>
        <w:tc>
          <w:tcPr>
            <w:tcW w:w="2263" w:type="dxa"/>
            <w:tcBorders>
              <w:top w:val="single" w:sz="4" w:space="0" w:color="auto"/>
              <w:left w:val="nil"/>
              <w:bottom w:val="single" w:sz="4" w:space="0" w:color="auto"/>
              <w:right w:val="nil"/>
            </w:tcBorders>
            <w:shd w:val="clear" w:color="auto" w:fill="auto"/>
            <w:noWrap/>
            <w:hideMark/>
          </w:tcPr>
          <w:p w:rsidR="00A470EA" w:rsidRPr="00660257" w:rsidRDefault="00C722EA" w:rsidP="00660257">
            <w:pPr>
              <w:pStyle w:val="Tablehead1"/>
              <w:jc w:val="center"/>
            </w:pPr>
            <w:r w:rsidRPr="00660257">
              <w:t>2011 c</w:t>
            </w:r>
            <w:r w:rsidR="00A470EA" w:rsidRPr="00660257">
              <w:t>ollection using 2011 SEIFA (truth)</w:t>
            </w:r>
          </w:p>
        </w:tc>
      </w:tr>
      <w:tr w:rsidR="00EE33BA" w:rsidRPr="00660257" w:rsidTr="00660257">
        <w:tc>
          <w:tcPr>
            <w:tcW w:w="2000" w:type="dxa"/>
            <w:tcBorders>
              <w:top w:val="nil"/>
              <w:left w:val="nil"/>
              <w:bottom w:val="nil"/>
              <w:right w:val="nil"/>
            </w:tcBorders>
            <w:shd w:val="clear" w:color="auto" w:fill="auto"/>
            <w:noWrap/>
            <w:hideMark/>
          </w:tcPr>
          <w:p w:rsidR="00EE33BA" w:rsidRPr="00660257" w:rsidRDefault="00EE33BA" w:rsidP="00660257">
            <w:pPr>
              <w:pStyle w:val="Tabletext"/>
            </w:pPr>
            <w:r w:rsidRPr="00660257">
              <w:t>1</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29.9</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35.6</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37.3</w:t>
            </w:r>
          </w:p>
        </w:tc>
      </w:tr>
      <w:tr w:rsidR="00EE33BA" w:rsidRPr="00660257" w:rsidTr="00660257">
        <w:tc>
          <w:tcPr>
            <w:tcW w:w="2000" w:type="dxa"/>
            <w:tcBorders>
              <w:top w:val="nil"/>
              <w:left w:val="nil"/>
              <w:bottom w:val="nil"/>
              <w:right w:val="nil"/>
            </w:tcBorders>
            <w:shd w:val="clear" w:color="auto" w:fill="auto"/>
            <w:noWrap/>
            <w:hideMark/>
          </w:tcPr>
          <w:p w:rsidR="00EE33BA" w:rsidRPr="00660257" w:rsidRDefault="00EE33BA" w:rsidP="00660257">
            <w:pPr>
              <w:pStyle w:val="Tabletext"/>
            </w:pPr>
            <w:r w:rsidRPr="00660257">
              <w:t>2</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31.0</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39.6</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39.5</w:t>
            </w:r>
          </w:p>
        </w:tc>
      </w:tr>
      <w:tr w:rsidR="00EE33BA" w:rsidRPr="00660257" w:rsidTr="00660257">
        <w:tc>
          <w:tcPr>
            <w:tcW w:w="2000" w:type="dxa"/>
            <w:tcBorders>
              <w:top w:val="nil"/>
              <w:left w:val="nil"/>
              <w:bottom w:val="nil"/>
              <w:right w:val="nil"/>
            </w:tcBorders>
            <w:shd w:val="clear" w:color="auto" w:fill="auto"/>
            <w:noWrap/>
            <w:hideMark/>
          </w:tcPr>
          <w:p w:rsidR="00EE33BA" w:rsidRPr="00660257" w:rsidRDefault="00EE33BA" w:rsidP="00660257">
            <w:pPr>
              <w:pStyle w:val="Tabletext"/>
            </w:pPr>
            <w:r w:rsidRPr="00660257">
              <w:t>3</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28.3</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34.7</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35.2</w:t>
            </w:r>
          </w:p>
        </w:tc>
      </w:tr>
      <w:tr w:rsidR="00EE33BA" w:rsidRPr="00660257" w:rsidTr="00660257">
        <w:tc>
          <w:tcPr>
            <w:tcW w:w="2000" w:type="dxa"/>
            <w:tcBorders>
              <w:top w:val="nil"/>
              <w:left w:val="nil"/>
              <w:bottom w:val="nil"/>
              <w:right w:val="nil"/>
            </w:tcBorders>
            <w:shd w:val="clear" w:color="auto" w:fill="auto"/>
            <w:noWrap/>
            <w:hideMark/>
          </w:tcPr>
          <w:p w:rsidR="00EE33BA" w:rsidRPr="00660257" w:rsidRDefault="00EE33BA" w:rsidP="00660257">
            <w:pPr>
              <w:pStyle w:val="Tabletext"/>
            </w:pPr>
            <w:r w:rsidRPr="00660257">
              <w:t>4</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24.1</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30.2</w:t>
            </w:r>
          </w:p>
        </w:tc>
        <w:tc>
          <w:tcPr>
            <w:tcW w:w="2263" w:type="dxa"/>
            <w:tcBorders>
              <w:top w:val="nil"/>
              <w:left w:val="nil"/>
              <w:bottom w:val="nil"/>
              <w:right w:val="nil"/>
            </w:tcBorders>
            <w:shd w:val="clear" w:color="auto" w:fill="auto"/>
            <w:noWrap/>
            <w:hideMark/>
          </w:tcPr>
          <w:p w:rsidR="00EE33BA" w:rsidRPr="00660257" w:rsidRDefault="00EE33BA" w:rsidP="00660257">
            <w:pPr>
              <w:pStyle w:val="Tabletext"/>
              <w:tabs>
                <w:tab w:val="decimal" w:pos="1021"/>
              </w:tabs>
            </w:pPr>
            <w:r w:rsidRPr="00660257">
              <w:t>29.8</w:t>
            </w:r>
          </w:p>
        </w:tc>
      </w:tr>
      <w:tr w:rsidR="00EE33BA" w:rsidRPr="00660257" w:rsidTr="003332D7">
        <w:tc>
          <w:tcPr>
            <w:tcW w:w="2000" w:type="dxa"/>
            <w:tcBorders>
              <w:top w:val="nil"/>
              <w:left w:val="nil"/>
              <w:bottom w:val="single" w:sz="4" w:space="0" w:color="auto"/>
              <w:right w:val="nil"/>
            </w:tcBorders>
            <w:shd w:val="clear" w:color="auto" w:fill="auto"/>
            <w:noWrap/>
            <w:hideMark/>
          </w:tcPr>
          <w:p w:rsidR="00EE33BA" w:rsidRPr="00660257" w:rsidRDefault="00EE33BA" w:rsidP="00660257">
            <w:pPr>
              <w:pStyle w:val="Tabletext"/>
            </w:pPr>
            <w:r w:rsidRPr="00660257">
              <w:t>5</w:t>
            </w:r>
          </w:p>
        </w:tc>
        <w:tc>
          <w:tcPr>
            <w:tcW w:w="2263" w:type="dxa"/>
            <w:tcBorders>
              <w:top w:val="nil"/>
              <w:left w:val="nil"/>
              <w:bottom w:val="single" w:sz="4" w:space="0" w:color="auto"/>
              <w:right w:val="nil"/>
            </w:tcBorders>
            <w:shd w:val="clear" w:color="auto" w:fill="auto"/>
            <w:noWrap/>
            <w:hideMark/>
          </w:tcPr>
          <w:p w:rsidR="00EE33BA" w:rsidRPr="00660257" w:rsidRDefault="00EE33BA" w:rsidP="00660257">
            <w:pPr>
              <w:pStyle w:val="Tabletext"/>
              <w:tabs>
                <w:tab w:val="decimal" w:pos="1021"/>
              </w:tabs>
            </w:pPr>
            <w:r w:rsidRPr="00660257">
              <w:t>19.5</w:t>
            </w:r>
          </w:p>
        </w:tc>
        <w:tc>
          <w:tcPr>
            <w:tcW w:w="2263" w:type="dxa"/>
            <w:tcBorders>
              <w:top w:val="nil"/>
              <w:left w:val="nil"/>
              <w:bottom w:val="single" w:sz="4" w:space="0" w:color="auto"/>
              <w:right w:val="nil"/>
            </w:tcBorders>
            <w:shd w:val="clear" w:color="auto" w:fill="auto"/>
            <w:noWrap/>
            <w:hideMark/>
          </w:tcPr>
          <w:p w:rsidR="00EE33BA" w:rsidRPr="00660257" w:rsidRDefault="00EE33BA" w:rsidP="00660257">
            <w:pPr>
              <w:pStyle w:val="Tabletext"/>
              <w:tabs>
                <w:tab w:val="decimal" w:pos="1021"/>
              </w:tabs>
            </w:pPr>
            <w:r w:rsidRPr="00660257">
              <w:t>24.4</w:t>
            </w:r>
          </w:p>
        </w:tc>
        <w:tc>
          <w:tcPr>
            <w:tcW w:w="2263" w:type="dxa"/>
            <w:tcBorders>
              <w:top w:val="nil"/>
              <w:left w:val="nil"/>
              <w:bottom w:val="single" w:sz="4" w:space="0" w:color="auto"/>
              <w:right w:val="nil"/>
            </w:tcBorders>
            <w:shd w:val="clear" w:color="auto" w:fill="auto"/>
            <w:noWrap/>
            <w:hideMark/>
          </w:tcPr>
          <w:p w:rsidR="00EE33BA" w:rsidRPr="00660257" w:rsidRDefault="00EE33BA" w:rsidP="00660257">
            <w:pPr>
              <w:pStyle w:val="Tabletext"/>
              <w:tabs>
                <w:tab w:val="decimal" w:pos="1021"/>
              </w:tabs>
            </w:pPr>
            <w:r w:rsidRPr="00660257">
              <w:t>20.9</w:t>
            </w:r>
          </w:p>
        </w:tc>
      </w:tr>
      <w:tr w:rsidR="00EE33BA" w:rsidRPr="00660257" w:rsidTr="003332D7">
        <w:tc>
          <w:tcPr>
            <w:tcW w:w="2000" w:type="dxa"/>
            <w:tcBorders>
              <w:top w:val="single" w:sz="4" w:space="0" w:color="auto"/>
              <w:left w:val="nil"/>
              <w:bottom w:val="single" w:sz="4" w:space="0" w:color="auto"/>
              <w:right w:val="nil"/>
            </w:tcBorders>
            <w:shd w:val="clear" w:color="auto" w:fill="auto"/>
            <w:noWrap/>
            <w:tcMar>
              <w:right w:w="0" w:type="dxa"/>
            </w:tcMar>
            <w:hideMark/>
          </w:tcPr>
          <w:p w:rsidR="00EE33BA" w:rsidRPr="00660257" w:rsidRDefault="00D05EB6" w:rsidP="00660257">
            <w:pPr>
              <w:pStyle w:val="Tabletext"/>
              <w:rPr>
                <w:b/>
              </w:rPr>
            </w:pPr>
            <w:r w:rsidRPr="00660257">
              <w:rPr>
                <w:b/>
              </w:rPr>
              <w:t>Total 15 to 19-year-</w:t>
            </w:r>
            <w:r w:rsidR="00EE33BA" w:rsidRPr="00660257">
              <w:rPr>
                <w:b/>
              </w:rPr>
              <w:t>olds</w:t>
            </w:r>
          </w:p>
        </w:tc>
        <w:tc>
          <w:tcPr>
            <w:tcW w:w="2263" w:type="dxa"/>
            <w:tcBorders>
              <w:top w:val="single" w:sz="4" w:space="0" w:color="auto"/>
              <w:left w:val="nil"/>
              <w:bottom w:val="single" w:sz="4" w:space="0" w:color="auto"/>
              <w:right w:val="nil"/>
            </w:tcBorders>
            <w:shd w:val="clear" w:color="auto" w:fill="auto"/>
            <w:noWrap/>
            <w:hideMark/>
          </w:tcPr>
          <w:p w:rsidR="00EE33BA" w:rsidRPr="00660257" w:rsidRDefault="006364BD" w:rsidP="00660257">
            <w:pPr>
              <w:pStyle w:val="Tabletext"/>
              <w:tabs>
                <w:tab w:val="decimal" w:pos="1021"/>
              </w:tabs>
              <w:rPr>
                <w:b/>
              </w:rPr>
            </w:pPr>
            <w:r w:rsidRPr="00660257">
              <w:rPr>
                <w:b/>
              </w:rPr>
              <w:t>30.8</w:t>
            </w:r>
          </w:p>
        </w:tc>
        <w:tc>
          <w:tcPr>
            <w:tcW w:w="2263" w:type="dxa"/>
            <w:tcBorders>
              <w:top w:val="single" w:sz="4" w:space="0" w:color="auto"/>
              <w:left w:val="nil"/>
              <w:bottom w:val="single" w:sz="4" w:space="0" w:color="auto"/>
              <w:right w:val="nil"/>
            </w:tcBorders>
            <w:shd w:val="clear" w:color="auto" w:fill="auto"/>
            <w:noWrap/>
            <w:hideMark/>
          </w:tcPr>
          <w:p w:rsidR="00EE33BA" w:rsidRPr="00660257" w:rsidRDefault="00EE33BA" w:rsidP="00660257">
            <w:pPr>
              <w:pStyle w:val="Tabletext"/>
              <w:tabs>
                <w:tab w:val="decimal" w:pos="1021"/>
              </w:tabs>
              <w:rPr>
                <w:b/>
              </w:rPr>
            </w:pPr>
            <w:r w:rsidRPr="00660257">
              <w:rPr>
                <w:b/>
                <w:szCs w:val="19"/>
              </w:rPr>
              <w:t>33.0</w:t>
            </w:r>
          </w:p>
        </w:tc>
        <w:tc>
          <w:tcPr>
            <w:tcW w:w="2263" w:type="dxa"/>
            <w:tcBorders>
              <w:top w:val="single" w:sz="4" w:space="0" w:color="auto"/>
              <w:left w:val="nil"/>
              <w:bottom w:val="single" w:sz="4" w:space="0" w:color="auto"/>
              <w:right w:val="nil"/>
            </w:tcBorders>
            <w:shd w:val="clear" w:color="auto" w:fill="auto"/>
            <w:noWrap/>
            <w:hideMark/>
          </w:tcPr>
          <w:p w:rsidR="00EE33BA" w:rsidRPr="00660257" w:rsidRDefault="00EE33BA" w:rsidP="00660257">
            <w:pPr>
              <w:pStyle w:val="Tabletext"/>
              <w:tabs>
                <w:tab w:val="decimal" w:pos="1021"/>
              </w:tabs>
              <w:rPr>
                <w:b/>
              </w:rPr>
            </w:pPr>
            <w:r w:rsidRPr="00660257">
              <w:rPr>
                <w:b/>
              </w:rPr>
              <w:t>33.0</w:t>
            </w:r>
          </w:p>
        </w:tc>
      </w:tr>
    </w:tbl>
    <w:p w:rsidR="00A470EA" w:rsidRPr="00C722EA" w:rsidRDefault="00A470EA" w:rsidP="00660257">
      <w:pPr>
        <w:pStyle w:val="tabletitle"/>
      </w:pPr>
      <w:bookmarkStart w:id="45" w:name="_Toc366142864"/>
      <w:bookmarkStart w:id="46" w:name="_Toc383616140"/>
      <w:r w:rsidRPr="00C722EA">
        <w:t xml:space="preserve">Table </w:t>
      </w:r>
      <w:r w:rsidR="0003597A" w:rsidRPr="00C722EA">
        <w:t>13</w:t>
      </w:r>
      <w:r w:rsidR="00660257">
        <w:tab/>
      </w:r>
      <w:r w:rsidRPr="00C722EA">
        <w:t>VET participation rates</w:t>
      </w:r>
      <w:r w:rsidR="00C722EA" w:rsidRPr="00C722EA">
        <w:t>, 15 to 19-year-olds</w:t>
      </w:r>
      <w:r w:rsidRPr="00C722EA">
        <w:t xml:space="preserve">, changes between 2006 and 2011, </w:t>
      </w:r>
      <w:bookmarkEnd w:id="45"/>
      <w:r w:rsidR="00062413" w:rsidRPr="00C722EA">
        <w:t>statistical local areas</w:t>
      </w:r>
      <w:bookmarkEnd w:id="46"/>
    </w:p>
    <w:tbl>
      <w:tblPr>
        <w:tblW w:w="8789" w:type="dxa"/>
        <w:tblInd w:w="93" w:type="dxa"/>
        <w:tblLayout w:type="fixed"/>
        <w:tblLook w:val="04A0" w:firstRow="1" w:lastRow="0" w:firstColumn="1" w:lastColumn="0" w:noHBand="0" w:noVBand="1"/>
      </w:tblPr>
      <w:tblGrid>
        <w:gridCol w:w="2000"/>
        <w:gridCol w:w="1697"/>
        <w:gridCol w:w="1697"/>
        <w:gridCol w:w="1697"/>
        <w:gridCol w:w="1698"/>
      </w:tblGrid>
      <w:tr w:rsidR="007C58C7" w:rsidRPr="00660257" w:rsidTr="009A4E14">
        <w:tc>
          <w:tcPr>
            <w:tcW w:w="2000" w:type="dxa"/>
            <w:tcBorders>
              <w:top w:val="single" w:sz="4" w:space="0" w:color="auto"/>
              <w:left w:val="nil"/>
              <w:bottom w:val="single" w:sz="4" w:space="0" w:color="auto"/>
              <w:right w:val="nil"/>
            </w:tcBorders>
            <w:shd w:val="clear" w:color="auto" w:fill="auto"/>
            <w:noWrap/>
            <w:hideMark/>
          </w:tcPr>
          <w:p w:rsidR="007C58C7" w:rsidRPr="00660257" w:rsidRDefault="007C58C7" w:rsidP="00660257">
            <w:pPr>
              <w:pStyle w:val="Tablehead1"/>
            </w:pPr>
            <w:r w:rsidRPr="00660257">
              <w:t>Quintile</w:t>
            </w:r>
          </w:p>
        </w:tc>
        <w:tc>
          <w:tcPr>
            <w:tcW w:w="1697" w:type="dxa"/>
            <w:tcBorders>
              <w:top w:val="single" w:sz="4" w:space="0" w:color="auto"/>
              <w:left w:val="nil"/>
              <w:bottom w:val="single" w:sz="4" w:space="0" w:color="auto"/>
              <w:right w:val="nil"/>
            </w:tcBorders>
            <w:shd w:val="clear" w:color="auto" w:fill="auto"/>
            <w:noWrap/>
            <w:hideMark/>
          </w:tcPr>
          <w:p w:rsidR="007C58C7" w:rsidRPr="00660257" w:rsidRDefault="007C58C7" w:rsidP="009A4E14">
            <w:pPr>
              <w:pStyle w:val="Tablehead1"/>
              <w:jc w:val="center"/>
            </w:pPr>
            <w:r w:rsidRPr="00660257">
              <w:t>Change using 2006 &amp; 2011 SEIFA</w:t>
            </w:r>
          </w:p>
        </w:tc>
        <w:tc>
          <w:tcPr>
            <w:tcW w:w="1697" w:type="dxa"/>
            <w:tcBorders>
              <w:top w:val="single" w:sz="4" w:space="0" w:color="auto"/>
              <w:left w:val="nil"/>
              <w:bottom w:val="single" w:sz="4" w:space="0" w:color="auto"/>
              <w:right w:val="nil"/>
            </w:tcBorders>
            <w:shd w:val="clear" w:color="auto" w:fill="auto"/>
            <w:noWrap/>
            <w:hideMark/>
          </w:tcPr>
          <w:p w:rsidR="007C58C7" w:rsidRPr="00660257" w:rsidRDefault="007C58C7" w:rsidP="009A4E14">
            <w:pPr>
              <w:pStyle w:val="Tablehead1"/>
              <w:jc w:val="center"/>
            </w:pPr>
            <w:r w:rsidRPr="00660257">
              <w:t>Estimated change using 2006 SEIFA</w:t>
            </w:r>
          </w:p>
        </w:tc>
        <w:tc>
          <w:tcPr>
            <w:tcW w:w="1697" w:type="dxa"/>
            <w:tcBorders>
              <w:top w:val="single" w:sz="4" w:space="0" w:color="auto"/>
              <w:left w:val="nil"/>
              <w:bottom w:val="single" w:sz="4" w:space="0" w:color="auto"/>
              <w:right w:val="nil"/>
            </w:tcBorders>
            <w:shd w:val="clear" w:color="auto" w:fill="auto"/>
            <w:noWrap/>
            <w:hideMark/>
          </w:tcPr>
          <w:p w:rsidR="007C58C7" w:rsidRPr="00660257" w:rsidRDefault="007C58C7" w:rsidP="009A4E14">
            <w:pPr>
              <w:pStyle w:val="Tablehead1"/>
              <w:jc w:val="center"/>
            </w:pPr>
            <w:r w:rsidRPr="00660257">
              <w:t>Difference between actual change and estimated change</w:t>
            </w:r>
          </w:p>
        </w:tc>
        <w:tc>
          <w:tcPr>
            <w:tcW w:w="1698" w:type="dxa"/>
            <w:tcBorders>
              <w:top w:val="single" w:sz="4" w:space="0" w:color="auto"/>
              <w:left w:val="nil"/>
              <w:bottom w:val="single" w:sz="4" w:space="0" w:color="auto"/>
              <w:right w:val="nil"/>
            </w:tcBorders>
            <w:shd w:val="clear" w:color="auto" w:fill="auto"/>
            <w:noWrap/>
            <w:hideMark/>
          </w:tcPr>
          <w:p w:rsidR="007C58C7" w:rsidRPr="00660257" w:rsidRDefault="007C58C7" w:rsidP="009A4E14">
            <w:pPr>
              <w:pStyle w:val="Tablehead1"/>
              <w:jc w:val="center"/>
            </w:pPr>
            <w:r w:rsidRPr="00660257">
              <w:t>% of change versus estimated change</w:t>
            </w:r>
          </w:p>
        </w:tc>
      </w:tr>
      <w:tr w:rsidR="00A470EA" w:rsidRPr="00660257" w:rsidTr="009A4E14">
        <w:tc>
          <w:tcPr>
            <w:tcW w:w="2000" w:type="dxa"/>
            <w:tcBorders>
              <w:top w:val="nil"/>
              <w:left w:val="nil"/>
              <w:bottom w:val="nil"/>
              <w:right w:val="nil"/>
            </w:tcBorders>
            <w:shd w:val="clear" w:color="auto" w:fill="auto"/>
            <w:noWrap/>
            <w:hideMark/>
          </w:tcPr>
          <w:p w:rsidR="00A470EA" w:rsidRPr="00660257" w:rsidRDefault="00A470EA" w:rsidP="00660257">
            <w:pPr>
              <w:pStyle w:val="Tabletext"/>
            </w:pPr>
            <w:r w:rsidRPr="00660257">
              <w:t>1</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7.4</w:t>
            </w:r>
          </w:p>
        </w:tc>
        <w:tc>
          <w:tcPr>
            <w:tcW w:w="1697" w:type="dxa"/>
            <w:tcBorders>
              <w:top w:val="nil"/>
              <w:left w:val="nil"/>
              <w:bottom w:val="nil"/>
              <w:right w:val="nil"/>
            </w:tcBorders>
            <w:shd w:val="clear" w:color="auto" w:fill="auto"/>
            <w:noWrap/>
            <w:hideMark/>
          </w:tcPr>
          <w:p w:rsidR="00A470EA" w:rsidRPr="00660257" w:rsidRDefault="00A470EA" w:rsidP="009A4E14">
            <w:pPr>
              <w:pStyle w:val="Tabletext"/>
              <w:tabs>
                <w:tab w:val="decimal" w:pos="737"/>
              </w:tabs>
            </w:pPr>
            <w:r w:rsidRPr="00660257">
              <w:rPr>
                <w:szCs w:val="22"/>
              </w:rPr>
              <w:t>9.0</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1.60</w:t>
            </w:r>
          </w:p>
        </w:tc>
        <w:tc>
          <w:tcPr>
            <w:tcW w:w="1698" w:type="dxa"/>
            <w:tcBorders>
              <w:top w:val="nil"/>
              <w:left w:val="nil"/>
              <w:bottom w:val="nil"/>
              <w:right w:val="nil"/>
            </w:tcBorders>
            <w:shd w:val="clear" w:color="auto" w:fill="auto"/>
            <w:noWrap/>
            <w:hideMark/>
          </w:tcPr>
          <w:p w:rsidR="00A470EA" w:rsidRPr="00660257" w:rsidRDefault="00A470EA" w:rsidP="009A4E14">
            <w:pPr>
              <w:pStyle w:val="Tabletext"/>
              <w:tabs>
                <w:tab w:val="decimal" w:pos="765"/>
              </w:tabs>
            </w:pPr>
            <w:r w:rsidRPr="00660257">
              <w:rPr>
                <w:szCs w:val="22"/>
              </w:rPr>
              <w:t>21.4</w:t>
            </w:r>
          </w:p>
        </w:tc>
      </w:tr>
      <w:tr w:rsidR="00A470EA" w:rsidRPr="00660257" w:rsidTr="009A4E14">
        <w:tc>
          <w:tcPr>
            <w:tcW w:w="2000" w:type="dxa"/>
            <w:tcBorders>
              <w:top w:val="nil"/>
              <w:left w:val="nil"/>
              <w:bottom w:val="nil"/>
              <w:right w:val="nil"/>
            </w:tcBorders>
            <w:shd w:val="clear" w:color="auto" w:fill="auto"/>
            <w:noWrap/>
            <w:hideMark/>
          </w:tcPr>
          <w:p w:rsidR="00A470EA" w:rsidRPr="00660257" w:rsidRDefault="00A470EA" w:rsidP="00660257">
            <w:pPr>
              <w:pStyle w:val="Tabletext"/>
            </w:pPr>
            <w:r w:rsidRPr="00660257">
              <w:t>2</w:t>
            </w:r>
          </w:p>
        </w:tc>
        <w:tc>
          <w:tcPr>
            <w:tcW w:w="1697" w:type="dxa"/>
            <w:tcBorders>
              <w:top w:val="nil"/>
              <w:left w:val="nil"/>
              <w:bottom w:val="nil"/>
              <w:right w:val="nil"/>
            </w:tcBorders>
            <w:shd w:val="clear" w:color="auto" w:fill="auto"/>
            <w:noWrap/>
            <w:hideMark/>
          </w:tcPr>
          <w:p w:rsidR="00A470EA" w:rsidRPr="00660257" w:rsidRDefault="00A470EA" w:rsidP="009A4E14">
            <w:pPr>
              <w:pStyle w:val="Tabletext"/>
              <w:tabs>
                <w:tab w:val="decimal" w:pos="737"/>
              </w:tabs>
            </w:pPr>
            <w:r w:rsidRPr="00660257">
              <w:rPr>
                <w:szCs w:val="22"/>
              </w:rPr>
              <w:t>8.5</w:t>
            </w:r>
          </w:p>
        </w:tc>
        <w:tc>
          <w:tcPr>
            <w:tcW w:w="1697" w:type="dxa"/>
            <w:tcBorders>
              <w:top w:val="nil"/>
              <w:left w:val="nil"/>
              <w:bottom w:val="nil"/>
              <w:right w:val="nil"/>
            </w:tcBorders>
            <w:shd w:val="clear" w:color="auto" w:fill="auto"/>
            <w:noWrap/>
            <w:hideMark/>
          </w:tcPr>
          <w:p w:rsidR="00A470EA" w:rsidRPr="00660257" w:rsidRDefault="00A470EA" w:rsidP="009A4E14">
            <w:pPr>
              <w:pStyle w:val="Tabletext"/>
              <w:tabs>
                <w:tab w:val="decimal" w:pos="737"/>
              </w:tabs>
            </w:pPr>
            <w:r w:rsidRPr="00660257">
              <w:rPr>
                <w:szCs w:val="22"/>
              </w:rPr>
              <w:t>10.0</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1.5</w:t>
            </w:r>
          </w:p>
        </w:tc>
        <w:tc>
          <w:tcPr>
            <w:tcW w:w="1698" w:type="dxa"/>
            <w:tcBorders>
              <w:top w:val="nil"/>
              <w:left w:val="nil"/>
              <w:bottom w:val="nil"/>
              <w:right w:val="nil"/>
            </w:tcBorders>
            <w:shd w:val="clear" w:color="auto" w:fill="auto"/>
            <w:noWrap/>
            <w:hideMark/>
          </w:tcPr>
          <w:p w:rsidR="00A470EA" w:rsidRPr="00660257" w:rsidRDefault="00A470EA" w:rsidP="009A4E14">
            <w:pPr>
              <w:pStyle w:val="Tabletext"/>
              <w:tabs>
                <w:tab w:val="decimal" w:pos="765"/>
              </w:tabs>
            </w:pPr>
            <w:r w:rsidRPr="00660257">
              <w:rPr>
                <w:szCs w:val="22"/>
              </w:rPr>
              <w:t>17.9</w:t>
            </w:r>
          </w:p>
        </w:tc>
      </w:tr>
      <w:tr w:rsidR="00A470EA" w:rsidRPr="00660257" w:rsidTr="009A4E14">
        <w:tc>
          <w:tcPr>
            <w:tcW w:w="2000" w:type="dxa"/>
            <w:tcBorders>
              <w:top w:val="nil"/>
              <w:left w:val="nil"/>
              <w:bottom w:val="nil"/>
              <w:right w:val="nil"/>
            </w:tcBorders>
            <w:shd w:val="clear" w:color="auto" w:fill="auto"/>
            <w:noWrap/>
            <w:hideMark/>
          </w:tcPr>
          <w:p w:rsidR="00A470EA" w:rsidRPr="00660257" w:rsidRDefault="00A470EA" w:rsidP="00660257">
            <w:pPr>
              <w:pStyle w:val="Tabletext"/>
            </w:pPr>
            <w:r w:rsidRPr="00660257">
              <w:t>3</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6.9</w:t>
            </w:r>
          </w:p>
        </w:tc>
        <w:tc>
          <w:tcPr>
            <w:tcW w:w="1697" w:type="dxa"/>
            <w:tcBorders>
              <w:top w:val="nil"/>
              <w:left w:val="nil"/>
              <w:bottom w:val="nil"/>
              <w:right w:val="nil"/>
            </w:tcBorders>
            <w:shd w:val="clear" w:color="auto" w:fill="auto"/>
            <w:noWrap/>
            <w:hideMark/>
          </w:tcPr>
          <w:p w:rsidR="00A470EA" w:rsidRPr="00660257" w:rsidRDefault="00A470EA" w:rsidP="009A4E14">
            <w:pPr>
              <w:pStyle w:val="Tabletext"/>
              <w:tabs>
                <w:tab w:val="decimal" w:pos="737"/>
              </w:tabs>
            </w:pPr>
            <w:r w:rsidRPr="00660257">
              <w:rPr>
                <w:szCs w:val="22"/>
              </w:rPr>
              <w:t>8.4</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1.6</w:t>
            </w:r>
          </w:p>
        </w:tc>
        <w:tc>
          <w:tcPr>
            <w:tcW w:w="1698" w:type="dxa"/>
            <w:tcBorders>
              <w:top w:val="nil"/>
              <w:left w:val="nil"/>
              <w:bottom w:val="nil"/>
              <w:right w:val="nil"/>
            </w:tcBorders>
            <w:shd w:val="clear" w:color="auto" w:fill="auto"/>
            <w:noWrap/>
            <w:hideMark/>
          </w:tcPr>
          <w:p w:rsidR="00A470EA" w:rsidRPr="00660257" w:rsidRDefault="00A470EA" w:rsidP="009A4E14">
            <w:pPr>
              <w:pStyle w:val="Tabletext"/>
              <w:tabs>
                <w:tab w:val="decimal" w:pos="765"/>
              </w:tabs>
            </w:pPr>
            <w:r w:rsidRPr="00660257">
              <w:rPr>
                <w:szCs w:val="22"/>
              </w:rPr>
              <w:t>22.9</w:t>
            </w:r>
          </w:p>
        </w:tc>
      </w:tr>
      <w:tr w:rsidR="00A470EA" w:rsidRPr="00660257" w:rsidTr="009A4E14">
        <w:tc>
          <w:tcPr>
            <w:tcW w:w="2000" w:type="dxa"/>
            <w:tcBorders>
              <w:top w:val="nil"/>
              <w:left w:val="nil"/>
              <w:bottom w:val="nil"/>
              <w:right w:val="nil"/>
            </w:tcBorders>
            <w:shd w:val="clear" w:color="auto" w:fill="auto"/>
            <w:noWrap/>
            <w:hideMark/>
          </w:tcPr>
          <w:p w:rsidR="00A470EA" w:rsidRPr="00660257" w:rsidRDefault="00A470EA" w:rsidP="00660257">
            <w:pPr>
              <w:pStyle w:val="Tabletext"/>
            </w:pPr>
            <w:r w:rsidRPr="00660257">
              <w:t>4</w:t>
            </w:r>
          </w:p>
        </w:tc>
        <w:tc>
          <w:tcPr>
            <w:tcW w:w="1697" w:type="dxa"/>
            <w:tcBorders>
              <w:top w:val="nil"/>
              <w:left w:val="nil"/>
              <w:bottom w:val="nil"/>
              <w:right w:val="nil"/>
            </w:tcBorders>
            <w:shd w:val="clear" w:color="auto" w:fill="auto"/>
            <w:noWrap/>
            <w:hideMark/>
          </w:tcPr>
          <w:p w:rsidR="00A470EA" w:rsidRPr="00660257" w:rsidRDefault="00A470EA" w:rsidP="009A4E14">
            <w:pPr>
              <w:pStyle w:val="Tabletext"/>
              <w:tabs>
                <w:tab w:val="decimal" w:pos="737"/>
              </w:tabs>
            </w:pPr>
            <w:r w:rsidRPr="00660257">
              <w:rPr>
                <w:szCs w:val="22"/>
              </w:rPr>
              <w:t>5.6</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6.</w:t>
            </w:r>
            <w:r w:rsidR="00A470EA" w:rsidRPr="00660257">
              <w:rPr>
                <w:szCs w:val="22"/>
              </w:rPr>
              <w:t>5</w:t>
            </w:r>
          </w:p>
        </w:tc>
        <w:tc>
          <w:tcPr>
            <w:tcW w:w="1697" w:type="dxa"/>
            <w:tcBorders>
              <w:top w:val="nil"/>
              <w:left w:val="nil"/>
              <w:bottom w:val="nil"/>
              <w:right w:val="nil"/>
            </w:tcBorders>
            <w:shd w:val="clear" w:color="auto" w:fill="auto"/>
            <w:noWrap/>
            <w:hideMark/>
          </w:tcPr>
          <w:p w:rsidR="00A470EA" w:rsidRPr="00660257" w:rsidRDefault="0021066E" w:rsidP="009A4E14">
            <w:pPr>
              <w:pStyle w:val="Tabletext"/>
              <w:tabs>
                <w:tab w:val="decimal" w:pos="737"/>
              </w:tabs>
            </w:pPr>
            <w:r w:rsidRPr="00660257">
              <w:rPr>
                <w:szCs w:val="22"/>
              </w:rPr>
              <w:t>0.8</w:t>
            </w:r>
          </w:p>
        </w:tc>
        <w:tc>
          <w:tcPr>
            <w:tcW w:w="1698" w:type="dxa"/>
            <w:tcBorders>
              <w:top w:val="nil"/>
              <w:left w:val="nil"/>
              <w:bottom w:val="nil"/>
              <w:right w:val="nil"/>
            </w:tcBorders>
            <w:shd w:val="clear" w:color="auto" w:fill="auto"/>
            <w:noWrap/>
            <w:hideMark/>
          </w:tcPr>
          <w:p w:rsidR="00A470EA" w:rsidRPr="00660257" w:rsidRDefault="00A470EA" w:rsidP="009A4E14">
            <w:pPr>
              <w:pStyle w:val="Tabletext"/>
              <w:tabs>
                <w:tab w:val="decimal" w:pos="765"/>
              </w:tabs>
            </w:pPr>
            <w:r w:rsidRPr="00660257">
              <w:rPr>
                <w:szCs w:val="22"/>
              </w:rPr>
              <w:t>14.4</w:t>
            </w:r>
          </w:p>
        </w:tc>
      </w:tr>
      <w:tr w:rsidR="00A470EA" w:rsidRPr="00660257" w:rsidTr="003332D7">
        <w:tc>
          <w:tcPr>
            <w:tcW w:w="2000" w:type="dxa"/>
            <w:tcBorders>
              <w:top w:val="nil"/>
              <w:left w:val="nil"/>
              <w:bottom w:val="single" w:sz="4" w:space="0" w:color="auto"/>
              <w:right w:val="nil"/>
            </w:tcBorders>
            <w:shd w:val="clear" w:color="auto" w:fill="auto"/>
            <w:noWrap/>
            <w:hideMark/>
          </w:tcPr>
          <w:p w:rsidR="00A470EA" w:rsidRPr="00660257" w:rsidRDefault="00A470EA" w:rsidP="00660257">
            <w:pPr>
              <w:pStyle w:val="Tabletext"/>
            </w:pPr>
            <w:r w:rsidRPr="00660257">
              <w:t>5</w:t>
            </w:r>
          </w:p>
        </w:tc>
        <w:tc>
          <w:tcPr>
            <w:tcW w:w="1697" w:type="dxa"/>
            <w:tcBorders>
              <w:top w:val="nil"/>
              <w:left w:val="nil"/>
              <w:bottom w:val="single" w:sz="4" w:space="0" w:color="auto"/>
              <w:right w:val="nil"/>
            </w:tcBorders>
            <w:shd w:val="clear" w:color="auto" w:fill="auto"/>
            <w:noWrap/>
            <w:hideMark/>
          </w:tcPr>
          <w:p w:rsidR="00A470EA" w:rsidRPr="00660257" w:rsidRDefault="00A470EA" w:rsidP="009A4E14">
            <w:pPr>
              <w:pStyle w:val="Tabletext"/>
              <w:tabs>
                <w:tab w:val="decimal" w:pos="737"/>
              </w:tabs>
            </w:pPr>
            <w:r w:rsidRPr="00660257">
              <w:rPr>
                <w:szCs w:val="22"/>
              </w:rPr>
              <w:t>1.4</w:t>
            </w:r>
          </w:p>
        </w:tc>
        <w:tc>
          <w:tcPr>
            <w:tcW w:w="1697" w:type="dxa"/>
            <w:tcBorders>
              <w:top w:val="nil"/>
              <w:left w:val="nil"/>
              <w:bottom w:val="single" w:sz="4" w:space="0" w:color="auto"/>
              <w:right w:val="nil"/>
            </w:tcBorders>
            <w:shd w:val="clear" w:color="auto" w:fill="auto"/>
            <w:noWrap/>
            <w:hideMark/>
          </w:tcPr>
          <w:p w:rsidR="00A470EA" w:rsidRPr="00660257" w:rsidRDefault="0021066E" w:rsidP="009A4E14">
            <w:pPr>
              <w:pStyle w:val="Tabletext"/>
              <w:tabs>
                <w:tab w:val="decimal" w:pos="737"/>
              </w:tabs>
            </w:pPr>
            <w:r w:rsidRPr="00660257">
              <w:rPr>
                <w:szCs w:val="22"/>
              </w:rPr>
              <w:t>4.0</w:t>
            </w:r>
          </w:p>
        </w:tc>
        <w:tc>
          <w:tcPr>
            <w:tcW w:w="1697" w:type="dxa"/>
            <w:tcBorders>
              <w:top w:val="nil"/>
              <w:left w:val="nil"/>
              <w:bottom w:val="single" w:sz="4" w:space="0" w:color="auto"/>
              <w:right w:val="nil"/>
            </w:tcBorders>
            <w:shd w:val="clear" w:color="auto" w:fill="auto"/>
            <w:noWrap/>
            <w:hideMark/>
          </w:tcPr>
          <w:p w:rsidR="00A470EA" w:rsidRPr="00660257" w:rsidRDefault="0021066E" w:rsidP="009A4E14">
            <w:pPr>
              <w:pStyle w:val="Tabletext"/>
              <w:tabs>
                <w:tab w:val="decimal" w:pos="737"/>
              </w:tabs>
            </w:pPr>
            <w:r w:rsidRPr="00660257">
              <w:rPr>
                <w:szCs w:val="22"/>
              </w:rPr>
              <w:t>2.6</w:t>
            </w:r>
          </w:p>
        </w:tc>
        <w:tc>
          <w:tcPr>
            <w:tcW w:w="1698" w:type="dxa"/>
            <w:tcBorders>
              <w:top w:val="nil"/>
              <w:left w:val="nil"/>
              <w:bottom w:val="single" w:sz="4" w:space="0" w:color="auto"/>
              <w:right w:val="nil"/>
            </w:tcBorders>
            <w:shd w:val="clear" w:color="auto" w:fill="auto"/>
            <w:noWrap/>
            <w:hideMark/>
          </w:tcPr>
          <w:p w:rsidR="00A470EA" w:rsidRPr="00660257" w:rsidRDefault="00A470EA" w:rsidP="009A4E14">
            <w:pPr>
              <w:pStyle w:val="Tabletext"/>
              <w:tabs>
                <w:tab w:val="decimal" w:pos="765"/>
              </w:tabs>
            </w:pPr>
            <w:r w:rsidRPr="00660257">
              <w:rPr>
                <w:szCs w:val="22"/>
              </w:rPr>
              <w:t>182.5</w:t>
            </w:r>
          </w:p>
        </w:tc>
      </w:tr>
      <w:tr w:rsidR="009B07A4" w:rsidRPr="009A4E14" w:rsidTr="003332D7">
        <w:tc>
          <w:tcPr>
            <w:tcW w:w="2000" w:type="dxa"/>
            <w:tcBorders>
              <w:top w:val="single" w:sz="4" w:space="0" w:color="auto"/>
              <w:left w:val="nil"/>
              <w:bottom w:val="single" w:sz="4" w:space="0" w:color="auto"/>
              <w:right w:val="nil"/>
            </w:tcBorders>
            <w:shd w:val="clear" w:color="auto" w:fill="auto"/>
            <w:noWrap/>
            <w:tcMar>
              <w:right w:w="0" w:type="dxa"/>
            </w:tcMar>
            <w:hideMark/>
          </w:tcPr>
          <w:p w:rsidR="009B07A4" w:rsidRPr="009A4E14" w:rsidRDefault="00062413" w:rsidP="00660257">
            <w:pPr>
              <w:pStyle w:val="Tabletext"/>
              <w:rPr>
                <w:b/>
              </w:rPr>
            </w:pPr>
            <w:r w:rsidRPr="009A4E14">
              <w:rPr>
                <w:b/>
              </w:rPr>
              <w:t>Total 15 to 19-year-</w:t>
            </w:r>
            <w:r w:rsidR="009B07A4" w:rsidRPr="009A4E14">
              <w:rPr>
                <w:b/>
              </w:rPr>
              <w:t>olds</w:t>
            </w:r>
          </w:p>
        </w:tc>
        <w:tc>
          <w:tcPr>
            <w:tcW w:w="1697" w:type="dxa"/>
            <w:tcBorders>
              <w:top w:val="single" w:sz="4" w:space="0" w:color="auto"/>
              <w:left w:val="nil"/>
              <w:bottom w:val="single" w:sz="4" w:space="0" w:color="auto"/>
              <w:right w:val="nil"/>
            </w:tcBorders>
            <w:shd w:val="clear" w:color="auto" w:fill="auto"/>
            <w:noWrap/>
            <w:hideMark/>
          </w:tcPr>
          <w:p w:rsidR="009B07A4" w:rsidRPr="009A4E14" w:rsidRDefault="009B07A4" w:rsidP="009A4E14">
            <w:pPr>
              <w:pStyle w:val="Tabletext"/>
              <w:tabs>
                <w:tab w:val="decimal" w:pos="737"/>
              </w:tabs>
              <w:rPr>
                <w:b/>
              </w:rPr>
            </w:pPr>
            <w:r w:rsidRPr="009A4E14">
              <w:rPr>
                <w:b/>
                <w:szCs w:val="22"/>
              </w:rPr>
              <w:t>6.9</w:t>
            </w:r>
          </w:p>
        </w:tc>
        <w:tc>
          <w:tcPr>
            <w:tcW w:w="1697" w:type="dxa"/>
            <w:tcBorders>
              <w:top w:val="single" w:sz="4" w:space="0" w:color="auto"/>
              <w:left w:val="nil"/>
              <w:bottom w:val="single" w:sz="4" w:space="0" w:color="auto"/>
              <w:right w:val="nil"/>
            </w:tcBorders>
            <w:shd w:val="clear" w:color="auto" w:fill="auto"/>
            <w:noWrap/>
            <w:hideMark/>
          </w:tcPr>
          <w:p w:rsidR="009B07A4" w:rsidRPr="009A4E14" w:rsidRDefault="009B07A4" w:rsidP="009A4E14">
            <w:pPr>
              <w:pStyle w:val="Tabletext"/>
              <w:tabs>
                <w:tab w:val="decimal" w:pos="737"/>
              </w:tabs>
              <w:rPr>
                <w:b/>
              </w:rPr>
            </w:pPr>
            <w:r w:rsidRPr="009A4E14">
              <w:rPr>
                <w:b/>
                <w:szCs w:val="22"/>
              </w:rPr>
              <w:t>7.3</w:t>
            </w:r>
          </w:p>
        </w:tc>
        <w:tc>
          <w:tcPr>
            <w:tcW w:w="1697" w:type="dxa"/>
            <w:tcBorders>
              <w:top w:val="single" w:sz="4" w:space="0" w:color="auto"/>
              <w:left w:val="nil"/>
              <w:bottom w:val="single" w:sz="4" w:space="0" w:color="auto"/>
              <w:right w:val="nil"/>
            </w:tcBorders>
            <w:shd w:val="clear" w:color="auto" w:fill="auto"/>
            <w:noWrap/>
            <w:hideMark/>
          </w:tcPr>
          <w:p w:rsidR="009B07A4" w:rsidRPr="009A4E14" w:rsidRDefault="009B07A4" w:rsidP="009A4E14">
            <w:pPr>
              <w:pStyle w:val="Tabletext"/>
              <w:tabs>
                <w:tab w:val="decimal" w:pos="737"/>
              </w:tabs>
              <w:rPr>
                <w:b/>
              </w:rPr>
            </w:pPr>
            <w:r w:rsidRPr="009A4E14">
              <w:rPr>
                <w:b/>
                <w:szCs w:val="22"/>
              </w:rPr>
              <w:t>0.4</w:t>
            </w:r>
          </w:p>
        </w:tc>
        <w:tc>
          <w:tcPr>
            <w:tcW w:w="1698" w:type="dxa"/>
            <w:tcBorders>
              <w:top w:val="single" w:sz="4" w:space="0" w:color="auto"/>
              <w:left w:val="nil"/>
              <w:bottom w:val="single" w:sz="4" w:space="0" w:color="auto"/>
              <w:right w:val="nil"/>
            </w:tcBorders>
            <w:shd w:val="clear" w:color="auto" w:fill="auto"/>
            <w:noWrap/>
            <w:hideMark/>
          </w:tcPr>
          <w:p w:rsidR="009B07A4" w:rsidRPr="009A4E14" w:rsidRDefault="009B07A4" w:rsidP="009A4E14">
            <w:pPr>
              <w:pStyle w:val="Tabletext"/>
              <w:tabs>
                <w:tab w:val="decimal" w:pos="765"/>
              </w:tabs>
              <w:rPr>
                <w:b/>
              </w:rPr>
            </w:pPr>
            <w:r w:rsidRPr="009A4E14">
              <w:rPr>
                <w:b/>
                <w:szCs w:val="22"/>
              </w:rPr>
              <w:t>6.4</w:t>
            </w:r>
          </w:p>
        </w:tc>
      </w:tr>
    </w:tbl>
    <w:p w:rsidR="00A470EA" w:rsidRPr="00BD5687" w:rsidRDefault="00A470EA" w:rsidP="00660257">
      <w:pPr>
        <w:pStyle w:val="tabletitle"/>
      </w:pPr>
      <w:bookmarkStart w:id="47" w:name="_Toc366142865"/>
      <w:bookmarkStart w:id="48" w:name="_Toc383616141"/>
      <w:r w:rsidRPr="00BD5687">
        <w:t xml:space="preserve">Table </w:t>
      </w:r>
      <w:r w:rsidR="0003597A">
        <w:t>14</w:t>
      </w:r>
      <w:r w:rsidR="00660257">
        <w:tab/>
      </w:r>
      <w:r w:rsidRPr="00BD5687">
        <w:t>VET participation rates,</w:t>
      </w:r>
      <w:r w:rsidR="001A2868">
        <w:t xml:space="preserve"> </w:t>
      </w:r>
      <w:r w:rsidR="00C722EA">
        <w:t>20 to 24-year-</w:t>
      </w:r>
      <w:r w:rsidR="00C722EA" w:rsidRPr="00BD5687">
        <w:t>old</w:t>
      </w:r>
      <w:r w:rsidR="00C722EA">
        <w:t>s,</w:t>
      </w:r>
      <w:r w:rsidR="00C722EA" w:rsidRPr="00BD5687">
        <w:t xml:space="preserve"> </w:t>
      </w:r>
      <w:r w:rsidR="001A2868">
        <w:t>2006 and 2011,</w:t>
      </w:r>
      <w:r w:rsidRPr="00BD5687">
        <w:t xml:space="preserve"> </w:t>
      </w:r>
      <w:bookmarkEnd w:id="47"/>
      <w:r w:rsidR="00062413">
        <w:t>statistical local areas</w:t>
      </w:r>
      <w:bookmarkEnd w:id="48"/>
    </w:p>
    <w:tbl>
      <w:tblPr>
        <w:tblW w:w="8789" w:type="dxa"/>
        <w:tblInd w:w="93" w:type="dxa"/>
        <w:tblLayout w:type="fixed"/>
        <w:tblLook w:val="04A0" w:firstRow="1" w:lastRow="0" w:firstColumn="1" w:lastColumn="0" w:noHBand="0" w:noVBand="1"/>
      </w:tblPr>
      <w:tblGrid>
        <w:gridCol w:w="2000"/>
        <w:gridCol w:w="2263"/>
        <w:gridCol w:w="2263"/>
        <w:gridCol w:w="2263"/>
      </w:tblGrid>
      <w:tr w:rsidR="00A470EA" w:rsidRPr="00682C97" w:rsidTr="00682C97">
        <w:tc>
          <w:tcPr>
            <w:tcW w:w="2000" w:type="dxa"/>
            <w:tcBorders>
              <w:top w:val="single" w:sz="4" w:space="0" w:color="auto"/>
              <w:left w:val="nil"/>
              <w:bottom w:val="single" w:sz="4" w:space="0" w:color="auto"/>
              <w:right w:val="nil"/>
            </w:tcBorders>
            <w:shd w:val="clear" w:color="auto" w:fill="auto"/>
            <w:noWrap/>
            <w:hideMark/>
          </w:tcPr>
          <w:p w:rsidR="00A470EA" w:rsidRPr="00682C97" w:rsidRDefault="00A470EA" w:rsidP="00682C97">
            <w:pPr>
              <w:pStyle w:val="Tablehead1"/>
            </w:pPr>
            <w:r w:rsidRPr="00682C97">
              <w:t>Quintile</w:t>
            </w:r>
          </w:p>
        </w:tc>
        <w:tc>
          <w:tcPr>
            <w:tcW w:w="2263" w:type="dxa"/>
            <w:tcBorders>
              <w:top w:val="single" w:sz="4" w:space="0" w:color="auto"/>
              <w:left w:val="nil"/>
              <w:bottom w:val="single" w:sz="4" w:space="0" w:color="auto"/>
              <w:right w:val="nil"/>
            </w:tcBorders>
            <w:shd w:val="clear" w:color="auto" w:fill="auto"/>
            <w:noWrap/>
            <w:hideMark/>
          </w:tcPr>
          <w:p w:rsidR="00A470EA" w:rsidRPr="00682C97" w:rsidRDefault="00A470EA" w:rsidP="00682C97">
            <w:pPr>
              <w:pStyle w:val="Tablehead1"/>
              <w:jc w:val="center"/>
            </w:pPr>
            <w:r w:rsidRPr="00682C97">
              <w:t>2006 collection using 2006 SEIFA (truth)</w:t>
            </w:r>
          </w:p>
        </w:tc>
        <w:tc>
          <w:tcPr>
            <w:tcW w:w="2263" w:type="dxa"/>
            <w:tcBorders>
              <w:top w:val="single" w:sz="4" w:space="0" w:color="auto"/>
              <w:left w:val="nil"/>
              <w:bottom w:val="single" w:sz="4" w:space="0" w:color="auto"/>
              <w:right w:val="nil"/>
            </w:tcBorders>
            <w:shd w:val="clear" w:color="auto" w:fill="auto"/>
            <w:noWrap/>
            <w:hideMark/>
          </w:tcPr>
          <w:p w:rsidR="00A470EA" w:rsidRPr="00682C97" w:rsidRDefault="00C722EA" w:rsidP="00682C97">
            <w:pPr>
              <w:pStyle w:val="Tablehead1"/>
              <w:jc w:val="center"/>
            </w:pPr>
            <w:r w:rsidRPr="00682C97">
              <w:t>2011 c</w:t>
            </w:r>
            <w:r w:rsidR="00A470EA" w:rsidRPr="00682C97">
              <w:t>ollection using 2006 SEIFA</w:t>
            </w:r>
          </w:p>
        </w:tc>
        <w:tc>
          <w:tcPr>
            <w:tcW w:w="2263" w:type="dxa"/>
            <w:tcBorders>
              <w:top w:val="single" w:sz="4" w:space="0" w:color="auto"/>
              <w:left w:val="nil"/>
              <w:bottom w:val="single" w:sz="4" w:space="0" w:color="auto"/>
              <w:right w:val="nil"/>
            </w:tcBorders>
            <w:shd w:val="clear" w:color="auto" w:fill="auto"/>
            <w:noWrap/>
            <w:hideMark/>
          </w:tcPr>
          <w:p w:rsidR="00A470EA" w:rsidRPr="00682C97" w:rsidRDefault="00C722EA" w:rsidP="00682C97">
            <w:pPr>
              <w:pStyle w:val="Tablehead1"/>
              <w:jc w:val="center"/>
            </w:pPr>
            <w:r w:rsidRPr="00682C97">
              <w:t>2011 c</w:t>
            </w:r>
            <w:r w:rsidR="00A470EA" w:rsidRPr="00682C97">
              <w:t>ollection using 2011 SEIFA (truth)</w:t>
            </w:r>
          </w:p>
        </w:tc>
      </w:tr>
      <w:tr w:rsidR="001F0B14" w:rsidRPr="00682C97" w:rsidTr="00682C97">
        <w:tc>
          <w:tcPr>
            <w:tcW w:w="2000" w:type="dxa"/>
            <w:tcBorders>
              <w:top w:val="nil"/>
              <w:left w:val="nil"/>
              <w:bottom w:val="nil"/>
              <w:right w:val="nil"/>
            </w:tcBorders>
            <w:shd w:val="clear" w:color="auto" w:fill="auto"/>
            <w:noWrap/>
            <w:hideMark/>
          </w:tcPr>
          <w:p w:rsidR="001F0B14" w:rsidRPr="00682C97" w:rsidRDefault="001F0B14" w:rsidP="00682C97">
            <w:pPr>
              <w:pStyle w:val="Tabletext"/>
            </w:pPr>
            <w:r w:rsidRPr="00682C97">
              <w:t>1</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19.2</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23.8</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24.4</w:t>
            </w:r>
          </w:p>
        </w:tc>
      </w:tr>
      <w:tr w:rsidR="001F0B14" w:rsidRPr="00682C97" w:rsidTr="00682C97">
        <w:tc>
          <w:tcPr>
            <w:tcW w:w="2000" w:type="dxa"/>
            <w:tcBorders>
              <w:top w:val="nil"/>
              <w:left w:val="nil"/>
              <w:bottom w:val="nil"/>
              <w:right w:val="nil"/>
            </w:tcBorders>
            <w:shd w:val="clear" w:color="auto" w:fill="auto"/>
            <w:noWrap/>
            <w:hideMark/>
          </w:tcPr>
          <w:p w:rsidR="001F0B14" w:rsidRPr="00682C97" w:rsidRDefault="001F0B14" w:rsidP="00682C97">
            <w:pPr>
              <w:pStyle w:val="Tabletext"/>
            </w:pPr>
            <w:r w:rsidRPr="00682C97">
              <w:t>2</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19.1</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25.6</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24.6</w:t>
            </w:r>
          </w:p>
        </w:tc>
      </w:tr>
      <w:tr w:rsidR="001F0B14" w:rsidRPr="00682C97" w:rsidTr="00682C97">
        <w:tc>
          <w:tcPr>
            <w:tcW w:w="2000" w:type="dxa"/>
            <w:tcBorders>
              <w:top w:val="nil"/>
              <w:left w:val="nil"/>
              <w:bottom w:val="nil"/>
              <w:right w:val="nil"/>
            </w:tcBorders>
            <w:shd w:val="clear" w:color="auto" w:fill="auto"/>
            <w:noWrap/>
            <w:hideMark/>
          </w:tcPr>
          <w:p w:rsidR="001F0B14" w:rsidRPr="00682C97" w:rsidRDefault="001F0B14" w:rsidP="00682C97">
            <w:pPr>
              <w:pStyle w:val="Tabletext"/>
            </w:pPr>
            <w:r w:rsidRPr="00682C97">
              <w:t>3</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16.7</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19.9</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20.1</w:t>
            </w:r>
          </w:p>
        </w:tc>
      </w:tr>
      <w:tr w:rsidR="001F0B14" w:rsidRPr="00682C97" w:rsidTr="00682C97">
        <w:tc>
          <w:tcPr>
            <w:tcW w:w="2000" w:type="dxa"/>
            <w:tcBorders>
              <w:top w:val="nil"/>
              <w:left w:val="nil"/>
              <w:bottom w:val="nil"/>
              <w:right w:val="nil"/>
            </w:tcBorders>
            <w:shd w:val="clear" w:color="auto" w:fill="auto"/>
            <w:noWrap/>
            <w:hideMark/>
          </w:tcPr>
          <w:p w:rsidR="001F0B14" w:rsidRPr="00682C97" w:rsidRDefault="001F0B14" w:rsidP="00682C97">
            <w:pPr>
              <w:pStyle w:val="Tabletext"/>
            </w:pPr>
            <w:r w:rsidRPr="00682C97">
              <w:t>4</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15.7</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18.9</w:t>
            </w:r>
          </w:p>
        </w:tc>
        <w:tc>
          <w:tcPr>
            <w:tcW w:w="2263" w:type="dxa"/>
            <w:tcBorders>
              <w:top w:val="nil"/>
              <w:left w:val="nil"/>
              <w:bottom w:val="nil"/>
              <w:right w:val="nil"/>
            </w:tcBorders>
            <w:shd w:val="clear" w:color="auto" w:fill="auto"/>
            <w:noWrap/>
            <w:hideMark/>
          </w:tcPr>
          <w:p w:rsidR="001F0B14" w:rsidRPr="00682C97" w:rsidRDefault="001F0B14" w:rsidP="00FA2B66">
            <w:pPr>
              <w:pStyle w:val="Tabletext"/>
              <w:tabs>
                <w:tab w:val="decimal" w:pos="1021"/>
              </w:tabs>
            </w:pPr>
            <w:r w:rsidRPr="00682C97">
              <w:t>18.9</w:t>
            </w:r>
          </w:p>
        </w:tc>
      </w:tr>
      <w:tr w:rsidR="001F0B14" w:rsidRPr="00682C97" w:rsidTr="003332D7">
        <w:tc>
          <w:tcPr>
            <w:tcW w:w="2000" w:type="dxa"/>
            <w:tcBorders>
              <w:top w:val="nil"/>
              <w:left w:val="nil"/>
              <w:bottom w:val="single" w:sz="4" w:space="0" w:color="auto"/>
              <w:right w:val="nil"/>
            </w:tcBorders>
            <w:shd w:val="clear" w:color="auto" w:fill="auto"/>
            <w:noWrap/>
            <w:hideMark/>
          </w:tcPr>
          <w:p w:rsidR="001F0B14" w:rsidRPr="00682C97" w:rsidRDefault="001F0B14" w:rsidP="00682C97">
            <w:pPr>
              <w:pStyle w:val="Tabletext"/>
            </w:pPr>
            <w:r w:rsidRPr="00682C97">
              <w:t>5</w:t>
            </w:r>
          </w:p>
        </w:tc>
        <w:tc>
          <w:tcPr>
            <w:tcW w:w="2263" w:type="dxa"/>
            <w:tcBorders>
              <w:top w:val="nil"/>
              <w:left w:val="nil"/>
              <w:bottom w:val="single" w:sz="4" w:space="0" w:color="auto"/>
              <w:right w:val="nil"/>
            </w:tcBorders>
            <w:shd w:val="clear" w:color="auto" w:fill="auto"/>
            <w:noWrap/>
            <w:hideMark/>
          </w:tcPr>
          <w:p w:rsidR="001F0B14" w:rsidRPr="00682C97" w:rsidRDefault="001F0B14" w:rsidP="00FA2B66">
            <w:pPr>
              <w:pStyle w:val="Tabletext"/>
              <w:tabs>
                <w:tab w:val="decimal" w:pos="1021"/>
              </w:tabs>
            </w:pPr>
            <w:r w:rsidRPr="00682C97">
              <w:t>13.5</w:t>
            </w:r>
          </w:p>
        </w:tc>
        <w:tc>
          <w:tcPr>
            <w:tcW w:w="2263" w:type="dxa"/>
            <w:tcBorders>
              <w:top w:val="nil"/>
              <w:left w:val="nil"/>
              <w:bottom w:val="single" w:sz="4" w:space="0" w:color="auto"/>
              <w:right w:val="nil"/>
            </w:tcBorders>
            <w:shd w:val="clear" w:color="auto" w:fill="auto"/>
            <w:noWrap/>
            <w:hideMark/>
          </w:tcPr>
          <w:p w:rsidR="001F0B14" w:rsidRPr="00682C97" w:rsidRDefault="001F0B14" w:rsidP="00FA2B66">
            <w:pPr>
              <w:pStyle w:val="Tabletext"/>
              <w:tabs>
                <w:tab w:val="decimal" w:pos="1021"/>
              </w:tabs>
            </w:pPr>
            <w:r w:rsidRPr="00682C97">
              <w:t>16.1</w:t>
            </w:r>
          </w:p>
        </w:tc>
        <w:tc>
          <w:tcPr>
            <w:tcW w:w="2263" w:type="dxa"/>
            <w:tcBorders>
              <w:top w:val="nil"/>
              <w:left w:val="nil"/>
              <w:bottom w:val="single" w:sz="4" w:space="0" w:color="auto"/>
              <w:right w:val="nil"/>
            </w:tcBorders>
            <w:shd w:val="clear" w:color="auto" w:fill="auto"/>
            <w:noWrap/>
            <w:hideMark/>
          </w:tcPr>
          <w:p w:rsidR="001F0B14" w:rsidRPr="00682C97" w:rsidRDefault="001F0B14" w:rsidP="00FA2B66">
            <w:pPr>
              <w:pStyle w:val="Tabletext"/>
              <w:tabs>
                <w:tab w:val="decimal" w:pos="1021"/>
              </w:tabs>
            </w:pPr>
            <w:r w:rsidRPr="00682C97">
              <w:t>15.1</w:t>
            </w:r>
          </w:p>
        </w:tc>
      </w:tr>
      <w:tr w:rsidR="001F0B14" w:rsidRPr="00682C97" w:rsidTr="003332D7">
        <w:tc>
          <w:tcPr>
            <w:tcW w:w="2000" w:type="dxa"/>
            <w:tcBorders>
              <w:top w:val="single" w:sz="4" w:space="0" w:color="auto"/>
              <w:left w:val="nil"/>
              <w:bottom w:val="single" w:sz="4" w:space="0" w:color="auto"/>
              <w:right w:val="nil"/>
            </w:tcBorders>
            <w:shd w:val="clear" w:color="auto" w:fill="auto"/>
            <w:noWrap/>
            <w:tcMar>
              <w:right w:w="0" w:type="dxa"/>
            </w:tcMar>
            <w:hideMark/>
          </w:tcPr>
          <w:p w:rsidR="001F0B14" w:rsidRPr="00682C97" w:rsidRDefault="00062413" w:rsidP="00682C97">
            <w:pPr>
              <w:pStyle w:val="Tabletext"/>
              <w:rPr>
                <w:b/>
              </w:rPr>
            </w:pPr>
            <w:r w:rsidRPr="00682C97">
              <w:rPr>
                <w:b/>
              </w:rPr>
              <w:t>Total 20 to 24-year-</w:t>
            </w:r>
            <w:r w:rsidR="001F0B14" w:rsidRPr="00682C97">
              <w:rPr>
                <w:b/>
              </w:rPr>
              <w:t>olds</w:t>
            </w:r>
          </w:p>
        </w:tc>
        <w:tc>
          <w:tcPr>
            <w:tcW w:w="2263" w:type="dxa"/>
            <w:tcBorders>
              <w:top w:val="single" w:sz="4" w:space="0" w:color="auto"/>
              <w:left w:val="nil"/>
              <w:bottom w:val="single" w:sz="4" w:space="0" w:color="auto"/>
              <w:right w:val="nil"/>
            </w:tcBorders>
            <w:shd w:val="clear" w:color="auto" w:fill="auto"/>
            <w:noWrap/>
            <w:hideMark/>
          </w:tcPr>
          <w:p w:rsidR="001F0B14" w:rsidRPr="00682C97" w:rsidRDefault="001F0B14" w:rsidP="00FA2B66">
            <w:pPr>
              <w:pStyle w:val="Tabletext"/>
              <w:tabs>
                <w:tab w:val="decimal" w:pos="1021"/>
              </w:tabs>
              <w:rPr>
                <w:b/>
              </w:rPr>
            </w:pPr>
            <w:r w:rsidRPr="00682C97">
              <w:rPr>
                <w:b/>
              </w:rPr>
              <w:t>16.5</w:t>
            </w:r>
          </w:p>
        </w:tc>
        <w:tc>
          <w:tcPr>
            <w:tcW w:w="2263" w:type="dxa"/>
            <w:tcBorders>
              <w:top w:val="single" w:sz="4" w:space="0" w:color="auto"/>
              <w:left w:val="nil"/>
              <w:bottom w:val="single" w:sz="4" w:space="0" w:color="auto"/>
              <w:right w:val="nil"/>
            </w:tcBorders>
            <w:shd w:val="clear" w:color="auto" w:fill="auto"/>
            <w:noWrap/>
            <w:hideMark/>
          </w:tcPr>
          <w:p w:rsidR="001F0B14" w:rsidRPr="00682C97" w:rsidRDefault="001F0B14" w:rsidP="00FA2B66">
            <w:pPr>
              <w:pStyle w:val="Tabletext"/>
              <w:tabs>
                <w:tab w:val="decimal" w:pos="1021"/>
              </w:tabs>
              <w:rPr>
                <w:b/>
              </w:rPr>
            </w:pPr>
            <w:r w:rsidRPr="00682C97">
              <w:rPr>
                <w:b/>
              </w:rPr>
              <w:t>20.6</w:t>
            </w:r>
          </w:p>
        </w:tc>
        <w:tc>
          <w:tcPr>
            <w:tcW w:w="2263" w:type="dxa"/>
            <w:tcBorders>
              <w:top w:val="single" w:sz="4" w:space="0" w:color="auto"/>
              <w:left w:val="nil"/>
              <w:bottom w:val="single" w:sz="4" w:space="0" w:color="auto"/>
              <w:right w:val="nil"/>
            </w:tcBorders>
            <w:shd w:val="clear" w:color="auto" w:fill="auto"/>
            <w:noWrap/>
            <w:hideMark/>
          </w:tcPr>
          <w:p w:rsidR="001F0B14" w:rsidRPr="00682C97" w:rsidRDefault="001F0B14" w:rsidP="00FA2B66">
            <w:pPr>
              <w:pStyle w:val="Tabletext"/>
              <w:tabs>
                <w:tab w:val="decimal" w:pos="1021"/>
              </w:tabs>
              <w:rPr>
                <w:b/>
              </w:rPr>
            </w:pPr>
            <w:r w:rsidRPr="00682C97">
              <w:rPr>
                <w:b/>
              </w:rPr>
              <w:t>20.6</w:t>
            </w:r>
          </w:p>
        </w:tc>
      </w:tr>
    </w:tbl>
    <w:p w:rsidR="00A470EA" w:rsidRPr="00DC1E64" w:rsidRDefault="00A470EA" w:rsidP="00FA2B66">
      <w:pPr>
        <w:pStyle w:val="tabletitle"/>
      </w:pPr>
      <w:bookmarkStart w:id="49" w:name="_Toc366142866"/>
      <w:bookmarkStart w:id="50" w:name="_Toc383616142"/>
      <w:r w:rsidRPr="00DC1E64">
        <w:t xml:space="preserve">Table </w:t>
      </w:r>
      <w:r w:rsidR="0003597A">
        <w:t>15</w:t>
      </w:r>
      <w:r w:rsidR="00FA2B66">
        <w:tab/>
      </w:r>
      <w:r w:rsidRPr="00DC1E64">
        <w:t xml:space="preserve">VET participation rates, </w:t>
      </w:r>
      <w:r w:rsidR="00C722EA" w:rsidRPr="00DC1E64">
        <w:t xml:space="preserve">20 </w:t>
      </w:r>
      <w:r w:rsidR="00C722EA">
        <w:t>to 24-year-</w:t>
      </w:r>
      <w:r w:rsidR="00C722EA" w:rsidRPr="00DC1E64">
        <w:t>old</w:t>
      </w:r>
      <w:r w:rsidR="00C722EA">
        <w:t>s,</w:t>
      </w:r>
      <w:r w:rsidR="00C722EA" w:rsidRPr="00DC1E64">
        <w:t xml:space="preserve"> </w:t>
      </w:r>
      <w:r w:rsidRPr="00DC1E64">
        <w:t xml:space="preserve">changes between 2006 and 2011, </w:t>
      </w:r>
      <w:bookmarkEnd w:id="49"/>
      <w:r w:rsidR="00062413">
        <w:t>statistical local areas</w:t>
      </w:r>
      <w:bookmarkEnd w:id="50"/>
    </w:p>
    <w:tbl>
      <w:tblPr>
        <w:tblW w:w="8789" w:type="dxa"/>
        <w:tblInd w:w="93" w:type="dxa"/>
        <w:tblLayout w:type="fixed"/>
        <w:tblLook w:val="04A0" w:firstRow="1" w:lastRow="0" w:firstColumn="1" w:lastColumn="0" w:noHBand="0" w:noVBand="1"/>
      </w:tblPr>
      <w:tblGrid>
        <w:gridCol w:w="2000"/>
        <w:gridCol w:w="1697"/>
        <w:gridCol w:w="1697"/>
        <w:gridCol w:w="1697"/>
        <w:gridCol w:w="1698"/>
      </w:tblGrid>
      <w:tr w:rsidR="007C58C7" w:rsidRPr="00FA2B66" w:rsidTr="00FA2B66">
        <w:tc>
          <w:tcPr>
            <w:tcW w:w="2000" w:type="dxa"/>
            <w:tcBorders>
              <w:top w:val="single" w:sz="4" w:space="0" w:color="auto"/>
              <w:left w:val="nil"/>
              <w:bottom w:val="single" w:sz="4" w:space="0" w:color="auto"/>
              <w:right w:val="nil"/>
            </w:tcBorders>
            <w:shd w:val="clear" w:color="auto" w:fill="auto"/>
            <w:noWrap/>
            <w:hideMark/>
          </w:tcPr>
          <w:p w:rsidR="007C58C7" w:rsidRPr="00FA2B66" w:rsidRDefault="007C58C7" w:rsidP="00FA2B66">
            <w:pPr>
              <w:pStyle w:val="Tablehead1"/>
            </w:pPr>
            <w:r w:rsidRPr="00FA2B66">
              <w:t>Quintile</w:t>
            </w:r>
          </w:p>
        </w:tc>
        <w:tc>
          <w:tcPr>
            <w:tcW w:w="1697" w:type="dxa"/>
            <w:tcBorders>
              <w:top w:val="single" w:sz="4" w:space="0" w:color="auto"/>
              <w:left w:val="nil"/>
              <w:bottom w:val="single" w:sz="4" w:space="0" w:color="auto"/>
              <w:right w:val="nil"/>
            </w:tcBorders>
            <w:shd w:val="clear" w:color="auto" w:fill="auto"/>
            <w:noWrap/>
            <w:hideMark/>
          </w:tcPr>
          <w:p w:rsidR="007C58C7" w:rsidRPr="00FA2B66" w:rsidRDefault="007C58C7" w:rsidP="00FA2B66">
            <w:pPr>
              <w:pStyle w:val="Tablehead1"/>
              <w:jc w:val="center"/>
            </w:pPr>
            <w:r w:rsidRPr="00FA2B66">
              <w:t>Change using 2006 &amp; 2011 SEIFA</w:t>
            </w:r>
          </w:p>
        </w:tc>
        <w:tc>
          <w:tcPr>
            <w:tcW w:w="1697" w:type="dxa"/>
            <w:tcBorders>
              <w:top w:val="single" w:sz="4" w:space="0" w:color="auto"/>
              <w:left w:val="nil"/>
              <w:bottom w:val="single" w:sz="4" w:space="0" w:color="auto"/>
              <w:right w:val="nil"/>
            </w:tcBorders>
            <w:shd w:val="clear" w:color="auto" w:fill="auto"/>
            <w:noWrap/>
            <w:hideMark/>
          </w:tcPr>
          <w:p w:rsidR="007C58C7" w:rsidRPr="00FA2B66" w:rsidRDefault="007C58C7" w:rsidP="00FA2B66">
            <w:pPr>
              <w:pStyle w:val="Tablehead1"/>
              <w:jc w:val="center"/>
            </w:pPr>
            <w:r w:rsidRPr="00FA2B66">
              <w:t>Estimated change using 2006 SEIFA</w:t>
            </w:r>
          </w:p>
        </w:tc>
        <w:tc>
          <w:tcPr>
            <w:tcW w:w="1697" w:type="dxa"/>
            <w:tcBorders>
              <w:top w:val="single" w:sz="4" w:space="0" w:color="auto"/>
              <w:left w:val="nil"/>
              <w:bottom w:val="single" w:sz="4" w:space="0" w:color="auto"/>
              <w:right w:val="nil"/>
            </w:tcBorders>
            <w:shd w:val="clear" w:color="auto" w:fill="auto"/>
            <w:noWrap/>
            <w:hideMark/>
          </w:tcPr>
          <w:p w:rsidR="007C58C7" w:rsidRPr="00FA2B66" w:rsidRDefault="007C58C7" w:rsidP="00FA2B66">
            <w:pPr>
              <w:pStyle w:val="Tablehead1"/>
              <w:jc w:val="center"/>
            </w:pPr>
            <w:r w:rsidRPr="00FA2B66">
              <w:t>Difference between actual change and estimated change</w:t>
            </w:r>
          </w:p>
        </w:tc>
        <w:tc>
          <w:tcPr>
            <w:tcW w:w="1698" w:type="dxa"/>
            <w:tcBorders>
              <w:top w:val="single" w:sz="4" w:space="0" w:color="auto"/>
              <w:left w:val="nil"/>
              <w:bottom w:val="single" w:sz="4" w:space="0" w:color="auto"/>
              <w:right w:val="nil"/>
            </w:tcBorders>
            <w:shd w:val="clear" w:color="auto" w:fill="auto"/>
            <w:noWrap/>
            <w:hideMark/>
          </w:tcPr>
          <w:p w:rsidR="007C58C7" w:rsidRPr="00FA2B66" w:rsidRDefault="007C58C7" w:rsidP="00FA2B66">
            <w:pPr>
              <w:pStyle w:val="Tablehead1"/>
              <w:jc w:val="center"/>
            </w:pPr>
            <w:r w:rsidRPr="00FA2B66">
              <w:t>% of change versus estimated change</w:t>
            </w:r>
          </w:p>
        </w:tc>
      </w:tr>
      <w:tr w:rsidR="000569ED" w:rsidRPr="00FA2B66" w:rsidTr="00FA2B66">
        <w:tc>
          <w:tcPr>
            <w:tcW w:w="2000" w:type="dxa"/>
            <w:tcBorders>
              <w:top w:val="nil"/>
              <w:left w:val="nil"/>
              <w:bottom w:val="nil"/>
              <w:right w:val="nil"/>
            </w:tcBorders>
            <w:shd w:val="clear" w:color="auto" w:fill="auto"/>
            <w:noWrap/>
            <w:hideMark/>
          </w:tcPr>
          <w:p w:rsidR="000569ED" w:rsidRPr="00FA2B66" w:rsidRDefault="000569ED" w:rsidP="00FA2B66">
            <w:pPr>
              <w:pStyle w:val="Tabletext"/>
            </w:pPr>
            <w:r w:rsidRPr="00FA2B66">
              <w:t>1</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5.2</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4.7</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-0.5</w:t>
            </w:r>
          </w:p>
        </w:tc>
        <w:tc>
          <w:tcPr>
            <w:tcW w:w="1698" w:type="dxa"/>
            <w:tcBorders>
              <w:top w:val="nil"/>
              <w:left w:val="nil"/>
              <w:bottom w:val="nil"/>
              <w:right w:val="nil"/>
            </w:tcBorders>
            <w:shd w:val="clear" w:color="auto" w:fill="auto"/>
            <w:noWrap/>
            <w:hideMark/>
          </w:tcPr>
          <w:p w:rsidR="000569ED" w:rsidRPr="00FA2B66" w:rsidRDefault="000569ED" w:rsidP="00FA2B66">
            <w:pPr>
              <w:pStyle w:val="Tabletext"/>
              <w:tabs>
                <w:tab w:val="decimal" w:pos="765"/>
              </w:tabs>
            </w:pPr>
            <w:r w:rsidRPr="00FA2B66">
              <w:rPr>
                <w:szCs w:val="22"/>
              </w:rPr>
              <w:t>-10.2</w:t>
            </w:r>
          </w:p>
        </w:tc>
      </w:tr>
      <w:tr w:rsidR="000569ED" w:rsidRPr="00FA2B66" w:rsidTr="00FA2B66">
        <w:tc>
          <w:tcPr>
            <w:tcW w:w="2000" w:type="dxa"/>
            <w:tcBorders>
              <w:top w:val="nil"/>
              <w:left w:val="nil"/>
              <w:bottom w:val="nil"/>
              <w:right w:val="nil"/>
            </w:tcBorders>
            <w:shd w:val="clear" w:color="auto" w:fill="auto"/>
            <w:noWrap/>
            <w:hideMark/>
          </w:tcPr>
          <w:p w:rsidR="000569ED" w:rsidRPr="00FA2B66" w:rsidRDefault="000569ED" w:rsidP="00FA2B66">
            <w:pPr>
              <w:pStyle w:val="Tabletext"/>
            </w:pPr>
            <w:r w:rsidRPr="00FA2B66">
              <w:t>2</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5.5</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6.5</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1.0</w:t>
            </w:r>
          </w:p>
        </w:tc>
        <w:tc>
          <w:tcPr>
            <w:tcW w:w="1698" w:type="dxa"/>
            <w:tcBorders>
              <w:top w:val="nil"/>
              <w:left w:val="nil"/>
              <w:bottom w:val="nil"/>
              <w:right w:val="nil"/>
            </w:tcBorders>
            <w:shd w:val="clear" w:color="auto" w:fill="auto"/>
            <w:noWrap/>
            <w:hideMark/>
          </w:tcPr>
          <w:p w:rsidR="000569ED" w:rsidRPr="00FA2B66" w:rsidRDefault="000569ED" w:rsidP="00FA2B66">
            <w:pPr>
              <w:pStyle w:val="Tabletext"/>
              <w:tabs>
                <w:tab w:val="decimal" w:pos="765"/>
              </w:tabs>
            </w:pPr>
            <w:r w:rsidRPr="00FA2B66">
              <w:rPr>
                <w:szCs w:val="22"/>
              </w:rPr>
              <w:t>17.6</w:t>
            </w:r>
          </w:p>
        </w:tc>
      </w:tr>
      <w:tr w:rsidR="000569ED" w:rsidRPr="00FA2B66" w:rsidTr="00FA2B66">
        <w:tc>
          <w:tcPr>
            <w:tcW w:w="2000" w:type="dxa"/>
            <w:tcBorders>
              <w:top w:val="nil"/>
              <w:left w:val="nil"/>
              <w:bottom w:val="nil"/>
              <w:right w:val="nil"/>
            </w:tcBorders>
            <w:shd w:val="clear" w:color="auto" w:fill="auto"/>
            <w:noWrap/>
            <w:hideMark/>
          </w:tcPr>
          <w:p w:rsidR="000569ED" w:rsidRPr="00FA2B66" w:rsidRDefault="000569ED" w:rsidP="00FA2B66">
            <w:pPr>
              <w:pStyle w:val="Tabletext"/>
            </w:pPr>
            <w:r w:rsidRPr="00FA2B66">
              <w:t>3</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3.4</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3.3</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-0.1</w:t>
            </w:r>
          </w:p>
        </w:tc>
        <w:tc>
          <w:tcPr>
            <w:tcW w:w="1698" w:type="dxa"/>
            <w:tcBorders>
              <w:top w:val="nil"/>
              <w:left w:val="nil"/>
              <w:bottom w:val="nil"/>
              <w:right w:val="nil"/>
            </w:tcBorders>
            <w:shd w:val="clear" w:color="auto" w:fill="auto"/>
            <w:noWrap/>
            <w:hideMark/>
          </w:tcPr>
          <w:p w:rsidR="000569ED" w:rsidRPr="00FA2B66" w:rsidRDefault="000569ED" w:rsidP="00FA2B66">
            <w:pPr>
              <w:pStyle w:val="Tabletext"/>
              <w:tabs>
                <w:tab w:val="decimal" w:pos="765"/>
              </w:tabs>
            </w:pPr>
            <w:r w:rsidRPr="00FA2B66">
              <w:rPr>
                <w:szCs w:val="22"/>
              </w:rPr>
              <w:t>-3.9</w:t>
            </w:r>
          </w:p>
        </w:tc>
      </w:tr>
      <w:tr w:rsidR="000569ED" w:rsidRPr="00FA2B66" w:rsidTr="00FA2B66">
        <w:tc>
          <w:tcPr>
            <w:tcW w:w="2000" w:type="dxa"/>
            <w:tcBorders>
              <w:top w:val="nil"/>
              <w:left w:val="nil"/>
              <w:bottom w:val="nil"/>
              <w:right w:val="nil"/>
            </w:tcBorders>
            <w:shd w:val="clear" w:color="auto" w:fill="auto"/>
            <w:noWrap/>
            <w:hideMark/>
          </w:tcPr>
          <w:p w:rsidR="000569ED" w:rsidRPr="00FA2B66" w:rsidRDefault="000569ED" w:rsidP="00FA2B66">
            <w:pPr>
              <w:pStyle w:val="Tabletext"/>
            </w:pPr>
            <w:r w:rsidRPr="00FA2B66">
              <w:t>4</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3.1</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3.2</w:t>
            </w:r>
          </w:p>
        </w:tc>
        <w:tc>
          <w:tcPr>
            <w:tcW w:w="1697" w:type="dxa"/>
            <w:tcBorders>
              <w:top w:val="nil"/>
              <w:left w:val="nil"/>
              <w:bottom w:val="nil"/>
              <w:right w:val="nil"/>
            </w:tcBorders>
            <w:shd w:val="clear" w:color="auto" w:fill="auto"/>
            <w:noWrap/>
            <w:hideMark/>
          </w:tcPr>
          <w:p w:rsidR="000569ED" w:rsidRPr="00FA2B66" w:rsidRDefault="000569ED" w:rsidP="00FA2B66">
            <w:pPr>
              <w:pStyle w:val="Tabletext"/>
              <w:tabs>
                <w:tab w:val="decimal" w:pos="737"/>
              </w:tabs>
            </w:pPr>
            <w:r w:rsidRPr="00FA2B66">
              <w:rPr>
                <w:szCs w:val="22"/>
              </w:rPr>
              <w:t>0.0</w:t>
            </w:r>
          </w:p>
        </w:tc>
        <w:tc>
          <w:tcPr>
            <w:tcW w:w="1698" w:type="dxa"/>
            <w:tcBorders>
              <w:top w:val="nil"/>
              <w:left w:val="nil"/>
              <w:bottom w:val="nil"/>
              <w:right w:val="nil"/>
            </w:tcBorders>
            <w:shd w:val="clear" w:color="auto" w:fill="auto"/>
            <w:noWrap/>
            <w:hideMark/>
          </w:tcPr>
          <w:p w:rsidR="000569ED" w:rsidRPr="00FA2B66" w:rsidRDefault="000569ED" w:rsidP="00FA2B66">
            <w:pPr>
              <w:pStyle w:val="Tabletext"/>
              <w:tabs>
                <w:tab w:val="decimal" w:pos="765"/>
              </w:tabs>
            </w:pPr>
            <w:r w:rsidRPr="00FA2B66">
              <w:rPr>
                <w:szCs w:val="22"/>
              </w:rPr>
              <w:t>0.3</w:t>
            </w:r>
          </w:p>
        </w:tc>
      </w:tr>
      <w:tr w:rsidR="000569ED" w:rsidRPr="00FA2B66" w:rsidTr="003332D7">
        <w:tc>
          <w:tcPr>
            <w:tcW w:w="2000" w:type="dxa"/>
            <w:tcBorders>
              <w:top w:val="nil"/>
              <w:left w:val="nil"/>
              <w:bottom w:val="single" w:sz="4" w:space="0" w:color="auto"/>
              <w:right w:val="nil"/>
            </w:tcBorders>
            <w:shd w:val="clear" w:color="auto" w:fill="auto"/>
            <w:noWrap/>
            <w:hideMark/>
          </w:tcPr>
          <w:p w:rsidR="000569ED" w:rsidRPr="00FA2B66" w:rsidRDefault="000569ED" w:rsidP="00FA2B66">
            <w:pPr>
              <w:pStyle w:val="Tabletext"/>
            </w:pPr>
            <w:r w:rsidRPr="00FA2B66">
              <w:t>5</w:t>
            </w:r>
          </w:p>
        </w:tc>
        <w:tc>
          <w:tcPr>
            <w:tcW w:w="1697" w:type="dxa"/>
            <w:tcBorders>
              <w:top w:val="nil"/>
              <w:left w:val="nil"/>
              <w:bottom w:val="single" w:sz="4" w:space="0" w:color="auto"/>
              <w:right w:val="nil"/>
            </w:tcBorders>
            <w:shd w:val="clear" w:color="auto" w:fill="auto"/>
            <w:noWrap/>
            <w:hideMark/>
          </w:tcPr>
          <w:p w:rsidR="000569ED" w:rsidRPr="00FA2B66" w:rsidRDefault="000569ED" w:rsidP="00FA2B66">
            <w:pPr>
              <w:pStyle w:val="Tabletext"/>
              <w:tabs>
                <w:tab w:val="decimal" w:pos="737"/>
              </w:tabs>
            </w:pPr>
            <w:r w:rsidRPr="00FA2B66">
              <w:rPr>
                <w:szCs w:val="22"/>
              </w:rPr>
              <w:t>1.6</w:t>
            </w:r>
          </w:p>
        </w:tc>
        <w:tc>
          <w:tcPr>
            <w:tcW w:w="1697" w:type="dxa"/>
            <w:tcBorders>
              <w:top w:val="nil"/>
              <w:left w:val="nil"/>
              <w:bottom w:val="single" w:sz="4" w:space="0" w:color="auto"/>
              <w:right w:val="nil"/>
            </w:tcBorders>
            <w:shd w:val="clear" w:color="auto" w:fill="auto"/>
            <w:noWrap/>
            <w:hideMark/>
          </w:tcPr>
          <w:p w:rsidR="000569ED" w:rsidRPr="00FA2B66" w:rsidRDefault="000569ED" w:rsidP="00FA2B66">
            <w:pPr>
              <w:pStyle w:val="Tabletext"/>
              <w:tabs>
                <w:tab w:val="decimal" w:pos="737"/>
              </w:tabs>
            </w:pPr>
            <w:r w:rsidRPr="00FA2B66">
              <w:rPr>
                <w:szCs w:val="22"/>
              </w:rPr>
              <w:t>2.7</w:t>
            </w:r>
          </w:p>
        </w:tc>
        <w:tc>
          <w:tcPr>
            <w:tcW w:w="1697" w:type="dxa"/>
            <w:tcBorders>
              <w:top w:val="nil"/>
              <w:left w:val="nil"/>
              <w:bottom w:val="single" w:sz="4" w:space="0" w:color="auto"/>
              <w:right w:val="nil"/>
            </w:tcBorders>
            <w:shd w:val="clear" w:color="auto" w:fill="auto"/>
            <w:noWrap/>
            <w:hideMark/>
          </w:tcPr>
          <w:p w:rsidR="000569ED" w:rsidRPr="00FA2B66" w:rsidRDefault="000569ED" w:rsidP="00FA2B66">
            <w:pPr>
              <w:pStyle w:val="Tabletext"/>
              <w:tabs>
                <w:tab w:val="decimal" w:pos="737"/>
              </w:tabs>
            </w:pPr>
            <w:r w:rsidRPr="00FA2B66">
              <w:rPr>
                <w:szCs w:val="22"/>
              </w:rPr>
              <w:t>1.1</w:t>
            </w:r>
          </w:p>
        </w:tc>
        <w:tc>
          <w:tcPr>
            <w:tcW w:w="1698" w:type="dxa"/>
            <w:tcBorders>
              <w:top w:val="nil"/>
              <w:left w:val="nil"/>
              <w:bottom w:val="single" w:sz="4" w:space="0" w:color="auto"/>
              <w:right w:val="nil"/>
            </w:tcBorders>
            <w:shd w:val="clear" w:color="auto" w:fill="auto"/>
            <w:noWrap/>
            <w:hideMark/>
          </w:tcPr>
          <w:p w:rsidR="000569ED" w:rsidRPr="00FA2B66" w:rsidRDefault="000569ED" w:rsidP="00FA2B66">
            <w:pPr>
              <w:pStyle w:val="Tabletext"/>
              <w:tabs>
                <w:tab w:val="decimal" w:pos="765"/>
              </w:tabs>
            </w:pPr>
            <w:r w:rsidRPr="00FA2B66">
              <w:rPr>
                <w:szCs w:val="22"/>
              </w:rPr>
              <w:t>70.3</w:t>
            </w:r>
          </w:p>
        </w:tc>
      </w:tr>
      <w:tr w:rsidR="000569ED" w:rsidRPr="00FA2B66" w:rsidTr="003332D7">
        <w:tc>
          <w:tcPr>
            <w:tcW w:w="2000" w:type="dxa"/>
            <w:tcBorders>
              <w:top w:val="single" w:sz="4" w:space="0" w:color="auto"/>
              <w:left w:val="nil"/>
              <w:bottom w:val="single" w:sz="4" w:space="0" w:color="auto"/>
              <w:right w:val="nil"/>
            </w:tcBorders>
            <w:shd w:val="clear" w:color="auto" w:fill="auto"/>
            <w:noWrap/>
            <w:tcMar>
              <w:right w:w="0" w:type="dxa"/>
            </w:tcMar>
            <w:hideMark/>
          </w:tcPr>
          <w:p w:rsidR="000569ED" w:rsidRPr="00FA2B66" w:rsidRDefault="00D05EB6" w:rsidP="00FA2B66">
            <w:pPr>
              <w:pStyle w:val="Tabletext"/>
              <w:rPr>
                <w:b/>
              </w:rPr>
            </w:pPr>
            <w:r w:rsidRPr="00FA2B66">
              <w:rPr>
                <w:b/>
              </w:rPr>
              <w:t>Total 20 to 24-year-</w:t>
            </w:r>
            <w:r w:rsidR="000569ED" w:rsidRPr="00FA2B66">
              <w:rPr>
                <w:b/>
              </w:rPr>
              <w:t>olds</w:t>
            </w:r>
          </w:p>
        </w:tc>
        <w:tc>
          <w:tcPr>
            <w:tcW w:w="1697" w:type="dxa"/>
            <w:tcBorders>
              <w:top w:val="single" w:sz="4" w:space="0" w:color="auto"/>
              <w:left w:val="nil"/>
              <w:bottom w:val="single" w:sz="4" w:space="0" w:color="auto"/>
              <w:right w:val="nil"/>
            </w:tcBorders>
            <w:shd w:val="clear" w:color="auto" w:fill="auto"/>
            <w:noWrap/>
            <w:hideMark/>
          </w:tcPr>
          <w:p w:rsidR="000569ED" w:rsidRPr="00FA2B66" w:rsidRDefault="000569ED" w:rsidP="00FA2B66">
            <w:pPr>
              <w:pStyle w:val="Tabletext"/>
              <w:tabs>
                <w:tab w:val="decimal" w:pos="737"/>
              </w:tabs>
              <w:rPr>
                <w:b/>
              </w:rPr>
            </w:pPr>
            <w:r w:rsidRPr="00FA2B66">
              <w:rPr>
                <w:b/>
              </w:rPr>
              <w:t>4.1</w:t>
            </w:r>
          </w:p>
        </w:tc>
        <w:tc>
          <w:tcPr>
            <w:tcW w:w="1697" w:type="dxa"/>
            <w:tcBorders>
              <w:top w:val="single" w:sz="4" w:space="0" w:color="auto"/>
              <w:left w:val="nil"/>
              <w:bottom w:val="single" w:sz="4" w:space="0" w:color="auto"/>
              <w:right w:val="nil"/>
            </w:tcBorders>
            <w:shd w:val="clear" w:color="auto" w:fill="auto"/>
            <w:noWrap/>
            <w:hideMark/>
          </w:tcPr>
          <w:p w:rsidR="000569ED" w:rsidRPr="00FA2B66" w:rsidRDefault="000569ED" w:rsidP="00FA2B66">
            <w:pPr>
              <w:pStyle w:val="Tabletext"/>
              <w:tabs>
                <w:tab w:val="decimal" w:pos="737"/>
              </w:tabs>
              <w:rPr>
                <w:b/>
              </w:rPr>
            </w:pPr>
            <w:r w:rsidRPr="00FA2B66">
              <w:rPr>
                <w:b/>
              </w:rPr>
              <w:t>4.1</w:t>
            </w:r>
          </w:p>
        </w:tc>
        <w:tc>
          <w:tcPr>
            <w:tcW w:w="1697" w:type="dxa"/>
            <w:tcBorders>
              <w:top w:val="single" w:sz="4" w:space="0" w:color="auto"/>
              <w:left w:val="nil"/>
              <w:bottom w:val="single" w:sz="4" w:space="0" w:color="auto"/>
              <w:right w:val="nil"/>
            </w:tcBorders>
            <w:shd w:val="clear" w:color="auto" w:fill="auto"/>
            <w:noWrap/>
            <w:hideMark/>
          </w:tcPr>
          <w:p w:rsidR="000569ED" w:rsidRPr="00FA2B66" w:rsidRDefault="000569ED" w:rsidP="00FA2B66">
            <w:pPr>
              <w:pStyle w:val="Tabletext"/>
              <w:tabs>
                <w:tab w:val="decimal" w:pos="737"/>
              </w:tabs>
              <w:rPr>
                <w:b/>
              </w:rPr>
            </w:pPr>
            <w:r w:rsidRPr="00FA2B66">
              <w:rPr>
                <w:b/>
              </w:rPr>
              <w:t>0.0</w:t>
            </w:r>
          </w:p>
        </w:tc>
        <w:tc>
          <w:tcPr>
            <w:tcW w:w="1698" w:type="dxa"/>
            <w:tcBorders>
              <w:top w:val="single" w:sz="4" w:space="0" w:color="auto"/>
              <w:left w:val="nil"/>
              <w:bottom w:val="single" w:sz="4" w:space="0" w:color="auto"/>
              <w:right w:val="nil"/>
            </w:tcBorders>
            <w:shd w:val="clear" w:color="auto" w:fill="auto"/>
            <w:noWrap/>
            <w:hideMark/>
          </w:tcPr>
          <w:p w:rsidR="000569ED" w:rsidRPr="00FA2B66" w:rsidRDefault="000569ED" w:rsidP="00FA2B66">
            <w:pPr>
              <w:pStyle w:val="Tabletext"/>
              <w:tabs>
                <w:tab w:val="decimal" w:pos="765"/>
              </w:tabs>
              <w:rPr>
                <w:b/>
              </w:rPr>
            </w:pPr>
            <w:r w:rsidRPr="00FA2B66">
              <w:rPr>
                <w:b/>
              </w:rPr>
              <w:t>0.0</w:t>
            </w:r>
          </w:p>
        </w:tc>
      </w:tr>
    </w:tbl>
    <w:p w:rsidR="00074B82" w:rsidRDefault="00074B82" w:rsidP="00A470EA">
      <w:pPr>
        <w:pStyle w:val="tabletitle"/>
      </w:pPr>
      <w:bookmarkStart w:id="51" w:name="_Toc366142867"/>
    </w:p>
    <w:p w:rsidR="00A470EA" w:rsidRPr="00DC1E64" w:rsidRDefault="00A470EA" w:rsidP="00074B82">
      <w:pPr>
        <w:pStyle w:val="tabletitle"/>
      </w:pPr>
      <w:bookmarkStart w:id="52" w:name="_Toc383616143"/>
      <w:r w:rsidRPr="00DC1E64">
        <w:lastRenderedPageBreak/>
        <w:t>Table</w:t>
      </w:r>
      <w:r w:rsidR="0003597A">
        <w:t xml:space="preserve"> 16</w:t>
      </w:r>
      <w:r w:rsidR="00074B82">
        <w:tab/>
      </w:r>
      <w:r w:rsidRPr="00DC1E64">
        <w:t xml:space="preserve">VET participation rates, </w:t>
      </w:r>
      <w:r w:rsidR="00C722EA">
        <w:t>25 to 64-year-</w:t>
      </w:r>
      <w:r w:rsidR="00C722EA" w:rsidRPr="00DC1E64">
        <w:t>old</w:t>
      </w:r>
      <w:r w:rsidR="000E0982">
        <w:t>s,</w:t>
      </w:r>
      <w:r w:rsidR="00C722EA" w:rsidRPr="00DC1E64">
        <w:t xml:space="preserve"> </w:t>
      </w:r>
      <w:r w:rsidR="001A2868">
        <w:t xml:space="preserve">2006 and 2011, </w:t>
      </w:r>
      <w:bookmarkEnd w:id="51"/>
      <w:r w:rsidR="00062413">
        <w:t>statistical local areas</w:t>
      </w:r>
      <w:bookmarkEnd w:id="52"/>
    </w:p>
    <w:tbl>
      <w:tblPr>
        <w:tblW w:w="8804" w:type="dxa"/>
        <w:tblInd w:w="93" w:type="dxa"/>
        <w:tblLayout w:type="fixed"/>
        <w:tblLook w:val="04A0" w:firstRow="1" w:lastRow="0" w:firstColumn="1" w:lastColumn="0" w:noHBand="0" w:noVBand="1"/>
      </w:tblPr>
      <w:tblGrid>
        <w:gridCol w:w="2000"/>
        <w:gridCol w:w="2268"/>
        <w:gridCol w:w="2268"/>
        <w:gridCol w:w="2268"/>
      </w:tblGrid>
      <w:tr w:rsidR="00A470EA" w:rsidRPr="00074B82" w:rsidTr="00074B82">
        <w:tc>
          <w:tcPr>
            <w:tcW w:w="2000" w:type="dxa"/>
            <w:tcBorders>
              <w:top w:val="single" w:sz="4" w:space="0" w:color="auto"/>
              <w:left w:val="nil"/>
              <w:bottom w:val="single" w:sz="4" w:space="0" w:color="auto"/>
              <w:right w:val="nil"/>
            </w:tcBorders>
            <w:shd w:val="clear" w:color="auto" w:fill="auto"/>
            <w:noWrap/>
            <w:hideMark/>
          </w:tcPr>
          <w:p w:rsidR="00A470EA" w:rsidRPr="00074B82" w:rsidRDefault="00A470EA" w:rsidP="00074B82">
            <w:pPr>
              <w:pStyle w:val="Tablehead1"/>
            </w:pPr>
            <w:r w:rsidRPr="00074B82">
              <w:t>Quintile</w:t>
            </w:r>
          </w:p>
        </w:tc>
        <w:tc>
          <w:tcPr>
            <w:tcW w:w="2268" w:type="dxa"/>
            <w:tcBorders>
              <w:top w:val="single" w:sz="4" w:space="0" w:color="auto"/>
              <w:left w:val="nil"/>
              <w:bottom w:val="single" w:sz="4" w:space="0" w:color="auto"/>
              <w:right w:val="nil"/>
            </w:tcBorders>
            <w:shd w:val="clear" w:color="auto" w:fill="auto"/>
            <w:noWrap/>
            <w:hideMark/>
          </w:tcPr>
          <w:p w:rsidR="00A470EA" w:rsidRPr="00074B82" w:rsidRDefault="00A470EA" w:rsidP="00074B82">
            <w:pPr>
              <w:pStyle w:val="Tablehead1"/>
              <w:jc w:val="center"/>
            </w:pPr>
            <w:r w:rsidRPr="00074B82">
              <w:t>2006 collection using 2006 SEIFA (truth)</w:t>
            </w:r>
          </w:p>
        </w:tc>
        <w:tc>
          <w:tcPr>
            <w:tcW w:w="2268" w:type="dxa"/>
            <w:tcBorders>
              <w:top w:val="single" w:sz="4" w:space="0" w:color="auto"/>
              <w:left w:val="nil"/>
              <w:bottom w:val="single" w:sz="4" w:space="0" w:color="auto"/>
              <w:right w:val="nil"/>
            </w:tcBorders>
            <w:shd w:val="clear" w:color="auto" w:fill="auto"/>
            <w:noWrap/>
            <w:hideMark/>
          </w:tcPr>
          <w:p w:rsidR="00A470EA" w:rsidRPr="00074B82" w:rsidRDefault="000E0982" w:rsidP="00074B82">
            <w:pPr>
              <w:pStyle w:val="Tablehead1"/>
              <w:jc w:val="center"/>
            </w:pPr>
            <w:r w:rsidRPr="00074B82">
              <w:t>2011 c</w:t>
            </w:r>
            <w:r w:rsidR="00A470EA" w:rsidRPr="00074B82">
              <w:t>ollection using 2006 SEIFA</w:t>
            </w:r>
          </w:p>
        </w:tc>
        <w:tc>
          <w:tcPr>
            <w:tcW w:w="2268" w:type="dxa"/>
            <w:tcBorders>
              <w:top w:val="single" w:sz="4" w:space="0" w:color="auto"/>
              <w:left w:val="nil"/>
              <w:bottom w:val="single" w:sz="4" w:space="0" w:color="auto"/>
              <w:right w:val="nil"/>
            </w:tcBorders>
            <w:shd w:val="clear" w:color="auto" w:fill="auto"/>
            <w:noWrap/>
            <w:hideMark/>
          </w:tcPr>
          <w:p w:rsidR="00A470EA" w:rsidRPr="00074B82" w:rsidRDefault="000E0982" w:rsidP="00074B82">
            <w:pPr>
              <w:pStyle w:val="Tablehead1"/>
              <w:jc w:val="center"/>
            </w:pPr>
            <w:r w:rsidRPr="00074B82">
              <w:t>2011 c</w:t>
            </w:r>
            <w:r w:rsidR="00A470EA" w:rsidRPr="00074B82">
              <w:t>ollection using 2011 SEIFA (truth)</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1</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21"/>
              </w:tabs>
            </w:pPr>
            <w:r w:rsidRPr="00074B82">
              <w:t>8.5</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10.8</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10.9</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2</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21"/>
              </w:tabs>
            </w:pPr>
            <w:r w:rsidRPr="00074B82">
              <w:t>8.2</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10.6</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10.6</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3</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21"/>
              </w:tabs>
            </w:pPr>
            <w:r w:rsidRPr="00074B82">
              <w:t>7.0</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8.6</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8.8</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4</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21"/>
              </w:tabs>
            </w:pPr>
            <w:r w:rsidRPr="00074B82">
              <w:t>6.4</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7.8</w:t>
            </w:r>
          </w:p>
        </w:tc>
        <w:tc>
          <w:tcPr>
            <w:tcW w:w="2268" w:type="dxa"/>
            <w:tcBorders>
              <w:top w:val="nil"/>
              <w:left w:val="nil"/>
              <w:bottom w:val="nil"/>
              <w:right w:val="nil"/>
            </w:tcBorders>
            <w:shd w:val="clear" w:color="auto" w:fill="auto"/>
            <w:noWrap/>
            <w:hideMark/>
          </w:tcPr>
          <w:p w:rsidR="00BF252F" w:rsidRPr="00074B82" w:rsidRDefault="00BF252F" w:rsidP="00074B82">
            <w:pPr>
              <w:pStyle w:val="Tabletext"/>
              <w:tabs>
                <w:tab w:val="decimal" w:pos="1049"/>
              </w:tabs>
            </w:pPr>
            <w:r w:rsidRPr="00074B82">
              <w:t>7.7</w:t>
            </w:r>
          </w:p>
        </w:tc>
      </w:tr>
      <w:tr w:rsidR="00BF252F" w:rsidRPr="00074B82" w:rsidTr="003332D7">
        <w:tc>
          <w:tcPr>
            <w:tcW w:w="2000" w:type="dxa"/>
            <w:tcBorders>
              <w:top w:val="nil"/>
              <w:left w:val="nil"/>
              <w:bottom w:val="single" w:sz="4" w:space="0" w:color="auto"/>
              <w:right w:val="nil"/>
            </w:tcBorders>
            <w:shd w:val="clear" w:color="auto" w:fill="auto"/>
            <w:noWrap/>
            <w:hideMark/>
          </w:tcPr>
          <w:p w:rsidR="00BF252F" w:rsidRPr="00074B82" w:rsidRDefault="00BF252F" w:rsidP="00074B82">
            <w:pPr>
              <w:pStyle w:val="Tabletext"/>
            </w:pPr>
            <w:r w:rsidRPr="00074B82">
              <w:t>5</w:t>
            </w:r>
          </w:p>
        </w:tc>
        <w:tc>
          <w:tcPr>
            <w:tcW w:w="2268"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1021"/>
              </w:tabs>
            </w:pPr>
            <w:r w:rsidRPr="00074B82">
              <w:t>5.0</w:t>
            </w:r>
          </w:p>
        </w:tc>
        <w:tc>
          <w:tcPr>
            <w:tcW w:w="2268"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1049"/>
              </w:tabs>
            </w:pPr>
            <w:r w:rsidRPr="00074B82">
              <w:t>6.5</w:t>
            </w:r>
          </w:p>
        </w:tc>
        <w:tc>
          <w:tcPr>
            <w:tcW w:w="2268"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1049"/>
              </w:tabs>
            </w:pPr>
            <w:r w:rsidRPr="00074B82">
              <w:t>5.7</w:t>
            </w:r>
          </w:p>
        </w:tc>
      </w:tr>
      <w:tr w:rsidR="00BF252F" w:rsidRPr="00074B82" w:rsidTr="003332D7">
        <w:tc>
          <w:tcPr>
            <w:tcW w:w="2000" w:type="dxa"/>
            <w:tcBorders>
              <w:top w:val="single" w:sz="4" w:space="0" w:color="auto"/>
              <w:left w:val="nil"/>
              <w:bottom w:val="single" w:sz="4" w:space="0" w:color="auto"/>
              <w:right w:val="nil"/>
            </w:tcBorders>
            <w:shd w:val="clear" w:color="auto" w:fill="auto"/>
            <w:noWrap/>
            <w:tcMar>
              <w:right w:w="0" w:type="dxa"/>
            </w:tcMar>
            <w:hideMark/>
          </w:tcPr>
          <w:p w:rsidR="00BF252F" w:rsidRPr="00074B82" w:rsidRDefault="00062413" w:rsidP="00074B82">
            <w:pPr>
              <w:pStyle w:val="Tabletext"/>
              <w:rPr>
                <w:b/>
              </w:rPr>
            </w:pPr>
            <w:r w:rsidRPr="00074B82">
              <w:rPr>
                <w:b/>
              </w:rPr>
              <w:t>Total 25 to 64-year-</w:t>
            </w:r>
            <w:r w:rsidR="00BF252F" w:rsidRPr="00074B82">
              <w:rPr>
                <w:b/>
              </w:rPr>
              <w:t>olds</w:t>
            </w:r>
          </w:p>
        </w:tc>
        <w:tc>
          <w:tcPr>
            <w:tcW w:w="2268"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1021"/>
              </w:tabs>
              <w:rPr>
                <w:b/>
              </w:rPr>
            </w:pPr>
            <w:r w:rsidRPr="00074B82">
              <w:rPr>
                <w:b/>
              </w:rPr>
              <w:t>6.8</w:t>
            </w:r>
          </w:p>
        </w:tc>
        <w:tc>
          <w:tcPr>
            <w:tcW w:w="2268"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1049"/>
              </w:tabs>
              <w:rPr>
                <w:b/>
              </w:rPr>
            </w:pPr>
            <w:r w:rsidRPr="00074B82">
              <w:rPr>
                <w:b/>
              </w:rPr>
              <w:t>8.7</w:t>
            </w:r>
          </w:p>
        </w:tc>
        <w:tc>
          <w:tcPr>
            <w:tcW w:w="2268"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1049"/>
              </w:tabs>
              <w:rPr>
                <w:b/>
              </w:rPr>
            </w:pPr>
            <w:r w:rsidRPr="00074B82">
              <w:rPr>
                <w:b/>
              </w:rPr>
              <w:t>8.7</w:t>
            </w:r>
          </w:p>
        </w:tc>
      </w:tr>
    </w:tbl>
    <w:p w:rsidR="00A470EA" w:rsidRPr="00DC1E64" w:rsidRDefault="00A470EA" w:rsidP="00074B82">
      <w:pPr>
        <w:pStyle w:val="tabletitle"/>
      </w:pPr>
      <w:bookmarkStart w:id="53" w:name="_Toc366142868"/>
      <w:bookmarkStart w:id="54" w:name="_Toc383616144"/>
      <w:r w:rsidRPr="00DC1E64">
        <w:t>Table</w:t>
      </w:r>
      <w:r w:rsidR="0003597A">
        <w:t xml:space="preserve"> 17</w:t>
      </w:r>
      <w:r w:rsidR="00074B82">
        <w:tab/>
      </w:r>
      <w:r w:rsidRPr="00DC1E64">
        <w:t xml:space="preserve">VET participation rates, </w:t>
      </w:r>
      <w:r w:rsidR="000E0982">
        <w:t>25 to 64-year-</w:t>
      </w:r>
      <w:r w:rsidR="000E0982" w:rsidRPr="00DC1E64">
        <w:t>old</w:t>
      </w:r>
      <w:r w:rsidR="000E0982">
        <w:t>s,</w:t>
      </w:r>
      <w:r w:rsidR="000E0982" w:rsidRPr="00DC1E64">
        <w:t xml:space="preserve"> </w:t>
      </w:r>
      <w:r w:rsidRPr="00DC1E64">
        <w:t xml:space="preserve">changes between 2006 and 2011, </w:t>
      </w:r>
      <w:bookmarkEnd w:id="53"/>
      <w:r w:rsidR="009E220B">
        <w:t>statistical local areas</w:t>
      </w:r>
      <w:bookmarkEnd w:id="54"/>
    </w:p>
    <w:tbl>
      <w:tblPr>
        <w:tblW w:w="8789" w:type="dxa"/>
        <w:tblInd w:w="93" w:type="dxa"/>
        <w:tblLayout w:type="fixed"/>
        <w:tblLook w:val="04A0" w:firstRow="1" w:lastRow="0" w:firstColumn="1" w:lastColumn="0" w:noHBand="0" w:noVBand="1"/>
      </w:tblPr>
      <w:tblGrid>
        <w:gridCol w:w="2000"/>
        <w:gridCol w:w="1697"/>
        <w:gridCol w:w="1697"/>
        <w:gridCol w:w="1697"/>
        <w:gridCol w:w="1698"/>
      </w:tblGrid>
      <w:tr w:rsidR="007C58C7" w:rsidRPr="00074B82" w:rsidTr="00074B82">
        <w:tc>
          <w:tcPr>
            <w:tcW w:w="2000" w:type="dxa"/>
            <w:tcBorders>
              <w:top w:val="single" w:sz="4" w:space="0" w:color="auto"/>
              <w:left w:val="nil"/>
              <w:bottom w:val="single" w:sz="4" w:space="0" w:color="auto"/>
              <w:right w:val="nil"/>
            </w:tcBorders>
            <w:shd w:val="clear" w:color="auto" w:fill="auto"/>
            <w:noWrap/>
            <w:hideMark/>
          </w:tcPr>
          <w:p w:rsidR="007C58C7" w:rsidRPr="00074B82" w:rsidRDefault="007C58C7" w:rsidP="00074B82">
            <w:pPr>
              <w:pStyle w:val="Tablehead1"/>
            </w:pPr>
            <w:r w:rsidRPr="00074B82">
              <w:t>Quintile</w:t>
            </w:r>
          </w:p>
        </w:tc>
        <w:tc>
          <w:tcPr>
            <w:tcW w:w="1697" w:type="dxa"/>
            <w:tcBorders>
              <w:top w:val="single" w:sz="4" w:space="0" w:color="auto"/>
              <w:left w:val="nil"/>
              <w:bottom w:val="single" w:sz="4" w:space="0" w:color="auto"/>
              <w:right w:val="nil"/>
            </w:tcBorders>
            <w:shd w:val="clear" w:color="auto" w:fill="auto"/>
            <w:noWrap/>
            <w:hideMark/>
          </w:tcPr>
          <w:p w:rsidR="007C58C7" w:rsidRPr="00074B82" w:rsidRDefault="007C58C7" w:rsidP="00074B82">
            <w:pPr>
              <w:pStyle w:val="Tablehead1"/>
              <w:jc w:val="center"/>
            </w:pPr>
            <w:r w:rsidRPr="00074B82">
              <w:t>Change using 2006 &amp; 2011 SEIFA</w:t>
            </w:r>
          </w:p>
        </w:tc>
        <w:tc>
          <w:tcPr>
            <w:tcW w:w="1697" w:type="dxa"/>
            <w:tcBorders>
              <w:top w:val="single" w:sz="4" w:space="0" w:color="auto"/>
              <w:left w:val="nil"/>
              <w:bottom w:val="single" w:sz="4" w:space="0" w:color="auto"/>
              <w:right w:val="nil"/>
            </w:tcBorders>
            <w:shd w:val="clear" w:color="auto" w:fill="auto"/>
            <w:noWrap/>
            <w:hideMark/>
          </w:tcPr>
          <w:p w:rsidR="007C58C7" w:rsidRPr="00074B82" w:rsidRDefault="007C58C7" w:rsidP="00074B82">
            <w:pPr>
              <w:pStyle w:val="Tablehead1"/>
              <w:jc w:val="center"/>
            </w:pPr>
            <w:r w:rsidRPr="00074B82">
              <w:t>Estimated change using 2006 SEIFA</w:t>
            </w:r>
          </w:p>
        </w:tc>
        <w:tc>
          <w:tcPr>
            <w:tcW w:w="1697" w:type="dxa"/>
            <w:tcBorders>
              <w:top w:val="single" w:sz="4" w:space="0" w:color="auto"/>
              <w:left w:val="nil"/>
              <w:bottom w:val="single" w:sz="4" w:space="0" w:color="auto"/>
              <w:right w:val="nil"/>
            </w:tcBorders>
            <w:shd w:val="clear" w:color="auto" w:fill="auto"/>
            <w:noWrap/>
            <w:hideMark/>
          </w:tcPr>
          <w:p w:rsidR="007C58C7" w:rsidRPr="00074B82" w:rsidRDefault="007C58C7" w:rsidP="00074B82">
            <w:pPr>
              <w:pStyle w:val="Tablehead1"/>
              <w:jc w:val="center"/>
            </w:pPr>
            <w:r w:rsidRPr="00074B82">
              <w:t>Difference between actual change and estimated change</w:t>
            </w:r>
          </w:p>
        </w:tc>
        <w:tc>
          <w:tcPr>
            <w:tcW w:w="1698" w:type="dxa"/>
            <w:tcBorders>
              <w:top w:val="single" w:sz="4" w:space="0" w:color="auto"/>
              <w:left w:val="nil"/>
              <w:bottom w:val="single" w:sz="4" w:space="0" w:color="auto"/>
              <w:right w:val="nil"/>
            </w:tcBorders>
            <w:shd w:val="clear" w:color="auto" w:fill="auto"/>
            <w:noWrap/>
            <w:hideMark/>
          </w:tcPr>
          <w:p w:rsidR="007C58C7" w:rsidRPr="00074B82" w:rsidRDefault="007C58C7" w:rsidP="00074B82">
            <w:pPr>
              <w:pStyle w:val="Tablehead1"/>
              <w:jc w:val="center"/>
            </w:pPr>
            <w:r w:rsidRPr="00074B82">
              <w:t>% of change versus estimated change</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1</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2.3</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2.2</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-0.1</w:t>
            </w:r>
          </w:p>
        </w:tc>
        <w:tc>
          <w:tcPr>
            <w:tcW w:w="1698"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-4.3</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2</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2.3</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2.4</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0.1</w:t>
            </w:r>
          </w:p>
        </w:tc>
        <w:tc>
          <w:tcPr>
            <w:tcW w:w="1698"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3.2</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3</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1.8</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1.6</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-0.3</w:t>
            </w:r>
          </w:p>
        </w:tc>
        <w:tc>
          <w:tcPr>
            <w:tcW w:w="1698"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-14.5</w:t>
            </w:r>
          </w:p>
        </w:tc>
      </w:tr>
      <w:tr w:rsidR="00BF252F" w:rsidRPr="00074B82" w:rsidTr="00074B82">
        <w:tc>
          <w:tcPr>
            <w:tcW w:w="2000" w:type="dxa"/>
            <w:tcBorders>
              <w:top w:val="nil"/>
              <w:left w:val="nil"/>
              <w:bottom w:val="nil"/>
              <w:right w:val="nil"/>
            </w:tcBorders>
            <w:shd w:val="clear" w:color="auto" w:fill="auto"/>
            <w:noWrap/>
            <w:hideMark/>
          </w:tcPr>
          <w:p w:rsidR="00BF252F" w:rsidRPr="00074B82" w:rsidRDefault="00BF252F" w:rsidP="00074B82">
            <w:pPr>
              <w:pStyle w:val="Tabletext"/>
            </w:pPr>
            <w:r w:rsidRPr="00074B82">
              <w:t>4</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1.4</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1.4</w:t>
            </w:r>
          </w:p>
        </w:tc>
        <w:tc>
          <w:tcPr>
            <w:tcW w:w="1697"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0.0</w:t>
            </w:r>
          </w:p>
        </w:tc>
        <w:tc>
          <w:tcPr>
            <w:tcW w:w="1698" w:type="dxa"/>
            <w:tcBorders>
              <w:top w:val="nil"/>
              <w:left w:val="nil"/>
              <w:bottom w:val="nil"/>
              <w:right w:val="nil"/>
            </w:tcBorders>
            <w:shd w:val="clear" w:color="auto" w:fill="auto"/>
            <w:noWrap/>
            <w:hideMark/>
          </w:tcPr>
          <w:p w:rsidR="00BF252F" w:rsidRPr="00074B82" w:rsidRDefault="00BF252F" w:rsidP="00074B82">
            <w:pPr>
              <w:pStyle w:val="Tabletext"/>
              <w:tabs>
                <w:tab w:val="decimal" w:pos="737"/>
              </w:tabs>
            </w:pPr>
            <w:r w:rsidRPr="00074B82">
              <w:t>3.1</w:t>
            </w:r>
          </w:p>
        </w:tc>
      </w:tr>
      <w:tr w:rsidR="00BF252F" w:rsidRPr="00074B82" w:rsidTr="003332D7">
        <w:tc>
          <w:tcPr>
            <w:tcW w:w="2000" w:type="dxa"/>
            <w:tcBorders>
              <w:top w:val="nil"/>
              <w:left w:val="nil"/>
              <w:bottom w:val="single" w:sz="4" w:space="0" w:color="auto"/>
              <w:right w:val="nil"/>
            </w:tcBorders>
            <w:shd w:val="clear" w:color="auto" w:fill="auto"/>
            <w:noWrap/>
            <w:hideMark/>
          </w:tcPr>
          <w:p w:rsidR="00BF252F" w:rsidRPr="00074B82" w:rsidRDefault="00BF252F" w:rsidP="00074B82">
            <w:pPr>
              <w:pStyle w:val="Tabletext"/>
            </w:pPr>
            <w:r w:rsidRPr="00074B82">
              <w:t>5</w:t>
            </w:r>
          </w:p>
        </w:tc>
        <w:tc>
          <w:tcPr>
            <w:tcW w:w="1697"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pPr>
            <w:r w:rsidRPr="00074B82">
              <w:t>0.7</w:t>
            </w:r>
          </w:p>
        </w:tc>
        <w:tc>
          <w:tcPr>
            <w:tcW w:w="1697"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pPr>
            <w:r w:rsidRPr="00074B82">
              <w:t>1.5</w:t>
            </w:r>
          </w:p>
        </w:tc>
        <w:tc>
          <w:tcPr>
            <w:tcW w:w="1697"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pPr>
            <w:r w:rsidRPr="00074B82">
              <w:t>0.8</w:t>
            </w:r>
          </w:p>
        </w:tc>
        <w:tc>
          <w:tcPr>
            <w:tcW w:w="1698" w:type="dxa"/>
            <w:tcBorders>
              <w:top w:val="nil"/>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pPr>
            <w:r w:rsidRPr="00074B82">
              <w:t>105.1</w:t>
            </w:r>
          </w:p>
        </w:tc>
      </w:tr>
      <w:tr w:rsidR="00BF252F" w:rsidRPr="00074B82" w:rsidTr="003332D7">
        <w:tc>
          <w:tcPr>
            <w:tcW w:w="2000" w:type="dxa"/>
            <w:tcBorders>
              <w:top w:val="single" w:sz="4" w:space="0" w:color="auto"/>
              <w:left w:val="nil"/>
              <w:bottom w:val="single" w:sz="4" w:space="0" w:color="auto"/>
              <w:right w:val="nil"/>
            </w:tcBorders>
            <w:shd w:val="clear" w:color="auto" w:fill="auto"/>
            <w:noWrap/>
            <w:tcMar>
              <w:right w:w="0" w:type="dxa"/>
            </w:tcMar>
            <w:hideMark/>
          </w:tcPr>
          <w:p w:rsidR="00BF252F" w:rsidRPr="00074B82" w:rsidRDefault="009E220B" w:rsidP="00074B82">
            <w:pPr>
              <w:pStyle w:val="Tabletext"/>
              <w:rPr>
                <w:b/>
              </w:rPr>
            </w:pPr>
            <w:r w:rsidRPr="00074B82">
              <w:rPr>
                <w:b/>
              </w:rPr>
              <w:t>Total 25 to 64-year-</w:t>
            </w:r>
            <w:r w:rsidR="00BF252F" w:rsidRPr="00074B82">
              <w:rPr>
                <w:b/>
              </w:rPr>
              <w:t>olds</w:t>
            </w:r>
          </w:p>
        </w:tc>
        <w:tc>
          <w:tcPr>
            <w:tcW w:w="1697"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rPr>
                <w:b/>
              </w:rPr>
            </w:pPr>
            <w:r w:rsidRPr="00074B82">
              <w:rPr>
                <w:b/>
              </w:rPr>
              <w:t>1.9</w:t>
            </w:r>
          </w:p>
        </w:tc>
        <w:tc>
          <w:tcPr>
            <w:tcW w:w="1697"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rPr>
                <w:b/>
              </w:rPr>
            </w:pPr>
            <w:r w:rsidRPr="00074B82">
              <w:rPr>
                <w:b/>
              </w:rPr>
              <w:t>1.9</w:t>
            </w:r>
          </w:p>
        </w:tc>
        <w:tc>
          <w:tcPr>
            <w:tcW w:w="1697"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rPr>
                <w:b/>
              </w:rPr>
            </w:pPr>
            <w:r w:rsidRPr="00074B82">
              <w:rPr>
                <w:b/>
              </w:rPr>
              <w:t>0.0</w:t>
            </w:r>
          </w:p>
        </w:tc>
        <w:tc>
          <w:tcPr>
            <w:tcW w:w="1698" w:type="dxa"/>
            <w:tcBorders>
              <w:top w:val="single" w:sz="4" w:space="0" w:color="auto"/>
              <w:left w:val="nil"/>
              <w:bottom w:val="single" w:sz="4" w:space="0" w:color="auto"/>
              <w:right w:val="nil"/>
            </w:tcBorders>
            <w:shd w:val="clear" w:color="auto" w:fill="auto"/>
            <w:noWrap/>
            <w:hideMark/>
          </w:tcPr>
          <w:p w:rsidR="00BF252F" w:rsidRPr="00074B82" w:rsidRDefault="00BF252F" w:rsidP="00074B82">
            <w:pPr>
              <w:pStyle w:val="Tabletext"/>
              <w:tabs>
                <w:tab w:val="decimal" w:pos="737"/>
              </w:tabs>
              <w:rPr>
                <w:b/>
              </w:rPr>
            </w:pPr>
            <w:r w:rsidRPr="00074B82">
              <w:rPr>
                <w:b/>
              </w:rPr>
              <w:t>0.0</w:t>
            </w:r>
          </w:p>
        </w:tc>
      </w:tr>
    </w:tbl>
    <w:p w:rsidR="00A470EA" w:rsidRDefault="00A470EA" w:rsidP="00074B82">
      <w:pPr>
        <w:pStyle w:val="Textmorebefore"/>
      </w:pPr>
      <w:r>
        <w:t xml:space="preserve">Casual inspection indicates that the estimates of participation rates based on </w:t>
      </w:r>
      <w:r w:rsidR="009E220B">
        <w:t>statistical local areas</w:t>
      </w:r>
      <w:r>
        <w:t xml:space="preserve"> are better behaved than those based on </w:t>
      </w:r>
      <w:r w:rsidR="009E220B">
        <w:t>postal areas</w:t>
      </w:r>
      <w:r>
        <w:t xml:space="preserve">. We show this in two ways. </w:t>
      </w:r>
      <w:r w:rsidR="00736E9F">
        <w:t>I</w:t>
      </w:r>
      <w:r>
        <w:t xml:space="preserve">n figures </w:t>
      </w:r>
      <w:r w:rsidR="0003597A">
        <w:t>2</w:t>
      </w:r>
      <w:r w:rsidR="009E220B">
        <w:t>—</w:t>
      </w:r>
      <w:r w:rsidR="0003597A">
        <w:t>4</w:t>
      </w:r>
      <w:r>
        <w:t xml:space="preserve"> we plot the </w:t>
      </w:r>
      <w:r w:rsidR="00E654C4">
        <w:t>‘</w:t>
      </w:r>
      <w:r>
        <w:t>apparent</w:t>
      </w:r>
      <w:r w:rsidR="00E654C4">
        <w:t>’</w:t>
      </w:r>
      <w:r w:rsidR="009E220B">
        <w:t xml:space="preserve"> </w:t>
      </w:r>
      <w:r>
        <w:t>2011 participation rates (</w:t>
      </w:r>
      <w:r w:rsidR="009E220B">
        <w:t>that is,</w:t>
      </w:r>
      <w:r>
        <w:t xml:space="preserve"> based on 2006 quintiles) and the actual participation rates (</w:t>
      </w:r>
      <w:r w:rsidR="009E220B">
        <w:t>that is,</w:t>
      </w:r>
      <w:r>
        <w:t xml:space="preserve"> based on 2011 quintiles)</w:t>
      </w:r>
      <w:r w:rsidR="00736E9F">
        <w:t>. We then plot the estimates of change between 2006 and 2011 against the actual change over this period</w:t>
      </w:r>
      <w:r w:rsidR="0002480D">
        <w:t xml:space="preserve"> (figure 5)</w:t>
      </w:r>
      <w:r w:rsidR="00736E9F">
        <w:t>.</w:t>
      </w:r>
    </w:p>
    <w:p w:rsidR="00311CCC" w:rsidRDefault="00780A79" w:rsidP="00780A79">
      <w:pPr>
        <w:pStyle w:val="Figuretitle"/>
        <w:ind w:right="-284"/>
      </w:pPr>
      <w:bookmarkStart w:id="55" w:name="_Toc383616077"/>
      <w:r>
        <w:rPr>
          <w:noProof/>
          <w:lang w:eastAsia="en-AU"/>
        </w:rPr>
        <w:drawing>
          <wp:anchor distT="0" distB="0" distL="114300" distR="114300" simplePos="0" relativeHeight="251698176" behindDoc="0" locked="0" layoutInCell="1" allowOverlap="1">
            <wp:simplePos x="0" y="0"/>
            <wp:positionH relativeFrom="column">
              <wp:posOffset>13970</wp:posOffset>
            </wp:positionH>
            <wp:positionV relativeFrom="paragraph">
              <wp:posOffset>652780</wp:posOffset>
            </wp:positionV>
            <wp:extent cx="4800600" cy="2743200"/>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11CCC">
        <w:t xml:space="preserve">Figure </w:t>
      </w:r>
      <w:r w:rsidR="0003597A">
        <w:t>2</w:t>
      </w:r>
      <w:r w:rsidR="00074B82">
        <w:tab/>
      </w:r>
      <w:r w:rsidR="00311CCC">
        <w:t>Apparent and actual VET partic</w:t>
      </w:r>
      <w:r w:rsidR="00CC2A11">
        <w:t>ipation rates for those aged 15–</w:t>
      </w:r>
      <w:r w:rsidR="00311CCC">
        <w:t xml:space="preserve">19 years, </w:t>
      </w:r>
      <w:r w:rsidR="0050244E">
        <w:br/>
      </w:r>
      <w:r w:rsidR="00311CCC">
        <w:t>by SES quintile, 2011</w:t>
      </w:r>
      <w:bookmarkEnd w:id="55"/>
    </w:p>
    <w:p w:rsidR="00311CCC" w:rsidRDefault="00311CCC" w:rsidP="00C244B4">
      <w:pPr>
        <w:pStyle w:val="Text"/>
      </w:pPr>
    </w:p>
    <w:p w:rsidR="00311CCC" w:rsidRPr="000E0982" w:rsidRDefault="00411DA0" w:rsidP="00780A79">
      <w:pPr>
        <w:pStyle w:val="Figuretitle"/>
        <w:ind w:right="-284"/>
      </w:pPr>
      <w:r>
        <w:br w:type="page"/>
      </w:r>
      <w:bookmarkStart w:id="56" w:name="_Toc383616078"/>
      <w:r w:rsidR="00780A79">
        <w:rPr>
          <w:noProof/>
          <w:lang w:eastAsia="en-AU"/>
        </w:rPr>
        <w:lastRenderedPageBreak/>
        <w:drawing>
          <wp:anchor distT="0" distB="0" distL="114300" distR="114300" simplePos="0" relativeHeight="251700224" behindDoc="0" locked="0" layoutInCell="1" allowOverlap="1">
            <wp:simplePos x="0" y="0"/>
            <wp:positionH relativeFrom="column">
              <wp:posOffset>5715</wp:posOffset>
            </wp:positionH>
            <wp:positionV relativeFrom="paragraph">
              <wp:posOffset>608965</wp:posOffset>
            </wp:positionV>
            <wp:extent cx="4800600" cy="2790825"/>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311CCC" w:rsidRPr="000E0982">
        <w:t xml:space="preserve">Figure </w:t>
      </w:r>
      <w:r w:rsidR="0003597A" w:rsidRPr="000E0982">
        <w:t>3</w:t>
      </w:r>
      <w:r w:rsidR="00F70DCC">
        <w:tab/>
      </w:r>
      <w:r w:rsidR="00311CCC" w:rsidRPr="000E0982">
        <w:t>Apparent and actual VET partic</w:t>
      </w:r>
      <w:r w:rsidR="009E220B" w:rsidRPr="000E0982">
        <w:t xml:space="preserve">ipation </w:t>
      </w:r>
      <w:r w:rsidR="00CC2A11">
        <w:t>rates for those aged 20</w:t>
      </w:r>
      <w:r w:rsidR="00CC2A11">
        <w:rPr>
          <w:rFonts w:cs="Tahoma"/>
        </w:rPr>
        <w:t>–</w:t>
      </w:r>
      <w:r w:rsidR="00311CCC" w:rsidRPr="000E0982">
        <w:t xml:space="preserve">24 years, </w:t>
      </w:r>
      <w:r w:rsidR="0050244E">
        <w:br/>
      </w:r>
      <w:r w:rsidR="00311CCC" w:rsidRPr="000E0982">
        <w:t>by SES quintile, 2011</w:t>
      </w:r>
      <w:bookmarkEnd w:id="56"/>
    </w:p>
    <w:p w:rsidR="00311CCC" w:rsidRDefault="00780A79" w:rsidP="0050244E">
      <w:pPr>
        <w:pStyle w:val="Figuretitle"/>
        <w:spacing w:before="560"/>
        <w:ind w:right="-425"/>
      </w:pPr>
      <w:bookmarkStart w:id="57" w:name="_Toc383616079"/>
      <w:r>
        <w:rPr>
          <w:noProof/>
          <w:lang w:eastAsia="en-AU"/>
        </w:rPr>
        <w:drawing>
          <wp:anchor distT="0" distB="0" distL="114300" distR="114300" simplePos="0" relativeHeight="251702272" behindDoc="1" locked="0" layoutInCell="1" allowOverlap="1">
            <wp:simplePos x="0" y="0"/>
            <wp:positionH relativeFrom="column">
              <wp:posOffset>5715</wp:posOffset>
            </wp:positionH>
            <wp:positionV relativeFrom="paragraph">
              <wp:posOffset>3618865</wp:posOffset>
            </wp:positionV>
            <wp:extent cx="4800600" cy="274320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11CCC">
        <w:t xml:space="preserve">Figure </w:t>
      </w:r>
      <w:r w:rsidR="0003597A">
        <w:t>4</w:t>
      </w:r>
      <w:r w:rsidR="00F70DCC">
        <w:tab/>
      </w:r>
      <w:r w:rsidR="00311CCC">
        <w:t>Apparent and actual VET partic</w:t>
      </w:r>
      <w:r w:rsidR="00CC2A11">
        <w:t>ipation rates for those aged 24</w:t>
      </w:r>
      <w:r w:rsidR="00CC2A11">
        <w:rPr>
          <w:rFonts w:cs="Tahoma"/>
        </w:rPr>
        <w:t>–</w:t>
      </w:r>
      <w:r w:rsidR="00311CCC">
        <w:t xml:space="preserve">64 years, </w:t>
      </w:r>
      <w:r w:rsidR="0050244E">
        <w:br/>
      </w:r>
      <w:r w:rsidR="00311CCC">
        <w:t>by SES quintile, 2011</w:t>
      </w:r>
      <w:bookmarkEnd w:id="57"/>
      <w:r w:rsidR="00311CCC">
        <w:t xml:space="preserve"> </w:t>
      </w:r>
    </w:p>
    <w:p w:rsidR="00311CCC" w:rsidRDefault="00311CCC" w:rsidP="0050244E">
      <w:pPr>
        <w:pStyle w:val="Textmorebefore"/>
        <w:spacing w:before="560"/>
      </w:pPr>
      <w:r>
        <w:t>We see that</w:t>
      </w:r>
      <w:r w:rsidR="009E220B">
        <w:t>,</w:t>
      </w:r>
      <w:r>
        <w:t xml:space="preserve"> on the whole</w:t>
      </w:r>
      <w:r w:rsidR="009E220B">
        <w:t>,</w:t>
      </w:r>
      <w:r>
        <w:t xml:space="preserve"> the participation rates for 2011</w:t>
      </w:r>
      <w:r w:rsidR="009E220B">
        <w:t>,</w:t>
      </w:r>
      <w:r>
        <w:t xml:space="preserve"> which would have been estimated using the 2006 quintiles</w:t>
      </w:r>
      <w:r w:rsidR="009E220B">
        <w:t>,</w:t>
      </w:r>
      <w:r>
        <w:t xml:space="preserve"> line up </w:t>
      </w:r>
      <w:r w:rsidR="00A506A5">
        <w:t>quite</w:t>
      </w:r>
      <w:r>
        <w:t xml:space="preserve"> well, although there are some discrepancies. In figure </w:t>
      </w:r>
      <w:r w:rsidR="0003597A">
        <w:t>5</w:t>
      </w:r>
      <w:r>
        <w:t xml:space="preserve">, we plot the changes between 2006 and 2011 </w:t>
      </w:r>
      <w:r w:rsidR="00AD6E4C">
        <w:t xml:space="preserve">for the 15—24 years age group </w:t>
      </w:r>
      <w:r>
        <w:t>by SES quintile observations. As can be seen</w:t>
      </w:r>
      <w:r w:rsidR="00E513F9">
        <w:t>,</w:t>
      </w:r>
      <w:r>
        <w:t xml:space="preserve"> the estimates of change based on the 2006 quintiles give a good indication of the actual changes</w:t>
      </w:r>
    </w:p>
    <w:p w:rsidR="00411DA0" w:rsidRDefault="00411DA0" w:rsidP="00C244B4">
      <w:pPr>
        <w:pStyle w:val="Text"/>
        <w:rPr>
          <w:rFonts w:ascii="Tahoma" w:hAnsi="Tahoma"/>
          <w:sz w:val="17"/>
        </w:rPr>
      </w:pPr>
      <w:r>
        <w:br w:type="page"/>
      </w:r>
    </w:p>
    <w:p w:rsidR="00853259" w:rsidRDefault="00BB551D" w:rsidP="00662731">
      <w:pPr>
        <w:pStyle w:val="Figuretitle"/>
      </w:pPr>
      <w:bookmarkStart w:id="58" w:name="_Toc383616080"/>
      <w:r>
        <w:rPr>
          <w:noProof/>
          <w:lang w:eastAsia="en-AU"/>
        </w:rPr>
        <w:lastRenderedPageBreak/>
        <w:drawing>
          <wp:anchor distT="0" distB="0" distL="114300" distR="114300" simplePos="0" relativeHeight="251704320" behindDoc="0" locked="0" layoutInCell="1" allowOverlap="1">
            <wp:simplePos x="0" y="0"/>
            <wp:positionH relativeFrom="column">
              <wp:posOffset>33020</wp:posOffset>
            </wp:positionH>
            <wp:positionV relativeFrom="paragraph">
              <wp:posOffset>427990</wp:posOffset>
            </wp:positionV>
            <wp:extent cx="5286375" cy="2847975"/>
            <wp:effectExtent l="19050" t="0" r="9525"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53259">
        <w:t xml:space="preserve">Figure </w:t>
      </w:r>
      <w:r w:rsidR="0003597A">
        <w:t>5</w:t>
      </w:r>
      <w:r w:rsidR="00662731">
        <w:tab/>
      </w:r>
      <w:r w:rsidR="00853259">
        <w:t>Actual and apparent changes in VET participation f</w:t>
      </w:r>
      <w:r w:rsidR="00E513F9">
        <w:t>or age by SES quintiles, 2006—</w:t>
      </w:r>
      <w:r w:rsidR="00853259">
        <w:t xml:space="preserve">11, </w:t>
      </w:r>
      <w:r w:rsidR="0050244E">
        <w:br/>
      </w:r>
      <w:r w:rsidR="00853259">
        <w:t>SE</w:t>
      </w:r>
      <w:r w:rsidR="0003597A">
        <w:t>IFA</w:t>
      </w:r>
      <w:r w:rsidR="00853259">
        <w:t xml:space="preserve">, </w:t>
      </w:r>
      <w:r w:rsidR="00E513F9">
        <w:t xml:space="preserve">statistical local areas </w:t>
      </w:r>
      <w:r w:rsidR="00853259">
        <w:t>(percentage points)</w:t>
      </w:r>
      <w:bookmarkEnd w:id="58"/>
    </w:p>
    <w:p w:rsidR="00311CCC" w:rsidRDefault="00736E9F" w:rsidP="00CC2A11">
      <w:pPr>
        <w:pStyle w:val="Textmorebefore"/>
        <w:spacing w:before="460"/>
      </w:pPr>
      <w:r>
        <w:t>Thus our conclusion is that the estimates based on the SLA quintiles capture the changes in VET participation within the SES quintiles satisfactorily.</w:t>
      </w:r>
    </w:p>
    <w:p w:rsidR="00736E9F" w:rsidRDefault="00736E9F" w:rsidP="00A470EA">
      <w:pPr>
        <w:pStyle w:val="Text"/>
        <w:tabs>
          <w:tab w:val="left" w:pos="1360"/>
        </w:tabs>
      </w:pPr>
      <w:r>
        <w:t xml:space="preserve">It is difficult to deduce why the </w:t>
      </w:r>
      <w:r w:rsidR="00E513F9">
        <w:t>statistical local area</w:t>
      </w:r>
      <w:r>
        <w:t xml:space="preserve"> estimates are so much more satisfactory than the </w:t>
      </w:r>
      <w:r w:rsidR="00E513F9">
        <w:t>postal area</w:t>
      </w:r>
      <w:r>
        <w:t xml:space="preserve"> estimates. The POA classification is more detailed </w:t>
      </w:r>
      <w:r w:rsidR="00925756">
        <w:t xml:space="preserve">than the SLA classification </w:t>
      </w:r>
      <w:r>
        <w:t xml:space="preserve">and we have seen that the level of </w:t>
      </w:r>
      <w:r w:rsidR="007C58C7">
        <w:t>re</w:t>
      </w:r>
      <w:r>
        <w:t>classification in 2011</w:t>
      </w:r>
      <w:r w:rsidR="00925756">
        <w:t xml:space="preserve"> using 2006 quintiles is higher than that for </w:t>
      </w:r>
      <w:r w:rsidR="00E513F9">
        <w:t>statistical local areas</w:t>
      </w:r>
      <w:r w:rsidR="00925756">
        <w:t>. Thus it appears that the robustness of estimates may well depend on the level of the classification. If this is the case</w:t>
      </w:r>
      <w:r w:rsidR="00E513F9">
        <w:t>,</w:t>
      </w:r>
      <w:r w:rsidR="00925756">
        <w:t xml:space="preserve"> then our analysis would suggest that continued use of an SLA or equivalent classification should provide satisfactory estimates of VET participation for SE</w:t>
      </w:r>
      <w:r w:rsidR="00AB07C7">
        <w:t>S</w:t>
      </w:r>
      <w:r w:rsidR="00925756">
        <w:t xml:space="preserve"> quintiles</w:t>
      </w:r>
      <w:r w:rsidR="00411DA0">
        <w:t xml:space="preserve"> but a finer classification may be problematic</w:t>
      </w:r>
      <w:r w:rsidR="00925756">
        <w:t>.</w:t>
      </w:r>
    </w:p>
    <w:p w:rsidR="003872BA" w:rsidRDefault="003872BA" w:rsidP="00065CD2">
      <w:pPr>
        <w:pStyle w:val="Heading2"/>
      </w:pPr>
      <w:bookmarkStart w:id="59" w:name="_Toc383615933"/>
      <w:r>
        <w:t>Estimates at the qualification level</w:t>
      </w:r>
      <w:bookmarkEnd w:id="59"/>
    </w:p>
    <w:p w:rsidR="003872BA" w:rsidRPr="00662731" w:rsidRDefault="003872BA" w:rsidP="00662731">
      <w:pPr>
        <w:pStyle w:val="Text"/>
      </w:pPr>
      <w:r>
        <w:t xml:space="preserve">We conclude our empirical analysis by comparing for 2011 the estimates based on the 2006 quintiles with the actual participation rates based on the 2011 quintiles for each qualification and for each of our three age groups. Given our earlier finding that the SLA estimates were more satisfactory than the POA estimates, we present only the data based on </w:t>
      </w:r>
      <w:r w:rsidR="00E513F9" w:rsidRPr="00662731">
        <w:t>statistical local areas</w:t>
      </w:r>
      <w:r w:rsidRPr="00662731">
        <w:t>.</w:t>
      </w:r>
    </w:p>
    <w:p w:rsidR="003872BA" w:rsidRDefault="007C58C7" w:rsidP="00662731">
      <w:pPr>
        <w:pStyle w:val="Text"/>
      </w:pPr>
      <w:r w:rsidRPr="00662731">
        <w:t>For brevity, t</w:t>
      </w:r>
      <w:r w:rsidR="003872BA" w:rsidRPr="00662731">
        <w:t xml:space="preserve">he complete tables are </w:t>
      </w:r>
      <w:r w:rsidRPr="00662731">
        <w:t xml:space="preserve">not </w:t>
      </w:r>
      <w:r w:rsidR="003872BA" w:rsidRPr="00662731">
        <w:t>presented</w:t>
      </w:r>
      <w:r w:rsidR="00E513F9" w:rsidRPr="00662731">
        <w:t>.</w:t>
      </w:r>
      <w:r w:rsidR="003872BA" w:rsidRPr="00662731">
        <w:t xml:space="preserve"> </w:t>
      </w:r>
      <w:r w:rsidR="00E513F9" w:rsidRPr="00662731">
        <w:t>(T</w:t>
      </w:r>
      <w:r w:rsidRPr="00662731">
        <w:t>he</w:t>
      </w:r>
      <w:r>
        <w:t>y are available upon request</w:t>
      </w:r>
      <w:r w:rsidR="00E513F9">
        <w:t>.</w:t>
      </w:r>
      <w:r>
        <w:t>)</w:t>
      </w:r>
      <w:r w:rsidR="003872BA">
        <w:t xml:space="preserve"> </w:t>
      </w:r>
      <w:r>
        <w:t>W</w:t>
      </w:r>
      <w:r w:rsidR="003872BA">
        <w:t xml:space="preserve">e </w:t>
      </w:r>
      <w:r>
        <w:t xml:space="preserve">do </w:t>
      </w:r>
      <w:r w:rsidR="003872BA">
        <w:t>present a gra</w:t>
      </w:r>
      <w:r w:rsidR="00F72DDD">
        <w:t>phical summary of the results. F</w:t>
      </w:r>
      <w:r w:rsidR="003872BA">
        <w:t>or each age group we present t</w:t>
      </w:r>
      <w:r w:rsidR="00F72DDD">
        <w:t>w</w:t>
      </w:r>
      <w:r w:rsidR="003872BA">
        <w:t>o graphs. The first compares the estimates for 2011 based on the 2006 SES quintiles with the actu</w:t>
      </w:r>
      <w:r w:rsidR="00F72DDD">
        <w:t>a</w:t>
      </w:r>
      <w:r w:rsidR="003872BA">
        <w:t>l participation rates based on the 2011 SES quintiles. For each age group there are 35 observations (</w:t>
      </w:r>
      <w:r w:rsidR="00E513F9">
        <w:t>five</w:t>
      </w:r>
      <w:r w:rsidR="003872BA">
        <w:t xml:space="preserve"> quintiles by </w:t>
      </w:r>
      <w:r w:rsidR="00E513F9">
        <w:t>seven</w:t>
      </w:r>
      <w:r w:rsidR="003872BA">
        <w:t xml:space="preserve"> qualifications). The second graph presents the estimates of the change between 2006 and 2011: the actual change is derived from the 2011 estimate based on 2011 quintiles and the 2006 estimate based on the 2006 quintiles; the apparent change uses the same base (</w:t>
      </w:r>
      <w:r w:rsidR="00E513F9">
        <w:t>that is,</w:t>
      </w:r>
      <w:r w:rsidR="003872BA">
        <w:t xml:space="preserve"> 2006 estimate based on 2006 quintiles) but for 2011 uses the 2006 quintiles. As</w:t>
      </w:r>
      <w:r w:rsidR="00F72DDD">
        <w:t xml:space="preserve"> in the first graph</w:t>
      </w:r>
      <w:r w:rsidR="003872BA">
        <w:t xml:space="preserve"> there are 35 observations for each age group.</w:t>
      </w:r>
    </w:p>
    <w:p w:rsidR="00B01C59" w:rsidRDefault="00B01C59" w:rsidP="00C244B4">
      <w:pPr>
        <w:pStyle w:val="Text"/>
      </w:pPr>
      <w:r>
        <w:br w:type="page"/>
      </w:r>
    </w:p>
    <w:p w:rsidR="004F09D0" w:rsidRDefault="00780A79" w:rsidP="00662731">
      <w:pPr>
        <w:pStyle w:val="Figuretitle"/>
      </w:pPr>
      <w:bookmarkStart w:id="60" w:name="_Toc383616081"/>
      <w:r>
        <w:rPr>
          <w:noProof/>
          <w:lang w:eastAsia="en-AU"/>
        </w:rPr>
        <w:lastRenderedPageBreak/>
        <w:drawing>
          <wp:anchor distT="0" distB="0" distL="114300" distR="114300" simplePos="0" relativeHeight="251706368" behindDoc="0" locked="0" layoutInCell="1" allowOverlap="1" wp14:anchorId="01055370" wp14:editId="445E906E">
            <wp:simplePos x="0" y="0"/>
            <wp:positionH relativeFrom="column">
              <wp:posOffset>-3810</wp:posOffset>
            </wp:positionH>
            <wp:positionV relativeFrom="paragraph">
              <wp:posOffset>380365</wp:posOffset>
            </wp:positionV>
            <wp:extent cx="4991100" cy="3219450"/>
            <wp:effectExtent l="19050" t="0" r="19050" b="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4F09D0">
        <w:t>Figure</w:t>
      </w:r>
      <w:r w:rsidR="000B4BE1">
        <w:t xml:space="preserve"> </w:t>
      </w:r>
      <w:r w:rsidR="00F36013">
        <w:t>6</w:t>
      </w:r>
      <w:r w:rsidR="00662731">
        <w:tab/>
      </w:r>
      <w:r w:rsidR="004F09D0">
        <w:t>VET qualification participation rate</w:t>
      </w:r>
      <w:r w:rsidR="0050244E">
        <w:t>s by SES quintiles for 2011, 15</w:t>
      </w:r>
      <w:r w:rsidR="0050244E">
        <w:rPr>
          <w:rFonts w:cs="Tahoma"/>
        </w:rPr>
        <w:t>–</w:t>
      </w:r>
      <w:r w:rsidR="004F09D0">
        <w:t xml:space="preserve">19 years, actual </w:t>
      </w:r>
      <w:r w:rsidR="0050244E">
        <w:br/>
      </w:r>
      <w:r w:rsidR="004F09D0">
        <w:t>(2011 quintiles) and apparent (2006 quintiles)</w:t>
      </w:r>
      <w:bookmarkEnd w:id="60"/>
    </w:p>
    <w:p w:rsidR="004F09D0" w:rsidRDefault="00780A79" w:rsidP="0050244E">
      <w:pPr>
        <w:pStyle w:val="Figuretitle"/>
        <w:spacing w:before="560"/>
      </w:pPr>
      <w:bookmarkStart w:id="61" w:name="_Toc383616082"/>
      <w:r>
        <w:rPr>
          <w:noProof/>
          <w:lang w:eastAsia="en-AU"/>
        </w:rPr>
        <w:drawing>
          <wp:anchor distT="0" distB="0" distL="114300" distR="114300" simplePos="0" relativeHeight="251708416" behindDoc="0" locked="0" layoutInCell="1" allowOverlap="1">
            <wp:simplePos x="0" y="0"/>
            <wp:positionH relativeFrom="column">
              <wp:posOffset>24765</wp:posOffset>
            </wp:positionH>
            <wp:positionV relativeFrom="paragraph">
              <wp:posOffset>4164965</wp:posOffset>
            </wp:positionV>
            <wp:extent cx="4962525" cy="2876550"/>
            <wp:effectExtent l="0" t="0" r="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4F09D0">
        <w:t xml:space="preserve">Figure </w:t>
      </w:r>
      <w:r w:rsidR="00F36013">
        <w:t>7</w:t>
      </w:r>
      <w:r w:rsidR="00662731">
        <w:tab/>
      </w:r>
      <w:r w:rsidR="004F09D0">
        <w:t>Changes between 2006 and 2011 in VET qualification participa</w:t>
      </w:r>
      <w:r w:rsidR="0050244E">
        <w:t xml:space="preserve">tion rates by SES </w:t>
      </w:r>
      <w:r w:rsidR="0050244E">
        <w:br/>
        <w:t>quintiles, 15</w:t>
      </w:r>
      <w:r w:rsidR="0050244E">
        <w:rPr>
          <w:rFonts w:cs="Tahoma"/>
        </w:rPr>
        <w:t>–</w:t>
      </w:r>
      <w:r w:rsidR="004F09D0">
        <w:t xml:space="preserve">19 years, actual (2011 based on 2011 quintiles) and apparent (2011 </w:t>
      </w:r>
      <w:r w:rsidR="0050244E">
        <w:br/>
      </w:r>
      <w:r w:rsidR="004F09D0">
        <w:t>based on 2006 quintiles)</w:t>
      </w:r>
      <w:bookmarkEnd w:id="61"/>
    </w:p>
    <w:p w:rsidR="00B01C59" w:rsidRDefault="00B01C59" w:rsidP="004F09D0">
      <w:pPr>
        <w:pStyle w:val="Text"/>
        <w:tabs>
          <w:tab w:val="left" w:pos="1360"/>
        </w:tabs>
      </w:pPr>
    </w:p>
    <w:p w:rsidR="00065CD2" w:rsidRDefault="00065CD2" w:rsidP="00C244B4">
      <w:pPr>
        <w:pStyle w:val="Text"/>
      </w:pPr>
      <w:r>
        <w:br w:type="page"/>
      </w:r>
    </w:p>
    <w:p w:rsidR="004F09D0" w:rsidRDefault="00780A79" w:rsidP="00662731">
      <w:pPr>
        <w:pStyle w:val="Figuretitle"/>
      </w:pPr>
      <w:bookmarkStart w:id="62" w:name="_Toc383616083"/>
      <w:r>
        <w:rPr>
          <w:noProof/>
          <w:lang w:eastAsia="en-AU"/>
        </w:rPr>
        <w:lastRenderedPageBreak/>
        <w:drawing>
          <wp:anchor distT="0" distB="0" distL="114300" distR="114300" simplePos="0" relativeHeight="251710464" behindDoc="0" locked="0" layoutInCell="1" allowOverlap="1">
            <wp:simplePos x="0" y="0"/>
            <wp:positionH relativeFrom="column">
              <wp:posOffset>13970</wp:posOffset>
            </wp:positionH>
            <wp:positionV relativeFrom="paragraph">
              <wp:posOffset>380365</wp:posOffset>
            </wp:positionV>
            <wp:extent cx="5572125" cy="3333750"/>
            <wp:effectExtent l="19050" t="0" r="9525"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F09D0">
        <w:t xml:space="preserve">Figure </w:t>
      </w:r>
      <w:r w:rsidR="00F36013">
        <w:t>8</w:t>
      </w:r>
      <w:r w:rsidR="00662731">
        <w:tab/>
      </w:r>
      <w:r w:rsidR="004F09D0">
        <w:t>VET qualification participation rates by</w:t>
      </w:r>
      <w:r w:rsidR="0050244E">
        <w:t xml:space="preserve"> SES quintiles for 2011, 20</w:t>
      </w:r>
      <w:r w:rsidR="0050244E">
        <w:rPr>
          <w:rFonts w:cs="Tahoma"/>
        </w:rPr>
        <w:t>–</w:t>
      </w:r>
      <w:r w:rsidR="004F09D0">
        <w:t>24 years, actual (2011 quintiles) and apparent (2006 quintiles)</w:t>
      </w:r>
      <w:bookmarkEnd w:id="62"/>
    </w:p>
    <w:p w:rsidR="004F09D0" w:rsidRDefault="004F09D0" w:rsidP="00CC2A11">
      <w:pPr>
        <w:pStyle w:val="Figuretitle"/>
        <w:spacing w:before="460"/>
      </w:pPr>
      <w:bookmarkStart w:id="63" w:name="_Toc383616084"/>
      <w:r>
        <w:t xml:space="preserve">Figure </w:t>
      </w:r>
      <w:r w:rsidR="00F36013">
        <w:t>9</w:t>
      </w:r>
      <w:r w:rsidR="00662731">
        <w:tab/>
      </w:r>
      <w:r>
        <w:t>Changes between 2006 and 2011 in VET qualification participa</w:t>
      </w:r>
      <w:r w:rsidR="00E513F9">
        <w:t>tion rates by SES</w:t>
      </w:r>
      <w:r w:rsidR="00DE5CE6">
        <w:t xml:space="preserve"> quintiles, 20</w:t>
      </w:r>
      <w:r w:rsidR="00DE5CE6">
        <w:rPr>
          <w:rFonts w:cs="Tahoma"/>
        </w:rPr>
        <w:t>–</w:t>
      </w:r>
      <w:r>
        <w:t>24 years, actual (2011 based on 2011 quintiles) and apparent (2011 based on 2006 quintiles)</w:t>
      </w:r>
      <w:bookmarkEnd w:id="63"/>
    </w:p>
    <w:p w:rsidR="00B01C59" w:rsidRDefault="00AD5AFA" w:rsidP="00A470EA">
      <w:pPr>
        <w:pStyle w:val="Text"/>
        <w:tabs>
          <w:tab w:val="left" w:pos="1360"/>
        </w:tabs>
      </w:pPr>
      <w:r>
        <w:rPr>
          <w:noProof/>
          <w:lang w:eastAsia="en-AU"/>
        </w:rPr>
        <w:drawing>
          <wp:anchor distT="0" distB="0" distL="114300" distR="114300" simplePos="0" relativeHeight="251712512" behindDoc="0" locked="0" layoutInCell="1" allowOverlap="1">
            <wp:simplePos x="0" y="0"/>
            <wp:positionH relativeFrom="column">
              <wp:posOffset>13970</wp:posOffset>
            </wp:positionH>
            <wp:positionV relativeFrom="paragraph">
              <wp:posOffset>66040</wp:posOffset>
            </wp:positionV>
            <wp:extent cx="5476875" cy="3105150"/>
            <wp:effectExtent l="19050" t="0" r="9525" b="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01C59" w:rsidRDefault="00B01C59" w:rsidP="00C244B4">
      <w:pPr>
        <w:pStyle w:val="Text"/>
      </w:pPr>
      <w:r>
        <w:br w:type="page"/>
      </w:r>
    </w:p>
    <w:p w:rsidR="004F09D0" w:rsidRDefault="00780A79" w:rsidP="00662731">
      <w:pPr>
        <w:pStyle w:val="Figuretitle"/>
      </w:pPr>
      <w:bookmarkStart w:id="64" w:name="_Toc383616085"/>
      <w:r>
        <w:rPr>
          <w:noProof/>
          <w:lang w:eastAsia="en-AU"/>
        </w:rPr>
        <w:lastRenderedPageBreak/>
        <w:drawing>
          <wp:anchor distT="0" distB="0" distL="114300" distR="114300" simplePos="0" relativeHeight="251714560" behindDoc="0" locked="0" layoutInCell="1" allowOverlap="1">
            <wp:simplePos x="0" y="0"/>
            <wp:positionH relativeFrom="column">
              <wp:posOffset>5715</wp:posOffset>
            </wp:positionH>
            <wp:positionV relativeFrom="paragraph">
              <wp:posOffset>399415</wp:posOffset>
            </wp:positionV>
            <wp:extent cx="5114925" cy="3362325"/>
            <wp:effectExtent l="19050" t="0" r="9525"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4F09D0">
        <w:t xml:space="preserve">Figure </w:t>
      </w:r>
      <w:r w:rsidR="00065CD2">
        <w:t>1</w:t>
      </w:r>
      <w:r w:rsidR="00F36013">
        <w:t>0</w:t>
      </w:r>
      <w:r w:rsidR="00662731">
        <w:tab/>
      </w:r>
      <w:r w:rsidR="004F09D0">
        <w:t>VET qualification participation rate</w:t>
      </w:r>
      <w:r w:rsidR="0050244E">
        <w:t>s by SES quintiles for 2011, 25</w:t>
      </w:r>
      <w:r w:rsidR="0050244E">
        <w:rPr>
          <w:rFonts w:cs="Tahoma"/>
        </w:rPr>
        <w:t>–</w:t>
      </w:r>
      <w:r w:rsidR="004F09D0">
        <w:t>64 years, actual (2011 quintiles) and apparent (2006 quintiles)</w:t>
      </w:r>
      <w:bookmarkEnd w:id="64"/>
    </w:p>
    <w:p w:rsidR="004F09D0" w:rsidRDefault="0050244E" w:rsidP="0050244E">
      <w:pPr>
        <w:pStyle w:val="Figuretitle"/>
        <w:spacing w:before="460" w:after="0"/>
      </w:pPr>
      <w:bookmarkStart w:id="65" w:name="_Toc383616086"/>
      <w:r>
        <w:rPr>
          <w:noProof/>
          <w:lang w:eastAsia="en-AU"/>
        </w:rPr>
        <w:drawing>
          <wp:anchor distT="0" distB="0" distL="114300" distR="114300" simplePos="0" relativeHeight="251716608" behindDoc="0" locked="0" layoutInCell="1" allowOverlap="1" wp14:anchorId="5D4971EE" wp14:editId="65A4A5E7">
            <wp:simplePos x="0" y="0"/>
            <wp:positionH relativeFrom="column">
              <wp:posOffset>5715</wp:posOffset>
            </wp:positionH>
            <wp:positionV relativeFrom="paragraph">
              <wp:posOffset>4206240</wp:posOffset>
            </wp:positionV>
            <wp:extent cx="5305425" cy="3419475"/>
            <wp:effectExtent l="0" t="0" r="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4F09D0">
        <w:t xml:space="preserve">Figure </w:t>
      </w:r>
      <w:r w:rsidR="00F36013">
        <w:t>11</w:t>
      </w:r>
      <w:r w:rsidR="00662731">
        <w:tab/>
      </w:r>
      <w:r w:rsidR="004F09D0">
        <w:t>Changes between 2006 and 2011 in VET qualification participa</w:t>
      </w:r>
      <w:r w:rsidR="00CC2A11">
        <w:t>tion rates by SES quintiles, 25</w:t>
      </w:r>
      <w:r w:rsidR="00DE5CE6">
        <w:rPr>
          <w:rFonts w:cs="Tahoma"/>
        </w:rPr>
        <w:t>–</w:t>
      </w:r>
      <w:r w:rsidR="004F09D0">
        <w:t>64 years, actual (2011 based on 2011 quintiles) and apparent (2011 based on 2006 quintiles)</w:t>
      </w:r>
      <w:bookmarkEnd w:id="65"/>
    </w:p>
    <w:p w:rsidR="009A07DE" w:rsidRDefault="009A07DE" w:rsidP="00662731">
      <w:pPr>
        <w:pStyle w:val="Textmorebefore"/>
      </w:pPr>
    </w:p>
    <w:p w:rsidR="009A07DE" w:rsidRDefault="009A07DE">
      <w:pPr>
        <w:spacing w:before="0" w:line="240" w:lineRule="auto"/>
      </w:pPr>
      <w:r>
        <w:br w:type="page"/>
      </w:r>
    </w:p>
    <w:p w:rsidR="00564CB1" w:rsidRDefault="00065CD2" w:rsidP="00662731">
      <w:pPr>
        <w:pStyle w:val="Textmorebefore"/>
      </w:pPr>
      <w:r>
        <w:lastRenderedPageBreak/>
        <w:t>We see from the above graphs that the estimates for 2011 based on the 2006 SES quintiles (defined according to the SLA classification) are remarkably robust, even at this fine level of disaggregation</w:t>
      </w:r>
      <w:r w:rsidR="00564CB1">
        <w:t xml:space="preserve">. There is some noise, but the estimates for 2011 based on the 2006 quintiles are clearly quite satisfactory. Not only are the estimates of the 2011 levels reasonably accurate but so are the estimates of the change in </w:t>
      </w:r>
      <w:r w:rsidR="007348C6">
        <w:t>participation</w:t>
      </w:r>
      <w:r w:rsidR="00564CB1">
        <w:t xml:space="preserve"> between 2006 and 2011.</w:t>
      </w:r>
    </w:p>
    <w:p w:rsidR="00662731" w:rsidRDefault="00564CB1" w:rsidP="00662731">
      <w:pPr>
        <w:pStyle w:val="Text"/>
      </w:pPr>
      <w:r>
        <w:t>The only caveat with this analysis is that the population figures used in the analysis are the 2011 usual resident population numbers</w:t>
      </w:r>
      <w:r w:rsidR="00E513F9">
        <w:t>.</w:t>
      </w:r>
      <w:r w:rsidR="007C58C7">
        <w:rPr>
          <w:rStyle w:val="FootnoteReference"/>
        </w:rPr>
        <w:footnoteReference w:id="5"/>
      </w:r>
      <w:r>
        <w:t xml:space="preserve"> In practice, intercensal estimates will need </w:t>
      </w:r>
      <w:r w:rsidR="005E4BD8">
        <w:t>to use</w:t>
      </w:r>
      <w:r>
        <w:t xml:space="preserve"> estimated resident population, and this will introduce a further source of error. </w:t>
      </w:r>
      <w:r w:rsidRPr="00662731">
        <w:t>However</w:t>
      </w:r>
      <w:r>
        <w:t>, this source of error would still occur even if there w</w:t>
      </w:r>
      <w:r w:rsidR="00F36013">
        <w:t>ere</w:t>
      </w:r>
      <w:r>
        <w:t xml:space="preserve"> no </w:t>
      </w:r>
      <w:r w:rsidR="007348C6">
        <w:t>degradation</w:t>
      </w:r>
      <w:r>
        <w:t xml:space="preserve"> in the classification of areas to quintiles.</w:t>
      </w:r>
    </w:p>
    <w:p w:rsidR="00295707" w:rsidRDefault="00295707" w:rsidP="00564CB1">
      <w:pPr>
        <w:pStyle w:val="Text"/>
        <w:rPr>
          <w:rFonts w:ascii="Tahoma" w:hAnsi="Tahoma" w:cs="Tahoma"/>
          <w:color w:val="000000"/>
          <w:kern w:val="28"/>
          <w:sz w:val="56"/>
          <w:szCs w:val="56"/>
        </w:rPr>
      </w:pPr>
      <w:r>
        <w:br w:type="page"/>
      </w:r>
    </w:p>
    <w:p w:rsidR="0003597A" w:rsidRDefault="0003597A" w:rsidP="0003597A">
      <w:pPr>
        <w:pStyle w:val="Heading1"/>
      </w:pPr>
      <w:bookmarkStart w:id="66" w:name="_Toc383615934"/>
      <w:r>
        <w:lastRenderedPageBreak/>
        <w:t>VET participation in 2006 and 2011</w:t>
      </w:r>
      <w:bookmarkEnd w:id="66"/>
    </w:p>
    <w:p w:rsidR="0003597A" w:rsidRPr="00C56874" w:rsidRDefault="00F36013" w:rsidP="00C56874">
      <w:pPr>
        <w:pStyle w:val="Text"/>
      </w:pPr>
      <w:r>
        <w:t>To complete our analysis</w:t>
      </w:r>
      <w:r w:rsidR="0003597A">
        <w:t xml:space="preserve">, we present participation rates for 2006 and </w:t>
      </w:r>
      <w:r>
        <w:t xml:space="preserve">2011 </w:t>
      </w:r>
      <w:r w:rsidR="0003597A">
        <w:t>for each SES quintile</w:t>
      </w:r>
      <w:r>
        <w:t xml:space="preserve">, based on SEIFA defined by </w:t>
      </w:r>
      <w:r w:rsidR="005E4BD8">
        <w:t>statistical local area,</w:t>
      </w:r>
      <w:r>
        <w:t xml:space="preserve"> which we have shown to be robust over this period</w:t>
      </w:r>
      <w:r w:rsidR="0003597A">
        <w:t>. These rates, with the 2006 participation rates defined using 2006 SEIFA quintiles and the 2011 rates defined using the 2011 SEIFA quintiles</w:t>
      </w:r>
      <w:r w:rsidR="0002480D">
        <w:t>,</w:t>
      </w:r>
      <w:r w:rsidR="0003597A">
        <w:t xml:space="preserve"> can be reg</w:t>
      </w:r>
      <w:r>
        <w:t xml:space="preserve">arded as the </w:t>
      </w:r>
      <w:r w:rsidR="00963952">
        <w:t>definitive</w:t>
      </w:r>
      <w:r>
        <w:t xml:space="preserve"> measures of </w:t>
      </w:r>
      <w:r w:rsidR="00B43B1D">
        <w:t xml:space="preserve">VET </w:t>
      </w:r>
      <w:r>
        <w:t xml:space="preserve">participation by </w:t>
      </w:r>
      <w:r w:rsidR="005E4BD8">
        <w:t xml:space="preserve">socioeconomic </w:t>
      </w:r>
      <w:r w:rsidR="005E4BD8" w:rsidRPr="00C56874">
        <w:t>status</w:t>
      </w:r>
      <w:r w:rsidRPr="00C56874">
        <w:t>.</w:t>
      </w:r>
    </w:p>
    <w:p w:rsidR="0003597A" w:rsidRDefault="0003597A" w:rsidP="00C56874">
      <w:pPr>
        <w:pStyle w:val="Text"/>
      </w:pPr>
      <w:r w:rsidRPr="00C56874">
        <w:t xml:space="preserve">Tables </w:t>
      </w:r>
      <w:r w:rsidR="00F36013" w:rsidRPr="00C56874">
        <w:t>18</w:t>
      </w:r>
      <w:r w:rsidRPr="00C56874">
        <w:t xml:space="preserve"> and </w:t>
      </w:r>
      <w:r w:rsidR="00F36013" w:rsidRPr="00C56874">
        <w:t>19</w:t>
      </w:r>
      <w:r w:rsidRPr="00C56874">
        <w:t xml:space="preserve"> p</w:t>
      </w:r>
      <w:r>
        <w:t xml:space="preserve">resent </w:t>
      </w:r>
      <w:r w:rsidR="00B43B1D">
        <w:t xml:space="preserve">the </w:t>
      </w:r>
      <w:r>
        <w:t>participation rates by age group and quintile for 2006 and 2011, respectively</w:t>
      </w:r>
      <w:r w:rsidR="005E4BD8">
        <w:t>.</w:t>
      </w:r>
    </w:p>
    <w:p w:rsidR="0003597A" w:rsidRPr="0037307C" w:rsidRDefault="0003597A" w:rsidP="00C56874">
      <w:pPr>
        <w:pStyle w:val="tabletitle"/>
      </w:pPr>
      <w:bookmarkStart w:id="67" w:name="_Toc366142875"/>
      <w:bookmarkStart w:id="68" w:name="_Toc383616145"/>
      <w:r w:rsidRPr="0037307C">
        <w:t xml:space="preserve">Table </w:t>
      </w:r>
      <w:r w:rsidR="00292C54">
        <w:fldChar w:fldCharType="begin"/>
      </w:r>
      <w:r w:rsidR="00870B21">
        <w:instrText xml:space="preserve"> SEQ Table \* ARABIC </w:instrText>
      </w:r>
      <w:r w:rsidR="00292C54">
        <w:fldChar w:fldCharType="separate"/>
      </w:r>
      <w:r w:rsidR="00806DF3">
        <w:rPr>
          <w:noProof/>
        </w:rPr>
        <w:t>1</w:t>
      </w:r>
      <w:r w:rsidR="00292C54">
        <w:rPr>
          <w:noProof/>
        </w:rPr>
        <w:fldChar w:fldCharType="end"/>
      </w:r>
      <w:r w:rsidR="005E4BD8">
        <w:t>8</w:t>
      </w:r>
      <w:r w:rsidR="00C56874">
        <w:tab/>
      </w:r>
      <w:r w:rsidR="007655B7">
        <w:t>P</w:t>
      </w:r>
      <w:r w:rsidRPr="0037307C">
        <w:t>articipation in VET</w:t>
      </w:r>
      <w:r w:rsidR="007655B7">
        <w:t>,</w:t>
      </w:r>
      <w:r w:rsidRPr="0037307C">
        <w:t xml:space="preserve"> </w:t>
      </w:r>
      <w:r w:rsidR="007655B7">
        <w:t xml:space="preserve">15 to 19-year-olds, </w:t>
      </w:r>
      <w:r w:rsidRPr="0037307C">
        <w:t xml:space="preserve">by qualification and </w:t>
      </w:r>
      <w:r>
        <w:t>SES</w:t>
      </w:r>
      <w:r w:rsidRPr="0037307C">
        <w:t xml:space="preserve"> quintiles</w:t>
      </w:r>
      <w:r>
        <w:t>,</w:t>
      </w:r>
      <w:r w:rsidRPr="0037307C">
        <w:t xml:space="preserve"> </w:t>
      </w:r>
      <w:bookmarkEnd w:id="67"/>
      <w:r w:rsidR="005E4BD8" w:rsidRPr="00C56874">
        <w:t>statistical</w:t>
      </w:r>
      <w:r w:rsidR="005E4BD8">
        <w:t xml:space="preserve"> local areas</w:t>
      </w:r>
      <w:r>
        <w:t>, 2006</w:t>
      </w:r>
      <w:bookmarkEnd w:id="68"/>
    </w:p>
    <w:tbl>
      <w:tblPr>
        <w:tblW w:w="8789" w:type="dxa"/>
        <w:tblInd w:w="93" w:type="dxa"/>
        <w:tblLayout w:type="fixed"/>
        <w:tblLook w:val="04A0" w:firstRow="1" w:lastRow="0" w:firstColumn="1" w:lastColumn="0" w:noHBand="0" w:noVBand="1"/>
      </w:tblPr>
      <w:tblGrid>
        <w:gridCol w:w="2425"/>
        <w:gridCol w:w="1060"/>
        <w:gridCol w:w="1061"/>
        <w:gridCol w:w="1061"/>
        <w:gridCol w:w="1060"/>
        <w:gridCol w:w="1061"/>
        <w:gridCol w:w="1061"/>
      </w:tblGrid>
      <w:tr w:rsidR="00CA62A5" w:rsidRPr="009D6561" w:rsidTr="009D6561">
        <w:tc>
          <w:tcPr>
            <w:tcW w:w="2425" w:type="dxa"/>
            <w:tcBorders>
              <w:top w:val="single" w:sz="4" w:space="0" w:color="auto"/>
              <w:left w:val="nil"/>
              <w:bottom w:val="nil"/>
              <w:right w:val="nil"/>
            </w:tcBorders>
            <w:shd w:val="clear" w:color="auto" w:fill="auto"/>
            <w:noWrap/>
            <w:hideMark/>
          </w:tcPr>
          <w:p w:rsidR="00CA62A5" w:rsidRPr="009D6561" w:rsidRDefault="009D6561" w:rsidP="009D6561">
            <w:pPr>
              <w:pStyle w:val="Tablehead1"/>
            </w:pPr>
            <w:r w:rsidRPr="009D6561">
              <w:t>Qualification category</w:t>
            </w:r>
          </w:p>
        </w:tc>
        <w:tc>
          <w:tcPr>
            <w:tcW w:w="6364" w:type="dxa"/>
            <w:gridSpan w:val="6"/>
            <w:tcBorders>
              <w:top w:val="single" w:sz="4" w:space="0" w:color="auto"/>
              <w:left w:val="nil"/>
              <w:bottom w:val="nil"/>
            </w:tcBorders>
            <w:shd w:val="clear" w:color="auto" w:fill="auto"/>
            <w:noWrap/>
            <w:hideMark/>
          </w:tcPr>
          <w:p w:rsidR="00CA62A5" w:rsidRPr="009D6561" w:rsidRDefault="00CA62A5" w:rsidP="009D6561">
            <w:pPr>
              <w:pStyle w:val="Tablehead1"/>
              <w:jc w:val="center"/>
            </w:pPr>
            <w:r w:rsidRPr="009D6561">
              <w:t xml:space="preserve">2006 using 2006 </w:t>
            </w:r>
            <w:r w:rsidR="00677683" w:rsidRPr="009D6561">
              <w:t xml:space="preserve">IRSD </w:t>
            </w:r>
            <w:r w:rsidR="00A34FFA" w:rsidRPr="009D6561">
              <w:t>q</w:t>
            </w:r>
            <w:r w:rsidR="00677683" w:rsidRPr="009D6561">
              <w:t>u</w:t>
            </w:r>
            <w:r w:rsidRPr="009D6561">
              <w:t>intiles</w:t>
            </w:r>
          </w:p>
        </w:tc>
      </w:tr>
      <w:tr w:rsidR="00CA62A5" w:rsidRPr="0037307C" w:rsidTr="009D6561">
        <w:tc>
          <w:tcPr>
            <w:tcW w:w="2425" w:type="dxa"/>
            <w:tcBorders>
              <w:top w:val="nil"/>
              <w:left w:val="nil"/>
              <w:bottom w:val="single" w:sz="4" w:space="0" w:color="auto"/>
              <w:right w:val="nil"/>
            </w:tcBorders>
            <w:shd w:val="clear" w:color="auto" w:fill="auto"/>
            <w:noWrap/>
            <w:hideMark/>
          </w:tcPr>
          <w:p w:rsidR="00CA62A5" w:rsidRPr="0037307C" w:rsidRDefault="00CA62A5" w:rsidP="009D6561">
            <w:pPr>
              <w:pStyle w:val="Tablehead2"/>
            </w:pPr>
          </w:p>
        </w:tc>
        <w:tc>
          <w:tcPr>
            <w:tcW w:w="1060"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1</w:t>
            </w:r>
          </w:p>
        </w:tc>
        <w:tc>
          <w:tcPr>
            <w:tcW w:w="1061"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2</w:t>
            </w:r>
          </w:p>
        </w:tc>
        <w:tc>
          <w:tcPr>
            <w:tcW w:w="1061"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3</w:t>
            </w:r>
          </w:p>
        </w:tc>
        <w:tc>
          <w:tcPr>
            <w:tcW w:w="1060"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4</w:t>
            </w:r>
          </w:p>
        </w:tc>
        <w:tc>
          <w:tcPr>
            <w:tcW w:w="1061" w:type="dxa"/>
            <w:tcBorders>
              <w:top w:val="nil"/>
              <w:left w:val="nil"/>
              <w:bottom w:val="single" w:sz="4" w:space="0" w:color="auto"/>
            </w:tcBorders>
            <w:shd w:val="clear" w:color="auto" w:fill="auto"/>
            <w:noWrap/>
            <w:hideMark/>
          </w:tcPr>
          <w:p w:rsidR="00CA62A5" w:rsidRPr="0037307C" w:rsidRDefault="00CA62A5" w:rsidP="009D6561">
            <w:pPr>
              <w:pStyle w:val="Tablehead2"/>
              <w:jc w:val="center"/>
            </w:pPr>
            <w:r w:rsidRPr="0037307C">
              <w:t>5</w:t>
            </w:r>
          </w:p>
        </w:tc>
        <w:tc>
          <w:tcPr>
            <w:tcW w:w="1061" w:type="dxa"/>
            <w:tcBorders>
              <w:top w:val="nil"/>
              <w:bottom w:val="single" w:sz="4" w:space="0" w:color="auto"/>
            </w:tcBorders>
          </w:tcPr>
          <w:p w:rsidR="00CA62A5" w:rsidRPr="0037307C" w:rsidRDefault="00CA62A5" w:rsidP="009D6561">
            <w:pPr>
              <w:pStyle w:val="Tablehead2"/>
              <w:jc w:val="center"/>
            </w:pPr>
            <w:r>
              <w:t>Total</w:t>
            </w:r>
          </w:p>
        </w:tc>
      </w:tr>
      <w:tr w:rsidR="00CA62A5" w:rsidRPr="009D6561" w:rsidTr="009D6561">
        <w:tc>
          <w:tcPr>
            <w:tcW w:w="2425" w:type="dxa"/>
            <w:tcBorders>
              <w:top w:val="nil"/>
              <w:left w:val="nil"/>
              <w:bottom w:val="nil"/>
              <w:right w:val="nil"/>
            </w:tcBorders>
            <w:shd w:val="clear" w:color="auto" w:fill="auto"/>
            <w:noWrap/>
            <w:hideMark/>
          </w:tcPr>
          <w:p w:rsidR="00CA62A5" w:rsidRPr="009D6561" w:rsidRDefault="00CA62A5" w:rsidP="009D6561">
            <w:pPr>
              <w:pStyle w:val="Tabletext"/>
            </w:pPr>
            <w:r w:rsidRPr="009D6561">
              <w:t>Diploma and above</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2.0</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1.6</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1.8</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2.3</w:t>
            </w:r>
          </w:p>
        </w:tc>
        <w:tc>
          <w:tcPr>
            <w:tcW w:w="1061" w:type="dxa"/>
            <w:tcBorders>
              <w:top w:val="nil"/>
              <w:left w:val="nil"/>
              <w:bottom w:val="nil"/>
            </w:tcBorders>
            <w:shd w:val="clear" w:color="auto" w:fill="auto"/>
            <w:noWrap/>
            <w:hideMark/>
          </w:tcPr>
          <w:p w:rsidR="00CA62A5" w:rsidRPr="009D6561" w:rsidRDefault="00CA62A5" w:rsidP="009D6561">
            <w:pPr>
              <w:pStyle w:val="Tabletext"/>
              <w:tabs>
                <w:tab w:val="decimal" w:pos="397"/>
              </w:tabs>
            </w:pPr>
            <w:r w:rsidRPr="009D6561">
              <w:t>2.4</w:t>
            </w:r>
          </w:p>
        </w:tc>
        <w:tc>
          <w:tcPr>
            <w:tcW w:w="1061" w:type="dxa"/>
            <w:tcBorders>
              <w:top w:val="nil"/>
              <w:bottom w:val="nil"/>
            </w:tcBorders>
          </w:tcPr>
          <w:p w:rsidR="00CA62A5" w:rsidRPr="009D6561" w:rsidRDefault="00CA62A5" w:rsidP="009D6561">
            <w:pPr>
              <w:pStyle w:val="Tabletext"/>
              <w:tabs>
                <w:tab w:val="decimal" w:pos="397"/>
              </w:tabs>
            </w:pPr>
            <w:r w:rsidRPr="009D6561">
              <w:rPr>
                <w:szCs w:val="22"/>
              </w:rPr>
              <w:t>2.0</w:t>
            </w:r>
          </w:p>
        </w:tc>
      </w:tr>
      <w:tr w:rsidR="00CA62A5" w:rsidRPr="009D6561" w:rsidTr="009D6561">
        <w:tc>
          <w:tcPr>
            <w:tcW w:w="2425" w:type="dxa"/>
            <w:tcBorders>
              <w:top w:val="nil"/>
              <w:left w:val="nil"/>
              <w:bottom w:val="nil"/>
              <w:right w:val="nil"/>
            </w:tcBorders>
            <w:shd w:val="clear" w:color="auto" w:fill="auto"/>
            <w:noWrap/>
            <w:hideMark/>
          </w:tcPr>
          <w:p w:rsidR="00CA62A5" w:rsidRPr="009D6561" w:rsidRDefault="00CA62A5" w:rsidP="009D6561">
            <w:pPr>
              <w:pStyle w:val="Tabletext"/>
            </w:pPr>
            <w:r w:rsidRPr="009D6561">
              <w:t>Certificate IV</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1.4</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1.5</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1.6</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1.4</w:t>
            </w:r>
          </w:p>
        </w:tc>
        <w:tc>
          <w:tcPr>
            <w:tcW w:w="1061" w:type="dxa"/>
            <w:tcBorders>
              <w:top w:val="nil"/>
              <w:left w:val="nil"/>
              <w:bottom w:val="nil"/>
            </w:tcBorders>
            <w:shd w:val="clear" w:color="auto" w:fill="auto"/>
            <w:noWrap/>
            <w:hideMark/>
          </w:tcPr>
          <w:p w:rsidR="00CA62A5" w:rsidRPr="009D6561" w:rsidRDefault="00CA62A5" w:rsidP="009D6561">
            <w:pPr>
              <w:pStyle w:val="Tabletext"/>
              <w:tabs>
                <w:tab w:val="decimal" w:pos="397"/>
              </w:tabs>
            </w:pPr>
            <w:r w:rsidRPr="009D6561">
              <w:t>1.3</w:t>
            </w:r>
          </w:p>
        </w:tc>
        <w:tc>
          <w:tcPr>
            <w:tcW w:w="1061" w:type="dxa"/>
            <w:tcBorders>
              <w:top w:val="nil"/>
              <w:bottom w:val="nil"/>
            </w:tcBorders>
          </w:tcPr>
          <w:p w:rsidR="00CA62A5" w:rsidRPr="009D6561" w:rsidRDefault="00CA62A5" w:rsidP="009D6561">
            <w:pPr>
              <w:pStyle w:val="Tabletext"/>
              <w:tabs>
                <w:tab w:val="decimal" w:pos="397"/>
              </w:tabs>
            </w:pPr>
            <w:r w:rsidRPr="009D6561">
              <w:rPr>
                <w:szCs w:val="22"/>
              </w:rPr>
              <w:t>1.4</w:t>
            </w:r>
          </w:p>
        </w:tc>
      </w:tr>
      <w:tr w:rsidR="00CA62A5" w:rsidRPr="009D6561" w:rsidTr="009D6561">
        <w:tc>
          <w:tcPr>
            <w:tcW w:w="2425" w:type="dxa"/>
            <w:tcBorders>
              <w:top w:val="nil"/>
              <w:left w:val="nil"/>
              <w:bottom w:val="nil"/>
              <w:right w:val="nil"/>
            </w:tcBorders>
            <w:shd w:val="clear" w:color="auto" w:fill="auto"/>
            <w:noWrap/>
            <w:hideMark/>
          </w:tcPr>
          <w:p w:rsidR="00CA62A5" w:rsidRPr="009D6561" w:rsidRDefault="00CA62A5" w:rsidP="009D6561">
            <w:pPr>
              <w:pStyle w:val="Tabletext"/>
            </w:pPr>
            <w:r w:rsidRPr="009D6561">
              <w:t>Certificate III</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7.9</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9.5</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9.5</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8.7</w:t>
            </w:r>
          </w:p>
        </w:tc>
        <w:tc>
          <w:tcPr>
            <w:tcW w:w="1061" w:type="dxa"/>
            <w:tcBorders>
              <w:top w:val="nil"/>
              <w:left w:val="nil"/>
              <w:bottom w:val="nil"/>
            </w:tcBorders>
            <w:shd w:val="clear" w:color="auto" w:fill="auto"/>
            <w:noWrap/>
            <w:hideMark/>
          </w:tcPr>
          <w:p w:rsidR="00CA62A5" w:rsidRPr="009D6561" w:rsidRDefault="00CA62A5" w:rsidP="009D6561">
            <w:pPr>
              <w:pStyle w:val="Tabletext"/>
              <w:tabs>
                <w:tab w:val="decimal" w:pos="397"/>
              </w:tabs>
            </w:pPr>
            <w:r w:rsidRPr="009D6561">
              <w:t>6.5</w:t>
            </w:r>
          </w:p>
        </w:tc>
        <w:tc>
          <w:tcPr>
            <w:tcW w:w="1061" w:type="dxa"/>
            <w:tcBorders>
              <w:top w:val="nil"/>
              <w:bottom w:val="nil"/>
            </w:tcBorders>
          </w:tcPr>
          <w:p w:rsidR="00CA62A5" w:rsidRPr="009D6561" w:rsidRDefault="00CA62A5" w:rsidP="009D6561">
            <w:pPr>
              <w:pStyle w:val="Tabletext"/>
              <w:tabs>
                <w:tab w:val="decimal" w:pos="397"/>
              </w:tabs>
            </w:pPr>
            <w:r w:rsidRPr="009D6561">
              <w:rPr>
                <w:szCs w:val="22"/>
              </w:rPr>
              <w:t>8.4</w:t>
            </w:r>
          </w:p>
        </w:tc>
      </w:tr>
      <w:tr w:rsidR="00CA62A5" w:rsidRPr="009D6561" w:rsidTr="009D6561">
        <w:tc>
          <w:tcPr>
            <w:tcW w:w="2425" w:type="dxa"/>
            <w:tcBorders>
              <w:top w:val="nil"/>
              <w:left w:val="nil"/>
              <w:bottom w:val="nil"/>
              <w:right w:val="nil"/>
            </w:tcBorders>
            <w:shd w:val="clear" w:color="auto" w:fill="auto"/>
            <w:noWrap/>
            <w:hideMark/>
          </w:tcPr>
          <w:p w:rsidR="00CA62A5" w:rsidRPr="009D6561" w:rsidRDefault="00CA62A5" w:rsidP="009D6561">
            <w:pPr>
              <w:pStyle w:val="Tabletext"/>
            </w:pPr>
            <w:r w:rsidRPr="009D6561">
              <w:t>Certificate II</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10.4</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10.6</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9.3</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6.9</w:t>
            </w:r>
          </w:p>
        </w:tc>
        <w:tc>
          <w:tcPr>
            <w:tcW w:w="1061" w:type="dxa"/>
            <w:tcBorders>
              <w:top w:val="nil"/>
              <w:left w:val="nil"/>
              <w:bottom w:val="nil"/>
            </w:tcBorders>
            <w:shd w:val="clear" w:color="auto" w:fill="auto"/>
            <w:noWrap/>
            <w:hideMark/>
          </w:tcPr>
          <w:p w:rsidR="00CA62A5" w:rsidRPr="009D6561" w:rsidRDefault="00CA62A5" w:rsidP="009D6561">
            <w:pPr>
              <w:pStyle w:val="Tabletext"/>
              <w:tabs>
                <w:tab w:val="decimal" w:pos="397"/>
              </w:tabs>
            </w:pPr>
            <w:r w:rsidRPr="009D6561">
              <w:t>5.4</w:t>
            </w:r>
          </w:p>
        </w:tc>
        <w:tc>
          <w:tcPr>
            <w:tcW w:w="1061" w:type="dxa"/>
            <w:tcBorders>
              <w:top w:val="nil"/>
              <w:bottom w:val="nil"/>
            </w:tcBorders>
          </w:tcPr>
          <w:p w:rsidR="00CA62A5" w:rsidRPr="009D6561" w:rsidRDefault="00CA62A5" w:rsidP="009D6561">
            <w:pPr>
              <w:pStyle w:val="Tabletext"/>
              <w:tabs>
                <w:tab w:val="decimal" w:pos="397"/>
              </w:tabs>
            </w:pPr>
            <w:r w:rsidRPr="009D6561">
              <w:rPr>
                <w:szCs w:val="22"/>
              </w:rPr>
              <w:t>8.3</w:t>
            </w:r>
          </w:p>
        </w:tc>
      </w:tr>
      <w:tr w:rsidR="00CA62A5" w:rsidRPr="009D6561" w:rsidTr="009D6561">
        <w:tc>
          <w:tcPr>
            <w:tcW w:w="2425" w:type="dxa"/>
            <w:tcBorders>
              <w:top w:val="nil"/>
              <w:left w:val="nil"/>
              <w:bottom w:val="nil"/>
              <w:right w:val="nil"/>
            </w:tcBorders>
            <w:shd w:val="clear" w:color="auto" w:fill="auto"/>
            <w:noWrap/>
            <w:hideMark/>
          </w:tcPr>
          <w:p w:rsidR="00CA62A5" w:rsidRPr="009D6561" w:rsidRDefault="00CA62A5" w:rsidP="009D6561">
            <w:pPr>
              <w:pStyle w:val="Tabletext"/>
            </w:pPr>
            <w:r w:rsidRPr="009D6561">
              <w:t>Certificate I</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2.9</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2.6</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2.6</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1.8</w:t>
            </w:r>
          </w:p>
        </w:tc>
        <w:tc>
          <w:tcPr>
            <w:tcW w:w="1061" w:type="dxa"/>
            <w:tcBorders>
              <w:top w:val="nil"/>
              <w:left w:val="nil"/>
              <w:bottom w:val="nil"/>
            </w:tcBorders>
            <w:shd w:val="clear" w:color="auto" w:fill="auto"/>
            <w:noWrap/>
            <w:hideMark/>
          </w:tcPr>
          <w:p w:rsidR="00CA62A5" w:rsidRPr="009D6561" w:rsidRDefault="00CA62A5" w:rsidP="009D6561">
            <w:pPr>
              <w:pStyle w:val="Tabletext"/>
              <w:tabs>
                <w:tab w:val="decimal" w:pos="397"/>
              </w:tabs>
            </w:pPr>
            <w:r w:rsidRPr="009D6561">
              <w:t>1.1</w:t>
            </w:r>
          </w:p>
        </w:tc>
        <w:tc>
          <w:tcPr>
            <w:tcW w:w="1061" w:type="dxa"/>
            <w:tcBorders>
              <w:top w:val="nil"/>
              <w:bottom w:val="nil"/>
            </w:tcBorders>
          </w:tcPr>
          <w:p w:rsidR="00CA62A5" w:rsidRPr="009D6561" w:rsidRDefault="00CA62A5" w:rsidP="009D6561">
            <w:pPr>
              <w:pStyle w:val="Tabletext"/>
              <w:tabs>
                <w:tab w:val="decimal" w:pos="397"/>
              </w:tabs>
            </w:pPr>
            <w:r w:rsidRPr="009D6561">
              <w:rPr>
                <w:szCs w:val="22"/>
              </w:rPr>
              <w:t>2.1</w:t>
            </w:r>
          </w:p>
        </w:tc>
      </w:tr>
      <w:tr w:rsidR="00CA62A5" w:rsidRPr="009D6561" w:rsidTr="009D6561">
        <w:tc>
          <w:tcPr>
            <w:tcW w:w="2425" w:type="dxa"/>
            <w:tcBorders>
              <w:top w:val="nil"/>
              <w:left w:val="nil"/>
              <w:right w:val="nil"/>
            </w:tcBorders>
            <w:shd w:val="clear" w:color="auto" w:fill="auto"/>
            <w:noWrap/>
            <w:hideMark/>
          </w:tcPr>
          <w:p w:rsidR="00CA62A5" w:rsidRPr="009D6561" w:rsidRDefault="00CA62A5" w:rsidP="009D6561">
            <w:pPr>
              <w:pStyle w:val="Tabletext"/>
            </w:pPr>
            <w:r w:rsidRPr="009D6561">
              <w:t>Non-AQF</w:t>
            </w:r>
          </w:p>
        </w:tc>
        <w:tc>
          <w:tcPr>
            <w:tcW w:w="1060"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4.8</w:t>
            </w:r>
          </w:p>
        </w:tc>
        <w:tc>
          <w:tcPr>
            <w:tcW w:w="1061"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4.5</w:t>
            </w:r>
          </w:p>
        </w:tc>
        <w:tc>
          <w:tcPr>
            <w:tcW w:w="1061"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3.2</w:t>
            </w:r>
          </w:p>
        </w:tc>
        <w:tc>
          <w:tcPr>
            <w:tcW w:w="1060"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2.9</w:t>
            </w:r>
          </w:p>
        </w:tc>
        <w:tc>
          <w:tcPr>
            <w:tcW w:w="1061" w:type="dxa"/>
            <w:tcBorders>
              <w:top w:val="nil"/>
              <w:left w:val="nil"/>
            </w:tcBorders>
            <w:shd w:val="clear" w:color="auto" w:fill="auto"/>
            <w:noWrap/>
            <w:hideMark/>
          </w:tcPr>
          <w:p w:rsidR="00CA62A5" w:rsidRPr="009D6561" w:rsidRDefault="00CA62A5" w:rsidP="009D6561">
            <w:pPr>
              <w:pStyle w:val="Tabletext"/>
              <w:tabs>
                <w:tab w:val="decimal" w:pos="397"/>
              </w:tabs>
            </w:pPr>
            <w:r w:rsidRPr="009D6561">
              <w:t>2.8</w:t>
            </w:r>
          </w:p>
        </w:tc>
        <w:tc>
          <w:tcPr>
            <w:tcW w:w="1061" w:type="dxa"/>
            <w:tcBorders>
              <w:top w:val="nil"/>
            </w:tcBorders>
          </w:tcPr>
          <w:p w:rsidR="00CA62A5" w:rsidRPr="009D6561" w:rsidRDefault="00CA62A5" w:rsidP="009D6561">
            <w:pPr>
              <w:pStyle w:val="Tabletext"/>
              <w:tabs>
                <w:tab w:val="decimal" w:pos="397"/>
              </w:tabs>
            </w:pPr>
            <w:r w:rsidRPr="009D6561">
              <w:rPr>
                <w:szCs w:val="22"/>
              </w:rPr>
              <w:t>3.5</w:t>
            </w:r>
          </w:p>
        </w:tc>
      </w:tr>
      <w:tr w:rsidR="00CA62A5" w:rsidRPr="009D6561" w:rsidTr="003332D7">
        <w:tc>
          <w:tcPr>
            <w:tcW w:w="2425" w:type="dxa"/>
            <w:tcBorders>
              <w:top w:val="nil"/>
              <w:left w:val="nil"/>
              <w:bottom w:val="single" w:sz="4" w:space="0" w:color="auto"/>
              <w:right w:val="nil"/>
            </w:tcBorders>
            <w:shd w:val="clear" w:color="auto" w:fill="auto"/>
            <w:noWrap/>
            <w:hideMark/>
          </w:tcPr>
          <w:p w:rsidR="00CA62A5" w:rsidRPr="009D6561" w:rsidRDefault="007655B7" w:rsidP="009D6561">
            <w:pPr>
              <w:pStyle w:val="Tabletext"/>
            </w:pPr>
            <w:r w:rsidRPr="009D6561">
              <w:t>Module o</w:t>
            </w:r>
            <w:r w:rsidR="00CA62A5" w:rsidRPr="009D6561">
              <w:t>nly</w:t>
            </w:r>
          </w:p>
        </w:tc>
        <w:tc>
          <w:tcPr>
            <w:tcW w:w="1060"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0.5</w:t>
            </w:r>
          </w:p>
        </w:tc>
        <w:tc>
          <w:tcPr>
            <w:tcW w:w="1061"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0.7</w:t>
            </w:r>
          </w:p>
        </w:tc>
        <w:tc>
          <w:tcPr>
            <w:tcW w:w="1061"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0.4</w:t>
            </w:r>
          </w:p>
        </w:tc>
        <w:tc>
          <w:tcPr>
            <w:tcW w:w="1060"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0.2</w:t>
            </w:r>
          </w:p>
        </w:tc>
        <w:tc>
          <w:tcPr>
            <w:tcW w:w="1061" w:type="dxa"/>
            <w:tcBorders>
              <w:top w:val="nil"/>
              <w:left w:val="nil"/>
              <w:bottom w:val="single" w:sz="4" w:space="0" w:color="auto"/>
            </w:tcBorders>
            <w:shd w:val="clear" w:color="auto" w:fill="auto"/>
            <w:noWrap/>
            <w:hideMark/>
          </w:tcPr>
          <w:p w:rsidR="00CA62A5" w:rsidRPr="009D6561" w:rsidRDefault="00CA62A5" w:rsidP="009D6561">
            <w:pPr>
              <w:pStyle w:val="Tabletext"/>
              <w:tabs>
                <w:tab w:val="decimal" w:pos="397"/>
              </w:tabs>
            </w:pPr>
            <w:r w:rsidRPr="009D6561">
              <w:t>0.1</w:t>
            </w:r>
          </w:p>
        </w:tc>
        <w:tc>
          <w:tcPr>
            <w:tcW w:w="1061" w:type="dxa"/>
            <w:tcBorders>
              <w:top w:val="nil"/>
              <w:bottom w:val="single" w:sz="4" w:space="0" w:color="auto"/>
            </w:tcBorders>
          </w:tcPr>
          <w:p w:rsidR="00CA62A5" w:rsidRPr="009D6561" w:rsidRDefault="00CA62A5" w:rsidP="009D6561">
            <w:pPr>
              <w:pStyle w:val="Tabletext"/>
              <w:tabs>
                <w:tab w:val="decimal" w:pos="397"/>
              </w:tabs>
            </w:pPr>
            <w:r w:rsidRPr="009D6561">
              <w:rPr>
                <w:szCs w:val="22"/>
              </w:rPr>
              <w:t>0.4</w:t>
            </w:r>
          </w:p>
        </w:tc>
      </w:tr>
      <w:tr w:rsidR="00CA62A5" w:rsidRPr="009D6561" w:rsidTr="003332D7">
        <w:tc>
          <w:tcPr>
            <w:tcW w:w="2425"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rPr>
                <w:b/>
              </w:rPr>
            </w:pPr>
            <w:r w:rsidRPr="009D6561">
              <w:rPr>
                <w:b/>
              </w:rPr>
              <w:t>Total</w:t>
            </w:r>
          </w:p>
        </w:tc>
        <w:tc>
          <w:tcPr>
            <w:tcW w:w="1060"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29.9</w:t>
            </w:r>
          </w:p>
        </w:tc>
        <w:tc>
          <w:tcPr>
            <w:tcW w:w="1061"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31.0</w:t>
            </w:r>
          </w:p>
        </w:tc>
        <w:tc>
          <w:tcPr>
            <w:tcW w:w="1061"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28.3</w:t>
            </w:r>
          </w:p>
        </w:tc>
        <w:tc>
          <w:tcPr>
            <w:tcW w:w="1060"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24.1</w:t>
            </w:r>
          </w:p>
        </w:tc>
        <w:tc>
          <w:tcPr>
            <w:tcW w:w="1061" w:type="dxa"/>
            <w:tcBorders>
              <w:top w:val="single" w:sz="4" w:space="0" w:color="auto"/>
              <w:left w:val="nil"/>
              <w:bottom w:val="dashed" w:sz="4" w:space="0" w:color="auto"/>
            </w:tcBorders>
            <w:shd w:val="clear" w:color="auto" w:fill="auto"/>
            <w:noWrap/>
            <w:hideMark/>
          </w:tcPr>
          <w:p w:rsidR="00CA62A5" w:rsidRPr="009D6561" w:rsidRDefault="00CA62A5" w:rsidP="009D6561">
            <w:pPr>
              <w:pStyle w:val="Tabletext"/>
              <w:tabs>
                <w:tab w:val="decimal" w:pos="397"/>
              </w:tabs>
              <w:rPr>
                <w:b/>
              </w:rPr>
            </w:pPr>
            <w:r w:rsidRPr="009D6561">
              <w:rPr>
                <w:b/>
              </w:rPr>
              <w:t>19.5</w:t>
            </w:r>
          </w:p>
        </w:tc>
        <w:tc>
          <w:tcPr>
            <w:tcW w:w="1061" w:type="dxa"/>
            <w:tcBorders>
              <w:top w:val="single" w:sz="4" w:space="0" w:color="auto"/>
              <w:bottom w:val="dashed" w:sz="4" w:space="0" w:color="auto"/>
            </w:tcBorders>
          </w:tcPr>
          <w:p w:rsidR="00CA62A5" w:rsidRPr="009D6561" w:rsidRDefault="00CA62A5" w:rsidP="009D6561">
            <w:pPr>
              <w:pStyle w:val="Tabletext"/>
              <w:tabs>
                <w:tab w:val="decimal" w:pos="397"/>
              </w:tabs>
              <w:rPr>
                <w:b/>
              </w:rPr>
            </w:pPr>
            <w:r w:rsidRPr="009D6561">
              <w:rPr>
                <w:b/>
              </w:rPr>
              <w:t>26.1</w:t>
            </w:r>
          </w:p>
        </w:tc>
      </w:tr>
      <w:tr w:rsidR="00CA62A5" w:rsidRPr="009D6561" w:rsidTr="003332D7">
        <w:tc>
          <w:tcPr>
            <w:tcW w:w="2425" w:type="dxa"/>
            <w:tcBorders>
              <w:top w:val="dashed" w:sz="4" w:space="0" w:color="auto"/>
              <w:left w:val="nil"/>
              <w:bottom w:val="nil"/>
              <w:right w:val="nil"/>
            </w:tcBorders>
            <w:shd w:val="clear" w:color="auto" w:fill="auto"/>
            <w:noWrap/>
            <w:hideMark/>
          </w:tcPr>
          <w:p w:rsidR="00CA62A5" w:rsidRPr="009D6561" w:rsidRDefault="005E4BD8" w:rsidP="009D6561">
            <w:pPr>
              <w:pStyle w:val="Tabletext"/>
              <w:rPr>
                <w:b/>
              </w:rPr>
            </w:pPr>
            <w:r w:rsidRPr="009D6561">
              <w:rPr>
                <w:b/>
              </w:rPr>
              <w:t>Total 15 to 19-year-</w:t>
            </w:r>
            <w:r w:rsidR="00CA62A5" w:rsidRPr="009D6561">
              <w:rPr>
                <w:b/>
              </w:rPr>
              <w:t>olds participating in VET</w:t>
            </w:r>
          </w:p>
        </w:tc>
        <w:tc>
          <w:tcPr>
            <w:tcW w:w="1060" w:type="dxa"/>
            <w:tcBorders>
              <w:top w:val="dashed" w:sz="4" w:space="0" w:color="auto"/>
              <w:left w:val="nil"/>
              <w:bottom w:val="nil"/>
              <w:right w:val="nil"/>
            </w:tcBorders>
            <w:shd w:val="clear" w:color="auto" w:fill="auto"/>
            <w:noWrap/>
            <w:hideMark/>
          </w:tcPr>
          <w:p w:rsidR="00CA62A5" w:rsidRPr="009D6561" w:rsidRDefault="00CA62A5" w:rsidP="00B440DE">
            <w:pPr>
              <w:pStyle w:val="Tabletext"/>
              <w:ind w:right="198"/>
              <w:jc w:val="right"/>
              <w:rPr>
                <w:b/>
              </w:rPr>
            </w:pPr>
            <w:r w:rsidRPr="009D6561">
              <w:rPr>
                <w:b/>
              </w:rPr>
              <w:t>53 724</w:t>
            </w:r>
          </w:p>
        </w:tc>
        <w:tc>
          <w:tcPr>
            <w:tcW w:w="1061" w:type="dxa"/>
            <w:tcBorders>
              <w:top w:val="dashed" w:sz="4" w:space="0" w:color="auto"/>
              <w:left w:val="nil"/>
              <w:bottom w:val="nil"/>
              <w:right w:val="nil"/>
            </w:tcBorders>
            <w:shd w:val="clear" w:color="auto" w:fill="auto"/>
            <w:noWrap/>
            <w:hideMark/>
          </w:tcPr>
          <w:p w:rsidR="00CA62A5" w:rsidRPr="009D6561" w:rsidRDefault="00CA62A5" w:rsidP="00B440DE">
            <w:pPr>
              <w:pStyle w:val="Tabletext"/>
              <w:ind w:right="198"/>
              <w:jc w:val="right"/>
              <w:rPr>
                <w:b/>
              </w:rPr>
            </w:pPr>
            <w:r w:rsidRPr="009D6561">
              <w:rPr>
                <w:b/>
              </w:rPr>
              <w:t>90 238</w:t>
            </w:r>
          </w:p>
        </w:tc>
        <w:tc>
          <w:tcPr>
            <w:tcW w:w="1061" w:type="dxa"/>
            <w:tcBorders>
              <w:top w:val="dashed" w:sz="4" w:space="0" w:color="auto"/>
              <w:left w:val="nil"/>
              <w:bottom w:val="nil"/>
              <w:right w:val="nil"/>
            </w:tcBorders>
            <w:shd w:val="clear" w:color="auto" w:fill="auto"/>
            <w:noWrap/>
            <w:hideMark/>
          </w:tcPr>
          <w:p w:rsidR="00CA62A5" w:rsidRPr="009D6561" w:rsidRDefault="00CA62A5" w:rsidP="00B440DE">
            <w:pPr>
              <w:pStyle w:val="Tabletext"/>
              <w:ind w:right="198"/>
              <w:jc w:val="right"/>
              <w:rPr>
                <w:b/>
              </w:rPr>
            </w:pPr>
            <w:r w:rsidRPr="009D6561">
              <w:rPr>
                <w:b/>
              </w:rPr>
              <w:t>77 562</w:t>
            </w:r>
          </w:p>
        </w:tc>
        <w:tc>
          <w:tcPr>
            <w:tcW w:w="1060" w:type="dxa"/>
            <w:tcBorders>
              <w:top w:val="dashed" w:sz="4" w:space="0" w:color="auto"/>
              <w:left w:val="nil"/>
              <w:bottom w:val="nil"/>
              <w:right w:val="nil"/>
            </w:tcBorders>
            <w:shd w:val="clear" w:color="auto" w:fill="auto"/>
            <w:noWrap/>
            <w:hideMark/>
          </w:tcPr>
          <w:p w:rsidR="00CA62A5" w:rsidRPr="009D6561" w:rsidRDefault="00CA62A5" w:rsidP="00B440DE">
            <w:pPr>
              <w:pStyle w:val="Tabletext"/>
              <w:ind w:right="198"/>
              <w:jc w:val="right"/>
              <w:rPr>
                <w:b/>
              </w:rPr>
            </w:pPr>
            <w:r w:rsidRPr="009D6561">
              <w:rPr>
                <w:b/>
              </w:rPr>
              <w:t>75 055</w:t>
            </w:r>
          </w:p>
        </w:tc>
        <w:tc>
          <w:tcPr>
            <w:tcW w:w="1061" w:type="dxa"/>
            <w:tcBorders>
              <w:top w:val="dashed" w:sz="4" w:space="0" w:color="auto"/>
              <w:left w:val="nil"/>
              <w:bottom w:val="nil"/>
            </w:tcBorders>
            <w:shd w:val="clear" w:color="auto" w:fill="auto"/>
            <w:noWrap/>
            <w:hideMark/>
          </w:tcPr>
          <w:p w:rsidR="00CA62A5" w:rsidRPr="009D6561" w:rsidRDefault="00CA62A5" w:rsidP="00B440DE">
            <w:pPr>
              <w:pStyle w:val="Tabletext"/>
              <w:ind w:right="198"/>
              <w:jc w:val="right"/>
              <w:rPr>
                <w:b/>
              </w:rPr>
            </w:pPr>
            <w:r w:rsidRPr="009D6561">
              <w:rPr>
                <w:b/>
              </w:rPr>
              <w:t>58 175</w:t>
            </w:r>
          </w:p>
        </w:tc>
        <w:tc>
          <w:tcPr>
            <w:tcW w:w="1061" w:type="dxa"/>
            <w:tcBorders>
              <w:top w:val="dashed" w:sz="4" w:space="0" w:color="auto"/>
              <w:bottom w:val="nil"/>
            </w:tcBorders>
          </w:tcPr>
          <w:p w:rsidR="00CA62A5" w:rsidRPr="009D6561" w:rsidRDefault="00CA62A5" w:rsidP="009D6561">
            <w:pPr>
              <w:pStyle w:val="Tabletext"/>
              <w:ind w:right="170"/>
              <w:jc w:val="right"/>
              <w:rPr>
                <w:b/>
              </w:rPr>
            </w:pPr>
            <w:r w:rsidRPr="009D6561">
              <w:rPr>
                <w:b/>
                <w:szCs w:val="22"/>
              </w:rPr>
              <w:t>354 781</w:t>
            </w:r>
          </w:p>
        </w:tc>
      </w:tr>
      <w:tr w:rsidR="00CA62A5" w:rsidRPr="009D6561" w:rsidTr="00B440DE">
        <w:tc>
          <w:tcPr>
            <w:tcW w:w="2425" w:type="dxa"/>
            <w:tcBorders>
              <w:top w:val="nil"/>
              <w:left w:val="nil"/>
              <w:bottom w:val="single" w:sz="4" w:space="0" w:color="auto"/>
              <w:right w:val="nil"/>
            </w:tcBorders>
            <w:shd w:val="clear" w:color="auto" w:fill="auto"/>
            <w:noWrap/>
            <w:hideMark/>
          </w:tcPr>
          <w:p w:rsidR="00CA62A5" w:rsidRPr="009D6561" w:rsidRDefault="005E4BD8" w:rsidP="009D6561">
            <w:pPr>
              <w:pStyle w:val="Tabletext"/>
            </w:pPr>
            <w:r w:rsidRPr="009D6561">
              <w:t>Number of 15 to 19-year-</w:t>
            </w:r>
            <w:r w:rsidR="00CA62A5" w:rsidRPr="009D6561">
              <w:t>olds in quintile</w:t>
            </w:r>
          </w:p>
        </w:tc>
        <w:tc>
          <w:tcPr>
            <w:tcW w:w="1060"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179 948</w:t>
            </w:r>
          </w:p>
        </w:tc>
        <w:tc>
          <w:tcPr>
            <w:tcW w:w="1061"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291 542</w:t>
            </w:r>
          </w:p>
        </w:tc>
        <w:tc>
          <w:tcPr>
            <w:tcW w:w="1061"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273 736</w:t>
            </w:r>
          </w:p>
        </w:tc>
        <w:tc>
          <w:tcPr>
            <w:tcW w:w="1060"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310 949</w:t>
            </w:r>
          </w:p>
        </w:tc>
        <w:tc>
          <w:tcPr>
            <w:tcW w:w="1061" w:type="dxa"/>
            <w:tcBorders>
              <w:top w:val="nil"/>
              <w:left w:val="nil"/>
              <w:bottom w:val="single" w:sz="4" w:space="0" w:color="auto"/>
            </w:tcBorders>
            <w:shd w:val="clear" w:color="auto" w:fill="auto"/>
            <w:noWrap/>
            <w:hideMark/>
          </w:tcPr>
          <w:p w:rsidR="00CA62A5" w:rsidRPr="009D6561" w:rsidRDefault="00CA62A5" w:rsidP="00B440DE">
            <w:pPr>
              <w:pStyle w:val="Tabletext"/>
              <w:ind w:right="198"/>
              <w:jc w:val="right"/>
            </w:pPr>
            <w:r w:rsidRPr="009D6561">
              <w:t>297 846</w:t>
            </w:r>
          </w:p>
        </w:tc>
        <w:tc>
          <w:tcPr>
            <w:tcW w:w="1061" w:type="dxa"/>
            <w:tcBorders>
              <w:top w:val="nil"/>
              <w:bottom w:val="single" w:sz="4" w:space="0" w:color="auto"/>
            </w:tcBorders>
            <w:tcMar>
              <w:left w:w="0" w:type="dxa"/>
            </w:tcMar>
          </w:tcPr>
          <w:p w:rsidR="00CA62A5" w:rsidRPr="009D6561" w:rsidRDefault="00CA62A5" w:rsidP="009D6561">
            <w:pPr>
              <w:pStyle w:val="Tabletext"/>
              <w:ind w:right="170"/>
              <w:jc w:val="right"/>
            </w:pPr>
            <w:r w:rsidRPr="009D6561">
              <w:rPr>
                <w:szCs w:val="22"/>
              </w:rPr>
              <w:t>1 356 904</w:t>
            </w:r>
          </w:p>
        </w:tc>
      </w:tr>
    </w:tbl>
    <w:p w:rsidR="00636D48" w:rsidRDefault="00636D48" w:rsidP="00C56874">
      <w:pPr>
        <w:pStyle w:val="tabletitle"/>
      </w:pPr>
      <w:bookmarkStart w:id="69" w:name="_Toc383616146"/>
      <w:r w:rsidRPr="0037307C">
        <w:t xml:space="preserve">Table </w:t>
      </w:r>
      <w:r w:rsidR="001F0B14">
        <w:t>1</w:t>
      </w:r>
      <w:r w:rsidR="0002480D">
        <w:t>9</w:t>
      </w:r>
      <w:r w:rsidR="00C56874">
        <w:tab/>
      </w:r>
      <w:r w:rsidR="007655B7">
        <w:t>P</w:t>
      </w:r>
      <w:r w:rsidRPr="0037307C">
        <w:t>articipation in VET</w:t>
      </w:r>
      <w:r w:rsidR="007655B7">
        <w:t>,</w:t>
      </w:r>
      <w:r w:rsidRPr="0037307C">
        <w:t xml:space="preserve"> </w:t>
      </w:r>
      <w:r w:rsidR="007655B7">
        <w:t xml:space="preserve">15 to 19-year-olds, </w:t>
      </w:r>
      <w:r w:rsidRPr="0037307C">
        <w:t xml:space="preserve">by qualification and </w:t>
      </w:r>
      <w:r>
        <w:t>SES</w:t>
      </w:r>
      <w:r w:rsidRPr="0037307C">
        <w:t xml:space="preserve"> quintiles</w:t>
      </w:r>
      <w:r>
        <w:t>,</w:t>
      </w:r>
      <w:r w:rsidRPr="0037307C">
        <w:t xml:space="preserve"> </w:t>
      </w:r>
      <w:r w:rsidR="005E4BD8">
        <w:t>statistical local areas</w:t>
      </w:r>
      <w:r>
        <w:t>, 2011</w:t>
      </w:r>
      <w:bookmarkEnd w:id="69"/>
    </w:p>
    <w:tbl>
      <w:tblPr>
        <w:tblW w:w="8789" w:type="dxa"/>
        <w:tblInd w:w="93" w:type="dxa"/>
        <w:tblLayout w:type="fixed"/>
        <w:tblLook w:val="04A0" w:firstRow="1" w:lastRow="0" w:firstColumn="1" w:lastColumn="0" w:noHBand="0" w:noVBand="1"/>
      </w:tblPr>
      <w:tblGrid>
        <w:gridCol w:w="2425"/>
        <w:gridCol w:w="1060"/>
        <w:gridCol w:w="1061"/>
        <w:gridCol w:w="1061"/>
        <w:gridCol w:w="1060"/>
        <w:gridCol w:w="1061"/>
        <w:gridCol w:w="1061"/>
      </w:tblGrid>
      <w:tr w:rsidR="00CA62A5" w:rsidRPr="009D6561" w:rsidTr="009D6561">
        <w:tc>
          <w:tcPr>
            <w:tcW w:w="2425" w:type="dxa"/>
            <w:tcBorders>
              <w:top w:val="single" w:sz="4" w:space="0" w:color="auto"/>
              <w:left w:val="nil"/>
              <w:bottom w:val="nil"/>
            </w:tcBorders>
            <w:shd w:val="clear" w:color="auto" w:fill="auto"/>
            <w:noWrap/>
            <w:hideMark/>
          </w:tcPr>
          <w:p w:rsidR="00CA62A5" w:rsidRPr="009D6561" w:rsidRDefault="009D6561" w:rsidP="009D6561">
            <w:pPr>
              <w:pStyle w:val="Tablehead1"/>
            </w:pPr>
            <w:r w:rsidRPr="009D6561">
              <w:t>Qualification category</w:t>
            </w:r>
          </w:p>
        </w:tc>
        <w:tc>
          <w:tcPr>
            <w:tcW w:w="6364" w:type="dxa"/>
            <w:gridSpan w:val="6"/>
            <w:tcBorders>
              <w:top w:val="single" w:sz="4" w:space="0" w:color="auto"/>
              <w:left w:val="nil"/>
              <w:bottom w:val="nil"/>
            </w:tcBorders>
            <w:shd w:val="clear" w:color="auto" w:fill="auto"/>
            <w:noWrap/>
            <w:hideMark/>
          </w:tcPr>
          <w:p w:rsidR="00CA62A5" w:rsidRPr="009D6561" w:rsidRDefault="00CA62A5" w:rsidP="009D6561">
            <w:pPr>
              <w:pStyle w:val="Tablehead1"/>
              <w:jc w:val="center"/>
            </w:pPr>
            <w:r w:rsidRPr="009D6561">
              <w:t>2011 using 2</w:t>
            </w:r>
            <w:r w:rsidR="00A34FFA" w:rsidRPr="009D6561">
              <w:t>011 IRSD</w:t>
            </w:r>
            <w:r w:rsidRPr="009D6561">
              <w:t xml:space="preserve"> quintiles</w:t>
            </w:r>
          </w:p>
        </w:tc>
      </w:tr>
      <w:tr w:rsidR="00CA62A5" w:rsidRPr="0037307C" w:rsidTr="009D6561">
        <w:tc>
          <w:tcPr>
            <w:tcW w:w="2425" w:type="dxa"/>
            <w:tcBorders>
              <w:top w:val="nil"/>
              <w:left w:val="nil"/>
              <w:bottom w:val="single" w:sz="4" w:space="0" w:color="auto"/>
            </w:tcBorders>
            <w:shd w:val="clear" w:color="auto" w:fill="auto"/>
            <w:noWrap/>
            <w:hideMark/>
          </w:tcPr>
          <w:p w:rsidR="00CA62A5" w:rsidRPr="0037307C" w:rsidRDefault="00CA62A5" w:rsidP="009D6561">
            <w:pPr>
              <w:pStyle w:val="Tablehead2"/>
            </w:pPr>
          </w:p>
        </w:tc>
        <w:tc>
          <w:tcPr>
            <w:tcW w:w="1060"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1</w:t>
            </w:r>
          </w:p>
        </w:tc>
        <w:tc>
          <w:tcPr>
            <w:tcW w:w="1061"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2</w:t>
            </w:r>
          </w:p>
        </w:tc>
        <w:tc>
          <w:tcPr>
            <w:tcW w:w="1061"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3</w:t>
            </w:r>
          </w:p>
        </w:tc>
        <w:tc>
          <w:tcPr>
            <w:tcW w:w="1060"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4</w:t>
            </w:r>
          </w:p>
        </w:tc>
        <w:tc>
          <w:tcPr>
            <w:tcW w:w="1061" w:type="dxa"/>
            <w:tcBorders>
              <w:top w:val="nil"/>
              <w:left w:val="nil"/>
              <w:bottom w:val="single" w:sz="4" w:space="0" w:color="auto"/>
              <w:right w:val="nil"/>
            </w:tcBorders>
            <w:shd w:val="clear" w:color="auto" w:fill="auto"/>
            <w:noWrap/>
            <w:hideMark/>
          </w:tcPr>
          <w:p w:rsidR="00CA62A5" w:rsidRPr="0037307C" w:rsidRDefault="00CA62A5" w:rsidP="009D6561">
            <w:pPr>
              <w:pStyle w:val="Tablehead2"/>
              <w:jc w:val="center"/>
            </w:pPr>
            <w:r w:rsidRPr="0037307C">
              <w:t>5</w:t>
            </w:r>
          </w:p>
        </w:tc>
        <w:tc>
          <w:tcPr>
            <w:tcW w:w="1061" w:type="dxa"/>
            <w:tcBorders>
              <w:top w:val="nil"/>
              <w:left w:val="nil"/>
              <w:bottom w:val="single" w:sz="4" w:space="0" w:color="auto"/>
              <w:right w:val="nil"/>
            </w:tcBorders>
          </w:tcPr>
          <w:p w:rsidR="00CA62A5" w:rsidRPr="0037307C" w:rsidRDefault="00CA62A5" w:rsidP="009D6561">
            <w:pPr>
              <w:pStyle w:val="Tablehead2"/>
              <w:jc w:val="center"/>
            </w:pPr>
            <w:r>
              <w:t>Total</w:t>
            </w:r>
          </w:p>
        </w:tc>
      </w:tr>
      <w:tr w:rsidR="00CA62A5" w:rsidRPr="009D6561" w:rsidTr="009D6561">
        <w:tc>
          <w:tcPr>
            <w:tcW w:w="2425" w:type="dxa"/>
            <w:tcBorders>
              <w:top w:val="nil"/>
              <w:left w:val="nil"/>
              <w:bottom w:val="nil"/>
            </w:tcBorders>
            <w:shd w:val="clear" w:color="auto" w:fill="auto"/>
            <w:noWrap/>
            <w:hideMark/>
          </w:tcPr>
          <w:p w:rsidR="00CA62A5" w:rsidRPr="009D6561" w:rsidRDefault="00CA62A5" w:rsidP="009D6561">
            <w:pPr>
              <w:pStyle w:val="Tabletext"/>
            </w:pPr>
            <w:r w:rsidRPr="009D6561">
              <w:t>Diploma and above</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1.8</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1.8</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2.1</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2.4</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2.0</w:t>
            </w:r>
          </w:p>
        </w:tc>
        <w:tc>
          <w:tcPr>
            <w:tcW w:w="1061" w:type="dxa"/>
            <w:tcBorders>
              <w:top w:val="nil"/>
              <w:left w:val="nil"/>
              <w:bottom w:val="nil"/>
              <w:right w:val="nil"/>
            </w:tcBorders>
          </w:tcPr>
          <w:p w:rsidR="00CA62A5" w:rsidRPr="009D6561" w:rsidRDefault="00CA62A5" w:rsidP="009D6561">
            <w:pPr>
              <w:pStyle w:val="Tabletext"/>
              <w:tabs>
                <w:tab w:val="decimal" w:pos="397"/>
              </w:tabs>
            </w:pPr>
            <w:r w:rsidRPr="009D6561">
              <w:t>2.1</w:t>
            </w:r>
          </w:p>
        </w:tc>
      </w:tr>
      <w:tr w:rsidR="00CA62A5" w:rsidRPr="009D6561" w:rsidTr="009D6561">
        <w:tc>
          <w:tcPr>
            <w:tcW w:w="2425" w:type="dxa"/>
            <w:tcBorders>
              <w:top w:val="nil"/>
              <w:left w:val="nil"/>
              <w:bottom w:val="nil"/>
            </w:tcBorders>
            <w:shd w:val="clear" w:color="auto" w:fill="auto"/>
            <w:noWrap/>
            <w:hideMark/>
          </w:tcPr>
          <w:p w:rsidR="00CA62A5" w:rsidRPr="009D6561" w:rsidRDefault="00CA62A5" w:rsidP="009D6561">
            <w:pPr>
              <w:pStyle w:val="Tabletext"/>
            </w:pPr>
            <w:r w:rsidRPr="009D6561">
              <w:t>Certificate IV</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2.1</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2.3</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2.5</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2.5</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1.9</w:t>
            </w:r>
          </w:p>
        </w:tc>
        <w:tc>
          <w:tcPr>
            <w:tcW w:w="1061" w:type="dxa"/>
            <w:tcBorders>
              <w:top w:val="nil"/>
              <w:left w:val="nil"/>
              <w:bottom w:val="nil"/>
              <w:right w:val="nil"/>
            </w:tcBorders>
          </w:tcPr>
          <w:p w:rsidR="00CA62A5" w:rsidRPr="009D6561" w:rsidRDefault="00CA62A5" w:rsidP="009D6561">
            <w:pPr>
              <w:pStyle w:val="Tabletext"/>
              <w:tabs>
                <w:tab w:val="decimal" w:pos="397"/>
              </w:tabs>
            </w:pPr>
            <w:r w:rsidRPr="009D6561">
              <w:t>2.3</w:t>
            </w:r>
          </w:p>
        </w:tc>
      </w:tr>
      <w:tr w:rsidR="00CA62A5" w:rsidRPr="009D6561" w:rsidTr="009D6561">
        <w:tc>
          <w:tcPr>
            <w:tcW w:w="2425" w:type="dxa"/>
            <w:tcBorders>
              <w:top w:val="nil"/>
              <w:left w:val="nil"/>
              <w:bottom w:val="nil"/>
            </w:tcBorders>
            <w:shd w:val="clear" w:color="auto" w:fill="auto"/>
            <w:noWrap/>
            <w:hideMark/>
          </w:tcPr>
          <w:p w:rsidR="00CA62A5" w:rsidRPr="009D6561" w:rsidRDefault="00CA62A5" w:rsidP="009D6561">
            <w:pPr>
              <w:pStyle w:val="Tabletext"/>
            </w:pPr>
            <w:r w:rsidRPr="009D6561">
              <w:t>Certificate III</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13.4</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15.2</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14.3</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13.1</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8.4</w:t>
            </w:r>
          </w:p>
        </w:tc>
        <w:tc>
          <w:tcPr>
            <w:tcW w:w="1061" w:type="dxa"/>
            <w:tcBorders>
              <w:top w:val="nil"/>
              <w:left w:val="nil"/>
              <w:bottom w:val="nil"/>
              <w:right w:val="nil"/>
            </w:tcBorders>
          </w:tcPr>
          <w:p w:rsidR="00CA62A5" w:rsidRPr="009D6561" w:rsidRDefault="00CA62A5" w:rsidP="009D6561">
            <w:pPr>
              <w:pStyle w:val="Tabletext"/>
              <w:tabs>
                <w:tab w:val="decimal" w:pos="397"/>
              </w:tabs>
            </w:pPr>
            <w:r w:rsidRPr="009D6561">
              <w:t>12.9</w:t>
            </w:r>
          </w:p>
        </w:tc>
      </w:tr>
      <w:tr w:rsidR="00CA62A5" w:rsidRPr="009D6561" w:rsidTr="009D6561">
        <w:tc>
          <w:tcPr>
            <w:tcW w:w="2425" w:type="dxa"/>
            <w:tcBorders>
              <w:top w:val="nil"/>
              <w:left w:val="nil"/>
              <w:bottom w:val="nil"/>
            </w:tcBorders>
            <w:shd w:val="clear" w:color="auto" w:fill="auto"/>
            <w:noWrap/>
            <w:hideMark/>
          </w:tcPr>
          <w:p w:rsidR="00CA62A5" w:rsidRPr="009D6561" w:rsidRDefault="00CA62A5" w:rsidP="009D6561">
            <w:pPr>
              <w:pStyle w:val="Tabletext"/>
            </w:pPr>
            <w:r w:rsidRPr="009D6561">
              <w:t>Certificate II</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14.0</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14.6</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11.6</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8.3</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5.7</w:t>
            </w:r>
          </w:p>
        </w:tc>
        <w:tc>
          <w:tcPr>
            <w:tcW w:w="1061" w:type="dxa"/>
            <w:tcBorders>
              <w:top w:val="nil"/>
              <w:left w:val="nil"/>
              <w:bottom w:val="nil"/>
              <w:right w:val="nil"/>
            </w:tcBorders>
          </w:tcPr>
          <w:p w:rsidR="00CA62A5" w:rsidRPr="009D6561" w:rsidRDefault="00CA62A5" w:rsidP="009D6561">
            <w:pPr>
              <w:pStyle w:val="Tabletext"/>
              <w:tabs>
                <w:tab w:val="decimal" w:pos="397"/>
              </w:tabs>
            </w:pPr>
            <w:r w:rsidRPr="009D6561">
              <w:t>10.7</w:t>
            </w:r>
          </w:p>
        </w:tc>
      </w:tr>
      <w:tr w:rsidR="00CA62A5" w:rsidRPr="009D6561" w:rsidTr="009D6561">
        <w:tc>
          <w:tcPr>
            <w:tcW w:w="2425" w:type="dxa"/>
            <w:tcBorders>
              <w:top w:val="nil"/>
              <w:left w:val="nil"/>
              <w:bottom w:val="nil"/>
            </w:tcBorders>
            <w:shd w:val="clear" w:color="auto" w:fill="auto"/>
            <w:noWrap/>
            <w:hideMark/>
          </w:tcPr>
          <w:p w:rsidR="00CA62A5" w:rsidRPr="009D6561" w:rsidRDefault="00CA62A5" w:rsidP="009D6561">
            <w:pPr>
              <w:pStyle w:val="Tabletext"/>
            </w:pPr>
            <w:r w:rsidRPr="009D6561">
              <w:t>Certificate I</w:t>
            </w:r>
          </w:p>
        </w:tc>
        <w:tc>
          <w:tcPr>
            <w:tcW w:w="1060" w:type="dxa"/>
            <w:tcBorders>
              <w:top w:val="nil"/>
              <w:left w:val="nil"/>
              <w:bottom w:val="nil"/>
              <w:right w:val="nil"/>
            </w:tcBorders>
            <w:shd w:val="clear" w:color="auto" w:fill="auto"/>
            <w:noWrap/>
            <w:hideMark/>
          </w:tcPr>
          <w:p w:rsidR="00CA62A5" w:rsidRPr="009D6561" w:rsidRDefault="00CA62A5" w:rsidP="00120265">
            <w:pPr>
              <w:pStyle w:val="Tabletext"/>
              <w:tabs>
                <w:tab w:val="decimal" w:pos="397"/>
              </w:tabs>
            </w:pPr>
            <w:r w:rsidRPr="009D6561">
              <w:t>2.5</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2.1</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2.1</w:t>
            </w:r>
          </w:p>
        </w:tc>
        <w:tc>
          <w:tcPr>
            <w:tcW w:w="1060"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1.5</w:t>
            </w:r>
          </w:p>
        </w:tc>
        <w:tc>
          <w:tcPr>
            <w:tcW w:w="1061" w:type="dxa"/>
            <w:tcBorders>
              <w:top w:val="nil"/>
              <w:left w:val="nil"/>
              <w:bottom w:val="nil"/>
              <w:right w:val="nil"/>
            </w:tcBorders>
            <w:shd w:val="clear" w:color="auto" w:fill="auto"/>
            <w:noWrap/>
            <w:hideMark/>
          </w:tcPr>
          <w:p w:rsidR="00CA62A5" w:rsidRPr="009D6561" w:rsidRDefault="00CA62A5" w:rsidP="009D6561">
            <w:pPr>
              <w:pStyle w:val="Tabletext"/>
              <w:tabs>
                <w:tab w:val="decimal" w:pos="397"/>
              </w:tabs>
            </w:pPr>
            <w:r w:rsidRPr="009D6561">
              <w:t>1.1</w:t>
            </w:r>
          </w:p>
        </w:tc>
        <w:tc>
          <w:tcPr>
            <w:tcW w:w="1061" w:type="dxa"/>
            <w:tcBorders>
              <w:top w:val="nil"/>
              <w:left w:val="nil"/>
              <w:bottom w:val="nil"/>
              <w:right w:val="nil"/>
            </w:tcBorders>
          </w:tcPr>
          <w:p w:rsidR="00CA62A5" w:rsidRPr="009D6561" w:rsidRDefault="00CA62A5" w:rsidP="009D6561">
            <w:pPr>
              <w:pStyle w:val="Tabletext"/>
              <w:tabs>
                <w:tab w:val="decimal" w:pos="397"/>
              </w:tabs>
            </w:pPr>
            <w:r w:rsidRPr="009D6561">
              <w:t>1.8</w:t>
            </w:r>
          </w:p>
        </w:tc>
      </w:tr>
      <w:tr w:rsidR="00CA62A5" w:rsidRPr="009D6561" w:rsidTr="009D6561">
        <w:tc>
          <w:tcPr>
            <w:tcW w:w="2425" w:type="dxa"/>
            <w:tcBorders>
              <w:top w:val="nil"/>
              <w:left w:val="nil"/>
            </w:tcBorders>
            <w:shd w:val="clear" w:color="auto" w:fill="auto"/>
            <w:noWrap/>
            <w:hideMark/>
          </w:tcPr>
          <w:p w:rsidR="00CA62A5" w:rsidRPr="009D6561" w:rsidRDefault="00CA62A5" w:rsidP="009D6561">
            <w:pPr>
              <w:pStyle w:val="Tabletext"/>
            </w:pPr>
            <w:r w:rsidRPr="009D6561">
              <w:t>Non-AQF</w:t>
            </w:r>
          </w:p>
        </w:tc>
        <w:tc>
          <w:tcPr>
            <w:tcW w:w="1060"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3.0</w:t>
            </w:r>
          </w:p>
        </w:tc>
        <w:tc>
          <w:tcPr>
            <w:tcW w:w="1061"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2.9</w:t>
            </w:r>
          </w:p>
        </w:tc>
        <w:tc>
          <w:tcPr>
            <w:tcW w:w="1061"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2.2</w:t>
            </w:r>
          </w:p>
        </w:tc>
        <w:tc>
          <w:tcPr>
            <w:tcW w:w="1060"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1.7</w:t>
            </w:r>
          </w:p>
        </w:tc>
        <w:tc>
          <w:tcPr>
            <w:tcW w:w="1061" w:type="dxa"/>
            <w:tcBorders>
              <w:top w:val="nil"/>
              <w:left w:val="nil"/>
              <w:right w:val="nil"/>
            </w:tcBorders>
            <w:shd w:val="clear" w:color="auto" w:fill="auto"/>
            <w:noWrap/>
            <w:hideMark/>
          </w:tcPr>
          <w:p w:rsidR="00CA62A5" w:rsidRPr="009D6561" w:rsidRDefault="00CA62A5" w:rsidP="009D6561">
            <w:pPr>
              <w:pStyle w:val="Tabletext"/>
              <w:tabs>
                <w:tab w:val="decimal" w:pos="397"/>
              </w:tabs>
            </w:pPr>
            <w:r w:rsidRPr="009D6561">
              <w:t>1.7</w:t>
            </w:r>
          </w:p>
        </w:tc>
        <w:tc>
          <w:tcPr>
            <w:tcW w:w="1061" w:type="dxa"/>
            <w:tcBorders>
              <w:top w:val="nil"/>
              <w:left w:val="nil"/>
              <w:right w:val="nil"/>
            </w:tcBorders>
          </w:tcPr>
          <w:p w:rsidR="00CA62A5" w:rsidRPr="009D6561" w:rsidRDefault="00CA62A5" w:rsidP="009D6561">
            <w:pPr>
              <w:pStyle w:val="Tabletext"/>
              <w:tabs>
                <w:tab w:val="decimal" w:pos="397"/>
              </w:tabs>
            </w:pPr>
            <w:r w:rsidRPr="009D6561">
              <w:t>2.3</w:t>
            </w:r>
          </w:p>
        </w:tc>
      </w:tr>
      <w:tr w:rsidR="00CA62A5" w:rsidRPr="009D6561" w:rsidTr="003332D7">
        <w:tc>
          <w:tcPr>
            <w:tcW w:w="2425" w:type="dxa"/>
            <w:tcBorders>
              <w:top w:val="nil"/>
              <w:left w:val="nil"/>
              <w:bottom w:val="single" w:sz="4" w:space="0" w:color="auto"/>
            </w:tcBorders>
            <w:shd w:val="clear" w:color="auto" w:fill="auto"/>
            <w:noWrap/>
            <w:hideMark/>
          </w:tcPr>
          <w:p w:rsidR="00CA62A5" w:rsidRPr="009D6561" w:rsidRDefault="007655B7" w:rsidP="009D6561">
            <w:pPr>
              <w:pStyle w:val="Tabletext"/>
            </w:pPr>
            <w:r w:rsidRPr="009D6561">
              <w:t>Module o</w:t>
            </w:r>
            <w:r w:rsidR="00CA62A5" w:rsidRPr="009D6561">
              <w:t>nly</w:t>
            </w:r>
          </w:p>
        </w:tc>
        <w:tc>
          <w:tcPr>
            <w:tcW w:w="1060"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0.6</w:t>
            </w:r>
          </w:p>
        </w:tc>
        <w:tc>
          <w:tcPr>
            <w:tcW w:w="1061"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0.6</w:t>
            </w:r>
          </w:p>
        </w:tc>
        <w:tc>
          <w:tcPr>
            <w:tcW w:w="1061"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0.3</w:t>
            </w:r>
          </w:p>
        </w:tc>
        <w:tc>
          <w:tcPr>
            <w:tcW w:w="1060"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0.2</w:t>
            </w:r>
          </w:p>
        </w:tc>
        <w:tc>
          <w:tcPr>
            <w:tcW w:w="1061" w:type="dxa"/>
            <w:tcBorders>
              <w:top w:val="nil"/>
              <w:left w:val="nil"/>
              <w:bottom w:val="single" w:sz="4" w:space="0" w:color="auto"/>
              <w:right w:val="nil"/>
            </w:tcBorders>
            <w:shd w:val="clear" w:color="auto" w:fill="auto"/>
            <w:noWrap/>
            <w:hideMark/>
          </w:tcPr>
          <w:p w:rsidR="00CA62A5" w:rsidRPr="009D6561" w:rsidRDefault="00CA62A5" w:rsidP="009D6561">
            <w:pPr>
              <w:pStyle w:val="Tabletext"/>
              <w:tabs>
                <w:tab w:val="decimal" w:pos="397"/>
              </w:tabs>
            </w:pPr>
            <w:r w:rsidRPr="009D6561">
              <w:t>0.2</w:t>
            </w:r>
          </w:p>
        </w:tc>
        <w:tc>
          <w:tcPr>
            <w:tcW w:w="1061" w:type="dxa"/>
            <w:tcBorders>
              <w:top w:val="nil"/>
              <w:left w:val="nil"/>
              <w:bottom w:val="single" w:sz="4" w:space="0" w:color="auto"/>
              <w:right w:val="nil"/>
            </w:tcBorders>
          </w:tcPr>
          <w:p w:rsidR="00CA62A5" w:rsidRPr="009D6561" w:rsidRDefault="00CA62A5" w:rsidP="009D6561">
            <w:pPr>
              <w:pStyle w:val="Tabletext"/>
              <w:tabs>
                <w:tab w:val="decimal" w:pos="397"/>
              </w:tabs>
            </w:pPr>
            <w:r w:rsidRPr="009D6561">
              <w:t>0.3</w:t>
            </w:r>
          </w:p>
        </w:tc>
      </w:tr>
      <w:tr w:rsidR="00CA62A5" w:rsidRPr="009D6561" w:rsidTr="003332D7">
        <w:tc>
          <w:tcPr>
            <w:tcW w:w="2425" w:type="dxa"/>
            <w:tcBorders>
              <w:top w:val="single" w:sz="4" w:space="0" w:color="auto"/>
              <w:left w:val="nil"/>
              <w:bottom w:val="dashed" w:sz="4" w:space="0" w:color="auto"/>
            </w:tcBorders>
            <w:shd w:val="clear" w:color="auto" w:fill="auto"/>
            <w:noWrap/>
            <w:hideMark/>
          </w:tcPr>
          <w:p w:rsidR="00CA62A5" w:rsidRPr="009D6561" w:rsidRDefault="00CA62A5" w:rsidP="009D6561">
            <w:pPr>
              <w:pStyle w:val="Tabletext"/>
              <w:rPr>
                <w:b/>
              </w:rPr>
            </w:pPr>
            <w:r w:rsidRPr="009D6561">
              <w:rPr>
                <w:b/>
              </w:rPr>
              <w:t>Total</w:t>
            </w:r>
          </w:p>
        </w:tc>
        <w:tc>
          <w:tcPr>
            <w:tcW w:w="1060"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37.3</w:t>
            </w:r>
          </w:p>
        </w:tc>
        <w:tc>
          <w:tcPr>
            <w:tcW w:w="1061"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39.5</w:t>
            </w:r>
          </w:p>
        </w:tc>
        <w:tc>
          <w:tcPr>
            <w:tcW w:w="1061"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35.2</w:t>
            </w:r>
          </w:p>
        </w:tc>
        <w:tc>
          <w:tcPr>
            <w:tcW w:w="1060"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29.8</w:t>
            </w:r>
          </w:p>
        </w:tc>
        <w:tc>
          <w:tcPr>
            <w:tcW w:w="1061" w:type="dxa"/>
            <w:tcBorders>
              <w:top w:val="single" w:sz="4" w:space="0" w:color="auto"/>
              <w:left w:val="nil"/>
              <w:bottom w:val="dashed" w:sz="4" w:space="0" w:color="auto"/>
              <w:right w:val="nil"/>
            </w:tcBorders>
            <w:shd w:val="clear" w:color="auto" w:fill="auto"/>
            <w:noWrap/>
            <w:hideMark/>
          </w:tcPr>
          <w:p w:rsidR="00CA62A5" w:rsidRPr="009D6561" w:rsidRDefault="00CA62A5" w:rsidP="009D6561">
            <w:pPr>
              <w:pStyle w:val="Tabletext"/>
              <w:tabs>
                <w:tab w:val="decimal" w:pos="397"/>
              </w:tabs>
              <w:rPr>
                <w:b/>
              </w:rPr>
            </w:pPr>
            <w:r w:rsidRPr="009D6561">
              <w:rPr>
                <w:b/>
              </w:rPr>
              <w:t>20.9</w:t>
            </w:r>
          </w:p>
        </w:tc>
        <w:tc>
          <w:tcPr>
            <w:tcW w:w="1061" w:type="dxa"/>
            <w:tcBorders>
              <w:top w:val="single" w:sz="4" w:space="0" w:color="auto"/>
              <w:left w:val="nil"/>
              <w:bottom w:val="dashed" w:sz="4" w:space="0" w:color="auto"/>
              <w:right w:val="nil"/>
            </w:tcBorders>
          </w:tcPr>
          <w:p w:rsidR="00CA62A5" w:rsidRPr="009D6561" w:rsidRDefault="00CA62A5" w:rsidP="009D6561">
            <w:pPr>
              <w:pStyle w:val="Tabletext"/>
              <w:tabs>
                <w:tab w:val="decimal" w:pos="397"/>
              </w:tabs>
              <w:rPr>
                <w:b/>
              </w:rPr>
            </w:pPr>
            <w:r w:rsidRPr="009D6561">
              <w:rPr>
                <w:b/>
              </w:rPr>
              <w:t>32.4</w:t>
            </w:r>
            <w:r w:rsidR="001F0B14" w:rsidRPr="00120265">
              <w:rPr>
                <w:b/>
                <w:vertAlign w:val="superscript"/>
              </w:rPr>
              <w:t>a</w:t>
            </w:r>
          </w:p>
        </w:tc>
      </w:tr>
      <w:tr w:rsidR="00CA62A5" w:rsidRPr="009D6561" w:rsidTr="003332D7">
        <w:tc>
          <w:tcPr>
            <w:tcW w:w="2425" w:type="dxa"/>
            <w:tcBorders>
              <w:top w:val="dashed" w:sz="4" w:space="0" w:color="auto"/>
              <w:left w:val="nil"/>
            </w:tcBorders>
            <w:shd w:val="clear" w:color="auto" w:fill="auto"/>
            <w:noWrap/>
            <w:hideMark/>
          </w:tcPr>
          <w:p w:rsidR="00CA62A5" w:rsidRPr="009D6561" w:rsidRDefault="005E4BD8" w:rsidP="009D6561">
            <w:pPr>
              <w:pStyle w:val="Tabletext"/>
              <w:rPr>
                <w:b/>
              </w:rPr>
            </w:pPr>
            <w:r w:rsidRPr="009D6561">
              <w:rPr>
                <w:b/>
              </w:rPr>
              <w:t>Total 15 to 19-year-</w:t>
            </w:r>
            <w:r w:rsidR="00CA62A5" w:rsidRPr="009D6561">
              <w:rPr>
                <w:b/>
              </w:rPr>
              <w:t>olds participating in VET</w:t>
            </w:r>
          </w:p>
        </w:tc>
        <w:tc>
          <w:tcPr>
            <w:tcW w:w="1060" w:type="dxa"/>
            <w:tcBorders>
              <w:top w:val="dashed" w:sz="4" w:space="0" w:color="auto"/>
              <w:left w:val="nil"/>
              <w:right w:val="nil"/>
            </w:tcBorders>
            <w:shd w:val="clear" w:color="auto" w:fill="auto"/>
            <w:noWrap/>
            <w:hideMark/>
          </w:tcPr>
          <w:p w:rsidR="00CA62A5" w:rsidRPr="009D6561" w:rsidRDefault="00CA62A5" w:rsidP="00B440DE">
            <w:pPr>
              <w:pStyle w:val="Tabletext"/>
              <w:ind w:right="198"/>
              <w:jc w:val="right"/>
              <w:rPr>
                <w:b/>
              </w:rPr>
            </w:pPr>
            <w:r w:rsidRPr="009D6561">
              <w:rPr>
                <w:b/>
              </w:rPr>
              <w:t>87 172</w:t>
            </w:r>
          </w:p>
        </w:tc>
        <w:tc>
          <w:tcPr>
            <w:tcW w:w="1061" w:type="dxa"/>
            <w:tcBorders>
              <w:top w:val="dashed" w:sz="4" w:space="0" w:color="auto"/>
              <w:left w:val="nil"/>
              <w:right w:val="nil"/>
            </w:tcBorders>
            <w:shd w:val="clear" w:color="auto" w:fill="auto"/>
            <w:noWrap/>
            <w:hideMark/>
          </w:tcPr>
          <w:p w:rsidR="00CA62A5" w:rsidRPr="009D6561" w:rsidRDefault="00CA62A5" w:rsidP="00B440DE">
            <w:pPr>
              <w:pStyle w:val="Tabletext"/>
              <w:ind w:right="170"/>
              <w:jc w:val="right"/>
              <w:rPr>
                <w:b/>
              </w:rPr>
            </w:pPr>
            <w:r w:rsidRPr="009D6561">
              <w:rPr>
                <w:b/>
              </w:rPr>
              <w:t>114 680</w:t>
            </w:r>
          </w:p>
        </w:tc>
        <w:tc>
          <w:tcPr>
            <w:tcW w:w="1061" w:type="dxa"/>
            <w:tcBorders>
              <w:top w:val="dashed" w:sz="4" w:space="0" w:color="auto"/>
              <w:left w:val="nil"/>
              <w:right w:val="nil"/>
            </w:tcBorders>
            <w:shd w:val="clear" w:color="auto" w:fill="auto"/>
            <w:noWrap/>
            <w:hideMark/>
          </w:tcPr>
          <w:p w:rsidR="00CA62A5" w:rsidRPr="009D6561" w:rsidRDefault="00CA62A5" w:rsidP="00B440DE">
            <w:pPr>
              <w:pStyle w:val="Tabletext"/>
              <w:ind w:right="198"/>
              <w:jc w:val="right"/>
              <w:rPr>
                <w:b/>
              </w:rPr>
            </w:pPr>
            <w:r w:rsidRPr="009D6561">
              <w:rPr>
                <w:b/>
              </w:rPr>
              <w:t>98 632</w:t>
            </w:r>
          </w:p>
        </w:tc>
        <w:tc>
          <w:tcPr>
            <w:tcW w:w="1060" w:type="dxa"/>
            <w:tcBorders>
              <w:top w:val="dashed" w:sz="4" w:space="0" w:color="auto"/>
              <w:left w:val="nil"/>
              <w:right w:val="nil"/>
            </w:tcBorders>
            <w:shd w:val="clear" w:color="auto" w:fill="auto"/>
            <w:noWrap/>
            <w:hideMark/>
          </w:tcPr>
          <w:p w:rsidR="00CA62A5" w:rsidRPr="009D6561" w:rsidRDefault="00CA62A5" w:rsidP="00B440DE">
            <w:pPr>
              <w:pStyle w:val="Tabletext"/>
              <w:ind w:right="198"/>
              <w:jc w:val="right"/>
              <w:rPr>
                <w:b/>
              </w:rPr>
            </w:pPr>
            <w:r w:rsidRPr="009D6561">
              <w:rPr>
                <w:b/>
              </w:rPr>
              <w:t>98 259</w:t>
            </w:r>
          </w:p>
        </w:tc>
        <w:tc>
          <w:tcPr>
            <w:tcW w:w="1061" w:type="dxa"/>
            <w:tcBorders>
              <w:top w:val="dashed" w:sz="4" w:space="0" w:color="auto"/>
              <w:left w:val="nil"/>
              <w:right w:val="nil"/>
            </w:tcBorders>
            <w:shd w:val="clear" w:color="auto" w:fill="auto"/>
            <w:noWrap/>
            <w:hideMark/>
          </w:tcPr>
          <w:p w:rsidR="00CA62A5" w:rsidRPr="009D6561" w:rsidRDefault="00CA62A5" w:rsidP="00B440DE">
            <w:pPr>
              <w:pStyle w:val="Tabletext"/>
              <w:ind w:right="198"/>
              <w:jc w:val="right"/>
              <w:rPr>
                <w:b/>
              </w:rPr>
            </w:pPr>
            <w:r w:rsidRPr="009D6561">
              <w:rPr>
                <w:b/>
              </w:rPr>
              <w:t>56 150</w:t>
            </w:r>
          </w:p>
        </w:tc>
        <w:tc>
          <w:tcPr>
            <w:tcW w:w="1061" w:type="dxa"/>
            <w:tcBorders>
              <w:top w:val="dashed" w:sz="4" w:space="0" w:color="auto"/>
              <w:left w:val="nil"/>
              <w:right w:val="nil"/>
            </w:tcBorders>
          </w:tcPr>
          <w:p w:rsidR="00CA62A5" w:rsidRPr="009D6561" w:rsidRDefault="00CA62A5" w:rsidP="00B440DE">
            <w:pPr>
              <w:pStyle w:val="Tabletext"/>
              <w:ind w:right="170"/>
              <w:jc w:val="right"/>
              <w:rPr>
                <w:b/>
              </w:rPr>
            </w:pPr>
            <w:r w:rsidRPr="009D6561">
              <w:rPr>
                <w:b/>
              </w:rPr>
              <w:t>454 939</w:t>
            </w:r>
          </w:p>
        </w:tc>
      </w:tr>
      <w:tr w:rsidR="00CA62A5" w:rsidRPr="009D6561" w:rsidTr="00B440DE">
        <w:tc>
          <w:tcPr>
            <w:tcW w:w="2425" w:type="dxa"/>
            <w:tcBorders>
              <w:top w:val="nil"/>
              <w:left w:val="nil"/>
              <w:bottom w:val="single" w:sz="4" w:space="0" w:color="auto"/>
            </w:tcBorders>
            <w:shd w:val="clear" w:color="auto" w:fill="auto"/>
            <w:noWrap/>
            <w:hideMark/>
          </w:tcPr>
          <w:p w:rsidR="00CA62A5" w:rsidRPr="009D6561" w:rsidRDefault="005E4BD8" w:rsidP="009D6561">
            <w:pPr>
              <w:pStyle w:val="Tabletext"/>
            </w:pPr>
            <w:r w:rsidRPr="009D6561">
              <w:t>Number of 15 to 19-year-</w:t>
            </w:r>
            <w:r w:rsidR="00CA62A5" w:rsidRPr="009D6561">
              <w:t>olds in quintile</w:t>
            </w:r>
          </w:p>
        </w:tc>
        <w:tc>
          <w:tcPr>
            <w:tcW w:w="1060"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233 803</w:t>
            </w:r>
          </w:p>
        </w:tc>
        <w:tc>
          <w:tcPr>
            <w:tcW w:w="1061"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70"/>
              <w:jc w:val="right"/>
            </w:pPr>
            <w:r w:rsidRPr="009D6561">
              <w:t>290 600</w:t>
            </w:r>
          </w:p>
        </w:tc>
        <w:tc>
          <w:tcPr>
            <w:tcW w:w="1061"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280 259</w:t>
            </w:r>
          </w:p>
        </w:tc>
        <w:tc>
          <w:tcPr>
            <w:tcW w:w="1060"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329 986</w:t>
            </w:r>
          </w:p>
        </w:tc>
        <w:tc>
          <w:tcPr>
            <w:tcW w:w="1061" w:type="dxa"/>
            <w:tcBorders>
              <w:top w:val="nil"/>
              <w:left w:val="nil"/>
              <w:bottom w:val="single" w:sz="4" w:space="0" w:color="auto"/>
              <w:right w:val="nil"/>
            </w:tcBorders>
            <w:shd w:val="clear" w:color="auto" w:fill="auto"/>
            <w:noWrap/>
            <w:hideMark/>
          </w:tcPr>
          <w:p w:rsidR="00CA62A5" w:rsidRPr="009D6561" w:rsidRDefault="00CA62A5" w:rsidP="00B440DE">
            <w:pPr>
              <w:pStyle w:val="Tabletext"/>
              <w:ind w:right="198"/>
              <w:jc w:val="right"/>
            </w:pPr>
            <w:r w:rsidRPr="009D6561">
              <w:t>268 259</w:t>
            </w:r>
          </w:p>
        </w:tc>
        <w:tc>
          <w:tcPr>
            <w:tcW w:w="1061" w:type="dxa"/>
            <w:tcBorders>
              <w:top w:val="nil"/>
              <w:left w:val="nil"/>
              <w:bottom w:val="single" w:sz="4" w:space="0" w:color="auto"/>
              <w:right w:val="nil"/>
            </w:tcBorders>
            <w:tcMar>
              <w:left w:w="0" w:type="dxa"/>
            </w:tcMar>
          </w:tcPr>
          <w:p w:rsidR="00CA62A5" w:rsidRPr="009D6561" w:rsidRDefault="00CA62A5" w:rsidP="00B440DE">
            <w:pPr>
              <w:pStyle w:val="Tabletext"/>
              <w:ind w:right="170"/>
              <w:jc w:val="right"/>
            </w:pPr>
            <w:r w:rsidRPr="009D6561">
              <w:t>1 403 435</w:t>
            </w:r>
          </w:p>
        </w:tc>
      </w:tr>
    </w:tbl>
    <w:p w:rsidR="00C56874" w:rsidRDefault="00C56874" w:rsidP="00C56874">
      <w:pPr>
        <w:pStyle w:val="Source"/>
        <w:tabs>
          <w:tab w:val="left" w:pos="567"/>
        </w:tabs>
        <w:ind w:left="709" w:hanging="709"/>
      </w:pPr>
      <w:r w:rsidRPr="001F0B14">
        <w:t>Note</w:t>
      </w:r>
      <w:r>
        <w:t>:</w:t>
      </w:r>
      <w:r>
        <w:tab/>
        <w:t>a</w:t>
      </w:r>
      <w:r>
        <w:tab/>
        <w:t>T</w:t>
      </w:r>
      <w:r w:rsidRPr="001F0B14">
        <w:t xml:space="preserve">his figure is different </w:t>
      </w:r>
      <w:r>
        <w:t>from that in t</w:t>
      </w:r>
      <w:r w:rsidRPr="001F0B14">
        <w:t>able 12 due to a number of individuals with missing or unknown VET qualification categories</w:t>
      </w:r>
      <w:r w:rsidR="009D6561">
        <w:t>.</w:t>
      </w:r>
    </w:p>
    <w:p w:rsidR="000A0209" w:rsidRDefault="000A0209" w:rsidP="00C244B4">
      <w:pPr>
        <w:pStyle w:val="Text"/>
        <w:rPr>
          <w:rFonts w:ascii="Tahoma" w:hAnsi="Tahoma"/>
          <w:sz w:val="17"/>
        </w:rPr>
      </w:pPr>
      <w:r>
        <w:br w:type="page"/>
      </w:r>
    </w:p>
    <w:p w:rsidR="00636D48" w:rsidRPr="0037307C" w:rsidRDefault="005E4BD8" w:rsidP="000A0209">
      <w:pPr>
        <w:pStyle w:val="tabletitle"/>
      </w:pPr>
      <w:bookmarkStart w:id="70" w:name="_Toc383616147"/>
      <w:r>
        <w:lastRenderedPageBreak/>
        <w:t>T</w:t>
      </w:r>
      <w:r w:rsidR="00636D48" w:rsidRPr="0037307C">
        <w:t xml:space="preserve">able </w:t>
      </w:r>
      <w:r w:rsidR="0002480D">
        <w:t>20</w:t>
      </w:r>
      <w:r w:rsidR="000A0209">
        <w:tab/>
      </w:r>
      <w:r w:rsidR="007655B7">
        <w:t>P</w:t>
      </w:r>
      <w:r w:rsidR="00636D48" w:rsidRPr="0037307C">
        <w:t>articipation in VET</w:t>
      </w:r>
      <w:r w:rsidR="007655B7">
        <w:t>,</w:t>
      </w:r>
      <w:r w:rsidR="00636D48" w:rsidRPr="0037307C">
        <w:t xml:space="preserve"> </w:t>
      </w:r>
      <w:r w:rsidR="007655B7">
        <w:t xml:space="preserve">20 to 24-year-olds, </w:t>
      </w:r>
      <w:r w:rsidR="00636D48" w:rsidRPr="0037307C">
        <w:t xml:space="preserve">by qualification and </w:t>
      </w:r>
      <w:r w:rsidR="00636D48">
        <w:t>SES</w:t>
      </w:r>
      <w:r w:rsidR="00636D48" w:rsidRPr="0037307C">
        <w:t xml:space="preserve"> quintiles</w:t>
      </w:r>
      <w:r w:rsidR="00636D48">
        <w:t>,</w:t>
      </w:r>
      <w:r w:rsidR="00636D48" w:rsidRPr="0037307C">
        <w:t xml:space="preserve"> </w:t>
      </w:r>
      <w:r>
        <w:t>statistical local areas</w:t>
      </w:r>
      <w:r w:rsidR="00636D48">
        <w:t>, 2006</w:t>
      </w:r>
      <w:bookmarkEnd w:id="70"/>
    </w:p>
    <w:tbl>
      <w:tblPr>
        <w:tblW w:w="8789" w:type="dxa"/>
        <w:tblInd w:w="93" w:type="dxa"/>
        <w:tblLayout w:type="fixed"/>
        <w:tblLook w:val="04A0" w:firstRow="1" w:lastRow="0" w:firstColumn="1" w:lastColumn="0" w:noHBand="0" w:noVBand="1"/>
      </w:tblPr>
      <w:tblGrid>
        <w:gridCol w:w="2425"/>
        <w:gridCol w:w="1060"/>
        <w:gridCol w:w="1061"/>
        <w:gridCol w:w="1061"/>
        <w:gridCol w:w="1060"/>
        <w:gridCol w:w="1061"/>
        <w:gridCol w:w="1061"/>
      </w:tblGrid>
      <w:tr w:rsidR="00EB2C5F" w:rsidRPr="00120265" w:rsidTr="00120265">
        <w:tc>
          <w:tcPr>
            <w:tcW w:w="2425" w:type="dxa"/>
            <w:tcBorders>
              <w:top w:val="single" w:sz="4" w:space="0" w:color="auto"/>
              <w:left w:val="nil"/>
              <w:bottom w:val="nil"/>
              <w:right w:val="nil"/>
            </w:tcBorders>
            <w:shd w:val="clear" w:color="auto" w:fill="auto"/>
            <w:noWrap/>
            <w:hideMark/>
          </w:tcPr>
          <w:p w:rsidR="00EB2C5F" w:rsidRPr="00120265" w:rsidRDefault="00120265" w:rsidP="00120265">
            <w:pPr>
              <w:pStyle w:val="Tablehead1"/>
            </w:pPr>
            <w:r w:rsidRPr="00120265">
              <w:t>Qualification category</w:t>
            </w:r>
          </w:p>
        </w:tc>
        <w:tc>
          <w:tcPr>
            <w:tcW w:w="6364" w:type="dxa"/>
            <w:gridSpan w:val="6"/>
            <w:tcBorders>
              <w:top w:val="single" w:sz="4" w:space="0" w:color="auto"/>
              <w:left w:val="nil"/>
              <w:bottom w:val="nil"/>
            </w:tcBorders>
            <w:shd w:val="clear" w:color="auto" w:fill="auto"/>
            <w:noWrap/>
            <w:hideMark/>
          </w:tcPr>
          <w:p w:rsidR="00EB2C5F" w:rsidRPr="00120265" w:rsidRDefault="00A34FFA" w:rsidP="00120265">
            <w:pPr>
              <w:pStyle w:val="Tablehead1"/>
              <w:jc w:val="center"/>
            </w:pPr>
            <w:r w:rsidRPr="00120265">
              <w:t>2006 using 2006 IRSD</w:t>
            </w:r>
            <w:r w:rsidR="00EB2C5F" w:rsidRPr="00120265">
              <w:t xml:space="preserve"> </w:t>
            </w:r>
            <w:r w:rsidR="008972A8" w:rsidRPr="00120265">
              <w:t>q</w:t>
            </w:r>
            <w:r w:rsidR="00EB2C5F" w:rsidRPr="00120265">
              <w:t>uintiles</w:t>
            </w:r>
          </w:p>
        </w:tc>
      </w:tr>
      <w:tr w:rsidR="00EB2C5F" w:rsidRPr="005D5792" w:rsidTr="00120265">
        <w:tc>
          <w:tcPr>
            <w:tcW w:w="2425" w:type="dxa"/>
            <w:tcBorders>
              <w:top w:val="nil"/>
              <w:left w:val="nil"/>
              <w:bottom w:val="single" w:sz="4" w:space="0" w:color="auto"/>
              <w:right w:val="nil"/>
            </w:tcBorders>
            <w:shd w:val="clear" w:color="auto" w:fill="auto"/>
            <w:noWrap/>
            <w:hideMark/>
          </w:tcPr>
          <w:p w:rsidR="00EB2C5F" w:rsidRPr="005D5792" w:rsidRDefault="00EB2C5F" w:rsidP="00120265">
            <w:pPr>
              <w:pStyle w:val="Tablehead2"/>
            </w:pPr>
          </w:p>
        </w:tc>
        <w:tc>
          <w:tcPr>
            <w:tcW w:w="1060" w:type="dxa"/>
            <w:tcBorders>
              <w:top w:val="nil"/>
              <w:left w:val="nil"/>
              <w:bottom w:val="single" w:sz="4" w:space="0" w:color="auto"/>
              <w:right w:val="nil"/>
            </w:tcBorders>
            <w:shd w:val="clear" w:color="auto" w:fill="auto"/>
            <w:noWrap/>
            <w:hideMark/>
          </w:tcPr>
          <w:p w:rsidR="00EB2C5F" w:rsidRPr="005D5792" w:rsidRDefault="00EB2C5F" w:rsidP="00120265">
            <w:pPr>
              <w:pStyle w:val="Tablehead2"/>
              <w:jc w:val="center"/>
            </w:pPr>
            <w:r w:rsidRPr="005D5792">
              <w:t>1</w:t>
            </w:r>
          </w:p>
        </w:tc>
        <w:tc>
          <w:tcPr>
            <w:tcW w:w="1061" w:type="dxa"/>
            <w:tcBorders>
              <w:top w:val="nil"/>
              <w:left w:val="nil"/>
              <w:bottom w:val="single" w:sz="4" w:space="0" w:color="auto"/>
              <w:right w:val="nil"/>
            </w:tcBorders>
            <w:shd w:val="clear" w:color="auto" w:fill="auto"/>
            <w:noWrap/>
            <w:hideMark/>
          </w:tcPr>
          <w:p w:rsidR="00EB2C5F" w:rsidRPr="005D5792" w:rsidRDefault="00EB2C5F" w:rsidP="00120265">
            <w:pPr>
              <w:pStyle w:val="Tablehead2"/>
              <w:jc w:val="center"/>
            </w:pPr>
            <w:r w:rsidRPr="005D5792">
              <w:t>2</w:t>
            </w:r>
          </w:p>
        </w:tc>
        <w:tc>
          <w:tcPr>
            <w:tcW w:w="1061" w:type="dxa"/>
            <w:tcBorders>
              <w:top w:val="nil"/>
              <w:left w:val="nil"/>
              <w:bottom w:val="single" w:sz="4" w:space="0" w:color="auto"/>
              <w:right w:val="nil"/>
            </w:tcBorders>
            <w:shd w:val="clear" w:color="auto" w:fill="auto"/>
            <w:noWrap/>
            <w:hideMark/>
          </w:tcPr>
          <w:p w:rsidR="00EB2C5F" w:rsidRPr="005D5792" w:rsidRDefault="00EB2C5F" w:rsidP="00120265">
            <w:pPr>
              <w:pStyle w:val="Tablehead2"/>
              <w:jc w:val="center"/>
            </w:pPr>
            <w:r w:rsidRPr="005D5792">
              <w:t>3</w:t>
            </w:r>
          </w:p>
        </w:tc>
        <w:tc>
          <w:tcPr>
            <w:tcW w:w="1060" w:type="dxa"/>
            <w:tcBorders>
              <w:top w:val="nil"/>
              <w:left w:val="nil"/>
              <w:bottom w:val="single" w:sz="4" w:space="0" w:color="auto"/>
              <w:right w:val="nil"/>
            </w:tcBorders>
            <w:shd w:val="clear" w:color="auto" w:fill="auto"/>
            <w:noWrap/>
            <w:hideMark/>
          </w:tcPr>
          <w:p w:rsidR="00EB2C5F" w:rsidRPr="005D5792" w:rsidRDefault="00EB2C5F" w:rsidP="00120265">
            <w:pPr>
              <w:pStyle w:val="Tablehead2"/>
              <w:jc w:val="center"/>
            </w:pPr>
            <w:r w:rsidRPr="005D5792">
              <w:t>4</w:t>
            </w:r>
          </w:p>
        </w:tc>
        <w:tc>
          <w:tcPr>
            <w:tcW w:w="1061" w:type="dxa"/>
            <w:tcBorders>
              <w:top w:val="nil"/>
              <w:left w:val="nil"/>
              <w:bottom w:val="single" w:sz="4" w:space="0" w:color="auto"/>
            </w:tcBorders>
            <w:shd w:val="clear" w:color="auto" w:fill="auto"/>
            <w:noWrap/>
            <w:hideMark/>
          </w:tcPr>
          <w:p w:rsidR="00EB2C5F" w:rsidRPr="005D5792" w:rsidRDefault="00EB2C5F" w:rsidP="00120265">
            <w:pPr>
              <w:pStyle w:val="Tablehead2"/>
              <w:jc w:val="center"/>
            </w:pPr>
            <w:r w:rsidRPr="005D5792">
              <w:t>5</w:t>
            </w:r>
          </w:p>
        </w:tc>
        <w:tc>
          <w:tcPr>
            <w:tcW w:w="1061" w:type="dxa"/>
            <w:tcBorders>
              <w:top w:val="nil"/>
              <w:bottom w:val="single" w:sz="4" w:space="0" w:color="auto"/>
            </w:tcBorders>
          </w:tcPr>
          <w:p w:rsidR="00EB2C5F" w:rsidRPr="005D5792" w:rsidRDefault="00EB2C5F" w:rsidP="00120265">
            <w:pPr>
              <w:pStyle w:val="Tablehead2"/>
              <w:jc w:val="center"/>
            </w:pPr>
            <w:r>
              <w:t>Total</w:t>
            </w:r>
          </w:p>
        </w:tc>
      </w:tr>
      <w:tr w:rsidR="00EB2C5F" w:rsidRPr="00120265" w:rsidTr="00120265">
        <w:tc>
          <w:tcPr>
            <w:tcW w:w="2425" w:type="dxa"/>
            <w:tcBorders>
              <w:top w:val="nil"/>
              <w:left w:val="nil"/>
              <w:bottom w:val="nil"/>
              <w:right w:val="nil"/>
            </w:tcBorders>
            <w:shd w:val="clear" w:color="auto" w:fill="auto"/>
            <w:noWrap/>
            <w:hideMark/>
          </w:tcPr>
          <w:p w:rsidR="00EB2C5F" w:rsidRPr="00120265" w:rsidRDefault="00EB2C5F" w:rsidP="00120265">
            <w:pPr>
              <w:pStyle w:val="Tabletext"/>
            </w:pPr>
            <w:r w:rsidRPr="00120265">
              <w:t>Diploma and above</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2.4</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2.1</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2.1</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2.5</w:t>
            </w:r>
          </w:p>
        </w:tc>
        <w:tc>
          <w:tcPr>
            <w:tcW w:w="1061" w:type="dxa"/>
            <w:tcBorders>
              <w:top w:val="nil"/>
              <w:left w:val="nil"/>
              <w:bottom w:val="nil"/>
            </w:tcBorders>
            <w:shd w:val="clear" w:color="auto" w:fill="auto"/>
            <w:noWrap/>
            <w:hideMark/>
          </w:tcPr>
          <w:p w:rsidR="00EB2C5F" w:rsidRPr="00120265" w:rsidRDefault="00EB2C5F" w:rsidP="00120265">
            <w:pPr>
              <w:pStyle w:val="Tabletext"/>
              <w:tabs>
                <w:tab w:val="decimal" w:pos="397"/>
              </w:tabs>
            </w:pPr>
            <w:r w:rsidRPr="00120265">
              <w:t>2.9</w:t>
            </w:r>
          </w:p>
        </w:tc>
        <w:tc>
          <w:tcPr>
            <w:tcW w:w="1061" w:type="dxa"/>
            <w:tcBorders>
              <w:top w:val="nil"/>
              <w:bottom w:val="nil"/>
            </w:tcBorders>
          </w:tcPr>
          <w:p w:rsidR="00EB2C5F" w:rsidRPr="00120265" w:rsidRDefault="00EB2C5F" w:rsidP="00120265">
            <w:pPr>
              <w:pStyle w:val="Tabletext"/>
              <w:tabs>
                <w:tab w:val="decimal" w:pos="397"/>
              </w:tabs>
            </w:pPr>
            <w:r w:rsidRPr="00120265">
              <w:rPr>
                <w:szCs w:val="22"/>
              </w:rPr>
              <w:t>2.4</w:t>
            </w:r>
          </w:p>
        </w:tc>
      </w:tr>
      <w:tr w:rsidR="00EB2C5F" w:rsidRPr="00120265" w:rsidTr="00120265">
        <w:tc>
          <w:tcPr>
            <w:tcW w:w="2425" w:type="dxa"/>
            <w:tcBorders>
              <w:top w:val="nil"/>
              <w:left w:val="nil"/>
              <w:bottom w:val="nil"/>
              <w:right w:val="nil"/>
            </w:tcBorders>
            <w:shd w:val="clear" w:color="auto" w:fill="auto"/>
            <w:noWrap/>
            <w:hideMark/>
          </w:tcPr>
          <w:p w:rsidR="00EB2C5F" w:rsidRPr="00120265" w:rsidRDefault="00EB2C5F" w:rsidP="00120265">
            <w:pPr>
              <w:pStyle w:val="Tabletext"/>
            </w:pPr>
            <w:r w:rsidRPr="00120265">
              <w:t>Certificate IV</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2.0</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2.1</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1.9</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1.9</w:t>
            </w:r>
          </w:p>
        </w:tc>
        <w:tc>
          <w:tcPr>
            <w:tcW w:w="1061" w:type="dxa"/>
            <w:tcBorders>
              <w:top w:val="nil"/>
              <w:left w:val="nil"/>
              <w:bottom w:val="nil"/>
            </w:tcBorders>
            <w:shd w:val="clear" w:color="auto" w:fill="auto"/>
            <w:noWrap/>
            <w:hideMark/>
          </w:tcPr>
          <w:p w:rsidR="00EB2C5F" w:rsidRPr="00120265" w:rsidRDefault="00EB2C5F" w:rsidP="00120265">
            <w:pPr>
              <w:pStyle w:val="Tabletext"/>
              <w:tabs>
                <w:tab w:val="decimal" w:pos="397"/>
              </w:tabs>
            </w:pPr>
            <w:r w:rsidRPr="00120265">
              <w:t>1.7</w:t>
            </w:r>
          </w:p>
        </w:tc>
        <w:tc>
          <w:tcPr>
            <w:tcW w:w="1061" w:type="dxa"/>
            <w:tcBorders>
              <w:top w:val="nil"/>
              <w:bottom w:val="nil"/>
            </w:tcBorders>
          </w:tcPr>
          <w:p w:rsidR="00EB2C5F" w:rsidRPr="00120265" w:rsidRDefault="00EB2C5F" w:rsidP="00120265">
            <w:pPr>
              <w:pStyle w:val="Tabletext"/>
              <w:tabs>
                <w:tab w:val="decimal" w:pos="397"/>
              </w:tabs>
            </w:pPr>
            <w:r w:rsidRPr="00120265">
              <w:rPr>
                <w:szCs w:val="22"/>
              </w:rPr>
              <w:t>1.9</w:t>
            </w:r>
          </w:p>
        </w:tc>
      </w:tr>
      <w:tr w:rsidR="00EB2C5F" w:rsidRPr="00120265" w:rsidTr="00120265">
        <w:tc>
          <w:tcPr>
            <w:tcW w:w="2425" w:type="dxa"/>
            <w:tcBorders>
              <w:top w:val="nil"/>
              <w:left w:val="nil"/>
              <w:bottom w:val="nil"/>
              <w:right w:val="nil"/>
            </w:tcBorders>
            <w:shd w:val="clear" w:color="auto" w:fill="auto"/>
            <w:noWrap/>
            <w:hideMark/>
          </w:tcPr>
          <w:p w:rsidR="00EB2C5F" w:rsidRPr="00120265" w:rsidRDefault="00EB2C5F" w:rsidP="00120265">
            <w:pPr>
              <w:pStyle w:val="Tabletext"/>
            </w:pPr>
            <w:r w:rsidRPr="00120265">
              <w:t>Certificate III</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7.2</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7.9</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6.7</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6.8</w:t>
            </w:r>
          </w:p>
        </w:tc>
        <w:tc>
          <w:tcPr>
            <w:tcW w:w="1061" w:type="dxa"/>
            <w:tcBorders>
              <w:top w:val="nil"/>
              <w:left w:val="nil"/>
              <w:bottom w:val="nil"/>
            </w:tcBorders>
            <w:shd w:val="clear" w:color="auto" w:fill="auto"/>
            <w:noWrap/>
            <w:hideMark/>
          </w:tcPr>
          <w:p w:rsidR="00EB2C5F" w:rsidRPr="00120265" w:rsidRDefault="00EB2C5F" w:rsidP="00120265">
            <w:pPr>
              <w:pStyle w:val="Tabletext"/>
              <w:tabs>
                <w:tab w:val="decimal" w:pos="397"/>
              </w:tabs>
            </w:pPr>
            <w:r w:rsidRPr="00120265">
              <w:t>5.5</w:t>
            </w:r>
          </w:p>
        </w:tc>
        <w:tc>
          <w:tcPr>
            <w:tcW w:w="1061" w:type="dxa"/>
            <w:tcBorders>
              <w:top w:val="nil"/>
              <w:bottom w:val="nil"/>
            </w:tcBorders>
          </w:tcPr>
          <w:p w:rsidR="00EB2C5F" w:rsidRPr="00120265" w:rsidRDefault="00EB2C5F" w:rsidP="00120265">
            <w:pPr>
              <w:pStyle w:val="Tabletext"/>
              <w:tabs>
                <w:tab w:val="decimal" w:pos="397"/>
              </w:tabs>
            </w:pPr>
            <w:r w:rsidRPr="00120265">
              <w:rPr>
                <w:szCs w:val="22"/>
              </w:rPr>
              <w:t>6.8</w:t>
            </w:r>
          </w:p>
        </w:tc>
      </w:tr>
      <w:tr w:rsidR="00EB2C5F" w:rsidRPr="00120265" w:rsidTr="00120265">
        <w:tc>
          <w:tcPr>
            <w:tcW w:w="2425" w:type="dxa"/>
            <w:tcBorders>
              <w:top w:val="nil"/>
              <w:left w:val="nil"/>
              <w:bottom w:val="nil"/>
              <w:right w:val="nil"/>
            </w:tcBorders>
            <w:shd w:val="clear" w:color="auto" w:fill="auto"/>
            <w:noWrap/>
            <w:hideMark/>
          </w:tcPr>
          <w:p w:rsidR="00EB2C5F" w:rsidRPr="00120265" w:rsidRDefault="00EB2C5F" w:rsidP="00120265">
            <w:pPr>
              <w:pStyle w:val="Tabletext"/>
            </w:pPr>
            <w:r w:rsidRPr="00120265">
              <w:t>Certificate II</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2.9</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2.6</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2.2</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1.6</w:t>
            </w:r>
          </w:p>
        </w:tc>
        <w:tc>
          <w:tcPr>
            <w:tcW w:w="1061" w:type="dxa"/>
            <w:tcBorders>
              <w:top w:val="nil"/>
              <w:left w:val="nil"/>
              <w:bottom w:val="nil"/>
            </w:tcBorders>
            <w:shd w:val="clear" w:color="auto" w:fill="auto"/>
            <w:noWrap/>
            <w:hideMark/>
          </w:tcPr>
          <w:p w:rsidR="00EB2C5F" w:rsidRPr="00120265" w:rsidRDefault="00EB2C5F" w:rsidP="00120265">
            <w:pPr>
              <w:pStyle w:val="Tabletext"/>
              <w:tabs>
                <w:tab w:val="decimal" w:pos="397"/>
              </w:tabs>
            </w:pPr>
            <w:r w:rsidRPr="00120265">
              <w:t>1.0</w:t>
            </w:r>
          </w:p>
        </w:tc>
        <w:tc>
          <w:tcPr>
            <w:tcW w:w="1061" w:type="dxa"/>
            <w:tcBorders>
              <w:top w:val="nil"/>
              <w:bottom w:val="nil"/>
            </w:tcBorders>
          </w:tcPr>
          <w:p w:rsidR="00EB2C5F" w:rsidRPr="00120265" w:rsidRDefault="00EB2C5F" w:rsidP="00120265">
            <w:pPr>
              <w:pStyle w:val="Tabletext"/>
              <w:tabs>
                <w:tab w:val="decimal" w:pos="397"/>
              </w:tabs>
            </w:pPr>
            <w:r w:rsidRPr="00120265">
              <w:rPr>
                <w:szCs w:val="22"/>
              </w:rPr>
              <w:t>1.9</w:t>
            </w:r>
          </w:p>
        </w:tc>
      </w:tr>
      <w:tr w:rsidR="00EB2C5F" w:rsidRPr="00120265" w:rsidTr="00120265">
        <w:tc>
          <w:tcPr>
            <w:tcW w:w="2425" w:type="dxa"/>
            <w:tcBorders>
              <w:top w:val="nil"/>
              <w:left w:val="nil"/>
              <w:bottom w:val="nil"/>
              <w:right w:val="nil"/>
            </w:tcBorders>
            <w:shd w:val="clear" w:color="auto" w:fill="auto"/>
            <w:noWrap/>
            <w:hideMark/>
          </w:tcPr>
          <w:p w:rsidR="00EB2C5F" w:rsidRPr="00120265" w:rsidRDefault="00EB2C5F" w:rsidP="00120265">
            <w:pPr>
              <w:pStyle w:val="Tabletext"/>
            </w:pPr>
            <w:r w:rsidRPr="00120265">
              <w:t>Certificate I</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1.0</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0.7</w:t>
            </w:r>
          </w:p>
        </w:tc>
        <w:tc>
          <w:tcPr>
            <w:tcW w:w="1061"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0.7</w:t>
            </w:r>
          </w:p>
        </w:tc>
        <w:tc>
          <w:tcPr>
            <w:tcW w:w="1060" w:type="dxa"/>
            <w:tcBorders>
              <w:top w:val="nil"/>
              <w:left w:val="nil"/>
              <w:bottom w:val="nil"/>
              <w:right w:val="nil"/>
            </w:tcBorders>
            <w:shd w:val="clear" w:color="auto" w:fill="auto"/>
            <w:noWrap/>
            <w:hideMark/>
          </w:tcPr>
          <w:p w:rsidR="00EB2C5F" w:rsidRPr="00120265" w:rsidRDefault="00EB2C5F" w:rsidP="00120265">
            <w:pPr>
              <w:pStyle w:val="Tabletext"/>
              <w:tabs>
                <w:tab w:val="decimal" w:pos="397"/>
              </w:tabs>
            </w:pPr>
            <w:r w:rsidRPr="00120265">
              <w:t>0.4</w:t>
            </w:r>
          </w:p>
        </w:tc>
        <w:tc>
          <w:tcPr>
            <w:tcW w:w="1061" w:type="dxa"/>
            <w:tcBorders>
              <w:top w:val="nil"/>
              <w:left w:val="nil"/>
              <w:bottom w:val="nil"/>
            </w:tcBorders>
            <w:shd w:val="clear" w:color="auto" w:fill="auto"/>
            <w:noWrap/>
            <w:hideMark/>
          </w:tcPr>
          <w:p w:rsidR="00EB2C5F" w:rsidRPr="00120265" w:rsidRDefault="00EB2C5F" w:rsidP="00120265">
            <w:pPr>
              <w:pStyle w:val="Tabletext"/>
              <w:tabs>
                <w:tab w:val="decimal" w:pos="397"/>
              </w:tabs>
            </w:pPr>
            <w:r w:rsidRPr="00120265">
              <w:t>0.3</w:t>
            </w:r>
          </w:p>
        </w:tc>
        <w:tc>
          <w:tcPr>
            <w:tcW w:w="1061" w:type="dxa"/>
            <w:tcBorders>
              <w:top w:val="nil"/>
              <w:bottom w:val="nil"/>
            </w:tcBorders>
          </w:tcPr>
          <w:p w:rsidR="00EB2C5F" w:rsidRPr="00120265" w:rsidRDefault="00EB2C5F" w:rsidP="00120265">
            <w:pPr>
              <w:pStyle w:val="Tabletext"/>
              <w:tabs>
                <w:tab w:val="decimal" w:pos="397"/>
              </w:tabs>
            </w:pPr>
            <w:r w:rsidRPr="00120265">
              <w:rPr>
                <w:szCs w:val="22"/>
              </w:rPr>
              <w:t>0.6</w:t>
            </w:r>
          </w:p>
        </w:tc>
      </w:tr>
      <w:tr w:rsidR="00EB2C5F" w:rsidRPr="00120265" w:rsidTr="00120265">
        <w:tc>
          <w:tcPr>
            <w:tcW w:w="2425" w:type="dxa"/>
            <w:tcBorders>
              <w:top w:val="nil"/>
              <w:left w:val="nil"/>
              <w:right w:val="nil"/>
            </w:tcBorders>
            <w:shd w:val="clear" w:color="auto" w:fill="auto"/>
            <w:noWrap/>
            <w:hideMark/>
          </w:tcPr>
          <w:p w:rsidR="00EB2C5F" w:rsidRPr="00120265" w:rsidRDefault="00EB2C5F" w:rsidP="00120265">
            <w:pPr>
              <w:pStyle w:val="Tabletext"/>
            </w:pPr>
            <w:r w:rsidRPr="00120265">
              <w:t>Non-AQF</w:t>
            </w:r>
          </w:p>
        </w:tc>
        <w:tc>
          <w:tcPr>
            <w:tcW w:w="1060" w:type="dxa"/>
            <w:tcBorders>
              <w:top w:val="nil"/>
              <w:left w:val="nil"/>
              <w:right w:val="nil"/>
            </w:tcBorders>
            <w:shd w:val="clear" w:color="auto" w:fill="auto"/>
            <w:noWrap/>
            <w:hideMark/>
          </w:tcPr>
          <w:p w:rsidR="00EB2C5F" w:rsidRPr="00120265" w:rsidRDefault="00EB2C5F" w:rsidP="00120265">
            <w:pPr>
              <w:pStyle w:val="Tabletext"/>
              <w:tabs>
                <w:tab w:val="decimal" w:pos="397"/>
              </w:tabs>
            </w:pPr>
            <w:r w:rsidRPr="00120265">
              <w:t>3.4</w:t>
            </w:r>
          </w:p>
        </w:tc>
        <w:tc>
          <w:tcPr>
            <w:tcW w:w="1061" w:type="dxa"/>
            <w:tcBorders>
              <w:top w:val="nil"/>
              <w:left w:val="nil"/>
              <w:right w:val="nil"/>
            </w:tcBorders>
            <w:shd w:val="clear" w:color="auto" w:fill="auto"/>
            <w:noWrap/>
            <w:hideMark/>
          </w:tcPr>
          <w:p w:rsidR="00EB2C5F" w:rsidRPr="00120265" w:rsidRDefault="00EB2C5F" w:rsidP="00120265">
            <w:pPr>
              <w:pStyle w:val="Tabletext"/>
              <w:tabs>
                <w:tab w:val="decimal" w:pos="397"/>
              </w:tabs>
            </w:pPr>
            <w:r w:rsidRPr="00120265">
              <w:t>3.1</w:t>
            </w:r>
          </w:p>
        </w:tc>
        <w:tc>
          <w:tcPr>
            <w:tcW w:w="1061" w:type="dxa"/>
            <w:tcBorders>
              <w:top w:val="nil"/>
              <w:left w:val="nil"/>
              <w:right w:val="nil"/>
            </w:tcBorders>
            <w:shd w:val="clear" w:color="auto" w:fill="auto"/>
            <w:noWrap/>
            <w:hideMark/>
          </w:tcPr>
          <w:p w:rsidR="00EB2C5F" w:rsidRPr="00120265" w:rsidRDefault="00EB2C5F" w:rsidP="00120265">
            <w:pPr>
              <w:pStyle w:val="Tabletext"/>
              <w:tabs>
                <w:tab w:val="decimal" w:pos="397"/>
              </w:tabs>
            </w:pPr>
            <w:r w:rsidRPr="00120265">
              <w:t>2.4</w:t>
            </w:r>
          </w:p>
        </w:tc>
        <w:tc>
          <w:tcPr>
            <w:tcW w:w="1060" w:type="dxa"/>
            <w:tcBorders>
              <w:top w:val="nil"/>
              <w:left w:val="nil"/>
              <w:right w:val="nil"/>
            </w:tcBorders>
            <w:shd w:val="clear" w:color="auto" w:fill="auto"/>
            <w:noWrap/>
            <w:hideMark/>
          </w:tcPr>
          <w:p w:rsidR="00EB2C5F" w:rsidRPr="00120265" w:rsidRDefault="00EB2C5F" w:rsidP="00120265">
            <w:pPr>
              <w:pStyle w:val="Tabletext"/>
              <w:tabs>
                <w:tab w:val="decimal" w:pos="397"/>
              </w:tabs>
            </w:pPr>
            <w:r w:rsidRPr="00120265">
              <w:t>2.2</w:t>
            </w:r>
          </w:p>
        </w:tc>
        <w:tc>
          <w:tcPr>
            <w:tcW w:w="1061" w:type="dxa"/>
            <w:tcBorders>
              <w:top w:val="nil"/>
              <w:left w:val="nil"/>
            </w:tcBorders>
            <w:shd w:val="clear" w:color="auto" w:fill="auto"/>
            <w:noWrap/>
            <w:hideMark/>
          </w:tcPr>
          <w:p w:rsidR="00EB2C5F" w:rsidRPr="00120265" w:rsidRDefault="00EB2C5F" w:rsidP="00120265">
            <w:pPr>
              <w:pStyle w:val="Tabletext"/>
              <w:tabs>
                <w:tab w:val="decimal" w:pos="397"/>
              </w:tabs>
            </w:pPr>
            <w:r w:rsidRPr="00120265">
              <w:t>1.9</w:t>
            </w:r>
          </w:p>
        </w:tc>
        <w:tc>
          <w:tcPr>
            <w:tcW w:w="1061" w:type="dxa"/>
            <w:tcBorders>
              <w:top w:val="nil"/>
            </w:tcBorders>
          </w:tcPr>
          <w:p w:rsidR="00EB2C5F" w:rsidRPr="00120265" w:rsidRDefault="00EB2C5F" w:rsidP="00120265">
            <w:pPr>
              <w:pStyle w:val="Tabletext"/>
              <w:tabs>
                <w:tab w:val="decimal" w:pos="397"/>
              </w:tabs>
            </w:pPr>
            <w:r w:rsidRPr="00120265">
              <w:rPr>
                <w:szCs w:val="22"/>
              </w:rPr>
              <w:t>2.5</w:t>
            </w:r>
          </w:p>
        </w:tc>
      </w:tr>
      <w:tr w:rsidR="00EB2C5F" w:rsidRPr="00120265" w:rsidTr="003332D7">
        <w:tc>
          <w:tcPr>
            <w:tcW w:w="2425" w:type="dxa"/>
            <w:tcBorders>
              <w:top w:val="nil"/>
              <w:left w:val="nil"/>
              <w:bottom w:val="single" w:sz="4" w:space="0" w:color="auto"/>
              <w:right w:val="nil"/>
            </w:tcBorders>
            <w:shd w:val="clear" w:color="auto" w:fill="auto"/>
            <w:noWrap/>
            <w:hideMark/>
          </w:tcPr>
          <w:p w:rsidR="00EB2C5F" w:rsidRPr="00120265" w:rsidRDefault="007655B7" w:rsidP="00120265">
            <w:pPr>
              <w:pStyle w:val="Tabletext"/>
            </w:pPr>
            <w:r w:rsidRPr="00120265">
              <w:t>Module o</w:t>
            </w:r>
            <w:r w:rsidR="00EB2C5F" w:rsidRPr="00120265">
              <w:t>nly</w:t>
            </w:r>
          </w:p>
        </w:tc>
        <w:tc>
          <w:tcPr>
            <w:tcW w:w="1060" w:type="dxa"/>
            <w:tcBorders>
              <w:top w:val="nil"/>
              <w:left w:val="nil"/>
              <w:bottom w:val="single" w:sz="4" w:space="0" w:color="auto"/>
              <w:right w:val="nil"/>
            </w:tcBorders>
            <w:shd w:val="clear" w:color="auto" w:fill="auto"/>
            <w:noWrap/>
            <w:hideMark/>
          </w:tcPr>
          <w:p w:rsidR="00EB2C5F" w:rsidRPr="00120265" w:rsidRDefault="00EB2C5F" w:rsidP="00120265">
            <w:pPr>
              <w:pStyle w:val="Tabletext"/>
              <w:tabs>
                <w:tab w:val="decimal" w:pos="397"/>
              </w:tabs>
            </w:pPr>
            <w:r w:rsidRPr="00120265">
              <w:t>0.5</w:t>
            </w:r>
          </w:p>
        </w:tc>
        <w:tc>
          <w:tcPr>
            <w:tcW w:w="1061" w:type="dxa"/>
            <w:tcBorders>
              <w:top w:val="nil"/>
              <w:left w:val="nil"/>
              <w:bottom w:val="single" w:sz="4" w:space="0" w:color="auto"/>
              <w:right w:val="nil"/>
            </w:tcBorders>
            <w:shd w:val="clear" w:color="auto" w:fill="auto"/>
            <w:noWrap/>
            <w:hideMark/>
          </w:tcPr>
          <w:p w:rsidR="00EB2C5F" w:rsidRPr="00120265" w:rsidRDefault="00EB2C5F" w:rsidP="00120265">
            <w:pPr>
              <w:pStyle w:val="Tabletext"/>
              <w:tabs>
                <w:tab w:val="decimal" w:pos="397"/>
              </w:tabs>
            </w:pPr>
            <w:r w:rsidRPr="00120265">
              <w:t>0.7</w:t>
            </w:r>
          </w:p>
        </w:tc>
        <w:tc>
          <w:tcPr>
            <w:tcW w:w="1061" w:type="dxa"/>
            <w:tcBorders>
              <w:top w:val="nil"/>
              <w:left w:val="nil"/>
              <w:bottom w:val="single" w:sz="4" w:space="0" w:color="auto"/>
              <w:right w:val="nil"/>
            </w:tcBorders>
            <w:shd w:val="clear" w:color="auto" w:fill="auto"/>
            <w:noWrap/>
            <w:hideMark/>
          </w:tcPr>
          <w:p w:rsidR="00EB2C5F" w:rsidRPr="00120265" w:rsidRDefault="00EB2C5F" w:rsidP="00120265">
            <w:pPr>
              <w:pStyle w:val="Tabletext"/>
              <w:tabs>
                <w:tab w:val="decimal" w:pos="397"/>
              </w:tabs>
            </w:pPr>
            <w:r w:rsidRPr="00120265">
              <w:t>0.4</w:t>
            </w:r>
          </w:p>
        </w:tc>
        <w:tc>
          <w:tcPr>
            <w:tcW w:w="1060" w:type="dxa"/>
            <w:tcBorders>
              <w:top w:val="nil"/>
              <w:left w:val="nil"/>
              <w:bottom w:val="single" w:sz="4" w:space="0" w:color="auto"/>
              <w:right w:val="nil"/>
            </w:tcBorders>
            <w:shd w:val="clear" w:color="auto" w:fill="auto"/>
            <w:noWrap/>
            <w:hideMark/>
          </w:tcPr>
          <w:p w:rsidR="00EB2C5F" w:rsidRPr="00120265" w:rsidRDefault="00EB2C5F" w:rsidP="00120265">
            <w:pPr>
              <w:pStyle w:val="Tabletext"/>
              <w:tabs>
                <w:tab w:val="decimal" w:pos="397"/>
              </w:tabs>
            </w:pPr>
            <w:r w:rsidRPr="00120265">
              <w:t>0.3</w:t>
            </w:r>
          </w:p>
        </w:tc>
        <w:tc>
          <w:tcPr>
            <w:tcW w:w="1061" w:type="dxa"/>
            <w:tcBorders>
              <w:top w:val="nil"/>
              <w:left w:val="nil"/>
              <w:bottom w:val="single" w:sz="4" w:space="0" w:color="auto"/>
            </w:tcBorders>
            <w:shd w:val="clear" w:color="auto" w:fill="auto"/>
            <w:noWrap/>
            <w:hideMark/>
          </w:tcPr>
          <w:p w:rsidR="00EB2C5F" w:rsidRPr="00120265" w:rsidRDefault="00EB2C5F" w:rsidP="00120265">
            <w:pPr>
              <w:pStyle w:val="Tabletext"/>
              <w:tabs>
                <w:tab w:val="decimal" w:pos="397"/>
              </w:tabs>
            </w:pPr>
            <w:r w:rsidRPr="00120265">
              <w:t>0.2</w:t>
            </w:r>
          </w:p>
        </w:tc>
        <w:tc>
          <w:tcPr>
            <w:tcW w:w="1061" w:type="dxa"/>
            <w:tcBorders>
              <w:top w:val="nil"/>
              <w:bottom w:val="single" w:sz="4" w:space="0" w:color="auto"/>
            </w:tcBorders>
          </w:tcPr>
          <w:p w:rsidR="00EB2C5F" w:rsidRPr="00120265" w:rsidRDefault="00EB2C5F" w:rsidP="00120265">
            <w:pPr>
              <w:pStyle w:val="Tabletext"/>
              <w:tabs>
                <w:tab w:val="decimal" w:pos="397"/>
              </w:tabs>
            </w:pPr>
            <w:r w:rsidRPr="00120265">
              <w:rPr>
                <w:szCs w:val="22"/>
              </w:rPr>
              <w:t>0.4</w:t>
            </w:r>
          </w:p>
        </w:tc>
      </w:tr>
      <w:tr w:rsidR="00EB2C5F" w:rsidRPr="00120265" w:rsidTr="003332D7">
        <w:tc>
          <w:tcPr>
            <w:tcW w:w="2425" w:type="dxa"/>
            <w:tcBorders>
              <w:top w:val="single" w:sz="4" w:space="0" w:color="auto"/>
              <w:left w:val="nil"/>
              <w:bottom w:val="dashed" w:sz="4" w:space="0" w:color="auto"/>
              <w:right w:val="nil"/>
            </w:tcBorders>
            <w:shd w:val="clear" w:color="auto" w:fill="auto"/>
            <w:noWrap/>
            <w:hideMark/>
          </w:tcPr>
          <w:p w:rsidR="00EB2C5F" w:rsidRPr="00120265" w:rsidRDefault="00EB2C5F" w:rsidP="00120265">
            <w:pPr>
              <w:pStyle w:val="Tabletext"/>
              <w:rPr>
                <w:b/>
              </w:rPr>
            </w:pPr>
            <w:r w:rsidRPr="00120265">
              <w:rPr>
                <w:b/>
              </w:rPr>
              <w:t>Total</w:t>
            </w:r>
          </w:p>
        </w:tc>
        <w:tc>
          <w:tcPr>
            <w:tcW w:w="1060" w:type="dxa"/>
            <w:tcBorders>
              <w:top w:val="single" w:sz="4" w:space="0" w:color="auto"/>
              <w:left w:val="nil"/>
              <w:bottom w:val="dashed" w:sz="4" w:space="0" w:color="auto"/>
              <w:right w:val="nil"/>
            </w:tcBorders>
            <w:shd w:val="clear" w:color="auto" w:fill="auto"/>
            <w:noWrap/>
            <w:hideMark/>
          </w:tcPr>
          <w:p w:rsidR="00EB2C5F" w:rsidRPr="00120265" w:rsidRDefault="00EB2C5F" w:rsidP="00120265">
            <w:pPr>
              <w:pStyle w:val="Tabletext"/>
              <w:tabs>
                <w:tab w:val="decimal" w:pos="397"/>
              </w:tabs>
              <w:rPr>
                <w:b/>
              </w:rPr>
            </w:pPr>
            <w:r w:rsidRPr="00120265">
              <w:rPr>
                <w:b/>
              </w:rPr>
              <w:t>19.2</w:t>
            </w:r>
          </w:p>
        </w:tc>
        <w:tc>
          <w:tcPr>
            <w:tcW w:w="1061" w:type="dxa"/>
            <w:tcBorders>
              <w:top w:val="single" w:sz="4" w:space="0" w:color="auto"/>
              <w:left w:val="nil"/>
              <w:bottom w:val="dashed" w:sz="4" w:space="0" w:color="auto"/>
              <w:right w:val="nil"/>
            </w:tcBorders>
            <w:shd w:val="clear" w:color="auto" w:fill="auto"/>
            <w:noWrap/>
            <w:hideMark/>
          </w:tcPr>
          <w:p w:rsidR="00EB2C5F" w:rsidRPr="00120265" w:rsidRDefault="00EB2C5F" w:rsidP="00120265">
            <w:pPr>
              <w:pStyle w:val="Tabletext"/>
              <w:tabs>
                <w:tab w:val="decimal" w:pos="397"/>
              </w:tabs>
              <w:rPr>
                <w:b/>
              </w:rPr>
            </w:pPr>
            <w:r w:rsidRPr="00120265">
              <w:rPr>
                <w:b/>
              </w:rPr>
              <w:t>19.1</w:t>
            </w:r>
          </w:p>
        </w:tc>
        <w:tc>
          <w:tcPr>
            <w:tcW w:w="1061" w:type="dxa"/>
            <w:tcBorders>
              <w:top w:val="single" w:sz="4" w:space="0" w:color="auto"/>
              <w:left w:val="nil"/>
              <w:bottom w:val="dashed" w:sz="4" w:space="0" w:color="auto"/>
              <w:right w:val="nil"/>
            </w:tcBorders>
            <w:shd w:val="clear" w:color="auto" w:fill="auto"/>
            <w:noWrap/>
            <w:hideMark/>
          </w:tcPr>
          <w:p w:rsidR="00EB2C5F" w:rsidRPr="00120265" w:rsidRDefault="00EB2C5F" w:rsidP="00120265">
            <w:pPr>
              <w:pStyle w:val="Tabletext"/>
              <w:tabs>
                <w:tab w:val="decimal" w:pos="397"/>
              </w:tabs>
              <w:rPr>
                <w:b/>
              </w:rPr>
            </w:pPr>
            <w:r w:rsidRPr="00120265">
              <w:rPr>
                <w:b/>
              </w:rPr>
              <w:t>16.7</w:t>
            </w:r>
          </w:p>
        </w:tc>
        <w:tc>
          <w:tcPr>
            <w:tcW w:w="1060" w:type="dxa"/>
            <w:tcBorders>
              <w:top w:val="single" w:sz="4" w:space="0" w:color="auto"/>
              <w:left w:val="nil"/>
              <w:bottom w:val="dashed" w:sz="4" w:space="0" w:color="auto"/>
              <w:right w:val="nil"/>
            </w:tcBorders>
            <w:shd w:val="clear" w:color="auto" w:fill="auto"/>
            <w:noWrap/>
            <w:hideMark/>
          </w:tcPr>
          <w:p w:rsidR="00EB2C5F" w:rsidRPr="00120265" w:rsidRDefault="00EB2C5F" w:rsidP="00120265">
            <w:pPr>
              <w:pStyle w:val="Tabletext"/>
              <w:tabs>
                <w:tab w:val="decimal" w:pos="397"/>
              </w:tabs>
              <w:rPr>
                <w:b/>
              </w:rPr>
            </w:pPr>
            <w:r w:rsidRPr="00120265">
              <w:rPr>
                <w:b/>
              </w:rPr>
              <w:t>15.7</w:t>
            </w:r>
          </w:p>
        </w:tc>
        <w:tc>
          <w:tcPr>
            <w:tcW w:w="1061" w:type="dxa"/>
            <w:tcBorders>
              <w:top w:val="single" w:sz="4" w:space="0" w:color="auto"/>
              <w:left w:val="nil"/>
              <w:bottom w:val="dashed" w:sz="4" w:space="0" w:color="auto"/>
            </w:tcBorders>
            <w:shd w:val="clear" w:color="auto" w:fill="auto"/>
            <w:noWrap/>
            <w:hideMark/>
          </w:tcPr>
          <w:p w:rsidR="00EB2C5F" w:rsidRPr="00120265" w:rsidRDefault="00EB2C5F" w:rsidP="00120265">
            <w:pPr>
              <w:pStyle w:val="Tabletext"/>
              <w:tabs>
                <w:tab w:val="decimal" w:pos="397"/>
              </w:tabs>
              <w:rPr>
                <w:b/>
              </w:rPr>
            </w:pPr>
            <w:r w:rsidRPr="00120265">
              <w:rPr>
                <w:b/>
              </w:rPr>
              <w:t>13.5</w:t>
            </w:r>
          </w:p>
        </w:tc>
        <w:tc>
          <w:tcPr>
            <w:tcW w:w="1061" w:type="dxa"/>
            <w:tcBorders>
              <w:top w:val="single" w:sz="4" w:space="0" w:color="auto"/>
              <w:bottom w:val="dashed" w:sz="4" w:space="0" w:color="auto"/>
            </w:tcBorders>
          </w:tcPr>
          <w:p w:rsidR="00EB2C5F" w:rsidRPr="00120265" w:rsidRDefault="00EB2C5F" w:rsidP="00120265">
            <w:pPr>
              <w:pStyle w:val="Tabletext"/>
              <w:tabs>
                <w:tab w:val="decimal" w:pos="397"/>
              </w:tabs>
              <w:rPr>
                <w:b/>
              </w:rPr>
            </w:pPr>
            <w:r w:rsidRPr="00120265">
              <w:rPr>
                <w:b/>
              </w:rPr>
              <w:t>16.5</w:t>
            </w:r>
          </w:p>
        </w:tc>
      </w:tr>
      <w:tr w:rsidR="00EB2C5F" w:rsidRPr="00120265" w:rsidTr="003332D7">
        <w:tc>
          <w:tcPr>
            <w:tcW w:w="2425" w:type="dxa"/>
            <w:tcBorders>
              <w:top w:val="dashed" w:sz="4" w:space="0" w:color="auto"/>
              <w:left w:val="nil"/>
              <w:bottom w:val="nil"/>
              <w:right w:val="nil"/>
            </w:tcBorders>
            <w:shd w:val="clear" w:color="auto" w:fill="auto"/>
            <w:noWrap/>
            <w:hideMark/>
          </w:tcPr>
          <w:p w:rsidR="00EB2C5F" w:rsidRPr="00120265" w:rsidRDefault="005E4BD8" w:rsidP="00120265">
            <w:pPr>
              <w:pStyle w:val="Tabletext"/>
              <w:rPr>
                <w:b/>
              </w:rPr>
            </w:pPr>
            <w:r w:rsidRPr="00120265">
              <w:rPr>
                <w:b/>
              </w:rPr>
              <w:t>Total 20 to 24-year-</w:t>
            </w:r>
            <w:r w:rsidR="00EB2C5F" w:rsidRPr="00120265">
              <w:rPr>
                <w:b/>
              </w:rPr>
              <w:t>olds participating in VET</w:t>
            </w:r>
          </w:p>
        </w:tc>
        <w:tc>
          <w:tcPr>
            <w:tcW w:w="1060" w:type="dxa"/>
            <w:tcBorders>
              <w:top w:val="dashed" w:sz="4" w:space="0" w:color="auto"/>
              <w:left w:val="nil"/>
              <w:bottom w:val="nil"/>
              <w:right w:val="nil"/>
            </w:tcBorders>
            <w:shd w:val="clear" w:color="auto" w:fill="auto"/>
            <w:noWrap/>
            <w:hideMark/>
          </w:tcPr>
          <w:p w:rsidR="00EB2C5F" w:rsidRPr="00120265" w:rsidRDefault="00EB2C5F" w:rsidP="00120265">
            <w:pPr>
              <w:pStyle w:val="Tabletext"/>
              <w:ind w:right="198"/>
              <w:jc w:val="right"/>
              <w:rPr>
                <w:b/>
              </w:rPr>
            </w:pPr>
            <w:r w:rsidRPr="00120265">
              <w:rPr>
                <w:b/>
              </w:rPr>
              <w:t>32 943</w:t>
            </w:r>
          </w:p>
        </w:tc>
        <w:tc>
          <w:tcPr>
            <w:tcW w:w="1061" w:type="dxa"/>
            <w:tcBorders>
              <w:top w:val="dashed" w:sz="4" w:space="0" w:color="auto"/>
              <w:left w:val="nil"/>
              <w:bottom w:val="nil"/>
              <w:right w:val="nil"/>
            </w:tcBorders>
            <w:shd w:val="clear" w:color="auto" w:fill="auto"/>
            <w:noWrap/>
            <w:hideMark/>
          </w:tcPr>
          <w:p w:rsidR="00EB2C5F" w:rsidRPr="00120265" w:rsidRDefault="00EB2C5F" w:rsidP="00120265">
            <w:pPr>
              <w:pStyle w:val="Tabletext"/>
              <w:ind w:right="198"/>
              <w:jc w:val="right"/>
              <w:rPr>
                <w:b/>
              </w:rPr>
            </w:pPr>
            <w:r w:rsidRPr="00120265">
              <w:rPr>
                <w:b/>
              </w:rPr>
              <w:t>51 421</w:t>
            </w:r>
          </w:p>
        </w:tc>
        <w:tc>
          <w:tcPr>
            <w:tcW w:w="1061" w:type="dxa"/>
            <w:tcBorders>
              <w:top w:val="dashed" w:sz="4" w:space="0" w:color="auto"/>
              <w:left w:val="nil"/>
              <w:bottom w:val="nil"/>
              <w:right w:val="nil"/>
            </w:tcBorders>
            <w:shd w:val="clear" w:color="auto" w:fill="auto"/>
            <w:noWrap/>
            <w:hideMark/>
          </w:tcPr>
          <w:p w:rsidR="00EB2C5F" w:rsidRPr="00120265" w:rsidRDefault="00EB2C5F" w:rsidP="00120265">
            <w:pPr>
              <w:pStyle w:val="Tabletext"/>
              <w:ind w:right="198"/>
              <w:jc w:val="right"/>
              <w:rPr>
                <w:b/>
              </w:rPr>
            </w:pPr>
            <w:r w:rsidRPr="00120265">
              <w:rPr>
                <w:b/>
              </w:rPr>
              <w:t>45 193</w:t>
            </w:r>
          </w:p>
        </w:tc>
        <w:tc>
          <w:tcPr>
            <w:tcW w:w="1060" w:type="dxa"/>
            <w:tcBorders>
              <w:top w:val="dashed" w:sz="4" w:space="0" w:color="auto"/>
              <w:left w:val="nil"/>
              <w:bottom w:val="nil"/>
              <w:right w:val="nil"/>
            </w:tcBorders>
            <w:shd w:val="clear" w:color="auto" w:fill="auto"/>
            <w:noWrap/>
            <w:hideMark/>
          </w:tcPr>
          <w:p w:rsidR="00EB2C5F" w:rsidRPr="00120265" w:rsidRDefault="00EB2C5F" w:rsidP="00120265">
            <w:pPr>
              <w:pStyle w:val="Tabletext"/>
              <w:ind w:right="198"/>
              <w:jc w:val="right"/>
              <w:rPr>
                <w:b/>
              </w:rPr>
            </w:pPr>
            <w:r w:rsidRPr="00120265">
              <w:rPr>
                <w:b/>
              </w:rPr>
              <w:t>51 167</w:t>
            </w:r>
          </w:p>
        </w:tc>
        <w:tc>
          <w:tcPr>
            <w:tcW w:w="1061" w:type="dxa"/>
            <w:tcBorders>
              <w:top w:val="dashed" w:sz="4" w:space="0" w:color="auto"/>
              <w:left w:val="nil"/>
              <w:bottom w:val="nil"/>
            </w:tcBorders>
            <w:shd w:val="clear" w:color="auto" w:fill="auto"/>
            <w:noWrap/>
            <w:hideMark/>
          </w:tcPr>
          <w:p w:rsidR="00EB2C5F" w:rsidRPr="00120265" w:rsidRDefault="00EB2C5F" w:rsidP="00120265">
            <w:pPr>
              <w:pStyle w:val="Tabletext"/>
              <w:ind w:right="198"/>
              <w:jc w:val="right"/>
              <w:rPr>
                <w:b/>
              </w:rPr>
            </w:pPr>
            <w:r w:rsidRPr="00120265">
              <w:rPr>
                <w:b/>
              </w:rPr>
              <w:t>41 024</w:t>
            </w:r>
          </w:p>
        </w:tc>
        <w:tc>
          <w:tcPr>
            <w:tcW w:w="1061" w:type="dxa"/>
            <w:tcBorders>
              <w:top w:val="dashed" w:sz="4" w:space="0" w:color="auto"/>
              <w:bottom w:val="nil"/>
            </w:tcBorders>
          </w:tcPr>
          <w:p w:rsidR="00EB2C5F" w:rsidRPr="00120265" w:rsidRDefault="00EB2C5F" w:rsidP="00120265">
            <w:pPr>
              <w:pStyle w:val="Tabletext"/>
              <w:ind w:right="170"/>
              <w:jc w:val="right"/>
              <w:rPr>
                <w:b/>
              </w:rPr>
            </w:pPr>
            <w:r w:rsidRPr="00120265">
              <w:rPr>
                <w:b/>
                <w:szCs w:val="22"/>
              </w:rPr>
              <w:t>221 766</w:t>
            </w:r>
          </w:p>
        </w:tc>
      </w:tr>
      <w:tr w:rsidR="00EB2C5F" w:rsidRPr="00120265" w:rsidTr="00120265">
        <w:tc>
          <w:tcPr>
            <w:tcW w:w="2425" w:type="dxa"/>
            <w:tcBorders>
              <w:top w:val="nil"/>
              <w:left w:val="nil"/>
              <w:bottom w:val="single" w:sz="4" w:space="0" w:color="auto"/>
              <w:right w:val="nil"/>
            </w:tcBorders>
            <w:shd w:val="clear" w:color="auto" w:fill="auto"/>
            <w:noWrap/>
            <w:hideMark/>
          </w:tcPr>
          <w:p w:rsidR="00EB2C5F" w:rsidRPr="00120265" w:rsidRDefault="005E4BD8" w:rsidP="00120265">
            <w:pPr>
              <w:pStyle w:val="Tabletext"/>
            </w:pPr>
            <w:r w:rsidRPr="00120265">
              <w:t>Number of 20 to 24-year-</w:t>
            </w:r>
            <w:r w:rsidR="00EB2C5F" w:rsidRPr="00120265">
              <w:t>olds in quintile</w:t>
            </w:r>
          </w:p>
        </w:tc>
        <w:tc>
          <w:tcPr>
            <w:tcW w:w="1060" w:type="dxa"/>
            <w:tcBorders>
              <w:top w:val="nil"/>
              <w:left w:val="nil"/>
              <w:bottom w:val="single" w:sz="4" w:space="0" w:color="auto"/>
              <w:right w:val="nil"/>
            </w:tcBorders>
            <w:shd w:val="clear" w:color="auto" w:fill="auto"/>
            <w:noWrap/>
            <w:hideMark/>
          </w:tcPr>
          <w:p w:rsidR="00EB2C5F" w:rsidRPr="00120265" w:rsidRDefault="00EB2C5F" w:rsidP="00120265">
            <w:pPr>
              <w:pStyle w:val="Tabletext"/>
              <w:ind w:right="198"/>
              <w:jc w:val="right"/>
            </w:pPr>
            <w:r w:rsidRPr="00120265">
              <w:t>171 958</w:t>
            </w:r>
          </w:p>
        </w:tc>
        <w:tc>
          <w:tcPr>
            <w:tcW w:w="1061" w:type="dxa"/>
            <w:tcBorders>
              <w:top w:val="nil"/>
              <w:left w:val="nil"/>
              <w:bottom w:val="single" w:sz="4" w:space="0" w:color="auto"/>
              <w:right w:val="nil"/>
            </w:tcBorders>
            <w:shd w:val="clear" w:color="auto" w:fill="auto"/>
            <w:noWrap/>
            <w:hideMark/>
          </w:tcPr>
          <w:p w:rsidR="00EB2C5F" w:rsidRPr="00120265" w:rsidRDefault="00EB2C5F" w:rsidP="00120265">
            <w:pPr>
              <w:pStyle w:val="Tabletext"/>
              <w:ind w:right="198"/>
              <w:jc w:val="right"/>
            </w:pPr>
            <w:r w:rsidRPr="00120265">
              <w:t>269 301</w:t>
            </w:r>
          </w:p>
        </w:tc>
        <w:tc>
          <w:tcPr>
            <w:tcW w:w="1061" w:type="dxa"/>
            <w:tcBorders>
              <w:top w:val="nil"/>
              <w:left w:val="nil"/>
              <w:bottom w:val="single" w:sz="4" w:space="0" w:color="auto"/>
              <w:right w:val="nil"/>
            </w:tcBorders>
            <w:shd w:val="clear" w:color="auto" w:fill="auto"/>
            <w:noWrap/>
            <w:hideMark/>
          </w:tcPr>
          <w:p w:rsidR="00EB2C5F" w:rsidRPr="00120265" w:rsidRDefault="00EB2C5F" w:rsidP="00120265">
            <w:pPr>
              <w:pStyle w:val="Tabletext"/>
              <w:ind w:right="198"/>
              <w:jc w:val="right"/>
            </w:pPr>
            <w:r w:rsidRPr="00120265">
              <w:t>271 158</w:t>
            </w:r>
          </w:p>
        </w:tc>
        <w:tc>
          <w:tcPr>
            <w:tcW w:w="1060" w:type="dxa"/>
            <w:tcBorders>
              <w:top w:val="nil"/>
              <w:left w:val="nil"/>
              <w:bottom w:val="single" w:sz="4" w:space="0" w:color="auto"/>
              <w:right w:val="nil"/>
            </w:tcBorders>
            <w:shd w:val="clear" w:color="auto" w:fill="auto"/>
            <w:noWrap/>
            <w:hideMark/>
          </w:tcPr>
          <w:p w:rsidR="00EB2C5F" w:rsidRPr="00120265" w:rsidRDefault="00EB2C5F" w:rsidP="00120265">
            <w:pPr>
              <w:pStyle w:val="Tabletext"/>
              <w:ind w:right="198"/>
              <w:jc w:val="right"/>
            </w:pPr>
            <w:r w:rsidRPr="00120265">
              <w:t>325 059</w:t>
            </w:r>
          </w:p>
        </w:tc>
        <w:tc>
          <w:tcPr>
            <w:tcW w:w="1061" w:type="dxa"/>
            <w:tcBorders>
              <w:top w:val="nil"/>
              <w:left w:val="nil"/>
              <w:bottom w:val="single" w:sz="4" w:space="0" w:color="auto"/>
            </w:tcBorders>
            <w:shd w:val="clear" w:color="auto" w:fill="auto"/>
            <w:noWrap/>
            <w:hideMark/>
          </w:tcPr>
          <w:p w:rsidR="00EB2C5F" w:rsidRPr="00120265" w:rsidRDefault="00EB2C5F" w:rsidP="00120265">
            <w:pPr>
              <w:pStyle w:val="Tabletext"/>
              <w:ind w:right="198"/>
              <w:jc w:val="right"/>
            </w:pPr>
            <w:r w:rsidRPr="00120265">
              <w:t>303 986</w:t>
            </w:r>
          </w:p>
        </w:tc>
        <w:tc>
          <w:tcPr>
            <w:tcW w:w="1061" w:type="dxa"/>
            <w:tcBorders>
              <w:top w:val="nil"/>
              <w:bottom w:val="single" w:sz="4" w:space="0" w:color="auto"/>
            </w:tcBorders>
            <w:tcMar>
              <w:left w:w="0" w:type="dxa"/>
            </w:tcMar>
          </w:tcPr>
          <w:p w:rsidR="00EB2C5F" w:rsidRPr="00120265" w:rsidRDefault="00EB2C5F" w:rsidP="00120265">
            <w:pPr>
              <w:pStyle w:val="Tabletext"/>
              <w:ind w:right="170"/>
              <w:jc w:val="right"/>
            </w:pPr>
            <w:r w:rsidRPr="00120265">
              <w:rPr>
                <w:szCs w:val="22"/>
              </w:rPr>
              <w:t>1 347 360</w:t>
            </w:r>
          </w:p>
        </w:tc>
      </w:tr>
    </w:tbl>
    <w:p w:rsidR="00636D48" w:rsidRPr="0037307C" w:rsidRDefault="00636D48" w:rsidP="000A0209">
      <w:pPr>
        <w:pStyle w:val="tabletitle"/>
      </w:pPr>
      <w:bookmarkStart w:id="71" w:name="_Toc383616148"/>
      <w:r w:rsidRPr="0037307C">
        <w:t xml:space="preserve">Table </w:t>
      </w:r>
      <w:r>
        <w:t>2</w:t>
      </w:r>
      <w:r w:rsidR="0002480D">
        <w:t>1</w:t>
      </w:r>
      <w:r w:rsidR="000A0209">
        <w:tab/>
      </w:r>
      <w:r w:rsidR="007655B7">
        <w:t>P</w:t>
      </w:r>
      <w:r w:rsidRPr="0037307C">
        <w:t>articipation in VET</w:t>
      </w:r>
      <w:r w:rsidR="007655B7">
        <w:t>,</w:t>
      </w:r>
      <w:r w:rsidRPr="0037307C">
        <w:t xml:space="preserve"> </w:t>
      </w:r>
      <w:r w:rsidR="007655B7">
        <w:t xml:space="preserve">20 to 24-year-olds, </w:t>
      </w:r>
      <w:r w:rsidRPr="0037307C">
        <w:t xml:space="preserve">by qualification and </w:t>
      </w:r>
      <w:r>
        <w:t>SES</w:t>
      </w:r>
      <w:r w:rsidRPr="0037307C">
        <w:t xml:space="preserve"> quintiles</w:t>
      </w:r>
      <w:r>
        <w:t>,</w:t>
      </w:r>
      <w:r w:rsidRPr="0037307C">
        <w:t xml:space="preserve"> </w:t>
      </w:r>
      <w:r w:rsidR="005E4BD8">
        <w:t>statistical local areas</w:t>
      </w:r>
      <w:r>
        <w:t>, 2011</w:t>
      </w:r>
      <w:bookmarkEnd w:id="71"/>
    </w:p>
    <w:tbl>
      <w:tblPr>
        <w:tblW w:w="8789" w:type="dxa"/>
        <w:tblInd w:w="93" w:type="dxa"/>
        <w:tblLayout w:type="fixed"/>
        <w:tblLook w:val="04A0" w:firstRow="1" w:lastRow="0" w:firstColumn="1" w:lastColumn="0" w:noHBand="0" w:noVBand="1"/>
      </w:tblPr>
      <w:tblGrid>
        <w:gridCol w:w="2425"/>
        <w:gridCol w:w="1060"/>
        <w:gridCol w:w="1061"/>
        <w:gridCol w:w="1061"/>
        <w:gridCol w:w="1060"/>
        <w:gridCol w:w="1061"/>
        <w:gridCol w:w="1061"/>
      </w:tblGrid>
      <w:tr w:rsidR="00B15E84" w:rsidRPr="00120265" w:rsidTr="00120265">
        <w:tc>
          <w:tcPr>
            <w:tcW w:w="2425" w:type="dxa"/>
            <w:tcBorders>
              <w:top w:val="single" w:sz="4" w:space="0" w:color="auto"/>
              <w:left w:val="nil"/>
              <w:bottom w:val="nil"/>
            </w:tcBorders>
            <w:shd w:val="clear" w:color="auto" w:fill="auto"/>
            <w:noWrap/>
            <w:hideMark/>
          </w:tcPr>
          <w:p w:rsidR="00B15E84" w:rsidRPr="00120265" w:rsidRDefault="00120265" w:rsidP="00120265">
            <w:pPr>
              <w:pStyle w:val="Tablehead1"/>
            </w:pPr>
            <w:r w:rsidRPr="00120265">
              <w:t>Qualification category</w:t>
            </w:r>
          </w:p>
        </w:tc>
        <w:tc>
          <w:tcPr>
            <w:tcW w:w="6364" w:type="dxa"/>
            <w:gridSpan w:val="6"/>
            <w:tcBorders>
              <w:top w:val="single" w:sz="4" w:space="0" w:color="auto"/>
              <w:bottom w:val="nil"/>
            </w:tcBorders>
            <w:shd w:val="clear" w:color="auto" w:fill="auto"/>
            <w:noWrap/>
            <w:hideMark/>
          </w:tcPr>
          <w:p w:rsidR="00B15E84" w:rsidRPr="00120265" w:rsidRDefault="00A34FFA" w:rsidP="00120265">
            <w:pPr>
              <w:pStyle w:val="Tablehead1"/>
              <w:jc w:val="center"/>
            </w:pPr>
            <w:r w:rsidRPr="00120265">
              <w:t>2011 using 2011 IRSD</w:t>
            </w:r>
            <w:r w:rsidR="00B15E84" w:rsidRPr="00120265">
              <w:t xml:space="preserve"> quintiles</w:t>
            </w:r>
          </w:p>
        </w:tc>
      </w:tr>
      <w:tr w:rsidR="00B15E84" w:rsidRPr="005D5792" w:rsidTr="00120265">
        <w:tc>
          <w:tcPr>
            <w:tcW w:w="2425" w:type="dxa"/>
            <w:tcBorders>
              <w:top w:val="nil"/>
              <w:left w:val="nil"/>
              <w:bottom w:val="single" w:sz="4" w:space="0" w:color="auto"/>
            </w:tcBorders>
            <w:shd w:val="clear" w:color="auto" w:fill="auto"/>
            <w:noWrap/>
            <w:hideMark/>
          </w:tcPr>
          <w:p w:rsidR="00B15E84" w:rsidRPr="005D5792" w:rsidRDefault="00B15E84" w:rsidP="00120265">
            <w:pPr>
              <w:pStyle w:val="Tablehead2"/>
            </w:pPr>
          </w:p>
        </w:tc>
        <w:tc>
          <w:tcPr>
            <w:tcW w:w="1060" w:type="dxa"/>
            <w:tcBorders>
              <w:top w:val="nil"/>
              <w:bottom w:val="single" w:sz="4" w:space="0" w:color="auto"/>
              <w:right w:val="nil"/>
            </w:tcBorders>
            <w:shd w:val="clear" w:color="auto" w:fill="auto"/>
            <w:noWrap/>
            <w:hideMark/>
          </w:tcPr>
          <w:p w:rsidR="00B15E84" w:rsidRPr="005D5792" w:rsidRDefault="00B15E84" w:rsidP="00120265">
            <w:pPr>
              <w:pStyle w:val="Tablehead2"/>
              <w:jc w:val="center"/>
            </w:pPr>
            <w:r w:rsidRPr="005D5792">
              <w:t>1</w:t>
            </w:r>
          </w:p>
        </w:tc>
        <w:tc>
          <w:tcPr>
            <w:tcW w:w="1061" w:type="dxa"/>
            <w:tcBorders>
              <w:top w:val="nil"/>
              <w:left w:val="nil"/>
              <w:bottom w:val="single" w:sz="4" w:space="0" w:color="auto"/>
              <w:right w:val="nil"/>
            </w:tcBorders>
            <w:shd w:val="clear" w:color="auto" w:fill="auto"/>
            <w:noWrap/>
            <w:hideMark/>
          </w:tcPr>
          <w:p w:rsidR="00B15E84" w:rsidRPr="005D5792" w:rsidRDefault="00B15E84" w:rsidP="00120265">
            <w:pPr>
              <w:pStyle w:val="Tablehead2"/>
              <w:jc w:val="center"/>
            </w:pPr>
            <w:r w:rsidRPr="005D5792">
              <w:t>2</w:t>
            </w:r>
          </w:p>
        </w:tc>
        <w:tc>
          <w:tcPr>
            <w:tcW w:w="1061" w:type="dxa"/>
            <w:tcBorders>
              <w:top w:val="nil"/>
              <w:left w:val="nil"/>
              <w:bottom w:val="single" w:sz="4" w:space="0" w:color="auto"/>
              <w:right w:val="nil"/>
            </w:tcBorders>
            <w:shd w:val="clear" w:color="auto" w:fill="auto"/>
            <w:noWrap/>
            <w:hideMark/>
          </w:tcPr>
          <w:p w:rsidR="00B15E84" w:rsidRPr="005D5792" w:rsidRDefault="00B15E84" w:rsidP="00120265">
            <w:pPr>
              <w:pStyle w:val="Tablehead2"/>
              <w:jc w:val="center"/>
            </w:pPr>
            <w:r w:rsidRPr="005D5792">
              <w:t>3</w:t>
            </w:r>
          </w:p>
        </w:tc>
        <w:tc>
          <w:tcPr>
            <w:tcW w:w="1060" w:type="dxa"/>
            <w:tcBorders>
              <w:top w:val="nil"/>
              <w:left w:val="nil"/>
              <w:bottom w:val="single" w:sz="4" w:space="0" w:color="auto"/>
              <w:right w:val="nil"/>
            </w:tcBorders>
            <w:shd w:val="clear" w:color="auto" w:fill="auto"/>
            <w:noWrap/>
            <w:hideMark/>
          </w:tcPr>
          <w:p w:rsidR="00B15E84" w:rsidRPr="005D5792" w:rsidRDefault="00B15E84" w:rsidP="00120265">
            <w:pPr>
              <w:pStyle w:val="Tablehead2"/>
              <w:jc w:val="center"/>
            </w:pPr>
            <w:r w:rsidRPr="005D5792">
              <w:t>4</w:t>
            </w:r>
          </w:p>
        </w:tc>
        <w:tc>
          <w:tcPr>
            <w:tcW w:w="1061" w:type="dxa"/>
            <w:tcBorders>
              <w:top w:val="nil"/>
              <w:left w:val="nil"/>
              <w:bottom w:val="single" w:sz="4" w:space="0" w:color="auto"/>
              <w:right w:val="nil"/>
            </w:tcBorders>
            <w:shd w:val="clear" w:color="auto" w:fill="auto"/>
            <w:noWrap/>
            <w:hideMark/>
          </w:tcPr>
          <w:p w:rsidR="00B15E84" w:rsidRPr="005D5792" w:rsidRDefault="00B15E84" w:rsidP="00120265">
            <w:pPr>
              <w:pStyle w:val="Tablehead2"/>
              <w:jc w:val="center"/>
            </w:pPr>
            <w:r w:rsidRPr="005D5792">
              <w:t>5</w:t>
            </w:r>
          </w:p>
        </w:tc>
        <w:tc>
          <w:tcPr>
            <w:tcW w:w="1061" w:type="dxa"/>
            <w:tcBorders>
              <w:top w:val="nil"/>
              <w:left w:val="nil"/>
              <w:bottom w:val="single" w:sz="4" w:space="0" w:color="auto"/>
              <w:right w:val="nil"/>
            </w:tcBorders>
          </w:tcPr>
          <w:p w:rsidR="00B15E84" w:rsidRPr="005D5792" w:rsidRDefault="00B15E84" w:rsidP="00120265">
            <w:pPr>
              <w:pStyle w:val="Tablehead2"/>
              <w:jc w:val="center"/>
            </w:pPr>
            <w:r>
              <w:t>Total</w:t>
            </w:r>
          </w:p>
        </w:tc>
      </w:tr>
      <w:tr w:rsidR="00B15E84" w:rsidRPr="00120265" w:rsidTr="00120265">
        <w:tc>
          <w:tcPr>
            <w:tcW w:w="2425" w:type="dxa"/>
            <w:tcBorders>
              <w:top w:val="nil"/>
              <w:left w:val="nil"/>
              <w:bottom w:val="nil"/>
            </w:tcBorders>
            <w:shd w:val="clear" w:color="auto" w:fill="auto"/>
            <w:noWrap/>
            <w:hideMark/>
          </w:tcPr>
          <w:p w:rsidR="00B15E84" w:rsidRPr="00120265" w:rsidRDefault="00B15E84" w:rsidP="00120265">
            <w:pPr>
              <w:pStyle w:val="Tabletext"/>
            </w:pPr>
            <w:r w:rsidRPr="00120265">
              <w:t>Diploma and above</w:t>
            </w:r>
          </w:p>
        </w:tc>
        <w:tc>
          <w:tcPr>
            <w:tcW w:w="1060" w:type="dxa"/>
            <w:tcBorders>
              <w:top w:val="nil"/>
              <w:bottom w:val="nil"/>
              <w:right w:val="nil"/>
            </w:tcBorders>
            <w:shd w:val="clear" w:color="auto" w:fill="auto"/>
            <w:noWrap/>
            <w:hideMark/>
          </w:tcPr>
          <w:p w:rsidR="00B15E84" w:rsidRPr="00120265" w:rsidRDefault="00B15E84" w:rsidP="00120265">
            <w:pPr>
              <w:pStyle w:val="Tabletext"/>
              <w:tabs>
                <w:tab w:val="decimal" w:pos="397"/>
              </w:tabs>
            </w:pPr>
            <w:r w:rsidRPr="00120265">
              <w:t>3.0</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3.2</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2.9</w:t>
            </w:r>
          </w:p>
        </w:tc>
        <w:tc>
          <w:tcPr>
            <w:tcW w:w="1060"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3.3</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3.0</w:t>
            </w:r>
          </w:p>
        </w:tc>
        <w:tc>
          <w:tcPr>
            <w:tcW w:w="1061" w:type="dxa"/>
            <w:tcBorders>
              <w:top w:val="nil"/>
              <w:left w:val="nil"/>
              <w:bottom w:val="nil"/>
              <w:right w:val="nil"/>
            </w:tcBorders>
          </w:tcPr>
          <w:p w:rsidR="00B15E84" w:rsidRPr="00120265" w:rsidRDefault="00B15E84" w:rsidP="00120265">
            <w:pPr>
              <w:pStyle w:val="Tabletext"/>
              <w:tabs>
                <w:tab w:val="decimal" w:pos="397"/>
              </w:tabs>
            </w:pPr>
            <w:r w:rsidRPr="00120265">
              <w:rPr>
                <w:szCs w:val="22"/>
              </w:rPr>
              <w:t>3.1</w:t>
            </w:r>
          </w:p>
        </w:tc>
      </w:tr>
      <w:tr w:rsidR="00B15E84" w:rsidRPr="00120265" w:rsidTr="00120265">
        <w:tc>
          <w:tcPr>
            <w:tcW w:w="2425" w:type="dxa"/>
            <w:tcBorders>
              <w:top w:val="nil"/>
              <w:left w:val="nil"/>
              <w:bottom w:val="nil"/>
            </w:tcBorders>
            <w:shd w:val="clear" w:color="auto" w:fill="auto"/>
            <w:noWrap/>
            <w:hideMark/>
          </w:tcPr>
          <w:p w:rsidR="00B15E84" w:rsidRPr="00120265" w:rsidRDefault="00B15E84" w:rsidP="00120265">
            <w:pPr>
              <w:pStyle w:val="Tabletext"/>
            </w:pPr>
            <w:r w:rsidRPr="00120265">
              <w:t>Certificate IV</w:t>
            </w:r>
          </w:p>
        </w:tc>
        <w:tc>
          <w:tcPr>
            <w:tcW w:w="1060" w:type="dxa"/>
            <w:tcBorders>
              <w:top w:val="nil"/>
              <w:bottom w:val="nil"/>
              <w:right w:val="nil"/>
            </w:tcBorders>
            <w:shd w:val="clear" w:color="auto" w:fill="auto"/>
            <w:noWrap/>
            <w:hideMark/>
          </w:tcPr>
          <w:p w:rsidR="00B15E84" w:rsidRPr="00120265" w:rsidRDefault="00B15E84" w:rsidP="00120265">
            <w:pPr>
              <w:pStyle w:val="Tabletext"/>
              <w:tabs>
                <w:tab w:val="decimal" w:pos="397"/>
              </w:tabs>
            </w:pPr>
            <w:r w:rsidRPr="00120265">
              <w:t>3.3</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3.8</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3.3</w:t>
            </w:r>
          </w:p>
        </w:tc>
        <w:tc>
          <w:tcPr>
            <w:tcW w:w="1060"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3.3</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2.9</w:t>
            </w:r>
          </w:p>
        </w:tc>
        <w:tc>
          <w:tcPr>
            <w:tcW w:w="1061" w:type="dxa"/>
            <w:tcBorders>
              <w:top w:val="nil"/>
              <w:left w:val="nil"/>
              <w:bottom w:val="nil"/>
              <w:right w:val="nil"/>
            </w:tcBorders>
          </w:tcPr>
          <w:p w:rsidR="00B15E84" w:rsidRPr="00120265" w:rsidRDefault="00B15E84" w:rsidP="00120265">
            <w:pPr>
              <w:pStyle w:val="Tabletext"/>
              <w:tabs>
                <w:tab w:val="decimal" w:pos="397"/>
              </w:tabs>
            </w:pPr>
            <w:r w:rsidRPr="00120265">
              <w:rPr>
                <w:szCs w:val="22"/>
              </w:rPr>
              <w:t>3.3</w:t>
            </w:r>
          </w:p>
        </w:tc>
      </w:tr>
      <w:tr w:rsidR="00B15E84" w:rsidRPr="00120265" w:rsidTr="00120265">
        <w:tc>
          <w:tcPr>
            <w:tcW w:w="2425" w:type="dxa"/>
            <w:tcBorders>
              <w:top w:val="nil"/>
              <w:left w:val="nil"/>
              <w:bottom w:val="nil"/>
            </w:tcBorders>
            <w:shd w:val="clear" w:color="auto" w:fill="auto"/>
            <w:noWrap/>
            <w:hideMark/>
          </w:tcPr>
          <w:p w:rsidR="00B15E84" w:rsidRPr="00120265" w:rsidRDefault="00B15E84" w:rsidP="00120265">
            <w:pPr>
              <w:pStyle w:val="Tabletext"/>
            </w:pPr>
            <w:r w:rsidRPr="00120265">
              <w:t>Certificate III</w:t>
            </w:r>
          </w:p>
        </w:tc>
        <w:tc>
          <w:tcPr>
            <w:tcW w:w="1060" w:type="dxa"/>
            <w:tcBorders>
              <w:top w:val="nil"/>
              <w:bottom w:val="nil"/>
              <w:right w:val="nil"/>
            </w:tcBorders>
            <w:shd w:val="clear" w:color="auto" w:fill="auto"/>
            <w:noWrap/>
            <w:hideMark/>
          </w:tcPr>
          <w:p w:rsidR="00B15E84" w:rsidRPr="00120265" w:rsidRDefault="00B15E84" w:rsidP="00120265">
            <w:pPr>
              <w:pStyle w:val="Tabletext"/>
              <w:tabs>
                <w:tab w:val="decimal" w:pos="397"/>
              </w:tabs>
            </w:pPr>
            <w:r w:rsidRPr="00120265">
              <w:t>10.5</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11.1</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9.2</w:t>
            </w:r>
          </w:p>
        </w:tc>
        <w:tc>
          <w:tcPr>
            <w:tcW w:w="1060"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8.5</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6.5</w:t>
            </w:r>
          </w:p>
        </w:tc>
        <w:tc>
          <w:tcPr>
            <w:tcW w:w="1061" w:type="dxa"/>
            <w:tcBorders>
              <w:top w:val="nil"/>
              <w:left w:val="nil"/>
              <w:bottom w:val="nil"/>
              <w:right w:val="nil"/>
            </w:tcBorders>
          </w:tcPr>
          <w:p w:rsidR="00B15E84" w:rsidRPr="00120265" w:rsidRDefault="00B15E84" w:rsidP="00120265">
            <w:pPr>
              <w:pStyle w:val="Tabletext"/>
              <w:tabs>
                <w:tab w:val="decimal" w:pos="397"/>
              </w:tabs>
            </w:pPr>
            <w:r w:rsidRPr="00120265">
              <w:rPr>
                <w:szCs w:val="22"/>
              </w:rPr>
              <w:t>9.0</w:t>
            </w:r>
          </w:p>
        </w:tc>
      </w:tr>
      <w:tr w:rsidR="00B15E84" w:rsidRPr="00120265" w:rsidTr="00120265">
        <w:tc>
          <w:tcPr>
            <w:tcW w:w="2425" w:type="dxa"/>
            <w:tcBorders>
              <w:top w:val="nil"/>
              <w:left w:val="nil"/>
              <w:bottom w:val="nil"/>
            </w:tcBorders>
            <w:shd w:val="clear" w:color="auto" w:fill="auto"/>
            <w:noWrap/>
            <w:hideMark/>
          </w:tcPr>
          <w:p w:rsidR="00B15E84" w:rsidRPr="00120265" w:rsidRDefault="00B15E84" w:rsidP="00120265">
            <w:pPr>
              <w:pStyle w:val="Tabletext"/>
            </w:pPr>
            <w:r w:rsidRPr="00120265">
              <w:t>Certificate II</w:t>
            </w:r>
          </w:p>
        </w:tc>
        <w:tc>
          <w:tcPr>
            <w:tcW w:w="1060" w:type="dxa"/>
            <w:tcBorders>
              <w:top w:val="nil"/>
              <w:bottom w:val="nil"/>
              <w:right w:val="nil"/>
            </w:tcBorders>
            <w:shd w:val="clear" w:color="auto" w:fill="auto"/>
            <w:noWrap/>
            <w:hideMark/>
          </w:tcPr>
          <w:p w:rsidR="00B15E84" w:rsidRPr="00120265" w:rsidRDefault="00B15E84" w:rsidP="00120265">
            <w:pPr>
              <w:pStyle w:val="Tabletext"/>
              <w:tabs>
                <w:tab w:val="decimal" w:pos="397"/>
              </w:tabs>
            </w:pPr>
            <w:r w:rsidRPr="00120265">
              <w:t>3.8</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3.0</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2.1</w:t>
            </w:r>
          </w:p>
        </w:tc>
        <w:tc>
          <w:tcPr>
            <w:tcW w:w="1060"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1.7</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1.1</w:t>
            </w:r>
          </w:p>
        </w:tc>
        <w:tc>
          <w:tcPr>
            <w:tcW w:w="1061" w:type="dxa"/>
            <w:tcBorders>
              <w:top w:val="nil"/>
              <w:left w:val="nil"/>
              <w:bottom w:val="nil"/>
              <w:right w:val="nil"/>
            </w:tcBorders>
          </w:tcPr>
          <w:p w:rsidR="00B15E84" w:rsidRPr="00120265" w:rsidRDefault="00B15E84" w:rsidP="00120265">
            <w:pPr>
              <w:pStyle w:val="Tabletext"/>
              <w:tabs>
                <w:tab w:val="decimal" w:pos="397"/>
              </w:tabs>
            </w:pPr>
            <w:r w:rsidRPr="00120265">
              <w:rPr>
                <w:szCs w:val="22"/>
              </w:rPr>
              <w:t>2.2</w:t>
            </w:r>
          </w:p>
        </w:tc>
      </w:tr>
      <w:tr w:rsidR="00B15E84" w:rsidRPr="00120265" w:rsidTr="00120265">
        <w:tc>
          <w:tcPr>
            <w:tcW w:w="2425" w:type="dxa"/>
            <w:tcBorders>
              <w:top w:val="nil"/>
              <w:left w:val="nil"/>
              <w:bottom w:val="nil"/>
            </w:tcBorders>
            <w:shd w:val="clear" w:color="auto" w:fill="auto"/>
            <w:noWrap/>
            <w:hideMark/>
          </w:tcPr>
          <w:p w:rsidR="00B15E84" w:rsidRPr="00120265" w:rsidRDefault="00B15E84" w:rsidP="00120265">
            <w:pPr>
              <w:pStyle w:val="Tabletext"/>
            </w:pPr>
            <w:r w:rsidRPr="00120265">
              <w:t>Certificate I</w:t>
            </w:r>
          </w:p>
        </w:tc>
        <w:tc>
          <w:tcPr>
            <w:tcW w:w="1060" w:type="dxa"/>
            <w:tcBorders>
              <w:top w:val="nil"/>
              <w:bottom w:val="nil"/>
              <w:right w:val="nil"/>
            </w:tcBorders>
            <w:shd w:val="clear" w:color="auto" w:fill="auto"/>
            <w:noWrap/>
            <w:hideMark/>
          </w:tcPr>
          <w:p w:rsidR="00B15E84" w:rsidRPr="00120265" w:rsidRDefault="00B15E84" w:rsidP="00120265">
            <w:pPr>
              <w:pStyle w:val="Tabletext"/>
              <w:tabs>
                <w:tab w:val="decimal" w:pos="397"/>
              </w:tabs>
            </w:pPr>
            <w:r w:rsidRPr="00120265">
              <w:t>1.0</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0.7</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0.5</w:t>
            </w:r>
          </w:p>
        </w:tc>
        <w:tc>
          <w:tcPr>
            <w:tcW w:w="1060"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0.4</w:t>
            </w:r>
          </w:p>
        </w:tc>
        <w:tc>
          <w:tcPr>
            <w:tcW w:w="1061" w:type="dxa"/>
            <w:tcBorders>
              <w:top w:val="nil"/>
              <w:left w:val="nil"/>
              <w:bottom w:val="nil"/>
              <w:right w:val="nil"/>
            </w:tcBorders>
            <w:shd w:val="clear" w:color="auto" w:fill="auto"/>
            <w:noWrap/>
            <w:hideMark/>
          </w:tcPr>
          <w:p w:rsidR="00B15E84" w:rsidRPr="00120265" w:rsidRDefault="00B15E84" w:rsidP="00120265">
            <w:pPr>
              <w:pStyle w:val="Tabletext"/>
              <w:tabs>
                <w:tab w:val="decimal" w:pos="397"/>
              </w:tabs>
            </w:pPr>
            <w:r w:rsidRPr="00120265">
              <w:t>0.2</w:t>
            </w:r>
          </w:p>
        </w:tc>
        <w:tc>
          <w:tcPr>
            <w:tcW w:w="1061" w:type="dxa"/>
            <w:tcBorders>
              <w:top w:val="nil"/>
              <w:left w:val="nil"/>
              <w:bottom w:val="nil"/>
              <w:right w:val="nil"/>
            </w:tcBorders>
          </w:tcPr>
          <w:p w:rsidR="00B15E84" w:rsidRPr="00120265" w:rsidRDefault="00B15E84" w:rsidP="00120265">
            <w:pPr>
              <w:pStyle w:val="Tabletext"/>
              <w:tabs>
                <w:tab w:val="decimal" w:pos="397"/>
              </w:tabs>
            </w:pPr>
            <w:r w:rsidRPr="00120265">
              <w:rPr>
                <w:szCs w:val="22"/>
              </w:rPr>
              <w:t>0.5</w:t>
            </w:r>
          </w:p>
        </w:tc>
      </w:tr>
      <w:tr w:rsidR="00B15E84" w:rsidRPr="00120265" w:rsidTr="00120265">
        <w:tc>
          <w:tcPr>
            <w:tcW w:w="2425" w:type="dxa"/>
            <w:tcBorders>
              <w:top w:val="nil"/>
              <w:left w:val="nil"/>
            </w:tcBorders>
            <w:shd w:val="clear" w:color="auto" w:fill="auto"/>
            <w:noWrap/>
            <w:hideMark/>
          </w:tcPr>
          <w:p w:rsidR="00B15E84" w:rsidRPr="00120265" w:rsidRDefault="00B15E84" w:rsidP="00120265">
            <w:pPr>
              <w:pStyle w:val="Tabletext"/>
            </w:pPr>
            <w:r w:rsidRPr="00120265">
              <w:t>Non-AQF</w:t>
            </w:r>
          </w:p>
        </w:tc>
        <w:tc>
          <w:tcPr>
            <w:tcW w:w="1060" w:type="dxa"/>
            <w:tcBorders>
              <w:top w:val="nil"/>
              <w:right w:val="nil"/>
            </w:tcBorders>
            <w:shd w:val="clear" w:color="auto" w:fill="auto"/>
            <w:noWrap/>
            <w:hideMark/>
          </w:tcPr>
          <w:p w:rsidR="00B15E84" w:rsidRPr="00120265" w:rsidRDefault="00B15E84" w:rsidP="008972A8">
            <w:pPr>
              <w:pStyle w:val="Tabletext"/>
              <w:tabs>
                <w:tab w:val="decimal" w:pos="397"/>
              </w:tabs>
            </w:pPr>
            <w:r w:rsidRPr="00120265">
              <w:t>2.2</w:t>
            </w:r>
          </w:p>
        </w:tc>
        <w:tc>
          <w:tcPr>
            <w:tcW w:w="1061" w:type="dxa"/>
            <w:tcBorders>
              <w:top w:val="nil"/>
              <w:left w:val="nil"/>
              <w:right w:val="nil"/>
            </w:tcBorders>
            <w:shd w:val="clear" w:color="auto" w:fill="auto"/>
            <w:noWrap/>
            <w:hideMark/>
          </w:tcPr>
          <w:p w:rsidR="00B15E84" w:rsidRPr="00120265" w:rsidRDefault="00B15E84" w:rsidP="00120265">
            <w:pPr>
              <w:pStyle w:val="Tabletext"/>
              <w:tabs>
                <w:tab w:val="decimal" w:pos="397"/>
              </w:tabs>
            </w:pPr>
            <w:r w:rsidRPr="00120265">
              <w:t>2.2</w:t>
            </w:r>
          </w:p>
        </w:tc>
        <w:tc>
          <w:tcPr>
            <w:tcW w:w="1061" w:type="dxa"/>
            <w:tcBorders>
              <w:top w:val="nil"/>
              <w:left w:val="nil"/>
              <w:right w:val="nil"/>
            </w:tcBorders>
            <w:shd w:val="clear" w:color="auto" w:fill="auto"/>
            <w:noWrap/>
            <w:hideMark/>
          </w:tcPr>
          <w:p w:rsidR="00B15E84" w:rsidRPr="00120265" w:rsidRDefault="00B15E84" w:rsidP="00120265">
            <w:pPr>
              <w:pStyle w:val="Tabletext"/>
              <w:tabs>
                <w:tab w:val="decimal" w:pos="397"/>
              </w:tabs>
            </w:pPr>
            <w:r w:rsidRPr="00120265">
              <w:t>1.7</w:t>
            </w:r>
          </w:p>
        </w:tc>
        <w:tc>
          <w:tcPr>
            <w:tcW w:w="1060" w:type="dxa"/>
            <w:tcBorders>
              <w:top w:val="nil"/>
              <w:left w:val="nil"/>
              <w:right w:val="nil"/>
            </w:tcBorders>
            <w:shd w:val="clear" w:color="auto" w:fill="auto"/>
            <w:noWrap/>
            <w:hideMark/>
          </w:tcPr>
          <w:p w:rsidR="00B15E84" w:rsidRPr="00120265" w:rsidRDefault="00B15E84" w:rsidP="00120265">
            <w:pPr>
              <w:pStyle w:val="Tabletext"/>
              <w:tabs>
                <w:tab w:val="decimal" w:pos="397"/>
              </w:tabs>
            </w:pPr>
            <w:r w:rsidRPr="00120265">
              <w:t>1.5</w:t>
            </w:r>
          </w:p>
        </w:tc>
        <w:tc>
          <w:tcPr>
            <w:tcW w:w="1061" w:type="dxa"/>
            <w:tcBorders>
              <w:top w:val="nil"/>
              <w:left w:val="nil"/>
              <w:right w:val="nil"/>
            </w:tcBorders>
            <w:shd w:val="clear" w:color="auto" w:fill="auto"/>
            <w:noWrap/>
            <w:hideMark/>
          </w:tcPr>
          <w:p w:rsidR="00B15E84" w:rsidRPr="00120265" w:rsidRDefault="00B15E84" w:rsidP="00120265">
            <w:pPr>
              <w:pStyle w:val="Tabletext"/>
              <w:tabs>
                <w:tab w:val="decimal" w:pos="397"/>
              </w:tabs>
            </w:pPr>
            <w:r w:rsidRPr="00120265">
              <w:t>1.3</w:t>
            </w:r>
          </w:p>
        </w:tc>
        <w:tc>
          <w:tcPr>
            <w:tcW w:w="1061" w:type="dxa"/>
            <w:tcBorders>
              <w:top w:val="nil"/>
              <w:left w:val="nil"/>
              <w:right w:val="nil"/>
            </w:tcBorders>
          </w:tcPr>
          <w:p w:rsidR="00B15E84" w:rsidRPr="00120265" w:rsidRDefault="00B15E84" w:rsidP="00120265">
            <w:pPr>
              <w:pStyle w:val="Tabletext"/>
              <w:tabs>
                <w:tab w:val="decimal" w:pos="397"/>
              </w:tabs>
            </w:pPr>
            <w:r w:rsidRPr="00120265">
              <w:rPr>
                <w:szCs w:val="22"/>
              </w:rPr>
              <w:t>1.7</w:t>
            </w:r>
          </w:p>
        </w:tc>
      </w:tr>
      <w:tr w:rsidR="00B15E84" w:rsidRPr="00120265" w:rsidTr="003332D7">
        <w:tc>
          <w:tcPr>
            <w:tcW w:w="2425" w:type="dxa"/>
            <w:tcBorders>
              <w:top w:val="nil"/>
              <w:left w:val="nil"/>
              <w:bottom w:val="single" w:sz="4" w:space="0" w:color="auto"/>
            </w:tcBorders>
            <w:shd w:val="clear" w:color="auto" w:fill="auto"/>
            <w:noWrap/>
            <w:hideMark/>
          </w:tcPr>
          <w:p w:rsidR="00B15E84" w:rsidRPr="00120265" w:rsidRDefault="00901F3F" w:rsidP="00120265">
            <w:pPr>
              <w:pStyle w:val="Tabletext"/>
            </w:pPr>
            <w:r w:rsidRPr="00120265">
              <w:t>Module o</w:t>
            </w:r>
            <w:r w:rsidR="00B15E84" w:rsidRPr="00120265">
              <w:t>nly</w:t>
            </w:r>
          </w:p>
        </w:tc>
        <w:tc>
          <w:tcPr>
            <w:tcW w:w="1060" w:type="dxa"/>
            <w:tcBorders>
              <w:top w:val="nil"/>
              <w:bottom w:val="single" w:sz="4" w:space="0" w:color="auto"/>
              <w:right w:val="nil"/>
            </w:tcBorders>
            <w:shd w:val="clear" w:color="auto" w:fill="auto"/>
            <w:noWrap/>
            <w:hideMark/>
          </w:tcPr>
          <w:p w:rsidR="00B15E84" w:rsidRPr="00120265" w:rsidRDefault="00B15E84" w:rsidP="00120265">
            <w:pPr>
              <w:pStyle w:val="Tabletext"/>
              <w:tabs>
                <w:tab w:val="decimal" w:pos="397"/>
              </w:tabs>
            </w:pPr>
            <w:r w:rsidRPr="00120265">
              <w:t>0.6</w:t>
            </w:r>
          </w:p>
        </w:tc>
        <w:tc>
          <w:tcPr>
            <w:tcW w:w="1061" w:type="dxa"/>
            <w:tcBorders>
              <w:top w:val="nil"/>
              <w:left w:val="nil"/>
              <w:bottom w:val="single" w:sz="4" w:space="0" w:color="auto"/>
              <w:right w:val="nil"/>
            </w:tcBorders>
            <w:shd w:val="clear" w:color="auto" w:fill="auto"/>
            <w:noWrap/>
            <w:hideMark/>
          </w:tcPr>
          <w:p w:rsidR="00B15E84" w:rsidRPr="00120265" w:rsidRDefault="00B15E84" w:rsidP="00120265">
            <w:pPr>
              <w:pStyle w:val="Tabletext"/>
              <w:tabs>
                <w:tab w:val="decimal" w:pos="397"/>
              </w:tabs>
            </w:pPr>
            <w:r w:rsidRPr="00120265">
              <w:t>0.6</w:t>
            </w:r>
          </w:p>
        </w:tc>
        <w:tc>
          <w:tcPr>
            <w:tcW w:w="1061" w:type="dxa"/>
            <w:tcBorders>
              <w:top w:val="nil"/>
              <w:left w:val="nil"/>
              <w:bottom w:val="single" w:sz="4" w:space="0" w:color="auto"/>
              <w:right w:val="nil"/>
            </w:tcBorders>
            <w:shd w:val="clear" w:color="auto" w:fill="auto"/>
            <w:noWrap/>
            <w:hideMark/>
          </w:tcPr>
          <w:p w:rsidR="00B15E84" w:rsidRPr="00120265" w:rsidRDefault="00B15E84" w:rsidP="00120265">
            <w:pPr>
              <w:pStyle w:val="Tabletext"/>
              <w:tabs>
                <w:tab w:val="decimal" w:pos="397"/>
              </w:tabs>
            </w:pPr>
            <w:r w:rsidRPr="00120265">
              <w:t>0.3</w:t>
            </w:r>
          </w:p>
        </w:tc>
        <w:tc>
          <w:tcPr>
            <w:tcW w:w="1060" w:type="dxa"/>
            <w:tcBorders>
              <w:top w:val="nil"/>
              <w:left w:val="nil"/>
              <w:bottom w:val="single" w:sz="4" w:space="0" w:color="auto"/>
              <w:right w:val="nil"/>
            </w:tcBorders>
            <w:shd w:val="clear" w:color="auto" w:fill="auto"/>
            <w:noWrap/>
            <w:hideMark/>
          </w:tcPr>
          <w:p w:rsidR="00B15E84" w:rsidRPr="00120265" w:rsidRDefault="00B15E84" w:rsidP="00120265">
            <w:pPr>
              <w:pStyle w:val="Tabletext"/>
              <w:tabs>
                <w:tab w:val="decimal" w:pos="397"/>
              </w:tabs>
            </w:pPr>
            <w:r w:rsidRPr="00120265">
              <w:t>0.2</w:t>
            </w:r>
          </w:p>
        </w:tc>
        <w:tc>
          <w:tcPr>
            <w:tcW w:w="1061" w:type="dxa"/>
            <w:tcBorders>
              <w:top w:val="nil"/>
              <w:left w:val="nil"/>
              <w:bottom w:val="single" w:sz="4" w:space="0" w:color="auto"/>
              <w:right w:val="nil"/>
            </w:tcBorders>
            <w:shd w:val="clear" w:color="auto" w:fill="auto"/>
            <w:noWrap/>
            <w:hideMark/>
          </w:tcPr>
          <w:p w:rsidR="00B15E84" w:rsidRPr="00120265" w:rsidRDefault="00B15E84" w:rsidP="00120265">
            <w:pPr>
              <w:pStyle w:val="Tabletext"/>
              <w:tabs>
                <w:tab w:val="decimal" w:pos="397"/>
              </w:tabs>
            </w:pPr>
            <w:r w:rsidRPr="00120265">
              <w:t>0.2</w:t>
            </w:r>
          </w:p>
        </w:tc>
        <w:tc>
          <w:tcPr>
            <w:tcW w:w="1061" w:type="dxa"/>
            <w:tcBorders>
              <w:top w:val="nil"/>
              <w:left w:val="nil"/>
              <w:bottom w:val="single" w:sz="4" w:space="0" w:color="auto"/>
              <w:right w:val="nil"/>
            </w:tcBorders>
          </w:tcPr>
          <w:p w:rsidR="00B15E84" w:rsidRPr="00120265" w:rsidRDefault="00B15E84" w:rsidP="00120265">
            <w:pPr>
              <w:pStyle w:val="Tabletext"/>
              <w:tabs>
                <w:tab w:val="decimal" w:pos="397"/>
              </w:tabs>
            </w:pPr>
            <w:r w:rsidRPr="00120265">
              <w:rPr>
                <w:szCs w:val="22"/>
              </w:rPr>
              <w:t>0.3</w:t>
            </w:r>
          </w:p>
        </w:tc>
      </w:tr>
      <w:tr w:rsidR="00B15E84" w:rsidRPr="00120265" w:rsidTr="003332D7">
        <w:tc>
          <w:tcPr>
            <w:tcW w:w="2425" w:type="dxa"/>
            <w:tcBorders>
              <w:top w:val="single" w:sz="4" w:space="0" w:color="auto"/>
              <w:left w:val="nil"/>
              <w:bottom w:val="dashed" w:sz="4" w:space="0" w:color="auto"/>
            </w:tcBorders>
            <w:shd w:val="clear" w:color="auto" w:fill="auto"/>
            <w:noWrap/>
            <w:hideMark/>
          </w:tcPr>
          <w:p w:rsidR="00B15E84" w:rsidRPr="00120265" w:rsidRDefault="00B15E84" w:rsidP="00120265">
            <w:pPr>
              <w:pStyle w:val="Tabletext"/>
              <w:rPr>
                <w:b/>
              </w:rPr>
            </w:pPr>
            <w:r w:rsidRPr="00120265">
              <w:rPr>
                <w:b/>
              </w:rPr>
              <w:t>Total</w:t>
            </w:r>
          </w:p>
        </w:tc>
        <w:tc>
          <w:tcPr>
            <w:tcW w:w="1060" w:type="dxa"/>
            <w:tcBorders>
              <w:top w:val="single" w:sz="4" w:space="0" w:color="auto"/>
              <w:bottom w:val="dashed" w:sz="4" w:space="0" w:color="auto"/>
              <w:right w:val="nil"/>
            </w:tcBorders>
            <w:shd w:val="clear" w:color="auto" w:fill="auto"/>
            <w:noWrap/>
            <w:hideMark/>
          </w:tcPr>
          <w:p w:rsidR="00B15E84" w:rsidRPr="00120265" w:rsidRDefault="00B15E84" w:rsidP="00120265">
            <w:pPr>
              <w:pStyle w:val="Tabletext"/>
              <w:tabs>
                <w:tab w:val="decimal" w:pos="397"/>
              </w:tabs>
              <w:rPr>
                <w:b/>
              </w:rPr>
            </w:pPr>
            <w:r w:rsidRPr="00120265">
              <w:rPr>
                <w:b/>
              </w:rPr>
              <w:t>24.3</w:t>
            </w:r>
          </w:p>
        </w:tc>
        <w:tc>
          <w:tcPr>
            <w:tcW w:w="1061" w:type="dxa"/>
            <w:tcBorders>
              <w:top w:val="single" w:sz="4" w:space="0" w:color="auto"/>
              <w:left w:val="nil"/>
              <w:bottom w:val="dashed" w:sz="4" w:space="0" w:color="auto"/>
              <w:right w:val="nil"/>
            </w:tcBorders>
            <w:shd w:val="clear" w:color="auto" w:fill="auto"/>
            <w:noWrap/>
            <w:hideMark/>
          </w:tcPr>
          <w:p w:rsidR="00B15E84" w:rsidRPr="00120265" w:rsidRDefault="00B15E84" w:rsidP="00120265">
            <w:pPr>
              <w:pStyle w:val="Tabletext"/>
              <w:tabs>
                <w:tab w:val="decimal" w:pos="397"/>
              </w:tabs>
              <w:rPr>
                <w:b/>
              </w:rPr>
            </w:pPr>
            <w:r w:rsidRPr="00120265">
              <w:rPr>
                <w:b/>
              </w:rPr>
              <w:t>24.6</w:t>
            </w:r>
          </w:p>
        </w:tc>
        <w:tc>
          <w:tcPr>
            <w:tcW w:w="1061" w:type="dxa"/>
            <w:tcBorders>
              <w:top w:val="single" w:sz="4" w:space="0" w:color="auto"/>
              <w:left w:val="nil"/>
              <w:bottom w:val="dashed" w:sz="4" w:space="0" w:color="auto"/>
              <w:right w:val="nil"/>
            </w:tcBorders>
            <w:shd w:val="clear" w:color="auto" w:fill="auto"/>
            <w:noWrap/>
            <w:hideMark/>
          </w:tcPr>
          <w:p w:rsidR="00B15E84" w:rsidRPr="00120265" w:rsidRDefault="00B15E84" w:rsidP="00120265">
            <w:pPr>
              <w:pStyle w:val="Tabletext"/>
              <w:tabs>
                <w:tab w:val="decimal" w:pos="397"/>
              </w:tabs>
              <w:rPr>
                <w:b/>
              </w:rPr>
            </w:pPr>
            <w:r w:rsidRPr="00120265">
              <w:rPr>
                <w:b/>
              </w:rPr>
              <w:t>20.1</w:t>
            </w:r>
          </w:p>
        </w:tc>
        <w:tc>
          <w:tcPr>
            <w:tcW w:w="1060" w:type="dxa"/>
            <w:tcBorders>
              <w:top w:val="single" w:sz="4" w:space="0" w:color="auto"/>
              <w:left w:val="nil"/>
              <w:bottom w:val="dashed" w:sz="4" w:space="0" w:color="auto"/>
              <w:right w:val="nil"/>
            </w:tcBorders>
            <w:shd w:val="clear" w:color="auto" w:fill="auto"/>
            <w:noWrap/>
            <w:hideMark/>
          </w:tcPr>
          <w:p w:rsidR="00B15E84" w:rsidRPr="00120265" w:rsidRDefault="00B15E84" w:rsidP="00120265">
            <w:pPr>
              <w:pStyle w:val="Tabletext"/>
              <w:tabs>
                <w:tab w:val="decimal" w:pos="397"/>
              </w:tabs>
              <w:rPr>
                <w:b/>
              </w:rPr>
            </w:pPr>
            <w:r w:rsidRPr="00120265">
              <w:rPr>
                <w:b/>
              </w:rPr>
              <w:t>18.9</w:t>
            </w:r>
          </w:p>
        </w:tc>
        <w:tc>
          <w:tcPr>
            <w:tcW w:w="1061" w:type="dxa"/>
            <w:tcBorders>
              <w:top w:val="single" w:sz="4" w:space="0" w:color="auto"/>
              <w:left w:val="nil"/>
              <w:bottom w:val="dashed" w:sz="4" w:space="0" w:color="auto"/>
              <w:right w:val="nil"/>
            </w:tcBorders>
            <w:shd w:val="clear" w:color="auto" w:fill="auto"/>
            <w:noWrap/>
            <w:hideMark/>
          </w:tcPr>
          <w:p w:rsidR="00B15E84" w:rsidRPr="00120265" w:rsidRDefault="00B15E84" w:rsidP="00120265">
            <w:pPr>
              <w:pStyle w:val="Tabletext"/>
              <w:tabs>
                <w:tab w:val="decimal" w:pos="397"/>
              </w:tabs>
              <w:rPr>
                <w:b/>
              </w:rPr>
            </w:pPr>
            <w:r w:rsidRPr="00120265">
              <w:rPr>
                <w:b/>
              </w:rPr>
              <w:t>15.1</w:t>
            </w:r>
          </w:p>
        </w:tc>
        <w:tc>
          <w:tcPr>
            <w:tcW w:w="1061" w:type="dxa"/>
            <w:tcBorders>
              <w:top w:val="single" w:sz="4" w:space="0" w:color="auto"/>
              <w:left w:val="nil"/>
              <w:bottom w:val="dashed" w:sz="4" w:space="0" w:color="auto"/>
              <w:right w:val="nil"/>
            </w:tcBorders>
          </w:tcPr>
          <w:p w:rsidR="00B15E84" w:rsidRPr="00120265" w:rsidRDefault="00B15E84" w:rsidP="00120265">
            <w:pPr>
              <w:pStyle w:val="Tabletext"/>
              <w:tabs>
                <w:tab w:val="decimal" w:pos="397"/>
              </w:tabs>
              <w:rPr>
                <w:b/>
              </w:rPr>
            </w:pPr>
            <w:r w:rsidRPr="00120265">
              <w:rPr>
                <w:b/>
              </w:rPr>
              <w:t>20.3</w:t>
            </w:r>
          </w:p>
        </w:tc>
      </w:tr>
      <w:tr w:rsidR="00B15E84" w:rsidRPr="00120265" w:rsidTr="003332D7">
        <w:tc>
          <w:tcPr>
            <w:tcW w:w="2425" w:type="dxa"/>
            <w:tcBorders>
              <w:top w:val="dashed" w:sz="4" w:space="0" w:color="auto"/>
              <w:left w:val="nil"/>
              <w:bottom w:val="nil"/>
            </w:tcBorders>
            <w:shd w:val="clear" w:color="auto" w:fill="auto"/>
            <w:noWrap/>
            <w:hideMark/>
          </w:tcPr>
          <w:p w:rsidR="00B15E84" w:rsidRPr="00120265" w:rsidRDefault="005E4BD8" w:rsidP="00120265">
            <w:pPr>
              <w:pStyle w:val="Tabletext"/>
              <w:rPr>
                <w:b/>
              </w:rPr>
            </w:pPr>
            <w:r w:rsidRPr="00120265">
              <w:rPr>
                <w:b/>
              </w:rPr>
              <w:t>Total 20 to 24-year-</w:t>
            </w:r>
            <w:r w:rsidR="00B15E84" w:rsidRPr="00120265">
              <w:rPr>
                <w:b/>
              </w:rPr>
              <w:t>olds participating in VET</w:t>
            </w:r>
          </w:p>
        </w:tc>
        <w:tc>
          <w:tcPr>
            <w:tcW w:w="1060" w:type="dxa"/>
            <w:tcBorders>
              <w:top w:val="dashed" w:sz="4" w:space="0" w:color="auto"/>
              <w:bottom w:val="nil"/>
              <w:right w:val="nil"/>
            </w:tcBorders>
            <w:shd w:val="clear" w:color="auto" w:fill="auto"/>
            <w:noWrap/>
            <w:hideMark/>
          </w:tcPr>
          <w:p w:rsidR="00B15E84" w:rsidRPr="00120265" w:rsidRDefault="00B15E84" w:rsidP="00120265">
            <w:pPr>
              <w:pStyle w:val="Tabletext"/>
              <w:ind w:right="198"/>
              <w:jc w:val="right"/>
              <w:rPr>
                <w:b/>
              </w:rPr>
            </w:pPr>
            <w:r w:rsidRPr="00120265">
              <w:rPr>
                <w:b/>
              </w:rPr>
              <w:t>53 650</w:t>
            </w:r>
          </w:p>
        </w:tc>
        <w:tc>
          <w:tcPr>
            <w:tcW w:w="1061" w:type="dxa"/>
            <w:tcBorders>
              <w:top w:val="dashed" w:sz="4" w:space="0" w:color="auto"/>
              <w:left w:val="nil"/>
              <w:bottom w:val="nil"/>
              <w:right w:val="nil"/>
            </w:tcBorders>
            <w:shd w:val="clear" w:color="auto" w:fill="auto"/>
            <w:noWrap/>
            <w:hideMark/>
          </w:tcPr>
          <w:p w:rsidR="00B15E84" w:rsidRPr="00120265" w:rsidRDefault="00B15E84" w:rsidP="00120265">
            <w:pPr>
              <w:pStyle w:val="Tabletext"/>
              <w:ind w:right="198"/>
              <w:jc w:val="right"/>
              <w:rPr>
                <w:b/>
              </w:rPr>
            </w:pPr>
            <w:r w:rsidRPr="00120265">
              <w:rPr>
                <w:b/>
              </w:rPr>
              <w:t>68 307</w:t>
            </w:r>
          </w:p>
        </w:tc>
        <w:tc>
          <w:tcPr>
            <w:tcW w:w="1061" w:type="dxa"/>
            <w:tcBorders>
              <w:top w:val="dashed" w:sz="4" w:space="0" w:color="auto"/>
              <w:left w:val="nil"/>
              <w:bottom w:val="nil"/>
              <w:right w:val="nil"/>
            </w:tcBorders>
            <w:shd w:val="clear" w:color="auto" w:fill="auto"/>
            <w:noWrap/>
            <w:hideMark/>
          </w:tcPr>
          <w:p w:rsidR="00B15E84" w:rsidRPr="00120265" w:rsidRDefault="00B15E84" w:rsidP="00120265">
            <w:pPr>
              <w:pStyle w:val="Tabletext"/>
              <w:ind w:right="198"/>
              <w:jc w:val="right"/>
              <w:rPr>
                <w:b/>
              </w:rPr>
            </w:pPr>
            <w:r w:rsidRPr="00120265">
              <w:rPr>
                <w:b/>
              </w:rPr>
              <w:t>61 905</w:t>
            </w:r>
          </w:p>
        </w:tc>
        <w:tc>
          <w:tcPr>
            <w:tcW w:w="1060" w:type="dxa"/>
            <w:tcBorders>
              <w:top w:val="dashed" w:sz="4" w:space="0" w:color="auto"/>
              <w:left w:val="nil"/>
              <w:bottom w:val="nil"/>
              <w:right w:val="nil"/>
            </w:tcBorders>
            <w:shd w:val="clear" w:color="auto" w:fill="auto"/>
            <w:noWrap/>
            <w:hideMark/>
          </w:tcPr>
          <w:p w:rsidR="00B15E84" w:rsidRPr="00120265" w:rsidRDefault="00B15E84" w:rsidP="00120265">
            <w:pPr>
              <w:pStyle w:val="Tabletext"/>
              <w:ind w:right="198"/>
              <w:jc w:val="right"/>
              <w:rPr>
                <w:b/>
              </w:rPr>
            </w:pPr>
            <w:r w:rsidRPr="00120265">
              <w:rPr>
                <w:b/>
              </w:rPr>
              <w:t>68 309</w:t>
            </w:r>
          </w:p>
        </w:tc>
        <w:tc>
          <w:tcPr>
            <w:tcW w:w="1061" w:type="dxa"/>
            <w:tcBorders>
              <w:top w:val="dashed" w:sz="4" w:space="0" w:color="auto"/>
              <w:left w:val="nil"/>
              <w:bottom w:val="nil"/>
              <w:right w:val="nil"/>
            </w:tcBorders>
            <w:shd w:val="clear" w:color="auto" w:fill="auto"/>
            <w:noWrap/>
            <w:hideMark/>
          </w:tcPr>
          <w:p w:rsidR="00B15E84" w:rsidRPr="00120265" w:rsidRDefault="00B15E84" w:rsidP="00120265">
            <w:pPr>
              <w:pStyle w:val="Tabletext"/>
              <w:ind w:right="198"/>
              <w:jc w:val="right"/>
              <w:rPr>
                <w:b/>
              </w:rPr>
            </w:pPr>
            <w:r w:rsidRPr="00120265">
              <w:rPr>
                <w:b/>
              </w:rPr>
              <w:t>43 157</w:t>
            </w:r>
          </w:p>
        </w:tc>
        <w:tc>
          <w:tcPr>
            <w:tcW w:w="1061" w:type="dxa"/>
            <w:tcBorders>
              <w:top w:val="dashed" w:sz="4" w:space="0" w:color="auto"/>
              <w:left w:val="nil"/>
              <w:bottom w:val="nil"/>
              <w:right w:val="nil"/>
            </w:tcBorders>
          </w:tcPr>
          <w:p w:rsidR="00B15E84" w:rsidRPr="00120265" w:rsidRDefault="00B15E84" w:rsidP="00120265">
            <w:pPr>
              <w:pStyle w:val="Tabletext"/>
              <w:ind w:right="170"/>
              <w:jc w:val="right"/>
              <w:rPr>
                <w:b/>
              </w:rPr>
            </w:pPr>
            <w:r w:rsidRPr="00120265">
              <w:rPr>
                <w:b/>
                <w:szCs w:val="22"/>
              </w:rPr>
              <w:t>295 380</w:t>
            </w:r>
          </w:p>
        </w:tc>
      </w:tr>
      <w:tr w:rsidR="00B15E84" w:rsidRPr="00120265" w:rsidTr="00120265">
        <w:tc>
          <w:tcPr>
            <w:tcW w:w="2425" w:type="dxa"/>
            <w:tcBorders>
              <w:top w:val="nil"/>
              <w:left w:val="nil"/>
              <w:bottom w:val="single" w:sz="4" w:space="0" w:color="auto"/>
            </w:tcBorders>
            <w:shd w:val="clear" w:color="auto" w:fill="auto"/>
            <w:noWrap/>
            <w:hideMark/>
          </w:tcPr>
          <w:p w:rsidR="00B15E84" w:rsidRPr="00120265" w:rsidRDefault="005E4BD8" w:rsidP="00120265">
            <w:pPr>
              <w:pStyle w:val="Tabletext"/>
            </w:pPr>
            <w:r w:rsidRPr="00120265">
              <w:t>Number of 20 to 24-</w:t>
            </w:r>
            <w:r w:rsidR="009047C4" w:rsidRPr="00120265">
              <w:t>year-</w:t>
            </w:r>
            <w:r w:rsidR="00B15E84" w:rsidRPr="00120265">
              <w:t>olds in quintile</w:t>
            </w:r>
          </w:p>
        </w:tc>
        <w:tc>
          <w:tcPr>
            <w:tcW w:w="1060" w:type="dxa"/>
            <w:tcBorders>
              <w:top w:val="nil"/>
              <w:bottom w:val="single" w:sz="4" w:space="0" w:color="auto"/>
              <w:right w:val="nil"/>
            </w:tcBorders>
            <w:shd w:val="clear" w:color="auto" w:fill="auto"/>
            <w:noWrap/>
            <w:hideMark/>
          </w:tcPr>
          <w:p w:rsidR="00B15E84" w:rsidRPr="00120265" w:rsidRDefault="00B15E84" w:rsidP="00120265">
            <w:pPr>
              <w:pStyle w:val="Tabletext"/>
              <w:ind w:right="198"/>
              <w:jc w:val="right"/>
            </w:pPr>
            <w:r w:rsidRPr="00120265">
              <w:t>220 074</w:t>
            </w:r>
          </w:p>
        </w:tc>
        <w:tc>
          <w:tcPr>
            <w:tcW w:w="1061" w:type="dxa"/>
            <w:tcBorders>
              <w:top w:val="nil"/>
              <w:left w:val="nil"/>
              <w:bottom w:val="single" w:sz="4" w:space="0" w:color="auto"/>
              <w:right w:val="nil"/>
            </w:tcBorders>
            <w:shd w:val="clear" w:color="auto" w:fill="auto"/>
            <w:noWrap/>
            <w:hideMark/>
          </w:tcPr>
          <w:p w:rsidR="00B15E84" w:rsidRPr="00120265" w:rsidRDefault="00B15E84" w:rsidP="00120265">
            <w:pPr>
              <w:pStyle w:val="Tabletext"/>
              <w:ind w:right="198"/>
              <w:jc w:val="right"/>
            </w:pPr>
            <w:r w:rsidRPr="00120265">
              <w:t>277 645</w:t>
            </w:r>
          </w:p>
        </w:tc>
        <w:tc>
          <w:tcPr>
            <w:tcW w:w="1061" w:type="dxa"/>
            <w:tcBorders>
              <w:top w:val="nil"/>
              <w:left w:val="nil"/>
              <w:bottom w:val="single" w:sz="4" w:space="0" w:color="auto"/>
              <w:right w:val="nil"/>
            </w:tcBorders>
            <w:shd w:val="clear" w:color="auto" w:fill="auto"/>
            <w:noWrap/>
            <w:hideMark/>
          </w:tcPr>
          <w:p w:rsidR="00B15E84" w:rsidRPr="00120265" w:rsidRDefault="00B15E84" w:rsidP="00120265">
            <w:pPr>
              <w:pStyle w:val="Tabletext"/>
              <w:ind w:right="198"/>
              <w:jc w:val="right"/>
            </w:pPr>
            <w:r w:rsidRPr="00120265">
              <w:t>308 624</w:t>
            </w:r>
          </w:p>
        </w:tc>
        <w:tc>
          <w:tcPr>
            <w:tcW w:w="1060" w:type="dxa"/>
            <w:tcBorders>
              <w:top w:val="nil"/>
              <w:left w:val="nil"/>
              <w:bottom w:val="single" w:sz="4" w:space="0" w:color="auto"/>
              <w:right w:val="nil"/>
            </w:tcBorders>
            <w:shd w:val="clear" w:color="auto" w:fill="auto"/>
            <w:noWrap/>
            <w:hideMark/>
          </w:tcPr>
          <w:p w:rsidR="00B15E84" w:rsidRPr="00120265" w:rsidRDefault="00B15E84" w:rsidP="00120265">
            <w:pPr>
              <w:pStyle w:val="Tabletext"/>
              <w:ind w:right="198"/>
              <w:jc w:val="right"/>
            </w:pPr>
            <w:r w:rsidRPr="00120265">
              <w:t>361 625</w:t>
            </w:r>
          </w:p>
        </w:tc>
        <w:tc>
          <w:tcPr>
            <w:tcW w:w="1061" w:type="dxa"/>
            <w:tcBorders>
              <w:top w:val="nil"/>
              <w:left w:val="nil"/>
              <w:bottom w:val="single" w:sz="4" w:space="0" w:color="auto"/>
              <w:right w:val="nil"/>
            </w:tcBorders>
            <w:shd w:val="clear" w:color="auto" w:fill="auto"/>
            <w:noWrap/>
            <w:hideMark/>
          </w:tcPr>
          <w:p w:rsidR="00B15E84" w:rsidRPr="00120265" w:rsidRDefault="00B15E84" w:rsidP="00120265">
            <w:pPr>
              <w:pStyle w:val="Tabletext"/>
              <w:ind w:right="198"/>
              <w:jc w:val="right"/>
            </w:pPr>
            <w:r w:rsidRPr="00120265">
              <w:t>286 705</w:t>
            </w:r>
          </w:p>
        </w:tc>
        <w:tc>
          <w:tcPr>
            <w:tcW w:w="1061" w:type="dxa"/>
            <w:tcBorders>
              <w:top w:val="nil"/>
              <w:left w:val="nil"/>
              <w:bottom w:val="single" w:sz="4" w:space="0" w:color="auto"/>
              <w:right w:val="nil"/>
            </w:tcBorders>
            <w:tcMar>
              <w:left w:w="0" w:type="dxa"/>
            </w:tcMar>
          </w:tcPr>
          <w:p w:rsidR="00B15E84" w:rsidRPr="00120265" w:rsidRDefault="00B15E84" w:rsidP="00120265">
            <w:pPr>
              <w:pStyle w:val="Tabletext"/>
              <w:ind w:right="170"/>
              <w:jc w:val="right"/>
            </w:pPr>
            <w:r w:rsidRPr="00120265">
              <w:rPr>
                <w:szCs w:val="22"/>
              </w:rPr>
              <w:t>1 455 845</w:t>
            </w:r>
          </w:p>
        </w:tc>
      </w:tr>
    </w:tbl>
    <w:p w:rsidR="00636D48" w:rsidRDefault="00636D48" w:rsidP="00537780">
      <w:pPr>
        <w:pStyle w:val="tabletitle"/>
      </w:pPr>
      <w:bookmarkStart w:id="72" w:name="_Toc383616149"/>
      <w:r w:rsidRPr="0037307C">
        <w:t xml:space="preserve">Table </w:t>
      </w:r>
      <w:r>
        <w:t>2</w:t>
      </w:r>
      <w:r w:rsidR="0002480D">
        <w:t>2</w:t>
      </w:r>
      <w:r w:rsidR="00537780">
        <w:tab/>
      </w:r>
      <w:r w:rsidR="00901F3F">
        <w:t>P</w:t>
      </w:r>
      <w:r w:rsidRPr="0037307C">
        <w:t>articipation in VET</w:t>
      </w:r>
      <w:r w:rsidR="00901F3F">
        <w:t>,</w:t>
      </w:r>
      <w:r w:rsidRPr="0037307C">
        <w:t xml:space="preserve"> </w:t>
      </w:r>
      <w:r w:rsidR="00901F3F">
        <w:t xml:space="preserve">25 to 64-year-olds, </w:t>
      </w:r>
      <w:r w:rsidRPr="0037307C">
        <w:t xml:space="preserve">by qualification and </w:t>
      </w:r>
      <w:r>
        <w:t>SES</w:t>
      </w:r>
      <w:r w:rsidRPr="0037307C">
        <w:t xml:space="preserve"> quintiles</w:t>
      </w:r>
      <w:r>
        <w:t>,</w:t>
      </w:r>
      <w:r w:rsidRPr="0037307C">
        <w:t xml:space="preserve"> </w:t>
      </w:r>
      <w:r w:rsidR="009047C4">
        <w:t>statistical local areas</w:t>
      </w:r>
      <w:r>
        <w:t>, 2006</w:t>
      </w:r>
      <w:bookmarkEnd w:id="72"/>
    </w:p>
    <w:tbl>
      <w:tblPr>
        <w:tblW w:w="8789" w:type="dxa"/>
        <w:tblInd w:w="93" w:type="dxa"/>
        <w:tblLayout w:type="fixed"/>
        <w:tblLook w:val="04A0" w:firstRow="1" w:lastRow="0" w:firstColumn="1" w:lastColumn="0" w:noHBand="0" w:noVBand="1"/>
      </w:tblPr>
      <w:tblGrid>
        <w:gridCol w:w="2425"/>
        <w:gridCol w:w="1060"/>
        <w:gridCol w:w="1061"/>
        <w:gridCol w:w="1061"/>
        <w:gridCol w:w="1060"/>
        <w:gridCol w:w="1061"/>
        <w:gridCol w:w="1061"/>
      </w:tblGrid>
      <w:tr w:rsidR="008972A8" w:rsidRPr="008972A8" w:rsidTr="008972A8">
        <w:tc>
          <w:tcPr>
            <w:tcW w:w="2425" w:type="dxa"/>
            <w:tcBorders>
              <w:top w:val="single" w:sz="4" w:space="0" w:color="auto"/>
              <w:left w:val="nil"/>
              <w:bottom w:val="nil"/>
              <w:right w:val="nil"/>
            </w:tcBorders>
            <w:shd w:val="clear" w:color="auto" w:fill="auto"/>
            <w:noWrap/>
            <w:hideMark/>
          </w:tcPr>
          <w:p w:rsidR="008972A8" w:rsidRPr="008972A8" w:rsidRDefault="008972A8" w:rsidP="008972A8">
            <w:pPr>
              <w:pStyle w:val="Tablehead1"/>
            </w:pPr>
            <w:r w:rsidRPr="008972A8">
              <w:t>Qualification category</w:t>
            </w:r>
          </w:p>
        </w:tc>
        <w:tc>
          <w:tcPr>
            <w:tcW w:w="6364" w:type="dxa"/>
            <w:gridSpan w:val="6"/>
            <w:tcBorders>
              <w:top w:val="single" w:sz="4" w:space="0" w:color="auto"/>
              <w:left w:val="nil"/>
              <w:bottom w:val="nil"/>
            </w:tcBorders>
            <w:shd w:val="clear" w:color="auto" w:fill="auto"/>
            <w:noWrap/>
            <w:hideMark/>
          </w:tcPr>
          <w:p w:rsidR="008972A8" w:rsidRPr="008972A8" w:rsidRDefault="008972A8" w:rsidP="008972A8">
            <w:pPr>
              <w:pStyle w:val="Tablehead1"/>
              <w:jc w:val="center"/>
            </w:pPr>
            <w:r w:rsidRPr="008972A8">
              <w:t>2006 using 2006 IRSD quintiles</w:t>
            </w:r>
          </w:p>
        </w:tc>
      </w:tr>
      <w:tr w:rsidR="004F149F" w:rsidRPr="00EF54A1" w:rsidTr="008972A8">
        <w:tc>
          <w:tcPr>
            <w:tcW w:w="2425" w:type="dxa"/>
            <w:tcBorders>
              <w:top w:val="nil"/>
              <w:left w:val="nil"/>
              <w:bottom w:val="single" w:sz="4" w:space="0" w:color="auto"/>
              <w:right w:val="nil"/>
            </w:tcBorders>
            <w:shd w:val="clear" w:color="auto" w:fill="auto"/>
            <w:noWrap/>
            <w:hideMark/>
          </w:tcPr>
          <w:p w:rsidR="004F149F" w:rsidRPr="00EF54A1" w:rsidRDefault="004F149F" w:rsidP="008972A8">
            <w:pPr>
              <w:pStyle w:val="Tablehead2"/>
            </w:pPr>
          </w:p>
        </w:tc>
        <w:tc>
          <w:tcPr>
            <w:tcW w:w="1060" w:type="dxa"/>
            <w:tcBorders>
              <w:top w:val="nil"/>
              <w:left w:val="nil"/>
              <w:bottom w:val="single" w:sz="4" w:space="0" w:color="auto"/>
              <w:right w:val="nil"/>
            </w:tcBorders>
            <w:shd w:val="clear" w:color="auto" w:fill="auto"/>
            <w:noWrap/>
            <w:hideMark/>
          </w:tcPr>
          <w:p w:rsidR="004F149F" w:rsidRPr="00EF54A1" w:rsidRDefault="004F149F" w:rsidP="008972A8">
            <w:pPr>
              <w:pStyle w:val="Tablehead2"/>
              <w:jc w:val="center"/>
            </w:pPr>
            <w:r w:rsidRPr="00EF54A1">
              <w:t>1</w:t>
            </w:r>
          </w:p>
        </w:tc>
        <w:tc>
          <w:tcPr>
            <w:tcW w:w="1061" w:type="dxa"/>
            <w:tcBorders>
              <w:top w:val="nil"/>
              <w:left w:val="nil"/>
              <w:bottom w:val="single" w:sz="4" w:space="0" w:color="auto"/>
              <w:right w:val="nil"/>
            </w:tcBorders>
            <w:shd w:val="clear" w:color="auto" w:fill="auto"/>
            <w:noWrap/>
            <w:hideMark/>
          </w:tcPr>
          <w:p w:rsidR="004F149F" w:rsidRPr="00EF54A1" w:rsidRDefault="004F149F" w:rsidP="008972A8">
            <w:pPr>
              <w:pStyle w:val="Tablehead2"/>
              <w:jc w:val="center"/>
            </w:pPr>
            <w:r w:rsidRPr="00EF54A1">
              <w:t>2</w:t>
            </w:r>
          </w:p>
        </w:tc>
        <w:tc>
          <w:tcPr>
            <w:tcW w:w="1061" w:type="dxa"/>
            <w:tcBorders>
              <w:top w:val="nil"/>
              <w:left w:val="nil"/>
              <w:bottom w:val="single" w:sz="4" w:space="0" w:color="auto"/>
              <w:right w:val="nil"/>
            </w:tcBorders>
            <w:shd w:val="clear" w:color="auto" w:fill="auto"/>
            <w:noWrap/>
            <w:hideMark/>
          </w:tcPr>
          <w:p w:rsidR="004F149F" w:rsidRPr="00EF54A1" w:rsidRDefault="004F149F" w:rsidP="008972A8">
            <w:pPr>
              <w:pStyle w:val="Tablehead2"/>
              <w:jc w:val="center"/>
            </w:pPr>
            <w:r w:rsidRPr="00EF54A1">
              <w:t>3</w:t>
            </w:r>
          </w:p>
        </w:tc>
        <w:tc>
          <w:tcPr>
            <w:tcW w:w="1060" w:type="dxa"/>
            <w:tcBorders>
              <w:top w:val="nil"/>
              <w:left w:val="nil"/>
              <w:bottom w:val="single" w:sz="4" w:space="0" w:color="auto"/>
              <w:right w:val="nil"/>
            </w:tcBorders>
            <w:shd w:val="clear" w:color="auto" w:fill="auto"/>
            <w:noWrap/>
            <w:hideMark/>
          </w:tcPr>
          <w:p w:rsidR="004F149F" w:rsidRPr="00EF54A1" w:rsidRDefault="004F149F" w:rsidP="008972A8">
            <w:pPr>
              <w:pStyle w:val="Tablehead2"/>
              <w:jc w:val="center"/>
            </w:pPr>
            <w:r w:rsidRPr="00EF54A1">
              <w:t>4</w:t>
            </w:r>
          </w:p>
        </w:tc>
        <w:tc>
          <w:tcPr>
            <w:tcW w:w="1061" w:type="dxa"/>
            <w:tcBorders>
              <w:top w:val="nil"/>
              <w:left w:val="nil"/>
              <w:bottom w:val="single" w:sz="4" w:space="0" w:color="auto"/>
            </w:tcBorders>
            <w:shd w:val="clear" w:color="auto" w:fill="auto"/>
            <w:noWrap/>
            <w:hideMark/>
          </w:tcPr>
          <w:p w:rsidR="004F149F" w:rsidRPr="00EF54A1" w:rsidRDefault="004F149F" w:rsidP="008972A8">
            <w:pPr>
              <w:pStyle w:val="Tablehead2"/>
              <w:jc w:val="center"/>
            </w:pPr>
            <w:r w:rsidRPr="00EF54A1">
              <w:t>5</w:t>
            </w:r>
          </w:p>
        </w:tc>
        <w:tc>
          <w:tcPr>
            <w:tcW w:w="1061" w:type="dxa"/>
            <w:tcBorders>
              <w:top w:val="nil"/>
              <w:bottom w:val="single" w:sz="4" w:space="0" w:color="auto"/>
            </w:tcBorders>
          </w:tcPr>
          <w:p w:rsidR="004F149F" w:rsidRPr="00EF54A1" w:rsidRDefault="004F149F" w:rsidP="008972A8">
            <w:pPr>
              <w:pStyle w:val="Tablehead2"/>
              <w:jc w:val="center"/>
            </w:pPr>
            <w:r>
              <w:t>Total</w:t>
            </w:r>
          </w:p>
        </w:tc>
      </w:tr>
      <w:tr w:rsidR="004F149F" w:rsidRPr="008972A8" w:rsidTr="008972A8">
        <w:tc>
          <w:tcPr>
            <w:tcW w:w="2425" w:type="dxa"/>
            <w:tcBorders>
              <w:top w:val="nil"/>
              <w:left w:val="nil"/>
              <w:bottom w:val="nil"/>
              <w:right w:val="nil"/>
            </w:tcBorders>
            <w:shd w:val="clear" w:color="auto" w:fill="auto"/>
            <w:noWrap/>
            <w:hideMark/>
          </w:tcPr>
          <w:p w:rsidR="004F149F" w:rsidRPr="008972A8" w:rsidRDefault="004F149F" w:rsidP="008972A8">
            <w:pPr>
              <w:pStyle w:val="Tabletext"/>
            </w:pPr>
            <w:r w:rsidRPr="008972A8">
              <w:t>Diploma and above</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0.6</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0.6</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0.6</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0.8</w:t>
            </w:r>
          </w:p>
        </w:tc>
        <w:tc>
          <w:tcPr>
            <w:tcW w:w="1061" w:type="dxa"/>
            <w:tcBorders>
              <w:top w:val="nil"/>
              <w:left w:val="nil"/>
              <w:bottom w:val="nil"/>
            </w:tcBorders>
            <w:shd w:val="clear" w:color="auto" w:fill="auto"/>
            <w:noWrap/>
            <w:hideMark/>
          </w:tcPr>
          <w:p w:rsidR="004F149F" w:rsidRPr="008972A8" w:rsidRDefault="004F149F" w:rsidP="008972A8">
            <w:pPr>
              <w:pStyle w:val="Tabletext"/>
              <w:tabs>
                <w:tab w:val="decimal" w:pos="397"/>
              </w:tabs>
            </w:pPr>
            <w:r w:rsidRPr="008972A8">
              <w:t>0.7</w:t>
            </w:r>
          </w:p>
        </w:tc>
        <w:tc>
          <w:tcPr>
            <w:tcW w:w="1061" w:type="dxa"/>
            <w:tcBorders>
              <w:top w:val="nil"/>
              <w:bottom w:val="nil"/>
            </w:tcBorders>
          </w:tcPr>
          <w:p w:rsidR="004F149F" w:rsidRPr="008972A8" w:rsidRDefault="004F149F" w:rsidP="008972A8">
            <w:pPr>
              <w:pStyle w:val="Tabletext"/>
              <w:tabs>
                <w:tab w:val="decimal" w:pos="397"/>
              </w:tabs>
            </w:pPr>
            <w:r w:rsidRPr="008972A8">
              <w:rPr>
                <w:szCs w:val="22"/>
              </w:rPr>
              <w:t>0.7</w:t>
            </w:r>
          </w:p>
        </w:tc>
      </w:tr>
      <w:tr w:rsidR="004F149F" w:rsidRPr="008972A8" w:rsidTr="008972A8">
        <w:tc>
          <w:tcPr>
            <w:tcW w:w="2425" w:type="dxa"/>
            <w:tcBorders>
              <w:top w:val="nil"/>
              <w:left w:val="nil"/>
              <w:bottom w:val="nil"/>
              <w:right w:val="nil"/>
            </w:tcBorders>
            <w:shd w:val="clear" w:color="auto" w:fill="auto"/>
            <w:noWrap/>
            <w:hideMark/>
          </w:tcPr>
          <w:p w:rsidR="004F149F" w:rsidRPr="008972A8" w:rsidRDefault="004F149F" w:rsidP="008972A8">
            <w:pPr>
              <w:pStyle w:val="Tabletext"/>
            </w:pPr>
            <w:r w:rsidRPr="008972A8">
              <w:t>Certificate IV</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1.0</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1.0</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0.9</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0.9</w:t>
            </w:r>
          </w:p>
        </w:tc>
        <w:tc>
          <w:tcPr>
            <w:tcW w:w="1061" w:type="dxa"/>
            <w:tcBorders>
              <w:top w:val="nil"/>
              <w:left w:val="nil"/>
              <w:bottom w:val="nil"/>
            </w:tcBorders>
            <w:shd w:val="clear" w:color="auto" w:fill="auto"/>
            <w:noWrap/>
            <w:hideMark/>
          </w:tcPr>
          <w:p w:rsidR="004F149F" w:rsidRPr="008972A8" w:rsidRDefault="004F149F" w:rsidP="008972A8">
            <w:pPr>
              <w:pStyle w:val="Tabletext"/>
              <w:tabs>
                <w:tab w:val="decimal" w:pos="397"/>
              </w:tabs>
            </w:pPr>
            <w:r w:rsidRPr="008972A8">
              <w:t>0.8</w:t>
            </w:r>
          </w:p>
        </w:tc>
        <w:tc>
          <w:tcPr>
            <w:tcW w:w="1061" w:type="dxa"/>
            <w:tcBorders>
              <w:top w:val="nil"/>
              <w:bottom w:val="nil"/>
            </w:tcBorders>
          </w:tcPr>
          <w:p w:rsidR="004F149F" w:rsidRPr="008972A8" w:rsidRDefault="004F149F" w:rsidP="008972A8">
            <w:pPr>
              <w:pStyle w:val="Tabletext"/>
              <w:tabs>
                <w:tab w:val="decimal" w:pos="397"/>
              </w:tabs>
            </w:pPr>
            <w:r w:rsidRPr="008972A8">
              <w:rPr>
                <w:szCs w:val="22"/>
              </w:rPr>
              <w:t>0.9</w:t>
            </w:r>
          </w:p>
        </w:tc>
      </w:tr>
      <w:tr w:rsidR="004F149F" w:rsidRPr="008972A8" w:rsidTr="008972A8">
        <w:tc>
          <w:tcPr>
            <w:tcW w:w="2425" w:type="dxa"/>
            <w:tcBorders>
              <w:top w:val="nil"/>
              <w:left w:val="nil"/>
              <w:bottom w:val="nil"/>
              <w:right w:val="nil"/>
            </w:tcBorders>
            <w:shd w:val="clear" w:color="auto" w:fill="auto"/>
            <w:noWrap/>
            <w:hideMark/>
          </w:tcPr>
          <w:p w:rsidR="004F149F" w:rsidRPr="008972A8" w:rsidRDefault="004F149F" w:rsidP="008972A8">
            <w:pPr>
              <w:pStyle w:val="Tabletext"/>
            </w:pPr>
            <w:r w:rsidRPr="008972A8">
              <w:t>Certificate III</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1.9</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1.8</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1.6</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1.5</w:t>
            </w:r>
          </w:p>
        </w:tc>
        <w:tc>
          <w:tcPr>
            <w:tcW w:w="1061" w:type="dxa"/>
            <w:tcBorders>
              <w:top w:val="nil"/>
              <w:left w:val="nil"/>
              <w:bottom w:val="nil"/>
            </w:tcBorders>
            <w:shd w:val="clear" w:color="auto" w:fill="auto"/>
            <w:noWrap/>
            <w:hideMark/>
          </w:tcPr>
          <w:p w:rsidR="004F149F" w:rsidRPr="008972A8" w:rsidRDefault="004F149F" w:rsidP="008972A8">
            <w:pPr>
              <w:pStyle w:val="Tabletext"/>
              <w:tabs>
                <w:tab w:val="decimal" w:pos="397"/>
              </w:tabs>
            </w:pPr>
            <w:r w:rsidRPr="008972A8">
              <w:t>1.0</w:t>
            </w:r>
          </w:p>
        </w:tc>
        <w:tc>
          <w:tcPr>
            <w:tcW w:w="1061" w:type="dxa"/>
            <w:tcBorders>
              <w:top w:val="nil"/>
              <w:bottom w:val="nil"/>
            </w:tcBorders>
          </w:tcPr>
          <w:p w:rsidR="004F149F" w:rsidRPr="008972A8" w:rsidRDefault="004F149F" w:rsidP="008972A8">
            <w:pPr>
              <w:pStyle w:val="Tabletext"/>
              <w:tabs>
                <w:tab w:val="decimal" w:pos="397"/>
              </w:tabs>
            </w:pPr>
            <w:r w:rsidRPr="008972A8">
              <w:rPr>
                <w:szCs w:val="22"/>
              </w:rPr>
              <w:t>1.5</w:t>
            </w:r>
          </w:p>
        </w:tc>
      </w:tr>
      <w:tr w:rsidR="004F149F" w:rsidRPr="008972A8" w:rsidTr="008972A8">
        <w:tc>
          <w:tcPr>
            <w:tcW w:w="2425" w:type="dxa"/>
            <w:tcBorders>
              <w:top w:val="nil"/>
              <w:left w:val="nil"/>
              <w:bottom w:val="nil"/>
              <w:right w:val="nil"/>
            </w:tcBorders>
            <w:shd w:val="clear" w:color="auto" w:fill="auto"/>
            <w:noWrap/>
            <w:hideMark/>
          </w:tcPr>
          <w:p w:rsidR="004F149F" w:rsidRPr="008972A8" w:rsidRDefault="004F149F" w:rsidP="008972A8">
            <w:pPr>
              <w:pStyle w:val="Tabletext"/>
            </w:pPr>
            <w:r w:rsidRPr="008972A8">
              <w:t>Certificate II</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1.3</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1.1</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1.0</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0.8</w:t>
            </w:r>
          </w:p>
        </w:tc>
        <w:tc>
          <w:tcPr>
            <w:tcW w:w="1061" w:type="dxa"/>
            <w:tcBorders>
              <w:top w:val="nil"/>
              <w:left w:val="nil"/>
              <w:bottom w:val="nil"/>
            </w:tcBorders>
            <w:shd w:val="clear" w:color="auto" w:fill="auto"/>
            <w:noWrap/>
            <w:hideMark/>
          </w:tcPr>
          <w:p w:rsidR="004F149F" w:rsidRPr="008972A8" w:rsidRDefault="004F149F" w:rsidP="008972A8">
            <w:pPr>
              <w:pStyle w:val="Tabletext"/>
              <w:tabs>
                <w:tab w:val="decimal" w:pos="397"/>
              </w:tabs>
            </w:pPr>
            <w:r w:rsidRPr="008972A8">
              <w:t>0.5</w:t>
            </w:r>
          </w:p>
        </w:tc>
        <w:tc>
          <w:tcPr>
            <w:tcW w:w="1061" w:type="dxa"/>
            <w:tcBorders>
              <w:top w:val="nil"/>
              <w:bottom w:val="nil"/>
            </w:tcBorders>
          </w:tcPr>
          <w:p w:rsidR="004F149F" w:rsidRPr="008972A8" w:rsidRDefault="004F149F" w:rsidP="008972A8">
            <w:pPr>
              <w:pStyle w:val="Tabletext"/>
              <w:tabs>
                <w:tab w:val="decimal" w:pos="397"/>
              </w:tabs>
            </w:pPr>
            <w:r w:rsidRPr="008972A8">
              <w:rPr>
                <w:szCs w:val="22"/>
              </w:rPr>
              <w:t>0.9</w:t>
            </w:r>
          </w:p>
        </w:tc>
      </w:tr>
      <w:tr w:rsidR="004F149F" w:rsidRPr="008972A8" w:rsidTr="008972A8">
        <w:tc>
          <w:tcPr>
            <w:tcW w:w="2425" w:type="dxa"/>
            <w:tcBorders>
              <w:top w:val="nil"/>
              <w:left w:val="nil"/>
              <w:bottom w:val="nil"/>
              <w:right w:val="nil"/>
            </w:tcBorders>
            <w:shd w:val="clear" w:color="auto" w:fill="auto"/>
            <w:noWrap/>
            <w:hideMark/>
          </w:tcPr>
          <w:p w:rsidR="004F149F" w:rsidRPr="008972A8" w:rsidRDefault="004F149F" w:rsidP="008972A8">
            <w:pPr>
              <w:pStyle w:val="Tabletext"/>
            </w:pPr>
            <w:r w:rsidRPr="008972A8">
              <w:t>Certificate I</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0.7</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0.4</w:t>
            </w:r>
          </w:p>
        </w:tc>
        <w:tc>
          <w:tcPr>
            <w:tcW w:w="1061"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0.4</w:t>
            </w:r>
          </w:p>
        </w:tc>
        <w:tc>
          <w:tcPr>
            <w:tcW w:w="1060" w:type="dxa"/>
            <w:tcBorders>
              <w:top w:val="nil"/>
              <w:left w:val="nil"/>
              <w:bottom w:val="nil"/>
              <w:right w:val="nil"/>
            </w:tcBorders>
            <w:shd w:val="clear" w:color="auto" w:fill="auto"/>
            <w:noWrap/>
            <w:hideMark/>
          </w:tcPr>
          <w:p w:rsidR="004F149F" w:rsidRPr="008972A8" w:rsidRDefault="004F149F" w:rsidP="008972A8">
            <w:pPr>
              <w:pStyle w:val="Tabletext"/>
              <w:tabs>
                <w:tab w:val="decimal" w:pos="397"/>
              </w:tabs>
            </w:pPr>
            <w:r w:rsidRPr="008972A8">
              <w:t>0.3</w:t>
            </w:r>
          </w:p>
        </w:tc>
        <w:tc>
          <w:tcPr>
            <w:tcW w:w="1061" w:type="dxa"/>
            <w:tcBorders>
              <w:top w:val="nil"/>
              <w:left w:val="nil"/>
              <w:bottom w:val="nil"/>
            </w:tcBorders>
            <w:shd w:val="clear" w:color="auto" w:fill="auto"/>
            <w:noWrap/>
            <w:hideMark/>
          </w:tcPr>
          <w:p w:rsidR="004F149F" w:rsidRPr="008972A8" w:rsidRDefault="004F149F" w:rsidP="008972A8">
            <w:pPr>
              <w:pStyle w:val="Tabletext"/>
              <w:tabs>
                <w:tab w:val="decimal" w:pos="397"/>
              </w:tabs>
            </w:pPr>
            <w:r w:rsidRPr="008972A8">
              <w:t>0.2</w:t>
            </w:r>
          </w:p>
        </w:tc>
        <w:tc>
          <w:tcPr>
            <w:tcW w:w="1061" w:type="dxa"/>
            <w:tcBorders>
              <w:top w:val="nil"/>
              <w:bottom w:val="nil"/>
            </w:tcBorders>
          </w:tcPr>
          <w:p w:rsidR="004F149F" w:rsidRPr="008972A8" w:rsidRDefault="004F149F" w:rsidP="008972A8">
            <w:pPr>
              <w:pStyle w:val="Tabletext"/>
              <w:tabs>
                <w:tab w:val="decimal" w:pos="397"/>
              </w:tabs>
            </w:pPr>
            <w:r w:rsidRPr="008972A8">
              <w:rPr>
                <w:szCs w:val="22"/>
              </w:rPr>
              <w:t>0.4</w:t>
            </w:r>
          </w:p>
        </w:tc>
      </w:tr>
      <w:tr w:rsidR="004F149F" w:rsidRPr="008972A8" w:rsidTr="008972A8">
        <w:tc>
          <w:tcPr>
            <w:tcW w:w="2425" w:type="dxa"/>
            <w:tcBorders>
              <w:top w:val="nil"/>
              <w:left w:val="nil"/>
              <w:right w:val="nil"/>
            </w:tcBorders>
            <w:shd w:val="clear" w:color="auto" w:fill="auto"/>
            <w:noWrap/>
            <w:hideMark/>
          </w:tcPr>
          <w:p w:rsidR="004F149F" w:rsidRPr="008972A8" w:rsidRDefault="004F149F" w:rsidP="008972A8">
            <w:pPr>
              <w:pStyle w:val="Tabletext"/>
            </w:pPr>
            <w:r w:rsidRPr="008972A8">
              <w:t>Non-AQF</w:t>
            </w:r>
          </w:p>
        </w:tc>
        <w:tc>
          <w:tcPr>
            <w:tcW w:w="1060" w:type="dxa"/>
            <w:tcBorders>
              <w:top w:val="nil"/>
              <w:left w:val="nil"/>
              <w:right w:val="nil"/>
            </w:tcBorders>
            <w:shd w:val="clear" w:color="auto" w:fill="auto"/>
            <w:noWrap/>
            <w:hideMark/>
          </w:tcPr>
          <w:p w:rsidR="004F149F" w:rsidRPr="008972A8" w:rsidRDefault="004F149F" w:rsidP="008972A8">
            <w:pPr>
              <w:pStyle w:val="Tabletext"/>
              <w:tabs>
                <w:tab w:val="decimal" w:pos="397"/>
              </w:tabs>
            </w:pPr>
            <w:r w:rsidRPr="008972A8">
              <w:t>2.6</w:t>
            </w:r>
          </w:p>
        </w:tc>
        <w:tc>
          <w:tcPr>
            <w:tcW w:w="1061" w:type="dxa"/>
            <w:tcBorders>
              <w:top w:val="nil"/>
              <w:left w:val="nil"/>
              <w:right w:val="nil"/>
            </w:tcBorders>
            <w:shd w:val="clear" w:color="auto" w:fill="auto"/>
            <w:noWrap/>
            <w:hideMark/>
          </w:tcPr>
          <w:p w:rsidR="004F149F" w:rsidRPr="008972A8" w:rsidRDefault="004F149F" w:rsidP="008972A8">
            <w:pPr>
              <w:pStyle w:val="Tabletext"/>
              <w:tabs>
                <w:tab w:val="decimal" w:pos="397"/>
              </w:tabs>
            </w:pPr>
            <w:r w:rsidRPr="008972A8">
              <w:t>2.5</w:t>
            </w:r>
          </w:p>
        </w:tc>
        <w:tc>
          <w:tcPr>
            <w:tcW w:w="1061" w:type="dxa"/>
            <w:tcBorders>
              <w:top w:val="nil"/>
              <w:left w:val="nil"/>
              <w:right w:val="nil"/>
            </w:tcBorders>
            <w:shd w:val="clear" w:color="auto" w:fill="auto"/>
            <w:noWrap/>
            <w:hideMark/>
          </w:tcPr>
          <w:p w:rsidR="004F149F" w:rsidRPr="008972A8" w:rsidRDefault="004F149F" w:rsidP="008972A8">
            <w:pPr>
              <w:pStyle w:val="Tabletext"/>
              <w:tabs>
                <w:tab w:val="decimal" w:pos="397"/>
              </w:tabs>
            </w:pPr>
            <w:r w:rsidRPr="008972A8">
              <w:t>1.9</w:t>
            </w:r>
          </w:p>
        </w:tc>
        <w:tc>
          <w:tcPr>
            <w:tcW w:w="1060" w:type="dxa"/>
            <w:tcBorders>
              <w:top w:val="nil"/>
              <w:left w:val="nil"/>
              <w:right w:val="nil"/>
            </w:tcBorders>
            <w:shd w:val="clear" w:color="auto" w:fill="auto"/>
            <w:noWrap/>
            <w:hideMark/>
          </w:tcPr>
          <w:p w:rsidR="004F149F" w:rsidRPr="008972A8" w:rsidRDefault="004F149F" w:rsidP="008972A8">
            <w:pPr>
              <w:pStyle w:val="Tabletext"/>
              <w:tabs>
                <w:tab w:val="decimal" w:pos="397"/>
              </w:tabs>
            </w:pPr>
            <w:r w:rsidRPr="008972A8">
              <w:t>1.7</w:t>
            </w:r>
          </w:p>
        </w:tc>
        <w:tc>
          <w:tcPr>
            <w:tcW w:w="1061" w:type="dxa"/>
            <w:tcBorders>
              <w:top w:val="nil"/>
              <w:left w:val="nil"/>
            </w:tcBorders>
            <w:shd w:val="clear" w:color="auto" w:fill="auto"/>
            <w:noWrap/>
            <w:hideMark/>
          </w:tcPr>
          <w:p w:rsidR="004F149F" w:rsidRPr="008972A8" w:rsidRDefault="004F149F" w:rsidP="008972A8">
            <w:pPr>
              <w:pStyle w:val="Tabletext"/>
              <w:tabs>
                <w:tab w:val="decimal" w:pos="397"/>
              </w:tabs>
            </w:pPr>
            <w:r w:rsidRPr="008972A8">
              <w:t>1.5</w:t>
            </w:r>
          </w:p>
        </w:tc>
        <w:tc>
          <w:tcPr>
            <w:tcW w:w="1061" w:type="dxa"/>
            <w:tcBorders>
              <w:top w:val="nil"/>
            </w:tcBorders>
          </w:tcPr>
          <w:p w:rsidR="004F149F" w:rsidRPr="008972A8" w:rsidRDefault="004F149F" w:rsidP="008972A8">
            <w:pPr>
              <w:pStyle w:val="Tabletext"/>
              <w:tabs>
                <w:tab w:val="decimal" w:pos="397"/>
              </w:tabs>
            </w:pPr>
            <w:r w:rsidRPr="008972A8">
              <w:rPr>
                <w:szCs w:val="22"/>
              </w:rPr>
              <w:t>2.0</w:t>
            </w:r>
          </w:p>
        </w:tc>
      </w:tr>
      <w:tr w:rsidR="004F149F" w:rsidRPr="008972A8" w:rsidTr="003332D7">
        <w:tc>
          <w:tcPr>
            <w:tcW w:w="2425" w:type="dxa"/>
            <w:tcBorders>
              <w:top w:val="nil"/>
              <w:left w:val="nil"/>
              <w:bottom w:val="single" w:sz="4" w:space="0" w:color="auto"/>
              <w:right w:val="nil"/>
            </w:tcBorders>
            <w:shd w:val="clear" w:color="auto" w:fill="auto"/>
            <w:noWrap/>
            <w:hideMark/>
          </w:tcPr>
          <w:p w:rsidR="004F149F" w:rsidRPr="008972A8" w:rsidRDefault="009047C4" w:rsidP="008972A8">
            <w:pPr>
              <w:pStyle w:val="Tabletext"/>
            </w:pPr>
            <w:r w:rsidRPr="008972A8">
              <w:t>Module o</w:t>
            </w:r>
            <w:r w:rsidR="004F149F" w:rsidRPr="008972A8">
              <w:t>nly</w:t>
            </w:r>
          </w:p>
        </w:tc>
        <w:tc>
          <w:tcPr>
            <w:tcW w:w="1060" w:type="dxa"/>
            <w:tcBorders>
              <w:top w:val="nil"/>
              <w:left w:val="nil"/>
              <w:bottom w:val="single" w:sz="4" w:space="0" w:color="auto"/>
              <w:right w:val="nil"/>
            </w:tcBorders>
            <w:shd w:val="clear" w:color="auto" w:fill="auto"/>
            <w:noWrap/>
            <w:hideMark/>
          </w:tcPr>
          <w:p w:rsidR="004F149F" w:rsidRPr="008972A8" w:rsidRDefault="004F149F" w:rsidP="008972A8">
            <w:pPr>
              <w:pStyle w:val="Tabletext"/>
              <w:tabs>
                <w:tab w:val="decimal" w:pos="397"/>
              </w:tabs>
            </w:pPr>
            <w:r w:rsidRPr="008972A8">
              <w:t>0.6</w:t>
            </w:r>
          </w:p>
        </w:tc>
        <w:tc>
          <w:tcPr>
            <w:tcW w:w="1061" w:type="dxa"/>
            <w:tcBorders>
              <w:top w:val="nil"/>
              <w:left w:val="nil"/>
              <w:bottom w:val="single" w:sz="4" w:space="0" w:color="auto"/>
              <w:right w:val="nil"/>
            </w:tcBorders>
            <w:shd w:val="clear" w:color="auto" w:fill="auto"/>
            <w:noWrap/>
            <w:hideMark/>
          </w:tcPr>
          <w:p w:rsidR="004F149F" w:rsidRPr="008972A8" w:rsidRDefault="004F149F" w:rsidP="004C3402">
            <w:pPr>
              <w:pStyle w:val="Tabletext"/>
              <w:tabs>
                <w:tab w:val="decimal" w:pos="397"/>
              </w:tabs>
            </w:pPr>
            <w:r w:rsidRPr="008972A8">
              <w:t>0.7</w:t>
            </w:r>
          </w:p>
        </w:tc>
        <w:tc>
          <w:tcPr>
            <w:tcW w:w="1061" w:type="dxa"/>
            <w:tcBorders>
              <w:top w:val="nil"/>
              <w:left w:val="nil"/>
              <w:bottom w:val="single" w:sz="4" w:space="0" w:color="auto"/>
              <w:right w:val="nil"/>
            </w:tcBorders>
            <w:shd w:val="clear" w:color="auto" w:fill="auto"/>
            <w:noWrap/>
            <w:hideMark/>
          </w:tcPr>
          <w:p w:rsidR="004F149F" w:rsidRPr="008972A8" w:rsidRDefault="004F149F" w:rsidP="008972A8">
            <w:pPr>
              <w:pStyle w:val="Tabletext"/>
              <w:tabs>
                <w:tab w:val="decimal" w:pos="397"/>
              </w:tabs>
            </w:pPr>
            <w:r w:rsidRPr="008972A8">
              <w:t>0.5</w:t>
            </w:r>
          </w:p>
        </w:tc>
        <w:tc>
          <w:tcPr>
            <w:tcW w:w="1060" w:type="dxa"/>
            <w:tcBorders>
              <w:top w:val="nil"/>
              <w:left w:val="nil"/>
              <w:bottom w:val="single" w:sz="4" w:space="0" w:color="auto"/>
              <w:right w:val="nil"/>
            </w:tcBorders>
            <w:shd w:val="clear" w:color="auto" w:fill="auto"/>
            <w:noWrap/>
            <w:hideMark/>
          </w:tcPr>
          <w:p w:rsidR="004F149F" w:rsidRPr="008972A8" w:rsidRDefault="004F149F" w:rsidP="008972A8">
            <w:pPr>
              <w:pStyle w:val="Tabletext"/>
              <w:tabs>
                <w:tab w:val="decimal" w:pos="397"/>
              </w:tabs>
            </w:pPr>
            <w:r w:rsidRPr="008972A8">
              <w:t>0.4</w:t>
            </w:r>
          </w:p>
        </w:tc>
        <w:tc>
          <w:tcPr>
            <w:tcW w:w="1061" w:type="dxa"/>
            <w:tcBorders>
              <w:top w:val="nil"/>
              <w:left w:val="nil"/>
              <w:bottom w:val="single" w:sz="4" w:space="0" w:color="auto"/>
            </w:tcBorders>
            <w:shd w:val="clear" w:color="auto" w:fill="auto"/>
            <w:noWrap/>
            <w:hideMark/>
          </w:tcPr>
          <w:p w:rsidR="004F149F" w:rsidRPr="008972A8" w:rsidRDefault="004F149F" w:rsidP="008972A8">
            <w:pPr>
              <w:pStyle w:val="Tabletext"/>
              <w:tabs>
                <w:tab w:val="decimal" w:pos="397"/>
              </w:tabs>
            </w:pPr>
            <w:r w:rsidRPr="008972A8">
              <w:t>0.3</w:t>
            </w:r>
          </w:p>
        </w:tc>
        <w:tc>
          <w:tcPr>
            <w:tcW w:w="1061" w:type="dxa"/>
            <w:tcBorders>
              <w:top w:val="nil"/>
              <w:bottom w:val="single" w:sz="4" w:space="0" w:color="auto"/>
            </w:tcBorders>
          </w:tcPr>
          <w:p w:rsidR="004F149F" w:rsidRPr="008972A8" w:rsidRDefault="004F149F" w:rsidP="008972A8">
            <w:pPr>
              <w:pStyle w:val="Tabletext"/>
              <w:tabs>
                <w:tab w:val="decimal" w:pos="397"/>
              </w:tabs>
            </w:pPr>
            <w:r w:rsidRPr="008972A8">
              <w:rPr>
                <w:szCs w:val="22"/>
              </w:rPr>
              <w:t>0.5</w:t>
            </w:r>
          </w:p>
        </w:tc>
      </w:tr>
      <w:tr w:rsidR="004F149F" w:rsidRPr="008972A8" w:rsidTr="003332D7">
        <w:tc>
          <w:tcPr>
            <w:tcW w:w="2425" w:type="dxa"/>
            <w:tcBorders>
              <w:top w:val="single" w:sz="4" w:space="0" w:color="auto"/>
              <w:left w:val="nil"/>
              <w:bottom w:val="dashed" w:sz="4" w:space="0" w:color="auto"/>
              <w:right w:val="nil"/>
            </w:tcBorders>
            <w:shd w:val="clear" w:color="auto" w:fill="auto"/>
            <w:noWrap/>
            <w:hideMark/>
          </w:tcPr>
          <w:p w:rsidR="004F149F" w:rsidRPr="008972A8" w:rsidRDefault="004F149F" w:rsidP="008972A8">
            <w:pPr>
              <w:pStyle w:val="Tabletext"/>
              <w:rPr>
                <w:b/>
              </w:rPr>
            </w:pPr>
            <w:r w:rsidRPr="008972A8">
              <w:rPr>
                <w:b/>
              </w:rPr>
              <w:t>Total</w:t>
            </w:r>
          </w:p>
        </w:tc>
        <w:tc>
          <w:tcPr>
            <w:tcW w:w="1060" w:type="dxa"/>
            <w:tcBorders>
              <w:top w:val="single" w:sz="4" w:space="0" w:color="auto"/>
              <w:left w:val="nil"/>
              <w:bottom w:val="dashed" w:sz="4" w:space="0" w:color="auto"/>
              <w:right w:val="nil"/>
            </w:tcBorders>
            <w:shd w:val="clear" w:color="auto" w:fill="auto"/>
            <w:noWrap/>
            <w:hideMark/>
          </w:tcPr>
          <w:p w:rsidR="004F149F" w:rsidRPr="008972A8" w:rsidRDefault="004F149F" w:rsidP="008972A8">
            <w:pPr>
              <w:pStyle w:val="Tabletext"/>
              <w:tabs>
                <w:tab w:val="decimal" w:pos="397"/>
              </w:tabs>
              <w:rPr>
                <w:b/>
              </w:rPr>
            </w:pPr>
            <w:r w:rsidRPr="008972A8">
              <w:rPr>
                <w:b/>
              </w:rPr>
              <w:t>8.5</w:t>
            </w:r>
          </w:p>
        </w:tc>
        <w:tc>
          <w:tcPr>
            <w:tcW w:w="1061" w:type="dxa"/>
            <w:tcBorders>
              <w:top w:val="single" w:sz="4" w:space="0" w:color="auto"/>
              <w:left w:val="nil"/>
              <w:bottom w:val="dashed" w:sz="4" w:space="0" w:color="auto"/>
              <w:right w:val="nil"/>
            </w:tcBorders>
            <w:shd w:val="clear" w:color="auto" w:fill="auto"/>
            <w:noWrap/>
            <w:hideMark/>
          </w:tcPr>
          <w:p w:rsidR="004F149F" w:rsidRPr="008972A8" w:rsidRDefault="004F149F" w:rsidP="008972A8">
            <w:pPr>
              <w:pStyle w:val="Tabletext"/>
              <w:tabs>
                <w:tab w:val="decimal" w:pos="397"/>
              </w:tabs>
              <w:rPr>
                <w:b/>
              </w:rPr>
            </w:pPr>
            <w:r w:rsidRPr="008972A8">
              <w:rPr>
                <w:b/>
              </w:rPr>
              <w:t>8.3</w:t>
            </w:r>
          </w:p>
        </w:tc>
        <w:tc>
          <w:tcPr>
            <w:tcW w:w="1061" w:type="dxa"/>
            <w:tcBorders>
              <w:top w:val="single" w:sz="4" w:space="0" w:color="auto"/>
              <w:left w:val="nil"/>
              <w:bottom w:val="dashed" w:sz="4" w:space="0" w:color="auto"/>
              <w:right w:val="nil"/>
            </w:tcBorders>
            <w:shd w:val="clear" w:color="auto" w:fill="auto"/>
            <w:noWrap/>
            <w:hideMark/>
          </w:tcPr>
          <w:p w:rsidR="004F149F" w:rsidRPr="008972A8" w:rsidRDefault="004F149F" w:rsidP="008972A8">
            <w:pPr>
              <w:pStyle w:val="Tabletext"/>
              <w:tabs>
                <w:tab w:val="decimal" w:pos="397"/>
              </w:tabs>
              <w:rPr>
                <w:b/>
              </w:rPr>
            </w:pPr>
            <w:r w:rsidRPr="008972A8">
              <w:rPr>
                <w:b/>
              </w:rPr>
              <w:t>7.0</w:t>
            </w:r>
          </w:p>
        </w:tc>
        <w:tc>
          <w:tcPr>
            <w:tcW w:w="1060" w:type="dxa"/>
            <w:tcBorders>
              <w:top w:val="single" w:sz="4" w:space="0" w:color="auto"/>
              <w:left w:val="nil"/>
              <w:bottom w:val="dashed" w:sz="4" w:space="0" w:color="auto"/>
              <w:right w:val="nil"/>
            </w:tcBorders>
            <w:shd w:val="clear" w:color="auto" w:fill="auto"/>
            <w:noWrap/>
            <w:hideMark/>
          </w:tcPr>
          <w:p w:rsidR="004F149F" w:rsidRPr="008972A8" w:rsidRDefault="004F149F" w:rsidP="008972A8">
            <w:pPr>
              <w:pStyle w:val="Tabletext"/>
              <w:tabs>
                <w:tab w:val="decimal" w:pos="397"/>
              </w:tabs>
              <w:rPr>
                <w:b/>
              </w:rPr>
            </w:pPr>
            <w:r w:rsidRPr="008972A8">
              <w:rPr>
                <w:b/>
              </w:rPr>
              <w:t>6.4</w:t>
            </w:r>
          </w:p>
        </w:tc>
        <w:tc>
          <w:tcPr>
            <w:tcW w:w="1061" w:type="dxa"/>
            <w:tcBorders>
              <w:top w:val="single" w:sz="4" w:space="0" w:color="auto"/>
              <w:left w:val="nil"/>
              <w:bottom w:val="dashed" w:sz="4" w:space="0" w:color="auto"/>
            </w:tcBorders>
            <w:shd w:val="clear" w:color="auto" w:fill="auto"/>
            <w:noWrap/>
            <w:hideMark/>
          </w:tcPr>
          <w:p w:rsidR="004F149F" w:rsidRPr="008972A8" w:rsidRDefault="004F149F" w:rsidP="008972A8">
            <w:pPr>
              <w:pStyle w:val="Tabletext"/>
              <w:tabs>
                <w:tab w:val="decimal" w:pos="397"/>
              </w:tabs>
              <w:rPr>
                <w:b/>
              </w:rPr>
            </w:pPr>
            <w:r w:rsidRPr="008972A8">
              <w:rPr>
                <w:b/>
              </w:rPr>
              <w:t>5.0</w:t>
            </w:r>
          </w:p>
        </w:tc>
        <w:tc>
          <w:tcPr>
            <w:tcW w:w="1061" w:type="dxa"/>
            <w:tcBorders>
              <w:top w:val="single" w:sz="4" w:space="0" w:color="auto"/>
              <w:bottom w:val="dashed" w:sz="4" w:space="0" w:color="auto"/>
            </w:tcBorders>
          </w:tcPr>
          <w:p w:rsidR="004F149F" w:rsidRPr="008972A8" w:rsidRDefault="004F149F" w:rsidP="008972A8">
            <w:pPr>
              <w:pStyle w:val="Tabletext"/>
              <w:tabs>
                <w:tab w:val="decimal" w:pos="397"/>
              </w:tabs>
              <w:rPr>
                <w:b/>
              </w:rPr>
            </w:pPr>
            <w:r w:rsidRPr="008972A8">
              <w:rPr>
                <w:b/>
              </w:rPr>
              <w:t>6.8</w:t>
            </w:r>
          </w:p>
        </w:tc>
      </w:tr>
      <w:tr w:rsidR="004F149F" w:rsidRPr="008972A8" w:rsidTr="003332D7">
        <w:tc>
          <w:tcPr>
            <w:tcW w:w="2425" w:type="dxa"/>
            <w:tcBorders>
              <w:top w:val="dashed" w:sz="4" w:space="0" w:color="auto"/>
              <w:left w:val="nil"/>
              <w:bottom w:val="nil"/>
              <w:right w:val="nil"/>
            </w:tcBorders>
            <w:shd w:val="clear" w:color="auto" w:fill="auto"/>
            <w:noWrap/>
            <w:hideMark/>
          </w:tcPr>
          <w:p w:rsidR="004F149F" w:rsidRPr="008972A8" w:rsidRDefault="009047C4" w:rsidP="008972A8">
            <w:pPr>
              <w:pStyle w:val="Tabletext"/>
              <w:rPr>
                <w:b/>
              </w:rPr>
            </w:pPr>
            <w:r w:rsidRPr="008972A8">
              <w:rPr>
                <w:b/>
              </w:rPr>
              <w:t>Total 25 to 64-year-</w:t>
            </w:r>
            <w:r w:rsidR="004F149F" w:rsidRPr="008972A8">
              <w:rPr>
                <w:b/>
              </w:rPr>
              <w:t>olds participating in VET</w:t>
            </w:r>
          </w:p>
        </w:tc>
        <w:tc>
          <w:tcPr>
            <w:tcW w:w="1060" w:type="dxa"/>
            <w:tcBorders>
              <w:top w:val="dashed" w:sz="4" w:space="0" w:color="auto"/>
              <w:left w:val="nil"/>
              <w:bottom w:val="nil"/>
              <w:right w:val="nil"/>
            </w:tcBorders>
            <w:shd w:val="clear" w:color="auto" w:fill="auto"/>
            <w:noWrap/>
            <w:hideMark/>
          </w:tcPr>
          <w:p w:rsidR="004F149F" w:rsidRPr="008972A8" w:rsidRDefault="004F149F" w:rsidP="008972A8">
            <w:pPr>
              <w:pStyle w:val="Tabletext"/>
              <w:ind w:right="170"/>
              <w:jc w:val="right"/>
              <w:rPr>
                <w:b/>
              </w:rPr>
            </w:pPr>
            <w:r w:rsidRPr="008972A8">
              <w:rPr>
                <w:b/>
              </w:rPr>
              <w:t>114 677</w:t>
            </w:r>
          </w:p>
        </w:tc>
        <w:tc>
          <w:tcPr>
            <w:tcW w:w="1061" w:type="dxa"/>
            <w:tcBorders>
              <w:top w:val="dashed" w:sz="4" w:space="0" w:color="auto"/>
              <w:left w:val="nil"/>
              <w:bottom w:val="nil"/>
              <w:right w:val="nil"/>
            </w:tcBorders>
            <w:shd w:val="clear" w:color="auto" w:fill="auto"/>
            <w:noWrap/>
            <w:hideMark/>
          </w:tcPr>
          <w:p w:rsidR="004F149F" w:rsidRPr="008972A8" w:rsidRDefault="004F149F" w:rsidP="008972A8">
            <w:pPr>
              <w:pStyle w:val="Tabletext"/>
              <w:ind w:right="170"/>
              <w:jc w:val="right"/>
              <w:rPr>
                <w:b/>
              </w:rPr>
            </w:pPr>
            <w:r w:rsidRPr="008972A8">
              <w:rPr>
                <w:b/>
              </w:rPr>
              <w:t>183 327</w:t>
            </w:r>
          </w:p>
        </w:tc>
        <w:tc>
          <w:tcPr>
            <w:tcW w:w="1061" w:type="dxa"/>
            <w:tcBorders>
              <w:top w:val="dashed" w:sz="4" w:space="0" w:color="auto"/>
              <w:left w:val="nil"/>
              <w:bottom w:val="nil"/>
              <w:right w:val="nil"/>
            </w:tcBorders>
            <w:shd w:val="clear" w:color="auto" w:fill="auto"/>
            <w:noWrap/>
            <w:hideMark/>
          </w:tcPr>
          <w:p w:rsidR="004F149F" w:rsidRPr="008972A8" w:rsidRDefault="004F149F" w:rsidP="008972A8">
            <w:pPr>
              <w:pStyle w:val="Tabletext"/>
              <w:ind w:right="170"/>
              <w:jc w:val="right"/>
              <w:rPr>
                <w:b/>
              </w:rPr>
            </w:pPr>
            <w:r w:rsidRPr="008972A8">
              <w:rPr>
                <w:b/>
              </w:rPr>
              <w:t>150 233</w:t>
            </w:r>
          </w:p>
        </w:tc>
        <w:tc>
          <w:tcPr>
            <w:tcW w:w="1060" w:type="dxa"/>
            <w:tcBorders>
              <w:top w:val="dashed" w:sz="4" w:space="0" w:color="auto"/>
              <w:left w:val="nil"/>
              <w:bottom w:val="nil"/>
              <w:right w:val="nil"/>
            </w:tcBorders>
            <w:shd w:val="clear" w:color="auto" w:fill="auto"/>
            <w:noWrap/>
            <w:hideMark/>
          </w:tcPr>
          <w:p w:rsidR="004F149F" w:rsidRPr="008972A8" w:rsidRDefault="004F149F" w:rsidP="008972A8">
            <w:pPr>
              <w:pStyle w:val="Tabletext"/>
              <w:ind w:right="170"/>
              <w:jc w:val="right"/>
              <w:rPr>
                <w:b/>
              </w:rPr>
            </w:pPr>
            <w:r w:rsidRPr="008972A8">
              <w:rPr>
                <w:b/>
              </w:rPr>
              <w:t>157 150</w:t>
            </w:r>
          </w:p>
        </w:tc>
        <w:tc>
          <w:tcPr>
            <w:tcW w:w="1061" w:type="dxa"/>
            <w:tcBorders>
              <w:top w:val="dashed" w:sz="4" w:space="0" w:color="auto"/>
              <w:left w:val="nil"/>
              <w:bottom w:val="nil"/>
            </w:tcBorders>
            <w:shd w:val="clear" w:color="auto" w:fill="auto"/>
            <w:noWrap/>
            <w:hideMark/>
          </w:tcPr>
          <w:p w:rsidR="004F149F" w:rsidRPr="008972A8" w:rsidRDefault="004F149F" w:rsidP="008972A8">
            <w:pPr>
              <w:pStyle w:val="Tabletext"/>
              <w:ind w:right="170"/>
              <w:jc w:val="right"/>
              <w:rPr>
                <w:b/>
              </w:rPr>
            </w:pPr>
            <w:r w:rsidRPr="008972A8">
              <w:rPr>
                <w:b/>
              </w:rPr>
              <w:t>117654</w:t>
            </w:r>
          </w:p>
        </w:tc>
        <w:tc>
          <w:tcPr>
            <w:tcW w:w="1061" w:type="dxa"/>
            <w:tcBorders>
              <w:top w:val="dashed" w:sz="4" w:space="0" w:color="auto"/>
              <w:bottom w:val="nil"/>
            </w:tcBorders>
            <w:tcMar>
              <w:right w:w="0" w:type="dxa"/>
            </w:tcMar>
          </w:tcPr>
          <w:p w:rsidR="004F149F" w:rsidRPr="008972A8" w:rsidRDefault="004F149F" w:rsidP="008972A8">
            <w:pPr>
              <w:pStyle w:val="Tabletext"/>
              <w:ind w:right="227"/>
              <w:jc w:val="right"/>
              <w:rPr>
                <w:b/>
              </w:rPr>
            </w:pPr>
            <w:r w:rsidRPr="008972A8">
              <w:rPr>
                <w:b/>
                <w:szCs w:val="22"/>
              </w:rPr>
              <w:t>723 117</w:t>
            </w:r>
          </w:p>
        </w:tc>
      </w:tr>
      <w:tr w:rsidR="004F149F" w:rsidRPr="008972A8" w:rsidTr="008972A8">
        <w:tc>
          <w:tcPr>
            <w:tcW w:w="2425" w:type="dxa"/>
            <w:tcBorders>
              <w:top w:val="nil"/>
              <w:left w:val="nil"/>
              <w:bottom w:val="single" w:sz="4" w:space="0" w:color="auto"/>
              <w:right w:val="nil"/>
            </w:tcBorders>
            <w:shd w:val="clear" w:color="auto" w:fill="auto"/>
            <w:noWrap/>
            <w:hideMark/>
          </w:tcPr>
          <w:p w:rsidR="004F149F" w:rsidRPr="008972A8" w:rsidRDefault="004F149F" w:rsidP="008972A8">
            <w:pPr>
              <w:pStyle w:val="Tabletext"/>
              <w:rPr>
                <w:szCs w:val="14"/>
              </w:rPr>
            </w:pPr>
            <w:r w:rsidRPr="008972A8">
              <w:t>Number of 25 to 6</w:t>
            </w:r>
            <w:r w:rsidR="009047C4" w:rsidRPr="008972A8">
              <w:t>4-year-</w:t>
            </w:r>
            <w:r w:rsidRPr="008972A8">
              <w:t>olds in quintile</w:t>
            </w:r>
          </w:p>
        </w:tc>
        <w:tc>
          <w:tcPr>
            <w:tcW w:w="1060" w:type="dxa"/>
            <w:tcBorders>
              <w:top w:val="nil"/>
              <w:left w:val="nil"/>
              <w:bottom w:val="single" w:sz="4" w:space="0" w:color="auto"/>
              <w:right w:val="nil"/>
            </w:tcBorders>
            <w:shd w:val="clear" w:color="auto" w:fill="auto"/>
            <w:noWrap/>
            <w:tcMar>
              <w:left w:w="0" w:type="dxa"/>
            </w:tcMar>
            <w:hideMark/>
          </w:tcPr>
          <w:p w:rsidR="004F149F" w:rsidRPr="008972A8" w:rsidRDefault="004F149F" w:rsidP="008972A8">
            <w:pPr>
              <w:pStyle w:val="Tabletext"/>
              <w:ind w:right="170"/>
              <w:jc w:val="right"/>
            </w:pPr>
            <w:r w:rsidRPr="008972A8">
              <w:t>1 343 850</w:t>
            </w:r>
          </w:p>
        </w:tc>
        <w:tc>
          <w:tcPr>
            <w:tcW w:w="1061" w:type="dxa"/>
            <w:tcBorders>
              <w:top w:val="nil"/>
              <w:left w:val="nil"/>
              <w:bottom w:val="single" w:sz="4" w:space="0" w:color="auto"/>
              <w:right w:val="nil"/>
            </w:tcBorders>
            <w:shd w:val="clear" w:color="auto" w:fill="auto"/>
            <w:noWrap/>
            <w:tcMar>
              <w:left w:w="0" w:type="dxa"/>
            </w:tcMar>
            <w:hideMark/>
          </w:tcPr>
          <w:p w:rsidR="004F149F" w:rsidRPr="008972A8" w:rsidRDefault="004F149F" w:rsidP="008972A8">
            <w:pPr>
              <w:pStyle w:val="Tabletext"/>
              <w:ind w:right="170"/>
              <w:jc w:val="right"/>
            </w:pPr>
            <w:r w:rsidRPr="008972A8">
              <w:t>2 223 162</w:t>
            </w:r>
          </w:p>
        </w:tc>
        <w:tc>
          <w:tcPr>
            <w:tcW w:w="1061" w:type="dxa"/>
            <w:tcBorders>
              <w:top w:val="nil"/>
              <w:left w:val="nil"/>
              <w:bottom w:val="single" w:sz="4" w:space="0" w:color="auto"/>
              <w:right w:val="nil"/>
            </w:tcBorders>
            <w:shd w:val="clear" w:color="auto" w:fill="auto"/>
            <w:noWrap/>
            <w:tcMar>
              <w:left w:w="0" w:type="dxa"/>
            </w:tcMar>
            <w:hideMark/>
          </w:tcPr>
          <w:p w:rsidR="004F149F" w:rsidRPr="008972A8" w:rsidRDefault="004F149F" w:rsidP="008972A8">
            <w:pPr>
              <w:pStyle w:val="Tabletext"/>
              <w:ind w:right="170"/>
              <w:jc w:val="right"/>
            </w:pPr>
            <w:r w:rsidRPr="008972A8">
              <w:t>2 144 894</w:t>
            </w:r>
          </w:p>
        </w:tc>
        <w:tc>
          <w:tcPr>
            <w:tcW w:w="1060" w:type="dxa"/>
            <w:tcBorders>
              <w:top w:val="nil"/>
              <w:left w:val="nil"/>
              <w:bottom w:val="single" w:sz="4" w:space="0" w:color="auto"/>
              <w:right w:val="nil"/>
            </w:tcBorders>
            <w:shd w:val="clear" w:color="auto" w:fill="auto"/>
            <w:noWrap/>
            <w:tcMar>
              <w:left w:w="0" w:type="dxa"/>
            </w:tcMar>
            <w:hideMark/>
          </w:tcPr>
          <w:p w:rsidR="004F149F" w:rsidRPr="008972A8" w:rsidRDefault="004F149F" w:rsidP="008972A8">
            <w:pPr>
              <w:pStyle w:val="Tabletext"/>
              <w:ind w:right="170"/>
              <w:jc w:val="right"/>
            </w:pPr>
            <w:r w:rsidRPr="008972A8">
              <w:t>2 465 591</w:t>
            </w:r>
          </w:p>
        </w:tc>
        <w:tc>
          <w:tcPr>
            <w:tcW w:w="1061" w:type="dxa"/>
            <w:tcBorders>
              <w:top w:val="nil"/>
              <w:left w:val="nil"/>
              <w:bottom w:val="single" w:sz="4" w:space="0" w:color="auto"/>
            </w:tcBorders>
            <w:shd w:val="clear" w:color="auto" w:fill="auto"/>
            <w:noWrap/>
            <w:tcMar>
              <w:left w:w="0" w:type="dxa"/>
            </w:tcMar>
            <w:hideMark/>
          </w:tcPr>
          <w:p w:rsidR="004F149F" w:rsidRPr="008972A8" w:rsidRDefault="004F149F" w:rsidP="008972A8">
            <w:pPr>
              <w:pStyle w:val="Tabletext"/>
              <w:ind w:right="170"/>
              <w:jc w:val="right"/>
            </w:pPr>
            <w:r w:rsidRPr="008972A8">
              <w:t>2 362 379</w:t>
            </w:r>
          </w:p>
        </w:tc>
        <w:tc>
          <w:tcPr>
            <w:tcW w:w="1061" w:type="dxa"/>
            <w:tcBorders>
              <w:top w:val="nil"/>
              <w:bottom w:val="single" w:sz="4" w:space="0" w:color="auto"/>
            </w:tcBorders>
            <w:tcMar>
              <w:left w:w="0" w:type="dxa"/>
              <w:right w:w="0" w:type="dxa"/>
            </w:tcMar>
          </w:tcPr>
          <w:p w:rsidR="004F149F" w:rsidRPr="008972A8" w:rsidRDefault="004F149F" w:rsidP="008972A8">
            <w:pPr>
              <w:pStyle w:val="Tabletext"/>
              <w:ind w:right="227"/>
              <w:jc w:val="right"/>
            </w:pPr>
            <w:r w:rsidRPr="008972A8">
              <w:rPr>
                <w:szCs w:val="22"/>
              </w:rPr>
              <w:t>10 569 439</w:t>
            </w:r>
          </w:p>
        </w:tc>
      </w:tr>
    </w:tbl>
    <w:p w:rsidR="004C3402" w:rsidRDefault="004C3402" w:rsidP="00636D48">
      <w:pPr>
        <w:pStyle w:val="tabletitle"/>
      </w:pPr>
    </w:p>
    <w:p w:rsidR="004C3402" w:rsidRDefault="004C3402" w:rsidP="004C3402">
      <w:pPr>
        <w:pStyle w:val="Text"/>
        <w:rPr>
          <w:rFonts w:ascii="Tahoma" w:hAnsi="Tahoma"/>
          <w:sz w:val="17"/>
        </w:rPr>
      </w:pPr>
      <w:r>
        <w:br w:type="page"/>
      </w:r>
    </w:p>
    <w:p w:rsidR="00636D48" w:rsidRDefault="00636D48" w:rsidP="004C3402">
      <w:pPr>
        <w:pStyle w:val="tabletitle"/>
      </w:pPr>
      <w:bookmarkStart w:id="73" w:name="_Toc383616150"/>
      <w:r w:rsidRPr="0037307C">
        <w:lastRenderedPageBreak/>
        <w:t xml:space="preserve">Table </w:t>
      </w:r>
      <w:r w:rsidR="009047C4">
        <w:t>22</w:t>
      </w:r>
      <w:r w:rsidR="004C3402">
        <w:tab/>
      </w:r>
      <w:r w:rsidR="00901F3F">
        <w:t>P</w:t>
      </w:r>
      <w:r w:rsidRPr="0037307C">
        <w:t xml:space="preserve">articipation </w:t>
      </w:r>
      <w:r w:rsidRPr="004C3402">
        <w:t>in</w:t>
      </w:r>
      <w:r w:rsidRPr="0037307C">
        <w:t xml:space="preserve"> VET</w:t>
      </w:r>
      <w:r w:rsidR="00901F3F">
        <w:t>,</w:t>
      </w:r>
      <w:r w:rsidRPr="0037307C">
        <w:t xml:space="preserve"> </w:t>
      </w:r>
      <w:r w:rsidR="00901F3F">
        <w:t xml:space="preserve">25 to 64-year-olds, </w:t>
      </w:r>
      <w:r w:rsidRPr="0037307C">
        <w:t xml:space="preserve">by qualification and </w:t>
      </w:r>
      <w:r>
        <w:t>SES</w:t>
      </w:r>
      <w:r w:rsidRPr="0037307C">
        <w:t xml:space="preserve"> quintiles</w:t>
      </w:r>
      <w:r>
        <w:t>,</w:t>
      </w:r>
      <w:r w:rsidRPr="0037307C">
        <w:t xml:space="preserve"> </w:t>
      </w:r>
      <w:r w:rsidR="009047C4">
        <w:t>statistical local areas</w:t>
      </w:r>
      <w:r>
        <w:t>, 2011</w:t>
      </w:r>
      <w:bookmarkEnd w:id="73"/>
    </w:p>
    <w:tbl>
      <w:tblPr>
        <w:tblW w:w="8789" w:type="dxa"/>
        <w:tblInd w:w="93" w:type="dxa"/>
        <w:tblLayout w:type="fixed"/>
        <w:tblLook w:val="04A0" w:firstRow="1" w:lastRow="0" w:firstColumn="1" w:lastColumn="0" w:noHBand="0" w:noVBand="1"/>
      </w:tblPr>
      <w:tblGrid>
        <w:gridCol w:w="2425"/>
        <w:gridCol w:w="1060"/>
        <w:gridCol w:w="1061"/>
        <w:gridCol w:w="1061"/>
        <w:gridCol w:w="1060"/>
        <w:gridCol w:w="1061"/>
        <w:gridCol w:w="1061"/>
      </w:tblGrid>
      <w:tr w:rsidR="004F149F" w:rsidRPr="004C3402" w:rsidTr="004C3402">
        <w:tc>
          <w:tcPr>
            <w:tcW w:w="2425" w:type="dxa"/>
            <w:tcBorders>
              <w:top w:val="single" w:sz="4" w:space="0" w:color="auto"/>
              <w:left w:val="nil"/>
              <w:bottom w:val="nil"/>
            </w:tcBorders>
            <w:shd w:val="clear" w:color="auto" w:fill="auto"/>
            <w:noWrap/>
            <w:hideMark/>
          </w:tcPr>
          <w:p w:rsidR="004F149F" w:rsidRPr="004C3402" w:rsidRDefault="004C3402" w:rsidP="004C3402">
            <w:pPr>
              <w:pStyle w:val="Tablehead1"/>
            </w:pPr>
            <w:r w:rsidRPr="004C3402">
              <w:t>Qualification category</w:t>
            </w:r>
          </w:p>
        </w:tc>
        <w:tc>
          <w:tcPr>
            <w:tcW w:w="6364" w:type="dxa"/>
            <w:gridSpan w:val="6"/>
            <w:tcBorders>
              <w:top w:val="single" w:sz="4" w:space="0" w:color="auto"/>
              <w:bottom w:val="nil"/>
            </w:tcBorders>
            <w:shd w:val="clear" w:color="auto" w:fill="auto"/>
            <w:noWrap/>
            <w:hideMark/>
          </w:tcPr>
          <w:p w:rsidR="004F149F" w:rsidRPr="004C3402" w:rsidRDefault="00A34FFA" w:rsidP="004C3402">
            <w:pPr>
              <w:pStyle w:val="Tablehead1"/>
              <w:jc w:val="center"/>
            </w:pPr>
            <w:r w:rsidRPr="004C3402">
              <w:t>2011 using 2011 IRSD</w:t>
            </w:r>
            <w:r w:rsidR="004F149F" w:rsidRPr="004C3402">
              <w:t xml:space="preserve"> quintiles</w:t>
            </w:r>
          </w:p>
        </w:tc>
      </w:tr>
      <w:tr w:rsidR="004F149F" w:rsidRPr="00EF54A1" w:rsidTr="004C3402">
        <w:tc>
          <w:tcPr>
            <w:tcW w:w="2425" w:type="dxa"/>
            <w:tcBorders>
              <w:top w:val="nil"/>
              <w:left w:val="nil"/>
              <w:bottom w:val="single" w:sz="4" w:space="0" w:color="auto"/>
            </w:tcBorders>
            <w:shd w:val="clear" w:color="auto" w:fill="auto"/>
            <w:noWrap/>
            <w:hideMark/>
          </w:tcPr>
          <w:p w:rsidR="004F149F" w:rsidRPr="00EF54A1" w:rsidRDefault="004F149F" w:rsidP="004C3402">
            <w:pPr>
              <w:pStyle w:val="Tablehead2"/>
            </w:pPr>
          </w:p>
        </w:tc>
        <w:tc>
          <w:tcPr>
            <w:tcW w:w="1060" w:type="dxa"/>
            <w:tcBorders>
              <w:top w:val="nil"/>
              <w:bottom w:val="single" w:sz="4" w:space="0" w:color="auto"/>
              <w:right w:val="nil"/>
            </w:tcBorders>
            <w:shd w:val="clear" w:color="auto" w:fill="auto"/>
            <w:noWrap/>
            <w:hideMark/>
          </w:tcPr>
          <w:p w:rsidR="004F149F" w:rsidRPr="00EF54A1" w:rsidRDefault="004F149F" w:rsidP="004C3402">
            <w:pPr>
              <w:pStyle w:val="Tablehead2"/>
              <w:jc w:val="center"/>
            </w:pPr>
            <w:r w:rsidRPr="00EF54A1">
              <w:t>1</w:t>
            </w:r>
          </w:p>
        </w:tc>
        <w:tc>
          <w:tcPr>
            <w:tcW w:w="1061" w:type="dxa"/>
            <w:tcBorders>
              <w:top w:val="nil"/>
              <w:left w:val="nil"/>
              <w:bottom w:val="single" w:sz="4" w:space="0" w:color="auto"/>
              <w:right w:val="nil"/>
            </w:tcBorders>
            <w:shd w:val="clear" w:color="auto" w:fill="auto"/>
            <w:noWrap/>
            <w:hideMark/>
          </w:tcPr>
          <w:p w:rsidR="004F149F" w:rsidRPr="00EF54A1" w:rsidRDefault="004F149F" w:rsidP="004C3402">
            <w:pPr>
              <w:pStyle w:val="Tablehead2"/>
              <w:jc w:val="center"/>
            </w:pPr>
            <w:r w:rsidRPr="00EF54A1">
              <w:t>2</w:t>
            </w:r>
          </w:p>
        </w:tc>
        <w:tc>
          <w:tcPr>
            <w:tcW w:w="1061" w:type="dxa"/>
            <w:tcBorders>
              <w:top w:val="nil"/>
              <w:left w:val="nil"/>
              <w:bottom w:val="single" w:sz="4" w:space="0" w:color="auto"/>
              <w:right w:val="nil"/>
            </w:tcBorders>
            <w:shd w:val="clear" w:color="auto" w:fill="auto"/>
            <w:noWrap/>
            <w:hideMark/>
          </w:tcPr>
          <w:p w:rsidR="004F149F" w:rsidRPr="00EF54A1" w:rsidRDefault="004F149F" w:rsidP="004C3402">
            <w:pPr>
              <w:pStyle w:val="Tablehead2"/>
              <w:jc w:val="center"/>
            </w:pPr>
            <w:r w:rsidRPr="00EF54A1">
              <w:t>3</w:t>
            </w:r>
          </w:p>
        </w:tc>
        <w:tc>
          <w:tcPr>
            <w:tcW w:w="1060" w:type="dxa"/>
            <w:tcBorders>
              <w:top w:val="nil"/>
              <w:left w:val="nil"/>
              <w:bottom w:val="single" w:sz="4" w:space="0" w:color="auto"/>
              <w:right w:val="nil"/>
            </w:tcBorders>
            <w:shd w:val="clear" w:color="auto" w:fill="auto"/>
            <w:noWrap/>
            <w:hideMark/>
          </w:tcPr>
          <w:p w:rsidR="004F149F" w:rsidRPr="00EF54A1" w:rsidRDefault="004F149F" w:rsidP="004C3402">
            <w:pPr>
              <w:pStyle w:val="Tablehead2"/>
              <w:jc w:val="center"/>
            </w:pPr>
            <w:r w:rsidRPr="00EF54A1">
              <w:t>4</w:t>
            </w:r>
          </w:p>
        </w:tc>
        <w:tc>
          <w:tcPr>
            <w:tcW w:w="1061" w:type="dxa"/>
            <w:tcBorders>
              <w:top w:val="nil"/>
              <w:left w:val="nil"/>
              <w:bottom w:val="single" w:sz="4" w:space="0" w:color="auto"/>
              <w:right w:val="nil"/>
            </w:tcBorders>
            <w:shd w:val="clear" w:color="auto" w:fill="auto"/>
            <w:noWrap/>
            <w:hideMark/>
          </w:tcPr>
          <w:p w:rsidR="004F149F" w:rsidRPr="00EF54A1" w:rsidRDefault="004F149F" w:rsidP="004C3402">
            <w:pPr>
              <w:pStyle w:val="Tablehead2"/>
              <w:jc w:val="center"/>
            </w:pPr>
            <w:r w:rsidRPr="00EF54A1">
              <w:t>5</w:t>
            </w:r>
          </w:p>
        </w:tc>
        <w:tc>
          <w:tcPr>
            <w:tcW w:w="1061" w:type="dxa"/>
            <w:tcBorders>
              <w:top w:val="nil"/>
              <w:left w:val="nil"/>
              <w:bottom w:val="single" w:sz="4" w:space="0" w:color="auto"/>
              <w:right w:val="nil"/>
            </w:tcBorders>
          </w:tcPr>
          <w:p w:rsidR="004F149F" w:rsidRPr="00EF54A1" w:rsidRDefault="004F149F" w:rsidP="004C3402">
            <w:pPr>
              <w:pStyle w:val="Tablehead2"/>
              <w:jc w:val="center"/>
            </w:pPr>
            <w:r>
              <w:t>Total</w:t>
            </w:r>
          </w:p>
        </w:tc>
      </w:tr>
      <w:tr w:rsidR="004F149F" w:rsidRPr="004C3402" w:rsidTr="004C3402">
        <w:tc>
          <w:tcPr>
            <w:tcW w:w="2425" w:type="dxa"/>
            <w:tcBorders>
              <w:top w:val="nil"/>
              <w:left w:val="nil"/>
              <w:bottom w:val="nil"/>
            </w:tcBorders>
            <w:shd w:val="clear" w:color="auto" w:fill="auto"/>
            <w:noWrap/>
            <w:hideMark/>
          </w:tcPr>
          <w:p w:rsidR="004F149F" w:rsidRPr="004C3402" w:rsidRDefault="004F149F" w:rsidP="004C3402">
            <w:pPr>
              <w:pStyle w:val="Tabletext"/>
            </w:pPr>
            <w:r w:rsidRPr="004C3402">
              <w:t>Diploma and above</w:t>
            </w:r>
          </w:p>
        </w:tc>
        <w:tc>
          <w:tcPr>
            <w:tcW w:w="1060" w:type="dxa"/>
            <w:tcBorders>
              <w:top w:val="nil"/>
              <w:bottom w:val="nil"/>
              <w:right w:val="nil"/>
            </w:tcBorders>
            <w:shd w:val="clear" w:color="auto" w:fill="auto"/>
            <w:noWrap/>
            <w:hideMark/>
          </w:tcPr>
          <w:p w:rsidR="004F149F" w:rsidRPr="004C3402" w:rsidRDefault="004F149F" w:rsidP="004C3402">
            <w:pPr>
              <w:pStyle w:val="Tabletext"/>
              <w:tabs>
                <w:tab w:val="decimal" w:pos="397"/>
              </w:tabs>
            </w:pPr>
            <w:r w:rsidRPr="004C3402">
              <w:t>1.4</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1.5</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1.5</w:t>
            </w:r>
          </w:p>
        </w:tc>
        <w:tc>
          <w:tcPr>
            <w:tcW w:w="1060"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1.5</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1.2</w:t>
            </w:r>
          </w:p>
        </w:tc>
        <w:tc>
          <w:tcPr>
            <w:tcW w:w="1061" w:type="dxa"/>
            <w:tcBorders>
              <w:top w:val="nil"/>
              <w:left w:val="nil"/>
              <w:bottom w:val="nil"/>
              <w:right w:val="nil"/>
            </w:tcBorders>
          </w:tcPr>
          <w:p w:rsidR="004F149F" w:rsidRPr="004C3402" w:rsidRDefault="004F149F" w:rsidP="004C3402">
            <w:pPr>
              <w:pStyle w:val="Tabletext"/>
              <w:tabs>
                <w:tab w:val="decimal" w:pos="397"/>
              </w:tabs>
            </w:pPr>
            <w:r w:rsidRPr="004C3402">
              <w:rPr>
                <w:szCs w:val="22"/>
              </w:rPr>
              <w:t>1.4</w:t>
            </w:r>
          </w:p>
        </w:tc>
      </w:tr>
      <w:tr w:rsidR="004F149F" w:rsidRPr="004C3402" w:rsidTr="004C3402">
        <w:tc>
          <w:tcPr>
            <w:tcW w:w="2425" w:type="dxa"/>
            <w:tcBorders>
              <w:top w:val="nil"/>
              <w:left w:val="nil"/>
              <w:bottom w:val="nil"/>
            </w:tcBorders>
            <w:shd w:val="clear" w:color="auto" w:fill="auto"/>
            <w:noWrap/>
            <w:hideMark/>
          </w:tcPr>
          <w:p w:rsidR="004F149F" w:rsidRPr="004C3402" w:rsidRDefault="004F149F" w:rsidP="004C3402">
            <w:pPr>
              <w:pStyle w:val="Tabletext"/>
            </w:pPr>
            <w:r w:rsidRPr="004C3402">
              <w:t>Certificate IV</w:t>
            </w:r>
          </w:p>
        </w:tc>
        <w:tc>
          <w:tcPr>
            <w:tcW w:w="1060" w:type="dxa"/>
            <w:tcBorders>
              <w:top w:val="nil"/>
              <w:bottom w:val="nil"/>
              <w:right w:val="nil"/>
            </w:tcBorders>
            <w:shd w:val="clear" w:color="auto" w:fill="auto"/>
            <w:noWrap/>
            <w:hideMark/>
          </w:tcPr>
          <w:p w:rsidR="004F149F" w:rsidRPr="004C3402" w:rsidRDefault="004F149F" w:rsidP="004C3402">
            <w:pPr>
              <w:pStyle w:val="Tabletext"/>
              <w:tabs>
                <w:tab w:val="decimal" w:pos="397"/>
              </w:tabs>
            </w:pPr>
            <w:r w:rsidRPr="004C3402">
              <w:t>1.8</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2.1</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1.9</w:t>
            </w:r>
          </w:p>
        </w:tc>
        <w:tc>
          <w:tcPr>
            <w:tcW w:w="1060"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1.9</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1.4</w:t>
            </w:r>
          </w:p>
        </w:tc>
        <w:tc>
          <w:tcPr>
            <w:tcW w:w="1061" w:type="dxa"/>
            <w:tcBorders>
              <w:top w:val="nil"/>
              <w:left w:val="nil"/>
              <w:bottom w:val="nil"/>
              <w:right w:val="nil"/>
            </w:tcBorders>
          </w:tcPr>
          <w:p w:rsidR="004F149F" w:rsidRPr="004C3402" w:rsidRDefault="004F149F" w:rsidP="004C3402">
            <w:pPr>
              <w:pStyle w:val="Tabletext"/>
              <w:tabs>
                <w:tab w:val="decimal" w:pos="397"/>
              </w:tabs>
            </w:pPr>
            <w:r w:rsidRPr="004C3402">
              <w:rPr>
                <w:szCs w:val="22"/>
              </w:rPr>
              <w:t>1.8</w:t>
            </w:r>
          </w:p>
        </w:tc>
      </w:tr>
      <w:tr w:rsidR="004F149F" w:rsidRPr="004C3402" w:rsidTr="004C3402">
        <w:tc>
          <w:tcPr>
            <w:tcW w:w="2425" w:type="dxa"/>
            <w:tcBorders>
              <w:top w:val="nil"/>
              <w:left w:val="nil"/>
              <w:bottom w:val="nil"/>
            </w:tcBorders>
            <w:shd w:val="clear" w:color="auto" w:fill="auto"/>
            <w:noWrap/>
            <w:hideMark/>
          </w:tcPr>
          <w:p w:rsidR="004F149F" w:rsidRPr="004C3402" w:rsidRDefault="004F149F" w:rsidP="004C3402">
            <w:pPr>
              <w:pStyle w:val="Tabletext"/>
            </w:pPr>
            <w:r w:rsidRPr="004C3402">
              <w:t>Certificate III</w:t>
            </w:r>
          </w:p>
        </w:tc>
        <w:tc>
          <w:tcPr>
            <w:tcW w:w="1060" w:type="dxa"/>
            <w:tcBorders>
              <w:top w:val="nil"/>
              <w:bottom w:val="nil"/>
              <w:right w:val="nil"/>
            </w:tcBorders>
            <w:shd w:val="clear" w:color="auto" w:fill="auto"/>
            <w:noWrap/>
            <w:hideMark/>
          </w:tcPr>
          <w:p w:rsidR="004F149F" w:rsidRPr="004C3402" w:rsidRDefault="004F149F" w:rsidP="004C3402">
            <w:pPr>
              <w:pStyle w:val="Tabletext"/>
              <w:tabs>
                <w:tab w:val="decimal" w:pos="397"/>
              </w:tabs>
            </w:pPr>
            <w:r w:rsidRPr="004C3402">
              <w:t>3.2</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2.9</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2.4</w:t>
            </w:r>
          </w:p>
        </w:tc>
        <w:tc>
          <w:tcPr>
            <w:tcW w:w="1060"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2.1</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1.3</w:t>
            </w:r>
          </w:p>
        </w:tc>
        <w:tc>
          <w:tcPr>
            <w:tcW w:w="1061" w:type="dxa"/>
            <w:tcBorders>
              <w:top w:val="nil"/>
              <w:left w:val="nil"/>
              <w:bottom w:val="nil"/>
              <w:right w:val="nil"/>
            </w:tcBorders>
          </w:tcPr>
          <w:p w:rsidR="004F149F" w:rsidRPr="004C3402" w:rsidRDefault="004F149F" w:rsidP="004C3402">
            <w:pPr>
              <w:pStyle w:val="Tabletext"/>
              <w:tabs>
                <w:tab w:val="decimal" w:pos="397"/>
              </w:tabs>
            </w:pPr>
            <w:r w:rsidRPr="004C3402">
              <w:rPr>
                <w:szCs w:val="22"/>
              </w:rPr>
              <w:t>2.3</w:t>
            </w:r>
          </w:p>
        </w:tc>
      </w:tr>
      <w:tr w:rsidR="004F149F" w:rsidRPr="004C3402" w:rsidTr="004C3402">
        <w:tc>
          <w:tcPr>
            <w:tcW w:w="2425" w:type="dxa"/>
            <w:tcBorders>
              <w:top w:val="nil"/>
              <w:left w:val="nil"/>
              <w:bottom w:val="nil"/>
            </w:tcBorders>
            <w:shd w:val="clear" w:color="auto" w:fill="auto"/>
            <w:noWrap/>
            <w:hideMark/>
          </w:tcPr>
          <w:p w:rsidR="004F149F" w:rsidRPr="004C3402" w:rsidRDefault="004F149F" w:rsidP="004C3402">
            <w:pPr>
              <w:pStyle w:val="Tabletext"/>
            </w:pPr>
            <w:r w:rsidRPr="004C3402">
              <w:t>Certificate II</w:t>
            </w:r>
          </w:p>
        </w:tc>
        <w:tc>
          <w:tcPr>
            <w:tcW w:w="1060" w:type="dxa"/>
            <w:tcBorders>
              <w:top w:val="nil"/>
              <w:bottom w:val="nil"/>
              <w:right w:val="nil"/>
            </w:tcBorders>
            <w:shd w:val="clear" w:color="auto" w:fill="auto"/>
            <w:noWrap/>
            <w:hideMark/>
          </w:tcPr>
          <w:p w:rsidR="004F149F" w:rsidRPr="004C3402" w:rsidRDefault="004F149F" w:rsidP="004C3402">
            <w:pPr>
              <w:pStyle w:val="Tabletext"/>
              <w:tabs>
                <w:tab w:val="decimal" w:pos="397"/>
              </w:tabs>
            </w:pPr>
            <w:r w:rsidRPr="004C3402">
              <w:t>1.6</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1.2</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0.1</w:t>
            </w:r>
          </w:p>
        </w:tc>
        <w:tc>
          <w:tcPr>
            <w:tcW w:w="1060"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0.7</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0.5</w:t>
            </w:r>
          </w:p>
        </w:tc>
        <w:tc>
          <w:tcPr>
            <w:tcW w:w="1061" w:type="dxa"/>
            <w:tcBorders>
              <w:top w:val="nil"/>
              <w:left w:val="nil"/>
              <w:bottom w:val="nil"/>
              <w:right w:val="nil"/>
            </w:tcBorders>
          </w:tcPr>
          <w:p w:rsidR="004F149F" w:rsidRPr="004C3402" w:rsidRDefault="004F149F" w:rsidP="004C3402">
            <w:pPr>
              <w:pStyle w:val="Tabletext"/>
              <w:tabs>
                <w:tab w:val="decimal" w:pos="397"/>
              </w:tabs>
            </w:pPr>
            <w:r w:rsidRPr="004C3402">
              <w:rPr>
                <w:szCs w:val="22"/>
              </w:rPr>
              <w:t>0.9</w:t>
            </w:r>
          </w:p>
        </w:tc>
      </w:tr>
      <w:tr w:rsidR="004F149F" w:rsidRPr="004C3402" w:rsidTr="004C3402">
        <w:tc>
          <w:tcPr>
            <w:tcW w:w="2425" w:type="dxa"/>
            <w:tcBorders>
              <w:top w:val="nil"/>
              <w:left w:val="nil"/>
              <w:bottom w:val="nil"/>
            </w:tcBorders>
            <w:shd w:val="clear" w:color="auto" w:fill="auto"/>
            <w:noWrap/>
            <w:hideMark/>
          </w:tcPr>
          <w:p w:rsidR="004F149F" w:rsidRPr="004C3402" w:rsidRDefault="004F149F" w:rsidP="004C3402">
            <w:pPr>
              <w:pStyle w:val="Tabletext"/>
            </w:pPr>
            <w:r w:rsidRPr="004C3402">
              <w:t>Certificate I</w:t>
            </w:r>
          </w:p>
        </w:tc>
        <w:tc>
          <w:tcPr>
            <w:tcW w:w="1060" w:type="dxa"/>
            <w:tcBorders>
              <w:top w:val="nil"/>
              <w:bottom w:val="nil"/>
              <w:right w:val="nil"/>
            </w:tcBorders>
            <w:shd w:val="clear" w:color="auto" w:fill="auto"/>
            <w:noWrap/>
            <w:hideMark/>
          </w:tcPr>
          <w:p w:rsidR="004F149F" w:rsidRPr="004C3402" w:rsidRDefault="004F149F" w:rsidP="004C3402">
            <w:pPr>
              <w:pStyle w:val="Tabletext"/>
              <w:tabs>
                <w:tab w:val="decimal" w:pos="397"/>
              </w:tabs>
            </w:pPr>
            <w:r w:rsidRPr="004C3402">
              <w:t>0.6</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0.5</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0.4</w:t>
            </w:r>
          </w:p>
        </w:tc>
        <w:tc>
          <w:tcPr>
            <w:tcW w:w="1060"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0.3</w:t>
            </w:r>
          </w:p>
        </w:tc>
        <w:tc>
          <w:tcPr>
            <w:tcW w:w="1061" w:type="dxa"/>
            <w:tcBorders>
              <w:top w:val="nil"/>
              <w:left w:val="nil"/>
              <w:bottom w:val="nil"/>
              <w:right w:val="nil"/>
            </w:tcBorders>
            <w:shd w:val="clear" w:color="auto" w:fill="auto"/>
            <w:noWrap/>
            <w:hideMark/>
          </w:tcPr>
          <w:p w:rsidR="004F149F" w:rsidRPr="004C3402" w:rsidRDefault="004F149F" w:rsidP="004C3402">
            <w:pPr>
              <w:pStyle w:val="Tabletext"/>
              <w:tabs>
                <w:tab w:val="decimal" w:pos="397"/>
              </w:tabs>
            </w:pPr>
            <w:r w:rsidRPr="004C3402">
              <w:t>0.2</w:t>
            </w:r>
          </w:p>
        </w:tc>
        <w:tc>
          <w:tcPr>
            <w:tcW w:w="1061" w:type="dxa"/>
            <w:tcBorders>
              <w:top w:val="nil"/>
              <w:left w:val="nil"/>
              <w:bottom w:val="nil"/>
              <w:right w:val="nil"/>
            </w:tcBorders>
          </w:tcPr>
          <w:p w:rsidR="004F149F" w:rsidRPr="004C3402" w:rsidRDefault="004F149F" w:rsidP="004C3402">
            <w:pPr>
              <w:pStyle w:val="Tabletext"/>
              <w:tabs>
                <w:tab w:val="decimal" w:pos="397"/>
              </w:tabs>
            </w:pPr>
            <w:r w:rsidRPr="004C3402">
              <w:rPr>
                <w:szCs w:val="22"/>
              </w:rPr>
              <w:t>0.3</w:t>
            </w:r>
          </w:p>
        </w:tc>
      </w:tr>
      <w:tr w:rsidR="004F149F" w:rsidRPr="004C3402" w:rsidTr="004C3402">
        <w:tc>
          <w:tcPr>
            <w:tcW w:w="2425" w:type="dxa"/>
            <w:tcBorders>
              <w:top w:val="nil"/>
              <w:left w:val="nil"/>
            </w:tcBorders>
            <w:shd w:val="clear" w:color="auto" w:fill="auto"/>
            <w:noWrap/>
            <w:hideMark/>
          </w:tcPr>
          <w:p w:rsidR="004F149F" w:rsidRPr="004C3402" w:rsidRDefault="004F149F" w:rsidP="004C3402">
            <w:pPr>
              <w:pStyle w:val="Tabletext"/>
            </w:pPr>
            <w:r w:rsidRPr="004C3402">
              <w:t>Non-AQF</w:t>
            </w:r>
          </w:p>
        </w:tc>
        <w:tc>
          <w:tcPr>
            <w:tcW w:w="1060" w:type="dxa"/>
            <w:tcBorders>
              <w:top w:val="nil"/>
              <w:right w:val="nil"/>
            </w:tcBorders>
            <w:shd w:val="clear" w:color="auto" w:fill="auto"/>
            <w:noWrap/>
            <w:hideMark/>
          </w:tcPr>
          <w:p w:rsidR="004F149F" w:rsidRPr="004C3402" w:rsidRDefault="004F149F" w:rsidP="004C3402">
            <w:pPr>
              <w:pStyle w:val="Tabletext"/>
              <w:tabs>
                <w:tab w:val="decimal" w:pos="397"/>
              </w:tabs>
            </w:pPr>
            <w:r w:rsidRPr="004C3402">
              <w:t>1.8</w:t>
            </w:r>
          </w:p>
        </w:tc>
        <w:tc>
          <w:tcPr>
            <w:tcW w:w="1061" w:type="dxa"/>
            <w:tcBorders>
              <w:top w:val="nil"/>
              <w:left w:val="nil"/>
              <w:right w:val="nil"/>
            </w:tcBorders>
            <w:shd w:val="clear" w:color="auto" w:fill="auto"/>
            <w:noWrap/>
            <w:hideMark/>
          </w:tcPr>
          <w:p w:rsidR="004F149F" w:rsidRPr="004C3402" w:rsidRDefault="004F149F" w:rsidP="004C3402">
            <w:pPr>
              <w:pStyle w:val="Tabletext"/>
              <w:tabs>
                <w:tab w:val="decimal" w:pos="397"/>
              </w:tabs>
            </w:pPr>
            <w:r w:rsidRPr="004C3402">
              <w:t>1.7</w:t>
            </w:r>
          </w:p>
        </w:tc>
        <w:tc>
          <w:tcPr>
            <w:tcW w:w="1061" w:type="dxa"/>
            <w:tcBorders>
              <w:top w:val="nil"/>
              <w:left w:val="nil"/>
              <w:right w:val="nil"/>
            </w:tcBorders>
            <w:shd w:val="clear" w:color="auto" w:fill="auto"/>
            <w:noWrap/>
            <w:hideMark/>
          </w:tcPr>
          <w:p w:rsidR="004F149F" w:rsidRPr="004C3402" w:rsidRDefault="004F149F" w:rsidP="004C3402">
            <w:pPr>
              <w:pStyle w:val="Tabletext"/>
              <w:tabs>
                <w:tab w:val="decimal" w:pos="397"/>
              </w:tabs>
            </w:pPr>
            <w:r w:rsidRPr="004C3402">
              <w:t>1.3</w:t>
            </w:r>
          </w:p>
        </w:tc>
        <w:tc>
          <w:tcPr>
            <w:tcW w:w="1060" w:type="dxa"/>
            <w:tcBorders>
              <w:top w:val="nil"/>
              <w:left w:val="nil"/>
              <w:right w:val="nil"/>
            </w:tcBorders>
            <w:shd w:val="clear" w:color="auto" w:fill="auto"/>
            <w:noWrap/>
            <w:hideMark/>
          </w:tcPr>
          <w:p w:rsidR="004F149F" w:rsidRPr="004C3402" w:rsidRDefault="004F149F" w:rsidP="004C3402">
            <w:pPr>
              <w:pStyle w:val="Tabletext"/>
              <w:tabs>
                <w:tab w:val="decimal" w:pos="397"/>
              </w:tabs>
            </w:pPr>
            <w:r w:rsidRPr="004C3402">
              <w:t>1.1</w:t>
            </w:r>
          </w:p>
        </w:tc>
        <w:tc>
          <w:tcPr>
            <w:tcW w:w="1061" w:type="dxa"/>
            <w:tcBorders>
              <w:top w:val="nil"/>
              <w:left w:val="nil"/>
              <w:right w:val="nil"/>
            </w:tcBorders>
            <w:shd w:val="clear" w:color="auto" w:fill="auto"/>
            <w:noWrap/>
            <w:hideMark/>
          </w:tcPr>
          <w:p w:rsidR="004F149F" w:rsidRPr="004C3402" w:rsidRDefault="004F149F" w:rsidP="004C3402">
            <w:pPr>
              <w:pStyle w:val="Tabletext"/>
              <w:tabs>
                <w:tab w:val="decimal" w:pos="397"/>
              </w:tabs>
            </w:pPr>
            <w:r w:rsidRPr="004C3402">
              <w:t>0.9</w:t>
            </w:r>
          </w:p>
        </w:tc>
        <w:tc>
          <w:tcPr>
            <w:tcW w:w="1061" w:type="dxa"/>
            <w:tcBorders>
              <w:top w:val="nil"/>
              <w:left w:val="nil"/>
              <w:right w:val="nil"/>
            </w:tcBorders>
          </w:tcPr>
          <w:p w:rsidR="004F149F" w:rsidRPr="004C3402" w:rsidRDefault="004F149F" w:rsidP="004C3402">
            <w:pPr>
              <w:pStyle w:val="Tabletext"/>
              <w:tabs>
                <w:tab w:val="decimal" w:pos="397"/>
              </w:tabs>
            </w:pPr>
            <w:r w:rsidRPr="004C3402">
              <w:rPr>
                <w:szCs w:val="22"/>
              </w:rPr>
              <w:t>1.3</w:t>
            </w:r>
          </w:p>
        </w:tc>
      </w:tr>
      <w:tr w:rsidR="004F149F" w:rsidRPr="004C3402" w:rsidTr="003332D7">
        <w:tc>
          <w:tcPr>
            <w:tcW w:w="2425" w:type="dxa"/>
            <w:tcBorders>
              <w:top w:val="nil"/>
              <w:left w:val="nil"/>
              <w:bottom w:val="single" w:sz="4" w:space="0" w:color="auto"/>
            </w:tcBorders>
            <w:shd w:val="clear" w:color="auto" w:fill="auto"/>
            <w:noWrap/>
            <w:hideMark/>
          </w:tcPr>
          <w:p w:rsidR="004F149F" w:rsidRPr="004C3402" w:rsidRDefault="009047C4" w:rsidP="004C3402">
            <w:pPr>
              <w:pStyle w:val="Tabletext"/>
            </w:pPr>
            <w:r w:rsidRPr="004C3402">
              <w:t>Module o</w:t>
            </w:r>
            <w:r w:rsidR="004F149F" w:rsidRPr="004C3402">
              <w:t>nly</w:t>
            </w:r>
          </w:p>
        </w:tc>
        <w:tc>
          <w:tcPr>
            <w:tcW w:w="1060" w:type="dxa"/>
            <w:tcBorders>
              <w:top w:val="nil"/>
              <w:bottom w:val="single" w:sz="4" w:space="0" w:color="auto"/>
              <w:right w:val="nil"/>
            </w:tcBorders>
            <w:shd w:val="clear" w:color="auto" w:fill="auto"/>
            <w:noWrap/>
            <w:hideMark/>
          </w:tcPr>
          <w:p w:rsidR="004F149F" w:rsidRPr="004C3402" w:rsidRDefault="004F149F" w:rsidP="004C3402">
            <w:pPr>
              <w:pStyle w:val="Tabletext"/>
              <w:tabs>
                <w:tab w:val="decimal" w:pos="397"/>
              </w:tabs>
            </w:pPr>
            <w:r w:rsidRPr="004C3402">
              <w:t>0.6</w:t>
            </w:r>
          </w:p>
        </w:tc>
        <w:tc>
          <w:tcPr>
            <w:tcW w:w="1061" w:type="dxa"/>
            <w:tcBorders>
              <w:top w:val="nil"/>
              <w:left w:val="nil"/>
              <w:bottom w:val="single" w:sz="4" w:space="0" w:color="auto"/>
              <w:right w:val="nil"/>
            </w:tcBorders>
            <w:shd w:val="clear" w:color="auto" w:fill="auto"/>
            <w:noWrap/>
            <w:hideMark/>
          </w:tcPr>
          <w:p w:rsidR="004F149F" w:rsidRPr="004C3402" w:rsidRDefault="004F149F" w:rsidP="004C3402">
            <w:pPr>
              <w:pStyle w:val="Tabletext"/>
              <w:tabs>
                <w:tab w:val="decimal" w:pos="397"/>
              </w:tabs>
            </w:pPr>
            <w:r w:rsidRPr="004C3402">
              <w:t>0.6</w:t>
            </w:r>
          </w:p>
        </w:tc>
        <w:tc>
          <w:tcPr>
            <w:tcW w:w="1061" w:type="dxa"/>
            <w:tcBorders>
              <w:top w:val="nil"/>
              <w:left w:val="nil"/>
              <w:bottom w:val="single" w:sz="4" w:space="0" w:color="auto"/>
              <w:right w:val="nil"/>
            </w:tcBorders>
            <w:shd w:val="clear" w:color="auto" w:fill="auto"/>
            <w:noWrap/>
            <w:hideMark/>
          </w:tcPr>
          <w:p w:rsidR="004F149F" w:rsidRPr="004C3402" w:rsidRDefault="004F149F" w:rsidP="004C3402">
            <w:pPr>
              <w:pStyle w:val="Tabletext"/>
              <w:tabs>
                <w:tab w:val="decimal" w:pos="397"/>
              </w:tabs>
            </w:pPr>
            <w:r w:rsidRPr="004C3402">
              <w:t>0.4</w:t>
            </w:r>
          </w:p>
        </w:tc>
        <w:tc>
          <w:tcPr>
            <w:tcW w:w="1060" w:type="dxa"/>
            <w:tcBorders>
              <w:top w:val="nil"/>
              <w:left w:val="nil"/>
              <w:bottom w:val="single" w:sz="4" w:space="0" w:color="auto"/>
              <w:right w:val="nil"/>
            </w:tcBorders>
            <w:shd w:val="clear" w:color="auto" w:fill="auto"/>
            <w:noWrap/>
            <w:hideMark/>
          </w:tcPr>
          <w:p w:rsidR="004F149F" w:rsidRPr="004C3402" w:rsidRDefault="004F149F" w:rsidP="004C3402">
            <w:pPr>
              <w:pStyle w:val="Tabletext"/>
              <w:tabs>
                <w:tab w:val="decimal" w:pos="397"/>
              </w:tabs>
            </w:pPr>
            <w:r w:rsidRPr="004C3402">
              <w:t>0.3</w:t>
            </w:r>
          </w:p>
        </w:tc>
        <w:tc>
          <w:tcPr>
            <w:tcW w:w="1061" w:type="dxa"/>
            <w:tcBorders>
              <w:top w:val="nil"/>
              <w:left w:val="nil"/>
              <w:bottom w:val="single" w:sz="4" w:space="0" w:color="auto"/>
              <w:right w:val="nil"/>
            </w:tcBorders>
            <w:shd w:val="clear" w:color="auto" w:fill="auto"/>
            <w:noWrap/>
            <w:hideMark/>
          </w:tcPr>
          <w:p w:rsidR="004F149F" w:rsidRPr="004C3402" w:rsidRDefault="004F149F" w:rsidP="004C3402">
            <w:pPr>
              <w:pStyle w:val="Tabletext"/>
              <w:tabs>
                <w:tab w:val="decimal" w:pos="397"/>
              </w:tabs>
            </w:pPr>
            <w:r w:rsidRPr="004C3402">
              <w:t>0.3</w:t>
            </w:r>
          </w:p>
        </w:tc>
        <w:tc>
          <w:tcPr>
            <w:tcW w:w="1061" w:type="dxa"/>
            <w:tcBorders>
              <w:top w:val="nil"/>
              <w:left w:val="nil"/>
              <w:bottom w:val="single" w:sz="4" w:space="0" w:color="auto"/>
              <w:right w:val="nil"/>
            </w:tcBorders>
          </w:tcPr>
          <w:p w:rsidR="004F149F" w:rsidRPr="004C3402" w:rsidRDefault="004F149F" w:rsidP="004C3402">
            <w:pPr>
              <w:pStyle w:val="Tabletext"/>
              <w:tabs>
                <w:tab w:val="decimal" w:pos="397"/>
              </w:tabs>
            </w:pPr>
            <w:r w:rsidRPr="004C3402">
              <w:rPr>
                <w:szCs w:val="22"/>
              </w:rPr>
              <w:t>0.4</w:t>
            </w:r>
          </w:p>
        </w:tc>
      </w:tr>
      <w:tr w:rsidR="004F149F" w:rsidRPr="004C3402" w:rsidTr="003332D7">
        <w:tc>
          <w:tcPr>
            <w:tcW w:w="2425" w:type="dxa"/>
            <w:tcBorders>
              <w:top w:val="single" w:sz="4" w:space="0" w:color="auto"/>
              <w:left w:val="nil"/>
              <w:bottom w:val="dashed" w:sz="4" w:space="0" w:color="auto"/>
            </w:tcBorders>
            <w:shd w:val="clear" w:color="auto" w:fill="auto"/>
            <w:noWrap/>
            <w:hideMark/>
          </w:tcPr>
          <w:p w:rsidR="004F149F" w:rsidRPr="004C3402" w:rsidRDefault="004F149F" w:rsidP="004C3402">
            <w:pPr>
              <w:pStyle w:val="Tabletext"/>
              <w:rPr>
                <w:b/>
              </w:rPr>
            </w:pPr>
            <w:r w:rsidRPr="004C3402">
              <w:rPr>
                <w:b/>
              </w:rPr>
              <w:t>Total</w:t>
            </w:r>
          </w:p>
        </w:tc>
        <w:tc>
          <w:tcPr>
            <w:tcW w:w="1060" w:type="dxa"/>
            <w:tcBorders>
              <w:top w:val="single" w:sz="4" w:space="0" w:color="auto"/>
              <w:bottom w:val="dashed" w:sz="4" w:space="0" w:color="auto"/>
              <w:right w:val="nil"/>
            </w:tcBorders>
            <w:shd w:val="clear" w:color="auto" w:fill="auto"/>
            <w:noWrap/>
            <w:hideMark/>
          </w:tcPr>
          <w:p w:rsidR="004F149F" w:rsidRPr="004C3402" w:rsidRDefault="004F149F" w:rsidP="004C3402">
            <w:pPr>
              <w:pStyle w:val="Tabletext"/>
              <w:tabs>
                <w:tab w:val="decimal" w:pos="397"/>
              </w:tabs>
              <w:rPr>
                <w:b/>
              </w:rPr>
            </w:pPr>
            <w:r w:rsidRPr="004C3402">
              <w:rPr>
                <w:b/>
              </w:rPr>
              <w:t>10.9</w:t>
            </w:r>
          </w:p>
        </w:tc>
        <w:tc>
          <w:tcPr>
            <w:tcW w:w="1061" w:type="dxa"/>
            <w:tcBorders>
              <w:top w:val="single" w:sz="4" w:space="0" w:color="auto"/>
              <w:left w:val="nil"/>
              <w:bottom w:val="dashed" w:sz="4" w:space="0" w:color="auto"/>
              <w:right w:val="nil"/>
            </w:tcBorders>
            <w:shd w:val="clear" w:color="auto" w:fill="auto"/>
            <w:noWrap/>
            <w:hideMark/>
          </w:tcPr>
          <w:p w:rsidR="004F149F" w:rsidRPr="004C3402" w:rsidRDefault="004F149F" w:rsidP="004C3402">
            <w:pPr>
              <w:pStyle w:val="Tabletext"/>
              <w:tabs>
                <w:tab w:val="decimal" w:pos="397"/>
              </w:tabs>
              <w:rPr>
                <w:b/>
              </w:rPr>
            </w:pPr>
            <w:r w:rsidRPr="004C3402">
              <w:rPr>
                <w:b/>
              </w:rPr>
              <w:t>10.6</w:t>
            </w:r>
          </w:p>
        </w:tc>
        <w:tc>
          <w:tcPr>
            <w:tcW w:w="1061" w:type="dxa"/>
            <w:tcBorders>
              <w:top w:val="single" w:sz="4" w:space="0" w:color="auto"/>
              <w:left w:val="nil"/>
              <w:bottom w:val="dashed" w:sz="4" w:space="0" w:color="auto"/>
              <w:right w:val="nil"/>
            </w:tcBorders>
            <w:shd w:val="clear" w:color="auto" w:fill="auto"/>
            <w:noWrap/>
            <w:hideMark/>
          </w:tcPr>
          <w:p w:rsidR="004F149F" w:rsidRPr="004C3402" w:rsidRDefault="004F149F" w:rsidP="004C3402">
            <w:pPr>
              <w:pStyle w:val="Tabletext"/>
              <w:tabs>
                <w:tab w:val="decimal" w:pos="397"/>
              </w:tabs>
              <w:rPr>
                <w:b/>
              </w:rPr>
            </w:pPr>
            <w:r w:rsidRPr="004C3402">
              <w:rPr>
                <w:b/>
              </w:rPr>
              <w:t>8.8</w:t>
            </w:r>
          </w:p>
        </w:tc>
        <w:tc>
          <w:tcPr>
            <w:tcW w:w="1060" w:type="dxa"/>
            <w:tcBorders>
              <w:top w:val="single" w:sz="4" w:space="0" w:color="auto"/>
              <w:left w:val="nil"/>
              <w:bottom w:val="dashed" w:sz="4" w:space="0" w:color="auto"/>
              <w:right w:val="nil"/>
            </w:tcBorders>
            <w:shd w:val="clear" w:color="auto" w:fill="auto"/>
            <w:noWrap/>
            <w:hideMark/>
          </w:tcPr>
          <w:p w:rsidR="004F149F" w:rsidRPr="004C3402" w:rsidRDefault="004F149F" w:rsidP="004C3402">
            <w:pPr>
              <w:pStyle w:val="Tabletext"/>
              <w:tabs>
                <w:tab w:val="decimal" w:pos="397"/>
              </w:tabs>
              <w:rPr>
                <w:b/>
              </w:rPr>
            </w:pPr>
            <w:r w:rsidRPr="004C3402">
              <w:rPr>
                <w:b/>
              </w:rPr>
              <w:t>7.7</w:t>
            </w:r>
          </w:p>
        </w:tc>
        <w:tc>
          <w:tcPr>
            <w:tcW w:w="1061" w:type="dxa"/>
            <w:tcBorders>
              <w:top w:val="single" w:sz="4" w:space="0" w:color="auto"/>
              <w:left w:val="nil"/>
              <w:bottom w:val="dashed" w:sz="4" w:space="0" w:color="auto"/>
              <w:right w:val="nil"/>
            </w:tcBorders>
            <w:shd w:val="clear" w:color="auto" w:fill="auto"/>
            <w:noWrap/>
            <w:hideMark/>
          </w:tcPr>
          <w:p w:rsidR="004F149F" w:rsidRPr="004C3402" w:rsidRDefault="004F149F" w:rsidP="004C3402">
            <w:pPr>
              <w:pStyle w:val="Tabletext"/>
              <w:tabs>
                <w:tab w:val="decimal" w:pos="397"/>
              </w:tabs>
              <w:rPr>
                <w:b/>
              </w:rPr>
            </w:pPr>
            <w:r w:rsidRPr="004C3402">
              <w:rPr>
                <w:b/>
              </w:rPr>
              <w:t>5.7</w:t>
            </w:r>
          </w:p>
        </w:tc>
        <w:tc>
          <w:tcPr>
            <w:tcW w:w="1061" w:type="dxa"/>
            <w:tcBorders>
              <w:top w:val="single" w:sz="4" w:space="0" w:color="auto"/>
              <w:left w:val="nil"/>
              <w:bottom w:val="dashed" w:sz="4" w:space="0" w:color="auto"/>
              <w:right w:val="nil"/>
            </w:tcBorders>
          </w:tcPr>
          <w:p w:rsidR="004F149F" w:rsidRPr="004C3402" w:rsidRDefault="004F149F" w:rsidP="004C3402">
            <w:pPr>
              <w:pStyle w:val="Tabletext"/>
              <w:tabs>
                <w:tab w:val="decimal" w:pos="397"/>
              </w:tabs>
              <w:rPr>
                <w:b/>
              </w:rPr>
            </w:pPr>
            <w:r w:rsidRPr="004C3402">
              <w:rPr>
                <w:b/>
              </w:rPr>
              <w:t>8.6</w:t>
            </w:r>
          </w:p>
        </w:tc>
      </w:tr>
      <w:tr w:rsidR="004F149F" w:rsidRPr="004C3402" w:rsidTr="003332D7">
        <w:tc>
          <w:tcPr>
            <w:tcW w:w="2425" w:type="dxa"/>
            <w:tcBorders>
              <w:top w:val="dashed" w:sz="4" w:space="0" w:color="auto"/>
              <w:left w:val="nil"/>
              <w:bottom w:val="nil"/>
            </w:tcBorders>
            <w:shd w:val="clear" w:color="auto" w:fill="auto"/>
            <w:noWrap/>
            <w:hideMark/>
          </w:tcPr>
          <w:p w:rsidR="004F149F" w:rsidRPr="004C3402" w:rsidRDefault="009047C4" w:rsidP="004C3402">
            <w:pPr>
              <w:pStyle w:val="Tabletext"/>
              <w:rPr>
                <w:b/>
              </w:rPr>
            </w:pPr>
            <w:r w:rsidRPr="004C3402">
              <w:rPr>
                <w:b/>
              </w:rPr>
              <w:t>Total 25 to 64-year-</w:t>
            </w:r>
            <w:r w:rsidR="004F149F" w:rsidRPr="004C3402">
              <w:rPr>
                <w:b/>
              </w:rPr>
              <w:t>olds participating in VET</w:t>
            </w:r>
          </w:p>
        </w:tc>
        <w:tc>
          <w:tcPr>
            <w:tcW w:w="1060" w:type="dxa"/>
            <w:tcBorders>
              <w:top w:val="dashed" w:sz="4" w:space="0" w:color="auto"/>
              <w:bottom w:val="nil"/>
              <w:right w:val="nil"/>
            </w:tcBorders>
            <w:shd w:val="clear" w:color="auto" w:fill="auto"/>
            <w:noWrap/>
            <w:hideMark/>
          </w:tcPr>
          <w:p w:rsidR="004F149F" w:rsidRPr="004C3402" w:rsidRDefault="004F149F" w:rsidP="00583382">
            <w:pPr>
              <w:pStyle w:val="Tabletext"/>
              <w:ind w:right="170"/>
              <w:jc w:val="right"/>
              <w:rPr>
                <w:b/>
              </w:rPr>
            </w:pPr>
            <w:r w:rsidRPr="004C3402">
              <w:rPr>
                <w:b/>
              </w:rPr>
              <w:t>191 113</w:t>
            </w:r>
          </w:p>
        </w:tc>
        <w:tc>
          <w:tcPr>
            <w:tcW w:w="1061" w:type="dxa"/>
            <w:tcBorders>
              <w:top w:val="dashed" w:sz="4" w:space="0" w:color="auto"/>
              <w:left w:val="nil"/>
              <w:bottom w:val="nil"/>
              <w:right w:val="nil"/>
            </w:tcBorders>
            <w:shd w:val="clear" w:color="auto" w:fill="auto"/>
            <w:noWrap/>
            <w:hideMark/>
          </w:tcPr>
          <w:p w:rsidR="004F149F" w:rsidRPr="004C3402" w:rsidRDefault="004F149F" w:rsidP="00583382">
            <w:pPr>
              <w:pStyle w:val="Tabletext"/>
              <w:ind w:right="170"/>
              <w:jc w:val="right"/>
              <w:rPr>
                <w:b/>
              </w:rPr>
            </w:pPr>
            <w:r w:rsidRPr="004C3402">
              <w:rPr>
                <w:b/>
              </w:rPr>
              <w:t>241 548</w:t>
            </w:r>
          </w:p>
        </w:tc>
        <w:tc>
          <w:tcPr>
            <w:tcW w:w="1061" w:type="dxa"/>
            <w:tcBorders>
              <w:top w:val="dashed" w:sz="4" w:space="0" w:color="auto"/>
              <w:left w:val="nil"/>
              <w:bottom w:val="nil"/>
              <w:right w:val="nil"/>
            </w:tcBorders>
            <w:shd w:val="clear" w:color="auto" w:fill="auto"/>
            <w:noWrap/>
            <w:hideMark/>
          </w:tcPr>
          <w:p w:rsidR="004F149F" w:rsidRPr="004C3402" w:rsidRDefault="004F149F" w:rsidP="00583382">
            <w:pPr>
              <w:pStyle w:val="Tabletext"/>
              <w:ind w:right="170"/>
              <w:jc w:val="right"/>
              <w:rPr>
                <w:b/>
              </w:rPr>
            </w:pPr>
            <w:r w:rsidRPr="004C3402">
              <w:rPr>
                <w:b/>
              </w:rPr>
              <w:t>203 448</w:t>
            </w:r>
          </w:p>
        </w:tc>
        <w:tc>
          <w:tcPr>
            <w:tcW w:w="1060" w:type="dxa"/>
            <w:tcBorders>
              <w:top w:val="dashed" w:sz="4" w:space="0" w:color="auto"/>
              <w:left w:val="nil"/>
              <w:bottom w:val="nil"/>
              <w:right w:val="nil"/>
            </w:tcBorders>
            <w:shd w:val="clear" w:color="auto" w:fill="auto"/>
            <w:noWrap/>
            <w:hideMark/>
          </w:tcPr>
          <w:p w:rsidR="004F149F" w:rsidRPr="004C3402" w:rsidRDefault="004F149F" w:rsidP="00583382">
            <w:pPr>
              <w:pStyle w:val="Tabletext"/>
              <w:ind w:right="170"/>
              <w:jc w:val="right"/>
              <w:rPr>
                <w:b/>
              </w:rPr>
            </w:pPr>
            <w:r w:rsidRPr="004C3402">
              <w:rPr>
                <w:b/>
              </w:rPr>
              <w:t>217 118</w:t>
            </w:r>
          </w:p>
        </w:tc>
        <w:tc>
          <w:tcPr>
            <w:tcW w:w="1061" w:type="dxa"/>
            <w:tcBorders>
              <w:top w:val="dashed" w:sz="4" w:space="0" w:color="auto"/>
              <w:left w:val="nil"/>
              <w:bottom w:val="nil"/>
              <w:right w:val="nil"/>
            </w:tcBorders>
            <w:shd w:val="clear" w:color="auto" w:fill="auto"/>
            <w:noWrap/>
            <w:hideMark/>
          </w:tcPr>
          <w:p w:rsidR="004F149F" w:rsidRPr="004C3402" w:rsidRDefault="004F149F" w:rsidP="00583382">
            <w:pPr>
              <w:pStyle w:val="Tabletext"/>
              <w:ind w:right="170"/>
              <w:jc w:val="right"/>
              <w:rPr>
                <w:b/>
              </w:rPr>
            </w:pPr>
            <w:r w:rsidRPr="004C3402">
              <w:rPr>
                <w:b/>
              </w:rPr>
              <w:t>131 128</w:t>
            </w:r>
          </w:p>
        </w:tc>
        <w:tc>
          <w:tcPr>
            <w:tcW w:w="1061" w:type="dxa"/>
            <w:tcBorders>
              <w:top w:val="dashed" w:sz="4" w:space="0" w:color="auto"/>
              <w:left w:val="nil"/>
              <w:bottom w:val="nil"/>
              <w:right w:val="nil"/>
            </w:tcBorders>
            <w:tcMar>
              <w:left w:w="0" w:type="dxa"/>
              <w:right w:w="0" w:type="dxa"/>
            </w:tcMar>
          </w:tcPr>
          <w:p w:rsidR="004F149F" w:rsidRPr="004C3402" w:rsidRDefault="004F149F" w:rsidP="00583382">
            <w:pPr>
              <w:pStyle w:val="Tabletext"/>
              <w:ind w:right="227"/>
              <w:jc w:val="right"/>
              <w:rPr>
                <w:b/>
              </w:rPr>
            </w:pPr>
            <w:r w:rsidRPr="004C3402">
              <w:rPr>
                <w:b/>
                <w:szCs w:val="22"/>
              </w:rPr>
              <w:t>984 590</w:t>
            </w:r>
          </w:p>
        </w:tc>
      </w:tr>
      <w:tr w:rsidR="004F149F" w:rsidRPr="004C3402" w:rsidTr="00583382">
        <w:tc>
          <w:tcPr>
            <w:tcW w:w="2425" w:type="dxa"/>
            <w:tcBorders>
              <w:top w:val="nil"/>
              <w:left w:val="nil"/>
              <w:bottom w:val="single" w:sz="4" w:space="0" w:color="auto"/>
            </w:tcBorders>
            <w:shd w:val="clear" w:color="auto" w:fill="auto"/>
            <w:noWrap/>
            <w:hideMark/>
          </w:tcPr>
          <w:p w:rsidR="004F149F" w:rsidRPr="004C3402" w:rsidRDefault="004F149F" w:rsidP="004C3402">
            <w:pPr>
              <w:pStyle w:val="Tabletext"/>
              <w:rPr>
                <w:szCs w:val="14"/>
              </w:rPr>
            </w:pPr>
            <w:r w:rsidRPr="004C3402">
              <w:t>Number of 25 to 6</w:t>
            </w:r>
            <w:r w:rsidR="009047C4" w:rsidRPr="004C3402">
              <w:t>4-year-</w:t>
            </w:r>
            <w:r w:rsidRPr="004C3402">
              <w:t>olds in quintile</w:t>
            </w:r>
          </w:p>
        </w:tc>
        <w:tc>
          <w:tcPr>
            <w:tcW w:w="1060" w:type="dxa"/>
            <w:tcBorders>
              <w:top w:val="nil"/>
              <w:bottom w:val="single" w:sz="4" w:space="0" w:color="auto"/>
              <w:right w:val="nil"/>
            </w:tcBorders>
            <w:shd w:val="clear" w:color="auto" w:fill="auto"/>
            <w:noWrap/>
            <w:tcMar>
              <w:left w:w="0" w:type="dxa"/>
            </w:tcMar>
            <w:hideMark/>
          </w:tcPr>
          <w:p w:rsidR="004F149F" w:rsidRPr="004C3402" w:rsidRDefault="004F149F" w:rsidP="00583382">
            <w:pPr>
              <w:pStyle w:val="Tabletext"/>
              <w:ind w:right="170"/>
              <w:jc w:val="right"/>
            </w:pPr>
            <w:r w:rsidRPr="004C3402">
              <w:t>1 756 647</w:t>
            </w:r>
          </w:p>
        </w:tc>
        <w:tc>
          <w:tcPr>
            <w:tcW w:w="1061" w:type="dxa"/>
            <w:tcBorders>
              <w:top w:val="nil"/>
              <w:left w:val="nil"/>
              <w:bottom w:val="single" w:sz="4" w:space="0" w:color="auto"/>
              <w:right w:val="nil"/>
            </w:tcBorders>
            <w:shd w:val="clear" w:color="auto" w:fill="auto"/>
            <w:noWrap/>
            <w:tcMar>
              <w:left w:w="0" w:type="dxa"/>
            </w:tcMar>
            <w:hideMark/>
          </w:tcPr>
          <w:p w:rsidR="004F149F" w:rsidRPr="004C3402" w:rsidRDefault="004F149F" w:rsidP="00583382">
            <w:pPr>
              <w:pStyle w:val="Tabletext"/>
              <w:ind w:right="170"/>
              <w:jc w:val="right"/>
              <w:rPr>
                <w:szCs w:val="14"/>
              </w:rPr>
            </w:pPr>
            <w:r w:rsidRPr="004C3402">
              <w:rPr>
                <w:szCs w:val="14"/>
              </w:rPr>
              <w:t>2 286 908</w:t>
            </w:r>
          </w:p>
        </w:tc>
        <w:tc>
          <w:tcPr>
            <w:tcW w:w="1061" w:type="dxa"/>
            <w:tcBorders>
              <w:top w:val="nil"/>
              <w:left w:val="nil"/>
              <w:bottom w:val="single" w:sz="4" w:space="0" w:color="auto"/>
              <w:right w:val="nil"/>
            </w:tcBorders>
            <w:shd w:val="clear" w:color="auto" w:fill="auto"/>
            <w:noWrap/>
            <w:tcMar>
              <w:left w:w="0" w:type="dxa"/>
            </w:tcMar>
            <w:hideMark/>
          </w:tcPr>
          <w:p w:rsidR="004F149F" w:rsidRPr="004C3402" w:rsidRDefault="004F149F" w:rsidP="00583382">
            <w:pPr>
              <w:pStyle w:val="Tabletext"/>
              <w:ind w:right="170"/>
              <w:jc w:val="right"/>
              <w:rPr>
                <w:szCs w:val="14"/>
              </w:rPr>
            </w:pPr>
            <w:r w:rsidRPr="004C3402">
              <w:rPr>
                <w:szCs w:val="14"/>
              </w:rPr>
              <w:t>2 302 673</w:t>
            </w:r>
          </w:p>
        </w:tc>
        <w:tc>
          <w:tcPr>
            <w:tcW w:w="1060" w:type="dxa"/>
            <w:tcBorders>
              <w:top w:val="nil"/>
              <w:left w:val="nil"/>
              <w:bottom w:val="single" w:sz="4" w:space="0" w:color="auto"/>
              <w:right w:val="nil"/>
            </w:tcBorders>
            <w:shd w:val="clear" w:color="auto" w:fill="auto"/>
            <w:noWrap/>
            <w:tcMar>
              <w:left w:w="0" w:type="dxa"/>
            </w:tcMar>
            <w:hideMark/>
          </w:tcPr>
          <w:p w:rsidR="004F149F" w:rsidRPr="004C3402" w:rsidRDefault="004F149F" w:rsidP="00583382">
            <w:pPr>
              <w:pStyle w:val="Tabletext"/>
              <w:ind w:right="170"/>
              <w:jc w:val="right"/>
              <w:rPr>
                <w:szCs w:val="14"/>
              </w:rPr>
            </w:pPr>
            <w:r w:rsidRPr="004C3402">
              <w:rPr>
                <w:szCs w:val="14"/>
              </w:rPr>
              <w:t>2 810 480</w:t>
            </w:r>
          </w:p>
        </w:tc>
        <w:tc>
          <w:tcPr>
            <w:tcW w:w="1061" w:type="dxa"/>
            <w:tcBorders>
              <w:top w:val="nil"/>
              <w:left w:val="nil"/>
              <w:bottom w:val="single" w:sz="4" w:space="0" w:color="auto"/>
              <w:right w:val="nil"/>
            </w:tcBorders>
            <w:shd w:val="clear" w:color="auto" w:fill="auto"/>
            <w:noWrap/>
            <w:tcMar>
              <w:left w:w="0" w:type="dxa"/>
            </w:tcMar>
            <w:hideMark/>
          </w:tcPr>
          <w:p w:rsidR="004F149F" w:rsidRPr="004C3402" w:rsidRDefault="004F149F" w:rsidP="00583382">
            <w:pPr>
              <w:pStyle w:val="Tabletext"/>
              <w:ind w:right="170"/>
              <w:jc w:val="right"/>
              <w:rPr>
                <w:szCs w:val="14"/>
              </w:rPr>
            </w:pPr>
            <w:r w:rsidRPr="004C3402">
              <w:rPr>
                <w:szCs w:val="14"/>
              </w:rPr>
              <w:t>2 294 800</w:t>
            </w:r>
          </w:p>
        </w:tc>
        <w:tc>
          <w:tcPr>
            <w:tcW w:w="1061" w:type="dxa"/>
            <w:tcBorders>
              <w:top w:val="nil"/>
              <w:left w:val="nil"/>
              <w:bottom w:val="single" w:sz="4" w:space="0" w:color="auto"/>
              <w:right w:val="nil"/>
            </w:tcBorders>
            <w:tcMar>
              <w:left w:w="0" w:type="dxa"/>
              <w:right w:w="0" w:type="dxa"/>
            </w:tcMar>
          </w:tcPr>
          <w:p w:rsidR="004F149F" w:rsidRPr="004C3402" w:rsidRDefault="004F149F" w:rsidP="00583382">
            <w:pPr>
              <w:pStyle w:val="Tabletext"/>
              <w:ind w:right="227"/>
              <w:jc w:val="right"/>
            </w:pPr>
            <w:r w:rsidRPr="004C3402">
              <w:rPr>
                <w:szCs w:val="22"/>
              </w:rPr>
              <w:t>11 453 019</w:t>
            </w:r>
          </w:p>
        </w:tc>
      </w:tr>
    </w:tbl>
    <w:p w:rsidR="0003597A" w:rsidRDefault="0003597A" w:rsidP="00E654C4">
      <w:pPr>
        <w:pStyle w:val="Textmorebefore"/>
        <w:ind w:right="-143"/>
      </w:pPr>
      <w:r w:rsidRPr="008452C7">
        <w:t xml:space="preserve">From these tables it is difficult to conclude that in 2006 there was any issue with equity at all in the VET sector. </w:t>
      </w:r>
      <w:r>
        <w:t xml:space="preserve">Individuals in the lowest quintile have participation rates broadly equivalent </w:t>
      </w:r>
      <w:r w:rsidR="00901F3F">
        <w:t>to</w:t>
      </w:r>
      <w:r>
        <w:t xml:space="preserve"> other SES quintiles among diplomas, and certificates III and IV. What drives the skew</w:t>
      </w:r>
      <w:r w:rsidR="00DE5CE6">
        <w:t>ed distribution among the lower-</w:t>
      </w:r>
      <w:r>
        <w:t xml:space="preserve">SES quintiles is that participation rates are higher than other quintiles in the other qualifications. If there is a policy issue, it would be the extent to which the </w:t>
      </w:r>
      <w:r w:rsidR="00901F3F">
        <w:t>high participation in the lower-</w:t>
      </w:r>
      <w:r>
        <w:t xml:space="preserve">level or non-AQF qualifications is </w:t>
      </w:r>
      <w:r w:rsidR="00E654C4">
        <w:t>‘</w:t>
      </w:r>
      <w:r>
        <w:t>converted</w:t>
      </w:r>
      <w:r w:rsidR="00E654C4">
        <w:t>’</w:t>
      </w:r>
      <w:r>
        <w:t xml:space="preserve"> to enrolme</w:t>
      </w:r>
      <w:r w:rsidR="00901F3F">
        <w:t>nt and completion of the higher-</w:t>
      </w:r>
      <w:r>
        <w:t>level qualifications.</w:t>
      </w:r>
    </w:p>
    <w:p w:rsidR="00190FD1" w:rsidRDefault="00190FD1" w:rsidP="00C244B4">
      <w:pPr>
        <w:pStyle w:val="Text"/>
        <w:rPr>
          <w:rFonts w:ascii="Tahoma" w:hAnsi="Tahoma" w:cs="Tahoma"/>
          <w:color w:val="000000"/>
          <w:kern w:val="28"/>
          <w:sz w:val="56"/>
          <w:szCs w:val="56"/>
        </w:rPr>
      </w:pPr>
      <w:r>
        <w:br w:type="page"/>
      </w:r>
    </w:p>
    <w:p w:rsidR="00836245" w:rsidRDefault="00295707" w:rsidP="00295707">
      <w:pPr>
        <w:pStyle w:val="Heading1"/>
      </w:pPr>
      <w:bookmarkStart w:id="74" w:name="_Toc383615935"/>
      <w:r>
        <w:lastRenderedPageBreak/>
        <w:t>Discussion</w:t>
      </w:r>
      <w:bookmarkEnd w:id="74"/>
    </w:p>
    <w:p w:rsidR="00870B21" w:rsidRPr="00E654C4" w:rsidRDefault="00295707" w:rsidP="00E654C4">
      <w:pPr>
        <w:pStyle w:val="Text"/>
      </w:pPr>
      <w:r>
        <w:t xml:space="preserve">We have presented our analysis of the </w:t>
      </w:r>
      <w:r w:rsidR="00821F91">
        <w:t>impact of SEIFA reclassifications of areas on VET participation</w:t>
      </w:r>
      <w:r>
        <w:t xml:space="preserve"> over time. </w:t>
      </w:r>
      <w:r w:rsidR="007348C6">
        <w:t>W</w:t>
      </w:r>
      <w:r>
        <w:t>e have looked at the overall VET participation rate</w:t>
      </w:r>
      <w:r w:rsidR="007348C6">
        <w:t xml:space="preserve"> for each SES quintile and also the participation rates for </w:t>
      </w:r>
      <w:r w:rsidR="004E37E9">
        <w:t xml:space="preserve">individual </w:t>
      </w:r>
      <w:r w:rsidR="00586250">
        <w:t>qualifications</w:t>
      </w:r>
      <w:r w:rsidR="004E37E9">
        <w:t xml:space="preserve"> within each SES quintile. The analysis has been unde</w:t>
      </w:r>
      <w:r w:rsidR="009047C4">
        <w:t>rtaken for three age groups: 15—19 years, 20—24 years and 25—</w:t>
      </w:r>
      <w:r w:rsidR="004E37E9">
        <w:t>64 years</w:t>
      </w:r>
      <w:r w:rsidR="00B22DB6">
        <w:t>.</w:t>
      </w:r>
      <w:r>
        <w:t xml:space="preserve"> For the future, we wish also</w:t>
      </w:r>
      <w:r w:rsidR="00DE5CE6">
        <w:t xml:space="preserve"> to</w:t>
      </w:r>
      <w:r>
        <w:t xml:space="preserve"> look at higher education </w:t>
      </w:r>
      <w:r w:rsidR="009B6322">
        <w:t>participation</w:t>
      </w:r>
      <w:r>
        <w:t xml:space="preserve"> rates by </w:t>
      </w:r>
      <w:r w:rsidR="009047C4">
        <w:t>socioeconomic status</w:t>
      </w:r>
      <w:r>
        <w:t xml:space="preserve">. </w:t>
      </w:r>
      <w:r w:rsidR="00870B21">
        <w:t>This is of particular importance</w:t>
      </w:r>
      <w:r w:rsidR="009047C4">
        <w:t xml:space="preserve"> in relation to</w:t>
      </w:r>
      <w:r w:rsidR="00870B21">
        <w:t xml:space="preserve"> efforts to broaden higher </w:t>
      </w:r>
      <w:r w:rsidR="00870B21" w:rsidRPr="00E654C4">
        <w:t xml:space="preserve">education participation and to provide greater opportunities to enrol low </w:t>
      </w:r>
      <w:r w:rsidR="003A13E7" w:rsidRPr="00E654C4">
        <w:t>socioeconomic status</w:t>
      </w:r>
      <w:r w:rsidR="00870B21" w:rsidRPr="00E654C4">
        <w:t xml:space="preserve"> students in universities.</w:t>
      </w:r>
    </w:p>
    <w:p w:rsidR="001702DB" w:rsidRPr="00E654C4" w:rsidRDefault="0033526A" w:rsidP="00E654C4">
      <w:pPr>
        <w:pStyle w:val="Text"/>
      </w:pPr>
      <w:r w:rsidRPr="00E654C4">
        <w:t xml:space="preserve">The results to date are </w:t>
      </w:r>
      <w:r w:rsidR="00B22DB6" w:rsidRPr="00E654C4">
        <w:t>relatively reassuring</w:t>
      </w:r>
      <w:r w:rsidRPr="00E654C4">
        <w:t xml:space="preserve"> </w:t>
      </w:r>
      <w:r w:rsidR="00B22DB6" w:rsidRPr="00E654C4">
        <w:t xml:space="preserve">but underline the importance of this type of empirical analysis. It is reassuring to find that the estimates of VET participation made for 2011 based </w:t>
      </w:r>
      <w:r w:rsidR="00DE5CE6">
        <w:t>on 2006 quintiles are reasonably</w:t>
      </w:r>
      <w:r w:rsidR="00B22DB6" w:rsidRPr="00E654C4">
        <w:t xml:space="preserve"> accurate when the quintiles are based on </w:t>
      </w:r>
      <w:r w:rsidR="00125E38" w:rsidRPr="00E654C4">
        <w:t>statistical local areas</w:t>
      </w:r>
      <w:r w:rsidR="00B22DB6" w:rsidRPr="00E654C4">
        <w:t xml:space="preserve">. However, the estimates were not so good when the quintiles were based on </w:t>
      </w:r>
      <w:r w:rsidR="00125E38" w:rsidRPr="00E654C4">
        <w:t>postal area</w:t>
      </w:r>
      <w:r w:rsidR="00B22DB6" w:rsidRPr="00E654C4">
        <w:t xml:space="preserve">s, noting that the </w:t>
      </w:r>
      <w:r w:rsidR="003A13E7" w:rsidRPr="00E654C4">
        <w:t xml:space="preserve">postal areas </w:t>
      </w:r>
      <w:r w:rsidR="00B22DB6" w:rsidRPr="00E654C4">
        <w:t>classification is more detailed than the classification</w:t>
      </w:r>
      <w:r w:rsidR="003A13E7" w:rsidRPr="00E654C4">
        <w:t xml:space="preserve"> based on statistical local areas</w:t>
      </w:r>
      <w:r w:rsidR="00B22DB6" w:rsidRPr="00E654C4">
        <w:t xml:space="preserve">. </w:t>
      </w:r>
      <w:r w:rsidR="004E37E9" w:rsidRPr="00E654C4">
        <w:t xml:space="preserve">Why the estimates </w:t>
      </w:r>
      <w:r w:rsidR="00125E38" w:rsidRPr="00E654C4">
        <w:t xml:space="preserve">based on postal areas </w:t>
      </w:r>
      <w:r w:rsidR="004E37E9" w:rsidRPr="00E654C4">
        <w:t xml:space="preserve">are so much worse is somewhat of a mystery, although it is true that the level of misclassification of quintiles in </w:t>
      </w:r>
      <w:r w:rsidR="003A13E7" w:rsidRPr="00E654C4">
        <w:t>2011 is considerably higher than</w:t>
      </w:r>
      <w:r w:rsidR="004E37E9" w:rsidRPr="00E654C4">
        <w:t xml:space="preserve"> is the case for SLAs. Perhaps the fact that </w:t>
      </w:r>
      <w:r w:rsidR="00125E38" w:rsidRPr="00E654C4">
        <w:t xml:space="preserve">the </w:t>
      </w:r>
      <w:r w:rsidR="004E37E9" w:rsidRPr="00E654C4">
        <w:t>SLA is a statistical classification rather than one desi</w:t>
      </w:r>
      <w:r w:rsidR="003A13E7" w:rsidRPr="00E654C4">
        <w:t>gned for the postal service is one</w:t>
      </w:r>
      <w:r w:rsidR="004E37E9" w:rsidRPr="00E654C4">
        <w:t xml:space="preserve"> reason.</w:t>
      </w:r>
    </w:p>
    <w:p w:rsidR="0033526A" w:rsidRPr="00E654C4" w:rsidRDefault="001702DB" w:rsidP="00E654C4">
      <w:pPr>
        <w:pStyle w:val="Text"/>
      </w:pPr>
      <w:r w:rsidRPr="00E654C4">
        <w:t xml:space="preserve">An issue is that the ABS has revised its regional classifications and the SLA is being replaced by statistical areas, with the statistical area 2 (SA2) being the unit closest to the SLA. </w:t>
      </w:r>
      <w:r w:rsidR="0084406D" w:rsidRPr="00E654C4">
        <w:t>On</w:t>
      </w:r>
      <w:r w:rsidRPr="00E654C4">
        <w:t xml:space="preserve"> the assumption that the quintiles defined by SA2 behave similarly to the </w:t>
      </w:r>
      <w:r w:rsidR="0084406D" w:rsidRPr="00E654C4">
        <w:t>statistical local areas</w:t>
      </w:r>
      <w:r w:rsidR="00125E38" w:rsidRPr="00E654C4">
        <w:t>,</w:t>
      </w:r>
      <w:r w:rsidRPr="00E654C4">
        <w:t xml:space="preserve"> it should be</w:t>
      </w:r>
      <w:r w:rsidR="00B22DB6" w:rsidRPr="00E654C4">
        <w:t xml:space="preserve"> </w:t>
      </w:r>
      <w:r w:rsidR="004E37E9" w:rsidRPr="00E654C4">
        <w:t xml:space="preserve">quite </w:t>
      </w:r>
      <w:r w:rsidR="00B22DB6" w:rsidRPr="00E654C4">
        <w:t>satisfactory to continue to estimate participation for SES quintiles</w:t>
      </w:r>
      <w:r w:rsidR="00125E38" w:rsidRPr="00E654C4">
        <w:t xml:space="preserve"> based on the 2011 c</w:t>
      </w:r>
      <w:r w:rsidR="004E37E9" w:rsidRPr="00E654C4">
        <w:t>ensus</w:t>
      </w:r>
      <w:r w:rsidRPr="00E654C4">
        <w:t>. However</w:t>
      </w:r>
      <w:r w:rsidR="00B22DB6" w:rsidRPr="00E654C4">
        <w:t>,</w:t>
      </w:r>
      <w:r w:rsidRPr="00E654C4">
        <w:t xml:space="preserve"> the mixed results we obtained based on the finer </w:t>
      </w:r>
      <w:r w:rsidR="00125E38" w:rsidRPr="00E654C4">
        <w:t>postal areas</w:t>
      </w:r>
      <w:r w:rsidRPr="00E654C4">
        <w:t xml:space="preserve"> classification impl</w:t>
      </w:r>
      <w:r w:rsidR="0084406D" w:rsidRPr="00E654C4">
        <w:t>y</w:t>
      </w:r>
      <w:r w:rsidRPr="00E654C4">
        <w:t xml:space="preserve"> that cautio</w:t>
      </w:r>
      <w:r w:rsidR="0084406D" w:rsidRPr="00E654C4">
        <w:t>n should be observed</w:t>
      </w:r>
      <w:r w:rsidRPr="00E654C4">
        <w:t xml:space="preserve">; we cannot assume with certainty that our intercensal estimates of </w:t>
      </w:r>
      <w:r w:rsidR="00125E38" w:rsidRPr="00E654C4">
        <w:t>socioeconomic status</w:t>
      </w:r>
      <w:r w:rsidRPr="00E654C4">
        <w:t xml:space="preserve"> will necessarily be accurate.</w:t>
      </w:r>
      <w:r w:rsidR="00B22DB6" w:rsidRPr="00E654C4">
        <w:t xml:space="preserve"> At the </w:t>
      </w:r>
      <w:r w:rsidR="003A13E7" w:rsidRPr="00E654C4">
        <w:t xml:space="preserve">very </w:t>
      </w:r>
      <w:r w:rsidR="00B22DB6" w:rsidRPr="00E654C4">
        <w:t xml:space="preserve">least, the methodology needs to be checked at </w:t>
      </w:r>
      <w:r w:rsidR="00870B21" w:rsidRPr="00E654C4">
        <w:t>each census</w:t>
      </w:r>
      <w:r w:rsidR="00DE5CE6">
        <w:t>,</w:t>
      </w:r>
      <w:r w:rsidR="00870B21" w:rsidRPr="00E654C4">
        <w:t xml:space="preserve"> when the SES indices</w:t>
      </w:r>
      <w:r w:rsidR="00B22DB6" w:rsidRPr="00E654C4">
        <w:t xml:space="preserve"> are updated.</w:t>
      </w:r>
    </w:p>
    <w:p w:rsidR="00836245" w:rsidRDefault="004E37E9" w:rsidP="00E654C4">
      <w:pPr>
        <w:pStyle w:val="Text"/>
      </w:pPr>
      <w:r w:rsidRPr="00E654C4">
        <w:t xml:space="preserve">As part of the analysis we also showed that quintiles </w:t>
      </w:r>
      <w:r>
        <w:t>should not be taken to be a robust benchmark in the sense of representing 20% of the population. That is, the over</w:t>
      </w:r>
      <w:r w:rsidR="003A13E7">
        <w:t>- or under-</w:t>
      </w:r>
      <w:r>
        <w:t xml:space="preserve">representation of a particular group cannot be </w:t>
      </w:r>
      <w:r w:rsidR="00586250">
        <w:t>accurately</w:t>
      </w:r>
      <w:r>
        <w:t xml:space="preserve"> judged by whether the share of a </w:t>
      </w:r>
      <w:r w:rsidR="00586250">
        <w:t>particular</w:t>
      </w:r>
      <w:r>
        <w:t xml:space="preserve"> quintile is over or under 20%. </w:t>
      </w:r>
      <w:r w:rsidR="0002480D">
        <w:t>T</w:t>
      </w:r>
      <w:r>
        <w:t xml:space="preserve">his is </w:t>
      </w:r>
      <w:r w:rsidR="00586250">
        <w:t>because</w:t>
      </w:r>
      <w:r>
        <w:t xml:space="preserve"> SES quintiles based on SEIFA are derived from areas and </w:t>
      </w:r>
      <w:r w:rsidR="00586250">
        <w:t>inevitably</w:t>
      </w:r>
      <w:r>
        <w:t xml:space="preserve"> the </w:t>
      </w:r>
      <w:r w:rsidRPr="0084406D">
        <w:t xml:space="preserve">underlying </w:t>
      </w:r>
      <w:r w:rsidR="00586250">
        <w:t>population</w:t>
      </w:r>
      <w:r>
        <w:t xml:space="preserve"> </w:t>
      </w:r>
      <w:r w:rsidR="003A13E7">
        <w:t xml:space="preserve">of </w:t>
      </w:r>
      <w:r>
        <w:t xml:space="preserve">the area will differ from 20%. The way around this </w:t>
      </w:r>
      <w:r w:rsidR="00586250">
        <w:t>is to calculate</w:t>
      </w:r>
      <w:r>
        <w:t xml:space="preserve"> </w:t>
      </w:r>
      <w:r w:rsidR="00586250">
        <w:t>participation</w:t>
      </w:r>
      <w:r>
        <w:t xml:space="preserve"> </w:t>
      </w:r>
      <w:r w:rsidR="003A13E7">
        <w:t>rates for each quintile and use</w:t>
      </w:r>
      <w:r>
        <w:t xml:space="preserve"> these as the basis for comparisons across quintiles. In this analysis we have used three age groups</w:t>
      </w:r>
      <w:r w:rsidR="003A13E7">
        <w:t>: 15—</w:t>
      </w:r>
      <w:r w:rsidR="006537C9">
        <w:t>19 years</w:t>
      </w:r>
      <w:r w:rsidR="00021157">
        <w:t>, 20—24 years and 25—6</w:t>
      </w:r>
      <w:r w:rsidR="003A13E7">
        <w:t>4 y</w:t>
      </w:r>
      <w:r w:rsidR="00B43B1D">
        <w:t>ears. F</w:t>
      </w:r>
      <w:r w:rsidR="006537C9">
        <w:t xml:space="preserve">rom the point of view of looking at </w:t>
      </w:r>
      <w:r w:rsidR="00586250">
        <w:t>intergenerational</w:t>
      </w:r>
      <w:r w:rsidR="006537C9">
        <w:t xml:space="preserve"> social mobility</w:t>
      </w:r>
      <w:r w:rsidR="003A13E7">
        <w:t>,</w:t>
      </w:r>
      <w:r w:rsidR="006537C9">
        <w:t xml:space="preserve"> it is the first two of these that are most relevant.</w:t>
      </w:r>
      <w:r w:rsidR="00901F3F">
        <w:t xml:space="preserve"> </w:t>
      </w:r>
      <w:r w:rsidR="006537C9">
        <w:t xml:space="preserve">Arguably, the concept of </w:t>
      </w:r>
      <w:r w:rsidR="003A13E7">
        <w:t>socioeconomic status</w:t>
      </w:r>
      <w:r w:rsidR="006537C9">
        <w:t xml:space="preserve"> is problematic for the older group since place of residence </w:t>
      </w:r>
      <w:r w:rsidR="00586250">
        <w:t>will</w:t>
      </w:r>
      <w:r w:rsidR="006537C9">
        <w:t xml:space="preserve"> reflect life outcomes rather than opportunities. For the older age group, perhaps a different measure of disadvantage is better. One possibility is a group defined by non-</w:t>
      </w:r>
      <w:r w:rsidR="00586250">
        <w:t>completion</w:t>
      </w:r>
      <w:r w:rsidR="006537C9">
        <w:t xml:space="preserve"> of school </w:t>
      </w:r>
      <w:r w:rsidR="00586250">
        <w:t>and n</w:t>
      </w:r>
      <w:r w:rsidR="006537C9">
        <w:t xml:space="preserve">o post-school </w:t>
      </w:r>
      <w:r w:rsidR="00586250">
        <w:t>qualification</w:t>
      </w:r>
      <w:r w:rsidR="006537C9">
        <w:t xml:space="preserve"> (perhaps </w:t>
      </w:r>
      <w:r w:rsidR="00586250">
        <w:t>certificate</w:t>
      </w:r>
      <w:r w:rsidR="006537C9">
        <w:t xml:space="preserve"> III level or higher). Of course the advantage of such a definition is that it will not be affected by the </w:t>
      </w:r>
      <w:r w:rsidR="00821F91">
        <w:t>use of area measures to assess individual characteristics.</w:t>
      </w:r>
    </w:p>
    <w:p w:rsidR="00E654C4" w:rsidRDefault="00E654C4" w:rsidP="00C244B4">
      <w:pPr>
        <w:pStyle w:val="Text"/>
      </w:pPr>
      <w:r>
        <w:br w:type="page"/>
      </w:r>
    </w:p>
    <w:p w:rsidR="00E811C3" w:rsidRDefault="00E811C3" w:rsidP="0039262A">
      <w:pPr>
        <w:pStyle w:val="Heading1"/>
      </w:pPr>
      <w:bookmarkStart w:id="75" w:name="_Toc456000800"/>
      <w:bookmarkStart w:id="76" w:name="_Toc457122465"/>
      <w:bookmarkStart w:id="77" w:name="_Toc188077643"/>
      <w:bookmarkStart w:id="78" w:name="_Toc383615936"/>
      <w:r>
        <w:lastRenderedPageBreak/>
        <w:t>References</w:t>
      </w:r>
      <w:bookmarkEnd w:id="8"/>
      <w:bookmarkEnd w:id="9"/>
      <w:bookmarkEnd w:id="10"/>
      <w:bookmarkEnd w:id="11"/>
      <w:bookmarkEnd w:id="75"/>
      <w:bookmarkEnd w:id="76"/>
      <w:bookmarkEnd w:id="77"/>
      <w:bookmarkEnd w:id="78"/>
    </w:p>
    <w:p w:rsidR="008E517C" w:rsidRDefault="00AF0F47" w:rsidP="00E654C4">
      <w:pPr>
        <w:pStyle w:val="References"/>
      </w:pPr>
      <w:r>
        <w:t>ABS (</w:t>
      </w:r>
      <w:r w:rsidR="005C35F7">
        <w:t>Australian Bureau of Statistics</w:t>
      </w:r>
      <w:r>
        <w:t>)</w:t>
      </w:r>
      <w:r w:rsidR="005C35F7">
        <w:t xml:space="preserve"> 2011</w:t>
      </w:r>
      <w:r w:rsidR="005C35F7" w:rsidRPr="00AF0F47">
        <w:rPr>
          <w:i/>
        </w:rPr>
        <w:t>, Socio-economic Indexes for Area (SEIFA), technical paper</w:t>
      </w:r>
      <w:r>
        <w:t>, cat.</w:t>
      </w:r>
      <w:r w:rsidR="005C35F7">
        <w:t>no.2033.0.</w:t>
      </w:r>
      <w:r>
        <w:t>55.001, ABS, Canberra</w:t>
      </w:r>
      <w:r w:rsidR="005C35F7">
        <w:t>.</w:t>
      </w:r>
    </w:p>
    <w:p w:rsidR="00E654C4" w:rsidRDefault="008E517C" w:rsidP="00E654C4">
      <w:pPr>
        <w:pStyle w:val="References"/>
      </w:pPr>
      <w:r>
        <w:t xml:space="preserve">Bradley, D, Noonan, P, Nugent, H &amp; Scales, B 2008, </w:t>
      </w:r>
      <w:r>
        <w:rPr>
          <w:i/>
        </w:rPr>
        <w:t xml:space="preserve">Review of Australian higher education: final report, </w:t>
      </w:r>
      <w:r w:rsidRPr="008E517C">
        <w:t>D</w:t>
      </w:r>
      <w:r>
        <w:t>epartment of Education, Employment and Workplace Relations</w:t>
      </w:r>
      <w:r w:rsidRPr="008E517C">
        <w:t>, Canberra.</w:t>
      </w:r>
    </w:p>
    <w:p w:rsidR="00731210" w:rsidRDefault="00731210" w:rsidP="00E654C4">
      <w:pPr>
        <w:pStyle w:val="References"/>
      </w:pPr>
      <w:r>
        <w:t xml:space="preserve">Karmel, T &amp; Lim, P 2013, </w:t>
      </w:r>
      <w:r w:rsidR="00AF0F47">
        <w:rPr>
          <w:i/>
        </w:rPr>
        <w:t>Socio</w:t>
      </w:r>
      <w:r w:rsidRPr="00AF0F47">
        <w:rPr>
          <w:i/>
        </w:rPr>
        <w:t>economic disadvantage and participation in tertiary education: preliminary thoughts</w:t>
      </w:r>
      <w:r>
        <w:t>, NCVER, Adelaide</w:t>
      </w:r>
      <w:r w:rsidR="00AF0F47">
        <w:t>.</w:t>
      </w:r>
    </w:p>
    <w:p w:rsidR="00731210" w:rsidRDefault="00731210" w:rsidP="00E654C4">
      <w:pPr>
        <w:pStyle w:val="References"/>
      </w:pPr>
      <w:r>
        <w:t xml:space="preserve">Lim, P &amp; Gemici, S 2011, </w:t>
      </w:r>
      <w:r w:rsidR="00AF0F47">
        <w:rPr>
          <w:i/>
        </w:rPr>
        <w:t>Measuring the socio</w:t>
      </w:r>
      <w:r w:rsidRPr="00AF0F47">
        <w:rPr>
          <w:i/>
        </w:rPr>
        <w:t>economic status of Australian Youth,</w:t>
      </w:r>
      <w:r>
        <w:t xml:space="preserve"> NCVER, Adelaide</w:t>
      </w:r>
      <w:r w:rsidR="00AF0F47">
        <w:t>.</w:t>
      </w:r>
    </w:p>
    <w:p w:rsidR="0027796D" w:rsidRDefault="00C070A5" w:rsidP="0027796D">
      <w:pPr>
        <w:pStyle w:val="Heading1"/>
      </w:pPr>
      <w:r>
        <w:br w:type="page"/>
      </w:r>
      <w:bookmarkStart w:id="79" w:name="_Toc378849950"/>
      <w:bookmarkStart w:id="80" w:name="_Toc383615937"/>
      <w:bookmarkEnd w:id="0"/>
      <w:bookmarkEnd w:id="1"/>
      <w:bookmarkEnd w:id="2"/>
      <w:bookmarkEnd w:id="3"/>
      <w:r w:rsidR="0027796D">
        <w:lastRenderedPageBreak/>
        <w:t>Funding information</w:t>
      </w:r>
      <w:bookmarkEnd w:id="79"/>
      <w:bookmarkEnd w:id="80"/>
    </w:p>
    <w:p w:rsidR="0027796D" w:rsidRPr="00E654C4" w:rsidRDefault="0027796D" w:rsidP="00E654C4">
      <w:pPr>
        <w:pStyle w:val="Text"/>
        <w:ind w:right="283"/>
      </w:pPr>
      <w:r w:rsidRPr="007D3AA5">
        <w:t xml:space="preserve">This work has been produced by NCVER under the National Vocational Education and Training Research (NVETR) Program, which is coordinated and managed by NCVER on behalf of the Australian Government and state and territory governments. Funding is </w:t>
      </w:r>
      <w:r w:rsidRPr="00E654C4">
        <w:t xml:space="preserve">provided through the Department of Industry. </w:t>
      </w:r>
    </w:p>
    <w:p w:rsidR="0027796D" w:rsidRPr="00E654C4" w:rsidRDefault="0027796D" w:rsidP="00E654C4">
      <w:pPr>
        <w:pStyle w:val="Text"/>
        <w:ind w:right="283"/>
      </w:pPr>
      <w:r w:rsidRPr="00E654C4">
        <w:t>The NVETR Program aims to improve policy and practice in the VET sector. The research effort itself is collaborative and requires strong relationships with the research community in Australia</w:t>
      </w:r>
      <w:r w:rsidR="00E654C4" w:rsidRPr="00E654C4">
        <w:t>’</w:t>
      </w:r>
      <w:r w:rsidRPr="00E654C4">
        <w:t xml:space="preserve">s universities and beyond. NCVER may also involve various stakeholders, including state and territory governments, industry and practitioners, to inform the commissioned research and use a variety of mechanisms such as project roundtables and forums. </w:t>
      </w:r>
    </w:p>
    <w:p w:rsidR="0027796D" w:rsidRPr="00E654C4" w:rsidRDefault="0027796D" w:rsidP="00E654C4">
      <w:pPr>
        <w:pStyle w:val="Text"/>
        <w:ind w:right="283"/>
      </w:pPr>
      <w:r w:rsidRPr="00E654C4">
        <w:t>In addition to the commissioned research, each year a pool of NVETR funds is set aside to support the provision of research and policy advice to assist with the Council of Australian Governments</w:t>
      </w:r>
      <w:r w:rsidR="00E654C4" w:rsidRPr="00E654C4">
        <w:t>’</w:t>
      </w:r>
      <w:r w:rsidRPr="00E654C4">
        <w:t xml:space="preserve"> reform agenda. This work has been produced as part of this initiative. </w:t>
      </w:r>
    </w:p>
    <w:p w:rsidR="00AD1238" w:rsidRDefault="0027796D" w:rsidP="00E654C4">
      <w:pPr>
        <w:pStyle w:val="Text"/>
        <w:ind w:right="283"/>
      </w:pPr>
      <w:r w:rsidRPr="00E654C4">
        <w:t>For further information about the program go to the NCVER</w:t>
      </w:r>
      <w:r w:rsidRPr="007D3AA5">
        <w:t xml:space="preserve"> </w:t>
      </w:r>
      <w:r>
        <w:t>Portal</w:t>
      </w:r>
      <w:r w:rsidRPr="007D3AA5">
        <w:t xml:space="preserve"> &lt;http://www.ncver.edu.au&gt;.</w:t>
      </w:r>
    </w:p>
    <w:sectPr w:rsidR="00AD1238" w:rsidSect="00910C88">
      <w:footerReference w:type="even" r:id="rId31"/>
      <w:footerReference w:type="default" r:id="rId32"/>
      <w:footerReference w:type="first" r:id="rId33"/>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AA7" w:rsidRDefault="00B10AA7">
      <w:r>
        <w:separator/>
      </w:r>
    </w:p>
  </w:endnote>
  <w:endnote w:type="continuationSeparator" w:id="0">
    <w:p w:rsidR="00B10AA7" w:rsidRDefault="00B10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A7" w:rsidRPr="00910C88" w:rsidRDefault="00501E99" w:rsidP="00910C88">
    <w:pPr>
      <w:pStyle w:val="Footer"/>
      <w:tabs>
        <w:tab w:val="clear" w:pos="8505"/>
        <w:tab w:val="right" w:pos="8789"/>
      </w:tabs>
      <w:rPr>
        <w:b/>
      </w:rPr>
    </w:pPr>
    <w:r>
      <w:rPr>
        <w:b/>
        <w:noProof/>
        <w:color w:val="FFFFFF" w:themeColor="background1"/>
        <w:lang w:eastAsia="en-AU"/>
      </w:rPr>
      <mc:AlternateContent>
        <mc:Choice Requires="wps">
          <w:drawing>
            <wp:anchor distT="0" distB="0" distL="114300" distR="114300" simplePos="0" relativeHeight="251662336" behindDoc="1" locked="0" layoutInCell="1" allowOverlap="1">
              <wp:simplePos x="0" y="0"/>
              <wp:positionH relativeFrom="column">
                <wp:posOffset>-1080135</wp:posOffset>
              </wp:positionH>
              <wp:positionV relativeFrom="paragraph">
                <wp:posOffset>-31115</wp:posOffset>
              </wp:positionV>
              <wp:extent cx="1257300" cy="238125"/>
              <wp:effectExtent l="0" t="0" r="3810" b="254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5.05pt;margin-top:-2.45pt;width:99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vklwIAAGk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" fillcolor="black [3213]" stroked="f" strokecolor="#bfbfbf [2412]"/>
          </w:pict>
        </mc:Fallback>
      </mc:AlternateContent>
    </w:r>
    <w:r w:rsidR="00B10AA7" w:rsidRPr="008C0A74">
      <w:rPr>
        <w:b/>
        <w:color w:val="FFFFFF" w:themeColor="background1"/>
      </w:rPr>
      <w:fldChar w:fldCharType="begin"/>
    </w:r>
    <w:r w:rsidR="00B10AA7" w:rsidRPr="008C0A74">
      <w:rPr>
        <w:b/>
        <w:color w:val="FFFFFF" w:themeColor="background1"/>
      </w:rPr>
      <w:instrText xml:space="preserve"> PAGE </w:instrText>
    </w:r>
    <w:r w:rsidR="00B10AA7" w:rsidRPr="008C0A74">
      <w:rPr>
        <w:b/>
        <w:color w:val="FFFFFF" w:themeColor="background1"/>
      </w:rPr>
      <w:fldChar w:fldCharType="separate"/>
    </w:r>
    <w:r w:rsidR="00B0464A">
      <w:rPr>
        <w:b/>
        <w:noProof/>
        <w:color w:val="FFFFFF" w:themeColor="background1"/>
      </w:rPr>
      <w:t>28</w:t>
    </w:r>
    <w:r w:rsidR="00B10AA7" w:rsidRPr="008C0A74">
      <w:rPr>
        <w:b/>
        <w:color w:val="FFFFFF" w:themeColor="background1"/>
      </w:rPr>
      <w:fldChar w:fldCharType="end"/>
    </w:r>
    <w:r w:rsidR="00B10AA7" w:rsidRPr="008C0A74">
      <w:rPr>
        <w:b/>
        <w:color w:val="FFFFFF" w:themeColor="background1"/>
      </w:rPr>
      <w:tab/>
    </w:r>
    <w:r w:rsidR="00B10AA7" w:rsidRPr="00910C88">
      <w:rPr>
        <w:b/>
      </w:rPr>
      <w:t>Measu</w:t>
    </w:r>
    <w:r w:rsidR="00B10AA7">
      <w:rPr>
        <w:b/>
      </w:rPr>
      <w:t>ring VET participation by socio</w:t>
    </w:r>
    <w:r w:rsidR="00B10AA7" w:rsidRPr="00910C88">
      <w:rPr>
        <w:b/>
      </w:rPr>
      <w:t>economic status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A7" w:rsidRPr="00910C88" w:rsidRDefault="00501E99" w:rsidP="00910C88">
    <w:pPr>
      <w:pStyle w:val="Footer"/>
      <w:tabs>
        <w:tab w:val="clear" w:pos="8505"/>
        <w:tab w:val="right" w:pos="8789"/>
      </w:tabs>
      <w:rPr>
        <w:color w:val="FFFFFF" w:themeColor="background1"/>
      </w:rPr>
    </w:pPr>
    <w:r>
      <w:rPr>
        <w:b/>
        <w:noProof/>
        <w:lang w:eastAsia="en-AU"/>
      </w:rPr>
      <mc:AlternateContent>
        <mc:Choice Requires="wps">
          <w:drawing>
            <wp:anchor distT="0" distB="0" distL="114300" distR="114300" simplePos="0" relativeHeight="251660288" behindDoc="1" locked="0" layoutInCell="1" allowOverlap="1">
              <wp:simplePos x="0" y="0"/>
              <wp:positionH relativeFrom="column">
                <wp:posOffset>5405120</wp:posOffset>
              </wp:positionH>
              <wp:positionV relativeFrom="paragraph">
                <wp:posOffset>-31115</wp:posOffset>
              </wp:positionV>
              <wp:extent cx="1257300" cy="238125"/>
              <wp:effectExtent l="4445" t="0" r="0" b="254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25.6pt;margin-top:-2.45pt;width:99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" fillcolor="black [3213]" stroked="f" strokecolor="#bfbfbf [2412]"/>
          </w:pict>
        </mc:Fallback>
      </mc:AlternateContent>
    </w:r>
    <w:r w:rsidR="00B10AA7" w:rsidRPr="009775C7">
      <w:rPr>
        <w:b/>
      </w:rPr>
      <w:t>NCVER</w:t>
    </w:r>
    <w:r w:rsidR="00B10AA7" w:rsidRPr="009775C7">
      <w:tab/>
    </w:r>
    <w:r w:rsidR="00B10AA7" w:rsidRPr="009775C7">
      <w:rPr>
        <w:rStyle w:val="PageNumber"/>
        <w:rFonts w:cs="Tahoma"/>
        <w:b/>
        <w:color w:val="FFFFFF" w:themeColor="background1"/>
        <w:sz w:val="17"/>
      </w:rPr>
      <w:fldChar w:fldCharType="begin"/>
    </w:r>
    <w:r w:rsidR="00B10AA7" w:rsidRPr="009775C7">
      <w:rPr>
        <w:rStyle w:val="PageNumber"/>
        <w:rFonts w:cs="Tahoma"/>
        <w:b/>
        <w:color w:val="FFFFFF" w:themeColor="background1"/>
        <w:sz w:val="17"/>
      </w:rPr>
      <w:instrText xml:space="preserve"> PAGE </w:instrText>
    </w:r>
    <w:r w:rsidR="00B10AA7" w:rsidRPr="009775C7">
      <w:rPr>
        <w:rStyle w:val="PageNumber"/>
        <w:rFonts w:cs="Tahoma"/>
        <w:b/>
        <w:color w:val="FFFFFF" w:themeColor="background1"/>
        <w:sz w:val="17"/>
      </w:rPr>
      <w:fldChar w:fldCharType="separate"/>
    </w:r>
    <w:r w:rsidR="00B0464A">
      <w:rPr>
        <w:rStyle w:val="PageNumber"/>
        <w:rFonts w:cs="Tahoma"/>
        <w:b/>
        <w:noProof/>
        <w:color w:val="FFFFFF" w:themeColor="background1"/>
        <w:sz w:val="17"/>
      </w:rPr>
      <w:t>29</w:t>
    </w:r>
    <w:r w:rsidR="00B10AA7" w:rsidRPr="009775C7">
      <w:rPr>
        <w:rStyle w:val="PageNumber"/>
        <w:rFonts w:cs="Tahoma"/>
        <w:b/>
        <w:color w:val="FFFFFF" w:themeColor="background1"/>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A7" w:rsidRDefault="00B1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AA7" w:rsidRDefault="00B10AA7">
      <w:r>
        <w:separator/>
      </w:r>
    </w:p>
  </w:footnote>
  <w:footnote w:type="continuationSeparator" w:id="0">
    <w:p w:rsidR="00B10AA7" w:rsidRDefault="00B10AA7">
      <w:r>
        <w:continuationSeparator/>
      </w:r>
    </w:p>
  </w:footnote>
  <w:footnote w:id="1">
    <w:p w:rsidR="00B10AA7" w:rsidRDefault="00B10AA7">
      <w:pPr>
        <w:pStyle w:val="FootnoteText"/>
      </w:pPr>
      <w:r>
        <w:rPr>
          <w:rStyle w:val="FootnoteReference"/>
        </w:rPr>
        <w:footnoteRef/>
      </w:r>
      <w:r>
        <w:t xml:space="preserve"> </w:t>
      </w:r>
      <w:r>
        <w:tab/>
        <w:t>We intend to undertake similar analysis for higher education in due course.</w:t>
      </w:r>
    </w:p>
  </w:footnote>
  <w:footnote w:id="2">
    <w:p w:rsidR="00B10AA7" w:rsidRDefault="00B10AA7">
      <w:pPr>
        <w:pStyle w:val="FootnoteText"/>
      </w:pPr>
      <w:r>
        <w:rPr>
          <w:rStyle w:val="FootnoteReference"/>
        </w:rPr>
        <w:footnoteRef/>
      </w:r>
      <w:r>
        <w:t xml:space="preserve"> </w:t>
      </w:r>
      <w:r>
        <w:tab/>
        <w:t xml:space="preserve">In 2006 there were 2513 POAs and 1395 SLAs; in 2011 2483 POAs and 1369 SLAs. </w:t>
      </w:r>
      <w:r w:rsidRPr="0080548E">
        <w:t xml:space="preserve">Thus the POA is a finer classification. </w:t>
      </w:r>
    </w:p>
  </w:footnote>
  <w:footnote w:id="3">
    <w:p w:rsidR="00B10AA7" w:rsidRDefault="00B10AA7" w:rsidP="004D71B6">
      <w:pPr>
        <w:pStyle w:val="FootnoteText"/>
      </w:pPr>
      <w:r>
        <w:rPr>
          <w:rStyle w:val="FootnoteReference"/>
        </w:rPr>
        <w:footnoteRef/>
      </w:r>
      <w:r>
        <w:t xml:space="preserve"> </w:t>
      </w:r>
      <w:r>
        <w:tab/>
        <w:t>An alternative approach recommended by the ABS is to calculate deciles (quintiles) based on population sizes. However, these values are not provided by the ABS and are not commonly used in other statistical reporting agencies. For this reason, NCVER uses the area-based quintiles.</w:t>
      </w:r>
    </w:p>
  </w:footnote>
  <w:footnote w:id="4">
    <w:p w:rsidR="00B10AA7" w:rsidRDefault="00B10AA7" w:rsidP="00E43CA1">
      <w:pPr>
        <w:pStyle w:val="FootnoteText"/>
      </w:pPr>
      <w:r>
        <w:rPr>
          <w:rStyle w:val="FootnoteReference"/>
        </w:rPr>
        <w:footnoteRef/>
      </w:r>
      <w:r>
        <w:t xml:space="preserve"> </w:t>
      </w:r>
      <w:r>
        <w:tab/>
        <w:t>The participation rates calculated here are based on ABS usual resident population numbers. These are only available at each census and in intervening years estimated resident population numbers need to be used. This introduces another source of error in the estimates of the participation rates, which is not measured here.</w:t>
      </w:r>
    </w:p>
  </w:footnote>
  <w:footnote w:id="5">
    <w:p w:rsidR="00B10AA7" w:rsidRDefault="00B10AA7">
      <w:pPr>
        <w:pStyle w:val="FootnoteText"/>
      </w:pPr>
      <w:r>
        <w:rPr>
          <w:rStyle w:val="FootnoteReference"/>
        </w:rPr>
        <w:footnoteRef/>
      </w:r>
      <w:r>
        <w:t xml:space="preserve"> </w:t>
      </w:r>
      <w:r>
        <w:tab/>
        <w:t>In practice, the estimated resident population should be used as the denominator. The ERP may give slightly more accurate results as they account for a census undercount. However, a comparison between ERP and URP for the 2006 and 2011 censuses showed that participation figures were very stable.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57E4F2C"/>
    <w:lvl w:ilvl="0">
      <w:start w:val="1"/>
      <w:numFmt w:val="decimal"/>
      <w:lvlText w:val="%1."/>
      <w:lvlJc w:val="left"/>
      <w:pPr>
        <w:tabs>
          <w:tab w:val="num" w:pos="1492"/>
        </w:tabs>
        <w:ind w:left="1492" w:hanging="360"/>
      </w:pPr>
    </w:lvl>
  </w:abstractNum>
  <w:abstractNum w:abstractNumId="1">
    <w:nsid w:val="FFFFFF7D"/>
    <w:multiLevelType w:val="singleLevel"/>
    <w:tmpl w:val="43A6C726"/>
    <w:lvl w:ilvl="0">
      <w:start w:val="1"/>
      <w:numFmt w:val="decimal"/>
      <w:lvlText w:val="%1."/>
      <w:lvlJc w:val="left"/>
      <w:pPr>
        <w:tabs>
          <w:tab w:val="num" w:pos="1209"/>
        </w:tabs>
        <w:ind w:left="1209" w:hanging="360"/>
      </w:pPr>
    </w:lvl>
  </w:abstractNum>
  <w:abstractNum w:abstractNumId="2">
    <w:nsid w:val="FFFFFF7E"/>
    <w:multiLevelType w:val="singleLevel"/>
    <w:tmpl w:val="517A4260"/>
    <w:lvl w:ilvl="0">
      <w:start w:val="1"/>
      <w:numFmt w:val="decimal"/>
      <w:lvlText w:val="%1."/>
      <w:lvlJc w:val="left"/>
      <w:pPr>
        <w:tabs>
          <w:tab w:val="num" w:pos="926"/>
        </w:tabs>
        <w:ind w:left="926" w:hanging="360"/>
      </w:pPr>
    </w:lvl>
  </w:abstractNum>
  <w:abstractNum w:abstractNumId="3">
    <w:nsid w:val="FFFFFF7F"/>
    <w:multiLevelType w:val="singleLevel"/>
    <w:tmpl w:val="A61AD712"/>
    <w:lvl w:ilvl="0">
      <w:start w:val="1"/>
      <w:numFmt w:val="decimal"/>
      <w:lvlText w:val="%1."/>
      <w:lvlJc w:val="left"/>
      <w:pPr>
        <w:tabs>
          <w:tab w:val="num" w:pos="643"/>
        </w:tabs>
        <w:ind w:left="643" w:hanging="360"/>
      </w:pPr>
    </w:lvl>
  </w:abstractNum>
  <w:abstractNum w:abstractNumId="4">
    <w:nsid w:val="FFFFFF80"/>
    <w:multiLevelType w:val="singleLevel"/>
    <w:tmpl w:val="E910C6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4D8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6FC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924D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6EB452"/>
    <w:lvl w:ilvl="0">
      <w:start w:val="1"/>
      <w:numFmt w:val="decimal"/>
      <w:lvlText w:val="%1."/>
      <w:lvlJc w:val="left"/>
      <w:pPr>
        <w:tabs>
          <w:tab w:val="num" w:pos="360"/>
        </w:tabs>
        <w:ind w:left="360" w:hanging="360"/>
      </w:pPr>
    </w:lvl>
  </w:abstractNum>
  <w:abstractNum w:abstractNumId="9">
    <w:nsid w:val="FFFFFF89"/>
    <w:multiLevelType w:val="singleLevel"/>
    <w:tmpl w:val="692AFEC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B6F0B62E"/>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5BC55ABB"/>
    <w:multiLevelType w:val="hybridMultilevel"/>
    <w:tmpl w:val="F1F02B1A"/>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E6568BB"/>
    <w:multiLevelType w:val="hybridMultilevel"/>
    <w:tmpl w:val="E27C6F86"/>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8"/>
  </w:num>
  <w:num w:numId="5">
    <w:abstractNumId w:val="12"/>
  </w:num>
  <w:num w:numId="6">
    <w:abstractNumId w:val="22"/>
  </w:num>
  <w:num w:numId="7">
    <w:abstractNumId w:val="25"/>
  </w:num>
  <w:num w:numId="8">
    <w:abstractNumId w:val="24"/>
  </w:num>
  <w:num w:numId="9">
    <w:abstractNumId w:val="27"/>
  </w:num>
  <w:num w:numId="10">
    <w:abstractNumId w:val="19"/>
  </w:num>
  <w:num w:numId="11">
    <w:abstractNumId w:val="16"/>
  </w:num>
  <w:num w:numId="12">
    <w:abstractNumId w:val="20"/>
  </w:num>
  <w:num w:numId="13">
    <w:abstractNumId w:val="21"/>
  </w:num>
  <w:num w:numId="14">
    <w:abstractNumId w:val="14"/>
  </w:num>
  <w:num w:numId="15">
    <w:abstractNumId w:val="17"/>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8"/>
  </w:num>
  <w:num w:numId="27">
    <w:abstractNumId w:val="26"/>
  </w:num>
  <w:num w:numId="28">
    <w:abstractNumId w:val="8"/>
  </w:num>
  <w:num w:numId="29">
    <w:abstractNumId w:val="3"/>
  </w:num>
  <w:num w:numId="30">
    <w:abstractNumId w:val="2"/>
  </w:num>
  <w:num w:numId="31">
    <w:abstractNumId w:val="1"/>
  </w:num>
  <w:num w:numId="32">
    <w:abstractNumId w:val="0"/>
  </w:num>
  <w:num w:numId="33">
    <w:abstractNumId w:val="23"/>
  </w:num>
  <w:num w:numId="34">
    <w:abstractNumId w:val="28"/>
  </w:num>
  <w:num w:numId="35">
    <w:abstractNumId w:val="26"/>
  </w:num>
  <w:num w:numId="36">
    <w:abstractNumId w:val="10"/>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E01" w:allStyles="1" w:customStyles="0" w:latentStyles="0" w:stylesInUse="0" w:headingStyles="0" w:numberingStyles="0" w:tableStyles="0" w:directFormattingOnRuns="0" w:directFormattingOnParagraphs="1" w:directFormattingOnNumbering="1" w:directFormattingOnTables="1" w:clearFormatting="1" w:top3HeadingStyles="0" w:visibleStyles="0" w:alternateStyleNames="1"/>
  <w:stylePaneSortMethod w:val="0000"/>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157699">
      <o:colormru v:ext="edit" colors="#ffc425"/>
      <o:colormenu v:ext="edit" fillcolor="#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B7F"/>
    <w:rsid w:val="00000B22"/>
    <w:rsid w:val="0000135C"/>
    <w:rsid w:val="000020BB"/>
    <w:rsid w:val="0001004B"/>
    <w:rsid w:val="000108B2"/>
    <w:rsid w:val="00011EC8"/>
    <w:rsid w:val="00016A2F"/>
    <w:rsid w:val="00021157"/>
    <w:rsid w:val="000211EA"/>
    <w:rsid w:val="00022290"/>
    <w:rsid w:val="000239E0"/>
    <w:rsid w:val="0002480D"/>
    <w:rsid w:val="00026E72"/>
    <w:rsid w:val="000350D5"/>
    <w:rsid w:val="0003597A"/>
    <w:rsid w:val="0004289D"/>
    <w:rsid w:val="0005577B"/>
    <w:rsid w:val="000569ED"/>
    <w:rsid w:val="0005783D"/>
    <w:rsid w:val="00060966"/>
    <w:rsid w:val="00060FF3"/>
    <w:rsid w:val="0006125F"/>
    <w:rsid w:val="00061EA6"/>
    <w:rsid w:val="00062413"/>
    <w:rsid w:val="00063254"/>
    <w:rsid w:val="00065CD2"/>
    <w:rsid w:val="000706F1"/>
    <w:rsid w:val="00074632"/>
    <w:rsid w:val="00074B82"/>
    <w:rsid w:val="00074BD4"/>
    <w:rsid w:val="00081CF8"/>
    <w:rsid w:val="0008247B"/>
    <w:rsid w:val="00084752"/>
    <w:rsid w:val="00084E54"/>
    <w:rsid w:val="000917F2"/>
    <w:rsid w:val="00092B60"/>
    <w:rsid w:val="00094C6E"/>
    <w:rsid w:val="0009645F"/>
    <w:rsid w:val="0009647A"/>
    <w:rsid w:val="000A0209"/>
    <w:rsid w:val="000A121C"/>
    <w:rsid w:val="000A376D"/>
    <w:rsid w:val="000A68AE"/>
    <w:rsid w:val="000A73AC"/>
    <w:rsid w:val="000B4BE1"/>
    <w:rsid w:val="000B6B42"/>
    <w:rsid w:val="000C12C4"/>
    <w:rsid w:val="000C1D42"/>
    <w:rsid w:val="000C3053"/>
    <w:rsid w:val="000D0F23"/>
    <w:rsid w:val="000D1083"/>
    <w:rsid w:val="000D1A71"/>
    <w:rsid w:val="000E0982"/>
    <w:rsid w:val="000E4D75"/>
    <w:rsid w:val="000E4DEE"/>
    <w:rsid w:val="000E5583"/>
    <w:rsid w:val="000F1529"/>
    <w:rsid w:val="000F1B33"/>
    <w:rsid w:val="000F3261"/>
    <w:rsid w:val="00105DDD"/>
    <w:rsid w:val="0010667D"/>
    <w:rsid w:val="0010761A"/>
    <w:rsid w:val="001077FA"/>
    <w:rsid w:val="00112774"/>
    <w:rsid w:val="001129FC"/>
    <w:rsid w:val="00113805"/>
    <w:rsid w:val="001157BA"/>
    <w:rsid w:val="00120265"/>
    <w:rsid w:val="001223A1"/>
    <w:rsid w:val="00123B5C"/>
    <w:rsid w:val="00125E38"/>
    <w:rsid w:val="00125EEC"/>
    <w:rsid w:val="00126BF4"/>
    <w:rsid w:val="00132B27"/>
    <w:rsid w:val="00135C75"/>
    <w:rsid w:val="00136C7D"/>
    <w:rsid w:val="00137FCE"/>
    <w:rsid w:val="00145019"/>
    <w:rsid w:val="0014741D"/>
    <w:rsid w:val="00150397"/>
    <w:rsid w:val="00150874"/>
    <w:rsid w:val="001509F3"/>
    <w:rsid w:val="00152431"/>
    <w:rsid w:val="0015391D"/>
    <w:rsid w:val="00154582"/>
    <w:rsid w:val="0015485C"/>
    <w:rsid w:val="001628C3"/>
    <w:rsid w:val="00163325"/>
    <w:rsid w:val="00164FC4"/>
    <w:rsid w:val="001702DB"/>
    <w:rsid w:val="00170AC1"/>
    <w:rsid w:val="0017452C"/>
    <w:rsid w:val="00175173"/>
    <w:rsid w:val="00182262"/>
    <w:rsid w:val="00183CD9"/>
    <w:rsid w:val="00184C82"/>
    <w:rsid w:val="00190FD1"/>
    <w:rsid w:val="0019270F"/>
    <w:rsid w:val="00194950"/>
    <w:rsid w:val="001978AB"/>
    <w:rsid w:val="001A2868"/>
    <w:rsid w:val="001A46D0"/>
    <w:rsid w:val="001A4A40"/>
    <w:rsid w:val="001B06FA"/>
    <w:rsid w:val="001B43CF"/>
    <w:rsid w:val="001B49E7"/>
    <w:rsid w:val="001C004A"/>
    <w:rsid w:val="001C0D2C"/>
    <w:rsid w:val="001C3CE4"/>
    <w:rsid w:val="001C4193"/>
    <w:rsid w:val="001D1293"/>
    <w:rsid w:val="001D26CC"/>
    <w:rsid w:val="001D2D17"/>
    <w:rsid w:val="001D5855"/>
    <w:rsid w:val="001D730F"/>
    <w:rsid w:val="001E29F7"/>
    <w:rsid w:val="001E36A0"/>
    <w:rsid w:val="001F05B2"/>
    <w:rsid w:val="001F0B14"/>
    <w:rsid w:val="001F307D"/>
    <w:rsid w:val="001F6BAF"/>
    <w:rsid w:val="001F70CB"/>
    <w:rsid w:val="001F7D84"/>
    <w:rsid w:val="0020236C"/>
    <w:rsid w:val="00203669"/>
    <w:rsid w:val="0020422D"/>
    <w:rsid w:val="0020748B"/>
    <w:rsid w:val="002076C1"/>
    <w:rsid w:val="0021066E"/>
    <w:rsid w:val="00211E6E"/>
    <w:rsid w:val="0021449B"/>
    <w:rsid w:val="002176E6"/>
    <w:rsid w:val="00217FB7"/>
    <w:rsid w:val="002277A9"/>
    <w:rsid w:val="00233BFA"/>
    <w:rsid w:val="002430A6"/>
    <w:rsid w:val="00244EA0"/>
    <w:rsid w:val="00245939"/>
    <w:rsid w:val="00245CCF"/>
    <w:rsid w:val="00247E97"/>
    <w:rsid w:val="00253354"/>
    <w:rsid w:val="00256104"/>
    <w:rsid w:val="0025798B"/>
    <w:rsid w:val="00260FCE"/>
    <w:rsid w:val="00272B26"/>
    <w:rsid w:val="00274B60"/>
    <w:rsid w:val="0027796D"/>
    <w:rsid w:val="00281C3A"/>
    <w:rsid w:val="00283EEC"/>
    <w:rsid w:val="00284FCB"/>
    <w:rsid w:val="002863EE"/>
    <w:rsid w:val="00292C54"/>
    <w:rsid w:val="00294E2B"/>
    <w:rsid w:val="00295707"/>
    <w:rsid w:val="0029651B"/>
    <w:rsid w:val="00297F04"/>
    <w:rsid w:val="002A13B8"/>
    <w:rsid w:val="002A321B"/>
    <w:rsid w:val="002A43D3"/>
    <w:rsid w:val="002A4CCF"/>
    <w:rsid w:val="002B1433"/>
    <w:rsid w:val="002C0A6F"/>
    <w:rsid w:val="002C61C4"/>
    <w:rsid w:val="002E0FB9"/>
    <w:rsid w:val="002E196B"/>
    <w:rsid w:val="002E235D"/>
    <w:rsid w:val="002E61A4"/>
    <w:rsid w:val="002F03C1"/>
    <w:rsid w:val="002F1EA6"/>
    <w:rsid w:val="002F2519"/>
    <w:rsid w:val="002F7058"/>
    <w:rsid w:val="00300CE3"/>
    <w:rsid w:val="00302003"/>
    <w:rsid w:val="0030609E"/>
    <w:rsid w:val="00311CCC"/>
    <w:rsid w:val="00315A88"/>
    <w:rsid w:val="00321703"/>
    <w:rsid w:val="003228FE"/>
    <w:rsid w:val="00323640"/>
    <w:rsid w:val="00323B33"/>
    <w:rsid w:val="00326BCA"/>
    <w:rsid w:val="003305FD"/>
    <w:rsid w:val="003332D7"/>
    <w:rsid w:val="0033526A"/>
    <w:rsid w:val="00335DB9"/>
    <w:rsid w:val="00340039"/>
    <w:rsid w:val="00341FB6"/>
    <w:rsid w:val="0034562C"/>
    <w:rsid w:val="003464B5"/>
    <w:rsid w:val="003521D4"/>
    <w:rsid w:val="003562F2"/>
    <w:rsid w:val="0035665E"/>
    <w:rsid w:val="00356941"/>
    <w:rsid w:val="00360FC1"/>
    <w:rsid w:val="00364E66"/>
    <w:rsid w:val="003717D9"/>
    <w:rsid w:val="0037307C"/>
    <w:rsid w:val="00374171"/>
    <w:rsid w:val="00376C47"/>
    <w:rsid w:val="003868BE"/>
    <w:rsid w:val="003872BA"/>
    <w:rsid w:val="003919AF"/>
    <w:rsid w:val="0039262A"/>
    <w:rsid w:val="0039263D"/>
    <w:rsid w:val="003933E0"/>
    <w:rsid w:val="0039464A"/>
    <w:rsid w:val="003A1033"/>
    <w:rsid w:val="003A13E7"/>
    <w:rsid w:val="003A2701"/>
    <w:rsid w:val="003B0AF0"/>
    <w:rsid w:val="003B16DA"/>
    <w:rsid w:val="003B483E"/>
    <w:rsid w:val="003B4FAD"/>
    <w:rsid w:val="003B6F13"/>
    <w:rsid w:val="003C0C6B"/>
    <w:rsid w:val="003C2357"/>
    <w:rsid w:val="003C53DF"/>
    <w:rsid w:val="003C5439"/>
    <w:rsid w:val="003C77EC"/>
    <w:rsid w:val="003D4B3E"/>
    <w:rsid w:val="003E3628"/>
    <w:rsid w:val="003E67CB"/>
    <w:rsid w:val="00405178"/>
    <w:rsid w:val="00410685"/>
    <w:rsid w:val="004114E3"/>
    <w:rsid w:val="00411DA0"/>
    <w:rsid w:val="004123B7"/>
    <w:rsid w:val="00413E96"/>
    <w:rsid w:val="00417F52"/>
    <w:rsid w:val="00422C0F"/>
    <w:rsid w:val="004344C1"/>
    <w:rsid w:val="0043723F"/>
    <w:rsid w:val="0044288E"/>
    <w:rsid w:val="0044735D"/>
    <w:rsid w:val="00447C53"/>
    <w:rsid w:val="00447F3A"/>
    <w:rsid w:val="0047599D"/>
    <w:rsid w:val="004811AA"/>
    <w:rsid w:val="004936C6"/>
    <w:rsid w:val="00496394"/>
    <w:rsid w:val="00496843"/>
    <w:rsid w:val="004A209D"/>
    <w:rsid w:val="004A218B"/>
    <w:rsid w:val="004A3651"/>
    <w:rsid w:val="004C16BC"/>
    <w:rsid w:val="004C3402"/>
    <w:rsid w:val="004C5523"/>
    <w:rsid w:val="004C752A"/>
    <w:rsid w:val="004D19CA"/>
    <w:rsid w:val="004D475E"/>
    <w:rsid w:val="004D71B6"/>
    <w:rsid w:val="004E37E9"/>
    <w:rsid w:val="004E3AA1"/>
    <w:rsid w:val="004E5BF6"/>
    <w:rsid w:val="004E7227"/>
    <w:rsid w:val="004F09D0"/>
    <w:rsid w:val="004F149F"/>
    <w:rsid w:val="004F14FF"/>
    <w:rsid w:val="004F435A"/>
    <w:rsid w:val="004F4548"/>
    <w:rsid w:val="004F5997"/>
    <w:rsid w:val="00501C89"/>
    <w:rsid w:val="00501E99"/>
    <w:rsid w:val="0050244E"/>
    <w:rsid w:val="00502A14"/>
    <w:rsid w:val="005040B8"/>
    <w:rsid w:val="00510E2A"/>
    <w:rsid w:val="00512166"/>
    <w:rsid w:val="00512833"/>
    <w:rsid w:val="00514B1F"/>
    <w:rsid w:val="00515404"/>
    <w:rsid w:val="0051711F"/>
    <w:rsid w:val="005207B4"/>
    <w:rsid w:val="00522237"/>
    <w:rsid w:val="0052276C"/>
    <w:rsid w:val="00525D7F"/>
    <w:rsid w:val="005303EE"/>
    <w:rsid w:val="00531432"/>
    <w:rsid w:val="00537780"/>
    <w:rsid w:val="00541C9B"/>
    <w:rsid w:val="00552B57"/>
    <w:rsid w:val="005636A2"/>
    <w:rsid w:val="00564CB1"/>
    <w:rsid w:val="00565BE2"/>
    <w:rsid w:val="00570758"/>
    <w:rsid w:val="00570D58"/>
    <w:rsid w:val="0057372B"/>
    <w:rsid w:val="00573E81"/>
    <w:rsid w:val="00576BBC"/>
    <w:rsid w:val="00583382"/>
    <w:rsid w:val="005840CF"/>
    <w:rsid w:val="0058532B"/>
    <w:rsid w:val="00586250"/>
    <w:rsid w:val="0059365E"/>
    <w:rsid w:val="00593DB6"/>
    <w:rsid w:val="00594843"/>
    <w:rsid w:val="005952AA"/>
    <w:rsid w:val="005A0BD1"/>
    <w:rsid w:val="005A28D5"/>
    <w:rsid w:val="005A603A"/>
    <w:rsid w:val="005C277E"/>
    <w:rsid w:val="005C35F7"/>
    <w:rsid w:val="005C48EF"/>
    <w:rsid w:val="005C737E"/>
    <w:rsid w:val="005D0452"/>
    <w:rsid w:val="005D19E1"/>
    <w:rsid w:val="005D5792"/>
    <w:rsid w:val="005E041B"/>
    <w:rsid w:val="005E3AC0"/>
    <w:rsid w:val="005E4764"/>
    <w:rsid w:val="005E4BD8"/>
    <w:rsid w:val="00605671"/>
    <w:rsid w:val="00610B4F"/>
    <w:rsid w:val="0061319B"/>
    <w:rsid w:val="00614923"/>
    <w:rsid w:val="00616D8C"/>
    <w:rsid w:val="0062505E"/>
    <w:rsid w:val="006253FC"/>
    <w:rsid w:val="00626315"/>
    <w:rsid w:val="00631654"/>
    <w:rsid w:val="0063320E"/>
    <w:rsid w:val="006355D5"/>
    <w:rsid w:val="00635885"/>
    <w:rsid w:val="00635C2B"/>
    <w:rsid w:val="006364BD"/>
    <w:rsid w:val="00636D48"/>
    <w:rsid w:val="0064039C"/>
    <w:rsid w:val="00640FA6"/>
    <w:rsid w:val="006434C3"/>
    <w:rsid w:val="00644BD0"/>
    <w:rsid w:val="0064618F"/>
    <w:rsid w:val="00647B30"/>
    <w:rsid w:val="00650706"/>
    <w:rsid w:val="00651A2B"/>
    <w:rsid w:val="006527C6"/>
    <w:rsid w:val="00652973"/>
    <w:rsid w:val="006537C9"/>
    <w:rsid w:val="0065480C"/>
    <w:rsid w:val="00655E46"/>
    <w:rsid w:val="00660257"/>
    <w:rsid w:val="006615C7"/>
    <w:rsid w:val="00661DE2"/>
    <w:rsid w:val="00662731"/>
    <w:rsid w:val="00662B2A"/>
    <w:rsid w:val="006660DF"/>
    <w:rsid w:val="006705CF"/>
    <w:rsid w:val="0067529C"/>
    <w:rsid w:val="006763F5"/>
    <w:rsid w:val="0067712D"/>
    <w:rsid w:val="00677683"/>
    <w:rsid w:val="006807BD"/>
    <w:rsid w:val="0068154E"/>
    <w:rsid w:val="00682C97"/>
    <w:rsid w:val="00684180"/>
    <w:rsid w:val="00685693"/>
    <w:rsid w:val="00693A45"/>
    <w:rsid w:val="00696A48"/>
    <w:rsid w:val="006A5788"/>
    <w:rsid w:val="006A68AE"/>
    <w:rsid w:val="006A76CD"/>
    <w:rsid w:val="006A7C95"/>
    <w:rsid w:val="006B64F4"/>
    <w:rsid w:val="006C04B3"/>
    <w:rsid w:val="006C5DA9"/>
    <w:rsid w:val="006C7D00"/>
    <w:rsid w:val="006D5082"/>
    <w:rsid w:val="006E0BF2"/>
    <w:rsid w:val="006E0E07"/>
    <w:rsid w:val="006E1424"/>
    <w:rsid w:val="006F1E22"/>
    <w:rsid w:val="006F37DD"/>
    <w:rsid w:val="006F709E"/>
    <w:rsid w:val="00702482"/>
    <w:rsid w:val="007037A4"/>
    <w:rsid w:val="0070559A"/>
    <w:rsid w:val="00711515"/>
    <w:rsid w:val="0071717E"/>
    <w:rsid w:val="007244EA"/>
    <w:rsid w:val="00731210"/>
    <w:rsid w:val="00731EC8"/>
    <w:rsid w:val="007348C6"/>
    <w:rsid w:val="00736E9F"/>
    <w:rsid w:val="00741E42"/>
    <w:rsid w:val="00746475"/>
    <w:rsid w:val="0075186A"/>
    <w:rsid w:val="00763BCA"/>
    <w:rsid w:val="00764182"/>
    <w:rsid w:val="007655B7"/>
    <w:rsid w:val="00765D82"/>
    <w:rsid w:val="00766B2F"/>
    <w:rsid w:val="0076714D"/>
    <w:rsid w:val="0076774E"/>
    <w:rsid w:val="00767B3B"/>
    <w:rsid w:val="0077424D"/>
    <w:rsid w:val="00776B55"/>
    <w:rsid w:val="00780A79"/>
    <w:rsid w:val="00783F44"/>
    <w:rsid w:val="007936A8"/>
    <w:rsid w:val="007941BC"/>
    <w:rsid w:val="00796548"/>
    <w:rsid w:val="007A127C"/>
    <w:rsid w:val="007A62F6"/>
    <w:rsid w:val="007B0866"/>
    <w:rsid w:val="007B65C2"/>
    <w:rsid w:val="007B75E6"/>
    <w:rsid w:val="007C13EC"/>
    <w:rsid w:val="007C2493"/>
    <w:rsid w:val="007C3A51"/>
    <w:rsid w:val="007C50A7"/>
    <w:rsid w:val="007C58C7"/>
    <w:rsid w:val="007C5B1B"/>
    <w:rsid w:val="007C6984"/>
    <w:rsid w:val="007D0A29"/>
    <w:rsid w:val="007D4B40"/>
    <w:rsid w:val="007E2C8C"/>
    <w:rsid w:val="007F4254"/>
    <w:rsid w:val="007F6702"/>
    <w:rsid w:val="00800760"/>
    <w:rsid w:val="0080262C"/>
    <w:rsid w:val="0080548E"/>
    <w:rsid w:val="0080582C"/>
    <w:rsid w:val="00806997"/>
    <w:rsid w:val="00806C1C"/>
    <w:rsid w:val="00806DF3"/>
    <w:rsid w:val="00807D75"/>
    <w:rsid w:val="008111EE"/>
    <w:rsid w:val="00821F91"/>
    <w:rsid w:val="008238F1"/>
    <w:rsid w:val="00825059"/>
    <w:rsid w:val="00826757"/>
    <w:rsid w:val="0082724D"/>
    <w:rsid w:val="008335A9"/>
    <w:rsid w:val="00836245"/>
    <w:rsid w:val="00844013"/>
    <w:rsid w:val="0084406D"/>
    <w:rsid w:val="00844220"/>
    <w:rsid w:val="008452C7"/>
    <w:rsid w:val="00853259"/>
    <w:rsid w:val="00855C1C"/>
    <w:rsid w:val="00870B21"/>
    <w:rsid w:val="008717C3"/>
    <w:rsid w:val="0087694A"/>
    <w:rsid w:val="008810D8"/>
    <w:rsid w:val="00884BBC"/>
    <w:rsid w:val="00885A3B"/>
    <w:rsid w:val="00887531"/>
    <w:rsid w:val="008940DD"/>
    <w:rsid w:val="00897152"/>
    <w:rsid w:val="008972A8"/>
    <w:rsid w:val="008A0A5C"/>
    <w:rsid w:val="008A13E3"/>
    <w:rsid w:val="008A3DE7"/>
    <w:rsid w:val="008B1481"/>
    <w:rsid w:val="008B6E5B"/>
    <w:rsid w:val="008C0A74"/>
    <w:rsid w:val="008D5BDA"/>
    <w:rsid w:val="008D5F0B"/>
    <w:rsid w:val="008E1643"/>
    <w:rsid w:val="008E4E5F"/>
    <w:rsid w:val="008E517C"/>
    <w:rsid w:val="008F20BA"/>
    <w:rsid w:val="00901F3F"/>
    <w:rsid w:val="009040AC"/>
    <w:rsid w:val="009047C4"/>
    <w:rsid w:val="009058B5"/>
    <w:rsid w:val="00906D84"/>
    <w:rsid w:val="00906F99"/>
    <w:rsid w:val="00910C88"/>
    <w:rsid w:val="00911E1B"/>
    <w:rsid w:val="00912D6F"/>
    <w:rsid w:val="00916D4A"/>
    <w:rsid w:val="00920C81"/>
    <w:rsid w:val="00925756"/>
    <w:rsid w:val="00933317"/>
    <w:rsid w:val="00936868"/>
    <w:rsid w:val="00943850"/>
    <w:rsid w:val="00951AB2"/>
    <w:rsid w:val="009523A6"/>
    <w:rsid w:val="009525E8"/>
    <w:rsid w:val="009538E6"/>
    <w:rsid w:val="00960F71"/>
    <w:rsid w:val="00963952"/>
    <w:rsid w:val="00966E30"/>
    <w:rsid w:val="00967653"/>
    <w:rsid w:val="009704E4"/>
    <w:rsid w:val="00970C65"/>
    <w:rsid w:val="0097477A"/>
    <w:rsid w:val="009775C7"/>
    <w:rsid w:val="00980EC2"/>
    <w:rsid w:val="00982486"/>
    <w:rsid w:val="009874A1"/>
    <w:rsid w:val="00990BEE"/>
    <w:rsid w:val="009912EA"/>
    <w:rsid w:val="009951D9"/>
    <w:rsid w:val="00996412"/>
    <w:rsid w:val="00996DE8"/>
    <w:rsid w:val="009977F7"/>
    <w:rsid w:val="009A02A1"/>
    <w:rsid w:val="009A07DE"/>
    <w:rsid w:val="009A0F4C"/>
    <w:rsid w:val="009A1BF5"/>
    <w:rsid w:val="009A2AF7"/>
    <w:rsid w:val="009A448C"/>
    <w:rsid w:val="009A4E14"/>
    <w:rsid w:val="009A59E2"/>
    <w:rsid w:val="009B07A4"/>
    <w:rsid w:val="009B08AB"/>
    <w:rsid w:val="009B0A8D"/>
    <w:rsid w:val="009B173A"/>
    <w:rsid w:val="009B6322"/>
    <w:rsid w:val="009B65CC"/>
    <w:rsid w:val="009B7BE8"/>
    <w:rsid w:val="009C01D8"/>
    <w:rsid w:val="009C095F"/>
    <w:rsid w:val="009C10AD"/>
    <w:rsid w:val="009C22BE"/>
    <w:rsid w:val="009C4E77"/>
    <w:rsid w:val="009D28A7"/>
    <w:rsid w:val="009D6561"/>
    <w:rsid w:val="009E220B"/>
    <w:rsid w:val="009E231A"/>
    <w:rsid w:val="009E2BAB"/>
    <w:rsid w:val="009E2F64"/>
    <w:rsid w:val="009E4EF6"/>
    <w:rsid w:val="009F1663"/>
    <w:rsid w:val="009F16D7"/>
    <w:rsid w:val="009F62F1"/>
    <w:rsid w:val="00A00122"/>
    <w:rsid w:val="00A10B92"/>
    <w:rsid w:val="00A10E2B"/>
    <w:rsid w:val="00A12F69"/>
    <w:rsid w:val="00A151CB"/>
    <w:rsid w:val="00A22406"/>
    <w:rsid w:val="00A30084"/>
    <w:rsid w:val="00A328E9"/>
    <w:rsid w:val="00A34FFA"/>
    <w:rsid w:val="00A43177"/>
    <w:rsid w:val="00A43814"/>
    <w:rsid w:val="00A470EA"/>
    <w:rsid w:val="00A506A5"/>
    <w:rsid w:val="00A50895"/>
    <w:rsid w:val="00A52EFC"/>
    <w:rsid w:val="00A54A85"/>
    <w:rsid w:val="00A60B94"/>
    <w:rsid w:val="00A61E8E"/>
    <w:rsid w:val="00A66FD7"/>
    <w:rsid w:val="00A67F2C"/>
    <w:rsid w:val="00A73318"/>
    <w:rsid w:val="00A76472"/>
    <w:rsid w:val="00A83180"/>
    <w:rsid w:val="00A9062E"/>
    <w:rsid w:val="00AA44D4"/>
    <w:rsid w:val="00AA62EB"/>
    <w:rsid w:val="00AB07C7"/>
    <w:rsid w:val="00AB7D27"/>
    <w:rsid w:val="00AC0C5E"/>
    <w:rsid w:val="00AC1D9C"/>
    <w:rsid w:val="00AC280A"/>
    <w:rsid w:val="00AC5066"/>
    <w:rsid w:val="00AD1238"/>
    <w:rsid w:val="00AD1712"/>
    <w:rsid w:val="00AD1DD5"/>
    <w:rsid w:val="00AD5ADE"/>
    <w:rsid w:val="00AD5AFA"/>
    <w:rsid w:val="00AD6E4C"/>
    <w:rsid w:val="00AE2B53"/>
    <w:rsid w:val="00AE3B15"/>
    <w:rsid w:val="00AE5E68"/>
    <w:rsid w:val="00AE6E88"/>
    <w:rsid w:val="00AF0F47"/>
    <w:rsid w:val="00AF1005"/>
    <w:rsid w:val="00AF50D8"/>
    <w:rsid w:val="00B01C59"/>
    <w:rsid w:val="00B03C63"/>
    <w:rsid w:val="00B0464A"/>
    <w:rsid w:val="00B07694"/>
    <w:rsid w:val="00B10AA7"/>
    <w:rsid w:val="00B12794"/>
    <w:rsid w:val="00B131F5"/>
    <w:rsid w:val="00B15E84"/>
    <w:rsid w:val="00B22DB6"/>
    <w:rsid w:val="00B23AC7"/>
    <w:rsid w:val="00B269C2"/>
    <w:rsid w:val="00B337D7"/>
    <w:rsid w:val="00B369C2"/>
    <w:rsid w:val="00B4125D"/>
    <w:rsid w:val="00B41272"/>
    <w:rsid w:val="00B43B1D"/>
    <w:rsid w:val="00B440DE"/>
    <w:rsid w:val="00B4489B"/>
    <w:rsid w:val="00B52AF5"/>
    <w:rsid w:val="00B62FA8"/>
    <w:rsid w:val="00B65D48"/>
    <w:rsid w:val="00B66E95"/>
    <w:rsid w:val="00B67CE8"/>
    <w:rsid w:val="00B817FC"/>
    <w:rsid w:val="00B84408"/>
    <w:rsid w:val="00B85937"/>
    <w:rsid w:val="00B86D06"/>
    <w:rsid w:val="00B87C8C"/>
    <w:rsid w:val="00B902AA"/>
    <w:rsid w:val="00B90B97"/>
    <w:rsid w:val="00B928E2"/>
    <w:rsid w:val="00B93C4C"/>
    <w:rsid w:val="00B97EEC"/>
    <w:rsid w:val="00BA1892"/>
    <w:rsid w:val="00BA48F9"/>
    <w:rsid w:val="00BA52F4"/>
    <w:rsid w:val="00BA55E4"/>
    <w:rsid w:val="00BA5FCD"/>
    <w:rsid w:val="00BB2262"/>
    <w:rsid w:val="00BB551D"/>
    <w:rsid w:val="00BB5951"/>
    <w:rsid w:val="00BC1308"/>
    <w:rsid w:val="00BC31AF"/>
    <w:rsid w:val="00BD5687"/>
    <w:rsid w:val="00BD73F0"/>
    <w:rsid w:val="00BE0F5B"/>
    <w:rsid w:val="00BE19D9"/>
    <w:rsid w:val="00BE1B10"/>
    <w:rsid w:val="00BE1C7A"/>
    <w:rsid w:val="00BE4397"/>
    <w:rsid w:val="00BE43C7"/>
    <w:rsid w:val="00BF252F"/>
    <w:rsid w:val="00BF352C"/>
    <w:rsid w:val="00BF405C"/>
    <w:rsid w:val="00BF52EA"/>
    <w:rsid w:val="00BF656E"/>
    <w:rsid w:val="00BF690E"/>
    <w:rsid w:val="00BF72F9"/>
    <w:rsid w:val="00C01E49"/>
    <w:rsid w:val="00C02951"/>
    <w:rsid w:val="00C053D5"/>
    <w:rsid w:val="00C070A5"/>
    <w:rsid w:val="00C11F48"/>
    <w:rsid w:val="00C244B4"/>
    <w:rsid w:val="00C27160"/>
    <w:rsid w:val="00C40C05"/>
    <w:rsid w:val="00C45101"/>
    <w:rsid w:val="00C5018D"/>
    <w:rsid w:val="00C50197"/>
    <w:rsid w:val="00C54125"/>
    <w:rsid w:val="00C56874"/>
    <w:rsid w:val="00C61ED6"/>
    <w:rsid w:val="00C62F3B"/>
    <w:rsid w:val="00C63294"/>
    <w:rsid w:val="00C71317"/>
    <w:rsid w:val="00C722EA"/>
    <w:rsid w:val="00C74DB7"/>
    <w:rsid w:val="00C77DC6"/>
    <w:rsid w:val="00C810E0"/>
    <w:rsid w:val="00C86629"/>
    <w:rsid w:val="00C90CF6"/>
    <w:rsid w:val="00C926F0"/>
    <w:rsid w:val="00C96F87"/>
    <w:rsid w:val="00C9762F"/>
    <w:rsid w:val="00CA0990"/>
    <w:rsid w:val="00CA1F65"/>
    <w:rsid w:val="00CA38C8"/>
    <w:rsid w:val="00CA5F4C"/>
    <w:rsid w:val="00CA62A5"/>
    <w:rsid w:val="00CA7E9D"/>
    <w:rsid w:val="00CB044E"/>
    <w:rsid w:val="00CB30C8"/>
    <w:rsid w:val="00CB35DD"/>
    <w:rsid w:val="00CB3780"/>
    <w:rsid w:val="00CB45A0"/>
    <w:rsid w:val="00CB4781"/>
    <w:rsid w:val="00CB4D33"/>
    <w:rsid w:val="00CB6401"/>
    <w:rsid w:val="00CB724C"/>
    <w:rsid w:val="00CC2400"/>
    <w:rsid w:val="00CC2A11"/>
    <w:rsid w:val="00CD3008"/>
    <w:rsid w:val="00CD495A"/>
    <w:rsid w:val="00CD4B95"/>
    <w:rsid w:val="00CD5F32"/>
    <w:rsid w:val="00CD6134"/>
    <w:rsid w:val="00CE2CB3"/>
    <w:rsid w:val="00CF015B"/>
    <w:rsid w:val="00CF509C"/>
    <w:rsid w:val="00D056F3"/>
    <w:rsid w:val="00D05A37"/>
    <w:rsid w:val="00D05EB6"/>
    <w:rsid w:val="00D20C0B"/>
    <w:rsid w:val="00D457F3"/>
    <w:rsid w:val="00D45F8C"/>
    <w:rsid w:val="00D472EA"/>
    <w:rsid w:val="00D53031"/>
    <w:rsid w:val="00D5487F"/>
    <w:rsid w:val="00D560D1"/>
    <w:rsid w:val="00D56BDA"/>
    <w:rsid w:val="00D57A76"/>
    <w:rsid w:val="00D60536"/>
    <w:rsid w:val="00D62A2B"/>
    <w:rsid w:val="00D639D0"/>
    <w:rsid w:val="00D677BE"/>
    <w:rsid w:val="00D7188C"/>
    <w:rsid w:val="00D96579"/>
    <w:rsid w:val="00DA1405"/>
    <w:rsid w:val="00DA7741"/>
    <w:rsid w:val="00DB54C9"/>
    <w:rsid w:val="00DB599C"/>
    <w:rsid w:val="00DC1E64"/>
    <w:rsid w:val="00DC4418"/>
    <w:rsid w:val="00DC5F5C"/>
    <w:rsid w:val="00DE06A7"/>
    <w:rsid w:val="00DE0D67"/>
    <w:rsid w:val="00DE3B0F"/>
    <w:rsid w:val="00DE419A"/>
    <w:rsid w:val="00DE5CE6"/>
    <w:rsid w:val="00DE6870"/>
    <w:rsid w:val="00DF0AB9"/>
    <w:rsid w:val="00DF2B88"/>
    <w:rsid w:val="00E0277B"/>
    <w:rsid w:val="00E027D9"/>
    <w:rsid w:val="00E0486C"/>
    <w:rsid w:val="00E06B95"/>
    <w:rsid w:val="00E123CB"/>
    <w:rsid w:val="00E14F86"/>
    <w:rsid w:val="00E17A90"/>
    <w:rsid w:val="00E22DFC"/>
    <w:rsid w:val="00E24483"/>
    <w:rsid w:val="00E245B0"/>
    <w:rsid w:val="00E30E62"/>
    <w:rsid w:val="00E365F8"/>
    <w:rsid w:val="00E43CA1"/>
    <w:rsid w:val="00E450FA"/>
    <w:rsid w:val="00E45672"/>
    <w:rsid w:val="00E513F9"/>
    <w:rsid w:val="00E52313"/>
    <w:rsid w:val="00E54A59"/>
    <w:rsid w:val="00E56EC1"/>
    <w:rsid w:val="00E61875"/>
    <w:rsid w:val="00E62ACB"/>
    <w:rsid w:val="00E6350D"/>
    <w:rsid w:val="00E654C4"/>
    <w:rsid w:val="00E7735D"/>
    <w:rsid w:val="00E811C3"/>
    <w:rsid w:val="00E81A91"/>
    <w:rsid w:val="00E8324F"/>
    <w:rsid w:val="00E83317"/>
    <w:rsid w:val="00E835B7"/>
    <w:rsid w:val="00E83824"/>
    <w:rsid w:val="00E877F0"/>
    <w:rsid w:val="00E90C55"/>
    <w:rsid w:val="00E95948"/>
    <w:rsid w:val="00EA1E84"/>
    <w:rsid w:val="00EA5E57"/>
    <w:rsid w:val="00EB0AD7"/>
    <w:rsid w:val="00EB2C5F"/>
    <w:rsid w:val="00EB2F09"/>
    <w:rsid w:val="00EC0F62"/>
    <w:rsid w:val="00EC23B4"/>
    <w:rsid w:val="00EC2586"/>
    <w:rsid w:val="00ED01AC"/>
    <w:rsid w:val="00ED7354"/>
    <w:rsid w:val="00EE1823"/>
    <w:rsid w:val="00EE33BA"/>
    <w:rsid w:val="00EE42D9"/>
    <w:rsid w:val="00EE614D"/>
    <w:rsid w:val="00EE62E2"/>
    <w:rsid w:val="00EF41F7"/>
    <w:rsid w:val="00EF54A1"/>
    <w:rsid w:val="00EF7CC0"/>
    <w:rsid w:val="00F03B7F"/>
    <w:rsid w:val="00F07108"/>
    <w:rsid w:val="00F13564"/>
    <w:rsid w:val="00F22E05"/>
    <w:rsid w:val="00F238D0"/>
    <w:rsid w:val="00F24142"/>
    <w:rsid w:val="00F32034"/>
    <w:rsid w:val="00F35A27"/>
    <w:rsid w:val="00F36013"/>
    <w:rsid w:val="00F423AD"/>
    <w:rsid w:val="00F45253"/>
    <w:rsid w:val="00F47E0F"/>
    <w:rsid w:val="00F53818"/>
    <w:rsid w:val="00F6077E"/>
    <w:rsid w:val="00F6256C"/>
    <w:rsid w:val="00F62B33"/>
    <w:rsid w:val="00F63742"/>
    <w:rsid w:val="00F64820"/>
    <w:rsid w:val="00F67DF6"/>
    <w:rsid w:val="00F70DCC"/>
    <w:rsid w:val="00F70F1E"/>
    <w:rsid w:val="00F72DDD"/>
    <w:rsid w:val="00F7424D"/>
    <w:rsid w:val="00F82236"/>
    <w:rsid w:val="00F9545E"/>
    <w:rsid w:val="00F95B70"/>
    <w:rsid w:val="00FA225B"/>
    <w:rsid w:val="00FA2B66"/>
    <w:rsid w:val="00FA448D"/>
    <w:rsid w:val="00FA79F7"/>
    <w:rsid w:val="00FB5304"/>
    <w:rsid w:val="00FC376A"/>
    <w:rsid w:val="00FC7F46"/>
    <w:rsid w:val="00FD010B"/>
    <w:rsid w:val="00FD019C"/>
    <w:rsid w:val="00FD0A6B"/>
    <w:rsid w:val="00FD279C"/>
    <w:rsid w:val="00FD2F58"/>
    <w:rsid w:val="00FD35C6"/>
    <w:rsid w:val="00FD4577"/>
    <w:rsid w:val="00FD542B"/>
    <w:rsid w:val="00FD595B"/>
    <w:rsid w:val="00FD7C62"/>
    <w:rsid w:val="00FE3F74"/>
    <w:rsid w:val="00FE4A2D"/>
    <w:rsid w:val="00FE4BCB"/>
    <w:rsid w:val="00FE5347"/>
    <w:rsid w:val="00FE5687"/>
    <w:rsid w:val="00FF0357"/>
    <w:rsid w:val="00FF5931"/>
    <w:rsid w:val="00FF78B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9">
      <o:colormru v:ext="edit" colors="#ffc425"/>
      <o:colormenu v:ext="edit" fillcolor="#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1D5855"/>
    <w:pPr>
      <w:spacing w:before="160" w:line="260" w:lineRule="exact"/>
    </w:pPr>
    <w:rPr>
      <w:rFonts w:ascii="Trebuchet MS" w:hAnsi="Trebuchet MS"/>
      <w:sz w:val="19"/>
      <w:lang w:val="en-AU"/>
    </w:rPr>
  </w:style>
  <w:style w:type="paragraph" w:styleId="Heading1">
    <w:name w:val="heading 1"/>
    <w:next w:val="Text"/>
    <w:link w:val="Heading1Char"/>
    <w:qFormat/>
    <w:rsid w:val="00514B1F"/>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514B1F"/>
    <w:pPr>
      <w:keepNext/>
      <w:spacing w:before="360"/>
      <w:ind w:right="-369"/>
      <w:outlineLvl w:val="1"/>
    </w:pPr>
    <w:rPr>
      <w:rFonts w:ascii="Tahoma" w:hAnsi="Tahoma" w:cs="Tahoma"/>
      <w:sz w:val="28"/>
      <w:lang w:val="en-AU"/>
    </w:rPr>
  </w:style>
  <w:style w:type="paragraph" w:styleId="Heading3">
    <w:name w:val="heading 3"/>
    <w:next w:val="Text"/>
    <w:link w:val="Heading3Char"/>
    <w:qFormat/>
    <w:rsid w:val="00514B1F"/>
    <w:pPr>
      <w:spacing w:before="280" w:line="320" w:lineRule="exact"/>
      <w:outlineLvl w:val="2"/>
    </w:pPr>
    <w:rPr>
      <w:rFonts w:ascii="Tahoma" w:hAnsi="Tahoma" w:cs="Tahoma"/>
      <w:color w:val="000000"/>
      <w:sz w:val="24"/>
      <w:lang w:val="en-AU"/>
    </w:rPr>
  </w:style>
  <w:style w:type="paragraph" w:styleId="Heading4">
    <w:name w:val="heading 4"/>
    <w:next w:val="Text"/>
    <w:qFormat/>
    <w:rsid w:val="00514B1F"/>
    <w:pPr>
      <w:spacing w:before="240"/>
      <w:outlineLvl w:val="3"/>
    </w:pPr>
    <w:rPr>
      <w:rFonts w:ascii="Tahoma" w:hAnsi="Tahoma"/>
      <w:i/>
      <w:sz w:val="22"/>
      <w:lang w:val="en-AU"/>
    </w:rPr>
  </w:style>
  <w:style w:type="paragraph" w:styleId="Heading5">
    <w:name w:val="heading 5"/>
    <w:basedOn w:val="Normal"/>
    <w:next w:val="Normal"/>
    <w:qFormat/>
    <w:rsid w:val="00514B1F"/>
    <w:pPr>
      <w:keepNext/>
      <w:outlineLvl w:val="4"/>
    </w:pPr>
    <w:rPr>
      <w:rFonts w:ascii="Tahoma" w:hAnsi="Tahoma"/>
      <w:b/>
    </w:rPr>
  </w:style>
  <w:style w:type="paragraph" w:styleId="Heading6">
    <w:name w:val="heading 6"/>
    <w:basedOn w:val="Normal"/>
    <w:next w:val="Normal"/>
    <w:qFormat/>
    <w:rsid w:val="00514B1F"/>
    <w:pPr>
      <w:keepNext/>
      <w:ind w:left="2977"/>
      <w:outlineLvl w:val="5"/>
    </w:pPr>
    <w:rPr>
      <w:rFonts w:ascii="Tahoma" w:hAnsi="Tahoma"/>
      <w:sz w:val="20"/>
    </w:rPr>
  </w:style>
  <w:style w:type="paragraph" w:styleId="Heading7">
    <w:name w:val="heading 7"/>
    <w:basedOn w:val="Normal"/>
    <w:next w:val="Normal"/>
    <w:qFormat/>
    <w:rsid w:val="00514B1F"/>
    <w:pPr>
      <w:keepNext/>
      <w:jc w:val="center"/>
      <w:outlineLvl w:val="6"/>
    </w:pPr>
    <w:rPr>
      <w:rFonts w:ascii="Tahoma" w:hAnsi="Tahoma"/>
      <w:spacing w:val="20"/>
      <w:sz w:val="20"/>
    </w:rPr>
  </w:style>
  <w:style w:type="paragraph" w:styleId="Heading8">
    <w:name w:val="heading 8"/>
    <w:basedOn w:val="Normal"/>
    <w:next w:val="Normal"/>
    <w:qFormat/>
    <w:rsid w:val="00514B1F"/>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14B1F"/>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0D0F23"/>
    <w:rPr>
      <w:rFonts w:ascii="Trebuchet MS" w:hAnsi="Trebuchet MS"/>
      <w:sz w:val="19"/>
      <w:lang w:val="en-AU"/>
    </w:rPr>
  </w:style>
  <w:style w:type="character" w:styleId="PageNumber">
    <w:name w:val="page number"/>
    <w:basedOn w:val="DefaultParagraphFont"/>
    <w:rsid w:val="00514B1F"/>
    <w:rPr>
      <w:rFonts w:ascii="Tahoma" w:hAnsi="Tahoma"/>
      <w:sz w:val="18"/>
    </w:rPr>
  </w:style>
  <w:style w:type="paragraph" w:styleId="Footer">
    <w:name w:val="footer"/>
    <w:basedOn w:val="Normal"/>
    <w:link w:val="FooterChar"/>
    <w:rsid w:val="00514B1F"/>
    <w:pPr>
      <w:tabs>
        <w:tab w:val="right" w:pos="8505"/>
      </w:tabs>
      <w:spacing w:before="0"/>
    </w:pPr>
    <w:rPr>
      <w:rFonts w:ascii="Tahoma" w:hAnsi="Tahoma"/>
      <w:sz w:val="17"/>
      <w:szCs w:val="17"/>
    </w:rPr>
  </w:style>
  <w:style w:type="paragraph" w:styleId="TOC1">
    <w:name w:val="toc 1"/>
    <w:uiPriority w:val="39"/>
    <w:rsid w:val="00514B1F"/>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514B1F"/>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514B1F"/>
    <w:pPr>
      <w:spacing w:before="360" w:after="80"/>
      <w:ind w:left="851" w:hanging="851"/>
    </w:pPr>
    <w:rPr>
      <w:rFonts w:ascii="Tahoma" w:hAnsi="Tahoma"/>
      <w:b/>
      <w:sz w:val="17"/>
      <w:lang w:val="en-AU"/>
    </w:rPr>
  </w:style>
  <w:style w:type="paragraph" w:customStyle="1" w:styleId="Tabletext">
    <w:name w:val="Table text"/>
    <w:next w:val="Text"/>
    <w:rsid w:val="00514B1F"/>
    <w:pPr>
      <w:spacing w:before="40" w:after="40"/>
    </w:pPr>
    <w:rPr>
      <w:rFonts w:ascii="Arial" w:hAnsi="Arial"/>
      <w:sz w:val="16"/>
      <w:lang w:val="en-AU"/>
    </w:rPr>
  </w:style>
  <w:style w:type="paragraph" w:customStyle="1" w:styleId="Tablehead1">
    <w:name w:val="Tablehead1"/>
    <w:rsid w:val="00514B1F"/>
    <w:pPr>
      <w:spacing w:before="80" w:after="80"/>
    </w:pPr>
    <w:rPr>
      <w:rFonts w:ascii="Arial" w:hAnsi="Arial"/>
      <w:b/>
      <w:sz w:val="17"/>
      <w:lang w:val="en-AU"/>
    </w:rPr>
  </w:style>
  <w:style w:type="paragraph" w:styleId="Quote">
    <w:name w:val="Quote"/>
    <w:basedOn w:val="Text"/>
    <w:qFormat/>
    <w:rsid w:val="00514B1F"/>
    <w:pPr>
      <w:tabs>
        <w:tab w:val="right" w:pos="7853"/>
      </w:tabs>
      <w:spacing w:before="80"/>
      <w:ind w:left="567" w:right="652"/>
    </w:pPr>
    <w:rPr>
      <w:sz w:val="17"/>
    </w:rPr>
  </w:style>
  <w:style w:type="paragraph" w:customStyle="1" w:styleId="References">
    <w:name w:val="References"/>
    <w:rsid w:val="00514B1F"/>
    <w:pPr>
      <w:spacing w:before="80"/>
      <w:ind w:left="284" w:right="-369" w:hanging="284"/>
    </w:pPr>
    <w:rPr>
      <w:rFonts w:ascii="Trebuchet MS" w:hAnsi="Trebuchet MS"/>
      <w:sz w:val="18"/>
      <w:lang w:val="en-AU"/>
    </w:rPr>
  </w:style>
  <w:style w:type="paragraph" w:customStyle="1" w:styleId="Tablehead2">
    <w:name w:val="Tablehead2"/>
    <w:basedOn w:val="Tablehead1"/>
    <w:rsid w:val="00514B1F"/>
    <w:pPr>
      <w:tabs>
        <w:tab w:val="left" w:pos="992"/>
      </w:tabs>
      <w:spacing w:before="20" w:after="20"/>
    </w:pPr>
    <w:rPr>
      <w:b w:val="0"/>
    </w:rPr>
  </w:style>
  <w:style w:type="paragraph" w:customStyle="1" w:styleId="Tablehead3">
    <w:name w:val="Tablehead3"/>
    <w:basedOn w:val="Tablehead2"/>
    <w:rsid w:val="00514B1F"/>
    <w:rPr>
      <w:i/>
    </w:rPr>
  </w:style>
  <w:style w:type="paragraph" w:styleId="TableofFigures">
    <w:name w:val="table of figures"/>
    <w:basedOn w:val="TOC1"/>
    <w:next w:val="Normal"/>
    <w:uiPriority w:val="99"/>
    <w:rsid w:val="00E7735D"/>
    <w:pPr>
      <w:spacing w:before="80"/>
      <w:ind w:left="425" w:right="1985" w:hanging="425"/>
    </w:pPr>
  </w:style>
  <w:style w:type="paragraph" w:customStyle="1" w:styleId="Imprint">
    <w:name w:val="Imprint"/>
    <w:basedOn w:val="Normal"/>
    <w:rsid w:val="00514B1F"/>
    <w:pPr>
      <w:spacing w:line="260" w:lineRule="atLeast"/>
    </w:pPr>
    <w:rPr>
      <w:sz w:val="16"/>
    </w:rPr>
  </w:style>
  <w:style w:type="paragraph" w:customStyle="1" w:styleId="Figuretitle">
    <w:name w:val="Figuretitle"/>
    <w:basedOn w:val="tabletitle"/>
    <w:rsid w:val="00514B1F"/>
  </w:style>
  <w:style w:type="paragraph" w:customStyle="1" w:styleId="Dotpoint1">
    <w:name w:val="Dotpoint1"/>
    <w:rsid w:val="00885A3B"/>
    <w:pPr>
      <w:numPr>
        <w:numId w:val="34"/>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14B1F"/>
    <w:pPr>
      <w:numPr>
        <w:numId w:val="35"/>
      </w:numPr>
      <w:tabs>
        <w:tab w:val="clear" w:pos="284"/>
        <w:tab w:val="left" w:pos="567"/>
      </w:tabs>
    </w:pPr>
  </w:style>
  <w:style w:type="paragraph" w:customStyle="1" w:styleId="NumberedListContinuing">
    <w:name w:val="NumberedListContinuing"/>
    <w:rsid w:val="00514B1F"/>
    <w:pPr>
      <w:numPr>
        <w:numId w:val="37"/>
      </w:numPr>
      <w:spacing w:before="80" w:line="300" w:lineRule="exact"/>
    </w:pPr>
    <w:rPr>
      <w:rFonts w:ascii="Trebuchet MS" w:hAnsi="Trebuchet MS"/>
      <w:sz w:val="19"/>
      <w:lang w:val="en-AU" w:eastAsia="en-AU"/>
    </w:rPr>
  </w:style>
  <w:style w:type="paragraph" w:customStyle="1" w:styleId="Source">
    <w:name w:val="Source"/>
    <w:rsid w:val="00514B1F"/>
    <w:pPr>
      <w:spacing w:before="40"/>
      <w:ind w:left="567" w:hanging="567"/>
    </w:pPr>
    <w:rPr>
      <w:rFonts w:ascii="Arial" w:hAnsi="Arial"/>
      <w:sz w:val="15"/>
      <w:lang w:val="en-AU"/>
    </w:rPr>
  </w:style>
  <w:style w:type="paragraph" w:styleId="FootnoteText">
    <w:name w:val="footnote text"/>
    <w:basedOn w:val="Text"/>
    <w:rsid w:val="00514B1F"/>
    <w:pPr>
      <w:tabs>
        <w:tab w:val="left" w:pos="170"/>
      </w:tabs>
      <w:spacing w:before="0" w:line="220" w:lineRule="exact"/>
      <w:ind w:left="170" w:right="0" w:hanging="170"/>
    </w:pPr>
    <w:rPr>
      <w:sz w:val="16"/>
    </w:rPr>
  </w:style>
  <w:style w:type="paragraph" w:styleId="NormalWeb">
    <w:name w:val="Normal (Web)"/>
    <w:basedOn w:val="Normal"/>
    <w:uiPriority w:val="1"/>
    <w:semiHidden/>
    <w:rsid w:val="00514B1F"/>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514B1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514B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514B1F"/>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514B1F"/>
    <w:rPr>
      <w:rFonts w:ascii="Trebuchet MS" w:hAnsi="Trebuchet MS"/>
      <w:color w:val="auto"/>
      <w:sz w:val="19"/>
      <w:u w:val="none"/>
    </w:rPr>
  </w:style>
  <w:style w:type="paragraph" w:styleId="ListParagraph">
    <w:name w:val="List Paragraph"/>
    <w:basedOn w:val="Normal"/>
    <w:uiPriority w:val="34"/>
    <w:semiHidden/>
    <w:qFormat/>
    <w:rsid w:val="00514B1F"/>
    <w:pPr>
      <w:ind w:left="720"/>
      <w:contextualSpacing/>
    </w:pPr>
  </w:style>
  <w:style w:type="paragraph" w:styleId="BodyText">
    <w:name w:val="Body Text"/>
    <w:basedOn w:val="Normal"/>
    <w:link w:val="BodyTextChar"/>
    <w:rsid w:val="00514B1F"/>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514B1F"/>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514B1F"/>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514B1F"/>
    <w:pPr>
      <w:spacing w:before="3200" w:after="840"/>
      <w:ind w:left="1701"/>
    </w:pPr>
    <w:rPr>
      <w:rFonts w:ascii="Tahoma" w:hAnsi="Tahoma" w:cs="Tahoma"/>
      <w:color w:val="000000"/>
      <w:kern w:val="28"/>
      <w:sz w:val="56"/>
      <w:szCs w:val="56"/>
      <w:lang w:val="en-AU"/>
    </w:rPr>
  </w:style>
  <w:style w:type="paragraph" w:customStyle="1" w:styleId="Authors">
    <w:name w:val="Authors"/>
    <w:qFormat/>
    <w:rsid w:val="00514B1F"/>
    <w:pPr>
      <w:ind w:left="1701" w:right="-1"/>
    </w:pPr>
    <w:rPr>
      <w:rFonts w:ascii="Tahoma" w:hAnsi="Tahoma" w:cs="Tahoma"/>
      <w:sz w:val="28"/>
      <w:lang w:val="en-AU"/>
    </w:rPr>
  </w:style>
  <w:style w:type="paragraph" w:customStyle="1" w:styleId="Contents">
    <w:name w:val="Contents"/>
    <w:qFormat/>
    <w:rsid w:val="00514B1F"/>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514B1F"/>
    <w:pPr>
      <w:spacing w:before="360"/>
    </w:pPr>
    <w:rPr>
      <w:rFonts w:ascii="Tahoma" w:hAnsi="Tahoma" w:cs="Tahoma"/>
      <w:i/>
      <w:sz w:val="28"/>
      <w:lang w:val="en-AU"/>
    </w:rPr>
  </w:style>
  <w:style w:type="paragraph" w:customStyle="1" w:styleId="Abouttheresearch">
    <w:name w:val="About the research"/>
    <w:uiPriority w:val="1"/>
    <w:qFormat/>
    <w:rsid w:val="00514B1F"/>
    <w:rPr>
      <w:rFonts w:ascii="Tahoma" w:hAnsi="Tahoma" w:cs="Tahoma"/>
      <w:color w:val="000000"/>
      <w:kern w:val="28"/>
      <w:sz w:val="56"/>
      <w:szCs w:val="56"/>
      <w:lang w:val="en-AU"/>
    </w:rPr>
  </w:style>
  <w:style w:type="paragraph" w:customStyle="1" w:styleId="Keymessages">
    <w:name w:val="Key messages"/>
    <w:uiPriority w:val="1"/>
    <w:qFormat/>
    <w:rsid w:val="00514B1F"/>
    <w:pPr>
      <w:spacing w:before="360"/>
    </w:pPr>
    <w:rPr>
      <w:rFonts w:ascii="Tahoma" w:hAnsi="Tahoma" w:cs="Tahoma"/>
      <w:sz w:val="28"/>
      <w:lang w:val="en-AU"/>
    </w:rPr>
  </w:style>
  <w:style w:type="paragraph" w:customStyle="1" w:styleId="Organisation">
    <w:name w:val="Organisation"/>
    <w:basedOn w:val="Authors"/>
    <w:uiPriority w:val="1"/>
    <w:qFormat/>
    <w:rsid w:val="00514B1F"/>
    <w:pPr>
      <w:spacing w:before="120"/>
      <w:ind w:right="0"/>
    </w:pPr>
    <w:rPr>
      <w:sz w:val="24"/>
    </w:rPr>
  </w:style>
  <w:style w:type="paragraph" w:styleId="Caption">
    <w:name w:val="caption"/>
    <w:basedOn w:val="Normal"/>
    <w:next w:val="Normal"/>
    <w:uiPriority w:val="35"/>
    <w:semiHidden/>
    <w:qFormat/>
    <w:rsid w:val="004A3651"/>
    <w:pPr>
      <w:spacing w:after="200"/>
    </w:pPr>
    <w:rPr>
      <w:b/>
      <w:bCs/>
      <w:color w:val="4F81BD" w:themeColor="accent1"/>
      <w:sz w:val="18"/>
      <w:szCs w:val="18"/>
    </w:rPr>
  </w:style>
  <w:style w:type="character" w:styleId="Emphasis">
    <w:name w:val="Emphasis"/>
    <w:basedOn w:val="DefaultParagraphFont"/>
    <w:uiPriority w:val="20"/>
    <w:qFormat/>
    <w:rsid w:val="00274B60"/>
    <w:rPr>
      <w:i/>
      <w:iCs/>
    </w:rPr>
  </w:style>
  <w:style w:type="character" w:styleId="FootnoteReference">
    <w:name w:val="footnote reference"/>
    <w:basedOn w:val="DefaultParagraphFont"/>
    <w:uiPriority w:val="99"/>
    <w:semiHidden/>
    <w:rsid w:val="007F4254"/>
    <w:rPr>
      <w:vertAlign w:val="superscript"/>
    </w:rPr>
  </w:style>
  <w:style w:type="character" w:customStyle="1" w:styleId="FooterChar">
    <w:name w:val="Footer Char"/>
    <w:basedOn w:val="DefaultParagraphFont"/>
    <w:link w:val="Footer"/>
    <w:rsid w:val="0000135C"/>
    <w:rPr>
      <w:rFonts w:ascii="Tahoma" w:hAnsi="Tahoma"/>
      <w:sz w:val="17"/>
      <w:szCs w:val="17"/>
      <w:lang w:val="en-AU"/>
    </w:rPr>
  </w:style>
  <w:style w:type="character" w:styleId="CommentReference">
    <w:name w:val="annotation reference"/>
    <w:basedOn w:val="DefaultParagraphFont"/>
    <w:uiPriority w:val="99"/>
    <w:semiHidden/>
    <w:rsid w:val="00522237"/>
    <w:rPr>
      <w:sz w:val="16"/>
      <w:szCs w:val="16"/>
    </w:rPr>
  </w:style>
  <w:style w:type="paragraph" w:styleId="CommentText">
    <w:name w:val="annotation text"/>
    <w:basedOn w:val="Normal"/>
    <w:link w:val="CommentTextChar"/>
    <w:uiPriority w:val="99"/>
    <w:semiHidden/>
    <w:rsid w:val="00522237"/>
    <w:rPr>
      <w:sz w:val="20"/>
    </w:rPr>
  </w:style>
  <w:style w:type="character" w:customStyle="1" w:styleId="CommentTextChar">
    <w:name w:val="Comment Text Char"/>
    <w:basedOn w:val="DefaultParagraphFont"/>
    <w:link w:val="CommentText"/>
    <w:uiPriority w:val="99"/>
    <w:semiHidden/>
    <w:rsid w:val="00522237"/>
    <w:rPr>
      <w:lang w:val="en-AU" w:eastAsia="en-AU"/>
    </w:rPr>
  </w:style>
  <w:style w:type="paragraph" w:styleId="CommentSubject">
    <w:name w:val="annotation subject"/>
    <w:basedOn w:val="CommentText"/>
    <w:next w:val="CommentText"/>
    <w:link w:val="CommentSubjectChar"/>
    <w:uiPriority w:val="99"/>
    <w:semiHidden/>
    <w:rsid w:val="00522237"/>
    <w:rPr>
      <w:b/>
      <w:bCs/>
    </w:rPr>
  </w:style>
  <w:style w:type="character" w:customStyle="1" w:styleId="CommentSubjectChar">
    <w:name w:val="Comment Subject Char"/>
    <w:basedOn w:val="CommentTextChar"/>
    <w:link w:val="CommentSubject"/>
    <w:uiPriority w:val="99"/>
    <w:semiHidden/>
    <w:rsid w:val="00522237"/>
    <w:rPr>
      <w:b/>
      <w:bCs/>
      <w:lang w:val="en-AU" w:eastAsia="en-AU"/>
    </w:rPr>
  </w:style>
  <w:style w:type="paragraph" w:styleId="Revision">
    <w:name w:val="Revision"/>
    <w:hidden/>
    <w:uiPriority w:val="99"/>
    <w:semiHidden/>
    <w:rsid w:val="0021066E"/>
    <w:rPr>
      <w:sz w:val="24"/>
      <w:szCs w:val="24"/>
      <w:lang w:val="en-AU" w:eastAsia="en-AU"/>
    </w:rPr>
  </w:style>
  <w:style w:type="character" w:customStyle="1" w:styleId="Heading1Char">
    <w:name w:val="Heading 1 Char"/>
    <w:basedOn w:val="DefaultParagraphFont"/>
    <w:link w:val="Heading1"/>
    <w:rsid w:val="0027796D"/>
    <w:rPr>
      <w:rFonts w:ascii="Tahoma" w:hAnsi="Tahoma" w:cs="Tahoma"/>
      <w:color w:val="000000"/>
      <w:kern w:val="28"/>
      <w:sz w:val="56"/>
      <w:szCs w:val="56"/>
      <w:lang w:val="en-AU"/>
    </w:rPr>
  </w:style>
  <w:style w:type="character" w:styleId="FollowedHyperlink">
    <w:name w:val="FollowedHyperlink"/>
    <w:basedOn w:val="DefaultParagraphFont"/>
    <w:uiPriority w:val="99"/>
    <w:semiHidden/>
    <w:rsid w:val="00514B1F"/>
    <w:rPr>
      <w:color w:val="800080" w:themeColor="followedHyperlink"/>
      <w:u w:val="single"/>
    </w:rPr>
  </w:style>
  <w:style w:type="paragraph" w:customStyle="1" w:styleId="NumberedAlphaLevel2">
    <w:name w:val="NumberedAlphaLevel2"/>
    <w:basedOn w:val="NumberedListContinuing"/>
    <w:uiPriority w:val="1"/>
    <w:qFormat/>
    <w:rsid w:val="00514B1F"/>
    <w:pPr>
      <w:numPr>
        <w:ilvl w:val="1"/>
      </w:numPr>
    </w:pPr>
  </w:style>
  <w:style w:type="paragraph" w:customStyle="1" w:styleId="Textmorebefore">
    <w:name w:val="Text more # before"/>
    <w:basedOn w:val="Text"/>
    <w:uiPriority w:val="1"/>
    <w:qFormat/>
    <w:rsid w:val="003919AF"/>
    <w:pPr>
      <w:spacing w:before="360"/>
      <w:ind w:right="0"/>
    </w:pPr>
  </w:style>
  <w:style w:type="character" w:styleId="PlaceholderText">
    <w:name w:val="Placeholder Text"/>
    <w:basedOn w:val="DefaultParagraphFont"/>
    <w:uiPriority w:val="99"/>
    <w:semiHidden/>
    <w:rsid w:val="00CC2A1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1D5855"/>
    <w:pPr>
      <w:spacing w:before="160" w:line="260" w:lineRule="exact"/>
    </w:pPr>
    <w:rPr>
      <w:rFonts w:ascii="Trebuchet MS" w:hAnsi="Trebuchet MS"/>
      <w:sz w:val="19"/>
      <w:lang w:val="en-AU"/>
    </w:rPr>
  </w:style>
  <w:style w:type="paragraph" w:styleId="Heading1">
    <w:name w:val="heading 1"/>
    <w:next w:val="Text"/>
    <w:link w:val="Heading1Char"/>
    <w:qFormat/>
    <w:rsid w:val="00514B1F"/>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514B1F"/>
    <w:pPr>
      <w:keepNext/>
      <w:spacing w:before="360"/>
      <w:ind w:right="-369"/>
      <w:outlineLvl w:val="1"/>
    </w:pPr>
    <w:rPr>
      <w:rFonts w:ascii="Tahoma" w:hAnsi="Tahoma" w:cs="Tahoma"/>
      <w:sz w:val="28"/>
      <w:lang w:val="en-AU"/>
    </w:rPr>
  </w:style>
  <w:style w:type="paragraph" w:styleId="Heading3">
    <w:name w:val="heading 3"/>
    <w:next w:val="Text"/>
    <w:link w:val="Heading3Char"/>
    <w:qFormat/>
    <w:rsid w:val="00514B1F"/>
    <w:pPr>
      <w:spacing w:before="280" w:line="320" w:lineRule="exact"/>
      <w:outlineLvl w:val="2"/>
    </w:pPr>
    <w:rPr>
      <w:rFonts w:ascii="Tahoma" w:hAnsi="Tahoma" w:cs="Tahoma"/>
      <w:color w:val="000000"/>
      <w:sz w:val="24"/>
      <w:lang w:val="en-AU"/>
    </w:rPr>
  </w:style>
  <w:style w:type="paragraph" w:styleId="Heading4">
    <w:name w:val="heading 4"/>
    <w:next w:val="Text"/>
    <w:qFormat/>
    <w:rsid w:val="00514B1F"/>
    <w:pPr>
      <w:spacing w:before="240"/>
      <w:outlineLvl w:val="3"/>
    </w:pPr>
    <w:rPr>
      <w:rFonts w:ascii="Tahoma" w:hAnsi="Tahoma"/>
      <w:i/>
      <w:sz w:val="22"/>
      <w:lang w:val="en-AU"/>
    </w:rPr>
  </w:style>
  <w:style w:type="paragraph" w:styleId="Heading5">
    <w:name w:val="heading 5"/>
    <w:basedOn w:val="Normal"/>
    <w:next w:val="Normal"/>
    <w:qFormat/>
    <w:rsid w:val="00514B1F"/>
    <w:pPr>
      <w:keepNext/>
      <w:outlineLvl w:val="4"/>
    </w:pPr>
    <w:rPr>
      <w:rFonts w:ascii="Tahoma" w:hAnsi="Tahoma"/>
      <w:b/>
    </w:rPr>
  </w:style>
  <w:style w:type="paragraph" w:styleId="Heading6">
    <w:name w:val="heading 6"/>
    <w:basedOn w:val="Normal"/>
    <w:next w:val="Normal"/>
    <w:qFormat/>
    <w:rsid w:val="00514B1F"/>
    <w:pPr>
      <w:keepNext/>
      <w:ind w:left="2977"/>
      <w:outlineLvl w:val="5"/>
    </w:pPr>
    <w:rPr>
      <w:rFonts w:ascii="Tahoma" w:hAnsi="Tahoma"/>
      <w:sz w:val="20"/>
    </w:rPr>
  </w:style>
  <w:style w:type="paragraph" w:styleId="Heading7">
    <w:name w:val="heading 7"/>
    <w:basedOn w:val="Normal"/>
    <w:next w:val="Normal"/>
    <w:qFormat/>
    <w:rsid w:val="00514B1F"/>
    <w:pPr>
      <w:keepNext/>
      <w:jc w:val="center"/>
      <w:outlineLvl w:val="6"/>
    </w:pPr>
    <w:rPr>
      <w:rFonts w:ascii="Tahoma" w:hAnsi="Tahoma"/>
      <w:spacing w:val="20"/>
      <w:sz w:val="20"/>
    </w:rPr>
  </w:style>
  <w:style w:type="paragraph" w:styleId="Heading8">
    <w:name w:val="heading 8"/>
    <w:basedOn w:val="Normal"/>
    <w:next w:val="Normal"/>
    <w:qFormat/>
    <w:rsid w:val="00514B1F"/>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14B1F"/>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0D0F23"/>
    <w:rPr>
      <w:rFonts w:ascii="Trebuchet MS" w:hAnsi="Trebuchet MS"/>
      <w:sz w:val="19"/>
      <w:lang w:val="en-AU"/>
    </w:rPr>
  </w:style>
  <w:style w:type="character" w:styleId="PageNumber">
    <w:name w:val="page number"/>
    <w:basedOn w:val="DefaultParagraphFont"/>
    <w:rsid w:val="00514B1F"/>
    <w:rPr>
      <w:rFonts w:ascii="Tahoma" w:hAnsi="Tahoma"/>
      <w:sz w:val="18"/>
    </w:rPr>
  </w:style>
  <w:style w:type="paragraph" w:styleId="Footer">
    <w:name w:val="footer"/>
    <w:basedOn w:val="Normal"/>
    <w:link w:val="FooterChar"/>
    <w:rsid w:val="00514B1F"/>
    <w:pPr>
      <w:tabs>
        <w:tab w:val="right" w:pos="8505"/>
      </w:tabs>
      <w:spacing w:before="0"/>
    </w:pPr>
    <w:rPr>
      <w:rFonts w:ascii="Tahoma" w:hAnsi="Tahoma"/>
      <w:sz w:val="17"/>
      <w:szCs w:val="17"/>
    </w:rPr>
  </w:style>
  <w:style w:type="paragraph" w:styleId="TOC1">
    <w:name w:val="toc 1"/>
    <w:uiPriority w:val="39"/>
    <w:rsid w:val="00514B1F"/>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514B1F"/>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514B1F"/>
    <w:pPr>
      <w:spacing w:before="360" w:after="80"/>
      <w:ind w:left="851" w:hanging="851"/>
    </w:pPr>
    <w:rPr>
      <w:rFonts w:ascii="Tahoma" w:hAnsi="Tahoma"/>
      <w:b/>
      <w:sz w:val="17"/>
      <w:lang w:val="en-AU"/>
    </w:rPr>
  </w:style>
  <w:style w:type="paragraph" w:customStyle="1" w:styleId="Tabletext">
    <w:name w:val="Table text"/>
    <w:next w:val="Text"/>
    <w:rsid w:val="00514B1F"/>
    <w:pPr>
      <w:spacing w:before="40" w:after="40"/>
    </w:pPr>
    <w:rPr>
      <w:rFonts w:ascii="Arial" w:hAnsi="Arial"/>
      <w:sz w:val="16"/>
      <w:lang w:val="en-AU"/>
    </w:rPr>
  </w:style>
  <w:style w:type="paragraph" w:customStyle="1" w:styleId="Tablehead1">
    <w:name w:val="Tablehead1"/>
    <w:rsid w:val="00514B1F"/>
    <w:pPr>
      <w:spacing w:before="80" w:after="80"/>
    </w:pPr>
    <w:rPr>
      <w:rFonts w:ascii="Arial" w:hAnsi="Arial"/>
      <w:b/>
      <w:sz w:val="17"/>
      <w:lang w:val="en-AU"/>
    </w:rPr>
  </w:style>
  <w:style w:type="paragraph" w:styleId="Quote">
    <w:name w:val="Quote"/>
    <w:basedOn w:val="Text"/>
    <w:qFormat/>
    <w:rsid w:val="00514B1F"/>
    <w:pPr>
      <w:tabs>
        <w:tab w:val="right" w:pos="7853"/>
      </w:tabs>
      <w:spacing w:before="80"/>
      <w:ind w:left="567" w:right="652"/>
    </w:pPr>
    <w:rPr>
      <w:sz w:val="17"/>
    </w:rPr>
  </w:style>
  <w:style w:type="paragraph" w:customStyle="1" w:styleId="References">
    <w:name w:val="References"/>
    <w:rsid w:val="00514B1F"/>
    <w:pPr>
      <w:spacing w:before="80"/>
      <w:ind w:left="284" w:right="-369" w:hanging="284"/>
    </w:pPr>
    <w:rPr>
      <w:rFonts w:ascii="Trebuchet MS" w:hAnsi="Trebuchet MS"/>
      <w:sz w:val="18"/>
      <w:lang w:val="en-AU"/>
    </w:rPr>
  </w:style>
  <w:style w:type="paragraph" w:customStyle="1" w:styleId="Tablehead2">
    <w:name w:val="Tablehead2"/>
    <w:basedOn w:val="Tablehead1"/>
    <w:rsid w:val="00514B1F"/>
    <w:pPr>
      <w:tabs>
        <w:tab w:val="left" w:pos="992"/>
      </w:tabs>
      <w:spacing w:before="20" w:after="20"/>
    </w:pPr>
    <w:rPr>
      <w:b w:val="0"/>
    </w:rPr>
  </w:style>
  <w:style w:type="paragraph" w:customStyle="1" w:styleId="Tablehead3">
    <w:name w:val="Tablehead3"/>
    <w:basedOn w:val="Tablehead2"/>
    <w:rsid w:val="00514B1F"/>
    <w:rPr>
      <w:i/>
    </w:rPr>
  </w:style>
  <w:style w:type="paragraph" w:styleId="TableofFigures">
    <w:name w:val="table of figures"/>
    <w:basedOn w:val="TOC1"/>
    <w:next w:val="Normal"/>
    <w:uiPriority w:val="99"/>
    <w:rsid w:val="00E7735D"/>
    <w:pPr>
      <w:spacing w:before="80"/>
      <w:ind w:left="425" w:right="1985" w:hanging="425"/>
    </w:pPr>
  </w:style>
  <w:style w:type="paragraph" w:customStyle="1" w:styleId="Imprint">
    <w:name w:val="Imprint"/>
    <w:basedOn w:val="Normal"/>
    <w:rsid w:val="00514B1F"/>
    <w:pPr>
      <w:spacing w:line="260" w:lineRule="atLeast"/>
    </w:pPr>
    <w:rPr>
      <w:sz w:val="16"/>
    </w:rPr>
  </w:style>
  <w:style w:type="paragraph" w:customStyle="1" w:styleId="Figuretitle">
    <w:name w:val="Figuretitle"/>
    <w:basedOn w:val="tabletitle"/>
    <w:rsid w:val="00514B1F"/>
  </w:style>
  <w:style w:type="paragraph" w:customStyle="1" w:styleId="Dotpoint1">
    <w:name w:val="Dotpoint1"/>
    <w:rsid w:val="00885A3B"/>
    <w:pPr>
      <w:numPr>
        <w:numId w:val="34"/>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14B1F"/>
    <w:pPr>
      <w:numPr>
        <w:numId w:val="35"/>
      </w:numPr>
      <w:tabs>
        <w:tab w:val="clear" w:pos="284"/>
        <w:tab w:val="left" w:pos="567"/>
      </w:tabs>
    </w:pPr>
  </w:style>
  <w:style w:type="paragraph" w:customStyle="1" w:styleId="NumberedListContinuing">
    <w:name w:val="NumberedListContinuing"/>
    <w:rsid w:val="00514B1F"/>
    <w:pPr>
      <w:numPr>
        <w:numId w:val="37"/>
      </w:numPr>
      <w:spacing w:before="80" w:line="300" w:lineRule="exact"/>
    </w:pPr>
    <w:rPr>
      <w:rFonts w:ascii="Trebuchet MS" w:hAnsi="Trebuchet MS"/>
      <w:sz w:val="19"/>
      <w:lang w:val="en-AU" w:eastAsia="en-AU"/>
    </w:rPr>
  </w:style>
  <w:style w:type="paragraph" w:customStyle="1" w:styleId="Source">
    <w:name w:val="Source"/>
    <w:rsid w:val="00514B1F"/>
    <w:pPr>
      <w:spacing w:before="40"/>
      <w:ind w:left="567" w:hanging="567"/>
    </w:pPr>
    <w:rPr>
      <w:rFonts w:ascii="Arial" w:hAnsi="Arial"/>
      <w:sz w:val="15"/>
      <w:lang w:val="en-AU"/>
    </w:rPr>
  </w:style>
  <w:style w:type="paragraph" w:styleId="FootnoteText">
    <w:name w:val="footnote text"/>
    <w:basedOn w:val="Text"/>
    <w:rsid w:val="00514B1F"/>
    <w:pPr>
      <w:tabs>
        <w:tab w:val="left" w:pos="170"/>
      </w:tabs>
      <w:spacing w:before="0" w:line="220" w:lineRule="exact"/>
      <w:ind w:left="170" w:right="0" w:hanging="170"/>
    </w:pPr>
    <w:rPr>
      <w:sz w:val="16"/>
    </w:rPr>
  </w:style>
  <w:style w:type="paragraph" w:styleId="NormalWeb">
    <w:name w:val="Normal (Web)"/>
    <w:basedOn w:val="Normal"/>
    <w:uiPriority w:val="1"/>
    <w:semiHidden/>
    <w:rsid w:val="00514B1F"/>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514B1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514B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514B1F"/>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514B1F"/>
    <w:rPr>
      <w:rFonts w:ascii="Trebuchet MS" w:hAnsi="Trebuchet MS"/>
      <w:color w:val="auto"/>
      <w:sz w:val="19"/>
      <w:u w:val="none"/>
    </w:rPr>
  </w:style>
  <w:style w:type="paragraph" w:styleId="ListParagraph">
    <w:name w:val="List Paragraph"/>
    <w:basedOn w:val="Normal"/>
    <w:uiPriority w:val="34"/>
    <w:semiHidden/>
    <w:qFormat/>
    <w:rsid w:val="00514B1F"/>
    <w:pPr>
      <w:ind w:left="720"/>
      <w:contextualSpacing/>
    </w:pPr>
  </w:style>
  <w:style w:type="paragraph" w:styleId="BodyText">
    <w:name w:val="Body Text"/>
    <w:basedOn w:val="Normal"/>
    <w:link w:val="BodyTextChar"/>
    <w:rsid w:val="00514B1F"/>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514B1F"/>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514B1F"/>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514B1F"/>
    <w:pPr>
      <w:spacing w:before="3200" w:after="840"/>
      <w:ind w:left="1701"/>
    </w:pPr>
    <w:rPr>
      <w:rFonts w:ascii="Tahoma" w:hAnsi="Tahoma" w:cs="Tahoma"/>
      <w:color w:val="000000"/>
      <w:kern w:val="28"/>
      <w:sz w:val="56"/>
      <w:szCs w:val="56"/>
      <w:lang w:val="en-AU"/>
    </w:rPr>
  </w:style>
  <w:style w:type="paragraph" w:customStyle="1" w:styleId="Authors">
    <w:name w:val="Authors"/>
    <w:qFormat/>
    <w:rsid w:val="00514B1F"/>
    <w:pPr>
      <w:ind w:left="1701" w:right="-1"/>
    </w:pPr>
    <w:rPr>
      <w:rFonts w:ascii="Tahoma" w:hAnsi="Tahoma" w:cs="Tahoma"/>
      <w:sz w:val="28"/>
      <w:lang w:val="en-AU"/>
    </w:rPr>
  </w:style>
  <w:style w:type="paragraph" w:customStyle="1" w:styleId="Contents">
    <w:name w:val="Contents"/>
    <w:qFormat/>
    <w:rsid w:val="00514B1F"/>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514B1F"/>
    <w:pPr>
      <w:spacing w:before="360"/>
    </w:pPr>
    <w:rPr>
      <w:rFonts w:ascii="Tahoma" w:hAnsi="Tahoma" w:cs="Tahoma"/>
      <w:i/>
      <w:sz w:val="28"/>
      <w:lang w:val="en-AU"/>
    </w:rPr>
  </w:style>
  <w:style w:type="paragraph" w:customStyle="1" w:styleId="Abouttheresearch">
    <w:name w:val="About the research"/>
    <w:uiPriority w:val="1"/>
    <w:qFormat/>
    <w:rsid w:val="00514B1F"/>
    <w:rPr>
      <w:rFonts w:ascii="Tahoma" w:hAnsi="Tahoma" w:cs="Tahoma"/>
      <w:color w:val="000000"/>
      <w:kern w:val="28"/>
      <w:sz w:val="56"/>
      <w:szCs w:val="56"/>
      <w:lang w:val="en-AU"/>
    </w:rPr>
  </w:style>
  <w:style w:type="paragraph" w:customStyle="1" w:styleId="Keymessages">
    <w:name w:val="Key messages"/>
    <w:uiPriority w:val="1"/>
    <w:qFormat/>
    <w:rsid w:val="00514B1F"/>
    <w:pPr>
      <w:spacing w:before="360"/>
    </w:pPr>
    <w:rPr>
      <w:rFonts w:ascii="Tahoma" w:hAnsi="Tahoma" w:cs="Tahoma"/>
      <w:sz w:val="28"/>
      <w:lang w:val="en-AU"/>
    </w:rPr>
  </w:style>
  <w:style w:type="paragraph" w:customStyle="1" w:styleId="Organisation">
    <w:name w:val="Organisation"/>
    <w:basedOn w:val="Authors"/>
    <w:uiPriority w:val="1"/>
    <w:qFormat/>
    <w:rsid w:val="00514B1F"/>
    <w:pPr>
      <w:spacing w:before="120"/>
      <w:ind w:right="0"/>
    </w:pPr>
    <w:rPr>
      <w:sz w:val="24"/>
    </w:rPr>
  </w:style>
  <w:style w:type="paragraph" w:styleId="Caption">
    <w:name w:val="caption"/>
    <w:basedOn w:val="Normal"/>
    <w:next w:val="Normal"/>
    <w:uiPriority w:val="35"/>
    <w:semiHidden/>
    <w:qFormat/>
    <w:rsid w:val="004A3651"/>
    <w:pPr>
      <w:spacing w:after="200"/>
    </w:pPr>
    <w:rPr>
      <w:b/>
      <w:bCs/>
      <w:color w:val="4F81BD" w:themeColor="accent1"/>
      <w:sz w:val="18"/>
      <w:szCs w:val="18"/>
    </w:rPr>
  </w:style>
  <w:style w:type="character" w:styleId="Emphasis">
    <w:name w:val="Emphasis"/>
    <w:basedOn w:val="DefaultParagraphFont"/>
    <w:uiPriority w:val="20"/>
    <w:qFormat/>
    <w:rsid w:val="00274B60"/>
    <w:rPr>
      <w:i/>
      <w:iCs/>
    </w:rPr>
  </w:style>
  <w:style w:type="character" w:styleId="FootnoteReference">
    <w:name w:val="footnote reference"/>
    <w:basedOn w:val="DefaultParagraphFont"/>
    <w:uiPriority w:val="99"/>
    <w:semiHidden/>
    <w:rsid w:val="007F4254"/>
    <w:rPr>
      <w:vertAlign w:val="superscript"/>
    </w:rPr>
  </w:style>
  <w:style w:type="character" w:customStyle="1" w:styleId="FooterChar">
    <w:name w:val="Footer Char"/>
    <w:basedOn w:val="DefaultParagraphFont"/>
    <w:link w:val="Footer"/>
    <w:rsid w:val="0000135C"/>
    <w:rPr>
      <w:rFonts w:ascii="Tahoma" w:hAnsi="Tahoma"/>
      <w:sz w:val="17"/>
      <w:szCs w:val="17"/>
      <w:lang w:val="en-AU"/>
    </w:rPr>
  </w:style>
  <w:style w:type="character" w:styleId="CommentReference">
    <w:name w:val="annotation reference"/>
    <w:basedOn w:val="DefaultParagraphFont"/>
    <w:uiPriority w:val="99"/>
    <w:semiHidden/>
    <w:rsid w:val="00522237"/>
    <w:rPr>
      <w:sz w:val="16"/>
      <w:szCs w:val="16"/>
    </w:rPr>
  </w:style>
  <w:style w:type="paragraph" w:styleId="CommentText">
    <w:name w:val="annotation text"/>
    <w:basedOn w:val="Normal"/>
    <w:link w:val="CommentTextChar"/>
    <w:uiPriority w:val="99"/>
    <w:semiHidden/>
    <w:rsid w:val="00522237"/>
    <w:rPr>
      <w:sz w:val="20"/>
    </w:rPr>
  </w:style>
  <w:style w:type="character" w:customStyle="1" w:styleId="CommentTextChar">
    <w:name w:val="Comment Text Char"/>
    <w:basedOn w:val="DefaultParagraphFont"/>
    <w:link w:val="CommentText"/>
    <w:uiPriority w:val="99"/>
    <w:semiHidden/>
    <w:rsid w:val="00522237"/>
    <w:rPr>
      <w:lang w:val="en-AU" w:eastAsia="en-AU"/>
    </w:rPr>
  </w:style>
  <w:style w:type="paragraph" w:styleId="CommentSubject">
    <w:name w:val="annotation subject"/>
    <w:basedOn w:val="CommentText"/>
    <w:next w:val="CommentText"/>
    <w:link w:val="CommentSubjectChar"/>
    <w:uiPriority w:val="99"/>
    <w:semiHidden/>
    <w:rsid w:val="00522237"/>
    <w:rPr>
      <w:b/>
      <w:bCs/>
    </w:rPr>
  </w:style>
  <w:style w:type="character" w:customStyle="1" w:styleId="CommentSubjectChar">
    <w:name w:val="Comment Subject Char"/>
    <w:basedOn w:val="CommentTextChar"/>
    <w:link w:val="CommentSubject"/>
    <w:uiPriority w:val="99"/>
    <w:semiHidden/>
    <w:rsid w:val="00522237"/>
    <w:rPr>
      <w:b/>
      <w:bCs/>
      <w:lang w:val="en-AU" w:eastAsia="en-AU"/>
    </w:rPr>
  </w:style>
  <w:style w:type="paragraph" w:styleId="Revision">
    <w:name w:val="Revision"/>
    <w:hidden/>
    <w:uiPriority w:val="99"/>
    <w:semiHidden/>
    <w:rsid w:val="0021066E"/>
    <w:rPr>
      <w:sz w:val="24"/>
      <w:szCs w:val="24"/>
      <w:lang w:val="en-AU" w:eastAsia="en-AU"/>
    </w:rPr>
  </w:style>
  <w:style w:type="character" w:customStyle="1" w:styleId="Heading1Char">
    <w:name w:val="Heading 1 Char"/>
    <w:basedOn w:val="DefaultParagraphFont"/>
    <w:link w:val="Heading1"/>
    <w:rsid w:val="0027796D"/>
    <w:rPr>
      <w:rFonts w:ascii="Tahoma" w:hAnsi="Tahoma" w:cs="Tahoma"/>
      <w:color w:val="000000"/>
      <w:kern w:val="28"/>
      <w:sz w:val="56"/>
      <w:szCs w:val="56"/>
      <w:lang w:val="en-AU"/>
    </w:rPr>
  </w:style>
  <w:style w:type="character" w:styleId="FollowedHyperlink">
    <w:name w:val="FollowedHyperlink"/>
    <w:basedOn w:val="DefaultParagraphFont"/>
    <w:uiPriority w:val="99"/>
    <w:semiHidden/>
    <w:rsid w:val="00514B1F"/>
    <w:rPr>
      <w:color w:val="800080" w:themeColor="followedHyperlink"/>
      <w:u w:val="single"/>
    </w:rPr>
  </w:style>
  <w:style w:type="paragraph" w:customStyle="1" w:styleId="NumberedAlphaLevel2">
    <w:name w:val="NumberedAlphaLevel2"/>
    <w:basedOn w:val="NumberedListContinuing"/>
    <w:uiPriority w:val="1"/>
    <w:qFormat/>
    <w:rsid w:val="00514B1F"/>
    <w:pPr>
      <w:numPr>
        <w:ilvl w:val="1"/>
      </w:numPr>
    </w:pPr>
  </w:style>
  <w:style w:type="paragraph" w:customStyle="1" w:styleId="Textmorebefore">
    <w:name w:val="Text more # before"/>
    <w:basedOn w:val="Text"/>
    <w:uiPriority w:val="1"/>
    <w:qFormat/>
    <w:rsid w:val="003919AF"/>
    <w:pPr>
      <w:spacing w:before="360"/>
      <w:ind w:right="0"/>
    </w:pPr>
  </w:style>
  <w:style w:type="character" w:styleId="PlaceholderText">
    <w:name w:val="Placeholder Text"/>
    <w:basedOn w:val="DefaultParagraphFont"/>
    <w:uiPriority w:val="99"/>
    <w:semiHidden/>
    <w:rsid w:val="00CC2A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2683">
      <w:bodyDiv w:val="1"/>
      <w:marLeft w:val="0"/>
      <w:marRight w:val="0"/>
      <w:marTop w:val="0"/>
      <w:marBottom w:val="0"/>
      <w:divBdr>
        <w:top w:val="none" w:sz="0" w:space="0" w:color="auto"/>
        <w:left w:val="none" w:sz="0" w:space="0" w:color="auto"/>
        <w:bottom w:val="none" w:sz="0" w:space="0" w:color="auto"/>
        <w:right w:val="none" w:sz="0" w:space="0" w:color="auto"/>
      </w:divBdr>
    </w:div>
    <w:div w:id="99953432">
      <w:bodyDiv w:val="1"/>
      <w:marLeft w:val="0"/>
      <w:marRight w:val="0"/>
      <w:marTop w:val="0"/>
      <w:marBottom w:val="0"/>
      <w:divBdr>
        <w:top w:val="none" w:sz="0" w:space="0" w:color="auto"/>
        <w:left w:val="none" w:sz="0" w:space="0" w:color="auto"/>
        <w:bottom w:val="none" w:sz="0" w:space="0" w:color="auto"/>
        <w:right w:val="none" w:sz="0" w:space="0" w:color="auto"/>
      </w:divBdr>
    </w:div>
    <w:div w:id="129251896">
      <w:bodyDiv w:val="1"/>
      <w:marLeft w:val="0"/>
      <w:marRight w:val="0"/>
      <w:marTop w:val="0"/>
      <w:marBottom w:val="0"/>
      <w:divBdr>
        <w:top w:val="none" w:sz="0" w:space="0" w:color="auto"/>
        <w:left w:val="none" w:sz="0" w:space="0" w:color="auto"/>
        <w:bottom w:val="none" w:sz="0" w:space="0" w:color="auto"/>
        <w:right w:val="none" w:sz="0" w:space="0" w:color="auto"/>
      </w:divBdr>
    </w:div>
    <w:div w:id="150099346">
      <w:bodyDiv w:val="1"/>
      <w:marLeft w:val="0"/>
      <w:marRight w:val="0"/>
      <w:marTop w:val="0"/>
      <w:marBottom w:val="0"/>
      <w:divBdr>
        <w:top w:val="none" w:sz="0" w:space="0" w:color="auto"/>
        <w:left w:val="none" w:sz="0" w:space="0" w:color="auto"/>
        <w:bottom w:val="none" w:sz="0" w:space="0" w:color="auto"/>
        <w:right w:val="none" w:sz="0" w:space="0" w:color="auto"/>
      </w:divBdr>
    </w:div>
    <w:div w:id="196549153">
      <w:bodyDiv w:val="1"/>
      <w:marLeft w:val="0"/>
      <w:marRight w:val="0"/>
      <w:marTop w:val="0"/>
      <w:marBottom w:val="0"/>
      <w:divBdr>
        <w:top w:val="none" w:sz="0" w:space="0" w:color="auto"/>
        <w:left w:val="none" w:sz="0" w:space="0" w:color="auto"/>
        <w:bottom w:val="none" w:sz="0" w:space="0" w:color="auto"/>
        <w:right w:val="none" w:sz="0" w:space="0" w:color="auto"/>
      </w:divBdr>
    </w:div>
    <w:div w:id="221067973">
      <w:bodyDiv w:val="1"/>
      <w:marLeft w:val="0"/>
      <w:marRight w:val="0"/>
      <w:marTop w:val="0"/>
      <w:marBottom w:val="0"/>
      <w:divBdr>
        <w:top w:val="none" w:sz="0" w:space="0" w:color="auto"/>
        <w:left w:val="none" w:sz="0" w:space="0" w:color="auto"/>
        <w:bottom w:val="none" w:sz="0" w:space="0" w:color="auto"/>
        <w:right w:val="none" w:sz="0" w:space="0" w:color="auto"/>
      </w:divBdr>
    </w:div>
    <w:div w:id="226452056">
      <w:bodyDiv w:val="1"/>
      <w:marLeft w:val="0"/>
      <w:marRight w:val="0"/>
      <w:marTop w:val="0"/>
      <w:marBottom w:val="0"/>
      <w:divBdr>
        <w:top w:val="none" w:sz="0" w:space="0" w:color="auto"/>
        <w:left w:val="none" w:sz="0" w:space="0" w:color="auto"/>
        <w:bottom w:val="none" w:sz="0" w:space="0" w:color="auto"/>
        <w:right w:val="none" w:sz="0" w:space="0" w:color="auto"/>
      </w:divBdr>
    </w:div>
    <w:div w:id="323975935">
      <w:bodyDiv w:val="1"/>
      <w:marLeft w:val="0"/>
      <w:marRight w:val="0"/>
      <w:marTop w:val="0"/>
      <w:marBottom w:val="0"/>
      <w:divBdr>
        <w:top w:val="none" w:sz="0" w:space="0" w:color="auto"/>
        <w:left w:val="none" w:sz="0" w:space="0" w:color="auto"/>
        <w:bottom w:val="none" w:sz="0" w:space="0" w:color="auto"/>
        <w:right w:val="none" w:sz="0" w:space="0" w:color="auto"/>
      </w:divBdr>
    </w:div>
    <w:div w:id="333267050">
      <w:bodyDiv w:val="1"/>
      <w:marLeft w:val="0"/>
      <w:marRight w:val="0"/>
      <w:marTop w:val="0"/>
      <w:marBottom w:val="0"/>
      <w:divBdr>
        <w:top w:val="none" w:sz="0" w:space="0" w:color="auto"/>
        <w:left w:val="none" w:sz="0" w:space="0" w:color="auto"/>
        <w:bottom w:val="none" w:sz="0" w:space="0" w:color="auto"/>
        <w:right w:val="none" w:sz="0" w:space="0" w:color="auto"/>
      </w:divBdr>
    </w:div>
    <w:div w:id="334652949">
      <w:bodyDiv w:val="1"/>
      <w:marLeft w:val="0"/>
      <w:marRight w:val="0"/>
      <w:marTop w:val="0"/>
      <w:marBottom w:val="0"/>
      <w:divBdr>
        <w:top w:val="none" w:sz="0" w:space="0" w:color="auto"/>
        <w:left w:val="none" w:sz="0" w:space="0" w:color="auto"/>
        <w:bottom w:val="none" w:sz="0" w:space="0" w:color="auto"/>
        <w:right w:val="none" w:sz="0" w:space="0" w:color="auto"/>
      </w:divBdr>
    </w:div>
    <w:div w:id="346447067">
      <w:bodyDiv w:val="1"/>
      <w:marLeft w:val="0"/>
      <w:marRight w:val="0"/>
      <w:marTop w:val="0"/>
      <w:marBottom w:val="0"/>
      <w:divBdr>
        <w:top w:val="none" w:sz="0" w:space="0" w:color="auto"/>
        <w:left w:val="none" w:sz="0" w:space="0" w:color="auto"/>
        <w:bottom w:val="none" w:sz="0" w:space="0" w:color="auto"/>
        <w:right w:val="none" w:sz="0" w:space="0" w:color="auto"/>
      </w:divBdr>
    </w:div>
    <w:div w:id="358548365">
      <w:bodyDiv w:val="1"/>
      <w:marLeft w:val="0"/>
      <w:marRight w:val="0"/>
      <w:marTop w:val="0"/>
      <w:marBottom w:val="0"/>
      <w:divBdr>
        <w:top w:val="none" w:sz="0" w:space="0" w:color="auto"/>
        <w:left w:val="none" w:sz="0" w:space="0" w:color="auto"/>
        <w:bottom w:val="none" w:sz="0" w:space="0" w:color="auto"/>
        <w:right w:val="none" w:sz="0" w:space="0" w:color="auto"/>
      </w:divBdr>
    </w:div>
    <w:div w:id="403376667">
      <w:bodyDiv w:val="1"/>
      <w:marLeft w:val="0"/>
      <w:marRight w:val="0"/>
      <w:marTop w:val="0"/>
      <w:marBottom w:val="0"/>
      <w:divBdr>
        <w:top w:val="none" w:sz="0" w:space="0" w:color="auto"/>
        <w:left w:val="none" w:sz="0" w:space="0" w:color="auto"/>
        <w:bottom w:val="none" w:sz="0" w:space="0" w:color="auto"/>
        <w:right w:val="none" w:sz="0" w:space="0" w:color="auto"/>
      </w:divBdr>
    </w:div>
    <w:div w:id="455176061">
      <w:bodyDiv w:val="1"/>
      <w:marLeft w:val="0"/>
      <w:marRight w:val="0"/>
      <w:marTop w:val="0"/>
      <w:marBottom w:val="0"/>
      <w:divBdr>
        <w:top w:val="none" w:sz="0" w:space="0" w:color="auto"/>
        <w:left w:val="none" w:sz="0" w:space="0" w:color="auto"/>
        <w:bottom w:val="none" w:sz="0" w:space="0" w:color="auto"/>
        <w:right w:val="none" w:sz="0" w:space="0" w:color="auto"/>
      </w:divBdr>
    </w:div>
    <w:div w:id="496268059">
      <w:bodyDiv w:val="1"/>
      <w:marLeft w:val="0"/>
      <w:marRight w:val="0"/>
      <w:marTop w:val="0"/>
      <w:marBottom w:val="0"/>
      <w:divBdr>
        <w:top w:val="none" w:sz="0" w:space="0" w:color="auto"/>
        <w:left w:val="none" w:sz="0" w:space="0" w:color="auto"/>
        <w:bottom w:val="none" w:sz="0" w:space="0" w:color="auto"/>
        <w:right w:val="none" w:sz="0" w:space="0" w:color="auto"/>
      </w:divBdr>
    </w:div>
    <w:div w:id="559290820">
      <w:bodyDiv w:val="1"/>
      <w:marLeft w:val="0"/>
      <w:marRight w:val="0"/>
      <w:marTop w:val="0"/>
      <w:marBottom w:val="0"/>
      <w:divBdr>
        <w:top w:val="none" w:sz="0" w:space="0" w:color="auto"/>
        <w:left w:val="none" w:sz="0" w:space="0" w:color="auto"/>
        <w:bottom w:val="none" w:sz="0" w:space="0" w:color="auto"/>
        <w:right w:val="none" w:sz="0" w:space="0" w:color="auto"/>
      </w:divBdr>
    </w:div>
    <w:div w:id="564142090">
      <w:bodyDiv w:val="1"/>
      <w:marLeft w:val="0"/>
      <w:marRight w:val="0"/>
      <w:marTop w:val="0"/>
      <w:marBottom w:val="0"/>
      <w:divBdr>
        <w:top w:val="none" w:sz="0" w:space="0" w:color="auto"/>
        <w:left w:val="none" w:sz="0" w:space="0" w:color="auto"/>
        <w:bottom w:val="none" w:sz="0" w:space="0" w:color="auto"/>
        <w:right w:val="none" w:sz="0" w:space="0" w:color="auto"/>
      </w:divBdr>
    </w:div>
    <w:div w:id="608775201">
      <w:bodyDiv w:val="1"/>
      <w:marLeft w:val="0"/>
      <w:marRight w:val="0"/>
      <w:marTop w:val="0"/>
      <w:marBottom w:val="0"/>
      <w:divBdr>
        <w:top w:val="none" w:sz="0" w:space="0" w:color="auto"/>
        <w:left w:val="none" w:sz="0" w:space="0" w:color="auto"/>
        <w:bottom w:val="none" w:sz="0" w:space="0" w:color="auto"/>
        <w:right w:val="none" w:sz="0" w:space="0" w:color="auto"/>
      </w:divBdr>
    </w:div>
    <w:div w:id="620695449">
      <w:bodyDiv w:val="1"/>
      <w:marLeft w:val="0"/>
      <w:marRight w:val="0"/>
      <w:marTop w:val="0"/>
      <w:marBottom w:val="0"/>
      <w:divBdr>
        <w:top w:val="none" w:sz="0" w:space="0" w:color="auto"/>
        <w:left w:val="none" w:sz="0" w:space="0" w:color="auto"/>
        <w:bottom w:val="none" w:sz="0" w:space="0" w:color="auto"/>
        <w:right w:val="none" w:sz="0" w:space="0" w:color="auto"/>
      </w:divBdr>
    </w:div>
    <w:div w:id="626205791">
      <w:bodyDiv w:val="1"/>
      <w:marLeft w:val="0"/>
      <w:marRight w:val="0"/>
      <w:marTop w:val="0"/>
      <w:marBottom w:val="0"/>
      <w:divBdr>
        <w:top w:val="none" w:sz="0" w:space="0" w:color="auto"/>
        <w:left w:val="none" w:sz="0" w:space="0" w:color="auto"/>
        <w:bottom w:val="none" w:sz="0" w:space="0" w:color="auto"/>
        <w:right w:val="none" w:sz="0" w:space="0" w:color="auto"/>
      </w:divBdr>
    </w:div>
    <w:div w:id="640110672">
      <w:bodyDiv w:val="1"/>
      <w:marLeft w:val="0"/>
      <w:marRight w:val="0"/>
      <w:marTop w:val="0"/>
      <w:marBottom w:val="0"/>
      <w:divBdr>
        <w:top w:val="none" w:sz="0" w:space="0" w:color="auto"/>
        <w:left w:val="none" w:sz="0" w:space="0" w:color="auto"/>
        <w:bottom w:val="none" w:sz="0" w:space="0" w:color="auto"/>
        <w:right w:val="none" w:sz="0" w:space="0" w:color="auto"/>
      </w:divBdr>
    </w:div>
    <w:div w:id="648246891">
      <w:bodyDiv w:val="1"/>
      <w:marLeft w:val="0"/>
      <w:marRight w:val="0"/>
      <w:marTop w:val="0"/>
      <w:marBottom w:val="0"/>
      <w:divBdr>
        <w:top w:val="none" w:sz="0" w:space="0" w:color="auto"/>
        <w:left w:val="none" w:sz="0" w:space="0" w:color="auto"/>
        <w:bottom w:val="none" w:sz="0" w:space="0" w:color="auto"/>
        <w:right w:val="none" w:sz="0" w:space="0" w:color="auto"/>
      </w:divBdr>
    </w:div>
    <w:div w:id="655035085">
      <w:bodyDiv w:val="1"/>
      <w:marLeft w:val="0"/>
      <w:marRight w:val="0"/>
      <w:marTop w:val="0"/>
      <w:marBottom w:val="0"/>
      <w:divBdr>
        <w:top w:val="none" w:sz="0" w:space="0" w:color="auto"/>
        <w:left w:val="none" w:sz="0" w:space="0" w:color="auto"/>
        <w:bottom w:val="none" w:sz="0" w:space="0" w:color="auto"/>
        <w:right w:val="none" w:sz="0" w:space="0" w:color="auto"/>
      </w:divBdr>
    </w:div>
    <w:div w:id="656149577">
      <w:bodyDiv w:val="1"/>
      <w:marLeft w:val="0"/>
      <w:marRight w:val="0"/>
      <w:marTop w:val="0"/>
      <w:marBottom w:val="0"/>
      <w:divBdr>
        <w:top w:val="none" w:sz="0" w:space="0" w:color="auto"/>
        <w:left w:val="none" w:sz="0" w:space="0" w:color="auto"/>
        <w:bottom w:val="none" w:sz="0" w:space="0" w:color="auto"/>
        <w:right w:val="none" w:sz="0" w:space="0" w:color="auto"/>
      </w:divBdr>
    </w:div>
    <w:div w:id="724059664">
      <w:bodyDiv w:val="1"/>
      <w:marLeft w:val="0"/>
      <w:marRight w:val="0"/>
      <w:marTop w:val="0"/>
      <w:marBottom w:val="0"/>
      <w:divBdr>
        <w:top w:val="none" w:sz="0" w:space="0" w:color="auto"/>
        <w:left w:val="none" w:sz="0" w:space="0" w:color="auto"/>
        <w:bottom w:val="none" w:sz="0" w:space="0" w:color="auto"/>
        <w:right w:val="none" w:sz="0" w:space="0" w:color="auto"/>
      </w:divBdr>
    </w:div>
    <w:div w:id="737289764">
      <w:bodyDiv w:val="1"/>
      <w:marLeft w:val="0"/>
      <w:marRight w:val="0"/>
      <w:marTop w:val="0"/>
      <w:marBottom w:val="0"/>
      <w:divBdr>
        <w:top w:val="none" w:sz="0" w:space="0" w:color="auto"/>
        <w:left w:val="none" w:sz="0" w:space="0" w:color="auto"/>
        <w:bottom w:val="none" w:sz="0" w:space="0" w:color="auto"/>
        <w:right w:val="none" w:sz="0" w:space="0" w:color="auto"/>
      </w:divBdr>
    </w:div>
    <w:div w:id="765614270">
      <w:bodyDiv w:val="1"/>
      <w:marLeft w:val="0"/>
      <w:marRight w:val="0"/>
      <w:marTop w:val="0"/>
      <w:marBottom w:val="0"/>
      <w:divBdr>
        <w:top w:val="none" w:sz="0" w:space="0" w:color="auto"/>
        <w:left w:val="none" w:sz="0" w:space="0" w:color="auto"/>
        <w:bottom w:val="none" w:sz="0" w:space="0" w:color="auto"/>
        <w:right w:val="none" w:sz="0" w:space="0" w:color="auto"/>
      </w:divBdr>
    </w:div>
    <w:div w:id="766118864">
      <w:bodyDiv w:val="1"/>
      <w:marLeft w:val="0"/>
      <w:marRight w:val="0"/>
      <w:marTop w:val="0"/>
      <w:marBottom w:val="0"/>
      <w:divBdr>
        <w:top w:val="none" w:sz="0" w:space="0" w:color="auto"/>
        <w:left w:val="none" w:sz="0" w:space="0" w:color="auto"/>
        <w:bottom w:val="none" w:sz="0" w:space="0" w:color="auto"/>
        <w:right w:val="none" w:sz="0" w:space="0" w:color="auto"/>
      </w:divBdr>
    </w:div>
    <w:div w:id="773327217">
      <w:bodyDiv w:val="1"/>
      <w:marLeft w:val="0"/>
      <w:marRight w:val="0"/>
      <w:marTop w:val="0"/>
      <w:marBottom w:val="0"/>
      <w:divBdr>
        <w:top w:val="none" w:sz="0" w:space="0" w:color="auto"/>
        <w:left w:val="none" w:sz="0" w:space="0" w:color="auto"/>
        <w:bottom w:val="none" w:sz="0" w:space="0" w:color="auto"/>
        <w:right w:val="none" w:sz="0" w:space="0" w:color="auto"/>
      </w:divBdr>
    </w:div>
    <w:div w:id="812452190">
      <w:bodyDiv w:val="1"/>
      <w:marLeft w:val="0"/>
      <w:marRight w:val="0"/>
      <w:marTop w:val="0"/>
      <w:marBottom w:val="0"/>
      <w:divBdr>
        <w:top w:val="none" w:sz="0" w:space="0" w:color="auto"/>
        <w:left w:val="none" w:sz="0" w:space="0" w:color="auto"/>
        <w:bottom w:val="none" w:sz="0" w:space="0" w:color="auto"/>
        <w:right w:val="none" w:sz="0" w:space="0" w:color="auto"/>
      </w:divBdr>
    </w:div>
    <w:div w:id="853417481">
      <w:bodyDiv w:val="1"/>
      <w:marLeft w:val="0"/>
      <w:marRight w:val="0"/>
      <w:marTop w:val="0"/>
      <w:marBottom w:val="0"/>
      <w:divBdr>
        <w:top w:val="none" w:sz="0" w:space="0" w:color="auto"/>
        <w:left w:val="none" w:sz="0" w:space="0" w:color="auto"/>
        <w:bottom w:val="none" w:sz="0" w:space="0" w:color="auto"/>
        <w:right w:val="none" w:sz="0" w:space="0" w:color="auto"/>
      </w:divBdr>
    </w:div>
    <w:div w:id="855853688">
      <w:bodyDiv w:val="1"/>
      <w:marLeft w:val="0"/>
      <w:marRight w:val="0"/>
      <w:marTop w:val="0"/>
      <w:marBottom w:val="0"/>
      <w:divBdr>
        <w:top w:val="none" w:sz="0" w:space="0" w:color="auto"/>
        <w:left w:val="none" w:sz="0" w:space="0" w:color="auto"/>
        <w:bottom w:val="none" w:sz="0" w:space="0" w:color="auto"/>
        <w:right w:val="none" w:sz="0" w:space="0" w:color="auto"/>
      </w:divBdr>
    </w:div>
    <w:div w:id="957297967">
      <w:bodyDiv w:val="1"/>
      <w:marLeft w:val="0"/>
      <w:marRight w:val="0"/>
      <w:marTop w:val="0"/>
      <w:marBottom w:val="0"/>
      <w:divBdr>
        <w:top w:val="none" w:sz="0" w:space="0" w:color="auto"/>
        <w:left w:val="none" w:sz="0" w:space="0" w:color="auto"/>
        <w:bottom w:val="none" w:sz="0" w:space="0" w:color="auto"/>
        <w:right w:val="none" w:sz="0" w:space="0" w:color="auto"/>
      </w:divBdr>
    </w:div>
    <w:div w:id="1009210206">
      <w:bodyDiv w:val="1"/>
      <w:marLeft w:val="0"/>
      <w:marRight w:val="0"/>
      <w:marTop w:val="0"/>
      <w:marBottom w:val="0"/>
      <w:divBdr>
        <w:top w:val="none" w:sz="0" w:space="0" w:color="auto"/>
        <w:left w:val="none" w:sz="0" w:space="0" w:color="auto"/>
        <w:bottom w:val="none" w:sz="0" w:space="0" w:color="auto"/>
        <w:right w:val="none" w:sz="0" w:space="0" w:color="auto"/>
      </w:divBdr>
    </w:div>
    <w:div w:id="1077047905">
      <w:bodyDiv w:val="1"/>
      <w:marLeft w:val="0"/>
      <w:marRight w:val="0"/>
      <w:marTop w:val="0"/>
      <w:marBottom w:val="0"/>
      <w:divBdr>
        <w:top w:val="none" w:sz="0" w:space="0" w:color="auto"/>
        <w:left w:val="none" w:sz="0" w:space="0" w:color="auto"/>
        <w:bottom w:val="none" w:sz="0" w:space="0" w:color="auto"/>
        <w:right w:val="none" w:sz="0" w:space="0" w:color="auto"/>
      </w:divBdr>
    </w:div>
    <w:div w:id="1112243260">
      <w:bodyDiv w:val="1"/>
      <w:marLeft w:val="0"/>
      <w:marRight w:val="0"/>
      <w:marTop w:val="0"/>
      <w:marBottom w:val="0"/>
      <w:divBdr>
        <w:top w:val="none" w:sz="0" w:space="0" w:color="auto"/>
        <w:left w:val="none" w:sz="0" w:space="0" w:color="auto"/>
        <w:bottom w:val="none" w:sz="0" w:space="0" w:color="auto"/>
        <w:right w:val="none" w:sz="0" w:space="0" w:color="auto"/>
      </w:divBdr>
    </w:div>
    <w:div w:id="1115100617">
      <w:bodyDiv w:val="1"/>
      <w:marLeft w:val="0"/>
      <w:marRight w:val="0"/>
      <w:marTop w:val="0"/>
      <w:marBottom w:val="0"/>
      <w:divBdr>
        <w:top w:val="none" w:sz="0" w:space="0" w:color="auto"/>
        <w:left w:val="none" w:sz="0" w:space="0" w:color="auto"/>
        <w:bottom w:val="none" w:sz="0" w:space="0" w:color="auto"/>
        <w:right w:val="none" w:sz="0" w:space="0" w:color="auto"/>
      </w:divBdr>
    </w:div>
    <w:div w:id="1117288676">
      <w:bodyDiv w:val="1"/>
      <w:marLeft w:val="0"/>
      <w:marRight w:val="0"/>
      <w:marTop w:val="0"/>
      <w:marBottom w:val="0"/>
      <w:divBdr>
        <w:top w:val="none" w:sz="0" w:space="0" w:color="auto"/>
        <w:left w:val="none" w:sz="0" w:space="0" w:color="auto"/>
        <w:bottom w:val="none" w:sz="0" w:space="0" w:color="auto"/>
        <w:right w:val="none" w:sz="0" w:space="0" w:color="auto"/>
      </w:divBdr>
    </w:div>
    <w:div w:id="1129399340">
      <w:bodyDiv w:val="1"/>
      <w:marLeft w:val="0"/>
      <w:marRight w:val="0"/>
      <w:marTop w:val="0"/>
      <w:marBottom w:val="0"/>
      <w:divBdr>
        <w:top w:val="none" w:sz="0" w:space="0" w:color="auto"/>
        <w:left w:val="none" w:sz="0" w:space="0" w:color="auto"/>
        <w:bottom w:val="none" w:sz="0" w:space="0" w:color="auto"/>
        <w:right w:val="none" w:sz="0" w:space="0" w:color="auto"/>
      </w:divBdr>
    </w:div>
    <w:div w:id="1134756346">
      <w:bodyDiv w:val="1"/>
      <w:marLeft w:val="0"/>
      <w:marRight w:val="0"/>
      <w:marTop w:val="0"/>
      <w:marBottom w:val="0"/>
      <w:divBdr>
        <w:top w:val="none" w:sz="0" w:space="0" w:color="auto"/>
        <w:left w:val="none" w:sz="0" w:space="0" w:color="auto"/>
        <w:bottom w:val="none" w:sz="0" w:space="0" w:color="auto"/>
        <w:right w:val="none" w:sz="0" w:space="0" w:color="auto"/>
      </w:divBdr>
    </w:div>
    <w:div w:id="1233615611">
      <w:bodyDiv w:val="1"/>
      <w:marLeft w:val="0"/>
      <w:marRight w:val="0"/>
      <w:marTop w:val="0"/>
      <w:marBottom w:val="0"/>
      <w:divBdr>
        <w:top w:val="none" w:sz="0" w:space="0" w:color="auto"/>
        <w:left w:val="none" w:sz="0" w:space="0" w:color="auto"/>
        <w:bottom w:val="none" w:sz="0" w:space="0" w:color="auto"/>
        <w:right w:val="none" w:sz="0" w:space="0" w:color="auto"/>
      </w:divBdr>
    </w:div>
    <w:div w:id="1242645553">
      <w:bodyDiv w:val="1"/>
      <w:marLeft w:val="0"/>
      <w:marRight w:val="0"/>
      <w:marTop w:val="0"/>
      <w:marBottom w:val="0"/>
      <w:divBdr>
        <w:top w:val="none" w:sz="0" w:space="0" w:color="auto"/>
        <w:left w:val="none" w:sz="0" w:space="0" w:color="auto"/>
        <w:bottom w:val="none" w:sz="0" w:space="0" w:color="auto"/>
        <w:right w:val="none" w:sz="0" w:space="0" w:color="auto"/>
      </w:divBdr>
    </w:div>
    <w:div w:id="1247615588">
      <w:bodyDiv w:val="1"/>
      <w:marLeft w:val="0"/>
      <w:marRight w:val="0"/>
      <w:marTop w:val="0"/>
      <w:marBottom w:val="0"/>
      <w:divBdr>
        <w:top w:val="none" w:sz="0" w:space="0" w:color="auto"/>
        <w:left w:val="none" w:sz="0" w:space="0" w:color="auto"/>
        <w:bottom w:val="none" w:sz="0" w:space="0" w:color="auto"/>
        <w:right w:val="none" w:sz="0" w:space="0" w:color="auto"/>
      </w:divBdr>
    </w:div>
    <w:div w:id="1272080733">
      <w:bodyDiv w:val="1"/>
      <w:marLeft w:val="0"/>
      <w:marRight w:val="0"/>
      <w:marTop w:val="0"/>
      <w:marBottom w:val="0"/>
      <w:divBdr>
        <w:top w:val="none" w:sz="0" w:space="0" w:color="auto"/>
        <w:left w:val="none" w:sz="0" w:space="0" w:color="auto"/>
        <w:bottom w:val="none" w:sz="0" w:space="0" w:color="auto"/>
        <w:right w:val="none" w:sz="0" w:space="0" w:color="auto"/>
      </w:divBdr>
    </w:div>
    <w:div w:id="1287397071">
      <w:bodyDiv w:val="1"/>
      <w:marLeft w:val="0"/>
      <w:marRight w:val="0"/>
      <w:marTop w:val="0"/>
      <w:marBottom w:val="0"/>
      <w:divBdr>
        <w:top w:val="none" w:sz="0" w:space="0" w:color="auto"/>
        <w:left w:val="none" w:sz="0" w:space="0" w:color="auto"/>
        <w:bottom w:val="none" w:sz="0" w:space="0" w:color="auto"/>
        <w:right w:val="none" w:sz="0" w:space="0" w:color="auto"/>
      </w:divBdr>
    </w:div>
    <w:div w:id="1308515200">
      <w:bodyDiv w:val="1"/>
      <w:marLeft w:val="0"/>
      <w:marRight w:val="0"/>
      <w:marTop w:val="0"/>
      <w:marBottom w:val="0"/>
      <w:divBdr>
        <w:top w:val="none" w:sz="0" w:space="0" w:color="auto"/>
        <w:left w:val="none" w:sz="0" w:space="0" w:color="auto"/>
        <w:bottom w:val="none" w:sz="0" w:space="0" w:color="auto"/>
        <w:right w:val="none" w:sz="0" w:space="0" w:color="auto"/>
      </w:divBdr>
    </w:div>
    <w:div w:id="1362630732">
      <w:bodyDiv w:val="1"/>
      <w:marLeft w:val="0"/>
      <w:marRight w:val="0"/>
      <w:marTop w:val="0"/>
      <w:marBottom w:val="0"/>
      <w:divBdr>
        <w:top w:val="none" w:sz="0" w:space="0" w:color="auto"/>
        <w:left w:val="none" w:sz="0" w:space="0" w:color="auto"/>
        <w:bottom w:val="none" w:sz="0" w:space="0" w:color="auto"/>
        <w:right w:val="none" w:sz="0" w:space="0" w:color="auto"/>
      </w:divBdr>
    </w:div>
    <w:div w:id="1424955931">
      <w:bodyDiv w:val="1"/>
      <w:marLeft w:val="0"/>
      <w:marRight w:val="0"/>
      <w:marTop w:val="0"/>
      <w:marBottom w:val="0"/>
      <w:divBdr>
        <w:top w:val="none" w:sz="0" w:space="0" w:color="auto"/>
        <w:left w:val="none" w:sz="0" w:space="0" w:color="auto"/>
        <w:bottom w:val="none" w:sz="0" w:space="0" w:color="auto"/>
        <w:right w:val="none" w:sz="0" w:space="0" w:color="auto"/>
      </w:divBdr>
    </w:div>
    <w:div w:id="1443913194">
      <w:bodyDiv w:val="1"/>
      <w:marLeft w:val="0"/>
      <w:marRight w:val="0"/>
      <w:marTop w:val="0"/>
      <w:marBottom w:val="0"/>
      <w:divBdr>
        <w:top w:val="none" w:sz="0" w:space="0" w:color="auto"/>
        <w:left w:val="none" w:sz="0" w:space="0" w:color="auto"/>
        <w:bottom w:val="none" w:sz="0" w:space="0" w:color="auto"/>
        <w:right w:val="none" w:sz="0" w:space="0" w:color="auto"/>
      </w:divBdr>
    </w:div>
    <w:div w:id="1444034856">
      <w:bodyDiv w:val="1"/>
      <w:marLeft w:val="0"/>
      <w:marRight w:val="0"/>
      <w:marTop w:val="0"/>
      <w:marBottom w:val="0"/>
      <w:divBdr>
        <w:top w:val="none" w:sz="0" w:space="0" w:color="auto"/>
        <w:left w:val="none" w:sz="0" w:space="0" w:color="auto"/>
        <w:bottom w:val="none" w:sz="0" w:space="0" w:color="auto"/>
        <w:right w:val="none" w:sz="0" w:space="0" w:color="auto"/>
      </w:divBdr>
    </w:div>
    <w:div w:id="1445923765">
      <w:bodyDiv w:val="1"/>
      <w:marLeft w:val="0"/>
      <w:marRight w:val="0"/>
      <w:marTop w:val="0"/>
      <w:marBottom w:val="0"/>
      <w:divBdr>
        <w:top w:val="none" w:sz="0" w:space="0" w:color="auto"/>
        <w:left w:val="none" w:sz="0" w:space="0" w:color="auto"/>
        <w:bottom w:val="none" w:sz="0" w:space="0" w:color="auto"/>
        <w:right w:val="none" w:sz="0" w:space="0" w:color="auto"/>
      </w:divBdr>
    </w:div>
    <w:div w:id="1475559273">
      <w:bodyDiv w:val="1"/>
      <w:marLeft w:val="0"/>
      <w:marRight w:val="0"/>
      <w:marTop w:val="0"/>
      <w:marBottom w:val="0"/>
      <w:divBdr>
        <w:top w:val="none" w:sz="0" w:space="0" w:color="auto"/>
        <w:left w:val="none" w:sz="0" w:space="0" w:color="auto"/>
        <w:bottom w:val="none" w:sz="0" w:space="0" w:color="auto"/>
        <w:right w:val="none" w:sz="0" w:space="0" w:color="auto"/>
      </w:divBdr>
    </w:div>
    <w:div w:id="1594626802">
      <w:bodyDiv w:val="1"/>
      <w:marLeft w:val="0"/>
      <w:marRight w:val="0"/>
      <w:marTop w:val="0"/>
      <w:marBottom w:val="0"/>
      <w:divBdr>
        <w:top w:val="none" w:sz="0" w:space="0" w:color="auto"/>
        <w:left w:val="none" w:sz="0" w:space="0" w:color="auto"/>
        <w:bottom w:val="none" w:sz="0" w:space="0" w:color="auto"/>
        <w:right w:val="none" w:sz="0" w:space="0" w:color="auto"/>
      </w:divBdr>
    </w:div>
    <w:div w:id="1637098694">
      <w:bodyDiv w:val="1"/>
      <w:marLeft w:val="0"/>
      <w:marRight w:val="0"/>
      <w:marTop w:val="0"/>
      <w:marBottom w:val="0"/>
      <w:divBdr>
        <w:top w:val="none" w:sz="0" w:space="0" w:color="auto"/>
        <w:left w:val="none" w:sz="0" w:space="0" w:color="auto"/>
        <w:bottom w:val="none" w:sz="0" w:space="0" w:color="auto"/>
        <w:right w:val="none" w:sz="0" w:space="0" w:color="auto"/>
      </w:divBdr>
    </w:div>
    <w:div w:id="1674647893">
      <w:bodyDiv w:val="1"/>
      <w:marLeft w:val="0"/>
      <w:marRight w:val="0"/>
      <w:marTop w:val="0"/>
      <w:marBottom w:val="0"/>
      <w:divBdr>
        <w:top w:val="none" w:sz="0" w:space="0" w:color="auto"/>
        <w:left w:val="none" w:sz="0" w:space="0" w:color="auto"/>
        <w:bottom w:val="none" w:sz="0" w:space="0" w:color="auto"/>
        <w:right w:val="none" w:sz="0" w:space="0" w:color="auto"/>
      </w:divBdr>
    </w:div>
    <w:div w:id="1675109578">
      <w:bodyDiv w:val="1"/>
      <w:marLeft w:val="0"/>
      <w:marRight w:val="0"/>
      <w:marTop w:val="0"/>
      <w:marBottom w:val="0"/>
      <w:divBdr>
        <w:top w:val="none" w:sz="0" w:space="0" w:color="auto"/>
        <w:left w:val="none" w:sz="0" w:space="0" w:color="auto"/>
        <w:bottom w:val="none" w:sz="0" w:space="0" w:color="auto"/>
        <w:right w:val="none" w:sz="0" w:space="0" w:color="auto"/>
      </w:divBdr>
    </w:div>
    <w:div w:id="1689405490">
      <w:bodyDiv w:val="1"/>
      <w:marLeft w:val="0"/>
      <w:marRight w:val="0"/>
      <w:marTop w:val="0"/>
      <w:marBottom w:val="0"/>
      <w:divBdr>
        <w:top w:val="none" w:sz="0" w:space="0" w:color="auto"/>
        <w:left w:val="none" w:sz="0" w:space="0" w:color="auto"/>
        <w:bottom w:val="none" w:sz="0" w:space="0" w:color="auto"/>
        <w:right w:val="none" w:sz="0" w:space="0" w:color="auto"/>
      </w:divBdr>
    </w:div>
    <w:div w:id="1704282699">
      <w:bodyDiv w:val="1"/>
      <w:marLeft w:val="0"/>
      <w:marRight w:val="0"/>
      <w:marTop w:val="0"/>
      <w:marBottom w:val="0"/>
      <w:divBdr>
        <w:top w:val="none" w:sz="0" w:space="0" w:color="auto"/>
        <w:left w:val="none" w:sz="0" w:space="0" w:color="auto"/>
        <w:bottom w:val="none" w:sz="0" w:space="0" w:color="auto"/>
        <w:right w:val="none" w:sz="0" w:space="0" w:color="auto"/>
      </w:divBdr>
    </w:div>
    <w:div w:id="1713338897">
      <w:bodyDiv w:val="1"/>
      <w:marLeft w:val="0"/>
      <w:marRight w:val="0"/>
      <w:marTop w:val="0"/>
      <w:marBottom w:val="0"/>
      <w:divBdr>
        <w:top w:val="none" w:sz="0" w:space="0" w:color="auto"/>
        <w:left w:val="none" w:sz="0" w:space="0" w:color="auto"/>
        <w:bottom w:val="none" w:sz="0" w:space="0" w:color="auto"/>
        <w:right w:val="none" w:sz="0" w:space="0" w:color="auto"/>
      </w:divBdr>
    </w:div>
    <w:div w:id="1713383695">
      <w:bodyDiv w:val="1"/>
      <w:marLeft w:val="0"/>
      <w:marRight w:val="0"/>
      <w:marTop w:val="0"/>
      <w:marBottom w:val="0"/>
      <w:divBdr>
        <w:top w:val="none" w:sz="0" w:space="0" w:color="auto"/>
        <w:left w:val="none" w:sz="0" w:space="0" w:color="auto"/>
        <w:bottom w:val="none" w:sz="0" w:space="0" w:color="auto"/>
        <w:right w:val="none" w:sz="0" w:space="0" w:color="auto"/>
      </w:divBdr>
    </w:div>
    <w:div w:id="1780443583">
      <w:bodyDiv w:val="1"/>
      <w:marLeft w:val="0"/>
      <w:marRight w:val="0"/>
      <w:marTop w:val="0"/>
      <w:marBottom w:val="0"/>
      <w:divBdr>
        <w:top w:val="none" w:sz="0" w:space="0" w:color="auto"/>
        <w:left w:val="none" w:sz="0" w:space="0" w:color="auto"/>
        <w:bottom w:val="none" w:sz="0" w:space="0" w:color="auto"/>
        <w:right w:val="none" w:sz="0" w:space="0" w:color="auto"/>
      </w:divBdr>
    </w:div>
    <w:div w:id="1800105038">
      <w:bodyDiv w:val="1"/>
      <w:marLeft w:val="0"/>
      <w:marRight w:val="0"/>
      <w:marTop w:val="0"/>
      <w:marBottom w:val="0"/>
      <w:divBdr>
        <w:top w:val="none" w:sz="0" w:space="0" w:color="auto"/>
        <w:left w:val="none" w:sz="0" w:space="0" w:color="auto"/>
        <w:bottom w:val="none" w:sz="0" w:space="0" w:color="auto"/>
        <w:right w:val="none" w:sz="0" w:space="0" w:color="auto"/>
      </w:divBdr>
    </w:div>
    <w:div w:id="1800764227">
      <w:bodyDiv w:val="1"/>
      <w:marLeft w:val="0"/>
      <w:marRight w:val="0"/>
      <w:marTop w:val="0"/>
      <w:marBottom w:val="0"/>
      <w:divBdr>
        <w:top w:val="none" w:sz="0" w:space="0" w:color="auto"/>
        <w:left w:val="none" w:sz="0" w:space="0" w:color="auto"/>
        <w:bottom w:val="none" w:sz="0" w:space="0" w:color="auto"/>
        <w:right w:val="none" w:sz="0" w:space="0" w:color="auto"/>
      </w:divBdr>
    </w:div>
    <w:div w:id="1820228541">
      <w:bodyDiv w:val="1"/>
      <w:marLeft w:val="0"/>
      <w:marRight w:val="0"/>
      <w:marTop w:val="0"/>
      <w:marBottom w:val="0"/>
      <w:divBdr>
        <w:top w:val="none" w:sz="0" w:space="0" w:color="auto"/>
        <w:left w:val="none" w:sz="0" w:space="0" w:color="auto"/>
        <w:bottom w:val="none" w:sz="0" w:space="0" w:color="auto"/>
        <w:right w:val="none" w:sz="0" w:space="0" w:color="auto"/>
      </w:divBdr>
    </w:div>
    <w:div w:id="1831949003">
      <w:bodyDiv w:val="1"/>
      <w:marLeft w:val="0"/>
      <w:marRight w:val="0"/>
      <w:marTop w:val="0"/>
      <w:marBottom w:val="0"/>
      <w:divBdr>
        <w:top w:val="none" w:sz="0" w:space="0" w:color="auto"/>
        <w:left w:val="none" w:sz="0" w:space="0" w:color="auto"/>
        <w:bottom w:val="none" w:sz="0" w:space="0" w:color="auto"/>
        <w:right w:val="none" w:sz="0" w:space="0" w:color="auto"/>
      </w:divBdr>
    </w:div>
    <w:div w:id="1894195065">
      <w:bodyDiv w:val="1"/>
      <w:marLeft w:val="0"/>
      <w:marRight w:val="0"/>
      <w:marTop w:val="0"/>
      <w:marBottom w:val="0"/>
      <w:divBdr>
        <w:top w:val="none" w:sz="0" w:space="0" w:color="auto"/>
        <w:left w:val="none" w:sz="0" w:space="0" w:color="auto"/>
        <w:bottom w:val="none" w:sz="0" w:space="0" w:color="auto"/>
        <w:right w:val="none" w:sz="0" w:space="0" w:color="auto"/>
      </w:divBdr>
    </w:div>
    <w:div w:id="1963145869">
      <w:bodyDiv w:val="1"/>
      <w:marLeft w:val="0"/>
      <w:marRight w:val="0"/>
      <w:marTop w:val="0"/>
      <w:marBottom w:val="0"/>
      <w:divBdr>
        <w:top w:val="none" w:sz="0" w:space="0" w:color="auto"/>
        <w:left w:val="none" w:sz="0" w:space="0" w:color="auto"/>
        <w:bottom w:val="none" w:sz="0" w:space="0" w:color="auto"/>
        <w:right w:val="none" w:sz="0" w:space="0" w:color="auto"/>
      </w:divBdr>
    </w:div>
    <w:div w:id="1981106674">
      <w:bodyDiv w:val="1"/>
      <w:marLeft w:val="0"/>
      <w:marRight w:val="0"/>
      <w:marTop w:val="0"/>
      <w:marBottom w:val="0"/>
      <w:divBdr>
        <w:top w:val="none" w:sz="0" w:space="0" w:color="auto"/>
        <w:left w:val="none" w:sz="0" w:space="0" w:color="auto"/>
        <w:bottom w:val="none" w:sz="0" w:space="0" w:color="auto"/>
        <w:right w:val="none" w:sz="0" w:space="0" w:color="auto"/>
      </w:divBdr>
    </w:div>
    <w:div w:id="2000109879">
      <w:bodyDiv w:val="1"/>
      <w:marLeft w:val="0"/>
      <w:marRight w:val="0"/>
      <w:marTop w:val="0"/>
      <w:marBottom w:val="0"/>
      <w:divBdr>
        <w:top w:val="none" w:sz="0" w:space="0" w:color="auto"/>
        <w:left w:val="none" w:sz="0" w:space="0" w:color="auto"/>
        <w:bottom w:val="none" w:sz="0" w:space="0" w:color="auto"/>
        <w:right w:val="none" w:sz="0" w:space="0" w:color="auto"/>
      </w:divBdr>
    </w:div>
    <w:div w:id="2031031802">
      <w:bodyDiv w:val="1"/>
      <w:marLeft w:val="0"/>
      <w:marRight w:val="0"/>
      <w:marTop w:val="0"/>
      <w:marBottom w:val="0"/>
      <w:divBdr>
        <w:top w:val="none" w:sz="0" w:space="0" w:color="auto"/>
        <w:left w:val="none" w:sz="0" w:space="0" w:color="auto"/>
        <w:bottom w:val="none" w:sz="0" w:space="0" w:color="auto"/>
        <w:right w:val="none" w:sz="0" w:space="0" w:color="auto"/>
      </w:divBdr>
    </w:div>
    <w:div w:id="2033342644">
      <w:bodyDiv w:val="1"/>
      <w:marLeft w:val="0"/>
      <w:marRight w:val="0"/>
      <w:marTop w:val="0"/>
      <w:marBottom w:val="0"/>
      <w:divBdr>
        <w:top w:val="none" w:sz="0" w:space="0" w:color="auto"/>
        <w:left w:val="none" w:sz="0" w:space="0" w:color="auto"/>
        <w:bottom w:val="none" w:sz="0" w:space="0" w:color="auto"/>
        <w:right w:val="none" w:sz="0" w:space="0" w:color="auto"/>
      </w:divBdr>
    </w:div>
    <w:div w:id="2065714734">
      <w:bodyDiv w:val="1"/>
      <w:marLeft w:val="0"/>
      <w:marRight w:val="0"/>
      <w:marTop w:val="0"/>
      <w:marBottom w:val="0"/>
      <w:divBdr>
        <w:top w:val="none" w:sz="0" w:space="0" w:color="auto"/>
        <w:left w:val="none" w:sz="0" w:space="0" w:color="auto"/>
        <w:bottom w:val="none" w:sz="0" w:space="0" w:color="auto"/>
        <w:right w:val="none" w:sz="0" w:space="0" w:color="auto"/>
      </w:divBdr>
    </w:div>
    <w:div w:id="2084795749">
      <w:bodyDiv w:val="1"/>
      <w:marLeft w:val="0"/>
      <w:marRight w:val="0"/>
      <w:marTop w:val="0"/>
      <w:marBottom w:val="0"/>
      <w:divBdr>
        <w:top w:val="none" w:sz="0" w:space="0" w:color="auto"/>
        <w:left w:val="none" w:sz="0" w:space="0" w:color="auto"/>
        <w:bottom w:val="none" w:sz="0" w:space="0" w:color="auto"/>
        <w:right w:val="none" w:sz="0" w:space="0" w:color="auto"/>
      </w:divBdr>
    </w:div>
    <w:div w:id="2088187032">
      <w:bodyDiv w:val="1"/>
      <w:marLeft w:val="0"/>
      <w:marRight w:val="0"/>
      <w:marTop w:val="0"/>
      <w:marBottom w:val="0"/>
      <w:divBdr>
        <w:top w:val="none" w:sz="0" w:space="0" w:color="auto"/>
        <w:left w:val="none" w:sz="0" w:space="0" w:color="auto"/>
        <w:bottom w:val="none" w:sz="0" w:space="0" w:color="auto"/>
        <w:right w:val="none" w:sz="0" w:space="0" w:color="auto"/>
      </w:divBdr>
    </w:div>
    <w:div w:id="2107383984">
      <w:bodyDiv w:val="1"/>
      <w:marLeft w:val="0"/>
      <w:marRight w:val="0"/>
      <w:marTop w:val="0"/>
      <w:marBottom w:val="0"/>
      <w:divBdr>
        <w:top w:val="none" w:sz="0" w:space="0" w:color="auto"/>
        <w:left w:val="none" w:sz="0" w:space="0" w:color="auto"/>
        <w:bottom w:val="none" w:sz="0" w:space="0" w:color="auto"/>
        <w:right w:val="none" w:sz="0" w:space="0" w:color="auto"/>
      </w:divBdr>
    </w:div>
    <w:div w:id="2114206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say.edu.au" TargetMode="External"/><Relationship Id="rId18" Type="http://schemas.openxmlformats.org/officeDocument/2006/relationships/hyperlink" Target="http://www.lsay.edu.au" TargetMode="Externa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hyperlink" Target="mailto:ncver@ncver.edu.au" TargetMode="External"/><Relationship Id="rId25" Type="http://schemas.openxmlformats.org/officeDocument/2006/relationships/chart" Target="charts/chart6.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linkedin.com/company/ncver" TargetMode="Externa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hart" Target="charts/chart5.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hyperlink" Target="http://www.linkedin.com/company/ncver"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Presentation'!$C$4</c:f>
              <c:strCache>
                <c:ptCount val="1"/>
                <c:pt idx="0">
                  <c:v>Actual change</c:v>
                </c:pt>
              </c:strCache>
            </c:strRef>
          </c:tx>
          <c:marker>
            <c:symbol val="none"/>
          </c:marker>
          <c:val>
            <c:numRef>
              <c:f>'Figures for Presentation'!$C$5:$C$19</c:f>
              <c:numCache>
                <c:formatCode>0.0</c:formatCode>
                <c:ptCount val="15"/>
                <c:pt idx="0">
                  <c:v>-0.9</c:v>
                </c:pt>
                <c:pt idx="1">
                  <c:v>0.2</c:v>
                </c:pt>
                <c:pt idx="2">
                  <c:v>0.2</c:v>
                </c:pt>
                <c:pt idx="3">
                  <c:v>0.3000000000000001</c:v>
                </c:pt>
                <c:pt idx="4">
                  <c:v>0.4</c:v>
                </c:pt>
                <c:pt idx="5">
                  <c:v>0.6000000000000002</c:v>
                </c:pt>
                <c:pt idx="6">
                  <c:v>0.70000000000000018</c:v>
                </c:pt>
                <c:pt idx="7">
                  <c:v>1</c:v>
                </c:pt>
                <c:pt idx="8">
                  <c:v>1</c:v>
                </c:pt>
                <c:pt idx="9">
                  <c:v>1.5</c:v>
                </c:pt>
                <c:pt idx="10">
                  <c:v>1.7</c:v>
                </c:pt>
                <c:pt idx="11">
                  <c:v>1.7</c:v>
                </c:pt>
                <c:pt idx="12">
                  <c:v>1.9000000000000001</c:v>
                </c:pt>
                <c:pt idx="13">
                  <c:v>3.2</c:v>
                </c:pt>
                <c:pt idx="14">
                  <c:v>3.8</c:v>
                </c:pt>
              </c:numCache>
            </c:numRef>
          </c:val>
          <c:smooth val="0"/>
        </c:ser>
        <c:ser>
          <c:idx val="1"/>
          <c:order val="1"/>
          <c:tx>
            <c:strRef>
              <c:f>'Figures for Presentation'!$D$4</c:f>
              <c:strCache>
                <c:ptCount val="1"/>
                <c:pt idx="0">
                  <c:v>Apparent change</c:v>
                </c:pt>
              </c:strCache>
            </c:strRef>
          </c:tx>
          <c:spPr>
            <a:ln>
              <a:prstDash val="sysDot"/>
            </a:ln>
          </c:spPr>
          <c:marker>
            <c:symbol val="none"/>
          </c:marker>
          <c:val>
            <c:numRef>
              <c:f>'Figures for Presentation'!$D$5:$D$19</c:f>
              <c:numCache>
                <c:formatCode>0.0</c:formatCode>
                <c:ptCount val="15"/>
                <c:pt idx="0">
                  <c:v>3.2</c:v>
                </c:pt>
                <c:pt idx="1">
                  <c:v>1.3</c:v>
                </c:pt>
                <c:pt idx="2">
                  <c:v>0.5</c:v>
                </c:pt>
                <c:pt idx="3">
                  <c:v>0.4</c:v>
                </c:pt>
                <c:pt idx="4">
                  <c:v>0.5</c:v>
                </c:pt>
                <c:pt idx="5">
                  <c:v>0.6000000000000002</c:v>
                </c:pt>
                <c:pt idx="6">
                  <c:v>0.4</c:v>
                </c:pt>
                <c:pt idx="7">
                  <c:v>1.2</c:v>
                </c:pt>
                <c:pt idx="8">
                  <c:v>1</c:v>
                </c:pt>
                <c:pt idx="9">
                  <c:v>1.5</c:v>
                </c:pt>
                <c:pt idx="10">
                  <c:v>4.5</c:v>
                </c:pt>
                <c:pt idx="11">
                  <c:v>-0.2</c:v>
                </c:pt>
                <c:pt idx="12">
                  <c:v>0.9</c:v>
                </c:pt>
                <c:pt idx="13">
                  <c:v>1</c:v>
                </c:pt>
                <c:pt idx="14">
                  <c:v>4.1199999999999983</c:v>
                </c:pt>
              </c:numCache>
            </c:numRef>
          </c:val>
          <c:smooth val="0"/>
        </c:ser>
        <c:dLbls>
          <c:showLegendKey val="0"/>
          <c:showVal val="0"/>
          <c:showCatName val="0"/>
          <c:showSerName val="0"/>
          <c:showPercent val="0"/>
          <c:showBubbleSize val="0"/>
        </c:dLbls>
        <c:marker val="1"/>
        <c:smooth val="0"/>
        <c:axId val="152935040"/>
        <c:axId val="152953216"/>
      </c:lineChart>
      <c:catAx>
        <c:axId val="152935040"/>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52953216"/>
        <c:crosses val="autoZero"/>
        <c:auto val="1"/>
        <c:lblAlgn val="ctr"/>
        <c:lblOffset val="100"/>
        <c:noMultiLvlLbl val="0"/>
      </c:catAx>
      <c:valAx>
        <c:axId val="152953216"/>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Change in VET participation between 2006 and 2011</a:t>
                </a:r>
              </a:p>
            </c:rich>
          </c:tx>
          <c:layout/>
          <c:overlay val="0"/>
        </c:title>
        <c:numFmt formatCode="0.0" sourceLinked="1"/>
        <c:majorTickMark val="out"/>
        <c:minorTickMark val="none"/>
        <c:tickLblPos val="nextTo"/>
        <c:txPr>
          <a:bodyPr/>
          <a:lstStyle/>
          <a:p>
            <a:pPr>
              <a:defRPr sz="800">
                <a:latin typeface="Arial" pitchFamily="34" charset="0"/>
                <a:cs typeface="Arial" pitchFamily="34" charset="0"/>
              </a:defRPr>
            </a:pPr>
            <a:endParaRPr lang="en-US"/>
          </a:p>
        </c:txPr>
        <c:crossAx val="152935040"/>
        <c:crosses val="autoZero"/>
        <c:crossBetween val="between"/>
      </c:valAx>
    </c:plotArea>
    <c:legend>
      <c:legendPos val="r"/>
      <c:layout>
        <c:manualLayout>
          <c:xMode val="edge"/>
          <c:yMode val="edge"/>
          <c:x val="0.21958338541015718"/>
          <c:y val="0.10719634004082836"/>
          <c:w val="0.26044973544973543"/>
          <c:h val="0.13745917177019545"/>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Presentation'!$E$180</c:f>
              <c:strCache>
                <c:ptCount val="1"/>
                <c:pt idx="0">
                  <c:v>Actual change</c:v>
                </c:pt>
              </c:strCache>
            </c:strRef>
          </c:tx>
          <c:marker>
            <c:symbol val="none"/>
          </c:marker>
          <c:val>
            <c:numRef>
              <c:f>'Figures for Presentation'!$E$181:$E$215</c:f>
              <c:numCache>
                <c:formatCode>0.00</c:formatCode>
                <c:ptCount val="35"/>
                <c:pt idx="0">
                  <c:v>0.1574429144151997</c:v>
                </c:pt>
                <c:pt idx="1">
                  <c:v>0.24572315049386587</c:v>
                </c:pt>
                <c:pt idx="2">
                  <c:v>0.28490500261460705</c:v>
                </c:pt>
                <c:pt idx="3">
                  <c:v>0.2968887876803965</c:v>
                </c:pt>
                <c:pt idx="4">
                  <c:v>0.34816059423113921</c:v>
                </c:pt>
                <c:pt idx="5">
                  <c:v>0.38381481000558937</c:v>
                </c:pt>
                <c:pt idx="6">
                  <c:v>0.44518040787868246</c:v>
                </c:pt>
                <c:pt idx="7">
                  <c:v>0.44627943056738623</c:v>
                </c:pt>
                <c:pt idx="8">
                  <c:v>0.57330812622000893</c:v>
                </c:pt>
                <c:pt idx="9">
                  <c:v>0.62841310747122192</c:v>
                </c:pt>
                <c:pt idx="10">
                  <c:v>0.6431391205942697</c:v>
                </c:pt>
                <c:pt idx="11">
                  <c:v>0.72172724943781863</c:v>
                </c:pt>
                <c:pt idx="12">
                  <c:v>0.91794491894718511</c:v>
                </c:pt>
                <c:pt idx="13">
                  <c:v>0.96392323182666373</c:v>
                </c:pt>
                <c:pt idx="14">
                  <c:v>1.0770402208875358</c:v>
                </c:pt>
                <c:pt idx="15">
                  <c:v>1.2002788914066584</c:v>
                </c:pt>
                <c:pt idx="16">
                  <c:v>1.2295641101434769</c:v>
                </c:pt>
                <c:pt idx="17">
                  <c:v>1.3044709778629946</c:v>
                </c:pt>
                <c:pt idx="18">
                  <c:v>1.3195534059764455</c:v>
                </c:pt>
                <c:pt idx="19">
                  <c:v>1.3640759925016241</c:v>
                </c:pt>
                <c:pt idx="20">
                  <c:v>1.4039131950496766</c:v>
                </c:pt>
                <c:pt idx="21">
                  <c:v>1.4718112385041202</c:v>
                </c:pt>
                <c:pt idx="22">
                  <c:v>1.4769007429335914</c:v>
                </c:pt>
                <c:pt idx="23">
                  <c:v>1.5109046800308534</c:v>
                </c:pt>
                <c:pt idx="24">
                  <c:v>1.580454126526275</c:v>
                </c:pt>
                <c:pt idx="25">
                  <c:v>1.6963078532236544</c:v>
                </c:pt>
                <c:pt idx="26">
                  <c:v>1.7496400813595443</c:v>
                </c:pt>
                <c:pt idx="27">
                  <c:v>1.7965476273833052</c:v>
                </c:pt>
                <c:pt idx="28">
                  <c:v>1.8599313996185702</c:v>
                </c:pt>
                <c:pt idx="29">
                  <c:v>1.9448701574213967</c:v>
                </c:pt>
                <c:pt idx="30">
                  <c:v>2.0470880419003175</c:v>
                </c:pt>
                <c:pt idx="31">
                  <c:v>2.0973296695800618</c:v>
                </c:pt>
                <c:pt idx="32">
                  <c:v>2.4031636276622872</c:v>
                </c:pt>
                <c:pt idx="33">
                  <c:v>2.9386840222693698</c:v>
                </c:pt>
                <c:pt idx="34">
                  <c:v>3.1869806512065328</c:v>
                </c:pt>
              </c:numCache>
            </c:numRef>
          </c:val>
          <c:smooth val="0"/>
        </c:ser>
        <c:ser>
          <c:idx val="1"/>
          <c:order val="1"/>
          <c:tx>
            <c:strRef>
              <c:f>'Figures for Presentation'!$F$180</c:f>
              <c:strCache>
                <c:ptCount val="1"/>
                <c:pt idx="0">
                  <c:v>Apparent change</c:v>
                </c:pt>
              </c:strCache>
            </c:strRef>
          </c:tx>
          <c:spPr>
            <a:ln>
              <a:prstDash val="sysDot"/>
            </a:ln>
          </c:spPr>
          <c:marker>
            <c:symbol val="none"/>
          </c:marker>
          <c:val>
            <c:numRef>
              <c:f>'Figures for Presentation'!$F$181:$F$215</c:f>
              <c:numCache>
                <c:formatCode>0.00</c:formatCode>
                <c:ptCount val="35"/>
                <c:pt idx="0">
                  <c:v>0.19722819453136145</c:v>
                </c:pt>
                <c:pt idx="1">
                  <c:v>0.25796915574078799</c:v>
                </c:pt>
                <c:pt idx="2">
                  <c:v>0.31712187021741983</c:v>
                </c:pt>
                <c:pt idx="3">
                  <c:v>0.36590283811304652</c:v>
                </c:pt>
                <c:pt idx="4">
                  <c:v>0.3298689261076756</c:v>
                </c:pt>
                <c:pt idx="5">
                  <c:v>0.39324385154567848</c:v>
                </c:pt>
                <c:pt idx="6">
                  <c:v>0.54451711040751449</c:v>
                </c:pt>
                <c:pt idx="7">
                  <c:v>0.45642960976756353</c:v>
                </c:pt>
                <c:pt idx="8">
                  <c:v>0.48895673465108341</c:v>
                </c:pt>
                <c:pt idx="9">
                  <c:v>0.61289111267999741</c:v>
                </c:pt>
                <c:pt idx="10">
                  <c:v>0.61909791471843023</c:v>
                </c:pt>
                <c:pt idx="11">
                  <c:v>0.72630808698856353</c:v>
                </c:pt>
                <c:pt idx="12">
                  <c:v>0.98161010700588003</c:v>
                </c:pt>
                <c:pt idx="13">
                  <c:v>0.91558805854973868</c:v>
                </c:pt>
                <c:pt idx="14">
                  <c:v>1.1565118422595511</c:v>
                </c:pt>
                <c:pt idx="15">
                  <c:v>1.3118985953541966</c:v>
                </c:pt>
                <c:pt idx="16">
                  <c:v>1.3121405534858435</c:v>
                </c:pt>
                <c:pt idx="17">
                  <c:v>1.5705839162788973</c:v>
                </c:pt>
                <c:pt idx="18">
                  <c:v>1.41699947002774</c:v>
                </c:pt>
                <c:pt idx="19">
                  <c:v>1.495417846892324</c:v>
                </c:pt>
                <c:pt idx="20">
                  <c:v>1.5626452200529144</c:v>
                </c:pt>
                <c:pt idx="21">
                  <c:v>1.3656431623599954</c:v>
                </c:pt>
                <c:pt idx="22">
                  <c:v>1.4153160748465461</c:v>
                </c:pt>
                <c:pt idx="23">
                  <c:v>1.5053753678321278</c:v>
                </c:pt>
                <c:pt idx="24">
                  <c:v>1.5280681451040792</c:v>
                </c:pt>
                <c:pt idx="25">
                  <c:v>1.697399627350872</c:v>
                </c:pt>
                <c:pt idx="26">
                  <c:v>1.5439659342857197</c:v>
                </c:pt>
                <c:pt idx="27">
                  <c:v>1.9381627284025122</c:v>
                </c:pt>
                <c:pt idx="28">
                  <c:v>1.8159093969457758</c:v>
                </c:pt>
                <c:pt idx="29">
                  <c:v>1.8640831812527308</c:v>
                </c:pt>
                <c:pt idx="30">
                  <c:v>2.0295498901004074</c:v>
                </c:pt>
                <c:pt idx="31">
                  <c:v>2.024905147985284</c:v>
                </c:pt>
                <c:pt idx="32">
                  <c:v>2.2837147729213028</c:v>
                </c:pt>
                <c:pt idx="33">
                  <c:v>3.0211413312673208</c:v>
                </c:pt>
                <c:pt idx="34">
                  <c:v>3.170440824610917</c:v>
                </c:pt>
              </c:numCache>
            </c:numRef>
          </c:val>
          <c:smooth val="0"/>
        </c:ser>
        <c:dLbls>
          <c:showLegendKey val="0"/>
          <c:showVal val="0"/>
          <c:showCatName val="0"/>
          <c:showSerName val="0"/>
          <c:showPercent val="0"/>
          <c:showBubbleSize val="0"/>
        </c:dLbls>
        <c:marker val="1"/>
        <c:smooth val="0"/>
        <c:axId val="169150720"/>
        <c:axId val="169156608"/>
      </c:lineChart>
      <c:catAx>
        <c:axId val="169150720"/>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9156608"/>
        <c:crosses val="autoZero"/>
        <c:auto val="1"/>
        <c:lblAlgn val="ctr"/>
        <c:lblOffset val="100"/>
        <c:noMultiLvlLbl val="0"/>
      </c:catAx>
      <c:valAx>
        <c:axId val="169156608"/>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en-US" sz="1000" b="1" i="0" baseline="0">
                    <a:effectLst/>
                    <a:latin typeface="Arial" pitchFamily="34" charset="0"/>
                    <a:cs typeface="Arial" pitchFamily="34" charset="0"/>
                  </a:rPr>
                  <a:t>Change in VET participation between 2006 and 2011</a:t>
                </a:r>
                <a:endParaRPr lang="en-AU" sz="100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endParaRPr lang="en-AU" sz="1000">
                  <a:latin typeface="Arial" pitchFamily="34" charset="0"/>
                  <a:cs typeface="Arial" pitchFamily="34" charset="0"/>
                </a:endParaRPr>
              </a:p>
            </c:rich>
          </c:tx>
          <c:layout/>
          <c:overlay val="0"/>
        </c:title>
        <c:numFmt formatCode="0.00" sourceLinked="1"/>
        <c:majorTickMark val="out"/>
        <c:minorTickMark val="none"/>
        <c:tickLblPos val="nextTo"/>
        <c:txPr>
          <a:bodyPr/>
          <a:lstStyle/>
          <a:p>
            <a:pPr>
              <a:defRPr sz="800">
                <a:latin typeface="Arial" pitchFamily="34" charset="0"/>
                <a:cs typeface="Arial" pitchFamily="34" charset="0"/>
              </a:defRPr>
            </a:pPr>
            <a:endParaRPr lang="en-US"/>
          </a:p>
        </c:txPr>
        <c:crossAx val="169150720"/>
        <c:crosses val="autoZero"/>
        <c:crossBetween val="between"/>
      </c:valAx>
    </c:plotArea>
    <c:legend>
      <c:legendPos val="r"/>
      <c:layout>
        <c:manualLayout>
          <c:xMode val="edge"/>
          <c:yMode val="edge"/>
          <c:x val="0.20392302917442587"/>
          <c:y val="0.28816637297108411"/>
          <c:w val="0.26554934823091236"/>
          <c:h val="0.16125092012223691"/>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Presentation'!$L$180</c:f>
              <c:strCache>
                <c:ptCount val="1"/>
                <c:pt idx="0">
                  <c:v>Actual change</c:v>
                </c:pt>
              </c:strCache>
            </c:strRef>
          </c:tx>
          <c:marker>
            <c:symbol val="none"/>
          </c:marker>
          <c:val>
            <c:numRef>
              <c:f>'Figures for Presentation'!$L$181:$L$215</c:f>
              <c:numCache>
                <c:formatCode>0.00</c:formatCode>
                <c:ptCount val="35"/>
                <c:pt idx="0">
                  <c:v>-0.82542409991068633</c:v>
                </c:pt>
                <c:pt idx="1">
                  <c:v>-0.75403089851823446</c:v>
                </c:pt>
                <c:pt idx="2">
                  <c:v>-0.6523220293802503</c:v>
                </c:pt>
                <c:pt idx="3">
                  <c:v>-0.5555042891823827</c:v>
                </c:pt>
                <c:pt idx="4">
                  <c:v>-0.53927257240369508</c:v>
                </c:pt>
                <c:pt idx="5">
                  <c:v>-0.12283027362092117</c:v>
                </c:pt>
                <c:pt idx="6">
                  <c:v>-0.11615619828848509</c:v>
                </c:pt>
                <c:pt idx="7">
                  <c:v>-8.6182449313816148E-2</c:v>
                </c:pt>
                <c:pt idx="8">
                  <c:v>-7.3750424773615625E-2</c:v>
                </c:pt>
                <c:pt idx="9">
                  <c:v>-6.0111329696103825E-2</c:v>
                </c:pt>
                <c:pt idx="10">
                  <c:v>-5.3779010407858985E-2</c:v>
                </c:pt>
                <c:pt idx="11">
                  <c:v>-4.9244091713248415E-2</c:v>
                </c:pt>
                <c:pt idx="12">
                  <c:v>-4.3700358920307082E-2</c:v>
                </c:pt>
                <c:pt idx="13">
                  <c:v>-4.0039472801873824E-2</c:v>
                </c:pt>
                <c:pt idx="14">
                  <c:v>-3.7849622442447349E-2</c:v>
                </c:pt>
                <c:pt idx="15">
                  <c:v>-3.4228278056457145E-2</c:v>
                </c:pt>
                <c:pt idx="16">
                  <c:v>-6.8905566687063047E-3</c:v>
                </c:pt>
                <c:pt idx="17">
                  <c:v>1.207805432939724E-2</c:v>
                </c:pt>
                <c:pt idx="18">
                  <c:v>9.6898114592995924E-2</c:v>
                </c:pt>
                <c:pt idx="19">
                  <c:v>0.25850599243392736</c:v>
                </c:pt>
                <c:pt idx="20">
                  <c:v>0.28245037913603332</c:v>
                </c:pt>
                <c:pt idx="21">
                  <c:v>0.50140711850315745</c:v>
                </c:pt>
                <c:pt idx="22">
                  <c:v>0.57867742554099277</c:v>
                </c:pt>
                <c:pt idx="23">
                  <c:v>0.61508972514920845</c:v>
                </c:pt>
                <c:pt idx="24">
                  <c:v>0.71813742817457471</c:v>
                </c:pt>
                <c:pt idx="25">
                  <c:v>0.76892028315906336</c:v>
                </c:pt>
                <c:pt idx="26">
                  <c:v>0.77814159860164356</c:v>
                </c:pt>
                <c:pt idx="27">
                  <c:v>0.83168636520035855</c:v>
                </c:pt>
                <c:pt idx="28">
                  <c:v>0.85083195971206149</c:v>
                </c:pt>
                <c:pt idx="29">
                  <c:v>0.87649297274186644</c:v>
                </c:pt>
                <c:pt idx="30">
                  <c:v>0.9161820105268681</c:v>
                </c:pt>
                <c:pt idx="31">
                  <c:v>1.0334498261602718</c:v>
                </c:pt>
                <c:pt idx="32">
                  <c:v>1.0750020119464756</c:v>
                </c:pt>
                <c:pt idx="33">
                  <c:v>1.0957234103121656</c:v>
                </c:pt>
                <c:pt idx="34">
                  <c:v>1.3400483298909087</c:v>
                </c:pt>
              </c:numCache>
            </c:numRef>
          </c:val>
          <c:smooth val="0"/>
        </c:ser>
        <c:ser>
          <c:idx val="1"/>
          <c:order val="1"/>
          <c:tx>
            <c:strRef>
              <c:f>'Figures for Presentation'!$M$180</c:f>
              <c:strCache>
                <c:ptCount val="1"/>
                <c:pt idx="0">
                  <c:v>Apparent change</c:v>
                </c:pt>
              </c:strCache>
            </c:strRef>
          </c:tx>
          <c:spPr>
            <a:ln>
              <a:prstDash val="sysDot"/>
            </a:ln>
          </c:spPr>
          <c:marker>
            <c:symbol val="none"/>
          </c:marker>
          <c:val>
            <c:numRef>
              <c:f>'Figures for Presentation'!$M$181:$M$215</c:f>
              <c:numCache>
                <c:formatCode>0.00</c:formatCode>
                <c:ptCount val="35"/>
                <c:pt idx="0">
                  <c:v>-1.0310982469845118</c:v>
                </c:pt>
                <c:pt idx="1">
                  <c:v>-0.75293912439101573</c:v>
                </c:pt>
                <c:pt idx="2">
                  <c:v>-0.57285040800823461</c:v>
                </c:pt>
                <c:pt idx="3">
                  <c:v>-0.45805822513108807</c:v>
                </c:pt>
                <c:pt idx="4">
                  <c:v>-0.47560738434499983</c:v>
                </c:pt>
                <c:pt idx="5">
                  <c:v>-0.11340123208083183</c:v>
                </c:pt>
                <c:pt idx="6">
                  <c:v>-4.7142147855834884E-2</c:v>
                </c:pt>
                <c:pt idx="7">
                  <c:v>-0.11022365518965586</c:v>
                </c:pt>
                <c:pt idx="8">
                  <c:v>-0.12208559805054089</c:v>
                </c:pt>
                <c:pt idx="9">
                  <c:v>-7.8402997819567832E-2</c:v>
                </c:pt>
                <c:pt idx="10">
                  <c:v>-2.1562142805046321E-2</c:v>
                </c:pt>
                <c:pt idx="11">
                  <c:v>-4.4663254162503503E-2</c:v>
                </c:pt>
                <c:pt idx="12">
                  <c:v>-3.1454353673384908E-2</c:v>
                </c:pt>
                <c:pt idx="13">
                  <c:v>-5.5561467593099101E-2</c:v>
                </c:pt>
                <c:pt idx="14">
                  <c:v>6.1487080086384975E-2</c:v>
                </c:pt>
                <c:pt idx="15">
                  <c:v>5.5570020597045817E-3</c:v>
                </c:pt>
                <c:pt idx="16">
                  <c:v>-9.124194823763182E-2</c:v>
                </c:pt>
                <c:pt idx="17">
                  <c:v>2.2228233529574443E-2</c:v>
                </c:pt>
                <c:pt idx="18">
                  <c:v>0.17947455793536141</c:v>
                </c:pt>
                <c:pt idx="19">
                  <c:v>0.2061200110117325</c:v>
                </c:pt>
                <c:pt idx="20">
                  <c:v>0.54856331755193533</c:v>
                </c:pt>
                <c:pt idx="21">
                  <c:v>0.61302682245069684</c:v>
                </c:pt>
                <c:pt idx="22">
                  <c:v>0.56113927374108452</c:v>
                </c:pt>
                <c:pt idx="23">
                  <c:v>0.77382175015244581</c:v>
                </c:pt>
                <c:pt idx="24">
                  <c:v>0.6565527600875285</c:v>
                </c:pt>
                <c:pt idx="25">
                  <c:v>0.90026213754976347</c:v>
                </c:pt>
                <c:pt idx="26">
                  <c:v>0.65869274386065668</c:v>
                </c:pt>
                <c:pt idx="27">
                  <c:v>0.72551828905623272</c:v>
                </c:pt>
                <c:pt idx="28">
                  <c:v>0.99244706073126787</c:v>
                </c:pt>
                <c:pt idx="29">
                  <c:v>0.87096366054314101</c:v>
                </c:pt>
                <c:pt idx="30">
                  <c:v>0.87216000785407388</c:v>
                </c:pt>
                <c:pt idx="31">
                  <c:v>0.95266284999160489</c:v>
                </c:pt>
                <c:pt idx="32">
                  <c:v>1.0025774903516973</c:v>
                </c:pt>
                <c:pt idx="33">
                  <c:v>1.178180719310117</c:v>
                </c:pt>
                <c:pt idx="34">
                  <c:v>1.323508503295294</c:v>
                </c:pt>
              </c:numCache>
            </c:numRef>
          </c:val>
          <c:smooth val="0"/>
        </c:ser>
        <c:dLbls>
          <c:showLegendKey val="0"/>
          <c:showVal val="0"/>
          <c:showCatName val="0"/>
          <c:showSerName val="0"/>
          <c:showPercent val="0"/>
          <c:showBubbleSize val="0"/>
        </c:dLbls>
        <c:marker val="1"/>
        <c:smooth val="0"/>
        <c:axId val="169706240"/>
        <c:axId val="169707776"/>
      </c:lineChart>
      <c:catAx>
        <c:axId val="169706240"/>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9707776"/>
        <c:crosses val="autoZero"/>
        <c:auto val="1"/>
        <c:lblAlgn val="ctr"/>
        <c:lblOffset val="100"/>
        <c:noMultiLvlLbl val="0"/>
      </c:catAx>
      <c:valAx>
        <c:axId val="169707776"/>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Arial" pitchFamily="34" charset="0"/>
                    <a:ea typeface="+mn-ea"/>
                    <a:cs typeface="Arial" pitchFamily="34" charset="0"/>
                  </a:defRPr>
                </a:pPr>
                <a:r>
                  <a:rPr lang="en-US" sz="800" b="1" i="0" baseline="0">
                    <a:effectLst/>
                    <a:latin typeface="Arial" pitchFamily="34" charset="0"/>
                    <a:cs typeface="Arial" pitchFamily="34" charset="0"/>
                  </a:rPr>
                  <a:t>Change in VET participation between 2006 and 2011</a:t>
                </a:r>
                <a:endParaRPr lang="en-AU" sz="80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Arial" pitchFamily="34" charset="0"/>
                    <a:ea typeface="+mn-ea"/>
                    <a:cs typeface="Arial" pitchFamily="34" charset="0"/>
                  </a:defRPr>
                </a:pPr>
                <a:endParaRPr lang="en-AU" sz="800">
                  <a:latin typeface="Arial" pitchFamily="34" charset="0"/>
                  <a:cs typeface="Arial" pitchFamily="34" charset="0"/>
                </a:endParaRPr>
              </a:p>
            </c:rich>
          </c:tx>
          <c:layout/>
          <c:overlay val="0"/>
        </c:title>
        <c:numFmt formatCode="0.00" sourceLinked="1"/>
        <c:majorTickMark val="out"/>
        <c:minorTickMark val="none"/>
        <c:tickLblPos val="nextTo"/>
        <c:txPr>
          <a:bodyPr/>
          <a:lstStyle/>
          <a:p>
            <a:pPr>
              <a:defRPr sz="800">
                <a:latin typeface="Arial" pitchFamily="34" charset="0"/>
                <a:cs typeface="Arial" pitchFamily="34" charset="0"/>
              </a:defRPr>
            </a:pPr>
            <a:endParaRPr lang="en-US"/>
          </a:p>
        </c:txPr>
        <c:crossAx val="169706240"/>
        <c:crosses val="autoZero"/>
        <c:crossBetween val="between"/>
      </c:valAx>
    </c:plotArea>
    <c:legend>
      <c:legendPos val="r"/>
      <c:layout>
        <c:manualLayout>
          <c:xMode val="edge"/>
          <c:yMode val="edge"/>
          <c:x val="0.31389587073608627"/>
          <c:y val="0.7205802233300721"/>
          <c:w val="0.23846798324356674"/>
          <c:h val="0.14266598332013239"/>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Presentation'!$C$25</c:f>
              <c:strCache>
                <c:ptCount val="1"/>
                <c:pt idx="0">
                  <c:v>Actual participation</c:v>
                </c:pt>
              </c:strCache>
            </c:strRef>
          </c:tx>
          <c:marker>
            <c:symbol val="none"/>
          </c:marker>
          <c:val>
            <c:numRef>
              <c:f>'Figures for Presentation'!$C$26:$C$30</c:f>
              <c:numCache>
                <c:formatCode>General</c:formatCode>
                <c:ptCount val="5"/>
                <c:pt idx="0">
                  <c:v>37.300000000000004</c:v>
                </c:pt>
                <c:pt idx="1">
                  <c:v>39.5</c:v>
                </c:pt>
                <c:pt idx="2">
                  <c:v>35.200000000000003</c:v>
                </c:pt>
                <c:pt idx="3">
                  <c:v>29.8</c:v>
                </c:pt>
                <c:pt idx="4">
                  <c:v>20.9</c:v>
                </c:pt>
              </c:numCache>
            </c:numRef>
          </c:val>
          <c:smooth val="0"/>
        </c:ser>
        <c:ser>
          <c:idx val="1"/>
          <c:order val="1"/>
          <c:tx>
            <c:strRef>
              <c:f>'Figures for Presentation'!$D$25</c:f>
              <c:strCache>
                <c:ptCount val="1"/>
                <c:pt idx="0">
                  <c:v>Apparent participation</c:v>
                </c:pt>
              </c:strCache>
            </c:strRef>
          </c:tx>
          <c:spPr>
            <a:ln>
              <a:prstDash val="sysDot"/>
            </a:ln>
          </c:spPr>
          <c:marker>
            <c:symbol val="none"/>
          </c:marker>
          <c:val>
            <c:numRef>
              <c:f>'Figures for Presentation'!$D$26:$D$30</c:f>
              <c:numCache>
                <c:formatCode>General</c:formatCode>
                <c:ptCount val="5"/>
                <c:pt idx="0">
                  <c:v>35.6</c:v>
                </c:pt>
                <c:pt idx="1">
                  <c:v>39.6</c:v>
                </c:pt>
                <c:pt idx="2">
                  <c:v>34.700000000000003</c:v>
                </c:pt>
                <c:pt idx="3">
                  <c:v>30.2</c:v>
                </c:pt>
                <c:pt idx="4">
                  <c:v>24.4</c:v>
                </c:pt>
              </c:numCache>
            </c:numRef>
          </c:val>
          <c:smooth val="0"/>
        </c:ser>
        <c:dLbls>
          <c:showLegendKey val="0"/>
          <c:showVal val="0"/>
          <c:showCatName val="0"/>
          <c:showSerName val="0"/>
          <c:showPercent val="0"/>
          <c:showBubbleSize val="0"/>
        </c:dLbls>
        <c:marker val="1"/>
        <c:smooth val="0"/>
        <c:axId val="154517888"/>
        <c:axId val="154519424"/>
      </c:lineChart>
      <c:catAx>
        <c:axId val="15451788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54519424"/>
        <c:crosses val="autoZero"/>
        <c:auto val="1"/>
        <c:lblAlgn val="ctr"/>
        <c:lblOffset val="100"/>
        <c:noMultiLvlLbl val="0"/>
      </c:catAx>
      <c:valAx>
        <c:axId val="154519424"/>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VET participation rate</a:t>
                </a:r>
              </a:p>
            </c:rich>
          </c:tx>
          <c:layout/>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54517888"/>
        <c:crosses val="autoZero"/>
        <c:crossBetween val="between"/>
      </c:valAx>
    </c:plotArea>
    <c:legend>
      <c:legendPos val="r"/>
      <c:layout>
        <c:manualLayout>
          <c:xMode val="edge"/>
          <c:yMode val="edge"/>
          <c:x val="0.11600000000000002"/>
          <c:y val="0.61072725284339513"/>
          <c:w val="0.43970844269466336"/>
          <c:h val="0.19597987751531065"/>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Presentation'!$C$43</c:f>
              <c:strCache>
                <c:ptCount val="1"/>
                <c:pt idx="0">
                  <c:v>Actual participation</c:v>
                </c:pt>
              </c:strCache>
            </c:strRef>
          </c:tx>
          <c:marker>
            <c:symbol val="none"/>
          </c:marker>
          <c:val>
            <c:numRef>
              <c:f>'Figures for Presentation'!$C$44:$C$48</c:f>
              <c:numCache>
                <c:formatCode>General</c:formatCode>
                <c:ptCount val="5"/>
                <c:pt idx="0">
                  <c:v>24.4</c:v>
                </c:pt>
                <c:pt idx="1">
                  <c:v>24.6</c:v>
                </c:pt>
                <c:pt idx="2">
                  <c:v>20.100000000000001</c:v>
                </c:pt>
                <c:pt idx="3">
                  <c:v>18.899999999999999</c:v>
                </c:pt>
                <c:pt idx="4">
                  <c:v>15.1</c:v>
                </c:pt>
              </c:numCache>
            </c:numRef>
          </c:val>
          <c:smooth val="0"/>
        </c:ser>
        <c:ser>
          <c:idx val="1"/>
          <c:order val="1"/>
          <c:tx>
            <c:strRef>
              <c:f>'Figures for Presentation'!$D$43</c:f>
              <c:strCache>
                <c:ptCount val="1"/>
                <c:pt idx="0">
                  <c:v>Apparent participation</c:v>
                </c:pt>
              </c:strCache>
            </c:strRef>
          </c:tx>
          <c:spPr>
            <a:ln>
              <a:prstDash val="sysDot"/>
            </a:ln>
          </c:spPr>
          <c:marker>
            <c:symbol val="none"/>
          </c:marker>
          <c:val>
            <c:numRef>
              <c:f>'Figures for Presentation'!$D$44:$D$48</c:f>
              <c:numCache>
                <c:formatCode>General</c:formatCode>
                <c:ptCount val="5"/>
                <c:pt idx="0">
                  <c:v>23.8</c:v>
                </c:pt>
                <c:pt idx="1">
                  <c:v>25.6</c:v>
                </c:pt>
                <c:pt idx="2">
                  <c:v>19.899999999999999</c:v>
                </c:pt>
                <c:pt idx="3">
                  <c:v>18.899999999999999</c:v>
                </c:pt>
                <c:pt idx="4">
                  <c:v>16.100000000000001</c:v>
                </c:pt>
              </c:numCache>
            </c:numRef>
          </c:val>
          <c:smooth val="0"/>
        </c:ser>
        <c:dLbls>
          <c:showLegendKey val="0"/>
          <c:showVal val="0"/>
          <c:showCatName val="0"/>
          <c:showSerName val="0"/>
          <c:showPercent val="0"/>
          <c:showBubbleSize val="0"/>
        </c:dLbls>
        <c:marker val="1"/>
        <c:smooth val="0"/>
        <c:axId val="158565504"/>
        <c:axId val="158567040"/>
      </c:lineChart>
      <c:catAx>
        <c:axId val="158565504"/>
        <c:scaling>
          <c:orientation val="minMax"/>
        </c:scaling>
        <c:delete val="0"/>
        <c:axPos val="b"/>
        <c:majorTickMark val="out"/>
        <c:minorTickMark val="none"/>
        <c:tickLblPos val="nextTo"/>
        <c:crossAx val="158567040"/>
        <c:crosses val="autoZero"/>
        <c:auto val="1"/>
        <c:lblAlgn val="ctr"/>
        <c:lblOffset val="100"/>
        <c:noMultiLvlLbl val="0"/>
      </c:catAx>
      <c:valAx>
        <c:axId val="158567040"/>
        <c:scaling>
          <c:orientation val="minMax"/>
        </c:scaling>
        <c:delete val="0"/>
        <c:axPos val="l"/>
        <c:title>
          <c:tx>
            <c:rich>
              <a:bodyPr rot="-5400000" vert="horz"/>
              <a:lstStyle/>
              <a:p>
                <a:pPr>
                  <a:defRPr/>
                </a:pPr>
                <a:r>
                  <a:rPr lang="en-US"/>
                  <a:t>VET participation rate</a:t>
                </a:r>
              </a:p>
            </c:rich>
          </c:tx>
          <c:layout/>
          <c:overlay val="0"/>
        </c:title>
        <c:numFmt formatCode="General" sourceLinked="1"/>
        <c:majorTickMark val="out"/>
        <c:minorTickMark val="none"/>
        <c:tickLblPos val="nextTo"/>
        <c:crossAx val="158565504"/>
        <c:crosses val="autoZero"/>
        <c:crossBetween val="between"/>
      </c:valAx>
    </c:plotArea>
    <c:legend>
      <c:legendPos val="r"/>
      <c:layout>
        <c:manualLayout>
          <c:xMode val="edge"/>
          <c:yMode val="edge"/>
          <c:x val="0.12711111111111117"/>
          <c:y val="0.68017169728783922"/>
          <c:w val="0.30747364912719255"/>
          <c:h val="0.13745917177019545"/>
        </c:manualLayout>
      </c:layout>
      <c:overlay val="1"/>
    </c:legend>
    <c:plotVisOnly val="1"/>
    <c:dispBlanksAs val="gap"/>
    <c:showDLblsOverMax val="0"/>
  </c:chart>
  <c:txPr>
    <a:bodyPr/>
    <a:lstStyle/>
    <a:p>
      <a:pPr>
        <a:defRPr sz="8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Presentation'!$C$62</c:f>
              <c:strCache>
                <c:ptCount val="1"/>
                <c:pt idx="0">
                  <c:v>Actual participation</c:v>
                </c:pt>
              </c:strCache>
            </c:strRef>
          </c:tx>
          <c:marker>
            <c:symbol val="none"/>
          </c:marker>
          <c:val>
            <c:numRef>
              <c:f>'Figures for Presentation'!$C$63:$C$67</c:f>
              <c:numCache>
                <c:formatCode>General</c:formatCode>
                <c:ptCount val="5"/>
                <c:pt idx="0">
                  <c:v>10.9</c:v>
                </c:pt>
                <c:pt idx="1">
                  <c:v>10.6</c:v>
                </c:pt>
                <c:pt idx="2">
                  <c:v>8.8000000000000007</c:v>
                </c:pt>
                <c:pt idx="3">
                  <c:v>7.7</c:v>
                </c:pt>
                <c:pt idx="4">
                  <c:v>5.7</c:v>
                </c:pt>
              </c:numCache>
            </c:numRef>
          </c:val>
          <c:smooth val="0"/>
        </c:ser>
        <c:ser>
          <c:idx val="1"/>
          <c:order val="1"/>
          <c:tx>
            <c:strRef>
              <c:f>'Figures for Presentation'!$D$62</c:f>
              <c:strCache>
                <c:ptCount val="1"/>
                <c:pt idx="0">
                  <c:v>Apparent participation</c:v>
                </c:pt>
              </c:strCache>
            </c:strRef>
          </c:tx>
          <c:spPr>
            <a:ln>
              <a:prstDash val="sysDot"/>
            </a:ln>
          </c:spPr>
          <c:marker>
            <c:symbol val="none"/>
          </c:marker>
          <c:val>
            <c:numRef>
              <c:f>'Figures for Presentation'!$D$63:$D$67</c:f>
              <c:numCache>
                <c:formatCode>General</c:formatCode>
                <c:ptCount val="5"/>
                <c:pt idx="0">
                  <c:v>10.8</c:v>
                </c:pt>
                <c:pt idx="1">
                  <c:v>10.6</c:v>
                </c:pt>
                <c:pt idx="2">
                  <c:v>8.6</c:v>
                </c:pt>
                <c:pt idx="3">
                  <c:v>7.8</c:v>
                </c:pt>
                <c:pt idx="4">
                  <c:v>6.5</c:v>
                </c:pt>
              </c:numCache>
            </c:numRef>
          </c:val>
          <c:smooth val="0"/>
        </c:ser>
        <c:dLbls>
          <c:showLegendKey val="0"/>
          <c:showVal val="0"/>
          <c:showCatName val="0"/>
          <c:showSerName val="0"/>
          <c:showPercent val="0"/>
          <c:showBubbleSize val="0"/>
        </c:dLbls>
        <c:marker val="1"/>
        <c:smooth val="0"/>
        <c:axId val="158797184"/>
        <c:axId val="158803072"/>
      </c:lineChart>
      <c:catAx>
        <c:axId val="158797184"/>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58803072"/>
        <c:crosses val="autoZero"/>
        <c:auto val="1"/>
        <c:lblAlgn val="ctr"/>
        <c:lblOffset val="100"/>
        <c:noMultiLvlLbl val="0"/>
      </c:catAx>
      <c:valAx>
        <c:axId val="158803072"/>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VET participation rate</a:t>
                </a:r>
              </a:p>
            </c:rich>
          </c:tx>
          <c:layout/>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58797184"/>
        <c:crosses val="autoZero"/>
        <c:crossBetween val="between"/>
      </c:valAx>
    </c:plotArea>
    <c:legend>
      <c:legendPos val="r"/>
      <c:layout>
        <c:manualLayout>
          <c:xMode val="edge"/>
          <c:yMode val="edge"/>
          <c:x val="0.11322222222222224"/>
          <c:y val="0.68480132691746853"/>
          <c:w val="0.30747364912719255"/>
          <c:h val="0.13745917177019545"/>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Presentation'!$C$81</c:f>
              <c:strCache>
                <c:ptCount val="1"/>
                <c:pt idx="0">
                  <c:v>Actual change</c:v>
                </c:pt>
              </c:strCache>
            </c:strRef>
          </c:tx>
          <c:marker>
            <c:symbol val="none"/>
          </c:marker>
          <c:val>
            <c:numRef>
              <c:f>'Figures for Presentation'!$C$82:$C$96</c:f>
              <c:numCache>
                <c:formatCode>General</c:formatCode>
                <c:ptCount val="15"/>
                <c:pt idx="0">
                  <c:v>0.70000000000000018</c:v>
                </c:pt>
                <c:pt idx="1">
                  <c:v>1.4</c:v>
                </c:pt>
                <c:pt idx="2">
                  <c:v>1.4</c:v>
                </c:pt>
                <c:pt idx="3">
                  <c:v>1.6</c:v>
                </c:pt>
                <c:pt idx="4">
                  <c:v>1.8</c:v>
                </c:pt>
                <c:pt idx="5">
                  <c:v>2.2999999999999998</c:v>
                </c:pt>
                <c:pt idx="6">
                  <c:v>2.2999999999999998</c:v>
                </c:pt>
                <c:pt idx="7">
                  <c:v>3.1</c:v>
                </c:pt>
                <c:pt idx="8">
                  <c:v>3.4</c:v>
                </c:pt>
                <c:pt idx="9">
                  <c:v>5.2</c:v>
                </c:pt>
                <c:pt idx="10">
                  <c:v>5.5</c:v>
                </c:pt>
                <c:pt idx="11">
                  <c:v>5.6</c:v>
                </c:pt>
                <c:pt idx="12">
                  <c:v>6.9</c:v>
                </c:pt>
                <c:pt idx="13">
                  <c:v>7.4</c:v>
                </c:pt>
                <c:pt idx="14">
                  <c:v>8.5</c:v>
                </c:pt>
              </c:numCache>
            </c:numRef>
          </c:val>
          <c:smooth val="0"/>
        </c:ser>
        <c:ser>
          <c:idx val="1"/>
          <c:order val="1"/>
          <c:tx>
            <c:strRef>
              <c:f>'Figures for Presentation'!$D$81</c:f>
              <c:strCache>
                <c:ptCount val="1"/>
                <c:pt idx="0">
                  <c:v>Apparent change</c:v>
                </c:pt>
              </c:strCache>
            </c:strRef>
          </c:tx>
          <c:spPr>
            <a:ln>
              <a:prstDash val="sysDot"/>
            </a:ln>
          </c:spPr>
          <c:marker>
            <c:symbol val="none"/>
          </c:marker>
          <c:val>
            <c:numRef>
              <c:f>'Figures for Presentation'!$D$82:$D$96</c:f>
              <c:numCache>
                <c:formatCode>General</c:formatCode>
                <c:ptCount val="15"/>
                <c:pt idx="0">
                  <c:v>1.5</c:v>
                </c:pt>
                <c:pt idx="1">
                  <c:v>4</c:v>
                </c:pt>
                <c:pt idx="2">
                  <c:v>1.4</c:v>
                </c:pt>
                <c:pt idx="3">
                  <c:v>2.7</c:v>
                </c:pt>
                <c:pt idx="4">
                  <c:v>1.6</c:v>
                </c:pt>
                <c:pt idx="5">
                  <c:v>2.2000000000000002</c:v>
                </c:pt>
                <c:pt idx="6">
                  <c:v>2.4</c:v>
                </c:pt>
                <c:pt idx="7">
                  <c:v>3.2</c:v>
                </c:pt>
                <c:pt idx="8">
                  <c:v>3.3</c:v>
                </c:pt>
                <c:pt idx="9">
                  <c:v>4.7</c:v>
                </c:pt>
                <c:pt idx="10">
                  <c:v>6.5</c:v>
                </c:pt>
                <c:pt idx="11">
                  <c:v>6.5</c:v>
                </c:pt>
                <c:pt idx="12">
                  <c:v>8.4</c:v>
                </c:pt>
                <c:pt idx="13">
                  <c:v>9</c:v>
                </c:pt>
                <c:pt idx="14">
                  <c:v>10</c:v>
                </c:pt>
              </c:numCache>
            </c:numRef>
          </c:val>
          <c:smooth val="0"/>
        </c:ser>
        <c:dLbls>
          <c:showLegendKey val="0"/>
          <c:showVal val="0"/>
          <c:showCatName val="0"/>
          <c:showSerName val="0"/>
          <c:showPercent val="0"/>
          <c:showBubbleSize val="0"/>
        </c:dLbls>
        <c:marker val="1"/>
        <c:smooth val="0"/>
        <c:axId val="158857856"/>
        <c:axId val="161530240"/>
      </c:lineChart>
      <c:catAx>
        <c:axId val="15885785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1530240"/>
        <c:crosses val="autoZero"/>
        <c:auto val="1"/>
        <c:lblAlgn val="ctr"/>
        <c:lblOffset val="100"/>
        <c:noMultiLvlLbl val="0"/>
      </c:catAx>
      <c:valAx>
        <c:axId val="161530240"/>
        <c:scaling>
          <c:orientation val="minMax"/>
        </c:scaling>
        <c:delete val="0"/>
        <c:axPos val="l"/>
        <c:title>
          <c:tx>
            <c:rich>
              <a:bodyPr rot="-5400000" vert="horz"/>
              <a:lstStyle/>
              <a:p>
                <a:pPr>
                  <a:defRPr sz="800">
                    <a:latin typeface="Arial" pitchFamily="34" charset="0"/>
                    <a:cs typeface="Arial" pitchFamily="34" charset="0"/>
                  </a:defRPr>
                </a:pPr>
                <a:r>
                  <a:rPr lang="en-US" sz="800" b="1" i="0" baseline="0">
                    <a:effectLst/>
                    <a:latin typeface="Arial" pitchFamily="34" charset="0"/>
                    <a:cs typeface="Arial" pitchFamily="34" charset="0"/>
                  </a:rPr>
                  <a:t>Change in VET participation between 2006 and 2011</a:t>
                </a:r>
                <a:endParaRPr lang="en-AU" sz="800">
                  <a:effectLst/>
                  <a:latin typeface="Arial" pitchFamily="34" charset="0"/>
                  <a:cs typeface="Arial" pitchFamily="34" charset="0"/>
                </a:endParaRPr>
              </a:p>
            </c:rich>
          </c:tx>
          <c:layout/>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58857856"/>
        <c:crosses val="autoZero"/>
        <c:crossBetween val="between"/>
      </c:valAx>
    </c:plotArea>
    <c:legend>
      <c:legendPos val="r"/>
      <c:layout>
        <c:manualLayout>
          <c:xMode val="edge"/>
          <c:yMode val="edge"/>
          <c:x val="0.62681732580037652"/>
          <c:y val="0.68246174913754476"/>
          <c:w val="0.23651651651651651"/>
          <c:h val="0.13240214538400091"/>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Presentation'!$E$101</c:f>
              <c:strCache>
                <c:ptCount val="1"/>
                <c:pt idx="0">
                  <c:v>Actual participation rates</c:v>
                </c:pt>
              </c:strCache>
            </c:strRef>
          </c:tx>
          <c:marker>
            <c:symbol val="none"/>
          </c:marker>
          <c:val>
            <c:numRef>
              <c:f>'Figures for Presentation'!$E$102:$E$136</c:f>
              <c:numCache>
                <c:formatCode>0</c:formatCode>
                <c:ptCount val="35"/>
                <c:pt idx="0">
                  <c:v>0.15581956243779344</c:v>
                </c:pt>
                <c:pt idx="1">
                  <c:v>0.1681889534707533</c:v>
                </c:pt>
                <c:pt idx="2">
                  <c:v>0.2933001259549205</c:v>
                </c:pt>
                <c:pt idx="3">
                  <c:v>0.55559595043690635</c:v>
                </c:pt>
                <c:pt idx="4">
                  <c:v>0.58086717136958022</c:v>
                </c:pt>
                <c:pt idx="5">
                  <c:v>1.0873819704091938</c:v>
                </c:pt>
                <c:pt idx="6">
                  <c:v>1.5258223076130497</c:v>
                </c:pt>
                <c:pt idx="7">
                  <c:v>1.7006782105907519</c:v>
                </c:pt>
                <c:pt idx="8">
                  <c:v>1.713269638670091</c:v>
                </c:pt>
                <c:pt idx="9">
                  <c:v>1.7839805306176566</c:v>
                </c:pt>
                <c:pt idx="10">
                  <c:v>1.8231245698554714</c:v>
                </c:pt>
                <c:pt idx="11">
                  <c:v>1.912703767627554</c:v>
                </c:pt>
                <c:pt idx="12">
                  <c:v>2.0181988302349594</c:v>
                </c:pt>
                <c:pt idx="13">
                  <c:v>2.0454232622161057</c:v>
                </c:pt>
                <c:pt idx="14">
                  <c:v>2.0628477821071591</c:v>
                </c:pt>
                <c:pt idx="15">
                  <c:v>2.1323133244605872</c:v>
                </c:pt>
                <c:pt idx="16">
                  <c:v>2.1426608958142279</c:v>
                </c:pt>
                <c:pt idx="17">
                  <c:v>2.1922578757506441</c:v>
                </c:pt>
                <c:pt idx="18">
                  <c:v>2.3372333103922918</c:v>
                </c:pt>
                <c:pt idx="19">
                  <c:v>2.4325274405580837</c:v>
                </c:pt>
                <c:pt idx="20">
                  <c:v>2.5012577651386754</c:v>
                </c:pt>
                <c:pt idx="21">
                  <c:v>2.5098034462068077</c:v>
                </c:pt>
                <c:pt idx="22">
                  <c:v>2.5388895779780407</c:v>
                </c:pt>
                <c:pt idx="23">
                  <c:v>2.9411562284927744</c:v>
                </c:pt>
                <c:pt idx="24">
                  <c:v>2.9926904274111101</c:v>
                </c:pt>
                <c:pt idx="25">
                  <c:v>5.6583376512996768</c:v>
                </c:pt>
                <c:pt idx="26">
                  <c:v>8.3252016752225853</c:v>
                </c:pt>
                <c:pt idx="27">
                  <c:v>8.3855527680338771</c:v>
                </c:pt>
                <c:pt idx="28">
                  <c:v>11.631027014297485</c:v>
                </c:pt>
                <c:pt idx="29">
                  <c:v>13.114495766487064</c:v>
                </c:pt>
                <c:pt idx="30">
                  <c:v>13.356543756923568</c:v>
                </c:pt>
                <c:pt idx="31">
                  <c:v>13.993832414468594</c:v>
                </c:pt>
                <c:pt idx="32">
                  <c:v>14.300343610731503</c:v>
                </c:pt>
                <c:pt idx="33">
                  <c:v>14.571920165175493</c:v>
                </c:pt>
                <c:pt idx="34">
                  <c:v>15.163454920853406</c:v>
                </c:pt>
              </c:numCache>
            </c:numRef>
          </c:val>
          <c:smooth val="0"/>
        </c:ser>
        <c:ser>
          <c:idx val="1"/>
          <c:order val="1"/>
          <c:tx>
            <c:strRef>
              <c:f>'Figures for Presentation'!$F$101</c:f>
              <c:strCache>
                <c:ptCount val="1"/>
                <c:pt idx="0">
                  <c:v>Apparent participation rates</c:v>
                </c:pt>
              </c:strCache>
            </c:strRef>
          </c:tx>
          <c:spPr>
            <a:ln>
              <a:prstDash val="sysDot"/>
            </a:ln>
          </c:spPr>
          <c:marker>
            <c:symbol val="none"/>
          </c:marker>
          <c:val>
            <c:numRef>
              <c:f>'Figures for Presentation'!$F$102:$F$136</c:f>
              <c:numCache>
                <c:formatCode>0</c:formatCode>
                <c:ptCount val="35"/>
                <c:pt idx="0">
                  <c:v>0.18622959495890049</c:v>
                </c:pt>
                <c:pt idx="1">
                  <c:v>0.31986551304707067</c:v>
                </c:pt>
                <c:pt idx="2">
                  <c:v>0.32056270799516767</c:v>
                </c:pt>
                <c:pt idx="3">
                  <c:v>0.44261451363870302</c:v>
                </c:pt>
                <c:pt idx="4">
                  <c:v>0.4827143398649329</c:v>
                </c:pt>
                <c:pt idx="5">
                  <c:v>1.177248896019053</c:v>
                </c:pt>
                <c:pt idx="6">
                  <c:v>1.8707112202510729</c:v>
                </c:pt>
                <c:pt idx="7">
                  <c:v>1.9229224519771417</c:v>
                </c:pt>
                <c:pt idx="8">
                  <c:v>1.7762929394836515</c:v>
                </c:pt>
                <c:pt idx="9">
                  <c:v>1.9910940052361876</c:v>
                </c:pt>
                <c:pt idx="10">
                  <c:v>1.9324045208054523</c:v>
                </c:pt>
                <c:pt idx="11">
                  <c:v>2.2810644526404595</c:v>
                </c:pt>
                <c:pt idx="12">
                  <c:v>2.3320046970874748</c:v>
                </c:pt>
                <c:pt idx="13">
                  <c:v>2.014404072128662</c:v>
                </c:pt>
                <c:pt idx="14">
                  <c:v>2.2314216026315212</c:v>
                </c:pt>
                <c:pt idx="15">
                  <c:v>1.8107160592651883</c:v>
                </c:pt>
                <c:pt idx="16">
                  <c:v>1.848516517317798</c:v>
                </c:pt>
                <c:pt idx="17">
                  <c:v>2.5148422386765388</c:v>
                </c:pt>
                <c:pt idx="18">
                  <c:v>2.3091383084885009</c:v>
                </c:pt>
                <c:pt idx="19">
                  <c:v>2.1535698712505451</c:v>
                </c:pt>
                <c:pt idx="20">
                  <c:v>2.2854453412788405</c:v>
                </c:pt>
                <c:pt idx="21">
                  <c:v>2.3004498198425627</c:v>
                </c:pt>
                <c:pt idx="22">
                  <c:v>2.4560853901407493</c:v>
                </c:pt>
                <c:pt idx="23">
                  <c:v>2.8819747967416789</c:v>
                </c:pt>
                <c:pt idx="24">
                  <c:v>2.5008391326724699</c:v>
                </c:pt>
                <c:pt idx="25">
                  <c:v>6.8293005639812776</c:v>
                </c:pt>
                <c:pt idx="26">
                  <c:v>8.9668487366029463</c:v>
                </c:pt>
                <c:pt idx="27">
                  <c:v>9.844698410598216</c:v>
                </c:pt>
                <c:pt idx="28">
                  <c:v>12.087252351410847</c:v>
                </c:pt>
                <c:pt idx="29">
                  <c:v>12.633396828311112</c:v>
                </c:pt>
                <c:pt idx="30">
                  <c:v>13.395690214594202</c:v>
                </c:pt>
                <c:pt idx="31">
                  <c:v>12.599521134954912</c:v>
                </c:pt>
                <c:pt idx="32">
                  <c:v>13.84460305813117</c:v>
                </c:pt>
                <c:pt idx="33">
                  <c:v>14.52281676194602</c:v>
                </c:pt>
                <c:pt idx="34">
                  <c:v>15.483217167302294</c:v>
                </c:pt>
              </c:numCache>
            </c:numRef>
          </c:val>
          <c:smooth val="0"/>
        </c:ser>
        <c:dLbls>
          <c:showLegendKey val="0"/>
          <c:showVal val="0"/>
          <c:showCatName val="0"/>
          <c:showSerName val="0"/>
          <c:showPercent val="0"/>
          <c:showBubbleSize val="0"/>
        </c:dLbls>
        <c:marker val="1"/>
        <c:smooth val="0"/>
        <c:axId val="161813248"/>
        <c:axId val="161814784"/>
      </c:lineChart>
      <c:catAx>
        <c:axId val="16181324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1814784"/>
        <c:crosses val="autoZero"/>
        <c:auto val="1"/>
        <c:lblAlgn val="ctr"/>
        <c:lblOffset val="100"/>
        <c:noMultiLvlLbl val="0"/>
      </c:catAx>
      <c:valAx>
        <c:axId val="161814784"/>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VET Participation rate</a:t>
                </a:r>
              </a:p>
            </c:rich>
          </c:tx>
          <c:layout/>
          <c:overlay val="0"/>
        </c:title>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61813248"/>
        <c:crosses val="autoZero"/>
        <c:crossBetween val="between"/>
      </c:valAx>
    </c:plotArea>
    <c:legend>
      <c:legendPos val="r"/>
      <c:layout>
        <c:manualLayout>
          <c:xMode val="edge"/>
          <c:yMode val="edge"/>
          <c:x val="0.1485496183206107"/>
          <c:y val="0.56673406948391802"/>
          <c:w val="0.34096692111959304"/>
          <c:h val="0.11712497476277008"/>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Presentation'!$L$101</c:f>
              <c:strCache>
                <c:ptCount val="1"/>
                <c:pt idx="0">
                  <c:v>Actual change</c:v>
                </c:pt>
              </c:strCache>
            </c:strRef>
          </c:tx>
          <c:marker>
            <c:symbol val="none"/>
          </c:marker>
          <c:val>
            <c:numRef>
              <c:f>'Figures for Presentation'!$L$102:$L$136</c:f>
              <c:numCache>
                <c:formatCode>0</c:formatCode>
                <c:ptCount val="35"/>
                <c:pt idx="0">
                  <c:v>-1.8448181861883741</c:v>
                </c:pt>
                <c:pt idx="1">
                  <c:v>-1.5268106510648889</c:v>
                </c:pt>
                <c:pt idx="2">
                  <c:v>-1.20526456459103</c:v>
                </c:pt>
                <c:pt idx="3">
                  <c:v>-1.0650117550702978</c:v>
                </c:pt>
                <c:pt idx="4">
                  <c:v>-0.98123775507613709</c:v>
                </c:pt>
                <c:pt idx="5">
                  <c:v>-0.59124658295200105</c:v>
                </c:pt>
                <c:pt idx="6">
                  <c:v>-0.43244796820073417</c:v>
                </c:pt>
                <c:pt idx="7">
                  <c:v>-0.37162678434438701</c:v>
                </c:pt>
                <c:pt idx="8">
                  <c:v>-0.36639417066045443</c:v>
                </c:pt>
                <c:pt idx="9">
                  <c:v>-0.234594995545989</c:v>
                </c:pt>
                <c:pt idx="10">
                  <c:v>-0.19659163467453888</c:v>
                </c:pt>
                <c:pt idx="11">
                  <c:v>-0.11804511179239825</c:v>
                </c:pt>
                <c:pt idx="12">
                  <c:v>-0.11508744237389411</c:v>
                </c:pt>
                <c:pt idx="13">
                  <c:v>-7.6425280683034579E-4</c:v>
                </c:pt>
                <c:pt idx="14">
                  <c:v>8.9988612048190197E-3</c:v>
                </c:pt>
                <c:pt idx="15">
                  <c:v>3.9987891037136604E-2</c:v>
                </c:pt>
                <c:pt idx="16">
                  <c:v>6.1008625209618486E-2</c:v>
                </c:pt>
                <c:pt idx="17">
                  <c:v>0.15723470766619538</c:v>
                </c:pt>
                <c:pt idx="18">
                  <c:v>0.22164004961481987</c:v>
                </c:pt>
                <c:pt idx="19">
                  <c:v>0.28475533023442878</c:v>
                </c:pt>
                <c:pt idx="20">
                  <c:v>0.34482464924066858</c:v>
                </c:pt>
                <c:pt idx="21">
                  <c:v>0.62008946359123973</c:v>
                </c:pt>
                <c:pt idx="22">
                  <c:v>0.70912337283336835</c:v>
                </c:pt>
                <c:pt idx="23">
                  <c:v>0.87843835117543811</c:v>
                </c:pt>
                <c:pt idx="24">
                  <c:v>0.93186243533185409</c:v>
                </c:pt>
                <c:pt idx="25">
                  <c:v>1.0909212500910463</c:v>
                </c:pt>
                <c:pt idx="26">
                  <c:v>1.4385418049544698</c:v>
                </c:pt>
                <c:pt idx="27">
                  <c:v>1.8919285461205391</c:v>
                </c:pt>
                <c:pt idx="28">
                  <c:v>2.3063492225565407</c:v>
                </c:pt>
                <c:pt idx="29">
                  <c:v>3.6186129066107631</c:v>
                </c:pt>
                <c:pt idx="30">
                  <c:v>3.9617850902977771</c:v>
                </c:pt>
                <c:pt idx="31">
                  <c:v>4.3834819989560518</c:v>
                </c:pt>
                <c:pt idx="32">
                  <c:v>4.80725537973521</c:v>
                </c:pt>
                <c:pt idx="33">
                  <c:v>5.4481479981488086</c:v>
                </c:pt>
                <c:pt idx="34">
                  <c:v>5.6824881990774685</c:v>
                </c:pt>
              </c:numCache>
            </c:numRef>
          </c:val>
          <c:smooth val="0"/>
        </c:ser>
        <c:ser>
          <c:idx val="1"/>
          <c:order val="1"/>
          <c:tx>
            <c:strRef>
              <c:f>'Figures for Presentation'!$M$101</c:f>
              <c:strCache>
                <c:ptCount val="1"/>
                <c:pt idx="0">
                  <c:v>Apparent change</c:v>
                </c:pt>
              </c:strCache>
            </c:strRef>
          </c:tx>
          <c:spPr>
            <a:ln>
              <a:prstDash val="sysDot"/>
            </a:ln>
          </c:spPr>
          <c:marker>
            <c:symbol val="none"/>
          </c:marker>
          <c:val>
            <c:numRef>
              <c:f>'Figures for Presentation'!$M$102:$M$136</c:f>
              <c:numCache>
                <c:formatCode>0</c:formatCode>
                <c:ptCount val="35"/>
                <c:pt idx="0">
                  <c:v>-2.3366694809270139</c:v>
                </c:pt>
                <c:pt idx="1">
                  <c:v>-1.5859920828159844</c:v>
                </c:pt>
                <c:pt idx="2">
                  <c:v>-0.9830203232046405</c:v>
                </c:pt>
                <c:pt idx="3">
                  <c:v>-1.0019884542567383</c:v>
                </c:pt>
                <c:pt idx="4">
                  <c:v>-0.65865339215024332</c:v>
                </c:pt>
                <c:pt idx="5">
                  <c:v>-0.6222657730394443</c:v>
                </c:pt>
                <c:pt idx="6">
                  <c:v>-0.72659234669716533</c:v>
                </c:pt>
                <c:pt idx="7">
                  <c:v>-5.7820917491871369E-2</c:v>
                </c:pt>
                <c:pt idx="8">
                  <c:v>-0.44919835849774475</c:v>
                </c:pt>
                <c:pt idx="9">
                  <c:v>0.11029391709203384</c:v>
                </c:pt>
                <c:pt idx="10">
                  <c:v>1.0521839943992145E-2</c:v>
                </c:pt>
                <c:pt idx="11">
                  <c:v>-9.078252975215112E-2</c:v>
                </c:pt>
                <c:pt idx="12">
                  <c:v>-0.21324027387854161</c:v>
                </c:pt>
                <c:pt idx="13">
                  <c:v>8.9102672803028637E-2</c:v>
                </c:pt>
                <c:pt idx="14">
                  <c:v>0.1606754207811362</c:v>
                </c:pt>
                <c:pt idx="15">
                  <c:v>7.0397923558243827E-2</c:v>
                </c:pt>
                <c:pt idx="16">
                  <c:v>-5.1972811588584855E-2</c:v>
                </c:pt>
                <c:pt idx="17">
                  <c:v>-0.12172286164134416</c:v>
                </c:pt>
                <c:pt idx="18">
                  <c:v>0.33092000056480103</c:v>
                </c:pt>
                <c:pt idx="19">
                  <c:v>1.4557182429160296</c:v>
                </c:pt>
                <c:pt idx="20">
                  <c:v>2.3227384045269032E-2</c:v>
                </c:pt>
                <c:pt idx="21">
                  <c:v>0.98845014860414349</c:v>
                </c:pt>
                <c:pt idx="22">
                  <c:v>0.87769719335773022</c:v>
                </c:pt>
                <c:pt idx="23">
                  <c:v>0.85034334927164701</c:v>
                </c:pt>
                <c:pt idx="24">
                  <c:v>0.7160500114720203</c:v>
                </c:pt>
                <c:pt idx="25">
                  <c:v>0.88156762372680109</c:v>
                </c:pt>
                <c:pt idx="26">
                  <c:v>2.0801888663348276</c:v>
                </c:pt>
                <c:pt idx="27">
                  <c:v>3.3510741886848772</c:v>
                </c:pt>
                <c:pt idx="28">
                  <c:v>2.7625745596698992</c:v>
                </c:pt>
                <c:pt idx="29">
                  <c:v>2.224301627097085</c:v>
                </c:pt>
                <c:pt idx="30">
                  <c:v>3.9126816870682992</c:v>
                </c:pt>
                <c:pt idx="31">
                  <c:v>3.9023830607801013</c:v>
                </c:pt>
                <c:pt idx="32">
                  <c:v>4.3515148271348831</c:v>
                </c:pt>
                <c:pt idx="33">
                  <c:v>5.4872944558194394</c:v>
                </c:pt>
                <c:pt idx="34">
                  <c:v>6.0022504455263554</c:v>
                </c:pt>
              </c:numCache>
            </c:numRef>
          </c:val>
          <c:smooth val="0"/>
        </c:ser>
        <c:dLbls>
          <c:showLegendKey val="0"/>
          <c:showVal val="0"/>
          <c:showCatName val="0"/>
          <c:showSerName val="0"/>
          <c:showPercent val="0"/>
          <c:showBubbleSize val="0"/>
        </c:dLbls>
        <c:marker val="1"/>
        <c:smooth val="0"/>
        <c:axId val="165248000"/>
        <c:axId val="165249792"/>
      </c:lineChart>
      <c:catAx>
        <c:axId val="165248000"/>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5249792"/>
        <c:crosses val="autoZero"/>
        <c:auto val="1"/>
        <c:lblAlgn val="ctr"/>
        <c:lblOffset val="100"/>
        <c:noMultiLvlLbl val="0"/>
      </c:catAx>
      <c:valAx>
        <c:axId val="165249792"/>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Change in VET participation between 2006 and 2011</a:t>
                </a:r>
              </a:p>
            </c:rich>
          </c:tx>
          <c:layout/>
          <c:overlay val="0"/>
        </c:title>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65248000"/>
        <c:crosses val="autoZero"/>
        <c:crossBetween val="between"/>
      </c:valAx>
    </c:plotArea>
    <c:legend>
      <c:legendPos val="r"/>
      <c:layout>
        <c:manualLayout>
          <c:xMode val="edge"/>
          <c:yMode val="edge"/>
          <c:x val="0.18331756515080533"/>
          <c:y val="0.3521680485303576"/>
          <c:w val="0.26090850927703146"/>
          <c:h val="0.17523700265943587"/>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Presentation'!$E$140</c:f>
              <c:strCache>
                <c:ptCount val="1"/>
                <c:pt idx="0">
                  <c:v>Actual change</c:v>
                </c:pt>
              </c:strCache>
            </c:strRef>
          </c:tx>
          <c:marker>
            <c:symbol val="none"/>
          </c:marker>
          <c:val>
            <c:numRef>
              <c:f>'Figures for Presentation'!$E$141:$E$175</c:f>
              <c:numCache>
                <c:formatCode>0</c:formatCode>
                <c:ptCount val="35"/>
                <c:pt idx="0">
                  <c:v>0.16532672956523253</c:v>
                </c:pt>
                <c:pt idx="1">
                  <c:v>0.20352575181472521</c:v>
                </c:pt>
                <c:pt idx="2">
                  <c:v>0.23578242444324304</c:v>
                </c:pt>
                <c:pt idx="3">
                  <c:v>0.28189641764736389</c:v>
                </c:pt>
                <c:pt idx="4">
                  <c:v>0.37054960248876601</c:v>
                </c:pt>
                <c:pt idx="5">
                  <c:v>0.51000570273212709</c:v>
                </c:pt>
                <c:pt idx="6">
                  <c:v>0.56619063912550238</c:v>
                </c:pt>
                <c:pt idx="7">
                  <c:v>0.64251115533865877</c:v>
                </c:pt>
                <c:pt idx="8">
                  <c:v>0.68540762484467577</c:v>
                </c:pt>
                <c:pt idx="9">
                  <c:v>0.98603197106427831</c:v>
                </c:pt>
                <c:pt idx="10">
                  <c:v>1.049859611796097</c:v>
                </c:pt>
                <c:pt idx="11">
                  <c:v>1.3100573760485523</c:v>
                </c:pt>
                <c:pt idx="12">
                  <c:v>1.4880055305910824</c:v>
                </c:pt>
                <c:pt idx="13">
                  <c:v>1.6710680954026955</c:v>
                </c:pt>
                <c:pt idx="14">
                  <c:v>1.744193581834206</c:v>
                </c:pt>
                <c:pt idx="15">
                  <c:v>2.0921898491368141</c:v>
                </c:pt>
                <c:pt idx="16">
                  <c:v>2.1938075374646711</c:v>
                </c:pt>
                <c:pt idx="17">
                  <c:v>2.1999315672891653</c:v>
                </c:pt>
                <c:pt idx="18">
                  <c:v>2.845433459479255</c:v>
                </c:pt>
                <c:pt idx="19">
                  <c:v>2.9155217999896315</c:v>
                </c:pt>
                <c:pt idx="20">
                  <c:v>2.9926230794719308</c:v>
                </c:pt>
                <c:pt idx="21">
                  <c:v>3.029047884888977</c:v>
                </c:pt>
                <c:pt idx="22">
                  <c:v>3.0380690131501207</c:v>
                </c:pt>
                <c:pt idx="23">
                  <c:v>3.1673539952097105</c:v>
                </c:pt>
                <c:pt idx="24">
                  <c:v>3.2543598971255134</c:v>
                </c:pt>
                <c:pt idx="25">
                  <c:v>3.3031455236778422</c:v>
                </c:pt>
                <c:pt idx="26">
                  <c:v>3.3111648807466287</c:v>
                </c:pt>
                <c:pt idx="27">
                  <c:v>3.3328581056560713</c:v>
                </c:pt>
                <c:pt idx="28">
                  <c:v>3.8137172042131278</c:v>
                </c:pt>
                <c:pt idx="29">
                  <c:v>3.8361937005888809</c:v>
                </c:pt>
                <c:pt idx="30">
                  <c:v>6.4536718927120242</c:v>
                </c:pt>
                <c:pt idx="31">
                  <c:v>8.5419979260283441</c:v>
                </c:pt>
                <c:pt idx="32">
                  <c:v>9.1817227435325766</c:v>
                </c:pt>
                <c:pt idx="33">
                  <c:v>10.449666930214384</c:v>
                </c:pt>
                <c:pt idx="34">
                  <c:v>11.118154477840408</c:v>
                </c:pt>
              </c:numCache>
            </c:numRef>
          </c:val>
          <c:smooth val="0"/>
        </c:ser>
        <c:ser>
          <c:idx val="1"/>
          <c:order val="1"/>
          <c:tx>
            <c:strRef>
              <c:f>'Figures for Presentation'!$F$140</c:f>
              <c:strCache>
                <c:ptCount val="1"/>
                <c:pt idx="0">
                  <c:v>Apparent change</c:v>
                </c:pt>
              </c:strCache>
            </c:strRef>
          </c:tx>
          <c:spPr>
            <a:ln>
              <a:prstDash val="sysDot"/>
            </a:ln>
          </c:spPr>
          <c:marker>
            <c:symbol val="none"/>
          </c:marker>
          <c:val>
            <c:numRef>
              <c:f>'Figures for Presentation'!$F$141:$F$175</c:f>
              <c:numCache>
                <c:formatCode>0</c:formatCode>
                <c:ptCount val="35"/>
                <c:pt idx="0">
                  <c:v>0.1799982058056657</c:v>
                </c:pt>
                <c:pt idx="1">
                  <c:v>0.29627129709288991</c:v>
                </c:pt>
                <c:pt idx="2">
                  <c:v>0.27144423962333486</c:v>
                </c:pt>
                <c:pt idx="3">
                  <c:v>0.29173681824093245</c:v>
                </c:pt>
                <c:pt idx="4">
                  <c:v>0.41107296683476602</c:v>
                </c:pt>
                <c:pt idx="5">
                  <c:v>0.46185804719106666</c:v>
                </c:pt>
                <c:pt idx="6">
                  <c:v>0.59089980246577256</c:v>
                </c:pt>
                <c:pt idx="7">
                  <c:v>0.50400263186752936</c:v>
                </c:pt>
                <c:pt idx="8">
                  <c:v>0.74373339690756768</c:v>
                </c:pt>
                <c:pt idx="9">
                  <c:v>0.95010417808970271</c:v>
                </c:pt>
                <c:pt idx="10">
                  <c:v>1.216290127011596</c:v>
                </c:pt>
                <c:pt idx="11">
                  <c:v>1.3632983079589878</c:v>
                </c:pt>
                <c:pt idx="12">
                  <c:v>1.5817733676724026</c:v>
                </c:pt>
                <c:pt idx="13">
                  <c:v>1.7045973227697357</c:v>
                </c:pt>
                <c:pt idx="14">
                  <c:v>1.8456747380519707</c:v>
                </c:pt>
                <c:pt idx="15">
                  <c:v>2.1655307676896216</c:v>
                </c:pt>
                <c:pt idx="16">
                  <c:v>2.0449610702927963</c:v>
                </c:pt>
                <c:pt idx="17">
                  <c:v>2.1771337102377242</c:v>
                </c:pt>
                <c:pt idx="18">
                  <c:v>3.0009347173709862</c:v>
                </c:pt>
                <c:pt idx="19">
                  <c:v>2.7511133450262397</c:v>
                </c:pt>
                <c:pt idx="20">
                  <c:v>3.2145017204008588</c:v>
                </c:pt>
                <c:pt idx="21">
                  <c:v>3.2980553095838152</c:v>
                </c:pt>
                <c:pt idx="22">
                  <c:v>3.1363088057901076</c:v>
                </c:pt>
                <c:pt idx="23">
                  <c:v>3.3010353518152713</c:v>
                </c:pt>
                <c:pt idx="24">
                  <c:v>3.3999342033117665</c:v>
                </c:pt>
                <c:pt idx="25">
                  <c:v>3.220532624421498</c:v>
                </c:pt>
                <c:pt idx="26">
                  <c:v>3.0963255166766714</c:v>
                </c:pt>
                <c:pt idx="27">
                  <c:v>3.3335325110807266</c:v>
                </c:pt>
                <c:pt idx="28">
                  <c:v>3.5135431516613673</c:v>
                </c:pt>
                <c:pt idx="29">
                  <c:v>3.8063653702063887</c:v>
                </c:pt>
                <c:pt idx="30">
                  <c:v>6.9009923052213962</c:v>
                </c:pt>
                <c:pt idx="31">
                  <c:v>8.5893779409283173</c:v>
                </c:pt>
                <c:pt idx="32">
                  <c:v>9.0754754782902154</c:v>
                </c:pt>
                <c:pt idx="33">
                  <c:v>10.294549840991337</c:v>
                </c:pt>
                <c:pt idx="34">
                  <c:v>11.653668006266606</c:v>
                </c:pt>
              </c:numCache>
            </c:numRef>
          </c:val>
          <c:smooth val="0"/>
        </c:ser>
        <c:dLbls>
          <c:showLegendKey val="0"/>
          <c:showVal val="0"/>
          <c:showCatName val="0"/>
          <c:showSerName val="0"/>
          <c:showPercent val="0"/>
          <c:showBubbleSize val="0"/>
        </c:dLbls>
        <c:marker val="1"/>
        <c:smooth val="0"/>
        <c:axId val="164955648"/>
        <c:axId val="164957184"/>
      </c:lineChart>
      <c:catAx>
        <c:axId val="16495564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4957184"/>
        <c:crosses val="autoZero"/>
        <c:auto val="1"/>
        <c:lblAlgn val="ctr"/>
        <c:lblOffset val="100"/>
        <c:noMultiLvlLbl val="0"/>
      </c:catAx>
      <c:valAx>
        <c:axId val="164957184"/>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VET participation rate</a:t>
                </a:r>
              </a:p>
            </c:rich>
          </c:tx>
          <c:layout/>
          <c:overlay val="0"/>
        </c:title>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64955648"/>
        <c:crosses val="autoZero"/>
        <c:crossBetween val="between"/>
      </c:valAx>
    </c:plotArea>
    <c:legend>
      <c:legendPos val="r"/>
      <c:layout>
        <c:manualLayout>
          <c:xMode val="edge"/>
          <c:yMode val="edge"/>
          <c:x val="0.11653561253561258"/>
          <c:y val="0.62539842519685063"/>
          <c:w val="0.22438746438746446"/>
          <c:h val="0.11310926134233221"/>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'Figures for Presentation'!$L$140</c:f>
              <c:strCache>
                <c:ptCount val="1"/>
                <c:pt idx="0">
                  <c:v>Actual change</c:v>
                </c:pt>
              </c:strCache>
            </c:strRef>
          </c:tx>
          <c:marker>
            <c:symbol val="none"/>
          </c:marker>
          <c:val>
            <c:numRef>
              <c:f>'Figures for Presentation'!$L$141:$L$175</c:f>
              <c:numCache>
                <c:formatCode>0.00</c:formatCode>
                <c:ptCount val="35"/>
                <c:pt idx="0">
                  <c:v>-1.1698045073369663</c:v>
                </c:pt>
                <c:pt idx="1">
                  <c:v>-0.86281235122580613</c:v>
                </c:pt>
                <c:pt idx="2">
                  <c:v>-0.74174353034862484</c:v>
                </c:pt>
                <c:pt idx="3">
                  <c:v>-0.6584646469475377</c:v>
                </c:pt>
                <c:pt idx="4">
                  <c:v>-0.56141038891430806</c:v>
                </c:pt>
                <c:pt idx="5">
                  <c:v>-0.13648084754483331</c:v>
                </c:pt>
                <c:pt idx="6">
                  <c:v>-8.6613652880459732E-2</c:v>
                </c:pt>
                <c:pt idx="7">
                  <c:v>-8.5867838191700699E-2</c:v>
                </c:pt>
                <c:pt idx="8">
                  <c:v>-8.3204372297981777E-2</c:v>
                </c:pt>
                <c:pt idx="9">
                  <c:v>-6.3525442349248007E-2</c:v>
                </c:pt>
                <c:pt idx="10">
                  <c:v>-5.9503421350761747E-2</c:v>
                </c:pt>
                <c:pt idx="11">
                  <c:v>-5.4033553924181826E-2</c:v>
                </c:pt>
                <c:pt idx="12">
                  <c:v>-1.5602655340651285E-2</c:v>
                </c:pt>
                <c:pt idx="13">
                  <c:v>2.5286158547351842E-3</c:v>
                </c:pt>
                <c:pt idx="14">
                  <c:v>5.0746545941207106E-3</c:v>
                </c:pt>
                <c:pt idx="15">
                  <c:v>3.9289161773637511E-2</c:v>
                </c:pt>
                <c:pt idx="16">
                  <c:v>7.1358504220787392E-2</c:v>
                </c:pt>
                <c:pt idx="17">
                  <c:v>0.14471518190328508</c:v>
                </c:pt>
                <c:pt idx="18">
                  <c:v>0.14512352357133021</c:v>
                </c:pt>
                <c:pt idx="19">
                  <c:v>0.40039073174064144</c:v>
                </c:pt>
                <c:pt idx="20">
                  <c:v>0.6776089007971059</c:v>
                </c:pt>
                <c:pt idx="21">
                  <c:v>0.76916481306660889</c:v>
                </c:pt>
                <c:pt idx="22">
                  <c:v>0.77470353167374251</c:v>
                </c:pt>
                <c:pt idx="23">
                  <c:v>0.91624582703794299</c:v>
                </c:pt>
                <c:pt idx="24">
                  <c:v>0.95895034253760292</c:v>
                </c:pt>
                <c:pt idx="25">
                  <c:v>1.027740700049276</c:v>
                </c:pt>
                <c:pt idx="26">
                  <c:v>1.1219988276212101</c:v>
                </c:pt>
                <c:pt idx="27">
                  <c:v>1.2701544516097469</c:v>
                </c:pt>
                <c:pt idx="28">
                  <c:v>1.3904481454114925</c:v>
                </c:pt>
                <c:pt idx="29">
                  <c:v>1.4185645706816179</c:v>
                </c:pt>
                <c:pt idx="30">
                  <c:v>1.7543070760595691</c:v>
                </c:pt>
                <c:pt idx="31">
                  <c:v>1.7786447126534486</c:v>
                </c:pt>
                <c:pt idx="32">
                  <c:v>2.1913333764477114</c:v>
                </c:pt>
                <c:pt idx="33">
                  <c:v>3.24740761837832</c:v>
                </c:pt>
                <c:pt idx="34">
                  <c:v>3.2996651856023247</c:v>
                </c:pt>
              </c:numCache>
            </c:numRef>
          </c:val>
          <c:smooth val="0"/>
        </c:ser>
        <c:ser>
          <c:idx val="1"/>
          <c:order val="1"/>
          <c:tx>
            <c:strRef>
              <c:f>'Figures for Presentation'!$M$140</c:f>
              <c:strCache>
                <c:ptCount val="1"/>
                <c:pt idx="0">
                  <c:v>Apparent change</c:v>
                </c:pt>
              </c:strCache>
            </c:strRef>
          </c:tx>
          <c:spPr>
            <a:ln>
              <a:prstDash val="sysDot"/>
            </a:ln>
          </c:spPr>
          <c:marker>
            <c:symbol val="none"/>
          </c:marker>
          <c:val>
            <c:numRef>
              <c:f>'Figures for Presentation'!$M$141:$M$175</c:f>
              <c:numCache>
                <c:formatCode>0.00</c:formatCode>
                <c:ptCount val="35"/>
                <c:pt idx="0">
                  <c:v>-1.3186509745088433</c:v>
                </c:pt>
                <c:pt idx="1">
                  <c:v>-0.8856102082772479</c:v>
                </c:pt>
                <c:pt idx="2">
                  <c:v>-0.64797569326730386</c:v>
                </c:pt>
                <c:pt idx="3">
                  <c:v>-0.5569834907297726</c:v>
                </c:pt>
                <c:pt idx="4">
                  <c:v>-0.50816945700387195</c:v>
                </c:pt>
                <c:pt idx="5">
                  <c:v>-0.18462850308589379</c:v>
                </c:pt>
                <c:pt idx="6">
                  <c:v>-1.3272734327653525E-2</c:v>
                </c:pt>
                <c:pt idx="7">
                  <c:v>-6.1158674851430596E-2</c:v>
                </c:pt>
                <c:pt idx="8">
                  <c:v>-7.3363971704413097E-2</c:v>
                </c:pt>
                <c:pt idx="9">
                  <c:v>-2.3002078003248213E-2</c:v>
                </c:pt>
                <c:pt idx="10">
                  <c:v>3.3242123927402889E-2</c:v>
                </c:pt>
                <c:pt idx="11">
                  <c:v>-1.8371738744089879E-2</c:v>
                </c:pt>
                <c:pt idx="12">
                  <c:v>-9.3117910021822735E-4</c:v>
                </c:pt>
                <c:pt idx="13">
                  <c:v>6.0854387917627123E-2</c:v>
                </c:pt>
                <c:pt idx="14">
                  <c:v>0.1715051698096195</c:v>
                </c:pt>
                <c:pt idx="15">
                  <c:v>3.3613687990619043E-3</c:v>
                </c:pt>
                <c:pt idx="16">
                  <c:v>0.10488773158782715</c:v>
                </c:pt>
                <c:pt idx="17">
                  <c:v>6.206658432155625E-3</c:v>
                </c:pt>
                <c:pt idx="18">
                  <c:v>0.36700216450025741</c:v>
                </c:pt>
                <c:pt idx="19">
                  <c:v>0.66939815643548084</c:v>
                </c:pt>
                <c:pt idx="20">
                  <c:v>0.77584869343709273</c:v>
                </c:pt>
                <c:pt idx="21">
                  <c:v>0.55432544899665048</c:v>
                </c:pt>
                <c:pt idx="22">
                  <c:v>0.61029507671034966</c:v>
                </c:pt>
                <c:pt idx="23">
                  <c:v>1.3635662395473163</c:v>
                </c:pt>
                <c:pt idx="24">
                  <c:v>0.65877628998584115</c:v>
                </c:pt>
                <c:pt idx="25">
                  <c:v>1.1614220566548372</c:v>
                </c:pt>
                <c:pt idx="26">
                  <c:v>1.2775000855129375</c:v>
                </c:pt>
                <c:pt idx="27">
                  <c:v>1.415728757796</c:v>
                </c:pt>
                <c:pt idx="28">
                  <c:v>1.391122550836146</c:v>
                </c:pt>
                <c:pt idx="29">
                  <c:v>1.3359516714252715</c:v>
                </c:pt>
                <c:pt idx="30">
                  <c:v>1.8016870909595424</c:v>
                </c:pt>
                <c:pt idx="31">
                  <c:v>1.7488163822709557</c:v>
                </c:pt>
                <c:pt idx="32">
                  <c:v>2.0850861112053392</c:v>
                </c:pt>
                <c:pt idx="33">
                  <c:v>3.7829211468045156</c:v>
                </c:pt>
                <c:pt idx="34">
                  <c:v>3.1445480963792791</c:v>
                </c:pt>
              </c:numCache>
            </c:numRef>
          </c:val>
          <c:smooth val="0"/>
        </c:ser>
        <c:dLbls>
          <c:showLegendKey val="0"/>
          <c:showVal val="0"/>
          <c:showCatName val="0"/>
          <c:showSerName val="0"/>
          <c:showPercent val="0"/>
          <c:showBubbleSize val="0"/>
        </c:dLbls>
        <c:marker val="1"/>
        <c:smooth val="0"/>
        <c:axId val="165323136"/>
        <c:axId val="165324672"/>
      </c:lineChart>
      <c:catAx>
        <c:axId val="16532313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n-US"/>
          </a:p>
        </c:txPr>
        <c:crossAx val="165324672"/>
        <c:crosses val="autoZero"/>
        <c:auto val="1"/>
        <c:lblAlgn val="ctr"/>
        <c:lblOffset val="100"/>
        <c:noMultiLvlLbl val="0"/>
      </c:catAx>
      <c:valAx>
        <c:axId val="165324672"/>
        <c:scaling>
          <c:orientation val="minMax"/>
        </c:scaling>
        <c:delete val="0"/>
        <c:axPos val="l"/>
        <c:title>
          <c:tx>
            <c:rich>
              <a:bodyPr rot="-5400000" vert="horz"/>
              <a:lstStyle/>
              <a:p>
                <a:pPr>
                  <a:defRPr sz="800">
                    <a:latin typeface="Arial" pitchFamily="34" charset="0"/>
                    <a:cs typeface="Arial" pitchFamily="34" charset="0"/>
                  </a:defRPr>
                </a:pPr>
                <a:r>
                  <a:rPr lang="en-US" sz="800" b="1" i="0" baseline="0">
                    <a:effectLst/>
                    <a:latin typeface="Arial" pitchFamily="34" charset="0"/>
                    <a:cs typeface="Arial" pitchFamily="34" charset="0"/>
                  </a:rPr>
                  <a:t>Change in VET participation between 2006 and 2011</a:t>
                </a:r>
                <a:endParaRPr lang="en-AU" sz="800">
                  <a:effectLst/>
                  <a:latin typeface="Arial" pitchFamily="34" charset="0"/>
                  <a:cs typeface="Arial" pitchFamily="34" charset="0"/>
                </a:endParaRPr>
              </a:p>
            </c:rich>
          </c:tx>
          <c:layout/>
          <c:overlay val="0"/>
        </c:title>
        <c:numFmt formatCode="0.00" sourceLinked="1"/>
        <c:majorTickMark val="out"/>
        <c:minorTickMark val="none"/>
        <c:tickLblPos val="nextTo"/>
        <c:txPr>
          <a:bodyPr/>
          <a:lstStyle/>
          <a:p>
            <a:pPr>
              <a:defRPr sz="800">
                <a:latin typeface="Arial" pitchFamily="34" charset="0"/>
                <a:cs typeface="Arial" pitchFamily="34" charset="0"/>
              </a:defRPr>
            </a:pPr>
            <a:endParaRPr lang="en-US"/>
          </a:p>
        </c:txPr>
        <c:crossAx val="165323136"/>
        <c:crosses val="autoZero"/>
        <c:crossBetween val="between"/>
      </c:valAx>
    </c:plotArea>
    <c:legend>
      <c:legendPos val="r"/>
      <c:layout>
        <c:manualLayout>
          <c:xMode val="edge"/>
          <c:yMode val="edge"/>
          <c:x val="0.18528336226710274"/>
          <c:y val="0.41338827000683726"/>
          <c:w val="0.22828981338996904"/>
          <c:h val="0.12143628441901862"/>
        </c:manualLayout>
      </c:layout>
      <c:overlay val="1"/>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13D38-EE3B-4EBD-9C05-173D68216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6936</Words>
  <Characters>39538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46382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VET participation</dc:title>
  <dc:creator>PatrickLim@ncver.edu.au;Tom Karmel</dc:creator>
  <cp:lastModifiedBy>Kaye McAdam</cp:lastModifiedBy>
  <cp:revision>3</cp:revision>
  <cp:lastPrinted>2014-03-26T06:34:00Z</cp:lastPrinted>
  <dcterms:created xsi:type="dcterms:W3CDTF">2015-01-15T01:56:00Z</dcterms:created>
  <dcterms:modified xsi:type="dcterms:W3CDTF">2015-01-15T01:56:00Z</dcterms:modified>
</cp:coreProperties>
</file>