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85" w:rsidRDefault="001E00D3" w:rsidP="00AB5E85">
      <w:pPr>
        <w:pStyle w:val="PublicationTitle"/>
        <w:spacing w:before="0"/>
      </w:pPr>
      <w:r>
        <w:rPr>
          <w:noProof/>
          <w:lang w:eastAsia="en-AU"/>
        </w:rPr>
        <w:drawing>
          <wp:anchor distT="0" distB="0" distL="114300" distR="114300" simplePos="0" relativeHeight="251657728" behindDoc="1" locked="0" layoutInCell="1" allowOverlap="1">
            <wp:simplePos x="0" y="0"/>
            <wp:positionH relativeFrom="column">
              <wp:posOffset>-676910</wp:posOffset>
            </wp:positionH>
            <wp:positionV relativeFrom="paragraph">
              <wp:posOffset>879475</wp:posOffset>
            </wp:positionV>
            <wp:extent cx="2708910" cy="914400"/>
            <wp:effectExtent l="19050" t="0" r="0" b="0"/>
            <wp:wrapTight wrapText="bothSides">
              <wp:wrapPolygon edited="0">
                <wp:start x="-152" y="0"/>
                <wp:lineTo x="-152" y="21150"/>
                <wp:lineTo x="21570" y="21150"/>
                <wp:lineTo x="21570" y="0"/>
                <wp:lineTo x="-152" y="0"/>
              </wp:wrapPolygon>
            </wp:wrapTight>
            <wp:docPr id="20" name="Picture 2"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partment of Industry\Dept_Industry_inline.jpg"/>
                    <pic:cNvPicPr>
                      <a:picLocks noChangeAspect="1" noChangeArrowheads="1"/>
                    </pic:cNvPicPr>
                  </pic:nvPicPr>
                  <pic:blipFill>
                    <a:blip r:embed="rId8" cstate="print"/>
                    <a:srcRect/>
                    <a:stretch>
                      <a:fillRect/>
                    </a:stretch>
                  </pic:blipFill>
                  <pic:spPr bwMode="auto">
                    <a:xfrm>
                      <a:off x="0" y="0"/>
                      <a:ext cx="2708910" cy="9144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6704" behindDoc="0" locked="0" layoutInCell="1" allowOverlap="1">
            <wp:simplePos x="0" y="0"/>
            <wp:positionH relativeFrom="column">
              <wp:posOffset>-881380</wp:posOffset>
            </wp:positionH>
            <wp:positionV relativeFrom="paragraph">
              <wp:posOffset>158115</wp:posOffset>
            </wp:positionV>
            <wp:extent cx="2213610" cy="493395"/>
            <wp:effectExtent l="19050" t="0" r="0" b="0"/>
            <wp:wrapSquare wrapText="bothSides"/>
            <wp:docPr id="19"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213610" cy="493395"/>
                    </a:xfrm>
                    <a:prstGeom prst="rect">
                      <a:avLst/>
                    </a:prstGeom>
                    <a:noFill/>
                    <a:ln w="9525">
                      <a:noFill/>
                      <a:miter lim="800000"/>
                      <a:headEnd/>
                      <a:tailEnd/>
                    </a:ln>
                  </pic:spPr>
                </pic:pic>
              </a:graphicData>
            </a:graphic>
          </wp:anchor>
        </w:drawing>
      </w:r>
    </w:p>
    <w:p w:rsidR="00AB5E85" w:rsidRDefault="00AB5E85" w:rsidP="00AB5E85">
      <w:pPr>
        <w:pStyle w:val="PublicationTitle"/>
        <w:spacing w:before="0" w:after="0"/>
      </w:pPr>
    </w:p>
    <w:p w:rsidR="00AB5E85" w:rsidRDefault="00AB5E85" w:rsidP="00AB5E85">
      <w:pPr>
        <w:pStyle w:val="PublicationTitle"/>
        <w:spacing w:before="0" w:after="0"/>
        <w:rPr>
          <w:noProof/>
          <w:lang w:eastAsia="en-AU"/>
        </w:rPr>
      </w:pPr>
    </w:p>
    <w:p w:rsidR="00E12B1F" w:rsidRPr="005C2FCF" w:rsidRDefault="00ED3053" w:rsidP="00177827">
      <w:pPr>
        <w:pStyle w:val="PublicationTitle"/>
        <w:spacing w:before="0"/>
      </w:pPr>
      <w:r>
        <w:t xml:space="preserve">Vocational education’s </w:t>
      </w:r>
      <w:r w:rsidR="005D3AF6">
        <w:t xml:space="preserve">variable </w:t>
      </w:r>
      <w:r w:rsidR="00105636">
        <w:t>links to</w:t>
      </w:r>
      <w:r>
        <w:t xml:space="preserve"> vocations</w:t>
      </w:r>
    </w:p>
    <w:p w:rsidR="005D3AF6" w:rsidRPr="00893D5C" w:rsidRDefault="005D3AF6" w:rsidP="005D3AF6">
      <w:pPr>
        <w:pStyle w:val="Authors"/>
      </w:pPr>
      <w:bookmarkStart w:id="0" w:name="_Toc98394874"/>
      <w:bookmarkStart w:id="1" w:name="_Toc296423678"/>
      <w:bookmarkStart w:id="2" w:name="_Toc296497509"/>
      <w:r w:rsidRPr="00893D5C">
        <w:t xml:space="preserve">Gavin </w:t>
      </w:r>
      <w:proofErr w:type="spellStart"/>
      <w:r w:rsidRPr="00893D5C">
        <w:t>Moodie</w:t>
      </w:r>
      <w:proofErr w:type="spellEnd"/>
    </w:p>
    <w:p w:rsidR="005D3AF6" w:rsidRPr="00893D5C" w:rsidRDefault="005D3AF6" w:rsidP="00AB5E85">
      <w:pPr>
        <w:pStyle w:val="Organisation"/>
        <w:spacing w:before="80"/>
      </w:pPr>
      <w:r w:rsidRPr="00893D5C">
        <w:t>RMIT</w:t>
      </w:r>
    </w:p>
    <w:p w:rsidR="005D3AF6" w:rsidRDefault="005D3AF6" w:rsidP="00AB5E85">
      <w:pPr>
        <w:pStyle w:val="Authors"/>
        <w:spacing w:before="240"/>
        <w:ind w:right="0"/>
      </w:pPr>
      <w:r w:rsidRPr="00893D5C">
        <w:t xml:space="preserve">Nick </w:t>
      </w:r>
      <w:proofErr w:type="spellStart"/>
      <w:r w:rsidRPr="00893D5C">
        <w:t>Fredman</w:t>
      </w:r>
      <w:proofErr w:type="spellEnd"/>
    </w:p>
    <w:p w:rsidR="005D3AF6" w:rsidRPr="00893D5C" w:rsidRDefault="005D3AF6" w:rsidP="005D3AF6">
      <w:pPr>
        <w:pStyle w:val="Authors"/>
      </w:pPr>
      <w:proofErr w:type="spellStart"/>
      <w:r w:rsidRPr="00BB456E">
        <w:t>Emmaline</w:t>
      </w:r>
      <w:proofErr w:type="spellEnd"/>
      <w:r w:rsidRPr="00BB456E">
        <w:t xml:space="preserve"> Bexley</w:t>
      </w:r>
    </w:p>
    <w:bookmarkEnd w:id="0"/>
    <w:bookmarkEnd w:id="1"/>
    <w:bookmarkEnd w:id="2"/>
    <w:p w:rsidR="005D3AF6" w:rsidRDefault="005D3AF6" w:rsidP="005D3AF6">
      <w:pPr>
        <w:pStyle w:val="Authors"/>
      </w:pPr>
      <w:r>
        <w:t>Leesa Wheelahan</w:t>
      </w:r>
    </w:p>
    <w:p w:rsidR="005D3AF6" w:rsidRDefault="005D3AF6" w:rsidP="00AB5E85">
      <w:pPr>
        <w:pStyle w:val="Organisation"/>
        <w:spacing w:before="80"/>
      </w:pPr>
      <w:r w:rsidRPr="00893D5C">
        <w:t>University of Melbourne</w:t>
      </w:r>
    </w:p>
    <w:p w:rsidR="00E12B1F" w:rsidRDefault="00BB7711" w:rsidP="0006125F">
      <w:pPr>
        <w:pStyle w:val="Heading3"/>
        <w:ind w:right="-1"/>
      </w:pPr>
      <w:r>
        <w:rPr>
          <w:noProof/>
        </w:rPr>
        <w:pict>
          <v:shapetype id="_x0000_t202" coordsize="21600,21600" o:spt="202" path="m,l,21600r21600,l21600,xe">
            <v:stroke joinstyle="miter"/>
            <v:path gradientshapeok="t" o:connecttype="rect"/>
          </v:shapetype>
          <v:shape id="Text Box 5" o:spid="_x0000_s1027" type="#_x0000_t202" style="position:absolute;margin-left:79.95pt;margin-top:555.35pt;width:264.8pt;height:83pt;z-index:251654656;visibility:visible;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" filled="f" stroked="f">
            <v:textbox>
              <w:txbxContent>
                <w:p w:rsidR="00220618" w:rsidRPr="004A1FB7" w:rsidRDefault="00220618" w:rsidP="00AB5E85">
                  <w:pPr>
                    <w:pStyle w:val="Heading3"/>
                    <w:rPr>
                      <w:rFonts w:ascii="Trebuchet MS" w:hAnsi="Trebuchet MS"/>
                      <w:szCs w:val="24"/>
                    </w:rPr>
                  </w:pPr>
                  <w:r w:rsidRPr="004A1FB7">
                    <w:rPr>
                      <w:rFonts w:ascii="Trebuchet MS" w:hAnsi="Trebuchet MS"/>
                      <w:szCs w:val="24"/>
                    </w:rPr>
                    <w:t xml:space="preserve">NATIONAL VOCATIONAL EDUCATION AND TRAINING RESEARCH PROGRAM </w:t>
                  </w:r>
                </w:p>
                <w:p w:rsidR="00220618" w:rsidRPr="00AB5E85" w:rsidRDefault="00220618" w:rsidP="00AB5E85">
                  <w:pPr>
                    <w:pStyle w:val="Heading3"/>
                    <w:spacing w:before="80"/>
                    <w:rPr>
                      <w:rFonts w:ascii="Trebuchet MS" w:hAnsi="Trebuchet MS"/>
                      <w:szCs w:val="24"/>
                    </w:rPr>
                  </w:pPr>
                  <w:r w:rsidRPr="004A1FB7">
                    <w:rPr>
                      <w:rFonts w:ascii="Trebuchet MS" w:hAnsi="Trebuchet MS"/>
                      <w:b/>
                      <w:szCs w:val="24"/>
                    </w:rPr>
                    <w:t>RESEARCH REPORT</w:t>
                  </w:r>
                </w:p>
              </w:txbxContent>
            </v:textbox>
            <w10:wrap anchory="margin"/>
          </v:shape>
        </w:pict>
      </w:r>
      <w:r>
        <w:rPr>
          <w:noProof/>
        </w:rPr>
        <w:pict>
          <v:shape id="Text Box 6" o:spid="_x0000_s1028" type="#_x0000_t202" style="position:absolute;margin-left:73.1pt;margin-top:659.7pt;width:357pt;height:83pt;z-index:251653632;visibility:visible;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" filled="f" stroked="f">
            <v:textbox>
              <w:txbxContent>
                <w:p w:rsidR="00220618" w:rsidRDefault="00220618"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220618" w:rsidRDefault="00220618" w:rsidP="00AB5E85">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E12B1F" w:rsidRPr="005C2FCF" w:rsidRDefault="00E12B1F" w:rsidP="00E57478">
      <w:pPr>
        <w:pStyle w:val="Heading3"/>
        <w:ind w:right="-1"/>
      </w:pPr>
      <w:r w:rsidRPr="005C2FCF">
        <w:br w:type="page"/>
      </w:r>
      <w:r w:rsidRPr="005C2FCF">
        <w:lastRenderedPageBreak/>
        <w:t>Publisher’s note</w:t>
      </w:r>
    </w:p>
    <w:p w:rsidR="00D2704A" w:rsidRDefault="007C7E41" w:rsidP="007C7E41">
      <w:pPr>
        <w:pStyle w:val="Imprint"/>
        <w:ind w:right="-1"/>
      </w:pPr>
      <w:r w:rsidRPr="00FA4E2D">
        <w:t xml:space="preserve">Additional information relating to this research is available in </w:t>
      </w:r>
      <w:r>
        <w:rPr>
          <w:i/>
        </w:rPr>
        <w:t xml:space="preserve">Vocational education’s </w:t>
      </w:r>
      <w:r w:rsidR="00D9570E">
        <w:rPr>
          <w:i/>
        </w:rPr>
        <w:t>variable</w:t>
      </w:r>
      <w:r>
        <w:rPr>
          <w:i/>
        </w:rPr>
        <w:t xml:space="preserve"> effects to vocations</w:t>
      </w:r>
      <w:r w:rsidRPr="00D418CE">
        <w:rPr>
          <w:i/>
        </w:rPr>
        <w:t xml:space="preserve">: </w:t>
      </w:r>
      <w:r>
        <w:rPr>
          <w:i/>
        </w:rPr>
        <w:t>s</w:t>
      </w:r>
      <w:r w:rsidRPr="00D418CE">
        <w:rPr>
          <w:i/>
        </w:rPr>
        <w:t>upport document</w:t>
      </w:r>
      <w:r>
        <w:t>.</w:t>
      </w:r>
      <w:r w:rsidRPr="00FA4E2D">
        <w:t xml:space="preserve"> It can be accessed from NCVER’s website &lt;</w:t>
      </w:r>
      <w:r>
        <w:t>http:</w:t>
      </w:r>
      <w:r w:rsidR="00FE01A1">
        <w:t>//www.</w:t>
      </w:r>
      <w:r w:rsidR="003A7622">
        <w:t>ncver.edu.au/publications/2689</w:t>
      </w:r>
      <w:r>
        <w:t>.html&gt;</w:t>
      </w:r>
      <w:r w:rsidRPr="00FA4E2D">
        <w:t>.</w:t>
      </w:r>
    </w:p>
    <w:p w:rsidR="00F52A33" w:rsidRPr="00F52A33" w:rsidRDefault="00AB5E85" w:rsidP="00F52A33">
      <w:pPr>
        <w:pStyle w:val="Imprint"/>
      </w:pPr>
      <w:r>
        <w:t>To find other material of interest, search VOCED</w:t>
      </w:r>
      <w:r w:rsidR="00BB7711">
        <w:t>plus</w:t>
      </w:r>
      <w:bookmarkStart w:id="3" w:name="_GoBack"/>
      <w:bookmarkEnd w:id="3"/>
      <w:r>
        <w:t xml:space="preserve"> (the UNESCO/NCVER international database &lt;</w:t>
      </w:r>
      <w:hyperlink r:id="rId10" w:history="1">
        <w:r w:rsidRPr="00B71309">
          <w:rPr>
            <w:rStyle w:val="Hyperlink"/>
            <w:sz w:val="16"/>
          </w:rPr>
          <w:t>www.voced.edu.au</w:t>
        </w:r>
      </w:hyperlink>
      <w:r>
        <w:t>&gt;) using the following keywords:</w:t>
      </w:r>
      <w:r w:rsidR="003A7622">
        <w:t xml:space="preserve"> </w:t>
      </w:r>
      <w:r w:rsidR="00F52A33">
        <w:t>c</w:t>
      </w:r>
      <w:r w:rsidR="00F52A33" w:rsidRPr="00F52A33">
        <w:t xml:space="preserve">areer development; </w:t>
      </w:r>
      <w:r w:rsidR="00F52A33">
        <w:t>e</w:t>
      </w:r>
      <w:r w:rsidR="00F52A33" w:rsidRPr="00F52A33">
        <w:t xml:space="preserve">mployment; </w:t>
      </w:r>
      <w:r w:rsidR="00F52A33">
        <w:t>g</w:t>
      </w:r>
      <w:r w:rsidR="00F52A33" w:rsidRPr="00F52A33">
        <w:t xml:space="preserve">raduates; </w:t>
      </w:r>
      <w:r w:rsidR="00F52A33">
        <w:t>i</w:t>
      </w:r>
      <w:r w:rsidR="00F52A33" w:rsidRPr="00F52A33">
        <w:t xml:space="preserve">ndustry; </w:t>
      </w:r>
      <w:r w:rsidR="00F52A33">
        <w:t>l</w:t>
      </w:r>
      <w:r w:rsidR="00F52A33" w:rsidRPr="00F52A33">
        <w:t xml:space="preserve">abour market; </w:t>
      </w:r>
      <w:r w:rsidR="00F52A33">
        <w:t>o</w:t>
      </w:r>
      <w:r w:rsidR="00F52A33" w:rsidRPr="00F52A33">
        <w:t xml:space="preserve">utcomes of education and training; </w:t>
      </w:r>
      <w:r w:rsidR="00F52A33">
        <w:t>q</w:t>
      </w:r>
      <w:r w:rsidR="00F52A33" w:rsidRPr="00F52A33">
        <w:t xml:space="preserve">ualifications; </w:t>
      </w:r>
      <w:r w:rsidR="00F52A33">
        <w:t>t</w:t>
      </w:r>
      <w:r w:rsidR="00F52A33" w:rsidRPr="00F52A33">
        <w:t xml:space="preserve">ertiary education; </w:t>
      </w:r>
      <w:r w:rsidR="00F52A33">
        <w:t>v</w:t>
      </w:r>
      <w:r w:rsidR="00F52A33" w:rsidRPr="00F52A33">
        <w:t>ocational education and training.</w:t>
      </w:r>
    </w:p>
    <w:p w:rsidR="00F52A33" w:rsidRPr="00F52A33" w:rsidRDefault="00F52A33" w:rsidP="00F52A33">
      <w:pPr>
        <w:pStyle w:val="Imprint"/>
        <w:rPr>
          <w:highlight w:val="yellow"/>
        </w:rPr>
      </w:pPr>
    </w:p>
    <w:p w:rsidR="00E12B1F" w:rsidRDefault="00E12B1F" w:rsidP="00233BFA">
      <w:pPr>
        <w:pStyle w:val="Imprint"/>
        <w:rPr>
          <w:sz w:val="19"/>
          <w:szCs w:val="19"/>
        </w:rPr>
      </w:pPr>
    </w:p>
    <w:p w:rsidR="00E12B1F" w:rsidRPr="00C77DC6" w:rsidRDefault="00BB7711" w:rsidP="0049453B">
      <w:pPr>
        <w:pStyle w:val="Abouttheresearch"/>
      </w:pPr>
      <w:r>
        <w:rPr>
          <w:noProof/>
          <w:lang w:val="en-US"/>
        </w:rPr>
        <w:pict>
          <v:shape id="Text Box 9" o:spid="_x0000_s1030" type="#_x0000_t202" style="position:absolute;margin-left:0;margin-top:150pt;width:377.7pt;height:416.35pt;z-index:251655680;visibility:visibl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" filled="f" stroked="f">
            <v:textbox inset="0,,0">
              <w:txbxContent>
                <w:p w:rsidR="00220618" w:rsidRPr="00A021FC" w:rsidRDefault="00220618" w:rsidP="00AB5E85">
                  <w:pPr>
                    <w:pStyle w:val="Imprint"/>
                    <w:rPr>
                      <w:b/>
                    </w:rPr>
                  </w:pPr>
                  <w:r w:rsidRPr="00A021FC">
                    <w:rPr>
                      <w:b/>
                    </w:rPr>
                    <w:t xml:space="preserve">© Commonwealth of Australia, </w:t>
                  </w:r>
                  <w:r>
                    <w:rPr>
                      <w:b/>
                    </w:rPr>
                    <w:t>2013</w:t>
                  </w:r>
                </w:p>
                <w:p w:rsidR="00220618" w:rsidRDefault="00220618" w:rsidP="00AB5E85">
                  <w:pPr>
                    <w:pStyle w:val="Imprint"/>
                    <w:rPr>
                      <w:sz w:val="20"/>
                    </w:rPr>
                  </w:pPr>
                  <w:r>
                    <w:rPr>
                      <w:noProof/>
                      <w:sz w:val="20"/>
                      <w:lang w:eastAsia="en-AU"/>
                    </w:rPr>
                    <w:drawing>
                      <wp:inline distT="0" distB="0" distL="0" distR="0">
                        <wp:extent cx="850900" cy="308610"/>
                        <wp:effectExtent l="19050" t="0" r="6350"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srcRect/>
                                <a:stretch>
                                  <a:fillRect/>
                                </a:stretch>
                              </pic:blipFill>
                              <pic:spPr bwMode="auto">
                                <a:xfrm>
                                  <a:off x="0" y="0"/>
                                  <a:ext cx="850900" cy="308610"/>
                                </a:xfrm>
                                <a:prstGeom prst="rect">
                                  <a:avLst/>
                                </a:prstGeom>
                                <a:noFill/>
                                <a:ln w="9525">
                                  <a:noFill/>
                                  <a:miter lim="800000"/>
                                  <a:headEnd/>
                                  <a:tailEnd/>
                                </a:ln>
                              </pic:spPr>
                            </pic:pic>
                          </a:graphicData>
                        </a:graphic>
                      </wp:inline>
                    </w:drawing>
                  </w:r>
                </w:p>
                <w:p w:rsidR="00220618" w:rsidRPr="00A021FC" w:rsidRDefault="00220618" w:rsidP="00AB5E85">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&lt;creativecommons.org/licenses/by/3.0/au&gt; licence. </w:t>
                  </w:r>
                </w:p>
                <w:p w:rsidR="00220618" w:rsidRPr="00A021FC" w:rsidRDefault="00220618" w:rsidP="00AB5E85">
                  <w:pPr>
                    <w:pStyle w:val="Imprint"/>
                  </w:pPr>
                  <w:r w:rsidRPr="00A021FC">
                    <w:t>The details of the relevant licence conditions are available on the Creative Commons website (accessible</w:t>
                  </w:r>
                  <w:r>
                    <w:t> </w:t>
                  </w:r>
                  <w:r w:rsidRPr="00A021FC">
                    <w:t>using the links provided) as is the full legal code</w:t>
                  </w:r>
                  <w:r>
                    <w:t xml:space="preserve"> for the CC BY 3.0 AU licence &lt;</w:t>
                  </w:r>
                  <w:r w:rsidRPr="00A021FC">
                    <w:t>creativecommons.org/licenses/by/3.0/</w:t>
                  </w:r>
                  <w:proofErr w:type="spellStart"/>
                  <w:r w:rsidRPr="00A021FC">
                    <w:t>legalcode</w:t>
                  </w:r>
                  <w:proofErr w:type="spellEnd"/>
                  <w:r w:rsidRPr="00A021FC">
                    <w:t>&gt;.</w:t>
                  </w:r>
                </w:p>
                <w:p w:rsidR="00220618" w:rsidRPr="00A021FC" w:rsidRDefault="00220618" w:rsidP="00AB5E85">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220618" w:rsidRDefault="00220618" w:rsidP="00AB5E85">
                  <w:pPr>
                    <w:pStyle w:val="Imprint"/>
                  </w:pPr>
                  <w:r w:rsidRPr="00A021FC">
                    <w:t>This document should be attributed as</w:t>
                  </w:r>
                  <w:r>
                    <w:t xml:space="preserve"> </w:t>
                  </w:r>
                  <w:proofErr w:type="spellStart"/>
                  <w:r>
                    <w:t>Moodie</w:t>
                  </w:r>
                  <w:proofErr w:type="spellEnd"/>
                  <w:r>
                    <w:t xml:space="preserve">, G, </w:t>
                  </w:r>
                  <w:proofErr w:type="spellStart"/>
                  <w:r>
                    <w:t>Fredman</w:t>
                  </w:r>
                  <w:proofErr w:type="spellEnd"/>
                  <w:r>
                    <w:t xml:space="preserve">, N, Bexley, E &amp; Wheelahan, L 2013, </w:t>
                  </w:r>
                  <w:r>
                    <w:rPr>
                      <w:i/>
                    </w:rPr>
                    <w:t xml:space="preserve">Vocational education’s variable links to vocations, </w:t>
                  </w:r>
                  <w:r w:rsidRPr="00A021FC">
                    <w:t>NCVER, Adelaide.</w:t>
                  </w:r>
                </w:p>
                <w:p w:rsidR="00220618" w:rsidRDefault="00220618" w:rsidP="00AB5E85">
                  <w:pPr>
                    <w:pStyle w:val="Imprint"/>
                  </w:pPr>
                  <w:r w:rsidRPr="00A021FC">
                    <w:t>The views and opinions expressed in this document are those of NCVER and do not necessarily reflect the views of the Australian Government or state and territory governments.</w:t>
                  </w:r>
                </w:p>
                <w:p w:rsidR="00220618" w:rsidRPr="00EC29E3" w:rsidRDefault="00220618" w:rsidP="00AB5E85">
                  <w:pPr>
                    <w:pStyle w:val="Imprint"/>
                    <w:ind w:right="1700"/>
                    <w:rPr>
                      <w:smallCaps/>
                      <w:color w:val="000000"/>
                    </w:rPr>
                  </w:pPr>
                  <w:r>
                    <w:rPr>
                      <w:smallCaps/>
                      <w:color w:val="000000"/>
                    </w:rPr>
                    <w:t>COVER IMAGE: GETTY IMAGES/THINKSTOCK</w:t>
                  </w:r>
                </w:p>
                <w:p w:rsidR="00220618" w:rsidRPr="005C2FCF" w:rsidRDefault="00220618" w:rsidP="00AB5E85">
                  <w:pPr>
                    <w:pStyle w:val="Imprint"/>
                    <w:rPr>
                      <w:color w:val="000000"/>
                    </w:rPr>
                  </w:pPr>
                  <w:r>
                    <w:rPr>
                      <w:color w:val="000000"/>
                    </w:rPr>
                    <w:t>ISBN</w:t>
                  </w:r>
                  <w:r>
                    <w:rPr>
                      <w:color w:val="000000"/>
                    </w:rPr>
                    <w:tab/>
                  </w:r>
                  <w:r w:rsidRPr="007B67C5">
                    <w:rPr>
                      <w:color w:val="000000"/>
                    </w:rPr>
                    <w:t>978 1 922056 71 9</w:t>
                  </w:r>
                  <w:r>
                    <w:rPr>
                      <w:color w:val="000000"/>
                    </w:rPr>
                    <w:br/>
                  </w:r>
                  <w:r w:rsidRPr="005C2FCF">
                    <w:rPr>
                      <w:color w:val="000000"/>
                    </w:rPr>
                    <w:t>TD/TNC</w:t>
                  </w:r>
                  <w:r w:rsidRPr="005C2FCF">
                    <w:rPr>
                      <w:color w:val="000000"/>
                    </w:rPr>
                    <w:tab/>
                  </w:r>
                  <w:r>
                    <w:rPr>
                      <w:color w:val="000000"/>
                    </w:rPr>
                    <w:t>114.06</w:t>
                  </w:r>
                </w:p>
                <w:p w:rsidR="00220618" w:rsidRPr="005C2FCF" w:rsidRDefault="00220618" w:rsidP="00AB5E85">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220618" w:rsidRPr="005C2FCF" w:rsidRDefault="00220618" w:rsidP="00AB5E85">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220618" w:rsidRPr="00AB5E85" w:rsidRDefault="00220618" w:rsidP="00AB5E85">
                  <w:pPr>
                    <w:pStyle w:val="Imprint"/>
                  </w:pPr>
                  <w:r w:rsidRPr="004A1FB7">
                    <w:rPr>
                      <w:b/>
                      <w:color w:val="000000"/>
                      <w:lang w:val="pt-PT"/>
                    </w:rPr>
                    <w:t>P</w:t>
                  </w:r>
                  <w:r w:rsidRPr="0088186B">
                    <w:rPr>
                      <w:color w:val="000000"/>
                      <w:lang w:val="pt-PT"/>
                    </w:rPr>
                    <w:t xml:space="preserve"> +61 8 8230 8400   </w:t>
                  </w:r>
                  <w:r w:rsidRPr="004A1FB7">
                    <w:rPr>
                      <w:b/>
                      <w:color w:val="000000"/>
                      <w:lang w:val="pt-PT"/>
                    </w:rPr>
                    <w:t>F</w:t>
                  </w:r>
                  <w:r w:rsidRPr="0088186B">
                    <w:rPr>
                      <w:color w:val="000000"/>
                      <w:lang w:val="pt-PT"/>
                    </w:rPr>
                    <w:t xml:space="preserve"> +61 8 8212 3436   </w:t>
                  </w:r>
                  <w:r w:rsidRPr="004A1FB7">
                    <w:rPr>
                      <w:b/>
                      <w:color w:val="000000"/>
                      <w:lang w:val="pt-PT"/>
                    </w:rPr>
                    <w:t>E</w:t>
                  </w:r>
                  <w:r w:rsidRPr="0088186B">
                    <w:rPr>
                      <w:color w:val="000000"/>
                      <w:lang w:val="pt-PT"/>
                    </w:rPr>
                    <w:t xml:space="preserve"> </w:t>
                  </w:r>
                  <w:hyperlink r:id="rId12" w:history="1">
                    <w:r w:rsidRPr="0088186B">
                      <w:rPr>
                        <w:rStyle w:val="Hyperlink"/>
                        <w:sz w:val="16"/>
                        <w:lang w:val="pt-PT"/>
                      </w:rPr>
                      <w:t>ncver@ncver.edu.au</w:t>
                    </w:r>
                  </w:hyperlink>
                  <w:r w:rsidRPr="0088186B">
                    <w:rPr>
                      <w:color w:val="000000"/>
                      <w:lang w:val="pt-PT"/>
                    </w:rPr>
                    <w:t xml:space="preserve">   </w:t>
                  </w:r>
                  <w:r w:rsidRPr="004A1FB7">
                    <w:rPr>
                      <w:b/>
                      <w:color w:val="000000"/>
                      <w:lang w:val="pt-PT"/>
                    </w:rPr>
                    <w:t>W</w:t>
                  </w:r>
                  <w:r w:rsidRPr="0088186B">
                    <w:rPr>
                      <w:color w:val="000000"/>
                      <w:lang w:val="pt-PT"/>
                    </w:rPr>
                    <w:t xml:space="preserve"> &lt;</w:t>
                  </w:r>
                  <w:r>
                    <w:rPr>
                      <w:color w:val="000000"/>
                      <w:lang w:val="pt-PT"/>
                    </w:rPr>
                    <w:t xml:space="preserve">http:// </w:t>
                  </w:r>
                  <w:r w:rsidRPr="0088186B">
                    <w:rPr>
                      <w:color w:val="000000"/>
                      <w:lang w:val="pt-PT"/>
                    </w:rPr>
                    <w:t xml:space="preserve">www.ncver.edu.au&gt; </w:t>
                  </w:r>
                </w:p>
              </w:txbxContent>
            </v:textbox>
          </v:shape>
        </w:pict>
      </w:r>
      <w:r w:rsidR="00E12B1F"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E12B1F"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E12B1F" w:rsidRDefault="00BD3B79" w:rsidP="00F93048">
      <w:pPr>
        <w:pStyle w:val="Abouttheresearchpubtitle"/>
      </w:pPr>
      <w:bookmarkStart w:id="17" w:name="_Toc98394877"/>
      <w:r>
        <w:t>Vocational education’s variable links to vocations</w:t>
      </w:r>
    </w:p>
    <w:p w:rsidR="00E12B1F" w:rsidRPr="001B43CF" w:rsidRDefault="00BD3B79" w:rsidP="00874DA5">
      <w:pPr>
        <w:pStyle w:val="Heading3"/>
      </w:pPr>
      <w:bookmarkStart w:id="18" w:name="_Toc296423681"/>
      <w:bookmarkStart w:id="19" w:name="_Toc296497512"/>
      <w:r>
        <w:t xml:space="preserve">Gavin </w:t>
      </w:r>
      <w:proofErr w:type="spellStart"/>
      <w:r>
        <w:t>Moodie</w:t>
      </w:r>
      <w:proofErr w:type="spellEnd"/>
      <w:r>
        <w:t>, RMIT</w:t>
      </w:r>
      <w:r w:rsidR="006E5A23">
        <w:t>,</w:t>
      </w:r>
      <w:r>
        <w:t xml:space="preserve"> and Nick </w:t>
      </w:r>
      <w:proofErr w:type="spellStart"/>
      <w:r>
        <w:t>Fredman</w:t>
      </w:r>
      <w:proofErr w:type="spellEnd"/>
      <w:r>
        <w:t xml:space="preserve">, </w:t>
      </w:r>
      <w:proofErr w:type="spellStart"/>
      <w:r>
        <w:t>Emmaline</w:t>
      </w:r>
      <w:proofErr w:type="spellEnd"/>
      <w:r>
        <w:t xml:space="preserve"> Bexley </w:t>
      </w:r>
      <w:r w:rsidR="006E5A23">
        <w:t>and</w:t>
      </w:r>
      <w:r>
        <w:t xml:space="preserve"> Leesa Wheelahan, University of Melbourne</w:t>
      </w:r>
      <w:bookmarkEnd w:id="17"/>
      <w:bookmarkEnd w:id="18"/>
      <w:bookmarkEnd w:id="19"/>
    </w:p>
    <w:p w:rsidR="00CF30BD" w:rsidRPr="00525F5F" w:rsidRDefault="00B23C04" w:rsidP="00525F5F">
      <w:pPr>
        <w:pStyle w:val="Text"/>
      </w:pPr>
      <w:bookmarkStart w:id="20" w:name="_Toc98394878"/>
      <w:bookmarkStart w:id="21" w:name="_Toc296423682"/>
      <w:bookmarkStart w:id="22" w:name="_Toc296497513"/>
      <w:r w:rsidRPr="00D7139C">
        <w:t xml:space="preserve">This report is part of a wider three-year program of research, </w:t>
      </w:r>
      <w:r w:rsidRPr="006D3EC8">
        <w:rPr>
          <w:i/>
        </w:rPr>
        <w:t>V</w:t>
      </w:r>
      <w:r w:rsidR="00AF0D69">
        <w:rPr>
          <w:i/>
        </w:rPr>
        <w:t>ocations: the link between post-</w:t>
      </w:r>
      <w:r w:rsidRPr="006D3EC8">
        <w:rPr>
          <w:i/>
        </w:rPr>
        <w:t>compulsory education and the labour market</w:t>
      </w:r>
      <w:r w:rsidRPr="00D7139C">
        <w:t xml:space="preserve">, which is investigating the educational and occupational paths that people take and </w:t>
      </w:r>
      <w:r w:rsidR="00122D55">
        <w:t>determining</w:t>
      </w:r>
      <w:r w:rsidRPr="00D7139C">
        <w:t xml:space="preserve"> how their study relates to their work. </w:t>
      </w:r>
      <w:r w:rsidR="00A2250E">
        <w:t>Previously the authors theorised that vocational streams</w:t>
      </w:r>
      <w:r w:rsidR="008260C0">
        <w:t>, whereby people study for a field of practice rather than a specific job, could support occupation</w:t>
      </w:r>
      <w:r w:rsidR="001662DA">
        <w:t>al</w:t>
      </w:r>
      <w:r w:rsidR="00AF0D69">
        <w:t xml:space="preserve"> </w:t>
      </w:r>
      <w:r w:rsidR="00AF0D69" w:rsidRPr="00525F5F">
        <w:t>progression; f</w:t>
      </w:r>
      <w:r w:rsidR="00A2250E" w:rsidRPr="00525F5F">
        <w:t>or example</w:t>
      </w:r>
      <w:r w:rsidR="00AF0D69" w:rsidRPr="00525F5F">
        <w:t>,</w:t>
      </w:r>
      <w:r w:rsidR="00A2250E" w:rsidRPr="00525F5F">
        <w:t xml:space="preserve"> a ‘care’ vocation could include workers within aged care, mental health, child care and disability care.</w:t>
      </w:r>
    </w:p>
    <w:p w:rsidR="00B555DD" w:rsidRDefault="001662DA" w:rsidP="00525F5F">
      <w:pPr>
        <w:pStyle w:val="Text"/>
      </w:pPr>
      <w:r w:rsidRPr="00525F5F">
        <w:t>This report looks specifically at m</w:t>
      </w:r>
      <w:r>
        <w:t>id-level qualifications</w:t>
      </w:r>
      <w:r w:rsidR="00112912">
        <w:t>, such as diplomas, advanced diplomas and associate degrees,</w:t>
      </w:r>
      <w:r w:rsidR="003D40B5">
        <w:t xml:space="preserve"> and how they </w:t>
      </w:r>
      <w:r w:rsidR="00AF0D69">
        <w:t>assist</w:t>
      </w:r>
      <w:r w:rsidR="003D40B5">
        <w:t xml:space="preserve"> entry to and progression in the labour </w:t>
      </w:r>
      <w:r w:rsidR="00375E87">
        <w:t>market.</w:t>
      </w:r>
      <w:r w:rsidR="00CF30BD">
        <w:t xml:space="preserve"> In order to explore these issues, the authors analyse data from the Student Outcomes Survey and the Survey of Education and Work</w:t>
      </w:r>
      <w:r w:rsidR="000320B2">
        <w:t>.</w:t>
      </w:r>
      <w:r w:rsidR="00AF0D69">
        <w:t xml:space="preserve"> In addition</w:t>
      </w:r>
      <w:r w:rsidR="000320B2">
        <w:t>, they</w:t>
      </w:r>
      <w:r w:rsidR="00CF30BD">
        <w:t xml:space="preserve"> undertake case studies of mid-level qualifications in engineering and finance</w:t>
      </w:r>
      <w:r w:rsidR="00AF0D69">
        <w:t xml:space="preserve"> and </w:t>
      </w:r>
      <w:r w:rsidR="00122D55">
        <w:t xml:space="preserve">also </w:t>
      </w:r>
      <w:r w:rsidR="00AF0D69">
        <w:t>examine</w:t>
      </w:r>
      <w:r w:rsidR="00CF30BD">
        <w:t xml:space="preserve"> the roles of physician assistants in health</w:t>
      </w:r>
      <w:r w:rsidR="00AF0D69">
        <w:t>,</w:t>
      </w:r>
      <w:r w:rsidR="00CF30BD">
        <w:t xml:space="preserve"> and veterinary technologists</w:t>
      </w:r>
      <w:r w:rsidR="003D65FE">
        <w:t xml:space="preserve"> in agri</w:t>
      </w:r>
      <w:r w:rsidR="00CF30BD">
        <w:t>culture</w:t>
      </w:r>
      <w:r w:rsidR="00122D55">
        <w:t>,</w:t>
      </w:r>
      <w:r w:rsidR="00534231">
        <w:t xml:space="preserve"> to see how mid-level qualifications can be strengthened</w:t>
      </w:r>
      <w:r w:rsidR="00CF30BD">
        <w:t>.</w:t>
      </w:r>
    </w:p>
    <w:p w:rsidR="00E12B1F" w:rsidRDefault="00E12B1F" w:rsidP="0049453B">
      <w:pPr>
        <w:pStyle w:val="Keymessages"/>
      </w:pPr>
      <w:r w:rsidRPr="005C2FCF">
        <w:t>Key messages</w:t>
      </w:r>
      <w:bookmarkEnd w:id="20"/>
      <w:bookmarkEnd w:id="21"/>
      <w:bookmarkEnd w:id="22"/>
    </w:p>
    <w:p w:rsidR="00B555DD" w:rsidRPr="005C2FCF" w:rsidRDefault="00B555DD" w:rsidP="00B555DD">
      <w:pPr>
        <w:pStyle w:val="Text"/>
      </w:pPr>
      <w:r>
        <w:t xml:space="preserve">At a time when the </w:t>
      </w:r>
      <w:r w:rsidR="00AF0D69">
        <w:t>vocational education and tra</w:t>
      </w:r>
      <w:r w:rsidR="00A95206">
        <w:t>ining (</w:t>
      </w:r>
      <w:r>
        <w:t>VET</w:t>
      </w:r>
      <w:r w:rsidR="00A95206">
        <w:t>)</w:t>
      </w:r>
      <w:r>
        <w:t xml:space="preserve"> sector is designing entitlement models and introducing contestability to improve the outcomes of learning, this report iden</w:t>
      </w:r>
      <w:r w:rsidR="00A95206">
        <w:t xml:space="preserve">tifies a number of key </w:t>
      </w:r>
      <w:r w:rsidR="00D9570E">
        <w:t>issues</w:t>
      </w:r>
      <w:r w:rsidR="00A95206">
        <w:t>.</w:t>
      </w:r>
    </w:p>
    <w:p w:rsidR="00A17C00" w:rsidRPr="00525F5F" w:rsidRDefault="00981C36" w:rsidP="00525F5F">
      <w:pPr>
        <w:pStyle w:val="Dotpoint1"/>
      </w:pPr>
      <w:r w:rsidRPr="00C2328F">
        <w:t xml:space="preserve">Generally, there is a weak link between education and work for students in most </w:t>
      </w:r>
      <w:r w:rsidR="00112912">
        <w:t xml:space="preserve">mid-level </w:t>
      </w:r>
      <w:r w:rsidRPr="00C2328F">
        <w:t xml:space="preserve">qualifications and </w:t>
      </w:r>
      <w:r w:rsidRPr="00525F5F">
        <w:t xml:space="preserve">fields of education. The exceptions are in occupations where there are licensing requirements or strong regulations. </w:t>
      </w:r>
    </w:p>
    <w:p w:rsidR="00E12B1F" w:rsidRPr="00525F5F" w:rsidRDefault="00A17C00" w:rsidP="00525F5F">
      <w:pPr>
        <w:pStyle w:val="Dotpoint1"/>
      </w:pPr>
      <w:r w:rsidRPr="00525F5F">
        <w:t xml:space="preserve">Employment outcomes for graduates improve as the level of study increases from certificate I </w:t>
      </w:r>
      <w:r w:rsidR="00C01BDB" w:rsidRPr="00525F5F">
        <w:t xml:space="preserve">to </w:t>
      </w:r>
      <w:r w:rsidR="00D9570E">
        <w:t xml:space="preserve">certificate </w:t>
      </w:r>
      <w:r w:rsidR="00C01BDB" w:rsidRPr="00525F5F">
        <w:t>III. However, o</w:t>
      </w:r>
      <w:r w:rsidRPr="00525F5F">
        <w:t xml:space="preserve">nly 37% of graduates obtain employment in their field of education, </w:t>
      </w:r>
      <w:r w:rsidR="008E6574" w:rsidRPr="00525F5F">
        <w:t>al</w:t>
      </w:r>
      <w:r w:rsidRPr="00525F5F">
        <w:t xml:space="preserve">though this </w:t>
      </w:r>
      <w:r w:rsidR="00C01BDB" w:rsidRPr="00525F5F">
        <w:t>result</w:t>
      </w:r>
      <w:r w:rsidRPr="00525F5F">
        <w:t xml:space="preserve"> </w:t>
      </w:r>
      <w:r w:rsidR="00B92FC1" w:rsidRPr="00525F5F">
        <w:t xml:space="preserve">does </w:t>
      </w:r>
      <w:r w:rsidRPr="00525F5F">
        <w:t xml:space="preserve">differ </w:t>
      </w:r>
      <w:r w:rsidR="008E6574" w:rsidRPr="00525F5F">
        <w:t xml:space="preserve">by </w:t>
      </w:r>
      <w:r w:rsidR="00C01BDB" w:rsidRPr="00525F5F">
        <w:t>field</w:t>
      </w:r>
      <w:r w:rsidRPr="00525F5F">
        <w:t>.</w:t>
      </w:r>
    </w:p>
    <w:p w:rsidR="00112912" w:rsidRPr="00525F5F" w:rsidRDefault="00DF7D59" w:rsidP="00525F5F">
      <w:pPr>
        <w:pStyle w:val="Dotpoint1"/>
      </w:pPr>
      <w:r w:rsidRPr="00525F5F">
        <w:t xml:space="preserve">Mid-level qualifications </w:t>
      </w:r>
      <w:r w:rsidR="000320B2" w:rsidRPr="00525F5F">
        <w:t>have three main roles, either</w:t>
      </w:r>
      <w:r w:rsidRPr="00525F5F">
        <w:t xml:space="preserve"> as a labour market qual</w:t>
      </w:r>
      <w:r w:rsidR="000320B2" w:rsidRPr="00525F5F">
        <w:t>ification (entry or upgrade),</w:t>
      </w:r>
      <w:r w:rsidRPr="00525F5F">
        <w:t xml:space="preserve"> a transition to a h</w:t>
      </w:r>
      <w:r w:rsidR="00A95206" w:rsidRPr="00525F5F">
        <w:t>igher-</w:t>
      </w:r>
      <w:r w:rsidRPr="00525F5F">
        <w:t>level qualificatio</w:t>
      </w:r>
      <w:r w:rsidR="00A95206" w:rsidRPr="00525F5F">
        <w:t>n, or to widen access to higher-</w:t>
      </w:r>
      <w:r w:rsidRPr="00525F5F">
        <w:t>level qualifications.</w:t>
      </w:r>
      <w:r w:rsidR="00417EEB" w:rsidRPr="00525F5F">
        <w:t xml:space="preserve"> </w:t>
      </w:r>
    </w:p>
    <w:p w:rsidR="00B92FC1" w:rsidRPr="00525F5F" w:rsidRDefault="00B92FC1" w:rsidP="00525F5F">
      <w:pPr>
        <w:pStyle w:val="Dotpoint1"/>
      </w:pPr>
      <w:r w:rsidRPr="00525F5F">
        <w:t>Training institutions could play a vital role in constructing and offering qualifications differently to suit the purpose they serve.</w:t>
      </w:r>
    </w:p>
    <w:p w:rsidR="00BE4967" w:rsidRDefault="00BE4967" w:rsidP="00525F5F">
      <w:pPr>
        <w:pStyle w:val="Dotpoint1"/>
      </w:pPr>
      <w:r w:rsidRPr="00525F5F">
        <w:t>Improving outcom</w:t>
      </w:r>
      <w:r w:rsidR="00C76987" w:rsidRPr="00525F5F">
        <w:t>es</w:t>
      </w:r>
      <w:r w:rsidR="00C76987">
        <w:t xml:space="preserve"> requires encouraging industry bodies and intermediaries to focus on improving the relationship between work and education.</w:t>
      </w:r>
    </w:p>
    <w:p w:rsidR="00E12B1F" w:rsidRPr="005C2FCF" w:rsidRDefault="00E12B1F" w:rsidP="0048643A">
      <w:pPr>
        <w:pStyle w:val="Text"/>
      </w:pPr>
    </w:p>
    <w:p w:rsidR="00E12B1F" w:rsidRPr="005C2FCF" w:rsidRDefault="001662DA" w:rsidP="0048643A">
      <w:pPr>
        <w:pStyle w:val="Text"/>
      </w:pPr>
      <w:r>
        <w:t>Rod Camm</w:t>
      </w:r>
      <w:r w:rsidR="00E12B1F" w:rsidRPr="005C2FCF">
        <w:br/>
        <w:t>Managing Director, NCVER</w:t>
      </w:r>
    </w:p>
    <w:p w:rsidR="006C6A61" w:rsidRDefault="00E12B1F">
      <w:pPr>
        <w:spacing w:before="0" w:line="240" w:lineRule="auto"/>
      </w:pPr>
      <w:r>
        <w:br w:type="page"/>
      </w:r>
    </w:p>
    <w:p w:rsidR="00E12B1F" w:rsidRDefault="00E12B1F" w:rsidP="00525F5F">
      <w:pPr>
        <w:spacing w:before="0" w:line="240" w:lineRule="auto"/>
      </w:pPr>
    </w:p>
    <w:p w:rsidR="00E12B1F" w:rsidRDefault="00E12B1F" w:rsidP="00874DA5">
      <w:pPr>
        <w:pStyle w:val="Contents"/>
        <w:sectPr w:rsidR="00E12B1F" w:rsidSect="00F60BA5">
          <w:pgSz w:w="11907" w:h="16840" w:code="9"/>
          <w:pgMar w:top="1276" w:right="1701" w:bottom="1276" w:left="1418" w:header="709" w:footer="556" w:gutter="0"/>
          <w:cols w:space="708"/>
          <w:docGrid w:linePitch="360"/>
        </w:sectPr>
      </w:pPr>
    </w:p>
    <w:p w:rsidR="00E12B1F" w:rsidRPr="00DC5F5C" w:rsidRDefault="00E12B1F" w:rsidP="00874DA5">
      <w:pPr>
        <w:pStyle w:val="Contents"/>
      </w:pPr>
      <w:bookmarkStart w:id="23" w:name="_Toc98394880"/>
      <w:bookmarkStart w:id="24" w:name="_Toc296423683"/>
      <w:bookmarkStart w:id="25" w:name="_Toc296497514"/>
      <w:r w:rsidRPr="00DC5F5C">
        <w:lastRenderedPageBreak/>
        <w:t>Contents</w:t>
      </w:r>
      <w:bookmarkEnd w:id="23"/>
      <w:bookmarkEnd w:id="24"/>
      <w:bookmarkEnd w:id="25"/>
    </w:p>
    <w:p w:rsidR="00D96997" w:rsidRDefault="00BE1F95">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E12B1F" w:rsidRPr="009775C7">
        <w:rPr>
          <w:rFonts w:ascii="Avant Garde" w:hAnsi="Avant Garde"/>
        </w:rPr>
        <w:instrText xml:space="preserve"> TOC \o "1-2" </w:instrText>
      </w:r>
      <w:r w:rsidRPr="009775C7">
        <w:rPr>
          <w:rFonts w:ascii="Avant Garde" w:hAnsi="Avant Garde"/>
        </w:rPr>
        <w:fldChar w:fldCharType="separate"/>
      </w:r>
      <w:r w:rsidR="00D96997">
        <w:t>Tables and figures</w:t>
      </w:r>
      <w:r w:rsidR="00D96997">
        <w:tab/>
      </w:r>
      <w:r>
        <w:fldChar w:fldCharType="begin"/>
      </w:r>
      <w:r w:rsidR="00D96997">
        <w:instrText xml:space="preserve"> PAGEREF _Toc370199890 \h </w:instrText>
      </w:r>
      <w:r>
        <w:fldChar w:fldCharType="separate"/>
      </w:r>
      <w:r w:rsidR="00BC7C6C">
        <w:t>6</w:t>
      </w:r>
      <w:r>
        <w:fldChar w:fldCharType="end"/>
      </w:r>
    </w:p>
    <w:p w:rsidR="00D96997" w:rsidRDefault="00D96997">
      <w:pPr>
        <w:pStyle w:val="TOC1"/>
        <w:rPr>
          <w:rFonts w:asciiTheme="minorHAnsi" w:eastAsiaTheme="minorEastAsia" w:hAnsiTheme="minorHAnsi" w:cstheme="minorBidi"/>
          <w:color w:val="auto"/>
          <w:sz w:val="22"/>
          <w:szCs w:val="22"/>
          <w:lang w:eastAsia="en-AU"/>
        </w:rPr>
      </w:pPr>
      <w:r>
        <w:t>Executive summary</w:t>
      </w:r>
      <w:r>
        <w:tab/>
      </w:r>
      <w:r w:rsidR="00BE1F95">
        <w:fldChar w:fldCharType="begin"/>
      </w:r>
      <w:r>
        <w:instrText xml:space="preserve"> PAGEREF _Toc370199893 \h </w:instrText>
      </w:r>
      <w:r w:rsidR="00BE1F95">
        <w:fldChar w:fldCharType="separate"/>
      </w:r>
      <w:r w:rsidR="00BC7C6C">
        <w:t>7</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Introduction</w:t>
      </w:r>
      <w:r>
        <w:tab/>
      </w:r>
      <w:r w:rsidR="00BE1F95">
        <w:fldChar w:fldCharType="begin"/>
      </w:r>
      <w:r>
        <w:instrText xml:space="preserve"> PAGEREF _Toc370199894 \h </w:instrText>
      </w:r>
      <w:r w:rsidR="00BE1F95">
        <w:fldChar w:fldCharType="separate"/>
      </w:r>
      <w:r w:rsidR="00BC7C6C">
        <w:t>10</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Methods</w:t>
      </w:r>
      <w:r>
        <w:tab/>
      </w:r>
      <w:r w:rsidR="00BE1F95">
        <w:fldChar w:fldCharType="begin"/>
      </w:r>
      <w:r>
        <w:instrText xml:space="preserve"> PAGEREF _Toc370199895 \h </w:instrText>
      </w:r>
      <w:r w:rsidR="00BE1F95">
        <w:fldChar w:fldCharType="separate"/>
      </w:r>
      <w:r w:rsidR="00BC7C6C">
        <w:t>16</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Employment, study and skills outcomes of mid-level qualifications</w:t>
      </w:r>
      <w:r>
        <w:tab/>
      </w:r>
      <w:r w:rsidR="00BE1F95">
        <w:fldChar w:fldCharType="begin"/>
      </w:r>
      <w:r>
        <w:instrText xml:space="preserve"> PAGEREF _Toc370199896 \h </w:instrText>
      </w:r>
      <w:r w:rsidR="00BE1F95">
        <w:fldChar w:fldCharType="separate"/>
      </w:r>
      <w:r w:rsidR="00BC7C6C">
        <w:t>18</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2011 Student Outcomes Survey</w:t>
      </w:r>
      <w:r>
        <w:tab/>
      </w:r>
      <w:r w:rsidR="00BE1F95">
        <w:fldChar w:fldCharType="begin"/>
      </w:r>
      <w:r>
        <w:instrText xml:space="preserve"> PAGEREF _Toc370199897 \h </w:instrText>
      </w:r>
      <w:r w:rsidR="00BE1F95">
        <w:fldChar w:fldCharType="separate"/>
      </w:r>
      <w:r w:rsidR="00BC7C6C">
        <w:t>18</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Survey of Education and Work 1998—2012</w:t>
      </w:r>
      <w:r>
        <w:tab/>
      </w:r>
      <w:r w:rsidR="00BE1F95">
        <w:fldChar w:fldCharType="begin"/>
      </w:r>
      <w:r>
        <w:instrText xml:space="preserve"> PAGEREF _Toc370199898 \h </w:instrText>
      </w:r>
      <w:r w:rsidR="00BE1F95">
        <w:fldChar w:fldCharType="separate"/>
      </w:r>
      <w:r w:rsidR="00BC7C6C">
        <w:t>21</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Conclusion</w:t>
      </w:r>
      <w:r>
        <w:tab/>
      </w:r>
      <w:r w:rsidR="00BE1F95">
        <w:fldChar w:fldCharType="begin"/>
      </w:r>
      <w:r>
        <w:instrText xml:space="preserve"> PAGEREF _Toc370199899 \h </w:instrText>
      </w:r>
      <w:r w:rsidR="00BE1F95">
        <w:fldChar w:fldCharType="separate"/>
      </w:r>
      <w:r w:rsidR="00BC7C6C">
        <w:t>22</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Case studies of mid-level qualifications</w:t>
      </w:r>
      <w:r>
        <w:tab/>
      </w:r>
      <w:r w:rsidR="00BE1F95">
        <w:fldChar w:fldCharType="begin"/>
      </w:r>
      <w:r>
        <w:instrText xml:space="preserve"> PAGEREF _Toc370199900 \h </w:instrText>
      </w:r>
      <w:r w:rsidR="00BE1F95">
        <w:fldChar w:fldCharType="separate"/>
      </w:r>
      <w:r w:rsidR="00BC7C6C">
        <w:t>24</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Associate degrees in engineering, mining and geoscience</w:t>
      </w:r>
      <w:r>
        <w:tab/>
      </w:r>
      <w:r w:rsidR="00BE1F95">
        <w:fldChar w:fldCharType="begin"/>
      </w:r>
      <w:r>
        <w:instrText xml:space="preserve"> PAGEREF _Toc370199901 \h </w:instrText>
      </w:r>
      <w:r w:rsidR="00BE1F95">
        <w:fldChar w:fldCharType="separate"/>
      </w:r>
      <w:r w:rsidR="00BC7C6C">
        <w:t>24</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Financial planning</w:t>
      </w:r>
      <w:r>
        <w:tab/>
      </w:r>
      <w:r w:rsidR="00BE1F95">
        <w:fldChar w:fldCharType="begin"/>
      </w:r>
      <w:r>
        <w:instrText xml:space="preserve"> PAGEREF _Toc370199902 \h </w:instrText>
      </w:r>
      <w:r w:rsidR="00BE1F95">
        <w:fldChar w:fldCharType="separate"/>
      </w:r>
      <w:r w:rsidR="00BC7C6C">
        <w:t>25</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Physician assistant</w:t>
      </w:r>
      <w:r>
        <w:tab/>
      </w:r>
      <w:r w:rsidR="00BE1F95">
        <w:fldChar w:fldCharType="begin"/>
      </w:r>
      <w:r>
        <w:instrText xml:space="preserve"> PAGEREF _Toc370199903 \h </w:instrText>
      </w:r>
      <w:r w:rsidR="00BE1F95">
        <w:fldChar w:fldCharType="separate"/>
      </w:r>
      <w:r w:rsidR="00BC7C6C">
        <w:t>27</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Veterinary technologist</w:t>
      </w:r>
      <w:r>
        <w:tab/>
      </w:r>
      <w:r w:rsidR="00BE1F95">
        <w:fldChar w:fldCharType="begin"/>
      </w:r>
      <w:r>
        <w:instrText xml:space="preserve"> PAGEREF _Toc370199904 \h </w:instrText>
      </w:r>
      <w:r w:rsidR="00BE1F95">
        <w:fldChar w:fldCharType="separate"/>
      </w:r>
      <w:r w:rsidR="00BC7C6C">
        <w:t>28</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Conclusion</w:t>
      </w:r>
      <w:r>
        <w:tab/>
      </w:r>
      <w:r w:rsidR="00BE1F95">
        <w:fldChar w:fldCharType="begin"/>
      </w:r>
      <w:r>
        <w:instrText xml:space="preserve"> PAGEREF _Toc370199905 \h </w:instrText>
      </w:r>
      <w:r w:rsidR="00BE1F95">
        <w:fldChar w:fldCharType="separate"/>
      </w:r>
      <w:r w:rsidR="00BC7C6C">
        <w:t>28</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Conclusion</w:t>
      </w:r>
      <w:r>
        <w:tab/>
      </w:r>
      <w:r w:rsidR="00BE1F95">
        <w:fldChar w:fldCharType="begin"/>
      </w:r>
      <w:r>
        <w:instrText xml:space="preserve"> PAGEREF _Toc370199906 \h </w:instrText>
      </w:r>
      <w:r w:rsidR="00BE1F95">
        <w:fldChar w:fldCharType="separate"/>
      </w:r>
      <w:r w:rsidR="00BC7C6C">
        <w:t>30</w:t>
      </w:r>
      <w:r w:rsidR="00BE1F95">
        <w:fldChar w:fldCharType="end"/>
      </w:r>
    </w:p>
    <w:p w:rsidR="00D96997" w:rsidRDefault="00D96997">
      <w:pPr>
        <w:pStyle w:val="TOC2"/>
        <w:rPr>
          <w:rFonts w:asciiTheme="minorHAnsi" w:eastAsiaTheme="minorEastAsia" w:hAnsiTheme="minorHAnsi" w:cstheme="minorBidi"/>
          <w:color w:val="auto"/>
          <w:sz w:val="22"/>
          <w:szCs w:val="22"/>
          <w:lang w:eastAsia="en-AU"/>
        </w:rPr>
      </w:pPr>
      <w:r>
        <w:t>Vocational streams</w:t>
      </w:r>
      <w:r>
        <w:tab/>
      </w:r>
      <w:r w:rsidR="00BE1F95">
        <w:fldChar w:fldCharType="begin"/>
      </w:r>
      <w:r>
        <w:instrText xml:space="preserve"> PAGEREF _Toc370199907 \h </w:instrText>
      </w:r>
      <w:r w:rsidR="00BE1F95">
        <w:fldChar w:fldCharType="separate"/>
      </w:r>
      <w:r w:rsidR="00BC7C6C">
        <w:t>31</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References</w:t>
      </w:r>
      <w:r>
        <w:tab/>
      </w:r>
      <w:r w:rsidR="00BE1F95">
        <w:fldChar w:fldCharType="begin"/>
      </w:r>
      <w:r>
        <w:instrText xml:space="preserve"> PAGEREF _Toc370199908 \h </w:instrText>
      </w:r>
      <w:r w:rsidR="00BE1F95">
        <w:fldChar w:fldCharType="separate"/>
      </w:r>
      <w:r w:rsidR="00BC7C6C">
        <w:t>33</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Support document details</w:t>
      </w:r>
      <w:r>
        <w:tab/>
      </w:r>
      <w:r w:rsidR="00BE1F95">
        <w:fldChar w:fldCharType="begin"/>
      </w:r>
      <w:r>
        <w:instrText xml:space="preserve"> PAGEREF _Toc370199909 \h </w:instrText>
      </w:r>
      <w:r w:rsidR="00BE1F95">
        <w:fldChar w:fldCharType="separate"/>
      </w:r>
      <w:r w:rsidR="00BC7C6C">
        <w:t>36</w:t>
      </w:r>
      <w:r w:rsidR="00BE1F95">
        <w:fldChar w:fldCharType="end"/>
      </w:r>
    </w:p>
    <w:p w:rsidR="00D96997" w:rsidRDefault="00D96997">
      <w:pPr>
        <w:pStyle w:val="TOC1"/>
        <w:rPr>
          <w:rFonts w:asciiTheme="minorHAnsi" w:eastAsiaTheme="minorEastAsia" w:hAnsiTheme="minorHAnsi" w:cstheme="minorBidi"/>
          <w:color w:val="auto"/>
          <w:sz w:val="22"/>
          <w:szCs w:val="22"/>
          <w:lang w:eastAsia="en-AU"/>
        </w:rPr>
      </w:pPr>
      <w:r>
        <w:t>NVETR Program funding</w:t>
      </w:r>
      <w:r>
        <w:tab/>
      </w:r>
      <w:r w:rsidR="00BE1F95">
        <w:fldChar w:fldCharType="begin"/>
      </w:r>
      <w:r>
        <w:instrText xml:space="preserve"> PAGEREF _Toc370199910 \h </w:instrText>
      </w:r>
      <w:r w:rsidR="00BE1F95">
        <w:fldChar w:fldCharType="separate"/>
      </w:r>
      <w:r w:rsidR="00BC7C6C">
        <w:t>37</w:t>
      </w:r>
      <w:r w:rsidR="00BE1F95">
        <w:fldChar w:fldCharType="end"/>
      </w:r>
    </w:p>
    <w:p w:rsidR="00E12B1F" w:rsidRDefault="00BE1F95" w:rsidP="0048643A">
      <w:pPr>
        <w:pStyle w:val="Text"/>
      </w:pPr>
      <w:r w:rsidRPr="009775C7">
        <w:rPr>
          <w:rFonts w:ascii="Avant Garde" w:hAnsi="Avant Garde"/>
        </w:rPr>
        <w:fldChar w:fldCharType="end"/>
      </w:r>
    </w:p>
    <w:p w:rsidR="00E12B1F" w:rsidRDefault="00E12B1F" w:rsidP="00525F5F">
      <w:pPr>
        <w:pStyle w:val="Heading1"/>
      </w:pPr>
      <w:r>
        <w:br w:type="page"/>
      </w:r>
      <w:bookmarkStart w:id="26" w:name="_Toc370199890"/>
      <w:r>
        <w:lastRenderedPageBreak/>
        <w:t>Tables and figures</w:t>
      </w:r>
      <w:bookmarkEnd w:id="26"/>
    </w:p>
    <w:p w:rsidR="00E12B1F" w:rsidRDefault="00E12B1F" w:rsidP="004E7227">
      <w:pPr>
        <w:pStyle w:val="Heading2"/>
      </w:pPr>
      <w:bookmarkStart w:id="27" w:name="_Toc296497516"/>
      <w:bookmarkStart w:id="28" w:name="_Toc298162801"/>
      <w:bookmarkStart w:id="29" w:name="_Toc369273507"/>
      <w:bookmarkStart w:id="30" w:name="_Toc370199891"/>
      <w:r>
        <w:t>Tables</w:t>
      </w:r>
      <w:bookmarkEnd w:id="27"/>
      <w:bookmarkEnd w:id="28"/>
      <w:bookmarkEnd w:id="29"/>
      <w:bookmarkEnd w:id="30"/>
    </w:p>
    <w:p w:rsidR="007B4FA2" w:rsidRDefault="00BE1F95">
      <w:pPr>
        <w:pStyle w:val="TableofFigures"/>
        <w:tabs>
          <w:tab w:val="left" w:pos="880"/>
        </w:tabs>
        <w:rPr>
          <w:rFonts w:ascii="Calibri" w:hAnsi="Calibri"/>
          <w:color w:val="auto"/>
          <w:sz w:val="22"/>
          <w:szCs w:val="22"/>
          <w:lang w:eastAsia="en-AU"/>
        </w:rPr>
      </w:pPr>
      <w:r>
        <w:fldChar w:fldCharType="begin"/>
      </w:r>
      <w:r w:rsidR="00E12B1F">
        <w:instrText xml:space="preserve"> TOC \f F \t "tabletitle" \c </w:instrText>
      </w:r>
      <w:r>
        <w:fldChar w:fldCharType="separate"/>
      </w:r>
      <w:r w:rsidR="007B4FA2">
        <w:t>1</w:t>
      </w:r>
      <w:r w:rsidR="007B4FA2">
        <w:rPr>
          <w:rFonts w:ascii="Calibri" w:hAnsi="Calibri"/>
          <w:color w:val="auto"/>
          <w:sz w:val="22"/>
          <w:szCs w:val="22"/>
          <w:lang w:eastAsia="en-AU"/>
        </w:rPr>
        <w:tab/>
      </w:r>
      <w:r w:rsidR="007B4FA2">
        <w:t>Australian Qualifications Framework, 2013</w:t>
      </w:r>
      <w:r w:rsidR="007B4FA2">
        <w:tab/>
      </w:r>
      <w:r>
        <w:fldChar w:fldCharType="begin"/>
      </w:r>
      <w:r w:rsidR="007B4FA2">
        <w:instrText xml:space="preserve"> PAGEREF _Toc369273527 \h </w:instrText>
      </w:r>
      <w:r>
        <w:fldChar w:fldCharType="separate"/>
      </w:r>
      <w:r w:rsidR="00BC7C6C">
        <w:t>11</w:t>
      </w:r>
      <w:r>
        <w:fldChar w:fldCharType="end"/>
      </w:r>
    </w:p>
    <w:p w:rsidR="007B4FA2" w:rsidRDefault="007B4FA2">
      <w:pPr>
        <w:pStyle w:val="TableofFigures"/>
        <w:tabs>
          <w:tab w:val="left" w:pos="880"/>
        </w:tabs>
        <w:rPr>
          <w:rFonts w:ascii="Calibri" w:hAnsi="Calibri"/>
          <w:color w:val="auto"/>
          <w:sz w:val="22"/>
          <w:szCs w:val="22"/>
          <w:lang w:eastAsia="en-AU"/>
        </w:rPr>
      </w:pPr>
      <w:r>
        <w:t>2</w:t>
      </w:r>
      <w:r>
        <w:rPr>
          <w:rFonts w:ascii="Calibri" w:hAnsi="Calibri"/>
          <w:color w:val="auto"/>
          <w:sz w:val="22"/>
          <w:szCs w:val="22"/>
          <w:lang w:eastAsia="en-AU"/>
        </w:rPr>
        <w:tab/>
      </w:r>
      <w:r>
        <w:t>Changes in qualifications’ share of student load, 2002—11, %</w:t>
      </w:r>
      <w:r>
        <w:tab/>
      </w:r>
      <w:r w:rsidR="00BE1F95">
        <w:fldChar w:fldCharType="begin"/>
      </w:r>
      <w:r>
        <w:instrText xml:space="preserve"> PAGEREF _Toc369273528 \h </w:instrText>
      </w:r>
      <w:r w:rsidR="00BE1F95">
        <w:fldChar w:fldCharType="separate"/>
      </w:r>
      <w:r w:rsidR="00BC7C6C">
        <w:t>12</w:t>
      </w:r>
      <w:r w:rsidR="00BE1F95">
        <w:fldChar w:fldCharType="end"/>
      </w:r>
    </w:p>
    <w:p w:rsidR="007B4FA2" w:rsidRDefault="007B4FA2">
      <w:pPr>
        <w:pStyle w:val="TableofFigures"/>
        <w:tabs>
          <w:tab w:val="left" w:pos="880"/>
        </w:tabs>
        <w:rPr>
          <w:rFonts w:ascii="Calibri" w:hAnsi="Calibri"/>
          <w:color w:val="auto"/>
          <w:sz w:val="22"/>
          <w:szCs w:val="22"/>
          <w:lang w:eastAsia="en-AU"/>
        </w:rPr>
      </w:pPr>
      <w:r>
        <w:t>3</w:t>
      </w:r>
      <w:r>
        <w:rPr>
          <w:rFonts w:ascii="Calibri" w:hAnsi="Calibri"/>
          <w:color w:val="auto"/>
          <w:sz w:val="22"/>
          <w:szCs w:val="22"/>
          <w:lang w:eastAsia="en-AU"/>
        </w:rPr>
        <w:tab/>
      </w:r>
      <w:r>
        <w:t xml:space="preserve">Percentage of graduates in employment six months after training, </w:t>
      </w:r>
      <w:r>
        <w:br/>
        <w:t>by level of qualification and broad and selected narrow field of education, 2011</w:t>
      </w:r>
      <w:r>
        <w:tab/>
      </w:r>
      <w:r w:rsidR="00D9570E">
        <w:t>19</w:t>
      </w:r>
    </w:p>
    <w:p w:rsidR="007B4FA2" w:rsidRDefault="007B4FA2" w:rsidP="007B4FA2">
      <w:pPr>
        <w:pStyle w:val="TableofFigures"/>
        <w:rPr>
          <w:rFonts w:ascii="Calibri" w:hAnsi="Calibri"/>
          <w:color w:val="auto"/>
          <w:sz w:val="22"/>
          <w:szCs w:val="22"/>
          <w:lang w:eastAsia="en-AU"/>
        </w:rPr>
      </w:pPr>
      <w:r>
        <w:t>4</w:t>
      </w:r>
      <w:r>
        <w:rPr>
          <w:rFonts w:ascii="Calibri" w:hAnsi="Calibri"/>
          <w:color w:val="auto"/>
          <w:sz w:val="22"/>
          <w:szCs w:val="22"/>
          <w:lang w:eastAsia="en-AU"/>
        </w:rPr>
        <w:tab/>
      </w:r>
      <w:r>
        <w:t xml:space="preserve">Percentage of graduates in </w:t>
      </w:r>
      <w:r w:rsidRPr="007B4FA2">
        <w:t>further</w:t>
      </w:r>
      <w:r>
        <w:t xml:space="preserve"> study six months after training, </w:t>
      </w:r>
      <w:r>
        <w:br/>
        <w:t>by level of qualification and broad and selected narrow field of education, 2011</w:t>
      </w:r>
      <w:r>
        <w:tab/>
      </w:r>
      <w:r w:rsidR="00BE1F95">
        <w:fldChar w:fldCharType="begin"/>
      </w:r>
      <w:r>
        <w:instrText xml:space="preserve"> PAGEREF _Toc369273530 \h </w:instrText>
      </w:r>
      <w:r w:rsidR="00BE1F95">
        <w:fldChar w:fldCharType="separate"/>
      </w:r>
      <w:r w:rsidR="00BC7C6C">
        <w:t>19</w:t>
      </w:r>
      <w:r w:rsidR="00BE1F95">
        <w:fldChar w:fldCharType="end"/>
      </w:r>
    </w:p>
    <w:p w:rsidR="007B4FA2" w:rsidRDefault="007B4FA2">
      <w:pPr>
        <w:pStyle w:val="TableofFigures"/>
        <w:tabs>
          <w:tab w:val="left" w:pos="880"/>
        </w:tabs>
        <w:rPr>
          <w:rFonts w:ascii="Calibri" w:hAnsi="Calibri"/>
          <w:color w:val="auto"/>
          <w:sz w:val="22"/>
          <w:szCs w:val="22"/>
          <w:lang w:eastAsia="en-AU"/>
        </w:rPr>
      </w:pPr>
      <w:r>
        <w:t>5</w:t>
      </w:r>
      <w:r>
        <w:rPr>
          <w:rFonts w:ascii="Calibri" w:hAnsi="Calibri"/>
          <w:color w:val="auto"/>
          <w:sz w:val="22"/>
          <w:szCs w:val="22"/>
          <w:lang w:eastAsia="en-AU"/>
        </w:rPr>
        <w:tab/>
      </w:r>
      <w:r>
        <w:t xml:space="preserve">Percentage of those employed six months after training working </w:t>
      </w:r>
      <w:r>
        <w:br/>
        <w:t xml:space="preserve">in the same occupation as their training, by level of qualification </w:t>
      </w:r>
      <w:r>
        <w:br/>
        <w:t>and broad and selected narrow field of education, 2011</w:t>
      </w:r>
      <w:r>
        <w:tab/>
      </w:r>
      <w:r w:rsidR="00BE1F95">
        <w:fldChar w:fldCharType="begin"/>
      </w:r>
      <w:r>
        <w:instrText xml:space="preserve"> PAGEREF _Toc369273531 \h </w:instrText>
      </w:r>
      <w:r w:rsidR="00BE1F95">
        <w:fldChar w:fldCharType="separate"/>
      </w:r>
      <w:r w:rsidR="00BC7C6C">
        <w:t>20</w:t>
      </w:r>
      <w:r w:rsidR="00BE1F95">
        <w:fldChar w:fldCharType="end"/>
      </w:r>
    </w:p>
    <w:p w:rsidR="007B4FA2" w:rsidRDefault="007B4FA2">
      <w:pPr>
        <w:pStyle w:val="TableofFigures"/>
        <w:tabs>
          <w:tab w:val="left" w:pos="880"/>
        </w:tabs>
        <w:rPr>
          <w:rFonts w:ascii="Calibri" w:hAnsi="Calibri"/>
          <w:color w:val="auto"/>
          <w:sz w:val="22"/>
          <w:szCs w:val="22"/>
          <w:lang w:eastAsia="en-AU"/>
        </w:rPr>
      </w:pPr>
      <w:r>
        <w:t>6</w:t>
      </w:r>
      <w:r>
        <w:rPr>
          <w:rFonts w:ascii="Calibri" w:hAnsi="Calibri"/>
          <w:color w:val="auto"/>
          <w:sz w:val="22"/>
          <w:szCs w:val="22"/>
          <w:lang w:eastAsia="en-AU"/>
        </w:rPr>
        <w:tab/>
      </w:r>
      <w:r>
        <w:t xml:space="preserve">Percentage of those employed six months after training working at </w:t>
      </w:r>
      <w:r>
        <w:br/>
        <w:t>a higher skill level than before training, by level of qualification and broad and selected narrow field of education, 2011</w:t>
      </w:r>
      <w:r>
        <w:tab/>
      </w:r>
      <w:r w:rsidR="00BE1F95">
        <w:fldChar w:fldCharType="begin"/>
      </w:r>
      <w:r>
        <w:instrText xml:space="preserve"> PAGEREF _Toc369273532 \h </w:instrText>
      </w:r>
      <w:r w:rsidR="00BE1F95">
        <w:fldChar w:fldCharType="separate"/>
      </w:r>
      <w:r w:rsidR="00BC7C6C">
        <w:t>21</w:t>
      </w:r>
      <w:r w:rsidR="00BE1F95">
        <w:fldChar w:fldCharType="end"/>
      </w:r>
    </w:p>
    <w:p w:rsidR="007B4FA2" w:rsidRDefault="007B4FA2">
      <w:pPr>
        <w:pStyle w:val="TableofFigures"/>
        <w:tabs>
          <w:tab w:val="left" w:pos="880"/>
        </w:tabs>
        <w:rPr>
          <w:rFonts w:ascii="Calibri" w:hAnsi="Calibri"/>
          <w:color w:val="auto"/>
          <w:sz w:val="22"/>
          <w:szCs w:val="22"/>
          <w:lang w:eastAsia="en-AU"/>
        </w:rPr>
      </w:pPr>
      <w:r>
        <w:t>7</w:t>
      </w:r>
      <w:r>
        <w:rPr>
          <w:rFonts w:ascii="Calibri" w:hAnsi="Calibri"/>
          <w:color w:val="auto"/>
          <w:sz w:val="22"/>
          <w:szCs w:val="22"/>
          <w:lang w:eastAsia="en-AU"/>
        </w:rPr>
        <w:tab/>
      </w:r>
      <w:r>
        <w:t xml:space="preserve">Full year training equivalents enrolled in the diploma of financial </w:t>
      </w:r>
      <w:r>
        <w:br/>
        <w:t>services (financial planning) 2003—06</w:t>
      </w:r>
      <w:r>
        <w:tab/>
      </w:r>
      <w:r w:rsidR="00BE1F95">
        <w:fldChar w:fldCharType="begin"/>
      </w:r>
      <w:r>
        <w:instrText xml:space="preserve"> PAGEREF _Toc369273533 \h </w:instrText>
      </w:r>
      <w:r w:rsidR="00BE1F95">
        <w:fldChar w:fldCharType="separate"/>
      </w:r>
      <w:r w:rsidR="00BC7C6C">
        <w:t>27</w:t>
      </w:r>
      <w:r w:rsidR="00BE1F95">
        <w:fldChar w:fldCharType="end"/>
      </w:r>
    </w:p>
    <w:p w:rsidR="0086427E" w:rsidRDefault="00BE1F95" w:rsidP="007B4FA2">
      <w:pPr>
        <w:pStyle w:val="Heading2"/>
      </w:pPr>
      <w:r>
        <w:fldChar w:fldCharType="end"/>
      </w:r>
      <w:bookmarkStart w:id="31" w:name="_Toc296497517"/>
      <w:bookmarkStart w:id="32" w:name="_Toc298162802"/>
      <w:bookmarkStart w:id="33" w:name="_Toc369273508"/>
      <w:bookmarkStart w:id="34" w:name="_Toc370199892"/>
      <w:r w:rsidR="00E12B1F">
        <w:t>Figure</w:t>
      </w:r>
      <w:bookmarkEnd w:id="31"/>
      <w:bookmarkEnd w:id="32"/>
      <w:bookmarkEnd w:id="33"/>
      <w:bookmarkEnd w:id="34"/>
    </w:p>
    <w:p w:rsidR="007B4FA2" w:rsidRDefault="00BE1F95">
      <w:pPr>
        <w:pStyle w:val="TableofFigures"/>
        <w:tabs>
          <w:tab w:val="left" w:pos="1100"/>
        </w:tabs>
        <w:rPr>
          <w:rFonts w:ascii="Calibri" w:hAnsi="Calibri"/>
          <w:color w:val="auto"/>
          <w:sz w:val="22"/>
          <w:szCs w:val="22"/>
          <w:lang w:eastAsia="en-AU"/>
        </w:rPr>
      </w:pPr>
      <w:r>
        <w:fldChar w:fldCharType="begin"/>
      </w:r>
      <w:r w:rsidR="00E12B1F">
        <w:instrText xml:space="preserve"> TOC \t "Figuretitle" \c </w:instrText>
      </w:r>
      <w:r>
        <w:fldChar w:fldCharType="separate"/>
      </w:r>
      <w:r w:rsidR="007B4FA2">
        <w:t>1</w:t>
      </w:r>
      <w:r w:rsidR="007B4FA2">
        <w:rPr>
          <w:rFonts w:ascii="Calibri" w:hAnsi="Calibri"/>
          <w:color w:val="auto"/>
          <w:sz w:val="22"/>
          <w:szCs w:val="22"/>
          <w:lang w:eastAsia="en-AU"/>
        </w:rPr>
        <w:tab/>
      </w:r>
      <w:r w:rsidR="007B4FA2">
        <w:t xml:space="preserve">Percentage of people whose highest qualification was bachelor </w:t>
      </w:r>
      <w:r w:rsidR="007B4FA2">
        <w:br/>
        <w:t>or whose highest qualification was a diploma or advanced diploma employed as managers or professionals, 1998—2012</w:t>
      </w:r>
      <w:r w:rsidR="007B4FA2">
        <w:tab/>
      </w:r>
      <w:r>
        <w:fldChar w:fldCharType="begin"/>
      </w:r>
      <w:r w:rsidR="007B4FA2">
        <w:instrText xml:space="preserve"> PAGEREF _Toc369273535 \h </w:instrText>
      </w:r>
      <w:r>
        <w:fldChar w:fldCharType="separate"/>
      </w:r>
      <w:r w:rsidR="00BC7C6C">
        <w:t>22</w:t>
      </w:r>
      <w:r>
        <w:fldChar w:fldCharType="end"/>
      </w:r>
    </w:p>
    <w:p w:rsidR="00E12B1F" w:rsidRDefault="00BE1F95" w:rsidP="004E7227">
      <w:pPr>
        <w:pStyle w:val="TableofFigures"/>
      </w:pPr>
      <w:r>
        <w:fldChar w:fldCharType="end"/>
      </w:r>
    </w:p>
    <w:p w:rsidR="00E12B1F" w:rsidRPr="00B86D06" w:rsidRDefault="00E12B1F" w:rsidP="007D4F0B">
      <w:pPr>
        <w:pStyle w:val="Heading1"/>
      </w:pPr>
      <w:r w:rsidRPr="00A93867">
        <w:rPr>
          <w:b/>
        </w:rPr>
        <w:br w:type="page"/>
      </w:r>
      <w:bookmarkStart w:id="35" w:name="_Toc370199893"/>
      <w:r w:rsidR="007D4F0B">
        <w:lastRenderedPageBreak/>
        <w:t xml:space="preserve">Executive </w:t>
      </w:r>
      <w:r w:rsidR="007D4F0B" w:rsidRPr="007D4F0B">
        <w:t>s</w:t>
      </w:r>
      <w:r w:rsidRPr="007D4F0B">
        <w:t>ummary</w:t>
      </w:r>
      <w:bookmarkEnd w:id="35"/>
    </w:p>
    <w:p w:rsidR="00386BF9" w:rsidRDefault="00D20330" w:rsidP="00D20330">
      <w:pPr>
        <w:pStyle w:val="Text"/>
      </w:pPr>
      <w:r>
        <w:t>This report</w:t>
      </w:r>
      <w:r w:rsidR="00386BF9">
        <w:t xml:space="preserve"> and the accompanying support document are part of a </w:t>
      </w:r>
      <w:r w:rsidR="00122D55">
        <w:t xml:space="preserve">three-year </w:t>
      </w:r>
      <w:r w:rsidR="00386BF9">
        <w:t xml:space="preserve">project </w:t>
      </w:r>
      <w:r w:rsidR="00A95206">
        <w:t xml:space="preserve">entitled </w:t>
      </w:r>
      <w:r w:rsidR="00A95206" w:rsidRPr="00A95206">
        <w:rPr>
          <w:i/>
        </w:rPr>
        <w:t>V</w:t>
      </w:r>
      <w:r w:rsidR="00386BF9" w:rsidRPr="00A95206">
        <w:rPr>
          <w:i/>
        </w:rPr>
        <w:t>ocations: the link between post</w:t>
      </w:r>
      <w:r w:rsidR="00A95206" w:rsidRPr="00A95206">
        <w:rPr>
          <w:i/>
        </w:rPr>
        <w:t>-</w:t>
      </w:r>
      <w:r w:rsidR="00386BF9" w:rsidRPr="00A95206">
        <w:rPr>
          <w:i/>
        </w:rPr>
        <w:t>compulsory education and the labour market</w:t>
      </w:r>
      <w:r w:rsidR="00386BF9">
        <w:t xml:space="preserve">. The investigation is being conducted in three strands over three stages. This report considers </w:t>
      </w:r>
      <w:r w:rsidR="0039696D">
        <w:t xml:space="preserve">the roles that </w:t>
      </w:r>
      <w:r w:rsidR="00EB1879">
        <w:t>te</w:t>
      </w:r>
      <w:r w:rsidR="0039696D">
        <w:t>rtiary education qualifications</w:t>
      </w:r>
      <w:r w:rsidR="007D4F0B">
        <w:t xml:space="preserve">, in </w:t>
      </w:r>
      <w:r w:rsidR="00764EBA">
        <w:t>part</w:t>
      </w:r>
      <w:r w:rsidR="0039696D">
        <w:t>icular mid-level qualifications</w:t>
      </w:r>
      <w:r w:rsidR="00764EBA">
        <w:t>,</w:t>
      </w:r>
      <w:r w:rsidR="00EB1879">
        <w:t xml:space="preserve"> </w:t>
      </w:r>
      <w:r w:rsidR="0039696D">
        <w:t>play in assisting</w:t>
      </w:r>
      <w:r w:rsidR="00EB1879">
        <w:t xml:space="preserve"> their graduates </w:t>
      </w:r>
      <w:r w:rsidR="0039696D">
        <w:t xml:space="preserve">to gain </w:t>
      </w:r>
      <w:r w:rsidR="00EB1879">
        <w:t>entry to and progression in work and how they may be strengthened</w:t>
      </w:r>
      <w:r w:rsidR="00386BF9">
        <w:t xml:space="preserve">. </w:t>
      </w:r>
      <w:r w:rsidR="00122D55">
        <w:t>S</w:t>
      </w:r>
      <w:r w:rsidR="00EB1879">
        <w:t xml:space="preserve">tatistical data from </w:t>
      </w:r>
      <w:r w:rsidR="0039696D">
        <w:t xml:space="preserve">the </w:t>
      </w:r>
      <w:r w:rsidR="00EB1879">
        <w:t xml:space="preserve">2011 </w:t>
      </w:r>
      <w:r w:rsidR="0039696D">
        <w:t>Student Outcomes Survey</w:t>
      </w:r>
      <w:r w:rsidR="00122D55">
        <w:t>,</w:t>
      </w:r>
      <w:r w:rsidR="0039696D">
        <w:t xml:space="preserve"> </w:t>
      </w:r>
      <w:r w:rsidR="00452A3C">
        <w:t xml:space="preserve">conducted by the </w:t>
      </w:r>
      <w:r w:rsidR="00122D55">
        <w:t>National Centre for Vocational Education R</w:t>
      </w:r>
      <w:r w:rsidR="00452A3C">
        <w:t>esearch (NCVER)</w:t>
      </w:r>
      <w:r w:rsidR="00122D55">
        <w:t>,</w:t>
      </w:r>
      <w:r w:rsidR="00452A3C">
        <w:t xml:space="preserve"> </w:t>
      </w:r>
      <w:r w:rsidR="00EB1879">
        <w:t xml:space="preserve">and the </w:t>
      </w:r>
      <w:r w:rsidR="00452A3C">
        <w:t>Australian Bureau of Statistics (ABS) Surveys of E</w:t>
      </w:r>
      <w:r w:rsidR="00EB1879">
        <w:t>ducatio</w:t>
      </w:r>
      <w:r w:rsidR="00452A3C">
        <w:t>n and W</w:t>
      </w:r>
      <w:r w:rsidR="00122D55">
        <w:t>ork from 1998 to 2012 are used in this investigation</w:t>
      </w:r>
      <w:r w:rsidR="006379D1">
        <w:t>.</w:t>
      </w:r>
      <w:r w:rsidR="00EB1879">
        <w:t xml:space="preserve"> The report explores how </w:t>
      </w:r>
      <w:r w:rsidR="00452A3C">
        <w:t xml:space="preserve">the role of qualifications </w:t>
      </w:r>
      <w:r w:rsidR="00EB1879">
        <w:t xml:space="preserve">may be strengthened by </w:t>
      </w:r>
      <w:r w:rsidR="00122D55">
        <w:t>examining four case</w:t>
      </w:r>
      <w:r w:rsidR="00EB1879">
        <w:t xml:space="preserve">s </w:t>
      </w:r>
      <w:r w:rsidR="006E3B1D">
        <w:t>in which</w:t>
      </w:r>
      <w:r w:rsidR="00EB1879">
        <w:t xml:space="preserve"> tertiary institutions ha</w:t>
      </w:r>
      <w:r w:rsidR="006E3B1D">
        <w:t>ve</w:t>
      </w:r>
      <w:r w:rsidR="00EB1879">
        <w:t xml:space="preserve"> introduced new qualifications to meet a new or emerging work role.</w:t>
      </w:r>
    </w:p>
    <w:p w:rsidR="00580968" w:rsidRDefault="00F831D2" w:rsidP="00386BF9">
      <w:pPr>
        <w:pStyle w:val="Text"/>
      </w:pPr>
      <w:r>
        <w:t xml:space="preserve">The study </w:t>
      </w:r>
      <w:r w:rsidR="00386BF9">
        <w:t>f</w:t>
      </w:r>
      <w:r>
        <w:t>ound</w:t>
      </w:r>
      <w:r w:rsidR="00386BF9">
        <w:t xml:space="preserve"> that graduates of </w:t>
      </w:r>
      <w:r>
        <w:t xml:space="preserve">vocational </w:t>
      </w:r>
      <w:r w:rsidR="00386BF9">
        <w:t>certificates III</w:t>
      </w:r>
      <w:r>
        <w:t xml:space="preserve"> and above had</w:t>
      </w:r>
      <w:r w:rsidR="00386BF9">
        <w:t xml:space="preserve"> </w:t>
      </w:r>
      <w:r w:rsidR="00770E06">
        <w:t xml:space="preserve">similar </w:t>
      </w:r>
      <w:r w:rsidR="00386BF9">
        <w:t>employment rates after training</w:t>
      </w:r>
      <w:r w:rsidR="00122D55">
        <w:t xml:space="preserve"> —</w:t>
      </w:r>
      <w:r>
        <w:t xml:space="preserve"> </w:t>
      </w:r>
      <w:r w:rsidR="00220115">
        <w:t xml:space="preserve">of </w:t>
      </w:r>
      <w:r w:rsidR="00122D55">
        <w:t>over 80% —</w:t>
      </w:r>
      <w:r>
        <w:t xml:space="preserve"> which were</w:t>
      </w:r>
      <w:r w:rsidR="00386BF9">
        <w:t xml:space="preserve"> markedly higher than the employment rate for certificate II graduates (6</w:t>
      </w:r>
      <w:r>
        <w:t>7</w:t>
      </w:r>
      <w:r w:rsidR="00386BF9">
        <w:t>%)</w:t>
      </w:r>
      <w:r w:rsidR="00452A3C">
        <w:t>,</w:t>
      </w:r>
      <w:r w:rsidR="00386BF9">
        <w:t xml:space="preserve"> which in turn was markedly higher than the rate for certificate I graduates (5</w:t>
      </w:r>
      <w:r>
        <w:t>8</w:t>
      </w:r>
      <w:r w:rsidR="00122D55">
        <w:t>%). However, these</w:t>
      </w:r>
      <w:r w:rsidR="00386BF9">
        <w:t xml:space="preserve"> differed </w:t>
      </w:r>
      <w:r w:rsidR="00452A3C">
        <w:t>substantially</w:t>
      </w:r>
      <w:r w:rsidR="00386BF9">
        <w:t xml:space="preserve"> by field of education. In engineering and related technologies and in veterinary studies</w:t>
      </w:r>
      <w:r w:rsidR="00452A3C">
        <w:t>,</w:t>
      </w:r>
      <w:r w:rsidR="00386BF9">
        <w:t xml:space="preserve"> certificates III and IV graduates had higher employment rates than graduates of diplomas and above. In nursing</w:t>
      </w:r>
      <w:r w:rsidR="00125503">
        <w:t>,</w:t>
      </w:r>
      <w:r w:rsidR="00386BF9">
        <w:t xml:space="preserve"> diploma graduates (91%) had a higher employment rate than graduates of certificates III (8</w:t>
      </w:r>
      <w:r w:rsidR="00770E06">
        <w:t>7</w:t>
      </w:r>
      <w:r w:rsidR="00386BF9">
        <w:t>%) and IV (86%), reflecting the new requirement of a diploma for registratio</w:t>
      </w:r>
      <w:r w:rsidR="00452A3C">
        <w:t>n as an enrolled nurse (see the support document accompanying this report</w:t>
      </w:r>
      <w:r w:rsidR="00386BF9">
        <w:t>). In banking and finance</w:t>
      </w:r>
      <w:r w:rsidR="00125503">
        <w:t>,</w:t>
      </w:r>
      <w:r w:rsidR="00386BF9">
        <w:t xml:space="preserve"> graduates of diplomas and above had a modest employment rate of </w:t>
      </w:r>
      <w:r w:rsidR="00126B26">
        <w:t>69</w:t>
      </w:r>
      <w:r w:rsidR="00125503">
        <w:t>%.</w:t>
      </w:r>
      <w:r w:rsidR="00386BF9">
        <w:t xml:space="preserve"> </w:t>
      </w:r>
      <w:r w:rsidR="00125503">
        <w:t>This</w:t>
      </w:r>
      <w:r w:rsidR="00386BF9">
        <w:t xml:space="preserve"> may reflect students’ use of the diploma as a path to higher education qualifications</w:t>
      </w:r>
      <w:r w:rsidR="000F766B">
        <w:t>,</w:t>
      </w:r>
      <w:r w:rsidR="00386BF9">
        <w:t xml:space="preserve"> which employers use a</w:t>
      </w:r>
      <w:r w:rsidR="000F766B">
        <w:t xml:space="preserve">s entrance screening for higher-level work </w:t>
      </w:r>
      <w:r w:rsidR="00122D55">
        <w:t>in finance fields (Yu</w:t>
      </w:r>
      <w:r w:rsidR="007051BF">
        <w:t xml:space="preserve">, </w:t>
      </w:r>
      <w:proofErr w:type="spellStart"/>
      <w:r w:rsidR="007051BF">
        <w:t>Bretherton</w:t>
      </w:r>
      <w:proofErr w:type="spellEnd"/>
      <w:r w:rsidR="007051BF">
        <w:t xml:space="preserve"> &amp; </w:t>
      </w:r>
      <w:proofErr w:type="spellStart"/>
      <w:r w:rsidR="007051BF">
        <w:t>Schu</w:t>
      </w:r>
      <w:r w:rsidR="001A30FC">
        <w:t>t</w:t>
      </w:r>
      <w:r w:rsidR="007051BF">
        <w:t>z</w:t>
      </w:r>
      <w:proofErr w:type="spellEnd"/>
      <w:r w:rsidR="00386BF9">
        <w:t xml:space="preserve"> 2012, p.22).</w:t>
      </w:r>
    </w:p>
    <w:p w:rsidR="00D27EE7" w:rsidRDefault="00D27EE7" w:rsidP="00D27EE7">
      <w:pPr>
        <w:pStyle w:val="Text"/>
      </w:pPr>
      <w:r>
        <w:t xml:space="preserve">We also note from the </w:t>
      </w:r>
      <w:r w:rsidR="000F766B">
        <w:t xml:space="preserve">Student Outcomes Survey </w:t>
      </w:r>
      <w:r>
        <w:t>that</w:t>
      </w:r>
      <w:r w:rsidR="00122D55">
        <w:t>,</w:t>
      </w:r>
      <w:r>
        <w:t xml:space="preserve"> for all fields</w:t>
      </w:r>
      <w:r w:rsidR="00122D55">
        <w:t>,</w:t>
      </w:r>
      <w:r>
        <w:t xml:space="preserve"> only 29% of graduates of certificate III proceeded to further study, presumably reflecting the strong employment focus of apprenticeships and traineeships</w:t>
      </w:r>
      <w:r w:rsidR="000F766B">
        <w:t>,</w:t>
      </w:r>
      <w:r>
        <w:t xml:space="preserve"> which are offered at certificate III. For all other qualifications</w:t>
      </w:r>
      <w:r w:rsidR="004201B0">
        <w:t>,</w:t>
      </w:r>
      <w:r>
        <w:t xml:space="preserve"> relatively similar proportions</w:t>
      </w:r>
      <w:r w:rsidR="000F766B">
        <w:t>,</w:t>
      </w:r>
      <w:r>
        <w:t xml:space="preserve"> </w:t>
      </w:r>
      <w:r w:rsidR="000F766B">
        <w:t xml:space="preserve">of around 33%, </w:t>
      </w:r>
      <w:r>
        <w:t>proceeded to further study</w:t>
      </w:r>
      <w:r w:rsidR="000F766B">
        <w:t>.</w:t>
      </w:r>
      <w:r w:rsidR="00770E06">
        <w:t xml:space="preserve"> </w:t>
      </w:r>
      <w:r w:rsidR="000F766B">
        <w:t>A</w:t>
      </w:r>
      <w:r>
        <w:t xml:space="preserve">gain, these outcomes differed </w:t>
      </w:r>
      <w:r w:rsidR="000F766B">
        <w:t>significantly</w:t>
      </w:r>
      <w:r>
        <w:t xml:space="preserve"> by field. The proportions of graduates of all levels proceeding to further study were relatively high in creative arts (48%), information technology (4</w:t>
      </w:r>
      <w:r w:rsidR="00770E06">
        <w:t>7</w:t>
      </w:r>
      <w:r>
        <w:t>%</w:t>
      </w:r>
      <w:r w:rsidR="000F766B">
        <w:t>) and banking and finance (43%)</w:t>
      </w:r>
      <w:r>
        <w:t xml:space="preserve"> and relatively low in </w:t>
      </w:r>
      <w:r w:rsidR="00770E06">
        <w:t xml:space="preserve">agriculture (23%), and </w:t>
      </w:r>
      <w:r>
        <w:t>process and resources engineering (22%)</w:t>
      </w:r>
      <w:r w:rsidR="00770E06">
        <w:t>.</w:t>
      </w:r>
    </w:p>
    <w:p w:rsidR="00D27EE7" w:rsidRDefault="00D27EE7" w:rsidP="00D9570E">
      <w:pPr>
        <w:pStyle w:val="Text"/>
        <w:ind w:right="-143"/>
      </w:pPr>
      <w:r>
        <w:t>For all fields</w:t>
      </w:r>
      <w:r w:rsidR="00122D55">
        <w:t>,</w:t>
      </w:r>
      <w:r>
        <w:t xml:space="preserve"> at all levels of qualification</w:t>
      </w:r>
      <w:r w:rsidR="000F766B">
        <w:t>,</w:t>
      </w:r>
      <w:r>
        <w:t xml:space="preserve"> only 37% of </w:t>
      </w:r>
      <w:r w:rsidR="00D9570E">
        <w:t>vocational education and training (</w:t>
      </w:r>
      <w:r w:rsidR="000F766B">
        <w:t>VET</w:t>
      </w:r>
      <w:r w:rsidR="00D9570E">
        <w:t>)</w:t>
      </w:r>
      <w:r>
        <w:t xml:space="preserve"> graduates were employed in the same field as their qualification. This </w:t>
      </w:r>
      <w:r w:rsidR="00220115">
        <w:t xml:space="preserve">also </w:t>
      </w:r>
      <w:r>
        <w:t>differs by level of qualification, with the proportion of certificate III graduates employed in the same field (5</w:t>
      </w:r>
      <w:r w:rsidR="00A90F15">
        <w:t>5</w:t>
      </w:r>
      <w:r>
        <w:t>%) being more than double that of graduates of diplomas and above (2</w:t>
      </w:r>
      <w:r w:rsidR="00A90F15">
        <w:t>6</w:t>
      </w:r>
      <w:r>
        <w:t xml:space="preserve">%). </w:t>
      </w:r>
      <w:r w:rsidRPr="00B13AD9">
        <w:t xml:space="preserve">The proportion of </w:t>
      </w:r>
      <w:r w:rsidR="000F766B">
        <w:t>VET</w:t>
      </w:r>
      <w:r w:rsidRPr="00B13AD9">
        <w:t xml:space="preserve"> graduates working in the same field as their qualification varies even more by field of education, with the proportion for nursing (72%) and electrical and electronic engine</w:t>
      </w:r>
      <w:r w:rsidR="00BC7C6C">
        <w:t>ering and technology (64</w:t>
      </w:r>
      <w:r w:rsidR="00BC7C6C" w:rsidRPr="00BC7C6C">
        <w:t>%) at least</w:t>
      </w:r>
      <w:r w:rsidRPr="00BC7C6C">
        <w:t xml:space="preserve"> two to three times that for information technology (2</w:t>
      </w:r>
      <w:r w:rsidR="00A90F15" w:rsidRPr="00BC7C6C">
        <w:t>5</w:t>
      </w:r>
      <w:r w:rsidRPr="00BC7C6C">
        <w:t>%)</w:t>
      </w:r>
      <w:r w:rsidR="00BC7C6C" w:rsidRPr="00BC7C6C">
        <w:t xml:space="preserve"> and creative arts (10%)</w:t>
      </w:r>
      <w:r w:rsidRPr="00BC7C6C">
        <w:t>.</w:t>
      </w:r>
      <w:r w:rsidR="00EF3BFC" w:rsidRPr="00BC7C6C">
        <w:t xml:space="preserve"> I</w:t>
      </w:r>
      <w:r w:rsidRPr="00BC7C6C">
        <w:t>n many fields the</w:t>
      </w:r>
      <w:r>
        <w:t xml:space="preserve"> proportion of graduates working in the same field differs </w:t>
      </w:r>
      <w:r w:rsidR="00122D55">
        <w:t>significantly</w:t>
      </w:r>
      <w:r>
        <w:t xml:space="preserve"> by qualification level. For example, in e</w:t>
      </w:r>
      <w:r w:rsidRPr="00055832">
        <w:t>lectrical and electronic engineering and technology</w:t>
      </w:r>
      <w:r w:rsidR="00EF3BFC">
        <w:t>,</w:t>
      </w:r>
      <w:r>
        <w:t xml:space="preserve"> 8</w:t>
      </w:r>
      <w:r w:rsidR="00A90F15">
        <w:t>4</w:t>
      </w:r>
      <w:r>
        <w:t>% of certificate III</w:t>
      </w:r>
      <w:r w:rsidR="00EF3BFC">
        <w:t>,</w:t>
      </w:r>
      <w:r>
        <w:t xml:space="preserve"> but only 30% of</w:t>
      </w:r>
      <w:r w:rsidR="00D9570E">
        <w:t> </w:t>
      </w:r>
      <w:r>
        <w:t>diploma and above</w:t>
      </w:r>
      <w:r w:rsidR="00EF3BFC">
        <w:t>,</w:t>
      </w:r>
      <w:r>
        <w:t xml:space="preserve"> graduates worked in the same field, whereas in agriculture only 34% of certificate III</w:t>
      </w:r>
      <w:r w:rsidR="00EF3BFC">
        <w:t>,</w:t>
      </w:r>
      <w:r>
        <w:t xml:space="preserve"> but 5</w:t>
      </w:r>
      <w:r w:rsidR="00A90F15">
        <w:t>2</w:t>
      </w:r>
      <w:r>
        <w:t>% of diploma and above</w:t>
      </w:r>
      <w:r w:rsidR="00EF3BFC">
        <w:t>,</w:t>
      </w:r>
      <w:r>
        <w:t xml:space="preserve"> graduates worked in the same field as their qualification. </w:t>
      </w:r>
    </w:p>
    <w:p w:rsidR="00D27EE7" w:rsidRDefault="00B13AD9" w:rsidP="00D27EE7">
      <w:pPr>
        <w:pStyle w:val="Text"/>
      </w:pPr>
      <w:r>
        <w:t>Lastly</w:t>
      </w:r>
      <w:r w:rsidR="00122D55">
        <w:t>,</w:t>
      </w:r>
      <w:r w:rsidR="00D27EE7">
        <w:t xml:space="preserve"> from the </w:t>
      </w:r>
      <w:r w:rsidR="00EF3BFC">
        <w:t>Student Outcomes Survey</w:t>
      </w:r>
      <w:r w:rsidR="00D27EE7">
        <w:t xml:space="preserve">, we examine the proportion of vocational graduates who were employed six months after training </w:t>
      </w:r>
      <w:r w:rsidR="00122D55">
        <w:t xml:space="preserve">and </w:t>
      </w:r>
      <w:r w:rsidR="00D27EE7">
        <w:t xml:space="preserve">who were working at a higher skill level than before training. Again, there was considerable variation by qualification level within field. For example, in </w:t>
      </w:r>
      <w:r w:rsidR="00D27EE7">
        <w:lastRenderedPageBreak/>
        <w:t>nursing</w:t>
      </w:r>
      <w:r w:rsidR="007F0717">
        <w:t>,</w:t>
      </w:r>
      <w:r w:rsidR="00D27EE7">
        <w:t xml:space="preserve"> 47% of certificate IV graduates and 4</w:t>
      </w:r>
      <w:r w:rsidR="00A90F15">
        <w:t>1</w:t>
      </w:r>
      <w:r w:rsidR="00D27EE7">
        <w:t>% of diploma graduates worked at a higher level after training than before training, but the proportion for certificate III graduates was only 1</w:t>
      </w:r>
      <w:r w:rsidR="00A90F15">
        <w:t>1</w:t>
      </w:r>
      <w:r w:rsidR="00D27EE7">
        <w:t xml:space="preserve">% (with a relative standard error of </w:t>
      </w:r>
      <w:r w:rsidR="006379D1">
        <w:t>more than</w:t>
      </w:r>
      <w:r w:rsidR="00D27EE7">
        <w:t xml:space="preserve"> 50%). In contrast, in society and culture</w:t>
      </w:r>
      <w:r w:rsidR="00EF3BFC">
        <w:t>,</w:t>
      </w:r>
      <w:r w:rsidR="00D27EE7">
        <w:t xml:space="preserve"> 2</w:t>
      </w:r>
      <w:r w:rsidR="00A90F15">
        <w:t>1</w:t>
      </w:r>
      <w:r w:rsidR="00D27EE7">
        <w:t>% of certificate III graduates were working at a higher level</w:t>
      </w:r>
      <w:r w:rsidR="007F0717">
        <w:t>,</w:t>
      </w:r>
      <w:r w:rsidR="00D27EE7">
        <w:t xml:space="preserve"> but only 1</w:t>
      </w:r>
      <w:r w:rsidR="00A90F15">
        <w:t>4</w:t>
      </w:r>
      <w:r w:rsidR="00D27EE7">
        <w:t>% of certificate IV and 1</w:t>
      </w:r>
      <w:r w:rsidR="00A90F15">
        <w:t>6</w:t>
      </w:r>
      <w:r w:rsidR="00D27EE7">
        <w:t>% of graduates of diplomas and above</w:t>
      </w:r>
      <w:r>
        <w:t xml:space="preserve"> were</w:t>
      </w:r>
      <w:r w:rsidR="00D27EE7">
        <w:t xml:space="preserve">. As would </w:t>
      </w:r>
      <w:r w:rsidR="007F0717">
        <w:t xml:space="preserve">be </w:t>
      </w:r>
      <w:r w:rsidR="00D27EE7">
        <w:t>expect</w:t>
      </w:r>
      <w:r w:rsidR="007F0717">
        <w:t>ed</w:t>
      </w:r>
      <w:r w:rsidR="00D27EE7">
        <w:t>, a higher proportion of graduates working in the same occupation as their qualification were working at a higher skill level (2</w:t>
      </w:r>
      <w:r w:rsidR="00A90F15">
        <w:t>5</w:t>
      </w:r>
      <w:r w:rsidR="00D27EE7">
        <w:t xml:space="preserve">%) </w:t>
      </w:r>
      <w:r w:rsidR="00112912">
        <w:t xml:space="preserve">after training </w:t>
      </w:r>
      <w:r w:rsidR="00D27EE7">
        <w:t>than those who were employed in a different occupation (13%).</w:t>
      </w:r>
    </w:p>
    <w:p w:rsidR="00D27EE7" w:rsidRDefault="00A90F15" w:rsidP="00D27EE7">
      <w:pPr>
        <w:pStyle w:val="Text"/>
      </w:pPr>
      <w:r>
        <w:t xml:space="preserve">We extend our investigation of </w:t>
      </w:r>
      <w:r w:rsidR="00EF3BFC">
        <w:t xml:space="preserve">the role of </w:t>
      </w:r>
      <w:r>
        <w:t>te</w:t>
      </w:r>
      <w:r w:rsidR="00EF3BFC">
        <w:t>rtiary education qualifications</w:t>
      </w:r>
      <w:r>
        <w:t xml:space="preserve"> in </w:t>
      </w:r>
      <w:r w:rsidR="00EF3BFC">
        <w:t xml:space="preserve">assisting </w:t>
      </w:r>
      <w:r>
        <w:t xml:space="preserve">their graduates </w:t>
      </w:r>
      <w:r w:rsidR="00EF3BFC">
        <w:t xml:space="preserve">to gain </w:t>
      </w:r>
      <w:r>
        <w:t>entry to and progression in work by</w:t>
      </w:r>
      <w:r w:rsidR="00D27EE7">
        <w:t xml:space="preserve"> examin</w:t>
      </w:r>
      <w:r>
        <w:t>ing</w:t>
      </w:r>
      <w:r w:rsidR="00D27EE7">
        <w:t xml:space="preserve"> the </w:t>
      </w:r>
      <w:r w:rsidR="00EF3BFC">
        <w:t>ABS Survey of Education and W</w:t>
      </w:r>
      <w:r w:rsidR="00D27EE7">
        <w:t xml:space="preserve">ork from 1998 to 2012. These data </w:t>
      </w:r>
      <w:r w:rsidR="00D27EE7" w:rsidRPr="00BB09A3">
        <w:t xml:space="preserve">do not provide strong evidence that people whose highest qualification is a bachelor degree are </w:t>
      </w:r>
      <w:r w:rsidR="00EF3BFC">
        <w:t>being employed at lower-</w:t>
      </w:r>
      <w:r w:rsidR="00D27EE7">
        <w:t>level occupations</w:t>
      </w:r>
      <w:r w:rsidR="00EF3BFC">
        <w:t>;</w:t>
      </w:r>
      <w:r w:rsidR="00BB5B2F">
        <w:t xml:space="preserve"> </w:t>
      </w:r>
      <w:r w:rsidR="00EF3BFC">
        <w:t>n</w:t>
      </w:r>
      <w:r w:rsidR="000D63EF">
        <w:t>or</w:t>
      </w:r>
      <w:r w:rsidR="00BB5B2F">
        <w:t xml:space="preserve"> do they provide strong evidence that people whose highest qualification is a bachelor are </w:t>
      </w:r>
      <w:r w:rsidR="00D27EE7" w:rsidRPr="00BB09A3">
        <w:t xml:space="preserve">displacing people whose highest qualification is a diploma or advanced diploma </w:t>
      </w:r>
      <w:r w:rsidR="00BB5B2F">
        <w:t xml:space="preserve">from employment </w:t>
      </w:r>
      <w:r w:rsidR="00D27EE7" w:rsidRPr="00BB09A3">
        <w:t>in management, pr</w:t>
      </w:r>
      <w:r w:rsidR="00EF3BFC">
        <w:t>ofessional or lower-</w:t>
      </w:r>
      <w:r w:rsidR="00D27EE7" w:rsidRPr="00BB09A3">
        <w:t>level occupations</w:t>
      </w:r>
      <w:r w:rsidR="007F0717">
        <w:t>. Although t</w:t>
      </w:r>
      <w:r w:rsidR="00D27EE7">
        <w:t xml:space="preserve">he </w:t>
      </w:r>
      <w:r w:rsidR="00EF3BFC">
        <w:t>ABS</w:t>
      </w:r>
      <w:r w:rsidR="00D27EE7">
        <w:t xml:space="preserve"> changed the </w:t>
      </w:r>
      <w:r w:rsidR="00D27EE7" w:rsidRPr="00BB09A3">
        <w:t xml:space="preserve">classification of occupations used to report results from the </w:t>
      </w:r>
      <w:r w:rsidR="002F5425">
        <w:t xml:space="preserve">Survey of Education and Work </w:t>
      </w:r>
      <w:r w:rsidR="00D27EE7">
        <w:t>in 2007</w:t>
      </w:r>
      <w:r w:rsidR="00D27EE7" w:rsidRPr="006326B6">
        <w:t xml:space="preserve">, </w:t>
      </w:r>
      <w:r w:rsidR="00D27EE7">
        <w:t>it seems that t</w:t>
      </w:r>
      <w:r w:rsidR="00D27EE7" w:rsidRPr="00BB09A3">
        <w:t>he proportion of diploma and advanced diploma graduates employed as managers or professionals has fallen since 2010 and the proportion of bachelor graduates employed in the</w:t>
      </w:r>
      <w:r w:rsidR="00295EF0">
        <w:t>se</w:t>
      </w:r>
      <w:r w:rsidR="00D27EE7" w:rsidRPr="00BB09A3">
        <w:t xml:space="preserve"> occupations fell from 2011 to 2012</w:t>
      </w:r>
      <w:r w:rsidR="00BB5B2F">
        <w:t>. B</w:t>
      </w:r>
      <w:r w:rsidR="00D27EE7" w:rsidRPr="00BB09A3">
        <w:t xml:space="preserve">ut these changes are within </w:t>
      </w:r>
      <w:r w:rsidR="00BB5B2F">
        <w:t xml:space="preserve">the bounds of </w:t>
      </w:r>
      <w:r w:rsidR="00D27EE7" w:rsidRPr="00BB09A3">
        <w:t xml:space="preserve">historical </w:t>
      </w:r>
      <w:r w:rsidR="00BB5B2F">
        <w:t xml:space="preserve">variations </w:t>
      </w:r>
      <w:r w:rsidR="002F5425">
        <w:t>and</w:t>
      </w:r>
      <w:r w:rsidR="00BB5B2F">
        <w:t xml:space="preserve"> have subsequently recovered. From this we conclude that b</w:t>
      </w:r>
      <w:r w:rsidR="00D27EE7" w:rsidRPr="00BB09A3">
        <w:t>achelor graduates may be displacing diploma graduates in the w</w:t>
      </w:r>
      <w:r w:rsidR="002F5425">
        <w:t>orkforce, but data from future Surveys of Education and W</w:t>
      </w:r>
      <w:r w:rsidR="00D27EE7" w:rsidRPr="00BB09A3">
        <w:t xml:space="preserve">ork will be needed to confirm this. </w:t>
      </w:r>
    </w:p>
    <w:p w:rsidR="00150269" w:rsidRDefault="00150269" w:rsidP="00150269">
      <w:pPr>
        <w:pStyle w:val="Text"/>
      </w:pPr>
      <w:r>
        <w:t xml:space="preserve">We </w:t>
      </w:r>
      <w:r w:rsidR="0040571F">
        <w:t>consider</w:t>
      </w:r>
      <w:r w:rsidR="00295EF0">
        <w:t xml:space="preserve"> how </w:t>
      </w:r>
      <w:r w:rsidR="002F5425">
        <w:t xml:space="preserve">the role of </w:t>
      </w:r>
      <w:r w:rsidR="00295EF0">
        <w:t xml:space="preserve">tertiary education qualifications in </w:t>
      </w:r>
      <w:r w:rsidR="002F5425">
        <w:t xml:space="preserve">assisting </w:t>
      </w:r>
      <w:r w:rsidR="00295EF0">
        <w:t xml:space="preserve">their graduates </w:t>
      </w:r>
      <w:r w:rsidR="002F5425">
        <w:t xml:space="preserve">to gain </w:t>
      </w:r>
      <w:r w:rsidR="00295EF0">
        <w:t>entry to and progression in work may be strengthened by</w:t>
      </w:r>
      <w:r>
        <w:t xml:space="preserve"> </w:t>
      </w:r>
      <w:r w:rsidR="00295EF0">
        <w:t>examining</w:t>
      </w:r>
      <w:r w:rsidR="002F5425">
        <w:t xml:space="preserve"> the development of mid-</w:t>
      </w:r>
      <w:r>
        <w:t>leve</w:t>
      </w:r>
      <w:r w:rsidR="0040571F">
        <w:t>l qualifications in engineering and</w:t>
      </w:r>
      <w:r w:rsidR="002F5425">
        <w:t xml:space="preserve"> finance</w:t>
      </w:r>
      <w:r w:rsidR="007F0717">
        <w:t>,</w:t>
      </w:r>
      <w:r>
        <w:t xml:space="preserve"> a</w:t>
      </w:r>
      <w:r w:rsidR="0040571F">
        <w:t>s well as</w:t>
      </w:r>
      <w:r>
        <w:t xml:space="preserve"> for physician assistants</w:t>
      </w:r>
      <w:r w:rsidR="005D2FA7">
        <w:t xml:space="preserve"> (health)</w:t>
      </w:r>
      <w:r>
        <w:t xml:space="preserve"> and veterinary technologists</w:t>
      </w:r>
      <w:r w:rsidR="005D2FA7">
        <w:t xml:space="preserve"> (agriculture)</w:t>
      </w:r>
      <w:r>
        <w:t>. The minerals i</w:t>
      </w:r>
      <w:r w:rsidRPr="000305D7">
        <w:t xml:space="preserve">ndustry </w:t>
      </w:r>
      <w:r>
        <w:t>n</w:t>
      </w:r>
      <w:r w:rsidRPr="000305D7">
        <w:t xml:space="preserve">ational </w:t>
      </w:r>
      <w:r>
        <w:t>a</w:t>
      </w:r>
      <w:r w:rsidRPr="000305D7">
        <w:t xml:space="preserve">ssociate </w:t>
      </w:r>
      <w:r>
        <w:t>d</w:t>
      </w:r>
      <w:r w:rsidRPr="000305D7">
        <w:t>egree</w:t>
      </w:r>
      <w:r>
        <w:t xml:space="preserve"> is sponsored by the Minerals Council of Australia</w:t>
      </w:r>
      <w:r w:rsidR="002F5425">
        <w:t>,</w:t>
      </w:r>
      <w:r>
        <w:t xml:space="preserve"> with support from the Australian Government and in </w:t>
      </w:r>
      <w:r w:rsidR="00220115">
        <w:t>collaboration</w:t>
      </w:r>
      <w:r>
        <w:t xml:space="preserve"> with tertiary education institutions. It </w:t>
      </w:r>
      <w:r w:rsidR="0040571F">
        <w:t xml:space="preserve">was </w:t>
      </w:r>
      <w:r>
        <w:t xml:space="preserve">developed </w:t>
      </w:r>
      <w:r w:rsidR="0040571F">
        <w:t>by</w:t>
      </w:r>
      <w:r>
        <w:t xml:space="preserve"> the </w:t>
      </w:r>
      <w:r w:rsidRPr="00334674">
        <w:t>Minerals Tertiary Education Council</w:t>
      </w:r>
      <w:r w:rsidR="002F5425">
        <w:t>,</w:t>
      </w:r>
      <w:r>
        <w:t xml:space="preserve"> </w:t>
      </w:r>
      <w:r w:rsidR="002F5425">
        <w:t>established in 1998 by</w:t>
      </w:r>
      <w:r>
        <w:t xml:space="preserve"> the Minerals Council of Australia</w:t>
      </w:r>
      <w:r w:rsidR="007F0717">
        <w:t>,</w:t>
      </w:r>
      <w:r>
        <w:t xml:space="preserve"> following </w:t>
      </w:r>
      <w:r w:rsidR="007F0717">
        <w:t>a</w:t>
      </w:r>
      <w:r>
        <w:t xml:space="preserve"> review </w:t>
      </w:r>
      <w:r w:rsidR="00D9570E">
        <w:t>in which</w:t>
      </w:r>
      <w:r>
        <w:t xml:space="preserve"> problems in both tertiary education and industry</w:t>
      </w:r>
      <w:r w:rsidR="002F5425" w:rsidRPr="002F5425">
        <w:t xml:space="preserve"> </w:t>
      </w:r>
      <w:r w:rsidR="002F5425">
        <w:t>were identified</w:t>
      </w:r>
      <w:r>
        <w:t xml:space="preserve">. </w:t>
      </w:r>
    </w:p>
    <w:p w:rsidR="00150269" w:rsidRPr="00C51611" w:rsidRDefault="00150269" w:rsidP="00150269">
      <w:pPr>
        <w:pStyle w:val="Text"/>
      </w:pPr>
      <w:r>
        <w:t xml:space="preserve">While the </w:t>
      </w:r>
      <w:r w:rsidRPr="00C51611">
        <w:rPr>
          <w:i/>
        </w:rPr>
        <w:t>Financial Services Reform Act 2001</w:t>
      </w:r>
      <w:r>
        <w:t xml:space="preserve"> requires a diploma for those providing independent financial advice, since 2007 the Financial Planners Association has required a bachelor degree for membership. This has effectively set the requirement for entry to practice and is undermining the viability of the </w:t>
      </w:r>
      <w:r w:rsidR="002F5425">
        <w:t>Diploma i</w:t>
      </w:r>
      <w:r w:rsidR="002F5425" w:rsidRPr="00C51611">
        <w:t>n Financial Services (Financial Planning</w:t>
      </w:r>
      <w:r w:rsidRPr="00C51611">
        <w:t>)</w:t>
      </w:r>
      <w:r w:rsidR="00BB2297">
        <w:t>. It is now less possible for people to enter financial services at a modest level and work their way up the profession</w:t>
      </w:r>
      <w:r>
        <w:t>.</w:t>
      </w:r>
    </w:p>
    <w:p w:rsidR="00A22876" w:rsidRDefault="00150269" w:rsidP="00A22876">
      <w:pPr>
        <w:pStyle w:val="Text"/>
      </w:pPr>
      <w:r>
        <w:t>The programs for physician assistants and veterinary technologists are examples of educational institutions taking the initia</w:t>
      </w:r>
      <w:r w:rsidR="007F0717">
        <w:t>tive in establishing programs that</w:t>
      </w:r>
      <w:r>
        <w:t xml:space="preserve"> prepare graduates for</w:t>
      </w:r>
      <w:r w:rsidR="001A175D">
        <w:t xml:space="preserve"> </w:t>
      </w:r>
      <w:r w:rsidR="002F5425">
        <w:t xml:space="preserve">the </w:t>
      </w:r>
      <w:proofErr w:type="spellStart"/>
      <w:r w:rsidR="007F0717">
        <w:t>para</w:t>
      </w:r>
      <w:r w:rsidR="001A175D">
        <w:t>professions</w:t>
      </w:r>
      <w:proofErr w:type="spellEnd"/>
      <w:r>
        <w:t xml:space="preserve">. They have achieved </w:t>
      </w:r>
      <w:r w:rsidR="007F0717">
        <w:t xml:space="preserve">only </w:t>
      </w:r>
      <w:r>
        <w:t>modest success so far, largely because of trenchant opposition from competing professionals.</w:t>
      </w:r>
      <w:r w:rsidR="00540635">
        <w:t xml:space="preserve"> </w:t>
      </w:r>
      <w:r w:rsidR="00E02898">
        <w:t xml:space="preserve">The </w:t>
      </w:r>
      <w:r w:rsidR="00A22876">
        <w:t xml:space="preserve">case studies </w:t>
      </w:r>
      <w:r w:rsidR="00DF1F30">
        <w:t xml:space="preserve">for </w:t>
      </w:r>
      <w:r w:rsidR="00E02898">
        <w:t xml:space="preserve">physician assistants and veterinary technologists </w:t>
      </w:r>
      <w:r w:rsidR="00A22876">
        <w:t>suggest th</w:t>
      </w:r>
      <w:r w:rsidR="00540635">
        <w:t>ree</w:t>
      </w:r>
      <w:r w:rsidR="00A22876">
        <w:t xml:space="preserve"> conditions </w:t>
      </w:r>
      <w:r w:rsidR="004D0637">
        <w:t>by which</w:t>
      </w:r>
      <w:r w:rsidR="00A22876">
        <w:t xml:space="preserve"> educational institutions </w:t>
      </w:r>
      <w:r w:rsidR="004D0637">
        <w:t>could</w:t>
      </w:r>
      <w:r w:rsidR="00A22876">
        <w:t xml:space="preserve"> introduce </w:t>
      </w:r>
      <w:r w:rsidR="002F5425">
        <w:t>mid-</w:t>
      </w:r>
      <w:r w:rsidR="00540635">
        <w:t>level qualifications</w:t>
      </w:r>
      <w:r w:rsidR="004D0637">
        <w:t xml:space="preserve"> that will be accepted</w:t>
      </w:r>
      <w:r w:rsidR="00540635">
        <w:t>:</w:t>
      </w:r>
    </w:p>
    <w:p w:rsidR="00A22876" w:rsidRDefault="00DF1F30" w:rsidP="00525F5F">
      <w:pPr>
        <w:pStyle w:val="Dotpoint1"/>
      </w:pPr>
      <w:r>
        <w:t>I</w:t>
      </w:r>
      <w:r w:rsidR="00A22876">
        <w:t>dentify a role in the workforce</w:t>
      </w:r>
      <w:r w:rsidR="002F5425">
        <w:t>.</w:t>
      </w:r>
    </w:p>
    <w:p w:rsidR="00A22876" w:rsidRDefault="00A22876" w:rsidP="00525F5F">
      <w:pPr>
        <w:pStyle w:val="Dotpoint1"/>
      </w:pPr>
      <w:r>
        <w:t>Convince employers of the benefits of the new role</w:t>
      </w:r>
      <w:r w:rsidR="002F5425">
        <w:t>.</w:t>
      </w:r>
    </w:p>
    <w:p w:rsidR="00150269" w:rsidRDefault="00A22876" w:rsidP="00525F5F">
      <w:pPr>
        <w:pStyle w:val="Dotpoint1"/>
      </w:pPr>
      <w:r>
        <w:t>Understand workforce structure and dynamics</w:t>
      </w:r>
      <w:r w:rsidR="00540635">
        <w:t>.</w:t>
      </w:r>
    </w:p>
    <w:p w:rsidR="00580968" w:rsidRDefault="00540635" w:rsidP="002C1A5D">
      <w:pPr>
        <w:pStyle w:val="Text"/>
      </w:pPr>
      <w:r>
        <w:lastRenderedPageBreak/>
        <w:t xml:space="preserve">The report concludes that there is limited scope for tertiary education institutions </w:t>
      </w:r>
      <w:r w:rsidR="00DF1F30">
        <w:t xml:space="preserve">alone </w:t>
      </w:r>
      <w:r>
        <w:t xml:space="preserve">to foster </w:t>
      </w:r>
      <w:r w:rsidR="00DF1F30">
        <w:t>links between qualifications and work</w:t>
      </w:r>
      <w:r>
        <w:t xml:space="preserve">. Tertiary education institutions are mostly limited to following rather than initiating structural change in the workforce. </w:t>
      </w:r>
      <w:r w:rsidR="00220115">
        <w:t>N</w:t>
      </w:r>
      <w:r w:rsidR="00533372">
        <w:t>ew qualifications can play an important role in building</w:t>
      </w:r>
      <w:r w:rsidR="004D0637">
        <w:t xml:space="preserve"> links between lower- and higher-level qualifications</w:t>
      </w:r>
      <w:r w:rsidR="00533372">
        <w:t xml:space="preserve"> and in professionalising and upgrading the skills of particular industries, but this is most effective when it is </w:t>
      </w:r>
      <w:r w:rsidR="00220115">
        <w:t>done coll</w:t>
      </w:r>
      <w:r w:rsidR="00C60C90">
        <w:t xml:space="preserve">aboratively by </w:t>
      </w:r>
      <w:r w:rsidR="004D0637">
        <w:t xml:space="preserve">the </w:t>
      </w:r>
      <w:r w:rsidR="00C60C90">
        <w:t>education and</w:t>
      </w:r>
      <w:r w:rsidR="00220115">
        <w:t xml:space="preserve"> </w:t>
      </w:r>
      <w:r w:rsidR="00533372">
        <w:t>industry soc</w:t>
      </w:r>
      <w:r w:rsidR="004D0637">
        <w:t>ial partners —</w:t>
      </w:r>
      <w:r w:rsidR="00533372">
        <w:t xml:space="preserve"> employers, unions and government.</w:t>
      </w:r>
    </w:p>
    <w:p w:rsidR="00DF1F30" w:rsidRDefault="00DF1F30" w:rsidP="00533372">
      <w:pPr>
        <w:pStyle w:val="Dotpoint1"/>
        <w:numPr>
          <w:ilvl w:val="0"/>
          <w:numId w:val="0"/>
        </w:numPr>
      </w:pPr>
    </w:p>
    <w:p w:rsidR="00580968" w:rsidRDefault="00580968" w:rsidP="00311230">
      <w:pPr>
        <w:pStyle w:val="Heading1"/>
      </w:pPr>
      <w:r w:rsidRPr="00311230">
        <w:rPr>
          <w:rStyle w:val="TextChar"/>
        </w:rPr>
        <w:br w:type="page"/>
      </w:r>
      <w:bookmarkStart w:id="36" w:name="_Toc370199894"/>
      <w:r w:rsidR="00D7444D">
        <w:lastRenderedPageBreak/>
        <w:t>Introduction</w:t>
      </w:r>
      <w:bookmarkEnd w:id="36"/>
    </w:p>
    <w:p w:rsidR="00F6375C" w:rsidRDefault="00DC74D4" w:rsidP="002C1A5D">
      <w:pPr>
        <w:pStyle w:val="Text"/>
      </w:pPr>
      <w:r>
        <w:t xml:space="preserve">What </w:t>
      </w:r>
      <w:r w:rsidR="004D0637">
        <w:t>roles do</w:t>
      </w:r>
      <w:r>
        <w:t xml:space="preserve"> </w:t>
      </w:r>
      <w:r w:rsidR="005D3AF6">
        <w:t>tertiary education qualifications</w:t>
      </w:r>
      <w:r w:rsidR="004D0637">
        <w:t xml:space="preserve"> play in assisting</w:t>
      </w:r>
      <w:r>
        <w:t xml:space="preserve"> their </w:t>
      </w:r>
      <w:r w:rsidR="005D3AF6">
        <w:t xml:space="preserve">graduates </w:t>
      </w:r>
      <w:r w:rsidR="004D0637">
        <w:t xml:space="preserve">to gain </w:t>
      </w:r>
      <w:r w:rsidR="00F6375C">
        <w:t>entry to and progressi</w:t>
      </w:r>
      <w:r>
        <w:t>o</w:t>
      </w:r>
      <w:r w:rsidR="00317EAF">
        <w:t>n</w:t>
      </w:r>
      <w:r w:rsidR="00F6375C">
        <w:t xml:space="preserve"> in work</w:t>
      </w:r>
      <w:r>
        <w:t xml:space="preserve"> and how may </w:t>
      </w:r>
      <w:r w:rsidR="00B428B2">
        <w:t>these roles</w:t>
      </w:r>
      <w:r>
        <w:t xml:space="preserve"> be strengthened</w:t>
      </w:r>
      <w:r w:rsidR="00F6375C">
        <w:t>?</w:t>
      </w:r>
    </w:p>
    <w:p w:rsidR="00414175" w:rsidRDefault="0035721C" w:rsidP="002C1A5D">
      <w:pPr>
        <w:pStyle w:val="Text"/>
      </w:pPr>
      <w:r>
        <w:t>Th</w:t>
      </w:r>
      <w:r w:rsidR="003640CD">
        <w:t>ese</w:t>
      </w:r>
      <w:r>
        <w:t xml:space="preserve"> question</w:t>
      </w:r>
      <w:r w:rsidR="003640CD">
        <w:t>s</w:t>
      </w:r>
      <w:r>
        <w:t xml:space="preserve"> w</w:t>
      </w:r>
      <w:r w:rsidR="003640CD">
        <w:t>ere</w:t>
      </w:r>
      <w:r>
        <w:t xml:space="preserve"> asked as part of a project </w:t>
      </w:r>
      <w:r w:rsidR="004D0637">
        <w:t xml:space="preserve">entitled </w:t>
      </w:r>
      <w:r w:rsidR="004D0637" w:rsidRPr="004D0637">
        <w:rPr>
          <w:i/>
        </w:rPr>
        <w:t>V</w:t>
      </w:r>
      <w:r w:rsidRPr="004D0637">
        <w:rPr>
          <w:i/>
        </w:rPr>
        <w:t>ocations: the link between post</w:t>
      </w:r>
      <w:r w:rsidR="004D0637" w:rsidRPr="004D0637">
        <w:rPr>
          <w:i/>
        </w:rPr>
        <w:t>-</w:t>
      </w:r>
      <w:r w:rsidRPr="004D0637">
        <w:rPr>
          <w:i/>
        </w:rPr>
        <w:t>compulsory education and the labour market</w:t>
      </w:r>
      <w:r>
        <w:t xml:space="preserve">. </w:t>
      </w:r>
      <w:r w:rsidR="00414175">
        <w:t>The project</w:t>
      </w:r>
      <w:r>
        <w:t xml:space="preserve"> </w:t>
      </w:r>
      <w:r w:rsidR="00414175">
        <w:t xml:space="preserve">is investigating the potential to improve pathways and flows within </w:t>
      </w:r>
      <w:r w:rsidR="00317EAF">
        <w:t xml:space="preserve">and between </w:t>
      </w:r>
      <w:r w:rsidR="004D0637">
        <w:t xml:space="preserve">education and work. The project’s duration </w:t>
      </w:r>
      <w:r w:rsidR="007F0717">
        <w:t xml:space="preserve">is </w:t>
      </w:r>
      <w:r w:rsidR="00414175">
        <w:t>three ye</w:t>
      </w:r>
      <w:r w:rsidR="004164EB">
        <w:t>ars and consists of three</w:t>
      </w:r>
      <w:r w:rsidR="004D0637">
        <w:t xml:space="preserve"> inter</w:t>
      </w:r>
      <w:r w:rsidR="00414175">
        <w:t>related strands:</w:t>
      </w:r>
    </w:p>
    <w:p w:rsidR="00414175" w:rsidRDefault="009F1582" w:rsidP="00525F5F">
      <w:pPr>
        <w:pStyle w:val="Dotpoint1"/>
      </w:pPr>
      <w:r>
        <w:t>S</w:t>
      </w:r>
      <w:r w:rsidR="00414175">
        <w:t xml:space="preserve">trand 1: entry to vocations, concentrating on VET in Schools as </w:t>
      </w:r>
      <w:r w:rsidR="00F0090C">
        <w:t>a pathway</w:t>
      </w:r>
      <w:r w:rsidR="007F0717">
        <w:t xml:space="preserve"> to work or further study</w:t>
      </w:r>
    </w:p>
    <w:p w:rsidR="00414175" w:rsidRDefault="009F1582" w:rsidP="00525F5F">
      <w:pPr>
        <w:pStyle w:val="Dotpoint1"/>
      </w:pPr>
      <w:r>
        <w:t>S</w:t>
      </w:r>
      <w:r w:rsidR="00414175">
        <w:t xml:space="preserve">trand 2: the role of educational institutions in fostering vocations, </w:t>
      </w:r>
      <w:r w:rsidR="00317EAF">
        <w:t xml:space="preserve">concentrating </w:t>
      </w:r>
      <w:r w:rsidR="00414175">
        <w:t xml:space="preserve">on </w:t>
      </w:r>
      <w:r w:rsidR="008431EC">
        <w:t>VET</w:t>
      </w:r>
      <w:r w:rsidR="007F0717">
        <w:t xml:space="preserve"> </w:t>
      </w:r>
      <w:r w:rsidR="00414175">
        <w:t>and hi</w:t>
      </w:r>
      <w:r w:rsidR="007F0717">
        <w:t>gher education institutions</w:t>
      </w:r>
    </w:p>
    <w:p w:rsidR="00414175" w:rsidRDefault="009F1582" w:rsidP="00525F5F">
      <w:pPr>
        <w:pStyle w:val="Dotpoint1"/>
      </w:pPr>
      <w:r>
        <w:t>S</w:t>
      </w:r>
      <w:r w:rsidR="00414175">
        <w:t>trand 3: understanding the nature of vocations in work today and their potential improvement.</w:t>
      </w:r>
    </w:p>
    <w:p w:rsidR="00C608C9" w:rsidRDefault="00C608C9" w:rsidP="002C1A5D">
      <w:pPr>
        <w:pStyle w:val="Text"/>
      </w:pPr>
      <w:r>
        <w:t>Each strand is concentrating on four industries: agriculture, engineering, finance and health.</w:t>
      </w:r>
    </w:p>
    <w:p w:rsidR="00730F1A" w:rsidRDefault="004D0637" w:rsidP="00730F1A">
      <w:pPr>
        <w:pStyle w:val="Text"/>
      </w:pPr>
      <w:r>
        <w:t>A</w:t>
      </w:r>
      <w:r w:rsidR="00317EAF">
        <w:t xml:space="preserve"> </w:t>
      </w:r>
      <w:r w:rsidR="006379D1">
        <w:t xml:space="preserve">working paper and a </w:t>
      </w:r>
      <w:r w:rsidR="00317EAF">
        <w:t xml:space="preserve">report </w:t>
      </w:r>
      <w:r>
        <w:t>produced in</w:t>
      </w:r>
      <w:r w:rsidR="00317EAF">
        <w:t xml:space="preserve"> the </w:t>
      </w:r>
      <w:r w:rsidR="006379D1">
        <w:t>first</w:t>
      </w:r>
      <w:r w:rsidR="00317EAF">
        <w:t xml:space="preserve"> </w:t>
      </w:r>
      <w:r w:rsidR="006C15D0">
        <w:t xml:space="preserve">year </w:t>
      </w:r>
      <w:r w:rsidR="00317EAF">
        <w:t xml:space="preserve">of the work in </w:t>
      </w:r>
      <w:r w:rsidR="003A1891">
        <w:t>s</w:t>
      </w:r>
      <w:r w:rsidR="00317EAF">
        <w:t>trand two</w:t>
      </w:r>
      <w:r w:rsidR="006C15D0">
        <w:t xml:space="preserve"> investigat</w:t>
      </w:r>
      <w:r>
        <w:t>e</w:t>
      </w:r>
      <w:r w:rsidR="006C15D0">
        <w:t xml:space="preserve"> the role of educational institutions in fostering vocations</w:t>
      </w:r>
      <w:r w:rsidR="006379D1">
        <w:t xml:space="preserve"> (</w:t>
      </w:r>
      <w:proofErr w:type="spellStart"/>
      <w:r w:rsidR="006379D1">
        <w:t>Moodie</w:t>
      </w:r>
      <w:proofErr w:type="spellEnd"/>
      <w:r w:rsidR="006379D1">
        <w:t xml:space="preserve"> 2012; </w:t>
      </w:r>
      <w:proofErr w:type="spellStart"/>
      <w:r w:rsidR="006379D1" w:rsidRPr="009372CA">
        <w:t>Wheelahan</w:t>
      </w:r>
      <w:proofErr w:type="spellEnd"/>
      <w:r w:rsidR="006379D1" w:rsidRPr="009372CA">
        <w:t xml:space="preserve"> et al. 2012)</w:t>
      </w:r>
      <w:r w:rsidR="00317EAF" w:rsidRPr="009372CA">
        <w:t xml:space="preserve">. </w:t>
      </w:r>
      <w:r w:rsidR="00730F1A" w:rsidRPr="009372CA">
        <w:t>In</w:t>
      </w:r>
      <w:r w:rsidR="00730F1A">
        <w:t xml:space="preserve"> the discussion paper arising out of the first year of the project</w:t>
      </w:r>
      <w:r w:rsidR="00F0090C">
        <w:t>,</w:t>
      </w:r>
      <w:r w:rsidR="00730F1A">
        <w:t xml:space="preserve"> the team </w:t>
      </w:r>
      <w:r w:rsidR="00730F1A" w:rsidRPr="007051BF">
        <w:t>(</w:t>
      </w:r>
      <w:proofErr w:type="spellStart"/>
      <w:r w:rsidR="00730F1A" w:rsidRPr="007051BF">
        <w:t>Wheelahan</w:t>
      </w:r>
      <w:proofErr w:type="spellEnd"/>
      <w:r w:rsidR="00730F1A" w:rsidRPr="007051BF">
        <w:t xml:space="preserve">, </w:t>
      </w:r>
      <w:proofErr w:type="spellStart"/>
      <w:r w:rsidR="00730F1A" w:rsidRPr="007051BF">
        <w:t>Moodie</w:t>
      </w:r>
      <w:proofErr w:type="spellEnd"/>
      <w:r w:rsidR="00730F1A" w:rsidRPr="007051BF">
        <w:t xml:space="preserve"> &amp; Buchanan 201</w:t>
      </w:r>
      <w:r w:rsidR="007051BF">
        <w:t>2</w:t>
      </w:r>
      <w:r w:rsidR="00730F1A" w:rsidRPr="007051BF">
        <w:t>, p.30)</w:t>
      </w:r>
      <w:r w:rsidR="00730F1A">
        <w:t xml:space="preserve"> noted that there has been a ‘hollo</w:t>
      </w:r>
      <w:r>
        <w:t>wing-</w:t>
      </w:r>
      <w:r w:rsidR="00730F1A">
        <w:t>out’ of the middle of the skill distribution, while those at the high and low end</w:t>
      </w:r>
      <w:r w:rsidR="00C4546E">
        <w:t>s</w:t>
      </w:r>
      <w:r w:rsidR="00730F1A">
        <w:t xml:space="preserve"> have increased (Cully 2003). The team further noted</w:t>
      </w:r>
      <w:r w:rsidR="00C4546E">
        <w:t xml:space="preserve"> Curtain</w:t>
      </w:r>
      <w:r w:rsidR="007F0717">
        <w:t>’s</w:t>
      </w:r>
      <w:r w:rsidR="00C4546E">
        <w:t xml:space="preserve"> (2003, p.1) </w:t>
      </w:r>
      <w:r w:rsidR="007F0717">
        <w:t>claim</w:t>
      </w:r>
      <w:r w:rsidR="00730F1A">
        <w:t xml:space="preserve"> that there has not bee</w:t>
      </w:r>
      <w:r w:rsidR="007F0717">
        <w:t>n sufficient policy attention to</w:t>
      </w:r>
      <w:r w:rsidR="00730F1A">
        <w:t xml:space="preserve"> intermediate skills and the adequacy of skills formation for intermediate skills. This work seeks to </w:t>
      </w:r>
      <w:r w:rsidR="00C4546E">
        <w:t>begin to address</w:t>
      </w:r>
      <w:r w:rsidR="00730F1A">
        <w:t xml:space="preserve"> that lac</w:t>
      </w:r>
      <w:r w:rsidR="00C4546E">
        <w:t>k of attention by examining mid-</w:t>
      </w:r>
      <w:r w:rsidR="00730F1A">
        <w:t xml:space="preserve">level qualifications in Australia. </w:t>
      </w:r>
    </w:p>
    <w:p w:rsidR="00DC74D4" w:rsidRDefault="00DC74D4" w:rsidP="00730F1A">
      <w:pPr>
        <w:pStyle w:val="Text"/>
      </w:pPr>
      <w:r>
        <w:t xml:space="preserve">The project examined </w:t>
      </w:r>
      <w:r w:rsidR="007F0717">
        <w:t>this issue</w:t>
      </w:r>
      <w:r w:rsidR="00C4546E">
        <w:t xml:space="preserve"> </w:t>
      </w:r>
      <w:r w:rsidR="003640CD">
        <w:t>by r</w:t>
      </w:r>
      <w:r>
        <w:t>eview</w:t>
      </w:r>
      <w:r w:rsidR="003640CD">
        <w:t xml:space="preserve">ing </w:t>
      </w:r>
      <w:r w:rsidR="00D451B1">
        <w:t xml:space="preserve">statistical </w:t>
      </w:r>
      <w:r>
        <w:t xml:space="preserve">data from </w:t>
      </w:r>
      <w:r w:rsidR="00D451B1">
        <w:t xml:space="preserve">NCVER’s </w:t>
      </w:r>
      <w:r w:rsidR="00C4546E">
        <w:t>2011 Student Outcomes Survey</w:t>
      </w:r>
      <w:r w:rsidR="00D451B1">
        <w:t xml:space="preserve"> and from the </w:t>
      </w:r>
      <w:r w:rsidR="005E2025">
        <w:t>ABS Surveys of Education and W</w:t>
      </w:r>
      <w:r w:rsidR="00D451B1">
        <w:t>ork</w:t>
      </w:r>
      <w:r w:rsidR="007F0717">
        <w:t>,</w:t>
      </w:r>
      <w:r w:rsidR="00D451B1">
        <w:t xml:space="preserve"> from 1998 to 2012</w:t>
      </w:r>
      <w:r w:rsidR="00D92F4C">
        <w:t xml:space="preserve">. </w:t>
      </w:r>
      <w:r w:rsidR="005E2025">
        <w:t>By</w:t>
      </w:r>
      <w:r w:rsidR="007F0717">
        <w:t xml:space="preserve"> investigating</w:t>
      </w:r>
      <w:r w:rsidR="005E2025">
        <w:t xml:space="preserve"> four case</w:t>
      </w:r>
      <w:r w:rsidR="007F0717">
        <w:t>s</w:t>
      </w:r>
      <w:r w:rsidR="005E2025">
        <w:t xml:space="preserve"> in which tertiary institutions had introduced new qualifications to meet a new or emerging work role, t</w:t>
      </w:r>
      <w:r w:rsidR="003640CD">
        <w:t xml:space="preserve">he project explored how </w:t>
      </w:r>
      <w:r w:rsidR="005E2025">
        <w:t>the role of qualifications</w:t>
      </w:r>
      <w:r w:rsidR="003640CD">
        <w:t xml:space="preserve"> </w:t>
      </w:r>
      <w:r w:rsidR="005E2025">
        <w:t xml:space="preserve">might be </w:t>
      </w:r>
      <w:r w:rsidR="003640CD">
        <w:t>strengthened.</w:t>
      </w:r>
      <w:r w:rsidR="00D92F4C">
        <w:t xml:space="preserve"> </w:t>
      </w:r>
    </w:p>
    <w:p w:rsidR="0006586C" w:rsidRDefault="00055403" w:rsidP="00525F5F">
      <w:pPr>
        <w:pStyle w:val="Text"/>
        <w:ind w:right="-143"/>
      </w:pPr>
      <w:r>
        <w:t xml:space="preserve">The Australian Qualifications Framework </w:t>
      </w:r>
      <w:r w:rsidR="005E2025">
        <w:t xml:space="preserve">(AQF) </w:t>
      </w:r>
      <w:r w:rsidR="0006586C">
        <w:t>divides</w:t>
      </w:r>
      <w:r w:rsidR="002523AB">
        <w:t xml:space="preserve"> </w:t>
      </w:r>
      <w:r w:rsidR="005E2025">
        <w:t>qualifications into ten levels (t</w:t>
      </w:r>
      <w:r w:rsidR="002523AB">
        <w:t>able 1). Almost all</w:t>
      </w:r>
      <w:r w:rsidR="00525F5F">
        <w:t> </w:t>
      </w:r>
      <w:r w:rsidR="002523AB">
        <w:t>qualifications</w:t>
      </w:r>
      <w:r w:rsidR="005E2025">
        <w:t xml:space="preserve"> at level</w:t>
      </w:r>
      <w:r w:rsidR="002523AB">
        <w:t xml:space="preserve"> 7 (bachelor) and above are accredited only as higher education qualifications</w:t>
      </w:r>
      <w:r w:rsidR="005E2025">
        <w:t>,</w:t>
      </w:r>
      <w:r w:rsidR="002523AB">
        <w:t xml:space="preserve"> while alm</w:t>
      </w:r>
      <w:r w:rsidR="005E2025">
        <w:t>ost all qualifications at level</w:t>
      </w:r>
      <w:r w:rsidR="002523AB">
        <w:t xml:space="preserve"> 4 (certificate IV) and below are accredited only as vocational qualifications. Associate degrees at level 6 are only higher education</w:t>
      </w:r>
      <w:r w:rsidR="005E2025">
        <w:t>,</w:t>
      </w:r>
      <w:r w:rsidR="002523AB">
        <w:t xml:space="preserve"> while advanced diplomas also at level 6 and diplomas at level 5 may be accredited as vocational or higher education qualifications. </w:t>
      </w:r>
    </w:p>
    <w:p w:rsidR="0006586C" w:rsidRDefault="00525F5F" w:rsidP="00525F5F">
      <w:pPr>
        <w:pStyle w:val="tabletitle"/>
      </w:pPr>
      <w:r>
        <w:br w:type="page"/>
      </w:r>
      <w:bookmarkStart w:id="37" w:name="_Toc369273527"/>
      <w:r w:rsidR="005E2025">
        <w:lastRenderedPageBreak/>
        <w:t>Table 1</w:t>
      </w:r>
      <w:r>
        <w:tab/>
      </w:r>
      <w:r w:rsidR="00337DB3">
        <w:t>Australian Qualifications F</w:t>
      </w:r>
      <w:r w:rsidR="0006586C">
        <w:t>ramework, 2013</w:t>
      </w:r>
      <w:bookmarkEnd w:id="37"/>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3695"/>
        <w:gridCol w:w="1842"/>
      </w:tblGrid>
      <w:tr w:rsidR="0006586C" w:rsidRPr="00525F5F" w:rsidTr="00525F5F">
        <w:trPr>
          <w:tblHeader/>
        </w:trPr>
        <w:tc>
          <w:tcPr>
            <w:tcW w:w="842" w:type="dxa"/>
            <w:tcBorders>
              <w:top w:val="single" w:sz="4" w:space="0" w:color="auto"/>
              <w:left w:val="nil"/>
              <w:bottom w:val="single" w:sz="4" w:space="0" w:color="auto"/>
              <w:right w:val="nil"/>
            </w:tcBorders>
            <w:shd w:val="clear" w:color="auto" w:fill="auto"/>
          </w:tcPr>
          <w:p w:rsidR="0006586C" w:rsidRPr="00525F5F" w:rsidRDefault="0006586C" w:rsidP="00525F5F">
            <w:pPr>
              <w:pStyle w:val="Tablehead1"/>
            </w:pPr>
            <w:r w:rsidRPr="00525F5F">
              <w:t>Level</w:t>
            </w:r>
          </w:p>
        </w:tc>
        <w:tc>
          <w:tcPr>
            <w:tcW w:w="3695" w:type="dxa"/>
            <w:tcBorders>
              <w:top w:val="single" w:sz="4" w:space="0" w:color="auto"/>
              <w:left w:val="nil"/>
              <w:bottom w:val="single" w:sz="4" w:space="0" w:color="auto"/>
              <w:right w:val="nil"/>
            </w:tcBorders>
            <w:shd w:val="clear" w:color="auto" w:fill="auto"/>
          </w:tcPr>
          <w:p w:rsidR="0006586C" w:rsidRPr="00525F5F" w:rsidRDefault="0006586C" w:rsidP="00525F5F">
            <w:pPr>
              <w:pStyle w:val="Tablehead1"/>
            </w:pPr>
            <w:r w:rsidRPr="00525F5F">
              <w:t>Qualification</w:t>
            </w:r>
          </w:p>
        </w:tc>
        <w:tc>
          <w:tcPr>
            <w:tcW w:w="1842" w:type="dxa"/>
            <w:tcBorders>
              <w:top w:val="single" w:sz="4" w:space="0" w:color="auto"/>
              <w:left w:val="nil"/>
              <w:bottom w:val="single" w:sz="4" w:space="0" w:color="auto"/>
              <w:right w:val="nil"/>
            </w:tcBorders>
            <w:shd w:val="clear" w:color="auto" w:fill="auto"/>
          </w:tcPr>
          <w:p w:rsidR="0006586C" w:rsidRPr="00525F5F" w:rsidRDefault="0006586C" w:rsidP="00525F5F">
            <w:pPr>
              <w:pStyle w:val="Tablehead1"/>
              <w:jc w:val="center"/>
            </w:pPr>
            <w:r w:rsidRPr="00525F5F">
              <w:t>Notional duration of</w:t>
            </w:r>
            <w:r w:rsidR="00525F5F">
              <w:t> </w:t>
            </w:r>
            <w:r w:rsidRPr="00525F5F">
              <w:t>student learning</w:t>
            </w:r>
            <w:r w:rsidR="005E2025" w:rsidRPr="00525F5F">
              <w:t xml:space="preserve"> (years)</w:t>
            </w:r>
          </w:p>
        </w:tc>
      </w:tr>
      <w:tr w:rsidR="0006586C" w:rsidRPr="00525F5F" w:rsidTr="00525F5F">
        <w:tc>
          <w:tcPr>
            <w:tcW w:w="842" w:type="dxa"/>
            <w:tcBorders>
              <w:top w:val="single" w:sz="4" w:space="0" w:color="auto"/>
              <w:left w:val="nil"/>
              <w:bottom w:val="nil"/>
              <w:right w:val="nil"/>
            </w:tcBorders>
            <w:shd w:val="clear" w:color="auto" w:fill="auto"/>
          </w:tcPr>
          <w:p w:rsidR="0006586C" w:rsidRPr="00525F5F" w:rsidRDefault="0006586C" w:rsidP="00525F5F">
            <w:pPr>
              <w:pStyle w:val="Tabletext"/>
            </w:pPr>
            <w:r w:rsidRPr="00525F5F">
              <w:t>10</w:t>
            </w:r>
          </w:p>
        </w:tc>
        <w:tc>
          <w:tcPr>
            <w:tcW w:w="3695" w:type="dxa"/>
            <w:tcBorders>
              <w:top w:val="single" w:sz="4" w:space="0" w:color="auto"/>
              <w:left w:val="nil"/>
              <w:bottom w:val="nil"/>
              <w:right w:val="nil"/>
            </w:tcBorders>
            <w:shd w:val="clear" w:color="auto" w:fill="auto"/>
          </w:tcPr>
          <w:p w:rsidR="0006586C" w:rsidRPr="00525F5F" w:rsidRDefault="0006586C" w:rsidP="00525F5F">
            <w:pPr>
              <w:pStyle w:val="Tabletext"/>
            </w:pPr>
            <w:r w:rsidRPr="00525F5F">
              <w:t>Doctoral degree</w:t>
            </w:r>
          </w:p>
        </w:tc>
        <w:tc>
          <w:tcPr>
            <w:tcW w:w="1842" w:type="dxa"/>
            <w:tcBorders>
              <w:top w:val="single" w:sz="4" w:space="0" w:color="auto"/>
              <w:left w:val="nil"/>
              <w:bottom w:val="nil"/>
              <w:right w:val="nil"/>
            </w:tcBorders>
            <w:shd w:val="clear" w:color="auto" w:fill="auto"/>
          </w:tcPr>
          <w:p w:rsidR="0006586C" w:rsidRPr="00525F5F" w:rsidRDefault="00D96997" w:rsidP="00D9570E">
            <w:pPr>
              <w:pStyle w:val="Tabletext"/>
              <w:tabs>
                <w:tab w:val="right" w:pos="936"/>
              </w:tabs>
            </w:pPr>
            <w:r>
              <w:tab/>
            </w:r>
            <w:r w:rsidR="005E2025" w:rsidRPr="00525F5F">
              <w:t>3–5</w:t>
            </w:r>
          </w:p>
        </w:tc>
      </w:tr>
      <w:tr w:rsidR="0006586C" w:rsidRPr="00525F5F" w:rsidTr="00525F5F">
        <w:tc>
          <w:tcPr>
            <w:tcW w:w="842" w:type="dxa"/>
            <w:vMerge w:val="restart"/>
            <w:tcBorders>
              <w:top w:val="nil"/>
              <w:left w:val="nil"/>
              <w:bottom w:val="nil"/>
              <w:right w:val="nil"/>
            </w:tcBorders>
            <w:shd w:val="clear" w:color="auto" w:fill="auto"/>
          </w:tcPr>
          <w:p w:rsidR="0006586C" w:rsidRPr="00525F5F" w:rsidRDefault="0006586C" w:rsidP="00D75EC9">
            <w:pPr>
              <w:pStyle w:val="Tabletext"/>
              <w:spacing w:before="120"/>
            </w:pPr>
            <w:r w:rsidRPr="00525F5F">
              <w:t>9</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Master</w:t>
            </w:r>
            <w:r w:rsidR="005E2025" w:rsidRPr="00525F5F">
              <w:t>’</w:t>
            </w:r>
            <w:r w:rsidRPr="00525F5F">
              <w:t>s degree (extended)</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5E2025" w:rsidRPr="00525F5F">
              <w:t>3–4</w:t>
            </w:r>
          </w:p>
        </w:tc>
      </w:tr>
      <w:tr w:rsidR="0006586C" w:rsidRPr="00525F5F" w:rsidTr="00525F5F">
        <w:tc>
          <w:tcPr>
            <w:tcW w:w="842" w:type="dxa"/>
            <w:vMerge/>
            <w:tcBorders>
              <w:top w:val="nil"/>
              <w:left w:val="nil"/>
              <w:bottom w:val="nil"/>
              <w:right w:val="nil"/>
            </w:tcBorders>
            <w:shd w:val="clear" w:color="auto" w:fill="auto"/>
          </w:tcPr>
          <w:p w:rsidR="0006586C" w:rsidRPr="00525F5F" w:rsidRDefault="0006586C" w:rsidP="00D75EC9">
            <w:pPr>
              <w:pStyle w:val="Tabletext"/>
              <w:spacing w:before="120"/>
            </w:pPr>
          </w:p>
        </w:tc>
        <w:tc>
          <w:tcPr>
            <w:tcW w:w="3695" w:type="dxa"/>
            <w:tcBorders>
              <w:top w:val="nil"/>
              <w:left w:val="nil"/>
              <w:bottom w:val="nil"/>
              <w:right w:val="nil"/>
            </w:tcBorders>
            <w:shd w:val="clear" w:color="auto" w:fill="auto"/>
          </w:tcPr>
          <w:p w:rsidR="0006586C" w:rsidRPr="00525F5F" w:rsidRDefault="0006586C" w:rsidP="00525F5F">
            <w:pPr>
              <w:pStyle w:val="Tabletext"/>
            </w:pPr>
            <w:r w:rsidRPr="00525F5F">
              <w:t>Master</w:t>
            </w:r>
            <w:r w:rsidR="005E2025" w:rsidRPr="00525F5F">
              <w:t>’</w:t>
            </w:r>
            <w:r w:rsidRPr="00525F5F">
              <w:t>s degree (coursework)</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pPr>
            <w:r>
              <w:tab/>
            </w:r>
            <w:r w:rsidR="0006586C" w:rsidRPr="00525F5F">
              <w:t>1</w:t>
            </w:r>
            <w:r w:rsidR="005E2025" w:rsidRPr="00525F5F">
              <w:t>–2</w:t>
            </w:r>
          </w:p>
        </w:tc>
      </w:tr>
      <w:tr w:rsidR="0006586C" w:rsidRPr="00525F5F" w:rsidTr="00525F5F">
        <w:tc>
          <w:tcPr>
            <w:tcW w:w="842" w:type="dxa"/>
            <w:vMerge/>
            <w:tcBorders>
              <w:top w:val="nil"/>
              <w:left w:val="nil"/>
              <w:bottom w:val="nil"/>
              <w:right w:val="nil"/>
            </w:tcBorders>
            <w:shd w:val="clear" w:color="auto" w:fill="auto"/>
          </w:tcPr>
          <w:p w:rsidR="0006586C" w:rsidRPr="00525F5F" w:rsidRDefault="0006586C" w:rsidP="00D75EC9">
            <w:pPr>
              <w:pStyle w:val="Tabletext"/>
              <w:spacing w:before="120"/>
            </w:pPr>
          </w:p>
        </w:tc>
        <w:tc>
          <w:tcPr>
            <w:tcW w:w="3695" w:type="dxa"/>
            <w:tcBorders>
              <w:top w:val="nil"/>
              <w:left w:val="nil"/>
              <w:bottom w:val="nil"/>
              <w:right w:val="nil"/>
            </w:tcBorders>
            <w:shd w:val="clear" w:color="auto" w:fill="auto"/>
          </w:tcPr>
          <w:p w:rsidR="0006586C" w:rsidRPr="00525F5F" w:rsidRDefault="0006586C" w:rsidP="00525F5F">
            <w:pPr>
              <w:pStyle w:val="Tabletext"/>
            </w:pPr>
            <w:r w:rsidRPr="00525F5F">
              <w:t>Master</w:t>
            </w:r>
            <w:r w:rsidR="005E2025" w:rsidRPr="00525F5F">
              <w:t>’</w:t>
            </w:r>
            <w:r w:rsidRPr="00525F5F">
              <w:t>s degree (research)</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pPr>
            <w:r>
              <w:tab/>
            </w:r>
            <w:r w:rsidR="0006586C" w:rsidRPr="00525F5F">
              <w:t>1</w:t>
            </w:r>
            <w:r w:rsidR="005E2025" w:rsidRPr="00525F5F">
              <w:t>–2</w:t>
            </w:r>
          </w:p>
        </w:tc>
      </w:tr>
      <w:tr w:rsidR="0006586C" w:rsidRPr="00525F5F" w:rsidTr="00525F5F">
        <w:tc>
          <w:tcPr>
            <w:tcW w:w="842" w:type="dxa"/>
            <w:vMerge w:val="restart"/>
            <w:tcBorders>
              <w:top w:val="nil"/>
              <w:left w:val="nil"/>
              <w:bottom w:val="nil"/>
              <w:right w:val="nil"/>
            </w:tcBorders>
            <w:shd w:val="clear" w:color="auto" w:fill="auto"/>
          </w:tcPr>
          <w:p w:rsidR="0006586C" w:rsidRPr="00525F5F" w:rsidRDefault="0006586C" w:rsidP="00D75EC9">
            <w:pPr>
              <w:pStyle w:val="Tabletext"/>
              <w:spacing w:before="120"/>
            </w:pPr>
            <w:r w:rsidRPr="00525F5F">
              <w:t>8</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Graduate diploma</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06586C" w:rsidRPr="00525F5F">
              <w:t>1</w:t>
            </w:r>
            <w:r w:rsidR="005E2025" w:rsidRPr="00525F5F">
              <w:t>–2</w:t>
            </w:r>
          </w:p>
        </w:tc>
      </w:tr>
      <w:tr w:rsidR="0006586C" w:rsidRPr="00525F5F" w:rsidTr="00525F5F">
        <w:tc>
          <w:tcPr>
            <w:tcW w:w="842" w:type="dxa"/>
            <w:vMerge/>
            <w:tcBorders>
              <w:top w:val="nil"/>
              <w:left w:val="nil"/>
              <w:bottom w:val="nil"/>
              <w:right w:val="nil"/>
            </w:tcBorders>
            <w:shd w:val="clear" w:color="auto" w:fill="auto"/>
          </w:tcPr>
          <w:p w:rsidR="0006586C" w:rsidRPr="00525F5F" w:rsidRDefault="0006586C" w:rsidP="00D75EC9">
            <w:pPr>
              <w:pStyle w:val="Tabletext"/>
              <w:spacing w:before="120"/>
            </w:pPr>
          </w:p>
        </w:tc>
        <w:tc>
          <w:tcPr>
            <w:tcW w:w="3695" w:type="dxa"/>
            <w:tcBorders>
              <w:top w:val="nil"/>
              <w:left w:val="nil"/>
              <w:bottom w:val="nil"/>
              <w:right w:val="nil"/>
            </w:tcBorders>
            <w:shd w:val="clear" w:color="auto" w:fill="auto"/>
          </w:tcPr>
          <w:p w:rsidR="0006586C" w:rsidRPr="00525F5F" w:rsidRDefault="0006586C" w:rsidP="00525F5F">
            <w:pPr>
              <w:pStyle w:val="Tabletext"/>
            </w:pPr>
            <w:r w:rsidRPr="00525F5F">
              <w:t>Graduate certificate</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pPr>
            <w:r>
              <w:tab/>
            </w:r>
            <w:r w:rsidR="0006586C" w:rsidRPr="00525F5F">
              <w:t>0.5</w:t>
            </w:r>
            <w:r w:rsidR="005E2025" w:rsidRPr="00525F5F">
              <w:t>–1</w:t>
            </w:r>
          </w:p>
        </w:tc>
      </w:tr>
      <w:tr w:rsidR="0006586C" w:rsidRPr="00525F5F" w:rsidTr="00525F5F">
        <w:tc>
          <w:tcPr>
            <w:tcW w:w="842" w:type="dxa"/>
            <w:vMerge/>
            <w:tcBorders>
              <w:top w:val="nil"/>
              <w:left w:val="nil"/>
              <w:bottom w:val="nil"/>
              <w:right w:val="nil"/>
            </w:tcBorders>
            <w:shd w:val="clear" w:color="auto" w:fill="auto"/>
          </w:tcPr>
          <w:p w:rsidR="0006586C" w:rsidRPr="00525F5F" w:rsidRDefault="0006586C" w:rsidP="00D75EC9">
            <w:pPr>
              <w:pStyle w:val="Tabletext"/>
              <w:spacing w:before="120"/>
            </w:pPr>
          </w:p>
        </w:tc>
        <w:tc>
          <w:tcPr>
            <w:tcW w:w="3695" w:type="dxa"/>
            <w:tcBorders>
              <w:top w:val="nil"/>
              <w:left w:val="nil"/>
              <w:bottom w:val="nil"/>
              <w:right w:val="nil"/>
            </w:tcBorders>
            <w:shd w:val="clear" w:color="auto" w:fill="auto"/>
          </w:tcPr>
          <w:p w:rsidR="0006586C" w:rsidRPr="00525F5F" w:rsidRDefault="0006586C" w:rsidP="00525F5F">
            <w:pPr>
              <w:pStyle w:val="Tabletext"/>
            </w:pPr>
            <w:r w:rsidRPr="00525F5F">
              <w:t>Bachelor honours degree</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pPr>
            <w:r>
              <w:tab/>
            </w:r>
            <w:r w:rsidR="005E2025" w:rsidRPr="00525F5F">
              <w:t>1</w:t>
            </w:r>
          </w:p>
        </w:tc>
      </w:tr>
      <w:tr w:rsidR="0006586C" w:rsidRPr="00525F5F" w:rsidTr="00525F5F">
        <w:tc>
          <w:tcPr>
            <w:tcW w:w="842" w:type="dxa"/>
            <w:tcBorders>
              <w:top w:val="nil"/>
              <w:left w:val="nil"/>
              <w:bottom w:val="nil"/>
              <w:right w:val="nil"/>
            </w:tcBorders>
            <w:shd w:val="clear" w:color="auto" w:fill="auto"/>
          </w:tcPr>
          <w:p w:rsidR="0006586C" w:rsidRPr="00525F5F" w:rsidRDefault="0006586C" w:rsidP="00D75EC9">
            <w:pPr>
              <w:pStyle w:val="Tabletext"/>
              <w:spacing w:before="120"/>
            </w:pPr>
            <w:r w:rsidRPr="00525F5F">
              <w:t>7</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Bachelor degree</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06586C" w:rsidRPr="00525F5F">
              <w:t>3</w:t>
            </w:r>
            <w:r w:rsidR="005E2025" w:rsidRPr="00525F5F">
              <w:t>–4</w:t>
            </w:r>
          </w:p>
        </w:tc>
      </w:tr>
      <w:tr w:rsidR="0006586C" w:rsidRPr="00525F5F" w:rsidTr="00525F5F">
        <w:tc>
          <w:tcPr>
            <w:tcW w:w="842" w:type="dxa"/>
            <w:vMerge w:val="restart"/>
            <w:tcBorders>
              <w:top w:val="nil"/>
              <w:left w:val="nil"/>
              <w:bottom w:val="nil"/>
              <w:right w:val="nil"/>
            </w:tcBorders>
            <w:shd w:val="clear" w:color="auto" w:fill="auto"/>
          </w:tcPr>
          <w:p w:rsidR="0006586C" w:rsidRPr="00525F5F" w:rsidRDefault="0006586C" w:rsidP="00D75EC9">
            <w:pPr>
              <w:pStyle w:val="Tabletext"/>
              <w:spacing w:before="120"/>
            </w:pPr>
            <w:r w:rsidRPr="00525F5F">
              <w:t>6</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Associate degree</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5E2025" w:rsidRPr="00525F5F">
              <w:t>2</w:t>
            </w:r>
          </w:p>
        </w:tc>
      </w:tr>
      <w:tr w:rsidR="0006586C" w:rsidRPr="00525F5F" w:rsidTr="00525F5F">
        <w:tc>
          <w:tcPr>
            <w:tcW w:w="842" w:type="dxa"/>
            <w:vMerge/>
            <w:tcBorders>
              <w:top w:val="nil"/>
              <w:left w:val="nil"/>
              <w:bottom w:val="nil"/>
              <w:right w:val="nil"/>
            </w:tcBorders>
            <w:shd w:val="clear" w:color="auto" w:fill="auto"/>
          </w:tcPr>
          <w:p w:rsidR="0006586C" w:rsidRPr="00525F5F" w:rsidRDefault="0006586C" w:rsidP="00D75EC9">
            <w:pPr>
              <w:pStyle w:val="Tabletext"/>
              <w:spacing w:before="120"/>
            </w:pPr>
          </w:p>
        </w:tc>
        <w:tc>
          <w:tcPr>
            <w:tcW w:w="3695" w:type="dxa"/>
            <w:tcBorders>
              <w:top w:val="nil"/>
              <w:left w:val="nil"/>
              <w:bottom w:val="nil"/>
              <w:right w:val="nil"/>
            </w:tcBorders>
            <w:shd w:val="clear" w:color="auto" w:fill="auto"/>
          </w:tcPr>
          <w:p w:rsidR="0006586C" w:rsidRPr="00525F5F" w:rsidRDefault="0006586C" w:rsidP="00525F5F">
            <w:pPr>
              <w:pStyle w:val="Tabletext"/>
            </w:pPr>
            <w:r w:rsidRPr="00525F5F">
              <w:t>Advanced diploma</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pPr>
            <w:r>
              <w:tab/>
            </w:r>
            <w:r w:rsidR="0006586C" w:rsidRPr="00525F5F">
              <w:t>1.5</w:t>
            </w:r>
            <w:r w:rsidR="005E2025" w:rsidRPr="00525F5F">
              <w:t>–</w:t>
            </w:r>
            <w:r w:rsidR="0006586C" w:rsidRPr="00525F5F">
              <w:t>2</w:t>
            </w:r>
          </w:p>
        </w:tc>
      </w:tr>
      <w:tr w:rsidR="0006586C" w:rsidRPr="00525F5F" w:rsidTr="00525F5F">
        <w:tc>
          <w:tcPr>
            <w:tcW w:w="842" w:type="dxa"/>
            <w:tcBorders>
              <w:top w:val="nil"/>
              <w:left w:val="nil"/>
              <w:bottom w:val="nil"/>
              <w:right w:val="nil"/>
            </w:tcBorders>
            <w:shd w:val="clear" w:color="auto" w:fill="auto"/>
          </w:tcPr>
          <w:p w:rsidR="0006586C" w:rsidRPr="00525F5F" w:rsidRDefault="0006586C" w:rsidP="00D75EC9">
            <w:pPr>
              <w:pStyle w:val="Tabletext"/>
              <w:spacing w:before="120"/>
            </w:pPr>
            <w:r w:rsidRPr="00525F5F">
              <w:t>5</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Diploma</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06586C" w:rsidRPr="00525F5F">
              <w:t>1</w:t>
            </w:r>
            <w:r w:rsidR="005E2025" w:rsidRPr="00525F5F">
              <w:t>–</w:t>
            </w:r>
            <w:r w:rsidR="0006586C" w:rsidRPr="00525F5F">
              <w:t>2</w:t>
            </w:r>
          </w:p>
        </w:tc>
      </w:tr>
      <w:tr w:rsidR="0006586C" w:rsidRPr="00525F5F" w:rsidTr="00525F5F">
        <w:tc>
          <w:tcPr>
            <w:tcW w:w="842" w:type="dxa"/>
            <w:tcBorders>
              <w:top w:val="nil"/>
              <w:left w:val="nil"/>
              <w:bottom w:val="nil"/>
              <w:right w:val="nil"/>
            </w:tcBorders>
            <w:shd w:val="clear" w:color="auto" w:fill="auto"/>
          </w:tcPr>
          <w:p w:rsidR="0006586C" w:rsidRPr="00525F5F" w:rsidRDefault="0006586C" w:rsidP="00D75EC9">
            <w:pPr>
              <w:pStyle w:val="Tabletext"/>
              <w:spacing w:before="120"/>
            </w:pPr>
            <w:r w:rsidRPr="00525F5F">
              <w:t>4</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Certificate IV</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06586C" w:rsidRPr="00525F5F">
              <w:t>0.5</w:t>
            </w:r>
            <w:r w:rsidR="005E2025" w:rsidRPr="00525F5F">
              <w:t>–</w:t>
            </w:r>
            <w:r w:rsidR="0006586C" w:rsidRPr="00525F5F">
              <w:t>2</w:t>
            </w:r>
          </w:p>
        </w:tc>
      </w:tr>
      <w:tr w:rsidR="0006586C" w:rsidRPr="00525F5F" w:rsidTr="00525F5F">
        <w:tc>
          <w:tcPr>
            <w:tcW w:w="842" w:type="dxa"/>
            <w:tcBorders>
              <w:top w:val="nil"/>
              <w:left w:val="nil"/>
              <w:bottom w:val="nil"/>
              <w:right w:val="nil"/>
            </w:tcBorders>
            <w:shd w:val="clear" w:color="auto" w:fill="auto"/>
          </w:tcPr>
          <w:p w:rsidR="0006586C" w:rsidRPr="00525F5F" w:rsidRDefault="0006586C" w:rsidP="00D75EC9">
            <w:pPr>
              <w:pStyle w:val="Tabletext"/>
              <w:spacing w:before="120"/>
            </w:pPr>
            <w:r w:rsidRPr="00525F5F">
              <w:t>3</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Certificate III</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06586C" w:rsidRPr="00525F5F">
              <w:t>1</w:t>
            </w:r>
            <w:r w:rsidR="005E2025" w:rsidRPr="00525F5F">
              <w:t>–</w:t>
            </w:r>
            <w:r w:rsidR="0006586C" w:rsidRPr="00525F5F">
              <w:t>2</w:t>
            </w:r>
          </w:p>
        </w:tc>
      </w:tr>
      <w:tr w:rsidR="0006586C" w:rsidRPr="00525F5F" w:rsidTr="00525F5F">
        <w:tc>
          <w:tcPr>
            <w:tcW w:w="842" w:type="dxa"/>
            <w:tcBorders>
              <w:top w:val="nil"/>
              <w:left w:val="nil"/>
              <w:bottom w:val="nil"/>
              <w:right w:val="nil"/>
            </w:tcBorders>
            <w:shd w:val="clear" w:color="auto" w:fill="auto"/>
          </w:tcPr>
          <w:p w:rsidR="0006586C" w:rsidRPr="00525F5F" w:rsidRDefault="0006586C" w:rsidP="00D75EC9">
            <w:pPr>
              <w:pStyle w:val="Tabletext"/>
              <w:spacing w:before="120"/>
            </w:pPr>
            <w:r w:rsidRPr="00525F5F">
              <w:t>2</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Certificate II</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06586C" w:rsidRPr="008166A5">
              <w:t>0.5</w:t>
            </w:r>
            <w:r w:rsidR="005E2025" w:rsidRPr="008166A5">
              <w:t>–</w:t>
            </w:r>
            <w:r w:rsidR="00D9570E" w:rsidRPr="008166A5">
              <w:t>1</w:t>
            </w:r>
          </w:p>
        </w:tc>
      </w:tr>
      <w:tr w:rsidR="0006586C" w:rsidRPr="00525F5F" w:rsidTr="00525F5F">
        <w:tc>
          <w:tcPr>
            <w:tcW w:w="842" w:type="dxa"/>
            <w:tcBorders>
              <w:top w:val="nil"/>
              <w:left w:val="nil"/>
              <w:bottom w:val="nil"/>
              <w:right w:val="nil"/>
            </w:tcBorders>
            <w:shd w:val="clear" w:color="auto" w:fill="auto"/>
          </w:tcPr>
          <w:p w:rsidR="0006586C" w:rsidRPr="00525F5F" w:rsidRDefault="0006586C" w:rsidP="00D75EC9">
            <w:pPr>
              <w:pStyle w:val="Tabletext"/>
              <w:spacing w:before="120"/>
            </w:pPr>
            <w:r w:rsidRPr="00525F5F">
              <w:t>1</w:t>
            </w:r>
          </w:p>
        </w:tc>
        <w:tc>
          <w:tcPr>
            <w:tcW w:w="3695" w:type="dxa"/>
            <w:tcBorders>
              <w:top w:val="nil"/>
              <w:left w:val="nil"/>
              <w:bottom w:val="nil"/>
              <w:right w:val="nil"/>
            </w:tcBorders>
            <w:shd w:val="clear" w:color="auto" w:fill="auto"/>
          </w:tcPr>
          <w:p w:rsidR="0006586C" w:rsidRPr="00525F5F" w:rsidRDefault="0006586C" w:rsidP="00D75EC9">
            <w:pPr>
              <w:pStyle w:val="Tabletext"/>
              <w:spacing w:before="120"/>
            </w:pPr>
            <w:r w:rsidRPr="00525F5F">
              <w:t>Certificate I</w:t>
            </w:r>
          </w:p>
        </w:tc>
        <w:tc>
          <w:tcPr>
            <w:tcW w:w="1842" w:type="dxa"/>
            <w:tcBorders>
              <w:top w:val="nil"/>
              <w:left w:val="nil"/>
              <w:bottom w:val="nil"/>
              <w:right w:val="nil"/>
            </w:tcBorders>
            <w:shd w:val="clear" w:color="auto" w:fill="auto"/>
          </w:tcPr>
          <w:p w:rsidR="0006586C" w:rsidRPr="00525F5F" w:rsidRDefault="00D96997" w:rsidP="00D9570E">
            <w:pPr>
              <w:pStyle w:val="Tabletext"/>
              <w:tabs>
                <w:tab w:val="right" w:pos="936"/>
              </w:tabs>
              <w:spacing w:before="120"/>
            </w:pPr>
            <w:r>
              <w:tab/>
            </w:r>
            <w:r w:rsidR="0006586C" w:rsidRPr="00525F5F">
              <w:t>0.5</w:t>
            </w:r>
            <w:r w:rsidR="005E2025" w:rsidRPr="00525F5F">
              <w:t>–</w:t>
            </w:r>
            <w:r w:rsidR="0006586C" w:rsidRPr="00525F5F">
              <w:t>1</w:t>
            </w:r>
          </w:p>
        </w:tc>
      </w:tr>
      <w:tr w:rsidR="0006586C" w:rsidRPr="00525F5F" w:rsidTr="00525F5F">
        <w:tc>
          <w:tcPr>
            <w:tcW w:w="842" w:type="dxa"/>
            <w:tcBorders>
              <w:top w:val="nil"/>
              <w:left w:val="nil"/>
              <w:bottom w:val="single" w:sz="4" w:space="0" w:color="auto"/>
              <w:right w:val="nil"/>
            </w:tcBorders>
            <w:shd w:val="clear" w:color="auto" w:fill="auto"/>
          </w:tcPr>
          <w:p w:rsidR="0006586C" w:rsidRPr="00525F5F" w:rsidRDefault="0006586C" w:rsidP="00525F5F">
            <w:pPr>
              <w:pStyle w:val="Tabletext"/>
            </w:pPr>
          </w:p>
        </w:tc>
        <w:tc>
          <w:tcPr>
            <w:tcW w:w="3695" w:type="dxa"/>
            <w:tcBorders>
              <w:top w:val="nil"/>
              <w:left w:val="nil"/>
              <w:bottom w:val="single" w:sz="4" w:space="0" w:color="auto"/>
              <w:right w:val="nil"/>
            </w:tcBorders>
            <w:shd w:val="clear" w:color="auto" w:fill="auto"/>
          </w:tcPr>
          <w:p w:rsidR="0006586C" w:rsidRPr="00525F5F" w:rsidRDefault="0006586C" w:rsidP="00525F5F">
            <w:pPr>
              <w:pStyle w:val="Tabletext"/>
            </w:pPr>
            <w:r w:rsidRPr="00525F5F">
              <w:t>Senior secondary certificate of education</w:t>
            </w:r>
          </w:p>
        </w:tc>
        <w:tc>
          <w:tcPr>
            <w:tcW w:w="1842" w:type="dxa"/>
            <w:tcBorders>
              <w:top w:val="nil"/>
              <w:left w:val="nil"/>
              <w:bottom w:val="single" w:sz="4" w:space="0" w:color="auto"/>
              <w:right w:val="nil"/>
            </w:tcBorders>
            <w:shd w:val="clear" w:color="auto" w:fill="auto"/>
          </w:tcPr>
          <w:p w:rsidR="0006586C" w:rsidRPr="00525F5F" w:rsidRDefault="00D96997" w:rsidP="00D9570E">
            <w:pPr>
              <w:pStyle w:val="Tabletext"/>
              <w:tabs>
                <w:tab w:val="right" w:pos="936"/>
              </w:tabs>
            </w:pPr>
            <w:r>
              <w:tab/>
            </w:r>
            <w:r w:rsidR="0006586C" w:rsidRPr="00525F5F">
              <w:t>2</w:t>
            </w:r>
          </w:p>
        </w:tc>
      </w:tr>
    </w:tbl>
    <w:p w:rsidR="00055403" w:rsidRDefault="0006586C" w:rsidP="00525F5F">
      <w:pPr>
        <w:pStyle w:val="Source"/>
      </w:pPr>
      <w:r>
        <w:t>Source:</w:t>
      </w:r>
      <w:r w:rsidR="00525F5F">
        <w:tab/>
        <w:t xml:space="preserve">Adapted </w:t>
      </w:r>
      <w:r>
        <w:t>from Australian Qualifi</w:t>
      </w:r>
      <w:r w:rsidR="00B428B2">
        <w:t>cations Framework Council (2011, pp.7–10; 2012).</w:t>
      </w:r>
      <w:r>
        <w:t xml:space="preserve"> </w:t>
      </w:r>
    </w:p>
    <w:p w:rsidR="000E1D98" w:rsidRDefault="00B428B2" w:rsidP="00D75EC9">
      <w:pPr>
        <w:pStyle w:val="Textmorebefore"/>
      </w:pPr>
      <w:r>
        <w:t>The team identified as mid-</w:t>
      </w:r>
      <w:r w:rsidR="000E1D98">
        <w:t xml:space="preserve">level qualifications </w:t>
      </w:r>
      <w:r w:rsidR="000E1D98" w:rsidRPr="002419A4">
        <w:t>diplomas</w:t>
      </w:r>
      <w:r w:rsidR="000E1D98">
        <w:t xml:space="preserve"> at AQF</w:t>
      </w:r>
      <w:r w:rsidR="000E1D98" w:rsidRPr="002419A4">
        <w:t xml:space="preserve"> level 5</w:t>
      </w:r>
      <w:r w:rsidR="000E1D98">
        <w:t xml:space="preserve"> </w:t>
      </w:r>
      <w:r w:rsidR="000E1D98" w:rsidRPr="002419A4">
        <w:t xml:space="preserve">and advanced diplomas and associate degrees </w:t>
      </w:r>
      <w:r w:rsidR="000E1D98">
        <w:t>at AQF 6</w:t>
      </w:r>
      <w:r w:rsidR="000E1D98" w:rsidRPr="002419A4">
        <w:t>.</w:t>
      </w:r>
      <w:r w:rsidR="000E1D98">
        <w:t xml:space="preserve"> However, because</w:t>
      </w:r>
      <w:r w:rsidR="000E1D98" w:rsidRPr="000E1D98">
        <w:t xml:space="preserve"> the study </w:t>
      </w:r>
      <w:r>
        <w:t>is considering</w:t>
      </w:r>
      <w:r w:rsidR="000E1D98" w:rsidRPr="000E1D98">
        <w:t xml:space="preserve"> the role of qualifications in the workforce</w:t>
      </w:r>
      <w:r w:rsidR="00B32FC6">
        <w:t>,</w:t>
      </w:r>
      <w:r w:rsidR="000E1D98" w:rsidRPr="000E1D98">
        <w:t xml:space="preserve"> its organising conc</w:t>
      </w:r>
      <w:r w:rsidR="00B32FC6">
        <w:t>epts are those of the workforce,</w:t>
      </w:r>
      <w:r w:rsidR="000E1D98" w:rsidRPr="000E1D98">
        <w:t xml:space="preserve"> not educational qualifications and structures. </w:t>
      </w:r>
      <w:r w:rsidR="00B32FC6">
        <w:t>The</w:t>
      </w:r>
      <w:r w:rsidR="000E1D98" w:rsidRPr="000E1D98">
        <w:t xml:space="preserve"> study</w:t>
      </w:r>
      <w:r w:rsidR="00B32FC6">
        <w:t xml:space="preserve"> so far has</w:t>
      </w:r>
      <w:r w:rsidR="000E1D98" w:rsidRPr="000E1D98">
        <w:t xml:space="preserve"> found no general direct relation between work and education, </w:t>
      </w:r>
      <w:r w:rsidR="00B32FC6">
        <w:t xml:space="preserve">meaning that </w:t>
      </w:r>
      <w:r w:rsidR="000E1D98" w:rsidRPr="000E1D98">
        <w:t xml:space="preserve">different qualifications have different and often broad roles in different industries. A role that is served by a qualification at one level in a </w:t>
      </w:r>
      <w:r w:rsidR="00C12313">
        <w:t xml:space="preserve">particular </w:t>
      </w:r>
      <w:r w:rsidR="000E1D98" w:rsidRPr="000E1D98">
        <w:t>field is served by a qualification at another level in a different field.</w:t>
      </w:r>
      <w:r w:rsidR="000E1D98">
        <w:t xml:space="preserve"> T</w:t>
      </w:r>
      <w:r w:rsidR="000E1D98" w:rsidRPr="000E1D98">
        <w:t>he blurring of the boundary between vocational and higher education seems to reflect changes in the construction of work and occupations. Industries are changing in different ways at different speeds</w:t>
      </w:r>
      <w:r>
        <w:t>,</w:t>
      </w:r>
      <w:r w:rsidR="000E1D98" w:rsidRPr="000E1D98">
        <w:t xml:space="preserve"> having started from different points. This introduces a</w:t>
      </w:r>
      <w:r w:rsidR="000E1D98">
        <w:t>n unavoidable</w:t>
      </w:r>
      <w:r w:rsidR="000E1D98" w:rsidRPr="000E1D98">
        <w:t xml:space="preserve"> breadth and perhaps an imprecision to the identi</w:t>
      </w:r>
      <w:r>
        <w:t>fication of mid-</w:t>
      </w:r>
      <w:r w:rsidR="000E1D98" w:rsidRPr="000E1D98">
        <w:t>level qualifications.</w:t>
      </w:r>
      <w:r w:rsidR="000E1D98">
        <w:t xml:space="preserve"> </w:t>
      </w:r>
      <w:r w:rsidR="000E1D98" w:rsidRPr="000E1D98">
        <w:t xml:space="preserve">It was therefore necessary to investigate a range of qualifications to observe changes over time. </w:t>
      </w:r>
    </w:p>
    <w:p w:rsidR="008C2340" w:rsidRDefault="00895B2E" w:rsidP="00895B2E">
      <w:pPr>
        <w:pStyle w:val="Text"/>
      </w:pPr>
      <w:r>
        <w:t xml:space="preserve">In a previous </w:t>
      </w:r>
      <w:r w:rsidR="004B0CC0">
        <w:t>technical paper</w:t>
      </w:r>
      <w:r>
        <w:t xml:space="preserve"> (</w:t>
      </w:r>
      <w:proofErr w:type="spellStart"/>
      <w:r>
        <w:t>Moodie</w:t>
      </w:r>
      <w:proofErr w:type="spellEnd"/>
      <w:r>
        <w:t xml:space="preserve"> </w:t>
      </w:r>
      <w:r w:rsidR="00B428B2">
        <w:t xml:space="preserve">&amp; </w:t>
      </w:r>
      <w:proofErr w:type="spellStart"/>
      <w:r w:rsidR="00B428B2">
        <w:t>Fredman</w:t>
      </w:r>
      <w:proofErr w:type="spellEnd"/>
      <w:r>
        <w:t xml:space="preserve"> </w:t>
      </w:r>
      <w:r w:rsidR="004B0CC0">
        <w:t>2013</w:t>
      </w:r>
      <w:r w:rsidR="00B428B2">
        <w:t>) we examined whether mid-</w:t>
      </w:r>
      <w:r>
        <w:t xml:space="preserve">level qualifications are losing </w:t>
      </w:r>
      <w:r w:rsidR="0074421E">
        <w:t xml:space="preserve">their share of </w:t>
      </w:r>
      <w:r w:rsidR="00BB5825">
        <w:t>student load</w:t>
      </w:r>
      <w:r>
        <w:t xml:space="preserve"> to qualifications at other levels, particularly baccalaureates. We examined student load </w:t>
      </w:r>
      <w:r w:rsidR="002541CB">
        <w:t xml:space="preserve">from 2002 to 2011 </w:t>
      </w:r>
      <w:r>
        <w:t>in AQF 4 (certificates IV), AQF 5 (diplomas), AQF 6 (advanced diplomas and associate degrees) and AQF 7 (bachelor</w:t>
      </w:r>
      <w:r w:rsidR="007F0717">
        <w:t>’</w:t>
      </w:r>
      <w:r>
        <w:t>s</w:t>
      </w:r>
      <w:r w:rsidR="007B6352">
        <w:t xml:space="preserve"> degree</w:t>
      </w:r>
      <w:r>
        <w:t xml:space="preserve">). </w:t>
      </w:r>
      <w:r w:rsidR="008C2340">
        <w:t xml:space="preserve">The key results for </w:t>
      </w:r>
      <w:r w:rsidR="0059585E">
        <w:t xml:space="preserve">the purposes of </w:t>
      </w:r>
      <w:r w:rsidR="008C2340">
        <w:t>this report are set</w:t>
      </w:r>
      <w:r w:rsidR="00B428B2">
        <w:t xml:space="preserve"> out in t</w:t>
      </w:r>
      <w:r w:rsidR="0006586C">
        <w:t>able 2</w:t>
      </w:r>
      <w:r w:rsidR="008C2340">
        <w:t xml:space="preserve">. The first column shows each qualification’s share of student load </w:t>
      </w:r>
      <w:r w:rsidR="0059585E">
        <w:t xml:space="preserve">in </w:t>
      </w:r>
      <w:r w:rsidR="00773B4B">
        <w:t xml:space="preserve">the </w:t>
      </w:r>
      <w:r w:rsidR="0059585E">
        <w:t xml:space="preserve">qualifications in </w:t>
      </w:r>
      <w:r w:rsidR="008C2340">
        <w:t>2011</w:t>
      </w:r>
      <w:r w:rsidR="00B428B2">
        <w:t xml:space="preserve"> —</w:t>
      </w:r>
      <w:r w:rsidR="008F663B">
        <w:t xml:space="preserve"> how important </w:t>
      </w:r>
      <w:r w:rsidR="0059585E">
        <w:t xml:space="preserve">each qualification was </w:t>
      </w:r>
      <w:r w:rsidR="008F663B">
        <w:t>in 2011</w:t>
      </w:r>
      <w:r w:rsidR="008C2340">
        <w:t xml:space="preserve">. Column two shows the </w:t>
      </w:r>
      <w:r w:rsidR="008F663B">
        <w:t xml:space="preserve">percentage change in each qualification’s </w:t>
      </w:r>
      <w:r w:rsidR="00337DB3">
        <w:t>student load from 2002 to 2011 —</w:t>
      </w:r>
      <w:r w:rsidR="008F663B">
        <w:t xml:space="preserve"> how much their current importance was the result of changes over the last decade. The third column shows by how much </w:t>
      </w:r>
      <w:r w:rsidR="00066C58">
        <w:t xml:space="preserve">each </w:t>
      </w:r>
      <w:r w:rsidR="008F663B">
        <w:t xml:space="preserve">qualification changed </w:t>
      </w:r>
      <w:r w:rsidR="00066C58">
        <w:t xml:space="preserve">its </w:t>
      </w:r>
      <w:r w:rsidR="008F663B">
        <w:t xml:space="preserve">share of student load </w:t>
      </w:r>
      <w:r w:rsidR="00066C58">
        <w:t xml:space="preserve">in </w:t>
      </w:r>
      <w:r w:rsidR="00773B4B">
        <w:t xml:space="preserve">the </w:t>
      </w:r>
      <w:r w:rsidR="00066C58">
        <w:t xml:space="preserve">qualifications </w:t>
      </w:r>
      <w:r w:rsidR="008F663B">
        <w:t>from 2002 to 2011.</w:t>
      </w:r>
    </w:p>
    <w:p w:rsidR="00C9327C" w:rsidRDefault="008F663B" w:rsidP="00895B2E">
      <w:pPr>
        <w:pStyle w:val="Text"/>
      </w:pPr>
      <w:r w:rsidRPr="007051BF">
        <w:t>We note that</w:t>
      </w:r>
      <w:r w:rsidR="00337DB3" w:rsidRPr="007051BF">
        <w:t>,</w:t>
      </w:r>
      <w:r w:rsidRPr="007051BF">
        <w:t xml:space="preserve"> while bachelors had a high 58.5% </w:t>
      </w:r>
      <w:r w:rsidR="007051BF">
        <w:t xml:space="preserve">share </w:t>
      </w:r>
      <w:r w:rsidRPr="007051BF">
        <w:t xml:space="preserve">of </w:t>
      </w:r>
      <w:r w:rsidR="00773B4B" w:rsidRPr="007051BF">
        <w:t xml:space="preserve">the </w:t>
      </w:r>
      <w:r w:rsidR="007051BF">
        <w:t xml:space="preserve">load of all mid-level </w:t>
      </w:r>
      <w:r w:rsidRPr="007051BF">
        <w:t>qualifications</w:t>
      </w:r>
      <w:r w:rsidR="00066C58" w:rsidRPr="007051BF">
        <w:t xml:space="preserve"> </w:t>
      </w:r>
      <w:r w:rsidRPr="007051BF">
        <w:t xml:space="preserve">in 2011 and that bachelors’ student load had increased by 34% from 2002 to 2011, bachelors’ share of </w:t>
      </w:r>
      <w:r w:rsidR="007051BF">
        <w:t xml:space="preserve">mid-level student load fell by </w:t>
      </w:r>
      <w:r w:rsidRPr="007051BF">
        <w:t xml:space="preserve">4.5% from 2002 to 2011. </w:t>
      </w:r>
      <w:r>
        <w:t xml:space="preserve">Vocational diplomas and advanced diplomas </w:t>
      </w:r>
      <w:r>
        <w:lastRenderedPageBreak/>
        <w:t xml:space="preserve">together were 13.6% of student load in 2011, their combined load increased by 49% from 2002 to 2011 and their share of </w:t>
      </w:r>
      <w:r w:rsidR="00773B4B">
        <w:t xml:space="preserve">the </w:t>
      </w:r>
      <w:r w:rsidR="00C9327C">
        <w:t xml:space="preserve">qualifications’ load increased </w:t>
      </w:r>
      <w:r w:rsidR="00AE5C28">
        <w:t xml:space="preserve">marginally </w:t>
      </w:r>
      <w:r w:rsidR="00C9327C">
        <w:t xml:space="preserve">by 0.4% from 2002 to 2011. </w:t>
      </w:r>
      <w:r w:rsidR="00337DB3">
        <w:t>Higher education sub-</w:t>
      </w:r>
      <w:r w:rsidR="006A66FE">
        <w:t>degree qualifications</w:t>
      </w:r>
      <w:r w:rsidR="00337DB3">
        <w:t>,</w:t>
      </w:r>
      <w:r w:rsidR="006A66FE">
        <w:t xml:space="preserve"> which include higher education diplomas and associate degrees</w:t>
      </w:r>
      <w:r w:rsidR="00337DB3">
        <w:t>,</w:t>
      </w:r>
      <w:r w:rsidR="006A66FE">
        <w:t xml:space="preserve"> increased their </w:t>
      </w:r>
      <w:r w:rsidR="00E40D97">
        <w:t>share of</w:t>
      </w:r>
      <w:r w:rsidR="00337DB3">
        <w:t xml:space="preserve"> the</w:t>
      </w:r>
      <w:r w:rsidR="00E40D97">
        <w:t xml:space="preserve"> </w:t>
      </w:r>
      <w:r w:rsidR="006A66FE">
        <w:t>load by</w:t>
      </w:r>
      <w:r w:rsidR="00E40D97">
        <w:t xml:space="preserve"> 1.4%</w:t>
      </w:r>
      <w:r w:rsidR="00066C58">
        <w:t xml:space="preserve">. The biggest increase in share of </w:t>
      </w:r>
      <w:r w:rsidR="00773B4B">
        <w:t xml:space="preserve">the </w:t>
      </w:r>
      <w:r w:rsidR="00066C58">
        <w:t xml:space="preserve">qualifications’ student load was in certificates IV, which increased their share by 2.4% from 2002 to 2011 </w:t>
      </w:r>
      <w:r w:rsidR="00337DB3">
        <w:t>(t</w:t>
      </w:r>
      <w:r w:rsidR="00BB5825">
        <w:t xml:space="preserve">able </w:t>
      </w:r>
      <w:r w:rsidR="00677A50">
        <w:t>2</w:t>
      </w:r>
      <w:r w:rsidR="00BB5825">
        <w:t>)</w:t>
      </w:r>
      <w:r w:rsidR="00895B2E">
        <w:t xml:space="preserve">. </w:t>
      </w:r>
    </w:p>
    <w:p w:rsidR="00490036" w:rsidRDefault="00490036" w:rsidP="00490036">
      <w:pPr>
        <w:pStyle w:val="tabletitle"/>
      </w:pPr>
      <w:bookmarkStart w:id="38" w:name="_Toc369273528"/>
      <w:r>
        <w:t>Tabl</w:t>
      </w:r>
      <w:r w:rsidR="00337DB3">
        <w:t>e 2</w:t>
      </w:r>
      <w:r w:rsidR="00525F5F">
        <w:tab/>
      </w:r>
      <w:r>
        <w:t xml:space="preserve">Changes in qualifications’ </w:t>
      </w:r>
      <w:r w:rsidR="00337DB3">
        <w:t>share of student load, 2002–</w:t>
      </w:r>
      <w:r>
        <w:t>11, %</w:t>
      </w:r>
      <w:bookmarkEnd w:id="38"/>
    </w:p>
    <w:tbl>
      <w:tblPr>
        <w:tblW w:w="8789" w:type="dxa"/>
        <w:tblInd w:w="108" w:type="dxa"/>
        <w:tblBorders>
          <w:top w:val="single" w:sz="4" w:space="0" w:color="auto"/>
          <w:bottom w:val="single" w:sz="4" w:space="0" w:color="auto"/>
        </w:tblBorders>
        <w:tblLayout w:type="fixed"/>
        <w:tblLook w:val="01E0" w:firstRow="1" w:lastRow="1" w:firstColumn="1" w:lastColumn="1" w:noHBand="0" w:noVBand="0"/>
      </w:tblPr>
      <w:tblGrid>
        <w:gridCol w:w="2694"/>
        <w:gridCol w:w="2031"/>
        <w:gridCol w:w="2032"/>
        <w:gridCol w:w="2032"/>
      </w:tblGrid>
      <w:tr w:rsidR="00490036" w:rsidRPr="00D75EC9" w:rsidTr="00D75EC9">
        <w:tc>
          <w:tcPr>
            <w:tcW w:w="2694" w:type="dxa"/>
            <w:tcBorders>
              <w:top w:val="single" w:sz="4" w:space="0" w:color="auto"/>
              <w:bottom w:val="single" w:sz="4" w:space="0" w:color="auto"/>
            </w:tcBorders>
            <w:shd w:val="clear" w:color="auto" w:fill="auto"/>
          </w:tcPr>
          <w:p w:rsidR="00490036" w:rsidRPr="00D75EC9" w:rsidRDefault="00490036" w:rsidP="00D75EC9">
            <w:pPr>
              <w:pStyle w:val="Tablehead1"/>
            </w:pPr>
            <w:r w:rsidRPr="00D75EC9">
              <w:t>Qualification</w:t>
            </w:r>
          </w:p>
        </w:tc>
        <w:tc>
          <w:tcPr>
            <w:tcW w:w="2031" w:type="dxa"/>
            <w:tcBorders>
              <w:top w:val="single" w:sz="4" w:space="0" w:color="auto"/>
              <w:bottom w:val="single" w:sz="4" w:space="0" w:color="auto"/>
            </w:tcBorders>
            <w:shd w:val="clear" w:color="auto" w:fill="auto"/>
          </w:tcPr>
          <w:p w:rsidR="00490036" w:rsidRPr="00D75EC9" w:rsidRDefault="00490036" w:rsidP="00D75EC9">
            <w:pPr>
              <w:pStyle w:val="Tablehead1"/>
              <w:jc w:val="center"/>
            </w:pPr>
            <w:r w:rsidRPr="00D75EC9">
              <w:t xml:space="preserve">Share of student </w:t>
            </w:r>
            <w:r w:rsidR="00D75EC9">
              <w:br/>
            </w:r>
            <w:r w:rsidRPr="00D75EC9">
              <w:t>load in 2011</w:t>
            </w:r>
          </w:p>
        </w:tc>
        <w:tc>
          <w:tcPr>
            <w:tcW w:w="2032" w:type="dxa"/>
            <w:tcBorders>
              <w:top w:val="single" w:sz="4" w:space="0" w:color="auto"/>
              <w:bottom w:val="single" w:sz="4" w:space="0" w:color="auto"/>
            </w:tcBorders>
            <w:shd w:val="clear" w:color="auto" w:fill="auto"/>
          </w:tcPr>
          <w:p w:rsidR="00490036" w:rsidRPr="00D75EC9" w:rsidRDefault="00337DB3" w:rsidP="00D75EC9">
            <w:pPr>
              <w:pStyle w:val="Tablehead1"/>
              <w:jc w:val="center"/>
            </w:pPr>
            <w:r w:rsidRPr="00D75EC9">
              <w:t>Change in student load 2002–</w:t>
            </w:r>
            <w:r w:rsidR="00490036" w:rsidRPr="00D75EC9">
              <w:t>11</w:t>
            </w:r>
          </w:p>
        </w:tc>
        <w:tc>
          <w:tcPr>
            <w:tcW w:w="2032" w:type="dxa"/>
            <w:tcBorders>
              <w:top w:val="single" w:sz="4" w:space="0" w:color="auto"/>
              <w:bottom w:val="single" w:sz="4" w:space="0" w:color="auto"/>
            </w:tcBorders>
            <w:shd w:val="clear" w:color="auto" w:fill="auto"/>
          </w:tcPr>
          <w:p w:rsidR="00490036" w:rsidRPr="00D75EC9" w:rsidRDefault="00490036" w:rsidP="00D75EC9">
            <w:pPr>
              <w:pStyle w:val="Tablehead1"/>
              <w:jc w:val="center"/>
            </w:pPr>
            <w:r w:rsidRPr="00D75EC9">
              <w:t>Change in share of student load 2002</w:t>
            </w:r>
            <w:r w:rsidR="005E2025" w:rsidRPr="00D75EC9">
              <w:t>–</w:t>
            </w:r>
            <w:r w:rsidRPr="00D75EC9">
              <w:t>11</w:t>
            </w:r>
          </w:p>
        </w:tc>
      </w:tr>
      <w:tr w:rsidR="00490036" w:rsidTr="00D75EC9">
        <w:tc>
          <w:tcPr>
            <w:tcW w:w="2694" w:type="dxa"/>
            <w:tcBorders>
              <w:top w:val="single" w:sz="4" w:space="0" w:color="auto"/>
            </w:tcBorders>
            <w:shd w:val="clear" w:color="auto" w:fill="auto"/>
          </w:tcPr>
          <w:p w:rsidR="00490036" w:rsidRDefault="00490036" w:rsidP="00D75EC9">
            <w:pPr>
              <w:pStyle w:val="Tabletext"/>
            </w:pPr>
            <w:r>
              <w:t>Certificate IV</w:t>
            </w:r>
          </w:p>
        </w:tc>
        <w:tc>
          <w:tcPr>
            <w:tcW w:w="2031" w:type="dxa"/>
            <w:tcBorders>
              <w:top w:val="single" w:sz="4" w:space="0" w:color="auto"/>
            </w:tcBorders>
            <w:shd w:val="clear" w:color="auto" w:fill="auto"/>
          </w:tcPr>
          <w:p w:rsidR="00490036" w:rsidRDefault="00490036" w:rsidP="00D75EC9">
            <w:pPr>
              <w:pStyle w:val="Tabletext"/>
              <w:tabs>
                <w:tab w:val="decimal" w:pos="936"/>
              </w:tabs>
            </w:pPr>
            <w:r>
              <w:t>11.7</w:t>
            </w:r>
          </w:p>
        </w:tc>
        <w:tc>
          <w:tcPr>
            <w:tcW w:w="2032" w:type="dxa"/>
            <w:tcBorders>
              <w:top w:val="single" w:sz="4" w:space="0" w:color="auto"/>
            </w:tcBorders>
            <w:shd w:val="clear" w:color="auto" w:fill="auto"/>
          </w:tcPr>
          <w:p w:rsidR="00490036" w:rsidRDefault="00490036" w:rsidP="00D75EC9">
            <w:pPr>
              <w:pStyle w:val="Tabletext"/>
              <w:tabs>
                <w:tab w:val="decimal" w:pos="992"/>
              </w:tabs>
            </w:pPr>
            <w:r>
              <w:t>83</w:t>
            </w:r>
          </w:p>
        </w:tc>
        <w:tc>
          <w:tcPr>
            <w:tcW w:w="2032" w:type="dxa"/>
            <w:tcBorders>
              <w:top w:val="single" w:sz="4" w:space="0" w:color="auto"/>
            </w:tcBorders>
            <w:shd w:val="clear" w:color="auto" w:fill="auto"/>
          </w:tcPr>
          <w:p w:rsidR="00490036" w:rsidRDefault="00490036" w:rsidP="00D75EC9">
            <w:pPr>
              <w:pStyle w:val="Tabletext"/>
              <w:tabs>
                <w:tab w:val="decimal" w:pos="879"/>
              </w:tabs>
            </w:pPr>
            <w:r>
              <w:t>2.4</w:t>
            </w:r>
          </w:p>
        </w:tc>
      </w:tr>
      <w:tr w:rsidR="00490036" w:rsidTr="00D75EC9">
        <w:tc>
          <w:tcPr>
            <w:tcW w:w="2694" w:type="dxa"/>
            <w:shd w:val="clear" w:color="auto" w:fill="auto"/>
          </w:tcPr>
          <w:p w:rsidR="00490036" w:rsidRDefault="00490036" w:rsidP="00D75EC9">
            <w:pPr>
              <w:pStyle w:val="Tabletext"/>
            </w:pPr>
            <w:r>
              <w:t>VET diploma</w:t>
            </w:r>
          </w:p>
        </w:tc>
        <w:tc>
          <w:tcPr>
            <w:tcW w:w="2031" w:type="dxa"/>
            <w:shd w:val="clear" w:color="auto" w:fill="auto"/>
          </w:tcPr>
          <w:p w:rsidR="00490036" w:rsidRDefault="00490036" w:rsidP="00D75EC9">
            <w:pPr>
              <w:pStyle w:val="Tabletext"/>
              <w:tabs>
                <w:tab w:val="decimal" w:pos="936"/>
              </w:tabs>
            </w:pPr>
            <w:r>
              <w:t>11.3</w:t>
            </w:r>
          </w:p>
        </w:tc>
        <w:tc>
          <w:tcPr>
            <w:tcW w:w="2032" w:type="dxa"/>
            <w:shd w:val="clear" w:color="auto" w:fill="auto"/>
          </w:tcPr>
          <w:p w:rsidR="00490036" w:rsidRDefault="00490036" w:rsidP="00D75EC9">
            <w:pPr>
              <w:pStyle w:val="Tabletext"/>
              <w:tabs>
                <w:tab w:val="decimal" w:pos="992"/>
              </w:tabs>
            </w:pPr>
            <w:r>
              <w:t>68</w:t>
            </w:r>
          </w:p>
        </w:tc>
        <w:tc>
          <w:tcPr>
            <w:tcW w:w="2032" w:type="dxa"/>
            <w:shd w:val="clear" w:color="auto" w:fill="auto"/>
          </w:tcPr>
          <w:p w:rsidR="00490036" w:rsidRDefault="00490036" w:rsidP="00D75EC9">
            <w:pPr>
              <w:pStyle w:val="Tabletext"/>
              <w:tabs>
                <w:tab w:val="decimal" w:pos="879"/>
              </w:tabs>
            </w:pPr>
            <w:r>
              <w:t>1.6</w:t>
            </w:r>
          </w:p>
        </w:tc>
      </w:tr>
      <w:tr w:rsidR="00490036" w:rsidTr="00D75EC9">
        <w:tc>
          <w:tcPr>
            <w:tcW w:w="2694" w:type="dxa"/>
            <w:shd w:val="clear" w:color="auto" w:fill="auto"/>
          </w:tcPr>
          <w:p w:rsidR="00490036" w:rsidRDefault="00490036" w:rsidP="00D75EC9">
            <w:pPr>
              <w:pStyle w:val="Tabletext"/>
            </w:pPr>
            <w:r>
              <w:t>VET advanced diploma</w:t>
            </w:r>
          </w:p>
        </w:tc>
        <w:tc>
          <w:tcPr>
            <w:tcW w:w="2031" w:type="dxa"/>
            <w:shd w:val="clear" w:color="auto" w:fill="auto"/>
          </w:tcPr>
          <w:p w:rsidR="00490036" w:rsidRDefault="00490036" w:rsidP="00D75EC9">
            <w:pPr>
              <w:pStyle w:val="Tabletext"/>
              <w:tabs>
                <w:tab w:val="decimal" w:pos="936"/>
              </w:tabs>
            </w:pPr>
            <w:r>
              <w:t>2.4</w:t>
            </w:r>
          </w:p>
        </w:tc>
        <w:tc>
          <w:tcPr>
            <w:tcW w:w="2032" w:type="dxa"/>
            <w:shd w:val="clear" w:color="auto" w:fill="auto"/>
          </w:tcPr>
          <w:p w:rsidR="00490036" w:rsidRDefault="00490036" w:rsidP="00D75EC9">
            <w:pPr>
              <w:pStyle w:val="Tabletext"/>
              <w:tabs>
                <w:tab w:val="decimal" w:pos="992"/>
              </w:tabs>
            </w:pPr>
            <w:r>
              <w:t>-4</w:t>
            </w:r>
          </w:p>
        </w:tc>
        <w:tc>
          <w:tcPr>
            <w:tcW w:w="2032" w:type="dxa"/>
            <w:shd w:val="clear" w:color="auto" w:fill="auto"/>
          </w:tcPr>
          <w:p w:rsidR="00490036" w:rsidRDefault="00490036" w:rsidP="00D75EC9">
            <w:pPr>
              <w:pStyle w:val="Tabletext"/>
              <w:tabs>
                <w:tab w:val="decimal" w:pos="879"/>
              </w:tabs>
            </w:pPr>
            <w:r>
              <w:t>-1.2</w:t>
            </w:r>
          </w:p>
        </w:tc>
      </w:tr>
      <w:tr w:rsidR="00490036" w:rsidTr="00D75EC9">
        <w:tc>
          <w:tcPr>
            <w:tcW w:w="2694" w:type="dxa"/>
            <w:shd w:val="clear" w:color="auto" w:fill="auto"/>
          </w:tcPr>
          <w:p w:rsidR="00490036" w:rsidRDefault="00490036" w:rsidP="00D75EC9">
            <w:pPr>
              <w:pStyle w:val="Tabletext"/>
            </w:pPr>
            <w:r>
              <w:t>Sub total VET diplomas</w:t>
            </w:r>
          </w:p>
        </w:tc>
        <w:tc>
          <w:tcPr>
            <w:tcW w:w="2031" w:type="dxa"/>
            <w:shd w:val="clear" w:color="auto" w:fill="auto"/>
          </w:tcPr>
          <w:p w:rsidR="00490036" w:rsidRDefault="00490036" w:rsidP="00D75EC9">
            <w:pPr>
              <w:pStyle w:val="Tabletext"/>
              <w:tabs>
                <w:tab w:val="decimal" w:pos="936"/>
              </w:tabs>
            </w:pPr>
            <w:r>
              <w:t>13.6</w:t>
            </w:r>
          </w:p>
        </w:tc>
        <w:tc>
          <w:tcPr>
            <w:tcW w:w="2032" w:type="dxa"/>
            <w:shd w:val="clear" w:color="auto" w:fill="auto"/>
          </w:tcPr>
          <w:p w:rsidR="00490036" w:rsidRDefault="00490036" w:rsidP="00D75EC9">
            <w:pPr>
              <w:pStyle w:val="Tabletext"/>
              <w:tabs>
                <w:tab w:val="decimal" w:pos="992"/>
              </w:tabs>
            </w:pPr>
            <w:r>
              <w:t>49</w:t>
            </w:r>
          </w:p>
        </w:tc>
        <w:tc>
          <w:tcPr>
            <w:tcW w:w="2032" w:type="dxa"/>
            <w:shd w:val="clear" w:color="auto" w:fill="auto"/>
          </w:tcPr>
          <w:p w:rsidR="00490036" w:rsidRDefault="00490036" w:rsidP="00D75EC9">
            <w:pPr>
              <w:pStyle w:val="Tabletext"/>
              <w:tabs>
                <w:tab w:val="decimal" w:pos="879"/>
              </w:tabs>
            </w:pPr>
            <w:r>
              <w:t>0.4</w:t>
            </w:r>
          </w:p>
        </w:tc>
      </w:tr>
      <w:tr w:rsidR="00490036" w:rsidTr="00D75EC9">
        <w:tc>
          <w:tcPr>
            <w:tcW w:w="2694" w:type="dxa"/>
            <w:shd w:val="clear" w:color="auto" w:fill="auto"/>
          </w:tcPr>
          <w:p w:rsidR="00490036" w:rsidRDefault="00490036" w:rsidP="00D75EC9">
            <w:pPr>
              <w:pStyle w:val="Tabletext"/>
            </w:pPr>
            <w:r>
              <w:t>HE sub degree</w:t>
            </w:r>
          </w:p>
        </w:tc>
        <w:tc>
          <w:tcPr>
            <w:tcW w:w="2031" w:type="dxa"/>
            <w:shd w:val="clear" w:color="auto" w:fill="auto"/>
          </w:tcPr>
          <w:p w:rsidR="00490036" w:rsidRDefault="00490036" w:rsidP="00D75EC9">
            <w:pPr>
              <w:pStyle w:val="Tabletext"/>
              <w:tabs>
                <w:tab w:val="decimal" w:pos="936"/>
              </w:tabs>
            </w:pPr>
            <w:r>
              <w:t>2.5</w:t>
            </w:r>
          </w:p>
        </w:tc>
        <w:tc>
          <w:tcPr>
            <w:tcW w:w="2032" w:type="dxa"/>
            <w:shd w:val="clear" w:color="auto" w:fill="auto"/>
          </w:tcPr>
          <w:p w:rsidR="00490036" w:rsidRDefault="00490036" w:rsidP="00D75EC9">
            <w:pPr>
              <w:pStyle w:val="Tabletext"/>
              <w:tabs>
                <w:tab w:val="decimal" w:pos="992"/>
              </w:tabs>
            </w:pPr>
            <w:r>
              <w:t>207</w:t>
            </w:r>
          </w:p>
        </w:tc>
        <w:tc>
          <w:tcPr>
            <w:tcW w:w="2032" w:type="dxa"/>
            <w:shd w:val="clear" w:color="auto" w:fill="auto"/>
          </w:tcPr>
          <w:p w:rsidR="00490036" w:rsidRDefault="00490036" w:rsidP="00D75EC9">
            <w:pPr>
              <w:pStyle w:val="Tabletext"/>
              <w:tabs>
                <w:tab w:val="decimal" w:pos="879"/>
              </w:tabs>
            </w:pPr>
            <w:r>
              <w:t>1.4</w:t>
            </w:r>
          </w:p>
        </w:tc>
      </w:tr>
      <w:tr w:rsidR="00490036" w:rsidTr="00D75EC9">
        <w:tc>
          <w:tcPr>
            <w:tcW w:w="2694" w:type="dxa"/>
            <w:shd w:val="clear" w:color="auto" w:fill="auto"/>
          </w:tcPr>
          <w:p w:rsidR="00490036" w:rsidRDefault="00490036" w:rsidP="00D75EC9">
            <w:pPr>
              <w:pStyle w:val="Tabletext"/>
            </w:pPr>
            <w:r>
              <w:t>Bachelor degree</w:t>
            </w:r>
          </w:p>
        </w:tc>
        <w:tc>
          <w:tcPr>
            <w:tcW w:w="2031" w:type="dxa"/>
            <w:shd w:val="clear" w:color="auto" w:fill="auto"/>
          </w:tcPr>
          <w:p w:rsidR="00490036" w:rsidRDefault="00490036" w:rsidP="00D75EC9">
            <w:pPr>
              <w:pStyle w:val="Tabletext"/>
              <w:tabs>
                <w:tab w:val="decimal" w:pos="936"/>
              </w:tabs>
            </w:pPr>
            <w:r>
              <w:t>58.5</w:t>
            </w:r>
          </w:p>
        </w:tc>
        <w:tc>
          <w:tcPr>
            <w:tcW w:w="2032" w:type="dxa"/>
            <w:shd w:val="clear" w:color="auto" w:fill="auto"/>
          </w:tcPr>
          <w:p w:rsidR="00490036" w:rsidRDefault="00490036" w:rsidP="00D75EC9">
            <w:pPr>
              <w:pStyle w:val="Tabletext"/>
              <w:tabs>
                <w:tab w:val="decimal" w:pos="992"/>
              </w:tabs>
            </w:pPr>
            <w:r>
              <w:t>34</w:t>
            </w:r>
          </w:p>
        </w:tc>
        <w:tc>
          <w:tcPr>
            <w:tcW w:w="2032" w:type="dxa"/>
            <w:shd w:val="clear" w:color="auto" w:fill="auto"/>
          </w:tcPr>
          <w:p w:rsidR="00490036" w:rsidRDefault="00490036" w:rsidP="00D75EC9">
            <w:pPr>
              <w:pStyle w:val="Tabletext"/>
              <w:tabs>
                <w:tab w:val="decimal" w:pos="879"/>
              </w:tabs>
            </w:pPr>
            <w:r>
              <w:t>-4.5</w:t>
            </w:r>
          </w:p>
        </w:tc>
      </w:tr>
    </w:tbl>
    <w:p w:rsidR="00490036" w:rsidRDefault="00490036" w:rsidP="00525F5F">
      <w:pPr>
        <w:pStyle w:val="Source"/>
      </w:pPr>
      <w:r>
        <w:t>Source:</w:t>
      </w:r>
      <w:r w:rsidR="00525F5F">
        <w:tab/>
      </w:r>
      <w:proofErr w:type="spellStart"/>
      <w:r>
        <w:t>Moodie</w:t>
      </w:r>
      <w:proofErr w:type="spellEnd"/>
      <w:r>
        <w:t xml:space="preserve"> &amp; </w:t>
      </w:r>
      <w:proofErr w:type="spellStart"/>
      <w:r>
        <w:t>Fredman</w:t>
      </w:r>
      <w:proofErr w:type="spellEnd"/>
      <w:r>
        <w:t xml:space="preserve"> (2013, table 4)</w:t>
      </w:r>
      <w:r w:rsidR="00337DB3">
        <w:t>.</w:t>
      </w:r>
    </w:p>
    <w:p w:rsidR="00895B2E" w:rsidRDefault="00087873" w:rsidP="00D75EC9">
      <w:pPr>
        <w:pStyle w:val="Textmorebefore"/>
      </w:pPr>
      <w:r>
        <w:t>From 2010 t</w:t>
      </w:r>
      <w:r w:rsidR="00E40D97">
        <w:t>he Austral</w:t>
      </w:r>
      <w:r w:rsidR="00337DB3">
        <w:t>ian Government phased in demand-</w:t>
      </w:r>
      <w:r w:rsidR="00E40D97">
        <w:t xml:space="preserve">driven enrolments in baccalaureates in public universities by </w:t>
      </w:r>
      <w:r w:rsidR="00066C58">
        <w:t xml:space="preserve">allowing </w:t>
      </w:r>
      <w:r w:rsidR="00891CE0">
        <w:t xml:space="preserve">universities </w:t>
      </w:r>
      <w:r w:rsidR="00066C58">
        <w:t xml:space="preserve">to enrol as many bachelor students as they </w:t>
      </w:r>
      <w:r>
        <w:t>wished</w:t>
      </w:r>
      <w:r w:rsidR="00BA770F">
        <w:t>,</w:t>
      </w:r>
      <w:r w:rsidR="00891CE0">
        <w:t xml:space="preserve"> except in medicine</w:t>
      </w:r>
      <w:r w:rsidR="00066C58">
        <w:t>. I</w:t>
      </w:r>
      <w:r w:rsidR="00E52E19">
        <w:t xml:space="preserve">n 2010 and 2011 </w:t>
      </w:r>
      <w:r w:rsidR="00066C58">
        <w:t>t</w:t>
      </w:r>
      <w:r w:rsidR="00337DB3">
        <w:t>he g</w:t>
      </w:r>
      <w:r w:rsidR="00E52E19">
        <w:t>overnment</w:t>
      </w:r>
      <w:r w:rsidR="00066C58">
        <w:t xml:space="preserve"> provided full funding for enrolments up to 10% above </w:t>
      </w:r>
      <w:r w:rsidR="00680EB1">
        <w:t>universities’</w:t>
      </w:r>
      <w:r w:rsidR="00066C58">
        <w:t xml:space="preserve"> target</w:t>
      </w:r>
      <w:r w:rsidR="00337DB3">
        <w:t>,</w:t>
      </w:r>
      <w:r w:rsidR="00066C58">
        <w:t xml:space="preserve"> and </w:t>
      </w:r>
      <w:r w:rsidR="00680EB1">
        <w:t>for any additional student</w:t>
      </w:r>
      <w:r w:rsidR="00E52E19">
        <w:t xml:space="preserve"> </w:t>
      </w:r>
      <w:r w:rsidR="00490036">
        <w:t xml:space="preserve">it </w:t>
      </w:r>
      <w:r w:rsidR="00066C58">
        <w:t>allowed universities to retain student tuition fee</w:t>
      </w:r>
      <w:r w:rsidR="00E52E19">
        <w:t>s</w:t>
      </w:r>
      <w:r w:rsidR="00AE5C28">
        <w:t xml:space="preserve"> but did not pay them the public subsidy</w:t>
      </w:r>
      <w:r w:rsidR="00066C58">
        <w:t xml:space="preserve">. </w:t>
      </w:r>
      <w:r w:rsidR="00337DB3">
        <w:t>The demand-</w:t>
      </w:r>
      <w:r w:rsidR="00055403">
        <w:t>driven system was introduced fully in 2012</w:t>
      </w:r>
      <w:r w:rsidR="00BA770F">
        <w:t>,</w:t>
      </w:r>
      <w:r w:rsidR="00055403">
        <w:t xml:space="preserve"> when universities received full funding for as many baccalaureate students they enrolled</w:t>
      </w:r>
      <w:r w:rsidR="00680EB1">
        <w:t xml:space="preserve">, again </w:t>
      </w:r>
      <w:r w:rsidR="00337DB3">
        <w:t>with the exception of</w:t>
      </w:r>
      <w:r w:rsidR="00680EB1">
        <w:t xml:space="preserve"> medicine</w:t>
      </w:r>
      <w:r w:rsidR="00055403">
        <w:t xml:space="preserve">. </w:t>
      </w:r>
      <w:r w:rsidR="00C9327C">
        <w:t>While u</w:t>
      </w:r>
      <w:r w:rsidR="00456979">
        <w:t>niversities increased their enrolments in baccalaureates substantially from 2010, this did not reverse baccalaureates</w:t>
      </w:r>
      <w:r w:rsidR="00055403">
        <w:t>’</w:t>
      </w:r>
      <w:r w:rsidR="00456979">
        <w:t xml:space="preserve"> falling share of </w:t>
      </w:r>
      <w:r w:rsidR="00680EB1">
        <w:t xml:space="preserve">the </w:t>
      </w:r>
      <w:r w:rsidR="00456979">
        <w:t>qualifications</w:t>
      </w:r>
      <w:r w:rsidR="00677A50">
        <w:t xml:space="preserve"> considere</w:t>
      </w:r>
      <w:r w:rsidR="00680EB1">
        <w:t>d</w:t>
      </w:r>
      <w:r w:rsidR="00BB5825">
        <w:t>.</w:t>
      </w:r>
      <w:r w:rsidR="00456979">
        <w:t xml:space="preserve"> A fuller report and analysis is published in </w:t>
      </w:r>
      <w:proofErr w:type="spellStart"/>
      <w:r w:rsidR="00456979">
        <w:t>Moodie</w:t>
      </w:r>
      <w:proofErr w:type="spellEnd"/>
      <w:r w:rsidR="00456979">
        <w:t xml:space="preserve"> and </w:t>
      </w:r>
      <w:proofErr w:type="spellStart"/>
      <w:r w:rsidR="00456979">
        <w:t>Fredman</w:t>
      </w:r>
      <w:proofErr w:type="spellEnd"/>
      <w:r w:rsidR="00456979">
        <w:t xml:space="preserve"> (</w:t>
      </w:r>
      <w:r w:rsidR="00266C83">
        <w:t>2013</w:t>
      </w:r>
      <w:r w:rsidR="00456979">
        <w:t>).</w:t>
      </w:r>
    </w:p>
    <w:p w:rsidR="004B5B25" w:rsidRDefault="004B5B25" w:rsidP="003C02F0">
      <w:pPr>
        <w:pStyle w:val="Text"/>
      </w:pPr>
      <w:r>
        <w:t xml:space="preserve">Qualifications have different values, functions and roles, often concurrently. </w:t>
      </w:r>
      <w:r w:rsidR="003C02F0">
        <w:t>Keating (2008, p.7) observed that ‘all qualifications carry value</w:t>
      </w:r>
      <w:r w:rsidR="00BA770F">
        <w:t xml:space="preserve"> </w:t>
      </w:r>
      <w:r w:rsidR="003C02F0">
        <w:t>—</w:t>
      </w:r>
      <w:r w:rsidR="00BA770F">
        <w:t xml:space="preserve"> </w:t>
      </w:r>
      <w:r w:rsidR="003C02F0">
        <w:t>for the graduates and for the users</w:t>
      </w:r>
      <w:r w:rsidR="00337DB3">
        <w:t>’:</w:t>
      </w:r>
    </w:p>
    <w:p w:rsidR="003C02F0" w:rsidRPr="00D75EC9" w:rsidRDefault="003C02F0" w:rsidP="00D75EC9">
      <w:pPr>
        <w:pStyle w:val="Quote"/>
      </w:pPr>
      <w:r>
        <w:t>The intrinsic value is the personal benefit and status that a qualification gives to the learner, the platform and motivation it gives for further learning, and the wider social value of an educated citizenry. The exchange value is realised in the employment market and in access to further formal learning. Both intrinsic and exchange value need to have a base in knowledge.</w:t>
      </w:r>
    </w:p>
    <w:p w:rsidR="00730F1A" w:rsidRDefault="00730F1A" w:rsidP="00730F1A">
      <w:pPr>
        <w:pStyle w:val="Text"/>
      </w:pPr>
      <w:proofErr w:type="spellStart"/>
      <w:r>
        <w:t>Gallacher</w:t>
      </w:r>
      <w:proofErr w:type="spellEnd"/>
      <w:r>
        <w:t xml:space="preserve"> (2011) considered the </w:t>
      </w:r>
      <w:r w:rsidR="0096336E">
        <w:t>functions</w:t>
      </w:r>
      <w:r>
        <w:t xml:space="preserve"> of higher national certificates and higher national diplomas in Scotland. Higher national certificates are roughly equivalent to the first year of a bachelor degree and higher national diplomas are roughly equivalent to the first two years of a bachelor degree. They are therefore similar to </w:t>
      </w:r>
      <w:r w:rsidR="00837E92">
        <w:t xml:space="preserve">what we have identified as </w:t>
      </w:r>
      <w:r w:rsidR="00337DB3">
        <w:t>mid-</w:t>
      </w:r>
      <w:r>
        <w:t xml:space="preserve">level qualifications. </w:t>
      </w:r>
      <w:proofErr w:type="spellStart"/>
      <w:r w:rsidR="0096336E">
        <w:t>Gallacher</w:t>
      </w:r>
      <w:proofErr w:type="spellEnd"/>
      <w:r w:rsidR="0096336E">
        <w:t xml:space="preserve"> posited three functions of </w:t>
      </w:r>
      <w:r w:rsidR="00D7798F">
        <w:t>higher national certificates and higher national diplomas</w:t>
      </w:r>
      <w:r w:rsidR="00337DB3">
        <w:t>:</w:t>
      </w:r>
    </w:p>
    <w:p w:rsidR="0096336E" w:rsidRPr="00D75EC9" w:rsidRDefault="0096336E" w:rsidP="00D75EC9">
      <w:pPr>
        <w:pStyle w:val="Quote"/>
        <w:rPr>
          <w:b/>
        </w:rPr>
      </w:pPr>
      <w:r w:rsidRPr="00D75EC9">
        <w:rPr>
          <w:b/>
        </w:rPr>
        <w:t>Occupational education and training</w:t>
      </w:r>
    </w:p>
    <w:p w:rsidR="0096336E" w:rsidRDefault="0096336E" w:rsidP="00D75EC9">
      <w:pPr>
        <w:pStyle w:val="Quote"/>
        <w:spacing w:before="0"/>
      </w:pPr>
      <w:r>
        <w:t>Most of these qualification</w:t>
      </w:r>
      <w:r w:rsidR="008378FD">
        <w:t>s</w:t>
      </w:r>
      <w:r>
        <w:t xml:space="preserve"> were initially developed to provide education and training for specified occupational areas, generally at technician, technologist and first line manager level, and a number of these qualifications con</w:t>
      </w:r>
      <w:r w:rsidR="00337DB3">
        <w:t>tinue to have this primary role</w:t>
      </w:r>
      <w:r w:rsidR="008378FD">
        <w:t xml:space="preserve"> </w:t>
      </w:r>
      <w:r w:rsidR="00440E2F">
        <w:t>…</w:t>
      </w:r>
    </w:p>
    <w:p w:rsidR="0096336E" w:rsidRPr="00D75EC9" w:rsidRDefault="0096336E" w:rsidP="00D75EC9">
      <w:pPr>
        <w:pStyle w:val="Quote"/>
        <w:rPr>
          <w:b/>
        </w:rPr>
      </w:pPr>
      <w:r w:rsidRPr="00D75EC9">
        <w:rPr>
          <w:b/>
        </w:rPr>
        <w:t>Transitional qualification for progression to degree programmes</w:t>
      </w:r>
    </w:p>
    <w:p w:rsidR="0096336E" w:rsidRDefault="0096336E" w:rsidP="00D75EC9">
      <w:pPr>
        <w:pStyle w:val="Quote"/>
        <w:spacing w:before="0"/>
      </w:pPr>
      <w:r>
        <w:t xml:space="preserve">For many HNC/Ds </w:t>
      </w:r>
      <w:r w:rsidR="00AB72CB">
        <w:t xml:space="preserve">[higher national certificates/diplomas] </w:t>
      </w:r>
      <w:r>
        <w:t>their primary role is now as transitional qualifications</w:t>
      </w:r>
      <w:r w:rsidR="00BA770F">
        <w:t>,</w:t>
      </w:r>
      <w:r>
        <w:t xml:space="preserve"> which are used by students to enable progre</w:t>
      </w:r>
      <w:r w:rsidR="00337DB3">
        <w:t>ssion to undergraduate degrees</w:t>
      </w:r>
      <w:r w:rsidR="008378FD">
        <w:t xml:space="preserve"> </w:t>
      </w:r>
      <w:r w:rsidR="00D75EC9">
        <w:t>…</w:t>
      </w:r>
    </w:p>
    <w:p w:rsidR="0096336E" w:rsidRPr="00D75EC9" w:rsidRDefault="002B1074" w:rsidP="00D75EC9">
      <w:pPr>
        <w:pStyle w:val="Quote"/>
        <w:rPr>
          <w:b/>
        </w:rPr>
      </w:pPr>
      <w:r>
        <w:rPr>
          <w:b/>
        </w:rPr>
        <w:br w:type="page"/>
      </w:r>
      <w:r w:rsidR="0096336E" w:rsidRPr="00D75EC9">
        <w:rPr>
          <w:b/>
        </w:rPr>
        <w:lastRenderedPageBreak/>
        <w:t>Widening access to higher education</w:t>
      </w:r>
    </w:p>
    <w:p w:rsidR="0096336E" w:rsidRDefault="0096336E" w:rsidP="00D75EC9">
      <w:pPr>
        <w:pStyle w:val="Quote"/>
      </w:pPr>
      <w:r>
        <w:t>Associated with the growing role of HNC/Ds as transitional qualification, it has been increasingly recognized that these programmes now have a key role in widening access through providing ‘second chance’ education for students from areas of social and economic deprivation.</w:t>
      </w:r>
      <w:r w:rsidR="00D75EC9">
        <w:br/>
      </w:r>
      <w:r w:rsidR="00AB72CB">
        <w:tab/>
        <w:t>(</w:t>
      </w:r>
      <w:proofErr w:type="spellStart"/>
      <w:r w:rsidR="00AB72CB">
        <w:t>Gallacher</w:t>
      </w:r>
      <w:proofErr w:type="spellEnd"/>
      <w:r w:rsidR="00AB72CB">
        <w:t xml:space="preserve"> 2011, pp.2—</w:t>
      </w:r>
      <w:r w:rsidR="00D7798F">
        <w:t>3)</w:t>
      </w:r>
    </w:p>
    <w:p w:rsidR="00301AA5" w:rsidRDefault="00301AA5" w:rsidP="0096336E">
      <w:pPr>
        <w:pStyle w:val="Text"/>
      </w:pPr>
      <w:r>
        <w:t>Arguably</w:t>
      </w:r>
      <w:r w:rsidR="00AB72CB">
        <w:t>, Australian mid-</w:t>
      </w:r>
      <w:r>
        <w:t>level qualifications, and indeed qualifications at most levels, may have these three roles:</w:t>
      </w:r>
    </w:p>
    <w:p w:rsidR="00730F1A" w:rsidRDefault="00301AA5" w:rsidP="002B1074">
      <w:pPr>
        <w:pStyle w:val="Dotpoint1"/>
      </w:pPr>
      <w:r>
        <w:t>as a labour market qual</w:t>
      </w:r>
      <w:r w:rsidR="00AB72CB">
        <w:t>ification — entry or upgrade</w:t>
      </w:r>
    </w:p>
    <w:p w:rsidR="00301AA5" w:rsidRDefault="00AB72CB" w:rsidP="002B1074">
      <w:pPr>
        <w:pStyle w:val="Dotpoint1"/>
      </w:pPr>
      <w:r>
        <w:t>as a transition to a higher-</w:t>
      </w:r>
      <w:r w:rsidR="00301AA5">
        <w:t>level qualification</w:t>
      </w:r>
    </w:p>
    <w:p w:rsidR="00301AA5" w:rsidRDefault="00AB72CB" w:rsidP="002B1074">
      <w:pPr>
        <w:pStyle w:val="Dotpoint1"/>
      </w:pPr>
      <w:proofErr w:type="gramStart"/>
      <w:r>
        <w:t>for</w:t>
      </w:r>
      <w:proofErr w:type="gramEnd"/>
      <w:r>
        <w:t xml:space="preserve"> </w:t>
      </w:r>
      <w:r w:rsidR="00E855D6">
        <w:t>widen</w:t>
      </w:r>
      <w:r>
        <w:t>ed</w:t>
      </w:r>
      <w:r w:rsidR="00E855D6">
        <w:t xml:space="preserve"> access </w:t>
      </w:r>
      <w:r w:rsidR="007B6352">
        <w:t>to higher-</w:t>
      </w:r>
      <w:r w:rsidR="00E855D6">
        <w:t>level qualifications.</w:t>
      </w:r>
    </w:p>
    <w:p w:rsidR="004F3AE9" w:rsidRDefault="00E855D6" w:rsidP="002C1A5D">
      <w:pPr>
        <w:pStyle w:val="Text"/>
      </w:pPr>
      <w:r>
        <w:t>A qualification may serve these and indeed other roles concurrently. Some students may enrol in a c</w:t>
      </w:r>
      <w:r w:rsidRPr="00E855D6">
        <w:t xml:space="preserve">ertificate IV in </w:t>
      </w:r>
      <w:r>
        <w:t>information t</w:t>
      </w:r>
      <w:r w:rsidRPr="00E855D6">
        <w:t>echnology</w:t>
      </w:r>
      <w:r>
        <w:t xml:space="preserve"> as a preparation for work in computer customer support or to upgrade from customer support to </w:t>
      </w:r>
      <w:r w:rsidR="00296882">
        <w:t>computer technician, using the certificate mainly as a labour market qualification. Other students may enrol in the same program</w:t>
      </w:r>
      <w:r w:rsidR="00BA770F">
        <w:t>,</w:t>
      </w:r>
      <w:r w:rsidR="00296882">
        <w:t xml:space="preserve"> hoping to transfer to a d</w:t>
      </w:r>
      <w:r w:rsidR="00296882" w:rsidRPr="00296882">
        <w:t xml:space="preserve">iploma of </w:t>
      </w:r>
      <w:r w:rsidR="00296882">
        <w:t>information t</w:t>
      </w:r>
      <w:r w:rsidR="00296882" w:rsidRPr="00296882">
        <w:t xml:space="preserve">echnology </w:t>
      </w:r>
      <w:r w:rsidR="00296882">
        <w:t>systems a</w:t>
      </w:r>
      <w:r w:rsidR="00296882" w:rsidRPr="00296882">
        <w:t>dministration</w:t>
      </w:r>
      <w:r w:rsidR="00296882">
        <w:t xml:space="preserve">, </w:t>
      </w:r>
      <w:r w:rsidR="00BA770F">
        <w:t xml:space="preserve">and </w:t>
      </w:r>
      <w:r w:rsidR="00296882">
        <w:t>using the qualification mai</w:t>
      </w:r>
      <w:r w:rsidR="00AB72CB">
        <w:t>nly as a transition to a higher-</w:t>
      </w:r>
      <w:r w:rsidR="00296882">
        <w:t xml:space="preserve">level qualification. Yet other students may enrol in the certificate IV as </w:t>
      </w:r>
      <w:r w:rsidR="00845965">
        <w:t xml:space="preserve">part of a joint offer </w:t>
      </w:r>
      <w:r w:rsidR="00673657">
        <w:t xml:space="preserve">of admission </w:t>
      </w:r>
      <w:r w:rsidR="00845965">
        <w:t xml:space="preserve">to a bachelor of information technology offered by a university to widen access to its undergraduate degree. And some students may enrol in the certificate to equip them to </w:t>
      </w:r>
      <w:r w:rsidR="00673657">
        <w:t xml:space="preserve">operate their home computer system. </w:t>
      </w:r>
    </w:p>
    <w:p w:rsidR="00673657" w:rsidRDefault="00673657" w:rsidP="002C1A5D">
      <w:pPr>
        <w:pStyle w:val="Text"/>
      </w:pPr>
      <w:r>
        <w:t xml:space="preserve">A qualification’s main role is shaped by whether it has an employment or educational logic. The </w:t>
      </w:r>
      <w:r w:rsidR="00ED3EE0">
        <w:t xml:space="preserve">project’s </w:t>
      </w:r>
      <w:r>
        <w:t>synthesis discussion paper (</w:t>
      </w:r>
      <w:proofErr w:type="spellStart"/>
      <w:r>
        <w:t>Wheelahan</w:t>
      </w:r>
      <w:proofErr w:type="spellEnd"/>
      <w:r>
        <w:t xml:space="preserve">, </w:t>
      </w:r>
      <w:proofErr w:type="spellStart"/>
      <w:r>
        <w:t>Moodie</w:t>
      </w:r>
      <w:proofErr w:type="spellEnd"/>
      <w:r>
        <w:t xml:space="preserve"> &amp; Buchanan 201</w:t>
      </w:r>
      <w:r w:rsidR="007A4186">
        <w:t>2</w:t>
      </w:r>
      <w:r>
        <w:t xml:space="preserve">, p.21) noted </w:t>
      </w:r>
      <w:proofErr w:type="spellStart"/>
      <w:r>
        <w:t>Iannelli</w:t>
      </w:r>
      <w:proofErr w:type="spellEnd"/>
      <w:r>
        <w:t xml:space="preserve"> and </w:t>
      </w:r>
      <w:proofErr w:type="spellStart"/>
      <w:r>
        <w:t>Raffe’s</w:t>
      </w:r>
      <w:proofErr w:type="spellEnd"/>
      <w:r>
        <w:t xml:space="preserve"> (2007) distinction between </w:t>
      </w:r>
      <w:r w:rsidR="00AB72CB">
        <w:t xml:space="preserve">the employment logic of </w:t>
      </w:r>
      <w:r>
        <w:t xml:space="preserve">upper secondary student transitions systems and those with an educational logic. Systems with </w:t>
      </w:r>
      <w:proofErr w:type="gramStart"/>
      <w:r>
        <w:t>an employment</w:t>
      </w:r>
      <w:proofErr w:type="gramEnd"/>
      <w:r>
        <w:t xml:space="preserve"> logic have strong links between e</w:t>
      </w:r>
      <w:r w:rsidR="00A651C7">
        <w:t>ducation and the labour market:</w:t>
      </w:r>
    </w:p>
    <w:p w:rsidR="00673657" w:rsidRDefault="00673657" w:rsidP="002B1074">
      <w:pPr>
        <w:pStyle w:val="Quote"/>
      </w:pPr>
      <w:r>
        <w:t xml:space="preserve">In countries with strong linkages, employers or trade unions have a larger role in the design, regular updating, delivery, and assessment of vocational programmes; there is frequent contact and communication between educational and labour-market institutions; and labour-market signals to the education system are strong and clear </w:t>
      </w:r>
      <w:r w:rsidR="00A651C7">
        <w:t>…</w:t>
      </w:r>
      <w:r>
        <w:t xml:space="preserve"> In countries where the </w:t>
      </w:r>
      <w:r w:rsidRPr="002D14D0">
        <w:rPr>
          <w:i/>
        </w:rPr>
        <w:t>education logic</w:t>
      </w:r>
      <w:r>
        <w:t xml:space="preserve"> dominates, vocational upper-secondary education has weak links with employment, is less sharply differentiated from academic upper-secondary education, and has stronger links with tertiary education. It functions more straightforwardly as a part of the education system, and its relationship with academic upper-secondary education is defined more by its lower status than by its stronger orientation to employment. </w:t>
      </w:r>
      <w:r>
        <w:tab/>
        <w:t>(</w:t>
      </w:r>
      <w:proofErr w:type="spellStart"/>
      <w:r>
        <w:t>Iannelli</w:t>
      </w:r>
      <w:proofErr w:type="spellEnd"/>
      <w:r>
        <w:t xml:space="preserve"> </w:t>
      </w:r>
      <w:r w:rsidR="00A651C7">
        <w:t>&amp;</w:t>
      </w:r>
      <w:r>
        <w:t xml:space="preserve"> </w:t>
      </w:r>
      <w:proofErr w:type="spellStart"/>
      <w:r>
        <w:t>Raffe</w:t>
      </w:r>
      <w:proofErr w:type="spellEnd"/>
      <w:r>
        <w:t xml:space="preserve"> 2007, p.51, emphasis</w:t>
      </w:r>
      <w:r w:rsidR="00220618">
        <w:t xml:space="preserve"> in</w:t>
      </w:r>
      <w:r w:rsidR="00A651C7">
        <w:t xml:space="preserve"> original</w:t>
      </w:r>
      <w:r>
        <w:t>)</w:t>
      </w:r>
    </w:p>
    <w:p w:rsidR="00673657" w:rsidRDefault="00673657" w:rsidP="00673657">
      <w:pPr>
        <w:pStyle w:val="Text"/>
      </w:pPr>
      <w:r>
        <w:t xml:space="preserve">It is important to note that </w:t>
      </w:r>
      <w:proofErr w:type="spellStart"/>
      <w:r>
        <w:t>Iannelli</w:t>
      </w:r>
      <w:proofErr w:type="spellEnd"/>
      <w:r>
        <w:t xml:space="preserve"> and </w:t>
      </w:r>
      <w:proofErr w:type="spellStart"/>
      <w:r>
        <w:t>Raffe’s</w:t>
      </w:r>
      <w:proofErr w:type="spellEnd"/>
      <w:r>
        <w:t xml:space="preserve"> systems logics describe mainly their orientation </w:t>
      </w:r>
      <w:r w:rsidR="00A651C7">
        <w:t>—</w:t>
      </w:r>
      <w:r>
        <w:t xml:space="preserve"> for progression t</w:t>
      </w:r>
      <w:r w:rsidR="00A651C7">
        <w:t>o work or to further education —</w:t>
      </w:r>
      <w:r>
        <w:t xml:space="preserve"> and accor</w:t>
      </w:r>
      <w:r w:rsidR="00087873">
        <w:t>dingly their deepest relations —</w:t>
      </w:r>
      <w:r>
        <w:t xml:space="preserve"> to employers or to education institutions. As was emph</w:t>
      </w:r>
      <w:r w:rsidR="00087873">
        <w:t>asised in the project’s strand two</w:t>
      </w:r>
      <w:r>
        <w:t xml:space="preserve"> stage</w:t>
      </w:r>
      <w:r w:rsidR="00087873">
        <w:t xml:space="preserve"> one</w:t>
      </w:r>
      <w:r w:rsidR="007A4186">
        <w:t xml:space="preserve"> report (Wheelahan et al. 2012</w:t>
      </w:r>
      <w:r>
        <w:t>, p.1</w:t>
      </w:r>
      <w:r w:rsidR="00C91EEE">
        <w:t>4</w:t>
      </w:r>
      <w:r>
        <w:t xml:space="preserve">), system logics should not be confused with curriculum. Many educational systems in northern continental Europe have </w:t>
      </w:r>
      <w:proofErr w:type="gramStart"/>
      <w:r>
        <w:t>an employment</w:t>
      </w:r>
      <w:proofErr w:type="gramEnd"/>
      <w:r>
        <w:t xml:space="preserve"> logic, but curriculum in vocational qualifications is broad and includes liberal components that pr</w:t>
      </w:r>
      <w:r w:rsidR="00A651C7">
        <w:t xml:space="preserve">epare students for citizenship. </w:t>
      </w:r>
      <w:r>
        <w:t xml:space="preserve">In contrast, </w:t>
      </w:r>
      <w:r w:rsidR="00E42C44">
        <w:t xml:space="preserve">in Australia and England </w:t>
      </w:r>
      <w:r w:rsidR="00BA3E31" w:rsidRPr="00BA3E31">
        <w:t>there is a strong educational logic underpinning vocational education</w:t>
      </w:r>
      <w:r w:rsidR="00A651C7">
        <w:t>,</w:t>
      </w:r>
      <w:r w:rsidR="00BA3E31" w:rsidRPr="00BA3E31">
        <w:t xml:space="preserve"> </w:t>
      </w:r>
      <w:r w:rsidR="00E42C44">
        <w:t xml:space="preserve">which nonetheless </w:t>
      </w:r>
      <w:r>
        <w:t>is ‘functional, workplace focussed and t</w:t>
      </w:r>
      <w:r w:rsidR="00B3451F">
        <w:t>ask-oriented’ (Guthrie 2009, p.</w:t>
      </w:r>
      <w:r>
        <w:t>17).</w:t>
      </w:r>
      <w:r w:rsidR="00A651C7">
        <w:t xml:space="preserve"> </w:t>
      </w:r>
    </w:p>
    <w:p w:rsidR="0074421E" w:rsidRDefault="00673657" w:rsidP="00673657">
      <w:pPr>
        <w:pStyle w:val="Text"/>
      </w:pPr>
      <w:r>
        <w:lastRenderedPageBreak/>
        <w:t xml:space="preserve">This paper applies </w:t>
      </w:r>
      <w:proofErr w:type="spellStart"/>
      <w:r>
        <w:t>Iannelli</w:t>
      </w:r>
      <w:proofErr w:type="spellEnd"/>
      <w:r>
        <w:t xml:space="preserve"> and </w:t>
      </w:r>
      <w:proofErr w:type="spellStart"/>
      <w:r>
        <w:t>Raffe’s</w:t>
      </w:r>
      <w:proofErr w:type="spellEnd"/>
      <w:r>
        <w:t xml:space="preserve"> educational and employment logics to qualifications. The clearest illustrations are associate degrees, which are relatively new qualifications to Australia. They are also of particular salience to this project because they are arguably augmenting and perhaps displa</w:t>
      </w:r>
      <w:r w:rsidR="00A651C7">
        <w:t>cing (advanced) diplomas as mid-</w:t>
      </w:r>
      <w:r>
        <w:t xml:space="preserve">level qualifications </w:t>
      </w:r>
      <w:r w:rsidR="00A651C7">
        <w:t xml:space="preserve">that </w:t>
      </w:r>
      <w:r>
        <w:t>prepar</w:t>
      </w:r>
      <w:r w:rsidR="00A651C7">
        <w:t>e graduates for mid-</w:t>
      </w:r>
      <w:r>
        <w:t>level occupations</w:t>
      </w:r>
      <w:r w:rsidR="00951696">
        <w:t xml:space="preserve">. Associate degrees may also be </w:t>
      </w:r>
      <w:r>
        <w:t>displacing (advanced) diplomas as ‘cross over’ qualifications between vocational and higher education (</w:t>
      </w:r>
      <w:proofErr w:type="spellStart"/>
      <w:r>
        <w:t>Karmel</w:t>
      </w:r>
      <w:proofErr w:type="spellEnd"/>
      <w:r>
        <w:t xml:space="preserve"> </w:t>
      </w:r>
      <w:r w:rsidR="00A651C7">
        <w:t>&amp;</w:t>
      </w:r>
      <w:r>
        <w:t xml:space="preserve"> Nguyen 2003)</w:t>
      </w:r>
      <w:r w:rsidR="00951696">
        <w:t>, that is, in fulfilling the second r</w:t>
      </w:r>
      <w:r w:rsidR="00A651C7">
        <w:t>ole as a transition to a higher-</w:t>
      </w:r>
      <w:r w:rsidR="00951696">
        <w:t>level qualification</w:t>
      </w:r>
      <w:r>
        <w:t xml:space="preserve">. </w:t>
      </w:r>
    </w:p>
    <w:p w:rsidR="00673657" w:rsidRDefault="00673657" w:rsidP="00673657">
      <w:pPr>
        <w:pStyle w:val="Text"/>
      </w:pPr>
      <w:r>
        <w:t xml:space="preserve">Some associate degrees such as </w:t>
      </w:r>
      <w:r w:rsidR="00FF5339">
        <w:t>the a</w:t>
      </w:r>
      <w:r w:rsidR="00FF5339" w:rsidRPr="003E02BE">
        <w:t>ssociate degrees in engineering, mining and geoscience</w:t>
      </w:r>
      <w:r w:rsidR="00FF5339">
        <w:t xml:space="preserve"> described in the case study and </w:t>
      </w:r>
      <w:r>
        <w:t xml:space="preserve">RMIT’s associate degrees in engineering technology (civil engineering), fashion design and technology, and legal practice (paralegal) have strong employment logics: they prepare </w:t>
      </w:r>
      <w:r w:rsidR="00A651C7">
        <w:t>graduates for specific and well-</w:t>
      </w:r>
      <w:r>
        <w:t>identified roles in the workplace, they are designed and offered in close collaboration with emplo</w:t>
      </w:r>
      <w:r w:rsidR="00087873">
        <w:t>yers, and most have strong work-</w:t>
      </w:r>
      <w:r>
        <w:t>integrated learning. Possibly the Australian associate degree with the strongest employment logic is Charles Sturt University’s associate degree in policing practice, which is the entry program for the NSW Police. While these qualifications have links with lower and higher educational programs, their strongest links are with work. Some, such as RMIT’s associate degree in legal practice (paralegal), have re</w:t>
      </w:r>
      <w:r w:rsidR="00087873">
        <w:t>latively weak links with higher-</w:t>
      </w:r>
      <w:r>
        <w:t xml:space="preserve">level qualifications. </w:t>
      </w:r>
    </w:p>
    <w:p w:rsidR="00673657" w:rsidRDefault="00673657" w:rsidP="00673657">
      <w:pPr>
        <w:pStyle w:val="Text"/>
      </w:pPr>
      <w:r>
        <w:t xml:space="preserve">Other associate degrees have strong educational logics, for example, by being truncated baccalaureates. This is true of most associate degrees </w:t>
      </w:r>
      <w:r w:rsidR="00F57F04">
        <w:t xml:space="preserve">in the United States, </w:t>
      </w:r>
      <w:r>
        <w:t xml:space="preserve">which typically provide the general education and foundation provided in the first two years of </w:t>
      </w:r>
      <w:r w:rsidR="00F57F04">
        <w:t xml:space="preserve">four-year </w:t>
      </w:r>
      <w:r>
        <w:t>bacca</w:t>
      </w:r>
      <w:r w:rsidR="00F57F04">
        <w:t>laureates</w:t>
      </w:r>
      <w:r>
        <w:t xml:space="preserve">. A good Australian example is Deakin University’s associate degree of arts, business and sciences, which ‘provides flexible pathways into university and a guaranteed pathway into a range of Deakin degrees at the Warrnambool Campus or the Geelong </w:t>
      </w:r>
      <w:proofErr w:type="spellStart"/>
      <w:r>
        <w:t>Waurn</w:t>
      </w:r>
      <w:proofErr w:type="spellEnd"/>
      <w:r>
        <w:t xml:space="preserve"> Ponds Campus, or via off campus study. The Associate Degree may also be taken as a stand-alone, two year exit qualification’ (Deakin University, no date).</w:t>
      </w:r>
    </w:p>
    <w:p w:rsidR="00D7444D" w:rsidRDefault="00F8477E" w:rsidP="002C1A5D">
      <w:pPr>
        <w:pStyle w:val="Text"/>
      </w:pPr>
      <w:r>
        <w:t xml:space="preserve">The next chapter of this report </w:t>
      </w:r>
      <w:r w:rsidR="00071858">
        <w:t xml:space="preserve">describes the methods used </w:t>
      </w:r>
      <w:r w:rsidR="002E3B10">
        <w:t>in</w:t>
      </w:r>
      <w:r w:rsidR="00071858">
        <w:t xml:space="preserve"> the report. The following chapter </w:t>
      </w:r>
      <w:r>
        <w:t xml:space="preserve">reports </w:t>
      </w:r>
      <w:r w:rsidR="00BA770F">
        <w:t xml:space="preserve">on </w:t>
      </w:r>
      <w:r w:rsidR="00F57F04">
        <w:t>the examination of the role of mid-</w:t>
      </w:r>
      <w:r w:rsidR="00FF5339">
        <w:t>leve</w:t>
      </w:r>
      <w:r w:rsidR="00F57F04">
        <w:t>l tertiary qualifications</w:t>
      </w:r>
      <w:r w:rsidR="00FF5339">
        <w:t xml:space="preserve"> in </w:t>
      </w:r>
      <w:r w:rsidR="00F57F04">
        <w:t>assisting</w:t>
      </w:r>
      <w:r w:rsidR="00FF5339">
        <w:t xml:space="preserve"> their graduates </w:t>
      </w:r>
      <w:r w:rsidR="00F57F04">
        <w:t xml:space="preserve">to gain </w:t>
      </w:r>
      <w:r w:rsidR="00FF5339">
        <w:t xml:space="preserve">entry to and progression in work by reviewing statistical data from NCVER’s 2011 </w:t>
      </w:r>
      <w:r w:rsidR="00F57F04">
        <w:t>Student Outcomes Survey</w:t>
      </w:r>
      <w:r w:rsidR="00FF5339">
        <w:t xml:space="preserve"> and from the </w:t>
      </w:r>
      <w:r w:rsidR="00F57F04">
        <w:t>ABS</w:t>
      </w:r>
      <w:r w:rsidR="00087873">
        <w:t xml:space="preserve"> Surveys of Education and W</w:t>
      </w:r>
      <w:r w:rsidR="00FF5339">
        <w:t xml:space="preserve">ork from 1998 to 2012. The </w:t>
      </w:r>
      <w:r w:rsidR="00F9675D">
        <w:t>subsequent</w:t>
      </w:r>
      <w:r w:rsidR="00FF5339">
        <w:t xml:space="preserve"> chapter explores how </w:t>
      </w:r>
      <w:r w:rsidR="005953C6">
        <w:t>the role of qualifications</w:t>
      </w:r>
      <w:r w:rsidR="00FF5339">
        <w:t xml:space="preserve"> may be strengthened</w:t>
      </w:r>
      <w:r w:rsidR="005953C6">
        <w:t>; this is done</w:t>
      </w:r>
      <w:r w:rsidR="00FF5339">
        <w:t xml:space="preserve"> by examining</w:t>
      </w:r>
      <w:r w:rsidR="00AF5260">
        <w:t xml:space="preserve"> four case</w:t>
      </w:r>
      <w:r w:rsidR="00FF5339">
        <w:t>s in which tertia</w:t>
      </w:r>
      <w:r w:rsidR="00AF5260">
        <w:t xml:space="preserve">ry institutions </w:t>
      </w:r>
      <w:r w:rsidR="00FF5339">
        <w:t>had introduced new qualifications to m</w:t>
      </w:r>
      <w:r w:rsidR="00AF5260">
        <w:t>eet a new or emerging work role; that is,</w:t>
      </w:r>
      <w:r w:rsidR="00FF5339">
        <w:t xml:space="preserve"> </w:t>
      </w:r>
      <w:r w:rsidR="00AF5260">
        <w:t>with an employment logic</w:t>
      </w:r>
      <w:r w:rsidR="000862E8">
        <w:t>.</w:t>
      </w:r>
    </w:p>
    <w:p w:rsidR="00235FFB" w:rsidRDefault="00AA23C3" w:rsidP="002C1A5D">
      <w:pPr>
        <w:pStyle w:val="Text"/>
      </w:pPr>
      <w:r>
        <w:t xml:space="preserve">We </w:t>
      </w:r>
      <w:r w:rsidR="00FF5339">
        <w:t>conclude</w:t>
      </w:r>
      <w:r w:rsidR="00AF5260">
        <w:t xml:space="preserve"> by finding that mid-</w:t>
      </w:r>
      <w:r>
        <w:t xml:space="preserve">level qualifications </w:t>
      </w:r>
      <w:r w:rsidR="00540635">
        <w:t xml:space="preserve">have limited roles in providing </w:t>
      </w:r>
      <w:r w:rsidR="00CE4DF5">
        <w:t>entry to and progression</w:t>
      </w:r>
      <w:r>
        <w:t xml:space="preserve"> in work</w:t>
      </w:r>
      <w:r w:rsidR="007A3B82">
        <w:t xml:space="preserve"> outside </w:t>
      </w:r>
      <w:r w:rsidR="00087873">
        <w:t xml:space="preserve">those </w:t>
      </w:r>
      <w:r w:rsidR="007A3B82">
        <w:t>occupations strongly regulated by the state</w:t>
      </w:r>
      <w:r w:rsidR="00BA770F">
        <w:t>,</w:t>
      </w:r>
      <w:r w:rsidR="007A3B82">
        <w:t xml:space="preserve"> such as the licensed trades and some health occupations and a few occupations that are strongly regulated by the industry</w:t>
      </w:r>
      <w:r w:rsidR="003032C5">
        <w:t>,</w:t>
      </w:r>
      <w:r w:rsidR="007A3B82">
        <w:t xml:space="preserve"> independent of the state</w:t>
      </w:r>
      <w:r w:rsidR="00087873">
        <w:t>,</w:t>
      </w:r>
      <w:r w:rsidR="007A3B82">
        <w:t xml:space="preserve"> such as accou</w:t>
      </w:r>
      <w:r w:rsidR="008C2F56">
        <w:t>nting</w:t>
      </w:r>
      <w:r>
        <w:t xml:space="preserve">. </w:t>
      </w:r>
    </w:p>
    <w:p w:rsidR="007A4186" w:rsidRDefault="007A4186" w:rsidP="002C1A5D">
      <w:pPr>
        <w:pStyle w:val="Text"/>
      </w:pPr>
      <w:r>
        <w:t>The development of mid-level qualifications can be an important part of professionalising occupations within industries, or supporting the emergence of new occupations and roles at mid</w:t>
      </w:r>
      <w:r w:rsidR="003032C5">
        <w:t>-</w:t>
      </w:r>
      <w:r>
        <w:t xml:space="preserve">level. However, unless this is </w:t>
      </w:r>
      <w:r w:rsidR="00AE5C28">
        <w:t xml:space="preserve">led </w:t>
      </w:r>
      <w:r>
        <w:t>and supported by social partners such as employers, unions and government (particularly as a large employer in many industries)</w:t>
      </w:r>
      <w:r w:rsidR="003032C5">
        <w:t>,</w:t>
      </w:r>
      <w:r>
        <w:t xml:space="preserve"> then it is </w:t>
      </w:r>
      <w:r w:rsidR="00235FFB">
        <w:t>difficult for the qualification to become established and fulfil a role as a labour market qualification</w:t>
      </w:r>
      <w:r w:rsidR="001948C8">
        <w:t xml:space="preserve"> which</w:t>
      </w:r>
      <w:r w:rsidR="00235FFB">
        <w:t xml:space="preserve"> supports entry or upgrade. Mid-level qualifications need to be relevant and </w:t>
      </w:r>
      <w:r w:rsidR="001948C8">
        <w:t>realise</w:t>
      </w:r>
      <w:r w:rsidR="00235FFB">
        <w:t xml:space="preserve"> occupational outcomes if they are to support both educational and occupational progression. </w:t>
      </w:r>
    </w:p>
    <w:p w:rsidR="00235FFB" w:rsidRDefault="00685A3B" w:rsidP="002C1A5D">
      <w:pPr>
        <w:pStyle w:val="Text"/>
      </w:pPr>
      <w:r>
        <w:lastRenderedPageBreak/>
        <w:t>T</w:t>
      </w:r>
      <w:r w:rsidR="00235FFB">
        <w:t xml:space="preserve">here is </w:t>
      </w:r>
      <w:r>
        <w:t xml:space="preserve">therefore </w:t>
      </w:r>
      <w:r w:rsidR="00235FFB">
        <w:t xml:space="preserve">limited scope for tertiary education institutions </w:t>
      </w:r>
      <w:r w:rsidR="009420A6">
        <w:t xml:space="preserve">alone </w:t>
      </w:r>
      <w:r w:rsidR="00235FFB">
        <w:t>to foster progression</w:t>
      </w:r>
      <w:r w:rsidR="001948C8">
        <w:t xml:space="preserve"> in vocations by initiating mid-</w:t>
      </w:r>
      <w:r w:rsidR="00235FFB">
        <w:t>level qualifications. Tertiary education institutions are mostly limited to following rather than initiating structural change in the workforce. However, they can play an important role in supporting structural change</w:t>
      </w:r>
      <w:r w:rsidR="001948C8">
        <w:t>,</w:t>
      </w:r>
      <w:r w:rsidR="00235FFB">
        <w:t xml:space="preserve"> if this is being led by the social partners.</w:t>
      </w:r>
    </w:p>
    <w:p w:rsidR="00235FFB" w:rsidRDefault="00087873" w:rsidP="002C1A5D">
      <w:pPr>
        <w:pStyle w:val="Text"/>
      </w:pPr>
      <w:proofErr w:type="gramStart"/>
      <w:r>
        <w:t>A</w:t>
      </w:r>
      <w:r w:rsidR="00235FFB">
        <w:t xml:space="preserve"> profession seeking to emerge as a clearly defined professional field of practice</w:t>
      </w:r>
      <w:r w:rsidR="001E6A01">
        <w:t>,</w:t>
      </w:r>
      <w:r w:rsidR="00235FFB">
        <w:t xml:space="preserve"> with boundaries that distinguish it from other professions (as will be seen to be the case with the finance industry)</w:t>
      </w:r>
      <w:r w:rsidR="001E6A01">
        <w:t>,</w:t>
      </w:r>
      <w:r>
        <w:t xml:space="preserve"> can </w:t>
      </w:r>
      <w:r w:rsidR="001E6A01">
        <w:t>opt</w:t>
      </w:r>
      <w:r>
        <w:t xml:space="preserve"> to specify requirements for higher-level qualifications</w:t>
      </w:r>
      <w:r w:rsidR="00235FFB">
        <w:t>.</w:t>
      </w:r>
      <w:proofErr w:type="gramEnd"/>
      <w:r w:rsidR="009420A6">
        <w:t xml:space="preserve"> In areas where the relation</w:t>
      </w:r>
      <w:r w:rsidR="00235FFB">
        <w:t xml:space="preserve"> between education and employment is very loose a</w:t>
      </w:r>
      <w:r w:rsidR="001948C8">
        <w:t>nd where there are not yet well-</w:t>
      </w:r>
      <w:r w:rsidR="00235FFB">
        <w:t>established social partners to support the emergence of the profession and regulate entry requirement and membership conditions, i</w:t>
      </w:r>
      <w:r w:rsidR="001948C8">
        <w:t>t may well be the case that mid-</w:t>
      </w:r>
      <w:r w:rsidR="00235FFB">
        <w:t>level qualifications will emphasise transition to higher</w:t>
      </w:r>
      <w:r w:rsidR="001948C8">
        <w:t>-</w:t>
      </w:r>
      <w:r w:rsidR="00235FFB">
        <w:t xml:space="preserve">level studies </w:t>
      </w:r>
      <w:r>
        <w:t>and widen</w:t>
      </w:r>
      <w:r w:rsidR="00235FFB">
        <w:t xml:space="preserve"> access </w:t>
      </w:r>
      <w:r w:rsidR="001948C8">
        <w:t>to higher-</w:t>
      </w:r>
      <w:r w:rsidR="00CC3522">
        <w:t xml:space="preserve">level qualifications. Such qualifications will still be relevant as a labour market entry qualification, but </w:t>
      </w:r>
      <w:r>
        <w:t>this will not be</w:t>
      </w:r>
      <w:r w:rsidR="00CC3522">
        <w:t xml:space="preserve"> its primary purpose</w:t>
      </w:r>
      <w:r w:rsidR="001948C8">
        <w:t>. I</w:t>
      </w:r>
      <w:r w:rsidR="00CC3522">
        <w:t>t is quite likely that such qualifications will</w:t>
      </w:r>
      <w:r w:rsidR="001948C8">
        <w:t>,</w:t>
      </w:r>
      <w:r w:rsidR="00CC3522">
        <w:t xml:space="preserve"> under these circumstances</w:t>
      </w:r>
      <w:r w:rsidR="001948C8">
        <w:t>,</w:t>
      </w:r>
      <w:r w:rsidR="00CC3522">
        <w:t xml:space="preserve"> serve as a ‘signal’ to employers about the capacities and potential of applicants, rather than </w:t>
      </w:r>
      <w:r w:rsidR="001948C8">
        <w:t>being</w:t>
      </w:r>
      <w:r w:rsidR="00CC3522">
        <w:t xml:space="preserve"> direct preparation for work.</w:t>
      </w:r>
    </w:p>
    <w:p w:rsidR="00235FFB" w:rsidRDefault="00685A3B" w:rsidP="002B1074">
      <w:pPr>
        <w:pStyle w:val="Text"/>
        <w:ind w:right="-143"/>
      </w:pPr>
      <w:r>
        <w:t>Because qualifications se</w:t>
      </w:r>
      <w:r w:rsidR="009420A6">
        <w:t>r</w:t>
      </w:r>
      <w:r>
        <w:t>ve different functions and because they have variable roles in providing entry to and progression in work</w:t>
      </w:r>
      <w:r w:rsidR="009420A6">
        <w:t>,</w:t>
      </w:r>
      <w:r>
        <w:t xml:space="preserve"> policy and funding </w:t>
      </w:r>
      <w:r w:rsidR="00087873">
        <w:t xml:space="preserve">regimes </w:t>
      </w:r>
      <w:r>
        <w:t xml:space="preserve">should not </w:t>
      </w:r>
      <w:r w:rsidR="001F3093">
        <w:t xml:space="preserve">expect all mid-level qualifications to play all roles equally, </w:t>
      </w:r>
      <w:r w:rsidR="00A81BD8">
        <w:t>but</w:t>
      </w:r>
      <w:r w:rsidR="001F3093">
        <w:t xml:space="preserve"> should support the differentiated purposes of these qualifications.</w:t>
      </w:r>
    </w:p>
    <w:p w:rsidR="006C15D0" w:rsidRDefault="00461BC9" w:rsidP="002C1A5D">
      <w:pPr>
        <w:pStyle w:val="Text"/>
      </w:pPr>
      <w:r>
        <w:t>The conclu</w:t>
      </w:r>
      <w:r w:rsidR="00685A3B">
        <w:t>ding chapter</w:t>
      </w:r>
      <w:r>
        <w:t xml:space="preserve"> of this report revisits the notion of vocational streams</w:t>
      </w:r>
      <w:r w:rsidR="001948C8">
        <w:t>, which</w:t>
      </w:r>
      <w:r>
        <w:t xml:space="preserve"> we introduced in </w:t>
      </w:r>
      <w:r w:rsidR="001948C8">
        <w:t xml:space="preserve">the first </w:t>
      </w:r>
      <w:r>
        <w:t>year of this project</w:t>
      </w:r>
      <w:r w:rsidR="00087873">
        <w:t>,</w:t>
      </w:r>
      <w:r>
        <w:t xml:space="preserve"> and considers whether vocational streams could be relevant and help </w:t>
      </w:r>
      <w:r w:rsidR="001948C8">
        <w:t xml:space="preserve">to </w:t>
      </w:r>
      <w:r>
        <w:t xml:space="preserve">support tighter links between education and work in </w:t>
      </w:r>
      <w:r w:rsidR="00087873">
        <w:t xml:space="preserve">the </w:t>
      </w:r>
      <w:r>
        <w:t xml:space="preserve">light of the analysis in this report. </w:t>
      </w:r>
    </w:p>
    <w:p w:rsidR="003A1891" w:rsidRDefault="003A1891" w:rsidP="00580968">
      <w:pPr>
        <w:pStyle w:val="Dotpoint1"/>
        <w:numPr>
          <w:ilvl w:val="0"/>
          <w:numId w:val="0"/>
        </w:numPr>
      </w:pPr>
    </w:p>
    <w:p w:rsidR="003A1891" w:rsidRDefault="003A1891" w:rsidP="003A1891">
      <w:pPr>
        <w:pStyle w:val="Heading1"/>
      </w:pPr>
      <w:r>
        <w:br w:type="page"/>
      </w:r>
      <w:bookmarkStart w:id="39" w:name="_Toc370199895"/>
      <w:r>
        <w:lastRenderedPageBreak/>
        <w:t>Methods</w:t>
      </w:r>
      <w:bookmarkEnd w:id="39"/>
    </w:p>
    <w:p w:rsidR="00DE7F0A" w:rsidRDefault="00A81BD8" w:rsidP="00B2687B">
      <w:pPr>
        <w:pStyle w:val="Text"/>
      </w:pPr>
      <w:r>
        <w:t>The team’s initial task was</w:t>
      </w:r>
      <w:r w:rsidR="009254E2">
        <w:t xml:space="preserve"> to identify and indeed to find an agreed term for ‘middle level’, ‘intermediate’ or ‘</w:t>
      </w:r>
      <w:r w:rsidR="007F0717">
        <w:t>para</w:t>
      </w:r>
      <w:r w:rsidR="009254E2">
        <w:t xml:space="preserve">professional’ qualifications. The team </w:t>
      </w:r>
      <w:r w:rsidR="006042BF">
        <w:t>began</w:t>
      </w:r>
      <w:r w:rsidR="009254E2">
        <w:t xml:space="preserve"> by identifying the gap in the skills distribution reportedly being hollowed out</w:t>
      </w:r>
      <w:r w:rsidR="006042BF">
        <w:t>,</w:t>
      </w:r>
      <w:r w:rsidR="009254E2">
        <w:t xml:space="preserve"> as that between skilled and professional occupations</w:t>
      </w:r>
      <w:r w:rsidR="006042BF">
        <w:t>, usually known as para</w:t>
      </w:r>
      <w:r w:rsidR="005D13BC">
        <w:t xml:space="preserve">professional </w:t>
      </w:r>
      <w:r w:rsidR="00D046A4">
        <w:t xml:space="preserve">occupations. The qualifications normally </w:t>
      </w:r>
      <w:r w:rsidR="006042BF">
        <w:t>utilised by para</w:t>
      </w:r>
      <w:r w:rsidR="00D046A4">
        <w:t xml:space="preserve">professionals are </w:t>
      </w:r>
      <w:r w:rsidR="005D13BC" w:rsidRPr="002419A4">
        <w:t>diplomas</w:t>
      </w:r>
      <w:r w:rsidR="005D13BC">
        <w:t xml:space="preserve">, which are at the </w:t>
      </w:r>
      <w:r w:rsidR="006042BF">
        <w:t>AQF</w:t>
      </w:r>
      <w:r w:rsidR="005D13BC" w:rsidRPr="002419A4">
        <w:t xml:space="preserve"> level 5</w:t>
      </w:r>
      <w:r w:rsidR="005D13BC">
        <w:t xml:space="preserve">, </w:t>
      </w:r>
      <w:r w:rsidR="005D13BC" w:rsidRPr="002419A4">
        <w:t>and advanced diplomas and associate degrees</w:t>
      </w:r>
      <w:r w:rsidR="006042BF">
        <w:t>,</w:t>
      </w:r>
      <w:r w:rsidR="005D13BC" w:rsidRPr="002419A4">
        <w:t xml:space="preserve"> </w:t>
      </w:r>
      <w:r w:rsidR="005D13BC">
        <w:t>at AQF 6</w:t>
      </w:r>
      <w:r w:rsidR="005D13BC" w:rsidRPr="002419A4">
        <w:t>.</w:t>
      </w:r>
      <w:r w:rsidR="00D046A4">
        <w:t xml:space="preserve"> </w:t>
      </w:r>
      <w:r w:rsidR="00DE7F0A">
        <w:t xml:space="preserve">The team agreed </w:t>
      </w:r>
      <w:r w:rsidR="006042BF">
        <w:t>with NCVER to use the term ‘mid-</w:t>
      </w:r>
      <w:r w:rsidR="00DE7F0A">
        <w:t xml:space="preserve">level’ to refer to qualifications that prepare graduates for </w:t>
      </w:r>
      <w:r w:rsidR="006042BF">
        <w:t xml:space="preserve">the </w:t>
      </w:r>
      <w:proofErr w:type="spellStart"/>
      <w:r w:rsidR="006042BF">
        <w:t>para</w:t>
      </w:r>
      <w:r w:rsidR="00DE7F0A">
        <w:t>professions</w:t>
      </w:r>
      <w:proofErr w:type="spellEnd"/>
      <w:r w:rsidR="00DE7F0A">
        <w:t xml:space="preserve">. </w:t>
      </w:r>
      <w:r w:rsidR="00ED3EE0">
        <w:t>The team’s two key research questions were:</w:t>
      </w:r>
    </w:p>
    <w:p w:rsidR="00ED3EE0" w:rsidRDefault="00ED3EE0" w:rsidP="002B1074">
      <w:pPr>
        <w:pStyle w:val="Dotpoint1"/>
      </w:pPr>
      <w:r>
        <w:t xml:space="preserve">What are </w:t>
      </w:r>
      <w:r w:rsidR="00220618">
        <w:t xml:space="preserve">the </w:t>
      </w:r>
      <w:r w:rsidR="009120B1">
        <w:t xml:space="preserve">roles of </w:t>
      </w:r>
      <w:r>
        <w:t>tertiary</w:t>
      </w:r>
      <w:r w:rsidR="009120B1">
        <w:t xml:space="preserve"> education qualifications</w:t>
      </w:r>
      <w:r>
        <w:t xml:space="preserve"> in </w:t>
      </w:r>
      <w:r w:rsidR="009120B1">
        <w:t xml:space="preserve">assisting </w:t>
      </w:r>
      <w:r>
        <w:t xml:space="preserve">their graduates </w:t>
      </w:r>
      <w:r w:rsidR="009120B1">
        <w:t xml:space="preserve">to gain </w:t>
      </w:r>
      <w:r>
        <w:t>entry</w:t>
      </w:r>
      <w:r w:rsidR="006042BF">
        <w:t xml:space="preserve"> to and progression in work?</w:t>
      </w:r>
    </w:p>
    <w:p w:rsidR="00ED3EE0" w:rsidRDefault="00ED3EE0" w:rsidP="002B1074">
      <w:pPr>
        <w:pStyle w:val="Dotpoint1"/>
      </w:pPr>
      <w:r>
        <w:t>How may they be strengthened?</w:t>
      </w:r>
    </w:p>
    <w:p w:rsidR="00B2687B" w:rsidRPr="00220618" w:rsidRDefault="00157434" w:rsidP="00220618">
      <w:pPr>
        <w:pStyle w:val="Text"/>
      </w:pPr>
      <w:r w:rsidRPr="00220618">
        <w:t>The team in</w:t>
      </w:r>
      <w:r w:rsidR="006042BF" w:rsidRPr="00220618">
        <w:t>vestigated the link between mid-</w:t>
      </w:r>
      <w:r w:rsidRPr="00220618">
        <w:t xml:space="preserve">level qualifications and work by examining two established statistical surveys, NCVER’s </w:t>
      </w:r>
      <w:r w:rsidR="006042BF" w:rsidRPr="00220618">
        <w:t xml:space="preserve">Student Outcomes Survey </w:t>
      </w:r>
      <w:r w:rsidRPr="00220618">
        <w:t xml:space="preserve">in 2011 and the </w:t>
      </w:r>
      <w:r w:rsidR="006042BF" w:rsidRPr="00220618">
        <w:t>ABS</w:t>
      </w:r>
      <w:r w:rsidRPr="00220618">
        <w:t xml:space="preserve"> </w:t>
      </w:r>
      <w:r w:rsidR="002F5425" w:rsidRPr="00220618">
        <w:t>Survey of Education and Work</w:t>
      </w:r>
      <w:r w:rsidR="006042BF" w:rsidRPr="00220618">
        <w:t>,</w:t>
      </w:r>
      <w:r w:rsidR="002F5425" w:rsidRPr="00220618">
        <w:t xml:space="preserve"> </w:t>
      </w:r>
      <w:r w:rsidR="00B2687B" w:rsidRPr="00220618">
        <w:t>from 1998 to 2012</w:t>
      </w:r>
      <w:r w:rsidR="006142A3" w:rsidRPr="00220618">
        <w:t xml:space="preserve">. A </w:t>
      </w:r>
      <w:proofErr w:type="spellStart"/>
      <w:r w:rsidR="006142A3" w:rsidRPr="00220618">
        <w:rPr>
          <w:shd w:val="clear" w:color="auto" w:fill="FFFFFF"/>
        </w:rPr>
        <w:t>confidentialised</w:t>
      </w:r>
      <w:proofErr w:type="spellEnd"/>
      <w:r w:rsidR="006142A3" w:rsidRPr="00220618">
        <w:rPr>
          <w:shd w:val="clear" w:color="auto" w:fill="FFFFFF"/>
        </w:rPr>
        <w:t xml:space="preserve"> unit record file</w:t>
      </w:r>
      <w:r w:rsidR="006142A3" w:rsidRPr="00220618">
        <w:rPr>
          <w:rStyle w:val="apple-converted-space"/>
          <w:shd w:val="clear" w:color="auto" w:fill="FFFFFF"/>
        </w:rPr>
        <w:t xml:space="preserve"> of the 2011 </w:t>
      </w:r>
      <w:r w:rsidR="006142A3" w:rsidRPr="00220618">
        <w:t xml:space="preserve">student outcomes data was obtained from NCVER </w:t>
      </w:r>
      <w:r w:rsidR="00B2687B" w:rsidRPr="00220618">
        <w:t xml:space="preserve">and analysed in </w:t>
      </w:r>
      <w:r w:rsidR="00672D3A" w:rsidRPr="00220618">
        <w:t>SAS</w:t>
      </w:r>
      <w:r w:rsidR="00B2687B" w:rsidRPr="00220618">
        <w:t xml:space="preserve">. </w:t>
      </w:r>
      <w:r w:rsidR="00932F74" w:rsidRPr="00220618">
        <w:t xml:space="preserve">For each broad field of education and for each narrow field of education used as case studies the team calculated the proportion of graduates </w:t>
      </w:r>
      <w:r w:rsidR="006042BF" w:rsidRPr="00220618">
        <w:t>with</w:t>
      </w:r>
      <w:r w:rsidR="00932F74" w:rsidRPr="00220618">
        <w:t xml:space="preserve"> qualifications at each level who at the time of the survey were employed, were working in the same occupation as their training, were working at a higher skill level than before training, and were in further study. </w:t>
      </w:r>
    </w:p>
    <w:p w:rsidR="001E051E" w:rsidRDefault="001D260E" w:rsidP="00B854D6">
      <w:pPr>
        <w:pStyle w:val="Text"/>
      </w:pPr>
      <w:r>
        <w:t>A</w:t>
      </w:r>
      <w:r w:rsidR="00DC3526">
        <w:t>BS</w:t>
      </w:r>
      <w:r>
        <w:t xml:space="preserve"> reports of its </w:t>
      </w:r>
      <w:r w:rsidR="002F5425">
        <w:t xml:space="preserve">Survey of Education and Work </w:t>
      </w:r>
      <w:r w:rsidR="001E051E">
        <w:t xml:space="preserve">from 1998 to 2012 </w:t>
      </w:r>
      <w:r w:rsidR="00DC3526">
        <w:t>were downloaded from its web</w:t>
      </w:r>
      <w:r>
        <w:t xml:space="preserve">site and analysed in </w:t>
      </w:r>
      <w:r w:rsidR="001E051E" w:rsidRPr="001E051E">
        <w:t>Microsoft Excel</w:t>
      </w:r>
      <w:r w:rsidR="001E051E">
        <w:t>. Over this p</w:t>
      </w:r>
      <w:r w:rsidR="00DC3526">
        <w:t xml:space="preserve">eriod, </w:t>
      </w:r>
      <w:r w:rsidR="001E051E">
        <w:t>minor changes</w:t>
      </w:r>
      <w:r w:rsidR="00DC3526">
        <w:t xml:space="preserve"> occurred</w:t>
      </w:r>
      <w:r w:rsidR="001E051E">
        <w:t xml:space="preserve"> in the way qualifications were reported</w:t>
      </w:r>
      <w:r w:rsidR="00DC3526">
        <w:t>,</w:t>
      </w:r>
      <w:r w:rsidR="001E051E">
        <w:t xml:space="preserve"> which are unlikely to have affected </w:t>
      </w:r>
      <w:r w:rsidR="009420A6">
        <w:t xml:space="preserve">materially </w:t>
      </w:r>
      <w:r w:rsidR="001E051E">
        <w:t>the results reported here. However, in 2007 t</w:t>
      </w:r>
      <w:r w:rsidR="001E051E" w:rsidRPr="001E051E">
        <w:t xml:space="preserve">he </w:t>
      </w:r>
      <w:r w:rsidR="00DC3526">
        <w:t>ABS</w:t>
      </w:r>
      <w:r w:rsidR="001E051E" w:rsidRPr="001E051E">
        <w:t xml:space="preserve"> changed the classification of occupations used to repor</w:t>
      </w:r>
      <w:r w:rsidR="00DC3526">
        <w:t>t results from the Survey of Education and W</w:t>
      </w:r>
      <w:r w:rsidR="001E051E" w:rsidRPr="001E051E">
        <w:t>ork</w:t>
      </w:r>
      <w:r w:rsidR="001E051E">
        <w:t xml:space="preserve">. </w:t>
      </w:r>
      <w:r w:rsidR="001E051E" w:rsidRPr="001E051E">
        <w:t xml:space="preserve">Nonetheless, </w:t>
      </w:r>
      <w:r w:rsidR="001E051E">
        <w:t>it was considered appropriate for the limited purposes of this study to map the highest occupational level from 1998 to 2006</w:t>
      </w:r>
      <w:r w:rsidR="00DC3526">
        <w:t>,</w:t>
      </w:r>
      <w:r w:rsidR="001E051E">
        <w:t xml:space="preserve"> called ‘managers and administrators’</w:t>
      </w:r>
      <w:r w:rsidR="00DC3526">
        <w:t>,</w:t>
      </w:r>
      <w:r w:rsidR="001E051E">
        <w:t xml:space="preserve"> to the highest occupational level from 2007 to 2012</w:t>
      </w:r>
      <w:r w:rsidR="00DC3526">
        <w:t>,</w:t>
      </w:r>
      <w:r w:rsidR="001E051E">
        <w:t xml:space="preserve"> called ‘managers’</w:t>
      </w:r>
      <w:r w:rsidR="00DC3526">
        <w:t>,</w:t>
      </w:r>
      <w:r w:rsidR="001E051E">
        <w:t xml:space="preserve"> and to associate the second highest occupational levels</w:t>
      </w:r>
      <w:r w:rsidR="00DC3526">
        <w:t>,</w:t>
      </w:r>
      <w:r w:rsidR="001E051E">
        <w:t xml:space="preserve"> which were called ‘professional’ from 1998 to 2006 and again from 2007 to 2012. The report considers only broad historical trends</w:t>
      </w:r>
      <w:r w:rsidR="008D2816">
        <w:t xml:space="preserve"> in th</w:t>
      </w:r>
      <w:r w:rsidR="00BA770F">
        <w:t>ese</w:t>
      </w:r>
      <w:r w:rsidR="008D2816">
        <w:t xml:space="preserve"> data</w:t>
      </w:r>
      <w:r w:rsidR="001E051E">
        <w:t>.</w:t>
      </w:r>
    </w:p>
    <w:p w:rsidR="00854D84" w:rsidRDefault="00DC3526" w:rsidP="00251C70">
      <w:pPr>
        <w:pStyle w:val="Text"/>
      </w:pPr>
      <w:r>
        <w:t>For the case studies t</w:t>
      </w:r>
      <w:r w:rsidR="00B854D6">
        <w:t>he team reviewed developments in each of the four industries on which the project is concentrating: agriculture, engineering, finance and health. The team sought progr</w:t>
      </w:r>
      <w:r w:rsidR="00B47F88">
        <w:t xml:space="preserve">ams in each industry </w:t>
      </w:r>
      <w:r>
        <w:t>with</w:t>
      </w:r>
      <w:r w:rsidR="00B47F88">
        <w:t xml:space="preserve"> an </w:t>
      </w:r>
      <w:r w:rsidR="00B854D6">
        <w:t xml:space="preserve">employment logic but </w:t>
      </w:r>
      <w:r w:rsidR="009120B1">
        <w:t xml:space="preserve">which </w:t>
      </w:r>
      <w:r>
        <w:t>had been</w:t>
      </w:r>
      <w:r w:rsidR="00B854D6">
        <w:t xml:space="preserve"> initiated </w:t>
      </w:r>
      <w:r w:rsidR="00251C70">
        <w:t xml:space="preserve">or developed </w:t>
      </w:r>
      <w:r w:rsidR="00B854D6">
        <w:t>by an educatio</w:t>
      </w:r>
      <w:r w:rsidR="009120B1">
        <w:t xml:space="preserve">nal institution. </w:t>
      </w:r>
      <w:r w:rsidR="009F427D">
        <w:t xml:space="preserve">The team was able to identify only a few qualifications that met these conditions, and these were studied. </w:t>
      </w:r>
    </w:p>
    <w:p w:rsidR="00975076" w:rsidRDefault="00854D84" w:rsidP="00251C70">
      <w:pPr>
        <w:pStyle w:val="Text"/>
      </w:pPr>
      <w:r>
        <w:t>Some of the</w:t>
      </w:r>
      <w:r w:rsidR="00DC3526">
        <w:t xml:space="preserve"> cases are clearly of mid-</w:t>
      </w:r>
      <w:r w:rsidR="00251C70">
        <w:t xml:space="preserve">level qualifications, such as the </w:t>
      </w:r>
      <w:r>
        <w:t xml:space="preserve">first case of </w:t>
      </w:r>
      <w:r w:rsidR="00251C70">
        <w:t>a</w:t>
      </w:r>
      <w:r w:rsidR="00251C70" w:rsidRPr="003E02BE">
        <w:t>ssociate degrees in engineering, mining and geoscience</w:t>
      </w:r>
      <w:r w:rsidR="00251C70">
        <w:t xml:space="preserve"> and the </w:t>
      </w:r>
      <w:r>
        <w:t xml:space="preserve">second study of the </w:t>
      </w:r>
      <w:r w:rsidR="00251C70">
        <w:t xml:space="preserve">transition of the financial planning qualification. </w:t>
      </w:r>
      <w:r>
        <w:t xml:space="preserve">The third study is </w:t>
      </w:r>
      <w:r w:rsidR="00251C70">
        <w:t xml:space="preserve">of physician assistants. Physician assistants </w:t>
      </w:r>
      <w:r>
        <w:t xml:space="preserve">were developed as </w:t>
      </w:r>
      <w:r w:rsidRPr="009A1285">
        <w:t>‘assistants with special training, intermediate between that of the technician and that of the doctor</w:t>
      </w:r>
      <w:r w:rsidR="00671A70">
        <w:t>’ and</w:t>
      </w:r>
      <w:r w:rsidR="00DC3526">
        <w:t xml:space="preserve"> </w:t>
      </w:r>
      <w:r w:rsidR="009120B1">
        <w:t xml:space="preserve">theirs </w:t>
      </w:r>
      <w:r w:rsidR="00DC3526">
        <w:t>is clearly a para</w:t>
      </w:r>
      <w:r>
        <w:t xml:space="preserve">professional role. However, reflecting the variable relation between work and qualifications (and </w:t>
      </w:r>
      <w:r w:rsidR="00671A70">
        <w:t xml:space="preserve">the </w:t>
      </w:r>
      <w:r>
        <w:t>contingencies of current higher education funding rules), physicians</w:t>
      </w:r>
      <w:r w:rsidR="00671A70">
        <w:t>’</w:t>
      </w:r>
      <w:r>
        <w:t xml:space="preserve"> assistants </w:t>
      </w:r>
      <w:r w:rsidR="00671A70">
        <w:t>undertook</w:t>
      </w:r>
      <w:r w:rsidR="00251C70">
        <w:t xml:space="preserve"> a master of physician assistant studies</w:t>
      </w:r>
      <w:r w:rsidR="00671A70">
        <w:t>, which is not a mid-</w:t>
      </w:r>
      <w:r>
        <w:t xml:space="preserve">level qualification. The fourth study in agriculture is of </w:t>
      </w:r>
      <w:r w:rsidR="00251C70">
        <w:t>veterinary technologists</w:t>
      </w:r>
      <w:r w:rsidR="00671A70">
        <w:t>. The role of veterinary technologist is relatively</w:t>
      </w:r>
      <w:r>
        <w:t xml:space="preserve"> </w:t>
      </w:r>
      <w:r w:rsidR="00975076">
        <w:t xml:space="preserve">new in Australia </w:t>
      </w:r>
      <w:r w:rsidR="00671A70">
        <w:t xml:space="preserve">and sits </w:t>
      </w:r>
      <w:r w:rsidR="00975076">
        <w:t>between veterinary nurses and veterinary practitioners. T</w:t>
      </w:r>
      <w:r w:rsidR="009420A6">
        <w:t xml:space="preserve">his is also </w:t>
      </w:r>
      <w:r w:rsidR="009420A6">
        <w:lastRenderedPageBreak/>
        <w:t xml:space="preserve">clearly a </w:t>
      </w:r>
      <w:r w:rsidR="00671A70">
        <w:t>para</w:t>
      </w:r>
      <w:r w:rsidR="00975076">
        <w:t xml:space="preserve">professional role. But again reflecting the variable relation between work and education, veterinary technologists </w:t>
      </w:r>
      <w:r w:rsidR="00671A70">
        <w:t>undertake</w:t>
      </w:r>
      <w:r w:rsidR="00251C70">
        <w:t xml:space="preserve"> a bachelor</w:t>
      </w:r>
      <w:r w:rsidR="00251C70" w:rsidRPr="00F42BEF">
        <w:t xml:space="preserve"> </w:t>
      </w:r>
      <w:r w:rsidR="00251C70">
        <w:t>of a</w:t>
      </w:r>
      <w:r w:rsidR="00251C70" w:rsidRPr="00F42BEF">
        <w:t xml:space="preserve">pplied </w:t>
      </w:r>
      <w:r w:rsidR="00251C70">
        <w:t>s</w:t>
      </w:r>
      <w:r w:rsidR="00251C70" w:rsidRPr="00F42BEF">
        <w:t>cience (</w:t>
      </w:r>
      <w:r w:rsidR="00251C70">
        <w:t>v</w:t>
      </w:r>
      <w:r w:rsidR="00251C70" w:rsidRPr="00F42BEF">
        <w:t xml:space="preserve">eterinary </w:t>
      </w:r>
      <w:r w:rsidR="00251C70">
        <w:t>t</w:t>
      </w:r>
      <w:r w:rsidR="00251C70" w:rsidRPr="00F42BEF">
        <w:t>echnology extended major)</w:t>
      </w:r>
      <w:r w:rsidR="00671A70">
        <w:t>,</w:t>
      </w:r>
      <w:r w:rsidR="00975076">
        <w:t xml:space="preserve"> which would not </w:t>
      </w:r>
      <w:r w:rsidR="00671A70">
        <w:t xml:space="preserve">normally </w:t>
      </w:r>
      <w:r w:rsidR="00096B5C">
        <w:t xml:space="preserve">be </w:t>
      </w:r>
      <w:r w:rsidR="00671A70">
        <w:t>identified as a mid-</w:t>
      </w:r>
      <w:r w:rsidR="00975076">
        <w:t>level qualification.</w:t>
      </w:r>
    </w:p>
    <w:p w:rsidR="008D2816" w:rsidRDefault="009F427D" w:rsidP="00B854D6">
      <w:pPr>
        <w:pStyle w:val="Text"/>
      </w:pPr>
      <w:r>
        <w:t xml:space="preserve">The case studies are descriptive and are used to illustrate some of the issues and potential for educational institutions </w:t>
      </w:r>
      <w:r w:rsidR="009420A6">
        <w:t xml:space="preserve">developing </w:t>
      </w:r>
      <w:r>
        <w:t xml:space="preserve">qualifications with </w:t>
      </w:r>
      <w:proofErr w:type="gramStart"/>
      <w:r>
        <w:t>an employment</w:t>
      </w:r>
      <w:proofErr w:type="gramEnd"/>
      <w:r>
        <w:t xml:space="preserve"> logic.</w:t>
      </w:r>
      <w:r w:rsidR="00297D81">
        <w:t xml:space="preserve"> Detailed explanations </w:t>
      </w:r>
      <w:r w:rsidR="00975076">
        <w:t>of</w:t>
      </w:r>
      <w:r w:rsidR="00297D81">
        <w:t xml:space="preserve"> who was consulted in each industry case study and the methods used to prepare each case study are included in the support document attached to this report. </w:t>
      </w:r>
    </w:p>
    <w:p w:rsidR="00DE7F0A" w:rsidRDefault="00DE7F0A" w:rsidP="00B854D6">
      <w:pPr>
        <w:pStyle w:val="Text"/>
      </w:pPr>
    </w:p>
    <w:p w:rsidR="009254E2" w:rsidRDefault="009254E2" w:rsidP="00580968">
      <w:pPr>
        <w:pStyle w:val="Dotpoint1"/>
        <w:numPr>
          <w:ilvl w:val="0"/>
          <w:numId w:val="0"/>
        </w:numPr>
      </w:pPr>
    </w:p>
    <w:p w:rsidR="006D5891" w:rsidRPr="006D5891" w:rsidRDefault="00027123" w:rsidP="006D5891">
      <w:pPr>
        <w:pStyle w:val="Heading1"/>
      </w:pPr>
      <w:r>
        <w:br w:type="page"/>
      </w:r>
      <w:bookmarkStart w:id="40" w:name="_Toc370199896"/>
      <w:r w:rsidR="006D5891" w:rsidRPr="006D5891">
        <w:lastRenderedPageBreak/>
        <w:t>Employment, study and skills outcomes of mid-level qualifications</w:t>
      </w:r>
      <w:bookmarkEnd w:id="40"/>
    </w:p>
    <w:p w:rsidR="00837EEF" w:rsidRDefault="00837EEF" w:rsidP="00837EEF">
      <w:pPr>
        <w:pStyle w:val="Heading2"/>
      </w:pPr>
      <w:bookmarkStart w:id="41" w:name="_Toc370199897"/>
      <w:r>
        <w:t xml:space="preserve">2011 </w:t>
      </w:r>
      <w:r w:rsidR="00E4794D">
        <w:t>Student Outcomes Survey</w:t>
      </w:r>
      <w:bookmarkEnd w:id="41"/>
    </w:p>
    <w:p w:rsidR="006D5891" w:rsidRDefault="00832616" w:rsidP="002B1074">
      <w:pPr>
        <w:pStyle w:val="Text"/>
      </w:pPr>
      <w:r>
        <w:t xml:space="preserve">We first examine data from the NCVER’s 2011 </w:t>
      </w:r>
      <w:r w:rsidR="00E4794D">
        <w:t>Student Outcomes Survey</w:t>
      </w:r>
      <w:r>
        <w:t xml:space="preserve">. </w:t>
      </w:r>
      <w:r w:rsidR="00B47F88">
        <w:t>It</w:t>
      </w:r>
      <w:r>
        <w:t xml:space="preserve"> surveys </w:t>
      </w:r>
      <w:r w:rsidR="00E4794D">
        <w:t>VET</w:t>
      </w:r>
      <w:r>
        <w:t xml:space="preserve"> graduates who completed their study in 2010 </w:t>
      </w:r>
      <w:r w:rsidR="009120B1">
        <w:t>and asks</w:t>
      </w:r>
      <w:r w:rsidR="00E4794D">
        <w:t xml:space="preserve"> </w:t>
      </w:r>
      <w:r>
        <w:t>about their activity in 2011</w:t>
      </w:r>
      <w:r w:rsidR="00E4794D">
        <w:t>,</w:t>
      </w:r>
      <w:r>
        <w:t xml:space="preserve"> six months after they completed their study. </w:t>
      </w:r>
      <w:r w:rsidR="00AC5EDD">
        <w:t xml:space="preserve">Table </w:t>
      </w:r>
      <w:r w:rsidR="00677A50">
        <w:t>3</w:t>
      </w:r>
      <w:r w:rsidR="00855CE0">
        <w:t xml:space="preserve"> </w:t>
      </w:r>
      <w:r w:rsidR="00AC5EDD">
        <w:t xml:space="preserve">shows the proportion of graduates employed after training by level of qualification, broad field of education and narrow field of education for </w:t>
      </w:r>
      <w:r w:rsidR="009120B1">
        <w:t xml:space="preserve">the </w:t>
      </w:r>
      <w:r w:rsidR="00AC5EDD">
        <w:t xml:space="preserve">narrow fields of particular interest </w:t>
      </w:r>
      <w:r w:rsidR="00AC5EDD" w:rsidRPr="002B1074">
        <w:t>to</w:t>
      </w:r>
      <w:r w:rsidR="00AC5EDD">
        <w:t xml:space="preserve"> this study. We note that</w:t>
      </w:r>
      <w:r w:rsidR="00E4794D">
        <w:t>,</w:t>
      </w:r>
      <w:r w:rsidR="00AC5EDD">
        <w:t xml:space="preserve"> for all fields</w:t>
      </w:r>
      <w:r w:rsidR="00E4794D">
        <w:t>,</w:t>
      </w:r>
      <w:r w:rsidR="00AC5EDD">
        <w:t xml:space="preserve"> graduates of certificates III, certificates IV and diplomas and above had similar employment rates after training, ranging from 80.8% to 83.4%. This was markedly higher than the employment rate for certificate II graduates (66.9%)</w:t>
      </w:r>
      <w:r w:rsidR="00E4794D">
        <w:t>,</w:t>
      </w:r>
      <w:r w:rsidR="00AC5EDD">
        <w:t xml:space="preserve"> which in turn was higher than the rate for certificate I graduates (57.6%). </w:t>
      </w:r>
    </w:p>
    <w:p w:rsidR="00E124EF" w:rsidRDefault="00AC5EDD" w:rsidP="00E4794D">
      <w:pPr>
        <w:pStyle w:val="Text"/>
      </w:pPr>
      <w:r>
        <w:t xml:space="preserve">However, this differed </w:t>
      </w:r>
      <w:r w:rsidR="00E4794D">
        <w:t>substantially</w:t>
      </w:r>
      <w:r>
        <w:t xml:space="preserve"> by field of education. In engineering and related technologies and in veterinary studies</w:t>
      </w:r>
      <w:r w:rsidR="00E124EF">
        <w:t>,</w:t>
      </w:r>
      <w:r>
        <w:t xml:space="preserve"> certificates III and IV graduates had higher employment rates than graduates of diplomas and above. In nursing</w:t>
      </w:r>
      <w:r w:rsidR="00E124EF">
        <w:t>,</w:t>
      </w:r>
      <w:r>
        <w:t xml:space="preserve"> diploma graduates (91.0%) had a higher employment rate than graduates of certificates III (86.8%) and IV (86.0%), reflecting the new requirement of a diploma for registration as an enrolled nurse</w:t>
      </w:r>
      <w:r w:rsidR="00E4794D">
        <w:t xml:space="preserve"> (see support document</w:t>
      </w:r>
      <w:r w:rsidRPr="00C6207B">
        <w:t>).</w:t>
      </w:r>
      <w:r>
        <w:t xml:space="preserve"> In banking and finance</w:t>
      </w:r>
      <w:r w:rsidR="00E124EF">
        <w:t>,</w:t>
      </w:r>
      <w:r>
        <w:t xml:space="preserve"> graduates of </w:t>
      </w:r>
      <w:r w:rsidRPr="00AC5EDD">
        <w:t>diploma</w:t>
      </w:r>
      <w:r>
        <w:t>s</w:t>
      </w:r>
      <w:r w:rsidRPr="00AC5EDD">
        <w:t xml:space="preserve"> and </w:t>
      </w:r>
      <w:r>
        <w:t>above had a modest employment rate of 68</w:t>
      </w:r>
      <w:r w:rsidR="005B5073">
        <w:t>.</w:t>
      </w:r>
      <w:r>
        <w:t>6%, which may</w:t>
      </w:r>
      <w:r w:rsidRPr="00AC5EDD">
        <w:t xml:space="preserve"> reflect </w:t>
      </w:r>
      <w:r w:rsidR="002D0C0B">
        <w:t>students’</w:t>
      </w:r>
      <w:r w:rsidRPr="00AC5EDD">
        <w:t xml:space="preserve"> use of </w:t>
      </w:r>
      <w:r w:rsidR="002D0C0B">
        <w:t xml:space="preserve">the diploma as a path to </w:t>
      </w:r>
      <w:r w:rsidRPr="00AC5EDD">
        <w:t>higher education qualifications</w:t>
      </w:r>
      <w:r w:rsidR="009120B1">
        <w:t xml:space="preserve"> and</w:t>
      </w:r>
      <w:r w:rsidRPr="00AC5EDD">
        <w:t xml:space="preserve"> </w:t>
      </w:r>
      <w:r w:rsidR="002D0C0B">
        <w:t xml:space="preserve">which employers use </w:t>
      </w:r>
      <w:r w:rsidRPr="00AC5EDD">
        <w:t>as</w:t>
      </w:r>
      <w:r w:rsidR="00E4794D">
        <w:t xml:space="preserve"> entrance screening for higher-</w:t>
      </w:r>
      <w:r w:rsidRPr="00AC5EDD">
        <w:t>level work within fina</w:t>
      </w:r>
      <w:r w:rsidR="001A30FC">
        <w:t xml:space="preserve">nce fields (Yu, </w:t>
      </w:r>
      <w:proofErr w:type="spellStart"/>
      <w:r w:rsidR="001A30FC">
        <w:t>Bretherton</w:t>
      </w:r>
      <w:proofErr w:type="spellEnd"/>
      <w:r w:rsidR="001A30FC">
        <w:t xml:space="preserve"> &amp; </w:t>
      </w:r>
      <w:proofErr w:type="spellStart"/>
      <w:r w:rsidR="001A30FC">
        <w:t>Schutz</w:t>
      </w:r>
      <w:proofErr w:type="spellEnd"/>
      <w:r w:rsidR="002421EF">
        <w:t xml:space="preserve"> 2012, p.</w:t>
      </w:r>
      <w:r w:rsidRPr="00AC5EDD">
        <w:t>22).</w:t>
      </w:r>
    </w:p>
    <w:p w:rsidR="006C6A61" w:rsidRDefault="006C6A61" w:rsidP="006C6A61">
      <w:pPr>
        <w:pStyle w:val="Text"/>
      </w:pPr>
      <w:bookmarkStart w:id="42" w:name="_Toc369273529"/>
      <w:r>
        <w:t xml:space="preserve">Table 4 shows </w:t>
      </w:r>
      <w:r w:rsidRPr="0012310F">
        <w:t xml:space="preserve">the proportion of graduates </w:t>
      </w:r>
      <w:r>
        <w:t xml:space="preserve">in further study </w:t>
      </w:r>
      <w:r w:rsidRPr="0012310F">
        <w:t xml:space="preserve">after training by level of qualification, broad field of education and narrow field of education for </w:t>
      </w:r>
      <w:r>
        <w:t xml:space="preserve">the </w:t>
      </w:r>
      <w:r w:rsidRPr="0012310F">
        <w:t>narrow fields of particular interest to this study.</w:t>
      </w:r>
      <w:r>
        <w:t xml:space="preserve"> We note that, for all fields, only 29.0% of graduates of certificate III proceeded to further study, presumably reflecting the strong employment focus of apprenticeships and traineeships, which are offered at certificate III. For all other qualifications</w:t>
      </w:r>
      <w:r w:rsidR="00BA770F">
        <w:t>,</w:t>
      </w:r>
      <w:r>
        <w:t xml:space="preserve"> relatively similar proportions proceeded to further study, ranging from 32.9% to 36.3%. Again, these outcomes differed markedly by field. The proportions of graduates of all levels proceeding to further study were relatively high in creative arts (48.2%), information technology (46.6%) and banking and finance (43.2%), and relatively low in process and resources engineering (22.0%) and agriculture (23.4%).</w:t>
      </w:r>
    </w:p>
    <w:p w:rsidR="006C6A61" w:rsidRDefault="006C6A61">
      <w:pPr>
        <w:spacing w:before="0" w:line="240" w:lineRule="auto"/>
        <w:rPr>
          <w:rFonts w:ascii="Tahoma" w:hAnsi="Tahoma"/>
          <w:b/>
          <w:sz w:val="17"/>
        </w:rPr>
      </w:pPr>
      <w:r>
        <w:br w:type="page"/>
      </w:r>
    </w:p>
    <w:p w:rsidR="00837EEF" w:rsidRPr="00837EEF" w:rsidRDefault="006D42DE" w:rsidP="002B1074">
      <w:pPr>
        <w:pStyle w:val="tabletitle"/>
      </w:pPr>
      <w:r>
        <w:lastRenderedPageBreak/>
        <w:t xml:space="preserve">Table </w:t>
      </w:r>
      <w:r w:rsidR="00677A50">
        <w:t>3</w:t>
      </w:r>
      <w:r w:rsidR="00837EEF" w:rsidRPr="00837EEF">
        <w:tab/>
        <w:t>Percentage of graduates in employment six months after training, by level of qualification and broad and selected narrow field of education, 2011</w:t>
      </w:r>
      <w:bookmarkEnd w:id="42"/>
    </w:p>
    <w:tbl>
      <w:tblPr>
        <w:tblW w:w="8789" w:type="dxa"/>
        <w:tblInd w:w="57"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145"/>
        <w:gridCol w:w="940"/>
        <w:gridCol w:w="941"/>
        <w:gridCol w:w="941"/>
        <w:gridCol w:w="940"/>
        <w:gridCol w:w="941"/>
        <w:gridCol w:w="941"/>
      </w:tblGrid>
      <w:tr w:rsidR="00837EEF" w:rsidRPr="002B1074" w:rsidTr="002B1074">
        <w:trPr>
          <w:tblHeader/>
        </w:trPr>
        <w:tc>
          <w:tcPr>
            <w:tcW w:w="2876" w:type="dxa"/>
            <w:tcBorders>
              <w:top w:val="single" w:sz="4" w:space="0" w:color="auto"/>
              <w:bottom w:val="nil"/>
            </w:tcBorders>
            <w:shd w:val="clear" w:color="auto" w:fill="auto"/>
          </w:tcPr>
          <w:p w:rsidR="00837EEF" w:rsidRPr="002B1074" w:rsidRDefault="00837EEF" w:rsidP="002B1074">
            <w:pPr>
              <w:pStyle w:val="Tablehead1"/>
            </w:pPr>
            <w:r w:rsidRPr="002B1074">
              <w:t>Field of education</w:t>
            </w:r>
          </w:p>
        </w:tc>
        <w:tc>
          <w:tcPr>
            <w:tcW w:w="860" w:type="dxa"/>
            <w:tcBorders>
              <w:top w:val="single" w:sz="4" w:space="0" w:color="auto"/>
              <w:bottom w:val="nil"/>
            </w:tcBorders>
          </w:tcPr>
          <w:p w:rsidR="00837EEF" w:rsidRPr="002B1074" w:rsidRDefault="00837EEF" w:rsidP="002B1074">
            <w:pPr>
              <w:pStyle w:val="Tablehead1"/>
              <w:jc w:val="center"/>
            </w:pPr>
            <w:r w:rsidRPr="002B1074">
              <w:t>Cert</w:t>
            </w:r>
            <w:r w:rsidR="00E4794D" w:rsidRPr="002B1074">
              <w:t>.</w:t>
            </w:r>
            <w:r w:rsidRPr="002B1074">
              <w:t xml:space="preserve"> I</w:t>
            </w:r>
          </w:p>
        </w:tc>
        <w:tc>
          <w:tcPr>
            <w:tcW w:w="861" w:type="dxa"/>
            <w:tcBorders>
              <w:top w:val="single" w:sz="4" w:space="0" w:color="auto"/>
              <w:bottom w:val="nil"/>
            </w:tcBorders>
          </w:tcPr>
          <w:p w:rsidR="00837EEF" w:rsidRPr="002B1074" w:rsidRDefault="00E4794D" w:rsidP="002B1074">
            <w:pPr>
              <w:pStyle w:val="Tablehead1"/>
              <w:jc w:val="center"/>
            </w:pPr>
            <w:r w:rsidRPr="002B1074">
              <w:t>Cert.</w:t>
            </w:r>
            <w:r w:rsidR="00837EEF" w:rsidRPr="002B1074">
              <w:t xml:space="preserve"> II</w:t>
            </w:r>
          </w:p>
        </w:tc>
        <w:tc>
          <w:tcPr>
            <w:tcW w:w="861" w:type="dxa"/>
            <w:tcBorders>
              <w:top w:val="single" w:sz="4" w:space="0" w:color="auto"/>
              <w:bottom w:val="nil"/>
            </w:tcBorders>
            <w:shd w:val="clear" w:color="auto" w:fill="auto"/>
          </w:tcPr>
          <w:p w:rsidR="00837EEF" w:rsidRPr="002B1074" w:rsidRDefault="00E4794D" w:rsidP="002B1074">
            <w:pPr>
              <w:pStyle w:val="Tablehead1"/>
              <w:jc w:val="center"/>
            </w:pPr>
            <w:r w:rsidRPr="002B1074">
              <w:t>Cert.</w:t>
            </w:r>
            <w:r w:rsidR="00837EEF" w:rsidRPr="002B1074">
              <w:t xml:space="preserve"> III</w:t>
            </w:r>
          </w:p>
        </w:tc>
        <w:tc>
          <w:tcPr>
            <w:tcW w:w="860" w:type="dxa"/>
            <w:tcBorders>
              <w:top w:val="single" w:sz="4" w:space="0" w:color="auto"/>
              <w:bottom w:val="nil"/>
            </w:tcBorders>
            <w:shd w:val="clear" w:color="auto" w:fill="auto"/>
          </w:tcPr>
          <w:p w:rsidR="00837EEF" w:rsidRPr="002B1074" w:rsidRDefault="00E4794D" w:rsidP="002B1074">
            <w:pPr>
              <w:pStyle w:val="Tablehead1"/>
              <w:jc w:val="center"/>
            </w:pPr>
            <w:r w:rsidRPr="002B1074">
              <w:t>Cert.</w:t>
            </w:r>
            <w:r w:rsidR="00837EEF" w:rsidRPr="002B1074">
              <w:t xml:space="preserve"> IV</w:t>
            </w:r>
          </w:p>
        </w:tc>
        <w:tc>
          <w:tcPr>
            <w:tcW w:w="861" w:type="dxa"/>
            <w:tcBorders>
              <w:top w:val="single" w:sz="4" w:space="0" w:color="auto"/>
              <w:bottom w:val="nil"/>
            </w:tcBorders>
          </w:tcPr>
          <w:p w:rsidR="00837EEF" w:rsidRPr="002B1074" w:rsidRDefault="00837EEF" w:rsidP="002B1074">
            <w:pPr>
              <w:pStyle w:val="Tablehead1"/>
              <w:jc w:val="center"/>
            </w:pPr>
            <w:r w:rsidRPr="002B1074">
              <w:t>Dip</w:t>
            </w:r>
            <w:r w:rsidR="002B1074">
              <w:t>loma</w:t>
            </w:r>
            <w:r w:rsidRPr="002B1074">
              <w:t xml:space="preserve">s </w:t>
            </w:r>
            <w:r w:rsidR="002B1074">
              <w:t>&amp;</w:t>
            </w:r>
            <w:r w:rsidRPr="002B1074">
              <w:t xml:space="preserve"> above</w:t>
            </w:r>
          </w:p>
        </w:tc>
        <w:tc>
          <w:tcPr>
            <w:tcW w:w="861" w:type="dxa"/>
            <w:tcBorders>
              <w:top w:val="single" w:sz="4" w:space="0" w:color="auto"/>
              <w:bottom w:val="nil"/>
            </w:tcBorders>
          </w:tcPr>
          <w:p w:rsidR="00837EEF" w:rsidRPr="002B1074" w:rsidRDefault="00837EEF" w:rsidP="002B1074">
            <w:pPr>
              <w:pStyle w:val="Tablehead1"/>
              <w:jc w:val="center"/>
            </w:pPr>
            <w:r w:rsidRPr="002B1074">
              <w:t>All levels</w:t>
            </w:r>
          </w:p>
        </w:tc>
      </w:tr>
      <w:tr w:rsidR="00837EEF" w:rsidRPr="00354810" w:rsidTr="002B1074">
        <w:tc>
          <w:tcPr>
            <w:tcW w:w="2876" w:type="dxa"/>
            <w:tcBorders>
              <w:top w:val="single" w:sz="4" w:space="0" w:color="auto"/>
              <w:bottom w:val="nil"/>
            </w:tcBorders>
            <w:shd w:val="clear" w:color="auto" w:fill="auto"/>
          </w:tcPr>
          <w:p w:rsidR="00837EEF" w:rsidRPr="002B1074" w:rsidRDefault="00837EEF" w:rsidP="00B65A93">
            <w:pPr>
              <w:pStyle w:val="Tabletext"/>
            </w:pPr>
            <w:r w:rsidRPr="002B1074">
              <w:t>Natural and physical sciences</w:t>
            </w:r>
          </w:p>
        </w:tc>
        <w:tc>
          <w:tcPr>
            <w:tcW w:w="860" w:type="dxa"/>
            <w:tcBorders>
              <w:top w:val="single" w:sz="4" w:space="0" w:color="auto"/>
              <w:bottom w:val="nil"/>
            </w:tcBorders>
          </w:tcPr>
          <w:p w:rsidR="00837EEF" w:rsidRPr="002B1074" w:rsidRDefault="00837EEF" w:rsidP="00FC4DDA">
            <w:pPr>
              <w:pStyle w:val="Tabletext"/>
              <w:tabs>
                <w:tab w:val="decimal" w:pos="397"/>
              </w:tabs>
            </w:pPr>
            <w:r w:rsidRPr="002B1074">
              <w:t>–</w:t>
            </w:r>
          </w:p>
        </w:tc>
        <w:tc>
          <w:tcPr>
            <w:tcW w:w="861" w:type="dxa"/>
            <w:tcBorders>
              <w:top w:val="single" w:sz="4" w:space="0" w:color="auto"/>
              <w:bottom w:val="nil"/>
            </w:tcBorders>
          </w:tcPr>
          <w:p w:rsidR="00837EEF" w:rsidRPr="002B1074" w:rsidRDefault="00837EEF" w:rsidP="00FC4DDA">
            <w:pPr>
              <w:pStyle w:val="Tabletext"/>
              <w:tabs>
                <w:tab w:val="decimal" w:pos="397"/>
              </w:tabs>
            </w:pPr>
            <w:r w:rsidRPr="002B1074">
              <w:t>65.9*</w:t>
            </w:r>
            <w:r w:rsidR="00F13BE3" w:rsidRPr="002B1074">
              <w:t>*</w:t>
            </w:r>
          </w:p>
        </w:tc>
        <w:tc>
          <w:tcPr>
            <w:tcW w:w="861" w:type="dxa"/>
            <w:tcBorders>
              <w:top w:val="single" w:sz="4" w:space="0" w:color="auto"/>
              <w:bottom w:val="nil"/>
            </w:tcBorders>
            <w:shd w:val="clear" w:color="auto" w:fill="auto"/>
          </w:tcPr>
          <w:p w:rsidR="00837EEF" w:rsidRPr="002B1074" w:rsidRDefault="00837EEF" w:rsidP="00FC4DDA">
            <w:pPr>
              <w:pStyle w:val="Tabletext"/>
              <w:tabs>
                <w:tab w:val="decimal" w:pos="397"/>
              </w:tabs>
            </w:pPr>
            <w:r w:rsidRPr="002B1074">
              <w:t>64.7</w:t>
            </w:r>
          </w:p>
        </w:tc>
        <w:tc>
          <w:tcPr>
            <w:tcW w:w="860" w:type="dxa"/>
            <w:tcBorders>
              <w:top w:val="single" w:sz="4" w:space="0" w:color="auto"/>
              <w:bottom w:val="nil"/>
            </w:tcBorders>
            <w:shd w:val="clear" w:color="auto" w:fill="auto"/>
          </w:tcPr>
          <w:p w:rsidR="00837EEF" w:rsidRPr="002B1074" w:rsidRDefault="00837EEF" w:rsidP="00FC4DDA">
            <w:pPr>
              <w:pStyle w:val="Tabletext"/>
              <w:tabs>
                <w:tab w:val="decimal" w:pos="397"/>
              </w:tabs>
            </w:pPr>
            <w:r w:rsidRPr="002B1074">
              <w:t>59.6</w:t>
            </w:r>
          </w:p>
        </w:tc>
        <w:tc>
          <w:tcPr>
            <w:tcW w:w="861" w:type="dxa"/>
            <w:tcBorders>
              <w:top w:val="single" w:sz="4" w:space="0" w:color="auto"/>
              <w:bottom w:val="nil"/>
            </w:tcBorders>
          </w:tcPr>
          <w:p w:rsidR="00837EEF" w:rsidRPr="002B1074" w:rsidRDefault="00837EEF" w:rsidP="00FC4DDA">
            <w:pPr>
              <w:pStyle w:val="Tabletext"/>
              <w:tabs>
                <w:tab w:val="decimal" w:pos="397"/>
              </w:tabs>
            </w:pPr>
            <w:r w:rsidRPr="002B1074">
              <w:t>61.4</w:t>
            </w:r>
          </w:p>
        </w:tc>
        <w:tc>
          <w:tcPr>
            <w:tcW w:w="861" w:type="dxa"/>
            <w:tcBorders>
              <w:top w:val="single" w:sz="4" w:space="0" w:color="auto"/>
              <w:bottom w:val="nil"/>
            </w:tcBorders>
          </w:tcPr>
          <w:p w:rsidR="00837EEF" w:rsidRPr="002B1074" w:rsidRDefault="00837EEF" w:rsidP="00FC4DDA">
            <w:pPr>
              <w:pStyle w:val="Tabletext"/>
              <w:tabs>
                <w:tab w:val="decimal" w:pos="397"/>
              </w:tabs>
              <w:rPr>
                <w:b/>
              </w:rPr>
            </w:pPr>
            <w:r w:rsidRPr="002B1074">
              <w:rPr>
                <w:b/>
              </w:rPr>
              <w:t>62.2</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pPr>
            <w:r w:rsidRPr="002B1074">
              <w:t>Information technology</w:t>
            </w:r>
          </w:p>
        </w:tc>
        <w:tc>
          <w:tcPr>
            <w:tcW w:w="860" w:type="dxa"/>
            <w:tcBorders>
              <w:top w:val="nil"/>
              <w:bottom w:val="nil"/>
            </w:tcBorders>
          </w:tcPr>
          <w:p w:rsidR="00837EEF" w:rsidRPr="002B1074" w:rsidRDefault="00837EEF" w:rsidP="00FC4DDA">
            <w:pPr>
              <w:pStyle w:val="Tabletext"/>
              <w:tabs>
                <w:tab w:val="decimal" w:pos="397"/>
              </w:tabs>
            </w:pPr>
            <w:r w:rsidRPr="002B1074">
              <w:t>–</w:t>
            </w:r>
          </w:p>
        </w:tc>
        <w:tc>
          <w:tcPr>
            <w:tcW w:w="861" w:type="dxa"/>
            <w:tcBorders>
              <w:top w:val="nil"/>
              <w:bottom w:val="nil"/>
            </w:tcBorders>
          </w:tcPr>
          <w:p w:rsidR="00837EEF" w:rsidRPr="002B1074" w:rsidRDefault="00837EEF" w:rsidP="00FC4DDA">
            <w:pPr>
              <w:pStyle w:val="Tabletext"/>
              <w:tabs>
                <w:tab w:val="decimal" w:pos="397"/>
              </w:tabs>
            </w:pPr>
            <w:r w:rsidRPr="002B1074">
              <w:t>47.8</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48.4</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58.2</w:t>
            </w:r>
          </w:p>
        </w:tc>
        <w:tc>
          <w:tcPr>
            <w:tcW w:w="861" w:type="dxa"/>
            <w:tcBorders>
              <w:top w:val="nil"/>
              <w:bottom w:val="nil"/>
            </w:tcBorders>
          </w:tcPr>
          <w:p w:rsidR="00837EEF" w:rsidRPr="002B1074" w:rsidRDefault="00837EEF" w:rsidP="00FC4DDA">
            <w:pPr>
              <w:pStyle w:val="Tabletext"/>
              <w:tabs>
                <w:tab w:val="decimal" w:pos="397"/>
              </w:tabs>
            </w:pPr>
            <w:r w:rsidRPr="002B1074">
              <w:t>63.1</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56.1</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pPr>
            <w:r w:rsidRPr="002B1074">
              <w:t>Engineering and related technologies</w:t>
            </w:r>
          </w:p>
        </w:tc>
        <w:tc>
          <w:tcPr>
            <w:tcW w:w="860" w:type="dxa"/>
            <w:tcBorders>
              <w:top w:val="nil"/>
              <w:bottom w:val="nil"/>
            </w:tcBorders>
          </w:tcPr>
          <w:p w:rsidR="00837EEF" w:rsidRPr="002B1074" w:rsidRDefault="00837EEF" w:rsidP="00FC4DDA">
            <w:pPr>
              <w:pStyle w:val="Tabletext"/>
              <w:tabs>
                <w:tab w:val="decimal" w:pos="397"/>
              </w:tabs>
            </w:pPr>
            <w:r w:rsidRPr="002B1074">
              <w:t>62.7</w:t>
            </w:r>
          </w:p>
        </w:tc>
        <w:tc>
          <w:tcPr>
            <w:tcW w:w="861" w:type="dxa"/>
            <w:tcBorders>
              <w:top w:val="nil"/>
              <w:bottom w:val="nil"/>
            </w:tcBorders>
          </w:tcPr>
          <w:p w:rsidR="00837EEF" w:rsidRPr="002B1074" w:rsidRDefault="00837EEF" w:rsidP="00FC4DDA">
            <w:pPr>
              <w:pStyle w:val="Tabletext"/>
              <w:tabs>
                <w:tab w:val="decimal" w:pos="397"/>
              </w:tabs>
            </w:pPr>
            <w:r w:rsidRPr="002B1074">
              <w:t>74.4</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90.8</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94.6</w:t>
            </w:r>
          </w:p>
        </w:tc>
        <w:tc>
          <w:tcPr>
            <w:tcW w:w="861" w:type="dxa"/>
            <w:tcBorders>
              <w:top w:val="nil"/>
              <w:bottom w:val="nil"/>
            </w:tcBorders>
          </w:tcPr>
          <w:p w:rsidR="00837EEF" w:rsidRPr="002B1074" w:rsidRDefault="00837EEF" w:rsidP="00FC4DDA">
            <w:pPr>
              <w:pStyle w:val="Tabletext"/>
              <w:tabs>
                <w:tab w:val="decimal" w:pos="397"/>
              </w:tabs>
            </w:pPr>
            <w:r w:rsidRPr="002B1074">
              <w:t>83.0</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85.6</w:t>
            </w:r>
          </w:p>
        </w:tc>
      </w:tr>
      <w:tr w:rsidR="00837EEF" w:rsidRPr="00354810" w:rsidTr="002B1074">
        <w:tc>
          <w:tcPr>
            <w:tcW w:w="2876" w:type="dxa"/>
            <w:tcBorders>
              <w:top w:val="nil"/>
              <w:bottom w:val="nil"/>
            </w:tcBorders>
            <w:shd w:val="clear" w:color="auto" w:fill="auto"/>
          </w:tcPr>
          <w:p w:rsidR="00837EEF" w:rsidRPr="002B1074" w:rsidRDefault="00837EEF" w:rsidP="002B1074">
            <w:pPr>
              <w:pStyle w:val="Tabletext"/>
              <w:ind w:left="284"/>
            </w:pPr>
            <w:r w:rsidRPr="002B1074">
              <w:t>Process and resources engineering</w:t>
            </w:r>
          </w:p>
        </w:tc>
        <w:tc>
          <w:tcPr>
            <w:tcW w:w="860" w:type="dxa"/>
            <w:tcBorders>
              <w:top w:val="nil"/>
              <w:bottom w:val="nil"/>
            </w:tcBorders>
          </w:tcPr>
          <w:p w:rsidR="00837EEF" w:rsidRPr="002B1074" w:rsidRDefault="00837EEF" w:rsidP="00FC4DDA">
            <w:pPr>
              <w:pStyle w:val="Tabletext"/>
              <w:tabs>
                <w:tab w:val="decimal" w:pos="397"/>
              </w:tabs>
            </w:pPr>
            <w:r w:rsidRPr="002B1074">
              <w:t>86.6</w:t>
            </w:r>
          </w:p>
        </w:tc>
        <w:tc>
          <w:tcPr>
            <w:tcW w:w="861" w:type="dxa"/>
            <w:tcBorders>
              <w:top w:val="nil"/>
              <w:bottom w:val="nil"/>
            </w:tcBorders>
          </w:tcPr>
          <w:p w:rsidR="00837EEF" w:rsidRPr="002B1074" w:rsidRDefault="00837EEF" w:rsidP="00FC4DDA">
            <w:pPr>
              <w:pStyle w:val="Tabletext"/>
              <w:tabs>
                <w:tab w:val="decimal" w:pos="397"/>
              </w:tabs>
            </w:pPr>
            <w:r w:rsidRPr="002B1074">
              <w:t>85.5</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90.7</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95.9</w:t>
            </w:r>
          </w:p>
        </w:tc>
        <w:tc>
          <w:tcPr>
            <w:tcW w:w="861" w:type="dxa"/>
            <w:tcBorders>
              <w:top w:val="nil"/>
              <w:bottom w:val="nil"/>
            </w:tcBorders>
          </w:tcPr>
          <w:p w:rsidR="00837EEF" w:rsidRPr="002B1074" w:rsidRDefault="00837EEF" w:rsidP="00FC4DDA">
            <w:pPr>
              <w:pStyle w:val="Tabletext"/>
              <w:tabs>
                <w:tab w:val="decimal" w:pos="397"/>
              </w:tabs>
            </w:pPr>
            <w:r w:rsidRPr="002B1074">
              <w:t>87.7</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89.7</w:t>
            </w:r>
          </w:p>
        </w:tc>
      </w:tr>
      <w:tr w:rsidR="00837EEF" w:rsidRPr="00354810" w:rsidTr="002B1074">
        <w:tc>
          <w:tcPr>
            <w:tcW w:w="2876" w:type="dxa"/>
            <w:tcBorders>
              <w:top w:val="nil"/>
              <w:bottom w:val="nil"/>
            </w:tcBorders>
            <w:shd w:val="clear" w:color="auto" w:fill="auto"/>
          </w:tcPr>
          <w:p w:rsidR="00837EEF" w:rsidRPr="002B1074" w:rsidRDefault="00837EEF" w:rsidP="002B1074">
            <w:pPr>
              <w:pStyle w:val="Tabletext"/>
              <w:ind w:left="284"/>
            </w:pPr>
            <w:r w:rsidRPr="002B1074">
              <w:t>Electrical and electronic engineering and technology</w:t>
            </w:r>
          </w:p>
        </w:tc>
        <w:tc>
          <w:tcPr>
            <w:tcW w:w="860" w:type="dxa"/>
            <w:tcBorders>
              <w:top w:val="nil"/>
              <w:bottom w:val="nil"/>
            </w:tcBorders>
          </w:tcPr>
          <w:p w:rsidR="00837EEF" w:rsidRPr="002B1074" w:rsidRDefault="00837EEF" w:rsidP="00FC4DDA">
            <w:pPr>
              <w:pStyle w:val="Tabletext"/>
              <w:tabs>
                <w:tab w:val="decimal" w:pos="397"/>
              </w:tabs>
            </w:pPr>
            <w:r w:rsidRPr="002B1074">
              <w:t>36.9</w:t>
            </w:r>
            <w:r w:rsidR="007362B2" w:rsidRPr="002B1074">
              <w:t>**</w:t>
            </w:r>
          </w:p>
        </w:tc>
        <w:tc>
          <w:tcPr>
            <w:tcW w:w="861" w:type="dxa"/>
            <w:tcBorders>
              <w:top w:val="nil"/>
              <w:bottom w:val="nil"/>
            </w:tcBorders>
          </w:tcPr>
          <w:p w:rsidR="00837EEF" w:rsidRPr="002B1074" w:rsidRDefault="00837EEF" w:rsidP="00FC4DDA">
            <w:pPr>
              <w:pStyle w:val="Tabletext"/>
              <w:tabs>
                <w:tab w:val="decimal" w:pos="397"/>
              </w:tabs>
            </w:pPr>
            <w:r w:rsidRPr="002B1074">
              <w:t>78.4</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93.8</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96.1</w:t>
            </w:r>
          </w:p>
        </w:tc>
        <w:tc>
          <w:tcPr>
            <w:tcW w:w="861" w:type="dxa"/>
            <w:tcBorders>
              <w:top w:val="nil"/>
              <w:bottom w:val="nil"/>
            </w:tcBorders>
          </w:tcPr>
          <w:p w:rsidR="00837EEF" w:rsidRPr="002B1074" w:rsidRDefault="00837EEF" w:rsidP="00FC4DDA">
            <w:pPr>
              <w:pStyle w:val="Tabletext"/>
              <w:tabs>
                <w:tab w:val="decimal" w:pos="397"/>
              </w:tabs>
            </w:pPr>
            <w:r w:rsidRPr="002B1074">
              <w:t>76.9</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88.6</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pPr>
            <w:r w:rsidRPr="002B1074">
              <w:t>Architecture and building</w:t>
            </w:r>
          </w:p>
        </w:tc>
        <w:tc>
          <w:tcPr>
            <w:tcW w:w="860" w:type="dxa"/>
            <w:tcBorders>
              <w:top w:val="nil"/>
              <w:bottom w:val="nil"/>
            </w:tcBorders>
          </w:tcPr>
          <w:p w:rsidR="00837EEF" w:rsidRPr="002B1074" w:rsidRDefault="00837EEF" w:rsidP="00FC4DDA">
            <w:pPr>
              <w:pStyle w:val="Tabletext"/>
              <w:tabs>
                <w:tab w:val="decimal" w:pos="397"/>
              </w:tabs>
            </w:pPr>
            <w:r w:rsidRPr="002B1074">
              <w:t>76.2</w:t>
            </w:r>
          </w:p>
        </w:tc>
        <w:tc>
          <w:tcPr>
            <w:tcW w:w="861" w:type="dxa"/>
            <w:tcBorders>
              <w:top w:val="nil"/>
              <w:bottom w:val="nil"/>
            </w:tcBorders>
          </w:tcPr>
          <w:p w:rsidR="00837EEF" w:rsidRPr="002B1074" w:rsidRDefault="00837EEF" w:rsidP="00FC4DDA">
            <w:pPr>
              <w:pStyle w:val="Tabletext"/>
              <w:tabs>
                <w:tab w:val="decimal" w:pos="397"/>
              </w:tabs>
            </w:pPr>
            <w:r w:rsidRPr="002B1074">
              <w:t>75.6</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93.4</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88.3</w:t>
            </w:r>
          </w:p>
        </w:tc>
        <w:tc>
          <w:tcPr>
            <w:tcW w:w="861" w:type="dxa"/>
            <w:tcBorders>
              <w:top w:val="nil"/>
              <w:bottom w:val="nil"/>
            </w:tcBorders>
          </w:tcPr>
          <w:p w:rsidR="00837EEF" w:rsidRPr="002B1074" w:rsidRDefault="00837EEF" w:rsidP="00FC4DDA">
            <w:pPr>
              <w:pStyle w:val="Tabletext"/>
              <w:tabs>
                <w:tab w:val="decimal" w:pos="397"/>
              </w:tabs>
            </w:pPr>
            <w:r w:rsidRPr="002B1074">
              <w:t>83.9</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86.3</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pPr>
            <w:r w:rsidRPr="002B1074">
              <w:t>Agriculture, environmental and related studies</w:t>
            </w:r>
          </w:p>
        </w:tc>
        <w:tc>
          <w:tcPr>
            <w:tcW w:w="860" w:type="dxa"/>
            <w:tcBorders>
              <w:top w:val="nil"/>
              <w:bottom w:val="nil"/>
            </w:tcBorders>
          </w:tcPr>
          <w:p w:rsidR="00837EEF" w:rsidRPr="002B1074" w:rsidRDefault="00837EEF" w:rsidP="00FC4DDA">
            <w:pPr>
              <w:pStyle w:val="Tabletext"/>
              <w:tabs>
                <w:tab w:val="decimal" w:pos="397"/>
              </w:tabs>
            </w:pPr>
            <w:r w:rsidRPr="002B1074">
              <w:t>53.6</w:t>
            </w:r>
          </w:p>
        </w:tc>
        <w:tc>
          <w:tcPr>
            <w:tcW w:w="861" w:type="dxa"/>
            <w:tcBorders>
              <w:top w:val="nil"/>
              <w:bottom w:val="nil"/>
            </w:tcBorders>
          </w:tcPr>
          <w:p w:rsidR="00837EEF" w:rsidRPr="002B1074" w:rsidRDefault="00837EEF" w:rsidP="00FC4DDA">
            <w:pPr>
              <w:pStyle w:val="Tabletext"/>
              <w:tabs>
                <w:tab w:val="decimal" w:pos="397"/>
              </w:tabs>
            </w:pPr>
            <w:r w:rsidRPr="002B1074">
              <w:t>74.5</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87.4</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90.1</w:t>
            </w:r>
          </w:p>
        </w:tc>
        <w:tc>
          <w:tcPr>
            <w:tcW w:w="861" w:type="dxa"/>
            <w:tcBorders>
              <w:top w:val="nil"/>
              <w:bottom w:val="nil"/>
            </w:tcBorders>
          </w:tcPr>
          <w:p w:rsidR="00837EEF" w:rsidRPr="002B1074" w:rsidRDefault="00837EEF" w:rsidP="00FC4DDA">
            <w:pPr>
              <w:pStyle w:val="Tabletext"/>
              <w:tabs>
                <w:tab w:val="decimal" w:pos="397"/>
              </w:tabs>
            </w:pPr>
            <w:r w:rsidRPr="002B1074">
              <w:t>92.3</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82.8</w:t>
            </w:r>
          </w:p>
        </w:tc>
      </w:tr>
      <w:tr w:rsidR="00837EEF" w:rsidRPr="00354810" w:rsidTr="002B1074">
        <w:tc>
          <w:tcPr>
            <w:tcW w:w="2876" w:type="dxa"/>
            <w:tcBorders>
              <w:top w:val="nil"/>
              <w:bottom w:val="nil"/>
            </w:tcBorders>
            <w:shd w:val="clear" w:color="auto" w:fill="auto"/>
          </w:tcPr>
          <w:p w:rsidR="00837EEF" w:rsidRPr="002B1074" w:rsidRDefault="00837EEF" w:rsidP="002B1074">
            <w:pPr>
              <w:pStyle w:val="Tabletext"/>
              <w:ind w:left="284"/>
            </w:pPr>
            <w:r w:rsidRPr="002B1074">
              <w:t>Agriculture</w:t>
            </w:r>
          </w:p>
        </w:tc>
        <w:tc>
          <w:tcPr>
            <w:tcW w:w="860" w:type="dxa"/>
            <w:tcBorders>
              <w:top w:val="nil"/>
              <w:bottom w:val="nil"/>
            </w:tcBorders>
          </w:tcPr>
          <w:p w:rsidR="00837EEF" w:rsidRPr="002B1074" w:rsidRDefault="00837EEF" w:rsidP="00FC4DDA">
            <w:pPr>
              <w:pStyle w:val="Tabletext"/>
              <w:tabs>
                <w:tab w:val="decimal" w:pos="397"/>
              </w:tabs>
            </w:pPr>
            <w:r w:rsidRPr="002B1074">
              <w:t>41.</w:t>
            </w:r>
            <w:r w:rsidR="007362B2" w:rsidRPr="002B1074">
              <w:t>4*</w:t>
            </w:r>
          </w:p>
        </w:tc>
        <w:tc>
          <w:tcPr>
            <w:tcW w:w="861" w:type="dxa"/>
            <w:tcBorders>
              <w:top w:val="nil"/>
              <w:bottom w:val="nil"/>
            </w:tcBorders>
          </w:tcPr>
          <w:p w:rsidR="00837EEF" w:rsidRPr="002B1074" w:rsidRDefault="00837EEF" w:rsidP="00FC4DDA">
            <w:pPr>
              <w:pStyle w:val="Tabletext"/>
              <w:tabs>
                <w:tab w:val="decimal" w:pos="397"/>
              </w:tabs>
            </w:pPr>
            <w:r w:rsidRPr="002B1074">
              <w:t>77.3</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91.0</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91.1</w:t>
            </w:r>
          </w:p>
        </w:tc>
        <w:tc>
          <w:tcPr>
            <w:tcW w:w="861" w:type="dxa"/>
            <w:tcBorders>
              <w:top w:val="nil"/>
              <w:bottom w:val="nil"/>
            </w:tcBorders>
          </w:tcPr>
          <w:p w:rsidR="00837EEF" w:rsidRPr="002B1074" w:rsidRDefault="00837EEF" w:rsidP="00FC4DDA">
            <w:pPr>
              <w:pStyle w:val="Tabletext"/>
              <w:tabs>
                <w:tab w:val="decimal" w:pos="397"/>
              </w:tabs>
            </w:pPr>
            <w:r w:rsidRPr="002B1074">
              <w:t>94.2</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85.4</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pPr>
            <w:r w:rsidRPr="002B1074">
              <w:t>Health</w:t>
            </w:r>
          </w:p>
        </w:tc>
        <w:tc>
          <w:tcPr>
            <w:tcW w:w="860" w:type="dxa"/>
            <w:tcBorders>
              <w:top w:val="nil"/>
              <w:bottom w:val="nil"/>
            </w:tcBorders>
          </w:tcPr>
          <w:p w:rsidR="00837EEF" w:rsidRPr="002B1074" w:rsidRDefault="00837EEF" w:rsidP="00FC4DDA">
            <w:pPr>
              <w:pStyle w:val="Tabletext"/>
              <w:tabs>
                <w:tab w:val="decimal" w:pos="397"/>
              </w:tabs>
            </w:pPr>
            <w:r w:rsidRPr="002B1074">
              <w:t>42.1</w:t>
            </w:r>
          </w:p>
        </w:tc>
        <w:tc>
          <w:tcPr>
            <w:tcW w:w="861" w:type="dxa"/>
            <w:tcBorders>
              <w:top w:val="nil"/>
              <w:bottom w:val="nil"/>
            </w:tcBorders>
          </w:tcPr>
          <w:p w:rsidR="00837EEF" w:rsidRPr="002B1074" w:rsidRDefault="00837EEF" w:rsidP="00FC4DDA">
            <w:pPr>
              <w:pStyle w:val="Tabletext"/>
              <w:tabs>
                <w:tab w:val="decimal" w:pos="397"/>
              </w:tabs>
            </w:pPr>
            <w:r w:rsidRPr="002B1074">
              <w:t>79.7</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83.2</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87.7</w:t>
            </w:r>
          </w:p>
        </w:tc>
        <w:tc>
          <w:tcPr>
            <w:tcW w:w="861" w:type="dxa"/>
            <w:tcBorders>
              <w:top w:val="nil"/>
              <w:bottom w:val="nil"/>
            </w:tcBorders>
          </w:tcPr>
          <w:p w:rsidR="00837EEF" w:rsidRPr="002B1074" w:rsidRDefault="00837EEF" w:rsidP="00FC4DDA">
            <w:pPr>
              <w:pStyle w:val="Tabletext"/>
              <w:tabs>
                <w:tab w:val="decimal" w:pos="397"/>
              </w:tabs>
            </w:pPr>
            <w:r w:rsidRPr="002B1074">
              <w:t>91.0</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84.3</w:t>
            </w:r>
          </w:p>
        </w:tc>
      </w:tr>
      <w:tr w:rsidR="00837EEF" w:rsidRPr="00354810" w:rsidTr="002B1074">
        <w:tc>
          <w:tcPr>
            <w:tcW w:w="2876" w:type="dxa"/>
            <w:tcBorders>
              <w:top w:val="nil"/>
              <w:bottom w:val="nil"/>
            </w:tcBorders>
            <w:shd w:val="clear" w:color="auto" w:fill="auto"/>
          </w:tcPr>
          <w:p w:rsidR="00837EEF" w:rsidRPr="002B1074" w:rsidRDefault="00837EEF" w:rsidP="002B1074">
            <w:pPr>
              <w:pStyle w:val="Tabletext"/>
              <w:ind w:left="284"/>
            </w:pPr>
            <w:r w:rsidRPr="002B1074">
              <w:t>Nursing</w:t>
            </w:r>
          </w:p>
        </w:tc>
        <w:tc>
          <w:tcPr>
            <w:tcW w:w="860" w:type="dxa"/>
            <w:tcBorders>
              <w:top w:val="nil"/>
              <w:bottom w:val="nil"/>
            </w:tcBorders>
          </w:tcPr>
          <w:p w:rsidR="00837EEF" w:rsidRPr="002B1074" w:rsidRDefault="00837EEF" w:rsidP="00FC4DDA">
            <w:pPr>
              <w:pStyle w:val="Tabletext"/>
              <w:tabs>
                <w:tab w:val="decimal" w:pos="397"/>
              </w:tabs>
            </w:pPr>
            <w:r w:rsidRPr="002B1074">
              <w:softHyphen/>
              <w:t>–</w:t>
            </w:r>
          </w:p>
        </w:tc>
        <w:tc>
          <w:tcPr>
            <w:tcW w:w="861" w:type="dxa"/>
            <w:tcBorders>
              <w:top w:val="nil"/>
              <w:bottom w:val="nil"/>
            </w:tcBorders>
          </w:tcPr>
          <w:p w:rsidR="00837EEF" w:rsidRPr="002B1074" w:rsidRDefault="00837EEF" w:rsidP="00FC4DDA">
            <w:pPr>
              <w:pStyle w:val="Tabletext"/>
              <w:tabs>
                <w:tab w:val="decimal" w:pos="397"/>
              </w:tabs>
            </w:pPr>
            <w:r w:rsidRPr="002B1074">
              <w:t>12.4</w:t>
            </w:r>
            <w:r w:rsidR="002218B7" w:rsidRPr="002B1074">
              <w:t>**</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86.8</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86.0</w:t>
            </w:r>
          </w:p>
        </w:tc>
        <w:tc>
          <w:tcPr>
            <w:tcW w:w="861" w:type="dxa"/>
            <w:tcBorders>
              <w:top w:val="nil"/>
              <w:bottom w:val="nil"/>
            </w:tcBorders>
          </w:tcPr>
          <w:p w:rsidR="00837EEF" w:rsidRPr="002B1074" w:rsidRDefault="00837EEF" w:rsidP="00FC4DDA">
            <w:pPr>
              <w:pStyle w:val="Tabletext"/>
              <w:tabs>
                <w:tab w:val="decimal" w:pos="397"/>
              </w:tabs>
            </w:pPr>
            <w:r w:rsidRPr="002B1074">
              <w:t>91.0</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88.4</w:t>
            </w:r>
          </w:p>
        </w:tc>
      </w:tr>
      <w:tr w:rsidR="00837EEF" w:rsidRPr="00354810" w:rsidTr="002B1074">
        <w:tc>
          <w:tcPr>
            <w:tcW w:w="2876" w:type="dxa"/>
            <w:tcBorders>
              <w:top w:val="nil"/>
              <w:bottom w:val="nil"/>
            </w:tcBorders>
            <w:shd w:val="clear" w:color="auto" w:fill="auto"/>
          </w:tcPr>
          <w:p w:rsidR="00837EEF" w:rsidRPr="002B1074" w:rsidRDefault="00837EEF" w:rsidP="002B1074">
            <w:pPr>
              <w:pStyle w:val="Tabletext"/>
              <w:ind w:left="284"/>
            </w:pPr>
            <w:r w:rsidRPr="002B1074">
              <w:t>Veterinary studies</w:t>
            </w:r>
          </w:p>
        </w:tc>
        <w:tc>
          <w:tcPr>
            <w:tcW w:w="860" w:type="dxa"/>
            <w:tcBorders>
              <w:top w:val="nil"/>
              <w:bottom w:val="nil"/>
            </w:tcBorders>
          </w:tcPr>
          <w:p w:rsidR="00837EEF" w:rsidRPr="002B1074" w:rsidRDefault="00837EEF" w:rsidP="00FC4DDA">
            <w:pPr>
              <w:pStyle w:val="Tabletext"/>
              <w:tabs>
                <w:tab w:val="decimal" w:pos="397"/>
              </w:tabs>
            </w:pPr>
            <w:r w:rsidRPr="002B1074">
              <w:t>43.5</w:t>
            </w:r>
          </w:p>
        </w:tc>
        <w:tc>
          <w:tcPr>
            <w:tcW w:w="861" w:type="dxa"/>
            <w:tcBorders>
              <w:top w:val="nil"/>
              <w:bottom w:val="nil"/>
            </w:tcBorders>
          </w:tcPr>
          <w:p w:rsidR="00837EEF" w:rsidRPr="002B1074" w:rsidRDefault="00837EEF" w:rsidP="00FC4DDA">
            <w:pPr>
              <w:pStyle w:val="Tabletext"/>
              <w:tabs>
                <w:tab w:val="decimal" w:pos="397"/>
              </w:tabs>
            </w:pPr>
            <w:r w:rsidRPr="002B1074">
              <w:t>62.3</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80.4</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87.6</w:t>
            </w:r>
          </w:p>
        </w:tc>
        <w:tc>
          <w:tcPr>
            <w:tcW w:w="861" w:type="dxa"/>
            <w:tcBorders>
              <w:top w:val="nil"/>
              <w:bottom w:val="nil"/>
            </w:tcBorders>
          </w:tcPr>
          <w:p w:rsidR="00837EEF" w:rsidRPr="002B1074" w:rsidRDefault="00837EEF" w:rsidP="00FC4DDA">
            <w:pPr>
              <w:pStyle w:val="Tabletext"/>
              <w:tabs>
                <w:tab w:val="decimal" w:pos="397"/>
              </w:tabs>
            </w:pPr>
            <w:r w:rsidRPr="002B1074">
              <w:t>78.0</w:t>
            </w:r>
            <w:r w:rsidR="00F13BE3" w:rsidRPr="002B1074">
              <w:t>**</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71.6</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rPr>
                <w:bCs/>
              </w:rPr>
            </w:pPr>
            <w:r w:rsidRPr="002B1074">
              <w:rPr>
                <w:bCs/>
              </w:rPr>
              <w:t>Education</w:t>
            </w:r>
          </w:p>
        </w:tc>
        <w:tc>
          <w:tcPr>
            <w:tcW w:w="860" w:type="dxa"/>
            <w:tcBorders>
              <w:top w:val="nil"/>
              <w:bottom w:val="nil"/>
            </w:tcBorders>
          </w:tcPr>
          <w:p w:rsidR="00837EEF" w:rsidRPr="002B1074" w:rsidRDefault="00837EEF" w:rsidP="00FC4DDA">
            <w:pPr>
              <w:pStyle w:val="Tabletext"/>
              <w:tabs>
                <w:tab w:val="decimal" w:pos="397"/>
              </w:tabs>
            </w:pPr>
            <w:r w:rsidRPr="002B1074">
              <w:t>43.7</w:t>
            </w:r>
          </w:p>
        </w:tc>
        <w:tc>
          <w:tcPr>
            <w:tcW w:w="861" w:type="dxa"/>
            <w:tcBorders>
              <w:top w:val="nil"/>
              <w:bottom w:val="nil"/>
            </w:tcBorders>
          </w:tcPr>
          <w:p w:rsidR="00837EEF" w:rsidRPr="002B1074" w:rsidRDefault="00837EEF" w:rsidP="00FC4DDA">
            <w:pPr>
              <w:pStyle w:val="Tabletext"/>
              <w:tabs>
                <w:tab w:val="decimal" w:pos="397"/>
              </w:tabs>
            </w:pPr>
            <w:r w:rsidRPr="002B1074">
              <w:t>100.0**</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78.0</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91.2</w:t>
            </w:r>
          </w:p>
        </w:tc>
        <w:tc>
          <w:tcPr>
            <w:tcW w:w="861" w:type="dxa"/>
            <w:tcBorders>
              <w:top w:val="nil"/>
              <w:bottom w:val="nil"/>
            </w:tcBorders>
          </w:tcPr>
          <w:p w:rsidR="00837EEF" w:rsidRPr="002B1074" w:rsidRDefault="00837EEF" w:rsidP="00FC4DDA">
            <w:pPr>
              <w:pStyle w:val="Tabletext"/>
              <w:tabs>
                <w:tab w:val="decimal" w:pos="397"/>
              </w:tabs>
            </w:pPr>
            <w:r w:rsidRPr="002B1074">
              <w:t>98.2</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89.9</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rPr>
                <w:bCs/>
              </w:rPr>
            </w:pPr>
            <w:r w:rsidRPr="002B1074">
              <w:rPr>
                <w:bCs/>
              </w:rPr>
              <w:t>Management and commerce</w:t>
            </w:r>
          </w:p>
        </w:tc>
        <w:tc>
          <w:tcPr>
            <w:tcW w:w="860" w:type="dxa"/>
            <w:tcBorders>
              <w:top w:val="nil"/>
              <w:bottom w:val="nil"/>
            </w:tcBorders>
          </w:tcPr>
          <w:p w:rsidR="00837EEF" w:rsidRPr="002B1074" w:rsidRDefault="00837EEF" w:rsidP="00FC4DDA">
            <w:pPr>
              <w:pStyle w:val="Tabletext"/>
              <w:tabs>
                <w:tab w:val="decimal" w:pos="397"/>
              </w:tabs>
            </w:pPr>
            <w:r w:rsidRPr="002B1074">
              <w:t>55.2</w:t>
            </w:r>
          </w:p>
        </w:tc>
        <w:tc>
          <w:tcPr>
            <w:tcW w:w="861" w:type="dxa"/>
            <w:tcBorders>
              <w:top w:val="nil"/>
              <w:bottom w:val="nil"/>
            </w:tcBorders>
          </w:tcPr>
          <w:p w:rsidR="00837EEF" w:rsidRPr="002B1074" w:rsidRDefault="00837EEF" w:rsidP="00FC4DDA">
            <w:pPr>
              <w:pStyle w:val="Tabletext"/>
              <w:tabs>
                <w:tab w:val="decimal" w:pos="397"/>
              </w:tabs>
            </w:pPr>
            <w:r w:rsidRPr="002B1074">
              <w:t>61.9</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75.8</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83.7</w:t>
            </w:r>
          </w:p>
        </w:tc>
        <w:tc>
          <w:tcPr>
            <w:tcW w:w="861" w:type="dxa"/>
            <w:tcBorders>
              <w:top w:val="nil"/>
              <w:bottom w:val="nil"/>
            </w:tcBorders>
          </w:tcPr>
          <w:p w:rsidR="00837EEF" w:rsidRPr="002B1074" w:rsidRDefault="00837EEF" w:rsidP="00FC4DDA">
            <w:pPr>
              <w:pStyle w:val="Tabletext"/>
              <w:tabs>
                <w:tab w:val="decimal" w:pos="397"/>
              </w:tabs>
            </w:pPr>
            <w:r w:rsidRPr="002B1074">
              <w:t>85.7</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76.3</w:t>
            </w:r>
          </w:p>
        </w:tc>
      </w:tr>
      <w:tr w:rsidR="00837EEF" w:rsidRPr="00354810" w:rsidTr="002B1074">
        <w:tc>
          <w:tcPr>
            <w:tcW w:w="2876" w:type="dxa"/>
            <w:tcBorders>
              <w:top w:val="nil"/>
              <w:bottom w:val="nil"/>
            </w:tcBorders>
            <w:shd w:val="clear" w:color="auto" w:fill="auto"/>
          </w:tcPr>
          <w:p w:rsidR="00837EEF" w:rsidRPr="002B1074" w:rsidRDefault="00837EEF" w:rsidP="002B1074">
            <w:pPr>
              <w:pStyle w:val="Tabletext"/>
              <w:ind w:left="284"/>
            </w:pPr>
            <w:r w:rsidRPr="002B1074">
              <w:t>Banking and finance</w:t>
            </w:r>
          </w:p>
        </w:tc>
        <w:tc>
          <w:tcPr>
            <w:tcW w:w="860" w:type="dxa"/>
            <w:tcBorders>
              <w:top w:val="nil"/>
              <w:bottom w:val="nil"/>
            </w:tcBorders>
          </w:tcPr>
          <w:p w:rsidR="00837EEF" w:rsidRPr="002B1074" w:rsidRDefault="00837EEF" w:rsidP="00FC4DDA">
            <w:pPr>
              <w:pStyle w:val="Tabletext"/>
              <w:tabs>
                <w:tab w:val="decimal" w:pos="397"/>
              </w:tabs>
            </w:pPr>
            <w:r w:rsidRPr="002B1074">
              <w:t>100.0**</w:t>
            </w:r>
          </w:p>
        </w:tc>
        <w:tc>
          <w:tcPr>
            <w:tcW w:w="861" w:type="dxa"/>
            <w:tcBorders>
              <w:top w:val="nil"/>
              <w:bottom w:val="nil"/>
            </w:tcBorders>
          </w:tcPr>
          <w:p w:rsidR="00837EEF" w:rsidRPr="002B1074" w:rsidRDefault="00837EEF" w:rsidP="00FC4DDA">
            <w:pPr>
              <w:pStyle w:val="Tabletext"/>
              <w:tabs>
                <w:tab w:val="decimal" w:pos="397"/>
              </w:tabs>
            </w:pPr>
            <w:r w:rsidRPr="002B1074">
              <w:t>42.8</w:t>
            </w:r>
            <w:r w:rsidR="006B70F3" w:rsidRPr="002B1074">
              <w:t>*</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72.7</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72.9</w:t>
            </w:r>
          </w:p>
        </w:tc>
        <w:tc>
          <w:tcPr>
            <w:tcW w:w="861" w:type="dxa"/>
            <w:tcBorders>
              <w:top w:val="nil"/>
              <w:bottom w:val="nil"/>
            </w:tcBorders>
          </w:tcPr>
          <w:p w:rsidR="00837EEF" w:rsidRPr="002B1074" w:rsidRDefault="00837EEF" w:rsidP="00FC4DDA">
            <w:pPr>
              <w:pStyle w:val="Tabletext"/>
              <w:tabs>
                <w:tab w:val="decimal" w:pos="397"/>
              </w:tabs>
            </w:pPr>
            <w:r w:rsidRPr="002B1074">
              <w:t>68.6</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70.8</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rPr>
                <w:bCs/>
              </w:rPr>
            </w:pPr>
            <w:r w:rsidRPr="002B1074">
              <w:rPr>
                <w:bCs/>
              </w:rPr>
              <w:t>Society and culture</w:t>
            </w:r>
          </w:p>
        </w:tc>
        <w:tc>
          <w:tcPr>
            <w:tcW w:w="860" w:type="dxa"/>
            <w:tcBorders>
              <w:top w:val="nil"/>
              <w:bottom w:val="nil"/>
            </w:tcBorders>
          </w:tcPr>
          <w:p w:rsidR="00837EEF" w:rsidRPr="002B1074" w:rsidRDefault="00837EEF" w:rsidP="00FC4DDA">
            <w:pPr>
              <w:pStyle w:val="Tabletext"/>
              <w:tabs>
                <w:tab w:val="decimal" w:pos="397"/>
              </w:tabs>
              <w:rPr>
                <w:rFonts w:eastAsia="Cambria"/>
              </w:rPr>
            </w:pPr>
            <w:r w:rsidRPr="002B1074">
              <w:rPr>
                <w:rFonts w:eastAsia="Cambria"/>
              </w:rPr>
              <w:t>53.4</w:t>
            </w:r>
          </w:p>
        </w:tc>
        <w:tc>
          <w:tcPr>
            <w:tcW w:w="861" w:type="dxa"/>
            <w:tcBorders>
              <w:top w:val="nil"/>
              <w:bottom w:val="nil"/>
            </w:tcBorders>
          </w:tcPr>
          <w:p w:rsidR="00837EEF" w:rsidRPr="002B1074" w:rsidRDefault="00837EEF" w:rsidP="00FC4DDA">
            <w:pPr>
              <w:pStyle w:val="Tabletext"/>
              <w:tabs>
                <w:tab w:val="decimal" w:pos="397"/>
              </w:tabs>
              <w:rPr>
                <w:rFonts w:eastAsia="Cambria"/>
              </w:rPr>
            </w:pPr>
            <w:r w:rsidRPr="002B1074">
              <w:rPr>
                <w:rFonts w:eastAsia="Cambria"/>
              </w:rPr>
              <w:t>55.9</w:t>
            </w:r>
          </w:p>
        </w:tc>
        <w:tc>
          <w:tcPr>
            <w:tcW w:w="861" w:type="dxa"/>
            <w:tcBorders>
              <w:top w:val="nil"/>
              <w:bottom w:val="nil"/>
            </w:tcBorders>
            <w:shd w:val="clear" w:color="auto" w:fill="auto"/>
          </w:tcPr>
          <w:p w:rsidR="00837EEF" w:rsidRPr="002B1074" w:rsidRDefault="00837EEF" w:rsidP="00FC4DDA">
            <w:pPr>
              <w:pStyle w:val="Tabletext"/>
              <w:tabs>
                <w:tab w:val="decimal" w:pos="397"/>
              </w:tabs>
              <w:rPr>
                <w:rFonts w:eastAsia="Cambria"/>
              </w:rPr>
            </w:pPr>
            <w:r w:rsidRPr="002B1074">
              <w:rPr>
                <w:rFonts w:eastAsia="Cambria"/>
              </w:rPr>
              <w:t>77.0</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83.</w:t>
            </w:r>
            <w:r w:rsidR="00B23BC3" w:rsidRPr="002B1074">
              <w:t>0</w:t>
            </w:r>
          </w:p>
        </w:tc>
        <w:tc>
          <w:tcPr>
            <w:tcW w:w="861" w:type="dxa"/>
            <w:tcBorders>
              <w:top w:val="nil"/>
              <w:bottom w:val="nil"/>
            </w:tcBorders>
          </w:tcPr>
          <w:p w:rsidR="00837EEF" w:rsidRPr="002B1074" w:rsidRDefault="00837EEF" w:rsidP="00FC4DDA">
            <w:pPr>
              <w:pStyle w:val="Tabletext"/>
              <w:tabs>
                <w:tab w:val="decimal" w:pos="397"/>
              </w:tabs>
            </w:pPr>
            <w:r w:rsidRPr="002B1074">
              <w:t>83.</w:t>
            </w:r>
            <w:r w:rsidR="00B23BC3" w:rsidRPr="002B1074">
              <w:t>7</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77.6</w:t>
            </w:r>
          </w:p>
        </w:tc>
      </w:tr>
      <w:tr w:rsidR="00837EEF" w:rsidRPr="00354810" w:rsidTr="002B1074">
        <w:tc>
          <w:tcPr>
            <w:tcW w:w="2876" w:type="dxa"/>
            <w:tcBorders>
              <w:top w:val="nil"/>
              <w:bottom w:val="nil"/>
            </w:tcBorders>
            <w:shd w:val="clear" w:color="auto" w:fill="auto"/>
          </w:tcPr>
          <w:p w:rsidR="00837EEF" w:rsidRPr="002B1074" w:rsidRDefault="00837EEF" w:rsidP="00B65A93">
            <w:pPr>
              <w:pStyle w:val="Tabletext"/>
              <w:rPr>
                <w:bCs/>
              </w:rPr>
            </w:pPr>
            <w:r w:rsidRPr="002B1074">
              <w:rPr>
                <w:bCs/>
              </w:rPr>
              <w:t>Creative arts</w:t>
            </w:r>
          </w:p>
        </w:tc>
        <w:tc>
          <w:tcPr>
            <w:tcW w:w="860" w:type="dxa"/>
            <w:tcBorders>
              <w:top w:val="nil"/>
              <w:bottom w:val="nil"/>
            </w:tcBorders>
          </w:tcPr>
          <w:p w:rsidR="00837EEF" w:rsidRPr="002B1074" w:rsidRDefault="00837EEF" w:rsidP="00FC4DDA">
            <w:pPr>
              <w:pStyle w:val="Tabletext"/>
              <w:tabs>
                <w:tab w:val="decimal" w:pos="397"/>
              </w:tabs>
            </w:pPr>
            <w:r w:rsidRPr="002B1074">
              <w:t>36.5</w:t>
            </w:r>
          </w:p>
        </w:tc>
        <w:tc>
          <w:tcPr>
            <w:tcW w:w="861" w:type="dxa"/>
            <w:tcBorders>
              <w:top w:val="nil"/>
              <w:bottom w:val="nil"/>
            </w:tcBorders>
          </w:tcPr>
          <w:p w:rsidR="00837EEF" w:rsidRPr="002B1074" w:rsidRDefault="00837EEF" w:rsidP="00FC4DDA">
            <w:pPr>
              <w:pStyle w:val="Tabletext"/>
              <w:tabs>
                <w:tab w:val="decimal" w:pos="397"/>
              </w:tabs>
            </w:pPr>
            <w:r w:rsidRPr="002B1074">
              <w:t>53.7</w:t>
            </w:r>
          </w:p>
        </w:tc>
        <w:tc>
          <w:tcPr>
            <w:tcW w:w="861" w:type="dxa"/>
            <w:tcBorders>
              <w:top w:val="nil"/>
              <w:bottom w:val="nil"/>
            </w:tcBorders>
            <w:shd w:val="clear" w:color="auto" w:fill="auto"/>
          </w:tcPr>
          <w:p w:rsidR="00837EEF" w:rsidRPr="002B1074" w:rsidRDefault="00837EEF" w:rsidP="00FC4DDA">
            <w:pPr>
              <w:pStyle w:val="Tabletext"/>
              <w:tabs>
                <w:tab w:val="decimal" w:pos="397"/>
              </w:tabs>
            </w:pPr>
            <w:r w:rsidRPr="002B1074">
              <w:t>53.4</w:t>
            </w:r>
          </w:p>
        </w:tc>
        <w:tc>
          <w:tcPr>
            <w:tcW w:w="860" w:type="dxa"/>
            <w:tcBorders>
              <w:top w:val="nil"/>
              <w:bottom w:val="nil"/>
            </w:tcBorders>
            <w:shd w:val="clear" w:color="auto" w:fill="auto"/>
          </w:tcPr>
          <w:p w:rsidR="00837EEF" w:rsidRPr="002B1074" w:rsidRDefault="00837EEF" w:rsidP="00FC4DDA">
            <w:pPr>
              <w:pStyle w:val="Tabletext"/>
              <w:tabs>
                <w:tab w:val="decimal" w:pos="397"/>
              </w:tabs>
            </w:pPr>
            <w:r w:rsidRPr="002B1074">
              <w:t>60.3</w:t>
            </w:r>
          </w:p>
        </w:tc>
        <w:tc>
          <w:tcPr>
            <w:tcW w:w="861" w:type="dxa"/>
            <w:tcBorders>
              <w:top w:val="nil"/>
              <w:bottom w:val="nil"/>
            </w:tcBorders>
          </w:tcPr>
          <w:p w:rsidR="00837EEF" w:rsidRPr="002B1074" w:rsidRDefault="00837EEF" w:rsidP="00FC4DDA">
            <w:pPr>
              <w:pStyle w:val="Tabletext"/>
              <w:tabs>
                <w:tab w:val="decimal" w:pos="397"/>
              </w:tabs>
            </w:pPr>
            <w:r w:rsidRPr="002B1074">
              <w:t>68.2</w:t>
            </w:r>
          </w:p>
        </w:tc>
        <w:tc>
          <w:tcPr>
            <w:tcW w:w="861" w:type="dxa"/>
            <w:tcBorders>
              <w:top w:val="nil"/>
              <w:bottom w:val="nil"/>
            </w:tcBorders>
          </w:tcPr>
          <w:p w:rsidR="00837EEF" w:rsidRPr="002B1074" w:rsidRDefault="00837EEF" w:rsidP="00FC4DDA">
            <w:pPr>
              <w:pStyle w:val="Tabletext"/>
              <w:tabs>
                <w:tab w:val="decimal" w:pos="397"/>
              </w:tabs>
              <w:rPr>
                <w:b/>
              </w:rPr>
            </w:pPr>
            <w:r w:rsidRPr="002B1074">
              <w:rPr>
                <w:b/>
              </w:rPr>
              <w:t>60.1</w:t>
            </w:r>
          </w:p>
        </w:tc>
      </w:tr>
      <w:tr w:rsidR="00837EEF" w:rsidRPr="00354810" w:rsidTr="002B1074">
        <w:tc>
          <w:tcPr>
            <w:tcW w:w="2876" w:type="dxa"/>
            <w:tcBorders>
              <w:top w:val="nil"/>
              <w:bottom w:val="dashed" w:sz="4" w:space="0" w:color="auto"/>
            </w:tcBorders>
            <w:shd w:val="clear" w:color="auto" w:fill="auto"/>
          </w:tcPr>
          <w:p w:rsidR="00837EEF" w:rsidRPr="002B1074" w:rsidRDefault="00837EEF" w:rsidP="00B65A93">
            <w:pPr>
              <w:pStyle w:val="Tabletext"/>
              <w:rPr>
                <w:bCs/>
              </w:rPr>
            </w:pPr>
            <w:r w:rsidRPr="002B1074">
              <w:rPr>
                <w:bCs/>
              </w:rPr>
              <w:t>Food, hospitality and personal services</w:t>
            </w:r>
          </w:p>
        </w:tc>
        <w:tc>
          <w:tcPr>
            <w:tcW w:w="860" w:type="dxa"/>
            <w:tcBorders>
              <w:top w:val="nil"/>
              <w:bottom w:val="dashed" w:sz="4" w:space="0" w:color="auto"/>
            </w:tcBorders>
          </w:tcPr>
          <w:p w:rsidR="00837EEF" w:rsidRPr="002B1074" w:rsidRDefault="00837EEF" w:rsidP="00FC4DDA">
            <w:pPr>
              <w:pStyle w:val="Tabletext"/>
              <w:tabs>
                <w:tab w:val="decimal" w:pos="397"/>
              </w:tabs>
            </w:pPr>
            <w:r w:rsidRPr="002B1074">
              <w:t>55.8</w:t>
            </w:r>
          </w:p>
        </w:tc>
        <w:tc>
          <w:tcPr>
            <w:tcW w:w="861" w:type="dxa"/>
            <w:tcBorders>
              <w:top w:val="nil"/>
              <w:bottom w:val="dashed" w:sz="4" w:space="0" w:color="auto"/>
            </w:tcBorders>
          </w:tcPr>
          <w:p w:rsidR="00837EEF" w:rsidRPr="002B1074" w:rsidRDefault="00837EEF" w:rsidP="00FC4DDA">
            <w:pPr>
              <w:pStyle w:val="Tabletext"/>
              <w:tabs>
                <w:tab w:val="decimal" w:pos="397"/>
              </w:tabs>
            </w:pPr>
            <w:r w:rsidRPr="002B1074">
              <w:t>67.7</w:t>
            </w:r>
          </w:p>
        </w:tc>
        <w:tc>
          <w:tcPr>
            <w:tcW w:w="861" w:type="dxa"/>
            <w:tcBorders>
              <w:top w:val="nil"/>
              <w:bottom w:val="dashed" w:sz="4" w:space="0" w:color="auto"/>
            </w:tcBorders>
            <w:shd w:val="clear" w:color="auto" w:fill="auto"/>
          </w:tcPr>
          <w:p w:rsidR="00837EEF" w:rsidRPr="002B1074" w:rsidRDefault="00837EEF" w:rsidP="00FC4DDA">
            <w:pPr>
              <w:pStyle w:val="Tabletext"/>
              <w:tabs>
                <w:tab w:val="decimal" w:pos="397"/>
              </w:tabs>
            </w:pPr>
            <w:r w:rsidRPr="002B1074">
              <w:t>77.5</w:t>
            </w:r>
          </w:p>
        </w:tc>
        <w:tc>
          <w:tcPr>
            <w:tcW w:w="860" w:type="dxa"/>
            <w:tcBorders>
              <w:top w:val="nil"/>
              <w:bottom w:val="dashed" w:sz="4" w:space="0" w:color="auto"/>
            </w:tcBorders>
            <w:shd w:val="clear" w:color="auto" w:fill="auto"/>
          </w:tcPr>
          <w:p w:rsidR="00837EEF" w:rsidRPr="002B1074" w:rsidRDefault="00837EEF" w:rsidP="00FC4DDA">
            <w:pPr>
              <w:pStyle w:val="Tabletext"/>
              <w:tabs>
                <w:tab w:val="decimal" w:pos="397"/>
              </w:tabs>
            </w:pPr>
            <w:r w:rsidRPr="002B1074">
              <w:t>85.8</w:t>
            </w:r>
          </w:p>
        </w:tc>
        <w:tc>
          <w:tcPr>
            <w:tcW w:w="861" w:type="dxa"/>
            <w:tcBorders>
              <w:top w:val="nil"/>
              <w:bottom w:val="dashed" w:sz="4" w:space="0" w:color="auto"/>
            </w:tcBorders>
          </w:tcPr>
          <w:p w:rsidR="00837EEF" w:rsidRPr="002B1074" w:rsidRDefault="00837EEF" w:rsidP="00FC4DDA">
            <w:pPr>
              <w:pStyle w:val="Tabletext"/>
              <w:tabs>
                <w:tab w:val="decimal" w:pos="397"/>
              </w:tabs>
            </w:pPr>
            <w:r w:rsidRPr="002B1074">
              <w:t>71.8</w:t>
            </w:r>
          </w:p>
        </w:tc>
        <w:tc>
          <w:tcPr>
            <w:tcW w:w="861" w:type="dxa"/>
            <w:tcBorders>
              <w:top w:val="nil"/>
              <w:bottom w:val="dashed" w:sz="4" w:space="0" w:color="auto"/>
            </w:tcBorders>
          </w:tcPr>
          <w:p w:rsidR="00837EEF" w:rsidRPr="002B1074" w:rsidRDefault="00837EEF" w:rsidP="00FC4DDA">
            <w:pPr>
              <w:pStyle w:val="Tabletext"/>
              <w:tabs>
                <w:tab w:val="decimal" w:pos="397"/>
              </w:tabs>
              <w:rPr>
                <w:b/>
              </w:rPr>
            </w:pPr>
            <w:r w:rsidRPr="002B1074">
              <w:rPr>
                <w:b/>
              </w:rPr>
              <w:t>73.3</w:t>
            </w:r>
          </w:p>
        </w:tc>
      </w:tr>
      <w:tr w:rsidR="00837EEF" w:rsidRPr="00354810" w:rsidTr="002B1074">
        <w:tc>
          <w:tcPr>
            <w:tcW w:w="2876" w:type="dxa"/>
            <w:tcBorders>
              <w:top w:val="dashed" w:sz="4" w:space="0" w:color="auto"/>
              <w:bottom w:val="single" w:sz="4" w:space="0" w:color="auto"/>
            </w:tcBorders>
            <w:shd w:val="clear" w:color="auto" w:fill="auto"/>
          </w:tcPr>
          <w:p w:rsidR="00837EEF" w:rsidRPr="002B1074" w:rsidRDefault="00837EEF" w:rsidP="00B65A93">
            <w:pPr>
              <w:pStyle w:val="Tabletext"/>
            </w:pPr>
            <w:r w:rsidRPr="002B1074">
              <w:t>All fields</w:t>
            </w:r>
          </w:p>
        </w:tc>
        <w:tc>
          <w:tcPr>
            <w:tcW w:w="860" w:type="dxa"/>
            <w:tcBorders>
              <w:top w:val="dashed" w:sz="4" w:space="0" w:color="auto"/>
              <w:bottom w:val="single" w:sz="4" w:space="0" w:color="auto"/>
            </w:tcBorders>
          </w:tcPr>
          <w:p w:rsidR="00837EEF" w:rsidRPr="002B1074" w:rsidRDefault="00837EEF" w:rsidP="00FC4DDA">
            <w:pPr>
              <w:pStyle w:val="Tabletext"/>
              <w:tabs>
                <w:tab w:val="decimal" w:pos="397"/>
              </w:tabs>
              <w:rPr>
                <w:b/>
              </w:rPr>
            </w:pPr>
            <w:r w:rsidRPr="002B1074">
              <w:rPr>
                <w:b/>
              </w:rPr>
              <w:t>57.6</w:t>
            </w:r>
          </w:p>
        </w:tc>
        <w:tc>
          <w:tcPr>
            <w:tcW w:w="861" w:type="dxa"/>
            <w:tcBorders>
              <w:top w:val="dashed" w:sz="4" w:space="0" w:color="auto"/>
              <w:bottom w:val="single" w:sz="4" w:space="0" w:color="auto"/>
            </w:tcBorders>
          </w:tcPr>
          <w:p w:rsidR="00837EEF" w:rsidRPr="002B1074" w:rsidRDefault="00837EEF" w:rsidP="00FC4DDA">
            <w:pPr>
              <w:pStyle w:val="Tabletext"/>
              <w:tabs>
                <w:tab w:val="decimal" w:pos="397"/>
              </w:tabs>
              <w:rPr>
                <w:b/>
              </w:rPr>
            </w:pPr>
            <w:r w:rsidRPr="002B1074">
              <w:rPr>
                <w:b/>
              </w:rPr>
              <w:t>66.9</w:t>
            </w:r>
          </w:p>
        </w:tc>
        <w:tc>
          <w:tcPr>
            <w:tcW w:w="861" w:type="dxa"/>
            <w:tcBorders>
              <w:top w:val="dashed" w:sz="4" w:space="0" w:color="auto"/>
              <w:bottom w:val="single" w:sz="4" w:space="0" w:color="auto"/>
            </w:tcBorders>
            <w:shd w:val="clear" w:color="auto" w:fill="auto"/>
          </w:tcPr>
          <w:p w:rsidR="00837EEF" w:rsidRPr="002B1074" w:rsidRDefault="00837EEF" w:rsidP="00FC4DDA">
            <w:pPr>
              <w:pStyle w:val="Tabletext"/>
              <w:tabs>
                <w:tab w:val="decimal" w:pos="397"/>
              </w:tabs>
              <w:rPr>
                <w:b/>
              </w:rPr>
            </w:pPr>
            <w:r w:rsidRPr="002B1074">
              <w:rPr>
                <w:b/>
              </w:rPr>
              <w:t>80.8</w:t>
            </w:r>
          </w:p>
        </w:tc>
        <w:tc>
          <w:tcPr>
            <w:tcW w:w="860" w:type="dxa"/>
            <w:tcBorders>
              <w:top w:val="dashed" w:sz="4" w:space="0" w:color="auto"/>
              <w:bottom w:val="single" w:sz="4" w:space="0" w:color="auto"/>
            </w:tcBorders>
            <w:shd w:val="clear" w:color="auto" w:fill="auto"/>
          </w:tcPr>
          <w:p w:rsidR="00837EEF" w:rsidRPr="002B1074" w:rsidRDefault="00837EEF" w:rsidP="00FC4DDA">
            <w:pPr>
              <w:pStyle w:val="Tabletext"/>
              <w:tabs>
                <w:tab w:val="decimal" w:pos="397"/>
              </w:tabs>
              <w:rPr>
                <w:b/>
              </w:rPr>
            </w:pPr>
            <w:r w:rsidRPr="002B1074">
              <w:rPr>
                <w:b/>
              </w:rPr>
              <w:t>83.1</w:t>
            </w:r>
          </w:p>
        </w:tc>
        <w:tc>
          <w:tcPr>
            <w:tcW w:w="861" w:type="dxa"/>
            <w:tcBorders>
              <w:top w:val="dashed" w:sz="4" w:space="0" w:color="auto"/>
              <w:bottom w:val="single" w:sz="4" w:space="0" w:color="auto"/>
            </w:tcBorders>
          </w:tcPr>
          <w:p w:rsidR="00837EEF" w:rsidRPr="002B1074" w:rsidRDefault="00837EEF" w:rsidP="00FC4DDA">
            <w:pPr>
              <w:pStyle w:val="Tabletext"/>
              <w:tabs>
                <w:tab w:val="decimal" w:pos="397"/>
              </w:tabs>
              <w:rPr>
                <w:b/>
              </w:rPr>
            </w:pPr>
            <w:r w:rsidRPr="002B1074">
              <w:rPr>
                <w:b/>
              </w:rPr>
              <w:t>83.4</w:t>
            </w:r>
          </w:p>
        </w:tc>
        <w:tc>
          <w:tcPr>
            <w:tcW w:w="861" w:type="dxa"/>
            <w:tcBorders>
              <w:top w:val="dashed" w:sz="4" w:space="0" w:color="auto"/>
              <w:bottom w:val="single" w:sz="4" w:space="0" w:color="auto"/>
            </w:tcBorders>
          </w:tcPr>
          <w:p w:rsidR="00837EEF" w:rsidRPr="002B1074" w:rsidRDefault="00837EEF" w:rsidP="00FC4DDA">
            <w:pPr>
              <w:pStyle w:val="Tabletext"/>
              <w:tabs>
                <w:tab w:val="decimal" w:pos="397"/>
              </w:tabs>
              <w:rPr>
                <w:b/>
              </w:rPr>
            </w:pPr>
            <w:r w:rsidRPr="002B1074">
              <w:rPr>
                <w:b/>
              </w:rPr>
              <w:t>77.4</w:t>
            </w:r>
          </w:p>
        </w:tc>
      </w:tr>
    </w:tbl>
    <w:p w:rsidR="008431EC" w:rsidRDefault="00837EEF" w:rsidP="008431EC">
      <w:pPr>
        <w:pStyle w:val="Source"/>
      </w:pPr>
      <w:r>
        <w:t>Notes</w:t>
      </w:r>
      <w:r>
        <w:tab/>
        <w:t xml:space="preserve">Blank cells indicate a zero sample size. </w:t>
      </w:r>
      <w:r w:rsidR="002B1074">
        <w:br/>
      </w:r>
      <w:r>
        <w:t>* Relative standard error &gt; 25%. ** Relative standard er</w:t>
      </w:r>
      <w:r w:rsidR="008431EC">
        <w:t>ror &gt; 50% or cell sample size &lt;</w:t>
      </w:r>
      <w:r>
        <w:t>10</w:t>
      </w:r>
      <w:r w:rsidR="008431EC">
        <w:t>.</w:t>
      </w:r>
    </w:p>
    <w:p w:rsidR="008431EC" w:rsidRDefault="008431EC" w:rsidP="008431EC">
      <w:pPr>
        <w:pStyle w:val="Source"/>
      </w:pPr>
      <w:proofErr w:type="gramStart"/>
      <w:r>
        <w:t>Source</w:t>
      </w:r>
      <w:r>
        <w:tab/>
        <w:t>NCVER (2011).</w:t>
      </w:r>
      <w:proofErr w:type="gramEnd"/>
    </w:p>
    <w:p w:rsidR="006D5891" w:rsidRPr="002D0C0B" w:rsidRDefault="002D0C0B" w:rsidP="00FC4DDA">
      <w:pPr>
        <w:pStyle w:val="tabletitle"/>
      </w:pPr>
      <w:bookmarkStart w:id="43" w:name="_Toc369273530"/>
      <w:r w:rsidRPr="002D0C0B">
        <w:t xml:space="preserve">Table </w:t>
      </w:r>
      <w:r w:rsidR="000D53F3">
        <w:t>4</w:t>
      </w:r>
      <w:r w:rsidRPr="002D0C0B">
        <w:tab/>
        <w:t>Percentage of graduates in further study six months after training, by level of qualification and broad and selected narrow field of education, 2011</w:t>
      </w:r>
      <w:bookmarkEnd w:id="43"/>
    </w:p>
    <w:tbl>
      <w:tblPr>
        <w:tblW w:w="8789" w:type="dxa"/>
        <w:tblInd w:w="57"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145"/>
        <w:gridCol w:w="940"/>
        <w:gridCol w:w="941"/>
        <w:gridCol w:w="941"/>
        <w:gridCol w:w="940"/>
        <w:gridCol w:w="941"/>
        <w:gridCol w:w="941"/>
      </w:tblGrid>
      <w:tr w:rsidR="002D0C0B" w:rsidRPr="00FC4DDA" w:rsidTr="00FC4DDA">
        <w:trPr>
          <w:tblHeader/>
        </w:trPr>
        <w:tc>
          <w:tcPr>
            <w:tcW w:w="2876" w:type="dxa"/>
            <w:tcBorders>
              <w:top w:val="single" w:sz="4" w:space="0" w:color="auto"/>
              <w:bottom w:val="nil"/>
            </w:tcBorders>
            <w:shd w:val="clear" w:color="auto" w:fill="auto"/>
          </w:tcPr>
          <w:p w:rsidR="002D0C0B" w:rsidRPr="00FC4DDA" w:rsidRDefault="002D0C0B" w:rsidP="00FC4DDA">
            <w:pPr>
              <w:pStyle w:val="Tablehead1"/>
            </w:pPr>
            <w:r w:rsidRPr="00FC4DDA">
              <w:t>Field of education</w:t>
            </w:r>
          </w:p>
        </w:tc>
        <w:tc>
          <w:tcPr>
            <w:tcW w:w="860" w:type="dxa"/>
            <w:tcBorders>
              <w:top w:val="single" w:sz="4" w:space="0" w:color="auto"/>
              <w:bottom w:val="nil"/>
            </w:tcBorders>
          </w:tcPr>
          <w:p w:rsidR="002D0C0B" w:rsidRPr="00FC4DDA" w:rsidRDefault="00E4794D" w:rsidP="00FC4DDA">
            <w:pPr>
              <w:pStyle w:val="Tablehead1"/>
              <w:jc w:val="center"/>
            </w:pPr>
            <w:r w:rsidRPr="00FC4DDA">
              <w:t>Cert.</w:t>
            </w:r>
            <w:r w:rsidR="002D0C0B" w:rsidRPr="00FC4DDA">
              <w:t xml:space="preserve"> I</w:t>
            </w:r>
          </w:p>
        </w:tc>
        <w:tc>
          <w:tcPr>
            <w:tcW w:w="861" w:type="dxa"/>
            <w:tcBorders>
              <w:top w:val="single" w:sz="4" w:space="0" w:color="auto"/>
              <w:bottom w:val="nil"/>
            </w:tcBorders>
          </w:tcPr>
          <w:p w:rsidR="002D0C0B" w:rsidRPr="00FC4DDA" w:rsidRDefault="00E4794D" w:rsidP="00FC4DDA">
            <w:pPr>
              <w:pStyle w:val="Tablehead1"/>
              <w:jc w:val="center"/>
            </w:pPr>
            <w:r w:rsidRPr="00FC4DDA">
              <w:t>Cert.</w:t>
            </w:r>
            <w:r w:rsidR="002D0C0B" w:rsidRPr="00FC4DDA">
              <w:t xml:space="preserve"> II</w:t>
            </w:r>
          </w:p>
        </w:tc>
        <w:tc>
          <w:tcPr>
            <w:tcW w:w="861" w:type="dxa"/>
            <w:tcBorders>
              <w:top w:val="single" w:sz="4" w:space="0" w:color="auto"/>
              <w:bottom w:val="nil"/>
            </w:tcBorders>
            <w:shd w:val="clear" w:color="auto" w:fill="auto"/>
          </w:tcPr>
          <w:p w:rsidR="002D0C0B" w:rsidRPr="00FC4DDA" w:rsidRDefault="00E4794D" w:rsidP="00FC4DDA">
            <w:pPr>
              <w:pStyle w:val="Tablehead1"/>
              <w:jc w:val="center"/>
            </w:pPr>
            <w:r w:rsidRPr="00FC4DDA">
              <w:t>Cert.</w:t>
            </w:r>
            <w:r w:rsidR="002D0C0B" w:rsidRPr="00FC4DDA">
              <w:t xml:space="preserve"> III</w:t>
            </w:r>
          </w:p>
        </w:tc>
        <w:tc>
          <w:tcPr>
            <w:tcW w:w="860" w:type="dxa"/>
            <w:tcBorders>
              <w:top w:val="single" w:sz="4" w:space="0" w:color="auto"/>
              <w:bottom w:val="nil"/>
            </w:tcBorders>
            <w:shd w:val="clear" w:color="auto" w:fill="auto"/>
          </w:tcPr>
          <w:p w:rsidR="002D0C0B" w:rsidRPr="00FC4DDA" w:rsidRDefault="00E4794D" w:rsidP="00FC4DDA">
            <w:pPr>
              <w:pStyle w:val="Tablehead1"/>
              <w:jc w:val="center"/>
            </w:pPr>
            <w:r w:rsidRPr="00FC4DDA">
              <w:t>Cert.</w:t>
            </w:r>
            <w:r w:rsidR="002D0C0B" w:rsidRPr="00FC4DDA">
              <w:t xml:space="preserve"> IV</w:t>
            </w:r>
          </w:p>
        </w:tc>
        <w:tc>
          <w:tcPr>
            <w:tcW w:w="861" w:type="dxa"/>
            <w:tcBorders>
              <w:top w:val="single" w:sz="4" w:space="0" w:color="auto"/>
              <w:bottom w:val="nil"/>
            </w:tcBorders>
          </w:tcPr>
          <w:p w:rsidR="002D0C0B" w:rsidRPr="00FC4DDA" w:rsidRDefault="002D0C0B" w:rsidP="00FC4DDA">
            <w:pPr>
              <w:pStyle w:val="Tablehead1"/>
              <w:jc w:val="center"/>
            </w:pPr>
            <w:r w:rsidRPr="00FC4DDA">
              <w:t>Dip</w:t>
            </w:r>
            <w:r w:rsidR="00FC4DDA">
              <w:t>loma</w:t>
            </w:r>
            <w:r w:rsidRPr="00FC4DDA">
              <w:t xml:space="preserve">s </w:t>
            </w:r>
            <w:r w:rsidR="00FC4DDA">
              <w:t>&amp;</w:t>
            </w:r>
            <w:r w:rsidRPr="00FC4DDA">
              <w:t xml:space="preserve"> above</w:t>
            </w:r>
          </w:p>
        </w:tc>
        <w:tc>
          <w:tcPr>
            <w:tcW w:w="861" w:type="dxa"/>
            <w:tcBorders>
              <w:top w:val="single" w:sz="4" w:space="0" w:color="auto"/>
              <w:bottom w:val="nil"/>
            </w:tcBorders>
          </w:tcPr>
          <w:p w:rsidR="002D0C0B" w:rsidRPr="00FC4DDA" w:rsidRDefault="002D0C0B" w:rsidP="00FC4DDA">
            <w:pPr>
              <w:pStyle w:val="Tablehead1"/>
              <w:jc w:val="center"/>
            </w:pPr>
            <w:r w:rsidRPr="00FC4DDA">
              <w:t>All levels</w:t>
            </w:r>
          </w:p>
        </w:tc>
      </w:tr>
      <w:tr w:rsidR="002D0C0B" w:rsidRPr="00354810" w:rsidTr="00FC4DDA">
        <w:tc>
          <w:tcPr>
            <w:tcW w:w="2876" w:type="dxa"/>
            <w:tcBorders>
              <w:top w:val="single" w:sz="4" w:space="0" w:color="auto"/>
              <w:bottom w:val="nil"/>
            </w:tcBorders>
            <w:shd w:val="clear" w:color="auto" w:fill="auto"/>
          </w:tcPr>
          <w:p w:rsidR="002D0C0B" w:rsidRPr="00FC4DDA" w:rsidRDefault="002D0C0B" w:rsidP="00B65A93">
            <w:pPr>
              <w:pStyle w:val="Tabletext"/>
            </w:pPr>
            <w:r w:rsidRPr="00FC4DDA">
              <w:t>Natural and physical sciences</w:t>
            </w:r>
          </w:p>
        </w:tc>
        <w:tc>
          <w:tcPr>
            <w:tcW w:w="860" w:type="dxa"/>
            <w:tcBorders>
              <w:top w:val="single" w:sz="4" w:space="0" w:color="auto"/>
              <w:bottom w:val="nil"/>
            </w:tcBorders>
          </w:tcPr>
          <w:p w:rsidR="002D0C0B" w:rsidRPr="00FC4DDA" w:rsidRDefault="002D0C0B" w:rsidP="00FC4DDA">
            <w:pPr>
              <w:pStyle w:val="Tabletext"/>
              <w:tabs>
                <w:tab w:val="decimal" w:pos="397"/>
              </w:tabs>
            </w:pPr>
            <w:r w:rsidRPr="00FC4DDA">
              <w:t>–</w:t>
            </w:r>
          </w:p>
        </w:tc>
        <w:tc>
          <w:tcPr>
            <w:tcW w:w="861" w:type="dxa"/>
            <w:tcBorders>
              <w:top w:val="single" w:sz="4" w:space="0" w:color="auto"/>
              <w:bottom w:val="nil"/>
            </w:tcBorders>
          </w:tcPr>
          <w:p w:rsidR="002D0C0B" w:rsidRPr="00FC4DDA" w:rsidRDefault="002D0C0B" w:rsidP="00FC4DDA">
            <w:pPr>
              <w:pStyle w:val="Tabletext"/>
              <w:tabs>
                <w:tab w:val="decimal" w:pos="397"/>
              </w:tabs>
            </w:pPr>
            <w:r w:rsidRPr="00FC4DDA">
              <w:t>22.6</w:t>
            </w:r>
            <w:r w:rsidR="006B70F3" w:rsidRPr="00FC4DDA">
              <w:t>**</w:t>
            </w:r>
          </w:p>
        </w:tc>
        <w:tc>
          <w:tcPr>
            <w:tcW w:w="861" w:type="dxa"/>
            <w:tcBorders>
              <w:top w:val="single" w:sz="4" w:space="0" w:color="auto"/>
              <w:bottom w:val="nil"/>
            </w:tcBorders>
            <w:shd w:val="clear" w:color="auto" w:fill="auto"/>
          </w:tcPr>
          <w:p w:rsidR="002D0C0B" w:rsidRPr="00FC4DDA" w:rsidRDefault="002D0C0B" w:rsidP="00FC4DDA">
            <w:pPr>
              <w:pStyle w:val="Tabletext"/>
              <w:tabs>
                <w:tab w:val="decimal" w:pos="397"/>
              </w:tabs>
            </w:pPr>
            <w:r w:rsidRPr="00FC4DDA">
              <w:t>29.8</w:t>
            </w:r>
          </w:p>
        </w:tc>
        <w:tc>
          <w:tcPr>
            <w:tcW w:w="860" w:type="dxa"/>
            <w:tcBorders>
              <w:top w:val="single" w:sz="4" w:space="0" w:color="auto"/>
              <w:bottom w:val="nil"/>
            </w:tcBorders>
            <w:shd w:val="clear" w:color="auto" w:fill="auto"/>
          </w:tcPr>
          <w:p w:rsidR="002D0C0B" w:rsidRPr="00FC4DDA" w:rsidRDefault="002D0C0B" w:rsidP="00FC4DDA">
            <w:pPr>
              <w:pStyle w:val="Tabletext"/>
              <w:tabs>
                <w:tab w:val="decimal" w:pos="397"/>
              </w:tabs>
            </w:pPr>
            <w:r w:rsidRPr="00FC4DDA">
              <w:t>40.1</w:t>
            </w:r>
          </w:p>
        </w:tc>
        <w:tc>
          <w:tcPr>
            <w:tcW w:w="861" w:type="dxa"/>
            <w:tcBorders>
              <w:top w:val="single" w:sz="4" w:space="0" w:color="auto"/>
              <w:bottom w:val="nil"/>
            </w:tcBorders>
          </w:tcPr>
          <w:p w:rsidR="002D0C0B" w:rsidRPr="00FC4DDA" w:rsidRDefault="002D0C0B" w:rsidP="00FC4DDA">
            <w:pPr>
              <w:pStyle w:val="Tabletext"/>
              <w:tabs>
                <w:tab w:val="decimal" w:pos="397"/>
              </w:tabs>
            </w:pPr>
            <w:r w:rsidRPr="00FC4DDA">
              <w:t>37.7</w:t>
            </w:r>
          </w:p>
        </w:tc>
        <w:tc>
          <w:tcPr>
            <w:tcW w:w="861" w:type="dxa"/>
            <w:tcBorders>
              <w:top w:val="single" w:sz="4" w:space="0" w:color="auto"/>
              <w:bottom w:val="nil"/>
            </w:tcBorders>
          </w:tcPr>
          <w:p w:rsidR="002D0C0B" w:rsidRPr="00FC4DDA" w:rsidRDefault="002D0C0B" w:rsidP="00FC4DDA">
            <w:pPr>
              <w:pStyle w:val="Tabletext"/>
              <w:tabs>
                <w:tab w:val="decimal" w:pos="397"/>
              </w:tabs>
              <w:rPr>
                <w:b/>
              </w:rPr>
            </w:pPr>
            <w:r w:rsidRPr="00FC4DDA">
              <w:rPr>
                <w:b/>
              </w:rPr>
              <w:t>35.2</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pPr>
            <w:r w:rsidRPr="00FC4DDA">
              <w:t>Information technology</w:t>
            </w:r>
          </w:p>
        </w:tc>
        <w:tc>
          <w:tcPr>
            <w:tcW w:w="860" w:type="dxa"/>
            <w:tcBorders>
              <w:top w:val="nil"/>
              <w:bottom w:val="nil"/>
            </w:tcBorders>
          </w:tcPr>
          <w:p w:rsidR="002D0C0B" w:rsidRPr="00FC4DDA" w:rsidRDefault="002D0C0B" w:rsidP="00FC4DDA">
            <w:pPr>
              <w:pStyle w:val="Tabletext"/>
              <w:tabs>
                <w:tab w:val="decimal" w:pos="397"/>
              </w:tabs>
            </w:pPr>
            <w:r w:rsidRPr="00FC4DDA">
              <w:t>–</w:t>
            </w:r>
          </w:p>
        </w:tc>
        <w:tc>
          <w:tcPr>
            <w:tcW w:w="861" w:type="dxa"/>
            <w:tcBorders>
              <w:top w:val="nil"/>
              <w:bottom w:val="nil"/>
            </w:tcBorders>
          </w:tcPr>
          <w:p w:rsidR="002D0C0B" w:rsidRPr="00FC4DDA" w:rsidRDefault="002D0C0B" w:rsidP="00FC4DDA">
            <w:pPr>
              <w:pStyle w:val="Tabletext"/>
              <w:tabs>
                <w:tab w:val="decimal" w:pos="397"/>
              </w:tabs>
            </w:pPr>
            <w:r w:rsidRPr="00FC4DDA">
              <w:t>28.1</w:t>
            </w:r>
            <w:r w:rsidR="006B70F3" w:rsidRPr="00FC4DDA">
              <w:t>**</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52.4</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44.4</w:t>
            </w:r>
          </w:p>
        </w:tc>
        <w:tc>
          <w:tcPr>
            <w:tcW w:w="861" w:type="dxa"/>
            <w:tcBorders>
              <w:top w:val="nil"/>
              <w:bottom w:val="nil"/>
            </w:tcBorders>
          </w:tcPr>
          <w:p w:rsidR="002D0C0B" w:rsidRPr="00FC4DDA" w:rsidRDefault="002D0C0B" w:rsidP="00FC4DDA">
            <w:pPr>
              <w:pStyle w:val="Tabletext"/>
              <w:tabs>
                <w:tab w:val="decimal" w:pos="397"/>
              </w:tabs>
            </w:pPr>
            <w:r w:rsidRPr="00FC4DDA">
              <w:t>44.4</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46.6</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pPr>
            <w:r w:rsidRPr="00FC4DDA">
              <w:t>Engineering and related technologies</w:t>
            </w:r>
          </w:p>
        </w:tc>
        <w:tc>
          <w:tcPr>
            <w:tcW w:w="860" w:type="dxa"/>
            <w:tcBorders>
              <w:top w:val="nil"/>
              <w:bottom w:val="nil"/>
            </w:tcBorders>
          </w:tcPr>
          <w:p w:rsidR="002D0C0B" w:rsidRPr="00FC4DDA" w:rsidRDefault="002D0C0B" w:rsidP="00FC4DDA">
            <w:pPr>
              <w:pStyle w:val="Tabletext"/>
              <w:tabs>
                <w:tab w:val="decimal" w:pos="397"/>
              </w:tabs>
            </w:pPr>
            <w:r w:rsidRPr="00FC4DDA">
              <w:t>34.3</w:t>
            </w:r>
          </w:p>
        </w:tc>
        <w:tc>
          <w:tcPr>
            <w:tcW w:w="861" w:type="dxa"/>
            <w:tcBorders>
              <w:top w:val="nil"/>
              <w:bottom w:val="nil"/>
            </w:tcBorders>
          </w:tcPr>
          <w:p w:rsidR="002D0C0B" w:rsidRPr="00FC4DDA" w:rsidRDefault="002D0C0B" w:rsidP="00FC4DDA">
            <w:pPr>
              <w:pStyle w:val="Tabletext"/>
              <w:tabs>
                <w:tab w:val="decimal" w:pos="397"/>
              </w:tabs>
            </w:pPr>
            <w:r w:rsidRPr="00FC4DDA">
              <w:t>32.1</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19.6</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22.4</w:t>
            </w:r>
          </w:p>
        </w:tc>
        <w:tc>
          <w:tcPr>
            <w:tcW w:w="861" w:type="dxa"/>
            <w:tcBorders>
              <w:top w:val="nil"/>
              <w:bottom w:val="nil"/>
            </w:tcBorders>
          </w:tcPr>
          <w:p w:rsidR="002D0C0B" w:rsidRPr="00FC4DDA" w:rsidRDefault="002D0C0B" w:rsidP="00FC4DDA">
            <w:pPr>
              <w:pStyle w:val="Tabletext"/>
              <w:tabs>
                <w:tab w:val="decimal" w:pos="397"/>
              </w:tabs>
            </w:pPr>
            <w:r w:rsidRPr="00FC4DDA">
              <w:t>41.9</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24.9</w:t>
            </w:r>
          </w:p>
        </w:tc>
      </w:tr>
      <w:tr w:rsidR="002D0C0B" w:rsidRPr="00354810" w:rsidTr="00FC4DDA">
        <w:tc>
          <w:tcPr>
            <w:tcW w:w="2876" w:type="dxa"/>
            <w:tcBorders>
              <w:top w:val="nil"/>
              <w:bottom w:val="nil"/>
            </w:tcBorders>
            <w:shd w:val="clear" w:color="auto" w:fill="auto"/>
          </w:tcPr>
          <w:p w:rsidR="002D0C0B" w:rsidRPr="00FC4DDA" w:rsidRDefault="002D0C0B" w:rsidP="00FC4DDA">
            <w:pPr>
              <w:pStyle w:val="Tabletext"/>
              <w:ind w:left="284"/>
            </w:pPr>
            <w:r w:rsidRPr="00FC4DDA">
              <w:t>Process and resources engineering</w:t>
            </w:r>
          </w:p>
        </w:tc>
        <w:tc>
          <w:tcPr>
            <w:tcW w:w="860" w:type="dxa"/>
            <w:tcBorders>
              <w:top w:val="nil"/>
              <w:bottom w:val="nil"/>
            </w:tcBorders>
          </w:tcPr>
          <w:p w:rsidR="002D0C0B" w:rsidRPr="00FC4DDA" w:rsidRDefault="002D0C0B" w:rsidP="00FC4DDA">
            <w:pPr>
              <w:pStyle w:val="Tabletext"/>
              <w:tabs>
                <w:tab w:val="decimal" w:pos="397"/>
              </w:tabs>
            </w:pPr>
            <w:r w:rsidRPr="00FC4DDA">
              <w:t>17.1*</w:t>
            </w:r>
            <w:r w:rsidR="00F13BE3" w:rsidRPr="00FC4DDA">
              <w:t>*</w:t>
            </w:r>
          </w:p>
        </w:tc>
        <w:tc>
          <w:tcPr>
            <w:tcW w:w="861" w:type="dxa"/>
            <w:tcBorders>
              <w:top w:val="nil"/>
              <w:bottom w:val="nil"/>
            </w:tcBorders>
          </w:tcPr>
          <w:p w:rsidR="002D0C0B" w:rsidRPr="00FC4DDA" w:rsidRDefault="002D0C0B" w:rsidP="00FC4DDA">
            <w:pPr>
              <w:pStyle w:val="Tabletext"/>
              <w:tabs>
                <w:tab w:val="decimal" w:pos="397"/>
              </w:tabs>
            </w:pPr>
            <w:r w:rsidRPr="00FC4DDA">
              <w:t>22.4</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20.8</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20.5</w:t>
            </w:r>
          </w:p>
        </w:tc>
        <w:tc>
          <w:tcPr>
            <w:tcW w:w="861" w:type="dxa"/>
            <w:tcBorders>
              <w:top w:val="nil"/>
              <w:bottom w:val="nil"/>
            </w:tcBorders>
          </w:tcPr>
          <w:p w:rsidR="002D0C0B" w:rsidRPr="00FC4DDA" w:rsidRDefault="002D0C0B" w:rsidP="00FC4DDA">
            <w:pPr>
              <w:pStyle w:val="Tabletext"/>
              <w:tabs>
                <w:tab w:val="decimal" w:pos="397"/>
              </w:tabs>
            </w:pPr>
            <w:r w:rsidRPr="00FC4DDA">
              <w:t>47.6*</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22.0</w:t>
            </w:r>
          </w:p>
        </w:tc>
      </w:tr>
      <w:tr w:rsidR="002D0C0B" w:rsidRPr="00354810" w:rsidTr="00FC4DDA">
        <w:tc>
          <w:tcPr>
            <w:tcW w:w="2876" w:type="dxa"/>
            <w:tcBorders>
              <w:top w:val="nil"/>
              <w:bottom w:val="nil"/>
            </w:tcBorders>
            <w:shd w:val="clear" w:color="auto" w:fill="auto"/>
          </w:tcPr>
          <w:p w:rsidR="002D0C0B" w:rsidRPr="00FC4DDA" w:rsidRDefault="002D0C0B" w:rsidP="00FC4DDA">
            <w:pPr>
              <w:pStyle w:val="Tabletext"/>
              <w:ind w:left="284"/>
            </w:pPr>
            <w:r w:rsidRPr="00FC4DDA">
              <w:t>Electrical and electronic engineering and technology</w:t>
            </w:r>
          </w:p>
        </w:tc>
        <w:tc>
          <w:tcPr>
            <w:tcW w:w="860" w:type="dxa"/>
            <w:tcBorders>
              <w:top w:val="nil"/>
              <w:bottom w:val="nil"/>
            </w:tcBorders>
          </w:tcPr>
          <w:p w:rsidR="002D0C0B" w:rsidRPr="00FC4DDA" w:rsidRDefault="002D0C0B" w:rsidP="00FC4DDA">
            <w:pPr>
              <w:pStyle w:val="Tabletext"/>
              <w:tabs>
                <w:tab w:val="decimal" w:pos="397"/>
              </w:tabs>
            </w:pPr>
            <w:r w:rsidRPr="00FC4DDA">
              <w:t>100.0**</w:t>
            </w:r>
          </w:p>
        </w:tc>
        <w:tc>
          <w:tcPr>
            <w:tcW w:w="861" w:type="dxa"/>
            <w:tcBorders>
              <w:top w:val="nil"/>
              <w:bottom w:val="nil"/>
            </w:tcBorders>
          </w:tcPr>
          <w:p w:rsidR="002D0C0B" w:rsidRPr="00FC4DDA" w:rsidRDefault="002D0C0B" w:rsidP="00FC4DDA">
            <w:pPr>
              <w:pStyle w:val="Tabletext"/>
              <w:tabs>
                <w:tab w:val="decimal" w:pos="397"/>
              </w:tabs>
            </w:pPr>
            <w:r w:rsidRPr="00FC4DDA">
              <w:t>45.7</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26.1</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28.6</w:t>
            </w:r>
          </w:p>
        </w:tc>
        <w:tc>
          <w:tcPr>
            <w:tcW w:w="861" w:type="dxa"/>
            <w:tcBorders>
              <w:top w:val="nil"/>
              <w:bottom w:val="nil"/>
            </w:tcBorders>
          </w:tcPr>
          <w:p w:rsidR="002D0C0B" w:rsidRPr="00FC4DDA" w:rsidRDefault="002D0C0B" w:rsidP="00FC4DDA">
            <w:pPr>
              <w:pStyle w:val="Tabletext"/>
              <w:tabs>
                <w:tab w:val="decimal" w:pos="397"/>
              </w:tabs>
            </w:pPr>
            <w:r w:rsidRPr="00FC4DDA">
              <w:t>42.0</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32.9</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pPr>
            <w:r w:rsidRPr="00FC4DDA">
              <w:t>Architecture and building</w:t>
            </w:r>
          </w:p>
        </w:tc>
        <w:tc>
          <w:tcPr>
            <w:tcW w:w="860" w:type="dxa"/>
            <w:tcBorders>
              <w:top w:val="nil"/>
              <w:bottom w:val="nil"/>
            </w:tcBorders>
          </w:tcPr>
          <w:p w:rsidR="002D0C0B" w:rsidRPr="00FC4DDA" w:rsidRDefault="002D0C0B" w:rsidP="00FC4DDA">
            <w:pPr>
              <w:pStyle w:val="Tabletext"/>
              <w:tabs>
                <w:tab w:val="decimal" w:pos="397"/>
              </w:tabs>
            </w:pPr>
            <w:r w:rsidRPr="00FC4DDA">
              <w:t>25.5</w:t>
            </w:r>
          </w:p>
        </w:tc>
        <w:tc>
          <w:tcPr>
            <w:tcW w:w="861" w:type="dxa"/>
            <w:tcBorders>
              <w:top w:val="nil"/>
              <w:bottom w:val="nil"/>
            </w:tcBorders>
          </w:tcPr>
          <w:p w:rsidR="002D0C0B" w:rsidRPr="00FC4DDA" w:rsidRDefault="002D0C0B" w:rsidP="00FC4DDA">
            <w:pPr>
              <w:pStyle w:val="Tabletext"/>
              <w:tabs>
                <w:tab w:val="decimal" w:pos="397"/>
              </w:tabs>
            </w:pPr>
            <w:r w:rsidRPr="00FC4DDA">
              <w:t>35.2</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21.4</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27.9</w:t>
            </w:r>
          </w:p>
        </w:tc>
        <w:tc>
          <w:tcPr>
            <w:tcW w:w="861" w:type="dxa"/>
            <w:tcBorders>
              <w:top w:val="nil"/>
              <w:bottom w:val="nil"/>
            </w:tcBorders>
          </w:tcPr>
          <w:p w:rsidR="002D0C0B" w:rsidRPr="00FC4DDA" w:rsidRDefault="002D0C0B" w:rsidP="00FC4DDA">
            <w:pPr>
              <w:pStyle w:val="Tabletext"/>
              <w:tabs>
                <w:tab w:val="decimal" w:pos="397"/>
              </w:tabs>
            </w:pPr>
            <w:r w:rsidRPr="00FC4DDA">
              <w:t>33.7</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26.2</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pPr>
            <w:r w:rsidRPr="00FC4DDA">
              <w:t>Agriculture, environmental and related studies</w:t>
            </w:r>
          </w:p>
        </w:tc>
        <w:tc>
          <w:tcPr>
            <w:tcW w:w="860" w:type="dxa"/>
            <w:tcBorders>
              <w:top w:val="nil"/>
              <w:bottom w:val="nil"/>
            </w:tcBorders>
          </w:tcPr>
          <w:p w:rsidR="002D0C0B" w:rsidRPr="00FC4DDA" w:rsidRDefault="002D0C0B" w:rsidP="00FC4DDA">
            <w:pPr>
              <w:pStyle w:val="Tabletext"/>
              <w:tabs>
                <w:tab w:val="decimal" w:pos="397"/>
              </w:tabs>
            </w:pPr>
            <w:r w:rsidRPr="00FC4DDA">
              <w:t>34.2</w:t>
            </w:r>
          </w:p>
        </w:tc>
        <w:tc>
          <w:tcPr>
            <w:tcW w:w="861" w:type="dxa"/>
            <w:tcBorders>
              <w:top w:val="nil"/>
              <w:bottom w:val="nil"/>
            </w:tcBorders>
          </w:tcPr>
          <w:p w:rsidR="002D0C0B" w:rsidRPr="00FC4DDA" w:rsidRDefault="002D0C0B" w:rsidP="00FC4DDA">
            <w:pPr>
              <w:pStyle w:val="Tabletext"/>
              <w:tabs>
                <w:tab w:val="decimal" w:pos="397"/>
              </w:tabs>
            </w:pPr>
            <w:r w:rsidRPr="00FC4DDA">
              <w:t>29.6</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22.3</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21.9</w:t>
            </w:r>
          </w:p>
        </w:tc>
        <w:tc>
          <w:tcPr>
            <w:tcW w:w="861" w:type="dxa"/>
            <w:tcBorders>
              <w:top w:val="nil"/>
              <w:bottom w:val="nil"/>
            </w:tcBorders>
          </w:tcPr>
          <w:p w:rsidR="002D0C0B" w:rsidRPr="00FC4DDA" w:rsidRDefault="002D0C0B" w:rsidP="00FC4DDA">
            <w:pPr>
              <w:pStyle w:val="Tabletext"/>
              <w:tabs>
                <w:tab w:val="decimal" w:pos="397"/>
              </w:tabs>
            </w:pPr>
            <w:r w:rsidRPr="00FC4DDA">
              <w:t>22.9</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25.1</w:t>
            </w:r>
          </w:p>
        </w:tc>
      </w:tr>
      <w:tr w:rsidR="002D0C0B" w:rsidRPr="00354810" w:rsidTr="00FC4DDA">
        <w:tc>
          <w:tcPr>
            <w:tcW w:w="2876" w:type="dxa"/>
            <w:tcBorders>
              <w:top w:val="nil"/>
              <w:bottom w:val="nil"/>
            </w:tcBorders>
            <w:shd w:val="clear" w:color="auto" w:fill="auto"/>
          </w:tcPr>
          <w:p w:rsidR="002D0C0B" w:rsidRPr="00FC4DDA" w:rsidRDefault="002D0C0B" w:rsidP="00FC4DDA">
            <w:pPr>
              <w:pStyle w:val="Tabletext"/>
              <w:ind w:left="284"/>
            </w:pPr>
            <w:r w:rsidRPr="00FC4DDA">
              <w:t>Agriculture</w:t>
            </w:r>
          </w:p>
        </w:tc>
        <w:tc>
          <w:tcPr>
            <w:tcW w:w="860" w:type="dxa"/>
            <w:tcBorders>
              <w:top w:val="nil"/>
              <w:bottom w:val="nil"/>
            </w:tcBorders>
          </w:tcPr>
          <w:p w:rsidR="002D0C0B" w:rsidRPr="00FC4DDA" w:rsidRDefault="002D0C0B" w:rsidP="00FC4DDA">
            <w:pPr>
              <w:pStyle w:val="Tabletext"/>
              <w:tabs>
                <w:tab w:val="decimal" w:pos="397"/>
              </w:tabs>
            </w:pPr>
            <w:r w:rsidRPr="00FC4DDA">
              <w:t>49.4</w:t>
            </w:r>
          </w:p>
        </w:tc>
        <w:tc>
          <w:tcPr>
            <w:tcW w:w="861" w:type="dxa"/>
            <w:tcBorders>
              <w:top w:val="nil"/>
              <w:bottom w:val="nil"/>
            </w:tcBorders>
          </w:tcPr>
          <w:p w:rsidR="002D0C0B" w:rsidRPr="00FC4DDA" w:rsidRDefault="002D0C0B" w:rsidP="00FC4DDA">
            <w:pPr>
              <w:pStyle w:val="Tabletext"/>
              <w:tabs>
                <w:tab w:val="decimal" w:pos="397"/>
              </w:tabs>
            </w:pPr>
            <w:r w:rsidRPr="00FC4DDA">
              <w:t>29.7</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20.1</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18.3</w:t>
            </w:r>
          </w:p>
        </w:tc>
        <w:tc>
          <w:tcPr>
            <w:tcW w:w="861" w:type="dxa"/>
            <w:tcBorders>
              <w:top w:val="nil"/>
              <w:bottom w:val="nil"/>
            </w:tcBorders>
          </w:tcPr>
          <w:p w:rsidR="002D0C0B" w:rsidRPr="00FC4DDA" w:rsidRDefault="002D0C0B" w:rsidP="00FC4DDA">
            <w:pPr>
              <w:pStyle w:val="Tabletext"/>
              <w:tabs>
                <w:tab w:val="decimal" w:pos="397"/>
              </w:tabs>
            </w:pPr>
            <w:r w:rsidRPr="00FC4DDA">
              <w:t>15.2</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23.4</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pPr>
            <w:r w:rsidRPr="00FC4DDA">
              <w:t>Health</w:t>
            </w:r>
          </w:p>
        </w:tc>
        <w:tc>
          <w:tcPr>
            <w:tcW w:w="860" w:type="dxa"/>
            <w:tcBorders>
              <w:top w:val="nil"/>
              <w:bottom w:val="nil"/>
            </w:tcBorders>
          </w:tcPr>
          <w:p w:rsidR="002D0C0B" w:rsidRPr="00FC4DDA" w:rsidRDefault="002D0C0B" w:rsidP="00FC4DDA">
            <w:pPr>
              <w:pStyle w:val="Tabletext"/>
              <w:tabs>
                <w:tab w:val="decimal" w:pos="397"/>
              </w:tabs>
            </w:pPr>
            <w:r w:rsidRPr="00FC4DDA">
              <w:t>46.5</w:t>
            </w:r>
          </w:p>
        </w:tc>
        <w:tc>
          <w:tcPr>
            <w:tcW w:w="861" w:type="dxa"/>
            <w:tcBorders>
              <w:top w:val="nil"/>
              <w:bottom w:val="nil"/>
            </w:tcBorders>
          </w:tcPr>
          <w:p w:rsidR="002D0C0B" w:rsidRPr="00FC4DDA" w:rsidRDefault="002D0C0B" w:rsidP="00FC4DDA">
            <w:pPr>
              <w:pStyle w:val="Tabletext"/>
              <w:tabs>
                <w:tab w:val="decimal" w:pos="397"/>
              </w:tabs>
            </w:pPr>
            <w:r w:rsidRPr="00FC4DDA">
              <w:t>25.5</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29.7</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37.9</w:t>
            </w:r>
          </w:p>
        </w:tc>
        <w:tc>
          <w:tcPr>
            <w:tcW w:w="861" w:type="dxa"/>
            <w:tcBorders>
              <w:top w:val="nil"/>
              <w:bottom w:val="nil"/>
            </w:tcBorders>
          </w:tcPr>
          <w:p w:rsidR="002D0C0B" w:rsidRPr="00FC4DDA" w:rsidRDefault="002D0C0B" w:rsidP="00FC4DDA">
            <w:pPr>
              <w:pStyle w:val="Tabletext"/>
              <w:tabs>
                <w:tab w:val="decimal" w:pos="397"/>
              </w:tabs>
            </w:pPr>
            <w:r w:rsidRPr="00FC4DDA">
              <w:t>34.1</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31.0</w:t>
            </w:r>
          </w:p>
        </w:tc>
      </w:tr>
      <w:tr w:rsidR="002D0C0B" w:rsidRPr="00354810" w:rsidTr="00FC4DDA">
        <w:tc>
          <w:tcPr>
            <w:tcW w:w="2876" w:type="dxa"/>
            <w:tcBorders>
              <w:top w:val="nil"/>
              <w:bottom w:val="nil"/>
            </w:tcBorders>
            <w:shd w:val="clear" w:color="auto" w:fill="auto"/>
          </w:tcPr>
          <w:p w:rsidR="002D0C0B" w:rsidRPr="00FC4DDA" w:rsidRDefault="002D0C0B" w:rsidP="00FC4DDA">
            <w:pPr>
              <w:pStyle w:val="Tabletext"/>
              <w:ind w:left="284"/>
            </w:pPr>
            <w:r w:rsidRPr="00FC4DDA">
              <w:t>Nursing</w:t>
            </w:r>
          </w:p>
        </w:tc>
        <w:tc>
          <w:tcPr>
            <w:tcW w:w="860" w:type="dxa"/>
            <w:tcBorders>
              <w:top w:val="nil"/>
              <w:bottom w:val="nil"/>
            </w:tcBorders>
          </w:tcPr>
          <w:p w:rsidR="002D0C0B" w:rsidRPr="00FC4DDA" w:rsidRDefault="006B70F3" w:rsidP="00FC4DDA">
            <w:pPr>
              <w:pStyle w:val="Tabletext"/>
              <w:tabs>
                <w:tab w:val="decimal" w:pos="397"/>
              </w:tabs>
            </w:pPr>
            <w:r w:rsidRPr="00FC4DDA">
              <w:t>–</w:t>
            </w:r>
          </w:p>
        </w:tc>
        <w:tc>
          <w:tcPr>
            <w:tcW w:w="861" w:type="dxa"/>
            <w:tcBorders>
              <w:top w:val="nil"/>
              <w:bottom w:val="nil"/>
            </w:tcBorders>
          </w:tcPr>
          <w:p w:rsidR="002D0C0B" w:rsidRPr="00FC4DDA" w:rsidRDefault="002D0C0B" w:rsidP="00FC4DDA">
            <w:pPr>
              <w:pStyle w:val="Tabletext"/>
              <w:tabs>
                <w:tab w:val="decimal" w:pos="397"/>
              </w:tabs>
            </w:pPr>
            <w:r w:rsidRPr="00FC4DDA">
              <w:t>45.4</w:t>
            </w:r>
            <w:r w:rsidR="00F13BE3" w:rsidRPr="00FC4DDA">
              <w:t>**</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20.1</w:t>
            </w:r>
            <w:r w:rsidR="00F13BE3" w:rsidRPr="00FC4DDA">
              <w:t>**</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37.7</w:t>
            </w:r>
          </w:p>
        </w:tc>
        <w:tc>
          <w:tcPr>
            <w:tcW w:w="861" w:type="dxa"/>
            <w:tcBorders>
              <w:top w:val="nil"/>
              <w:bottom w:val="nil"/>
            </w:tcBorders>
          </w:tcPr>
          <w:p w:rsidR="002D0C0B" w:rsidRPr="00FC4DDA" w:rsidRDefault="002D0C0B" w:rsidP="00FC4DDA">
            <w:pPr>
              <w:pStyle w:val="Tabletext"/>
              <w:tabs>
                <w:tab w:val="decimal" w:pos="397"/>
              </w:tabs>
            </w:pPr>
            <w:r w:rsidRPr="00FC4DDA">
              <w:t>32.6</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33.8</w:t>
            </w:r>
          </w:p>
        </w:tc>
      </w:tr>
      <w:tr w:rsidR="002D0C0B" w:rsidRPr="00354810" w:rsidTr="00FC4DDA">
        <w:tc>
          <w:tcPr>
            <w:tcW w:w="2876" w:type="dxa"/>
            <w:tcBorders>
              <w:top w:val="nil"/>
              <w:bottom w:val="nil"/>
            </w:tcBorders>
            <w:shd w:val="clear" w:color="auto" w:fill="auto"/>
          </w:tcPr>
          <w:p w:rsidR="002D0C0B" w:rsidRPr="00FC4DDA" w:rsidRDefault="002D0C0B" w:rsidP="00FC4DDA">
            <w:pPr>
              <w:pStyle w:val="Tabletext"/>
              <w:ind w:left="284"/>
            </w:pPr>
            <w:r w:rsidRPr="00FC4DDA">
              <w:t>Veterinary studies</w:t>
            </w:r>
          </w:p>
        </w:tc>
        <w:tc>
          <w:tcPr>
            <w:tcW w:w="860" w:type="dxa"/>
            <w:tcBorders>
              <w:top w:val="nil"/>
              <w:bottom w:val="nil"/>
            </w:tcBorders>
          </w:tcPr>
          <w:p w:rsidR="002D0C0B" w:rsidRPr="00FC4DDA" w:rsidRDefault="002D0C0B" w:rsidP="00FC4DDA">
            <w:pPr>
              <w:pStyle w:val="Tabletext"/>
              <w:tabs>
                <w:tab w:val="decimal" w:pos="397"/>
              </w:tabs>
            </w:pPr>
            <w:r w:rsidRPr="00FC4DDA">
              <w:t>48.1</w:t>
            </w:r>
          </w:p>
        </w:tc>
        <w:tc>
          <w:tcPr>
            <w:tcW w:w="861" w:type="dxa"/>
            <w:tcBorders>
              <w:top w:val="nil"/>
              <w:bottom w:val="nil"/>
            </w:tcBorders>
          </w:tcPr>
          <w:p w:rsidR="002D0C0B" w:rsidRPr="00FC4DDA" w:rsidRDefault="002D0C0B" w:rsidP="00FC4DDA">
            <w:pPr>
              <w:pStyle w:val="Tabletext"/>
              <w:tabs>
                <w:tab w:val="decimal" w:pos="397"/>
              </w:tabs>
            </w:pPr>
            <w:r w:rsidRPr="00FC4DDA">
              <w:t>53.4</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37.8</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16.6</w:t>
            </w:r>
            <w:r w:rsidR="006B70F3" w:rsidRPr="00FC4DDA">
              <w:t>*</w:t>
            </w:r>
          </w:p>
        </w:tc>
        <w:tc>
          <w:tcPr>
            <w:tcW w:w="861" w:type="dxa"/>
            <w:tcBorders>
              <w:top w:val="nil"/>
              <w:bottom w:val="nil"/>
            </w:tcBorders>
          </w:tcPr>
          <w:p w:rsidR="002D0C0B" w:rsidRPr="00FC4DDA" w:rsidRDefault="002D0C0B" w:rsidP="00FC4DDA">
            <w:pPr>
              <w:pStyle w:val="Tabletext"/>
              <w:tabs>
                <w:tab w:val="decimal" w:pos="397"/>
              </w:tabs>
            </w:pPr>
            <w:r w:rsidRPr="00FC4DDA">
              <w:t>23.1</w:t>
            </w:r>
            <w:r w:rsidR="00F13BE3" w:rsidRPr="00FC4DDA">
              <w:t>**</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40.9</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rPr>
                <w:bCs/>
              </w:rPr>
            </w:pPr>
            <w:r w:rsidRPr="00FC4DDA">
              <w:rPr>
                <w:bCs/>
              </w:rPr>
              <w:t>Education</w:t>
            </w:r>
          </w:p>
        </w:tc>
        <w:tc>
          <w:tcPr>
            <w:tcW w:w="860" w:type="dxa"/>
            <w:tcBorders>
              <w:top w:val="nil"/>
              <w:bottom w:val="nil"/>
            </w:tcBorders>
          </w:tcPr>
          <w:p w:rsidR="002D0C0B" w:rsidRPr="00FC4DDA" w:rsidRDefault="002D0C0B" w:rsidP="00FC4DDA">
            <w:pPr>
              <w:pStyle w:val="Tabletext"/>
              <w:tabs>
                <w:tab w:val="decimal" w:pos="397"/>
              </w:tabs>
            </w:pPr>
            <w:r w:rsidRPr="00FC4DDA">
              <w:t>33.1</w:t>
            </w:r>
            <w:r w:rsidR="006B70F3" w:rsidRPr="00FC4DDA">
              <w:t>*</w:t>
            </w:r>
          </w:p>
        </w:tc>
        <w:tc>
          <w:tcPr>
            <w:tcW w:w="861" w:type="dxa"/>
            <w:tcBorders>
              <w:top w:val="nil"/>
              <w:bottom w:val="nil"/>
            </w:tcBorders>
          </w:tcPr>
          <w:p w:rsidR="002D0C0B" w:rsidRPr="00FC4DDA" w:rsidRDefault="008B565B" w:rsidP="00FC4DDA">
            <w:pPr>
              <w:pStyle w:val="Tabletext"/>
              <w:tabs>
                <w:tab w:val="decimal" w:pos="397"/>
              </w:tabs>
            </w:pPr>
            <w:r w:rsidRPr="00FC4DDA">
              <w:t>0</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26.7</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27.0</w:t>
            </w:r>
          </w:p>
        </w:tc>
        <w:tc>
          <w:tcPr>
            <w:tcW w:w="861" w:type="dxa"/>
            <w:tcBorders>
              <w:top w:val="nil"/>
              <w:bottom w:val="nil"/>
            </w:tcBorders>
          </w:tcPr>
          <w:p w:rsidR="002D0C0B" w:rsidRPr="00FC4DDA" w:rsidRDefault="002D0C0B" w:rsidP="00FC4DDA">
            <w:pPr>
              <w:pStyle w:val="Tabletext"/>
              <w:tabs>
                <w:tab w:val="decimal" w:pos="397"/>
              </w:tabs>
            </w:pPr>
            <w:r w:rsidRPr="00FC4DDA">
              <w:t>32.7</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27.3</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rPr>
                <w:bCs/>
              </w:rPr>
            </w:pPr>
            <w:r w:rsidRPr="00FC4DDA">
              <w:rPr>
                <w:bCs/>
              </w:rPr>
              <w:t>Management and commerce</w:t>
            </w:r>
          </w:p>
        </w:tc>
        <w:tc>
          <w:tcPr>
            <w:tcW w:w="860" w:type="dxa"/>
            <w:tcBorders>
              <w:top w:val="nil"/>
              <w:bottom w:val="nil"/>
            </w:tcBorders>
          </w:tcPr>
          <w:p w:rsidR="002D0C0B" w:rsidRPr="00FC4DDA" w:rsidRDefault="002D0C0B" w:rsidP="00FC4DDA">
            <w:pPr>
              <w:pStyle w:val="Tabletext"/>
              <w:tabs>
                <w:tab w:val="decimal" w:pos="397"/>
              </w:tabs>
            </w:pPr>
            <w:r w:rsidRPr="00FC4DDA">
              <w:t>28.5</w:t>
            </w:r>
          </w:p>
        </w:tc>
        <w:tc>
          <w:tcPr>
            <w:tcW w:w="861" w:type="dxa"/>
            <w:tcBorders>
              <w:top w:val="nil"/>
              <w:bottom w:val="nil"/>
            </w:tcBorders>
          </w:tcPr>
          <w:p w:rsidR="002D0C0B" w:rsidRPr="00FC4DDA" w:rsidRDefault="002D0C0B" w:rsidP="00FC4DDA">
            <w:pPr>
              <w:pStyle w:val="Tabletext"/>
              <w:tabs>
                <w:tab w:val="decimal" w:pos="397"/>
              </w:tabs>
            </w:pPr>
            <w:r w:rsidRPr="00FC4DDA">
              <w:t>43.1</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36.3</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30.1</w:t>
            </w:r>
          </w:p>
        </w:tc>
        <w:tc>
          <w:tcPr>
            <w:tcW w:w="861" w:type="dxa"/>
            <w:tcBorders>
              <w:top w:val="nil"/>
              <w:bottom w:val="nil"/>
            </w:tcBorders>
          </w:tcPr>
          <w:p w:rsidR="002D0C0B" w:rsidRPr="00FC4DDA" w:rsidRDefault="002D0C0B" w:rsidP="00FC4DDA">
            <w:pPr>
              <w:pStyle w:val="Tabletext"/>
              <w:tabs>
                <w:tab w:val="decimal" w:pos="397"/>
              </w:tabs>
            </w:pPr>
            <w:r w:rsidRPr="00FC4DDA">
              <w:t>33.6</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35.4</w:t>
            </w:r>
          </w:p>
        </w:tc>
      </w:tr>
      <w:tr w:rsidR="002D0C0B" w:rsidRPr="00354810" w:rsidTr="00FC4DDA">
        <w:tc>
          <w:tcPr>
            <w:tcW w:w="2876" w:type="dxa"/>
            <w:tcBorders>
              <w:top w:val="nil"/>
              <w:bottom w:val="nil"/>
            </w:tcBorders>
            <w:shd w:val="clear" w:color="auto" w:fill="auto"/>
          </w:tcPr>
          <w:p w:rsidR="002D0C0B" w:rsidRPr="00FC4DDA" w:rsidRDefault="002D0C0B" w:rsidP="00FC4DDA">
            <w:pPr>
              <w:pStyle w:val="Tabletext"/>
              <w:ind w:left="284"/>
            </w:pPr>
            <w:r w:rsidRPr="00FC4DDA">
              <w:t>Banking and finance</w:t>
            </w:r>
          </w:p>
        </w:tc>
        <w:tc>
          <w:tcPr>
            <w:tcW w:w="860" w:type="dxa"/>
            <w:tcBorders>
              <w:top w:val="nil"/>
              <w:bottom w:val="nil"/>
            </w:tcBorders>
          </w:tcPr>
          <w:p w:rsidR="002D0C0B" w:rsidRPr="00FC4DDA" w:rsidRDefault="002D0C0B" w:rsidP="00FC4DDA">
            <w:pPr>
              <w:pStyle w:val="Tabletext"/>
              <w:tabs>
                <w:tab w:val="decimal" w:pos="397"/>
              </w:tabs>
            </w:pPr>
            <w:r w:rsidRPr="00FC4DDA">
              <w:t>100.0**</w:t>
            </w:r>
          </w:p>
        </w:tc>
        <w:tc>
          <w:tcPr>
            <w:tcW w:w="861" w:type="dxa"/>
            <w:tcBorders>
              <w:top w:val="nil"/>
              <w:bottom w:val="nil"/>
            </w:tcBorders>
          </w:tcPr>
          <w:p w:rsidR="002D0C0B" w:rsidRPr="00FC4DDA" w:rsidRDefault="002D0C0B" w:rsidP="00FC4DDA">
            <w:pPr>
              <w:pStyle w:val="Tabletext"/>
              <w:tabs>
                <w:tab w:val="decimal" w:pos="397"/>
              </w:tabs>
            </w:pPr>
            <w:r w:rsidRPr="00FC4DDA">
              <w:t>44.6</w:t>
            </w:r>
            <w:r w:rsidR="00F13BE3" w:rsidRPr="00FC4DDA">
              <w:t>**</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42.9</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46.0</w:t>
            </w:r>
          </w:p>
        </w:tc>
        <w:tc>
          <w:tcPr>
            <w:tcW w:w="861" w:type="dxa"/>
            <w:tcBorders>
              <w:top w:val="nil"/>
              <w:bottom w:val="nil"/>
            </w:tcBorders>
          </w:tcPr>
          <w:p w:rsidR="002D0C0B" w:rsidRPr="00FC4DDA" w:rsidRDefault="002D0C0B" w:rsidP="00FC4DDA">
            <w:pPr>
              <w:pStyle w:val="Tabletext"/>
              <w:tabs>
                <w:tab w:val="decimal" w:pos="397"/>
              </w:tabs>
            </w:pPr>
            <w:r w:rsidRPr="00FC4DDA">
              <w:t>41.4</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43.2</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rPr>
                <w:bCs/>
              </w:rPr>
            </w:pPr>
            <w:r w:rsidRPr="00FC4DDA">
              <w:rPr>
                <w:bCs/>
              </w:rPr>
              <w:t>Society and culture</w:t>
            </w:r>
          </w:p>
        </w:tc>
        <w:tc>
          <w:tcPr>
            <w:tcW w:w="860" w:type="dxa"/>
            <w:tcBorders>
              <w:top w:val="nil"/>
              <w:bottom w:val="nil"/>
            </w:tcBorders>
          </w:tcPr>
          <w:p w:rsidR="002D0C0B" w:rsidRPr="00FC4DDA" w:rsidRDefault="002D0C0B" w:rsidP="00FC4DDA">
            <w:pPr>
              <w:pStyle w:val="Tabletext"/>
              <w:tabs>
                <w:tab w:val="decimal" w:pos="397"/>
              </w:tabs>
            </w:pPr>
            <w:r w:rsidRPr="00FC4DDA">
              <w:t>23.5</w:t>
            </w:r>
          </w:p>
        </w:tc>
        <w:tc>
          <w:tcPr>
            <w:tcW w:w="861" w:type="dxa"/>
            <w:tcBorders>
              <w:top w:val="nil"/>
              <w:bottom w:val="nil"/>
            </w:tcBorders>
          </w:tcPr>
          <w:p w:rsidR="002D0C0B" w:rsidRPr="00FC4DDA" w:rsidRDefault="002D0C0B" w:rsidP="00FC4DDA">
            <w:pPr>
              <w:pStyle w:val="Tabletext"/>
              <w:tabs>
                <w:tab w:val="decimal" w:pos="397"/>
              </w:tabs>
            </w:pPr>
            <w:r w:rsidRPr="00FC4DDA">
              <w:t>43.6</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36.1</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38.1</w:t>
            </w:r>
          </w:p>
        </w:tc>
        <w:tc>
          <w:tcPr>
            <w:tcW w:w="861" w:type="dxa"/>
            <w:tcBorders>
              <w:top w:val="nil"/>
              <w:bottom w:val="nil"/>
            </w:tcBorders>
          </w:tcPr>
          <w:p w:rsidR="002D0C0B" w:rsidRPr="00FC4DDA" w:rsidRDefault="002D0C0B" w:rsidP="00FC4DDA">
            <w:pPr>
              <w:pStyle w:val="Tabletext"/>
              <w:tabs>
                <w:tab w:val="decimal" w:pos="397"/>
              </w:tabs>
            </w:pPr>
            <w:r w:rsidRPr="00FC4DDA">
              <w:t>31.7</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36.2</w:t>
            </w:r>
          </w:p>
        </w:tc>
      </w:tr>
      <w:tr w:rsidR="002D0C0B" w:rsidRPr="00354810" w:rsidTr="00FC4DDA">
        <w:tc>
          <w:tcPr>
            <w:tcW w:w="2876" w:type="dxa"/>
            <w:tcBorders>
              <w:top w:val="nil"/>
              <w:bottom w:val="nil"/>
            </w:tcBorders>
            <w:shd w:val="clear" w:color="auto" w:fill="auto"/>
          </w:tcPr>
          <w:p w:rsidR="002D0C0B" w:rsidRPr="00FC4DDA" w:rsidRDefault="002D0C0B" w:rsidP="00B65A93">
            <w:pPr>
              <w:pStyle w:val="Tabletext"/>
              <w:rPr>
                <w:bCs/>
              </w:rPr>
            </w:pPr>
            <w:r w:rsidRPr="00FC4DDA">
              <w:rPr>
                <w:bCs/>
              </w:rPr>
              <w:t>Creative arts</w:t>
            </w:r>
          </w:p>
        </w:tc>
        <w:tc>
          <w:tcPr>
            <w:tcW w:w="860" w:type="dxa"/>
            <w:tcBorders>
              <w:top w:val="nil"/>
              <w:bottom w:val="nil"/>
            </w:tcBorders>
          </w:tcPr>
          <w:p w:rsidR="002D0C0B" w:rsidRPr="00FC4DDA" w:rsidRDefault="002D0C0B" w:rsidP="00FC4DDA">
            <w:pPr>
              <w:pStyle w:val="Tabletext"/>
              <w:tabs>
                <w:tab w:val="decimal" w:pos="397"/>
              </w:tabs>
            </w:pPr>
            <w:r w:rsidRPr="00FC4DDA">
              <w:t>44.3</w:t>
            </w:r>
          </w:p>
        </w:tc>
        <w:tc>
          <w:tcPr>
            <w:tcW w:w="861" w:type="dxa"/>
            <w:tcBorders>
              <w:top w:val="nil"/>
              <w:bottom w:val="nil"/>
            </w:tcBorders>
          </w:tcPr>
          <w:p w:rsidR="002D0C0B" w:rsidRPr="00FC4DDA" w:rsidRDefault="002D0C0B" w:rsidP="00FC4DDA">
            <w:pPr>
              <w:pStyle w:val="Tabletext"/>
              <w:tabs>
                <w:tab w:val="decimal" w:pos="397"/>
              </w:tabs>
            </w:pPr>
            <w:r w:rsidRPr="00FC4DDA">
              <w:t>49.1</w:t>
            </w:r>
          </w:p>
        </w:tc>
        <w:tc>
          <w:tcPr>
            <w:tcW w:w="861" w:type="dxa"/>
            <w:tcBorders>
              <w:top w:val="nil"/>
              <w:bottom w:val="nil"/>
            </w:tcBorders>
            <w:shd w:val="clear" w:color="auto" w:fill="auto"/>
          </w:tcPr>
          <w:p w:rsidR="002D0C0B" w:rsidRPr="00FC4DDA" w:rsidRDefault="002D0C0B" w:rsidP="00FC4DDA">
            <w:pPr>
              <w:pStyle w:val="Tabletext"/>
              <w:tabs>
                <w:tab w:val="decimal" w:pos="397"/>
              </w:tabs>
            </w:pPr>
            <w:r w:rsidRPr="00FC4DDA">
              <w:t>49.2</w:t>
            </w:r>
          </w:p>
        </w:tc>
        <w:tc>
          <w:tcPr>
            <w:tcW w:w="860" w:type="dxa"/>
            <w:tcBorders>
              <w:top w:val="nil"/>
              <w:bottom w:val="nil"/>
            </w:tcBorders>
            <w:shd w:val="clear" w:color="auto" w:fill="auto"/>
          </w:tcPr>
          <w:p w:rsidR="002D0C0B" w:rsidRPr="00FC4DDA" w:rsidRDefault="002D0C0B" w:rsidP="00FC4DDA">
            <w:pPr>
              <w:pStyle w:val="Tabletext"/>
              <w:tabs>
                <w:tab w:val="decimal" w:pos="397"/>
              </w:tabs>
            </w:pPr>
            <w:r w:rsidRPr="00FC4DDA">
              <w:t>57.6</w:t>
            </w:r>
          </w:p>
        </w:tc>
        <w:tc>
          <w:tcPr>
            <w:tcW w:w="861" w:type="dxa"/>
            <w:tcBorders>
              <w:top w:val="nil"/>
              <w:bottom w:val="nil"/>
            </w:tcBorders>
          </w:tcPr>
          <w:p w:rsidR="002D0C0B" w:rsidRPr="00FC4DDA" w:rsidRDefault="002D0C0B" w:rsidP="00FC4DDA">
            <w:pPr>
              <w:pStyle w:val="Tabletext"/>
              <w:tabs>
                <w:tab w:val="decimal" w:pos="397"/>
              </w:tabs>
            </w:pPr>
            <w:r w:rsidRPr="00FC4DDA">
              <w:t>39.4</w:t>
            </w:r>
          </w:p>
        </w:tc>
        <w:tc>
          <w:tcPr>
            <w:tcW w:w="861" w:type="dxa"/>
            <w:tcBorders>
              <w:top w:val="nil"/>
              <w:bottom w:val="nil"/>
            </w:tcBorders>
          </w:tcPr>
          <w:p w:rsidR="002D0C0B" w:rsidRPr="00FC4DDA" w:rsidRDefault="002D0C0B" w:rsidP="00FC4DDA">
            <w:pPr>
              <w:pStyle w:val="Tabletext"/>
              <w:tabs>
                <w:tab w:val="decimal" w:pos="397"/>
              </w:tabs>
              <w:rPr>
                <w:b/>
              </w:rPr>
            </w:pPr>
            <w:r w:rsidRPr="00FC4DDA">
              <w:rPr>
                <w:b/>
              </w:rPr>
              <w:t>48.2</w:t>
            </w:r>
          </w:p>
        </w:tc>
      </w:tr>
      <w:tr w:rsidR="002D0C0B" w:rsidRPr="00354810" w:rsidTr="00FC4DDA">
        <w:tc>
          <w:tcPr>
            <w:tcW w:w="2876" w:type="dxa"/>
            <w:tcBorders>
              <w:top w:val="nil"/>
              <w:bottom w:val="dashed" w:sz="4" w:space="0" w:color="auto"/>
            </w:tcBorders>
            <w:shd w:val="clear" w:color="auto" w:fill="auto"/>
          </w:tcPr>
          <w:p w:rsidR="002D0C0B" w:rsidRPr="00FC4DDA" w:rsidRDefault="002D0C0B" w:rsidP="00B65A93">
            <w:pPr>
              <w:pStyle w:val="Tabletext"/>
              <w:rPr>
                <w:bCs/>
              </w:rPr>
            </w:pPr>
            <w:r w:rsidRPr="00FC4DDA">
              <w:rPr>
                <w:bCs/>
              </w:rPr>
              <w:t>Food, hospitality and personal services</w:t>
            </w:r>
          </w:p>
        </w:tc>
        <w:tc>
          <w:tcPr>
            <w:tcW w:w="860" w:type="dxa"/>
            <w:tcBorders>
              <w:top w:val="nil"/>
              <w:bottom w:val="dashed" w:sz="4" w:space="0" w:color="auto"/>
            </w:tcBorders>
          </w:tcPr>
          <w:p w:rsidR="002D0C0B" w:rsidRPr="00FC4DDA" w:rsidRDefault="002D0C0B" w:rsidP="00FC4DDA">
            <w:pPr>
              <w:pStyle w:val="Tabletext"/>
              <w:tabs>
                <w:tab w:val="decimal" w:pos="397"/>
              </w:tabs>
            </w:pPr>
            <w:r w:rsidRPr="00FC4DDA">
              <w:t>28.1</w:t>
            </w:r>
          </w:p>
        </w:tc>
        <w:tc>
          <w:tcPr>
            <w:tcW w:w="861" w:type="dxa"/>
            <w:tcBorders>
              <w:top w:val="nil"/>
              <w:bottom w:val="dashed" w:sz="4" w:space="0" w:color="auto"/>
            </w:tcBorders>
          </w:tcPr>
          <w:p w:rsidR="002D0C0B" w:rsidRPr="00FC4DDA" w:rsidRDefault="002D0C0B" w:rsidP="00FC4DDA">
            <w:pPr>
              <w:pStyle w:val="Tabletext"/>
              <w:tabs>
                <w:tab w:val="decimal" w:pos="397"/>
              </w:tabs>
            </w:pPr>
            <w:r w:rsidRPr="00FC4DDA">
              <w:t>35.0</w:t>
            </w:r>
          </w:p>
        </w:tc>
        <w:tc>
          <w:tcPr>
            <w:tcW w:w="861" w:type="dxa"/>
            <w:tcBorders>
              <w:top w:val="nil"/>
              <w:bottom w:val="dashed" w:sz="4" w:space="0" w:color="auto"/>
            </w:tcBorders>
            <w:shd w:val="clear" w:color="auto" w:fill="auto"/>
          </w:tcPr>
          <w:p w:rsidR="002D0C0B" w:rsidRPr="00FC4DDA" w:rsidRDefault="002D0C0B" w:rsidP="00FC4DDA">
            <w:pPr>
              <w:pStyle w:val="Tabletext"/>
              <w:tabs>
                <w:tab w:val="decimal" w:pos="397"/>
              </w:tabs>
            </w:pPr>
            <w:r w:rsidRPr="00FC4DDA">
              <w:t>26.3</w:t>
            </w:r>
          </w:p>
        </w:tc>
        <w:tc>
          <w:tcPr>
            <w:tcW w:w="860" w:type="dxa"/>
            <w:tcBorders>
              <w:top w:val="nil"/>
              <w:bottom w:val="dashed" w:sz="4" w:space="0" w:color="auto"/>
            </w:tcBorders>
            <w:shd w:val="clear" w:color="auto" w:fill="auto"/>
          </w:tcPr>
          <w:p w:rsidR="002D0C0B" w:rsidRPr="00FC4DDA" w:rsidRDefault="002D0C0B" w:rsidP="00FC4DDA">
            <w:pPr>
              <w:pStyle w:val="Tabletext"/>
              <w:tabs>
                <w:tab w:val="decimal" w:pos="397"/>
              </w:tabs>
            </w:pPr>
            <w:r w:rsidRPr="00FC4DDA">
              <w:t>26.5</w:t>
            </w:r>
          </w:p>
        </w:tc>
        <w:tc>
          <w:tcPr>
            <w:tcW w:w="861" w:type="dxa"/>
            <w:tcBorders>
              <w:top w:val="nil"/>
              <w:bottom w:val="dashed" w:sz="4" w:space="0" w:color="auto"/>
            </w:tcBorders>
          </w:tcPr>
          <w:p w:rsidR="002D0C0B" w:rsidRPr="00FC4DDA" w:rsidRDefault="002D0C0B" w:rsidP="00FC4DDA">
            <w:pPr>
              <w:pStyle w:val="Tabletext"/>
              <w:tabs>
                <w:tab w:val="decimal" w:pos="397"/>
              </w:tabs>
            </w:pPr>
            <w:r w:rsidRPr="00FC4DDA">
              <w:t>25.8</w:t>
            </w:r>
          </w:p>
        </w:tc>
        <w:tc>
          <w:tcPr>
            <w:tcW w:w="861" w:type="dxa"/>
            <w:tcBorders>
              <w:top w:val="nil"/>
              <w:bottom w:val="dashed" w:sz="4" w:space="0" w:color="auto"/>
            </w:tcBorders>
          </w:tcPr>
          <w:p w:rsidR="002D0C0B" w:rsidRPr="00FC4DDA" w:rsidRDefault="002D0C0B" w:rsidP="00FC4DDA">
            <w:pPr>
              <w:pStyle w:val="Tabletext"/>
              <w:tabs>
                <w:tab w:val="decimal" w:pos="397"/>
              </w:tabs>
              <w:rPr>
                <w:b/>
              </w:rPr>
            </w:pPr>
            <w:r w:rsidRPr="00FC4DDA">
              <w:rPr>
                <w:b/>
              </w:rPr>
              <w:t>30.2</w:t>
            </w:r>
          </w:p>
        </w:tc>
      </w:tr>
      <w:tr w:rsidR="002D0C0B" w:rsidRPr="00354810" w:rsidTr="00FC4DDA">
        <w:tc>
          <w:tcPr>
            <w:tcW w:w="2876" w:type="dxa"/>
            <w:tcBorders>
              <w:top w:val="dashed" w:sz="4" w:space="0" w:color="auto"/>
              <w:bottom w:val="single" w:sz="4" w:space="0" w:color="auto"/>
            </w:tcBorders>
            <w:shd w:val="clear" w:color="auto" w:fill="auto"/>
          </w:tcPr>
          <w:p w:rsidR="002D0C0B" w:rsidRPr="00FC4DDA" w:rsidRDefault="002D0C0B" w:rsidP="00B65A93">
            <w:pPr>
              <w:pStyle w:val="Tabletext"/>
            </w:pPr>
            <w:r w:rsidRPr="00FC4DDA">
              <w:t>All fields</w:t>
            </w:r>
          </w:p>
        </w:tc>
        <w:tc>
          <w:tcPr>
            <w:tcW w:w="860" w:type="dxa"/>
            <w:tcBorders>
              <w:top w:val="dashed" w:sz="4" w:space="0" w:color="auto"/>
              <w:bottom w:val="single" w:sz="4" w:space="0" w:color="auto"/>
            </w:tcBorders>
          </w:tcPr>
          <w:p w:rsidR="002D0C0B" w:rsidRPr="00FC4DDA" w:rsidRDefault="002D0C0B" w:rsidP="00FC4DDA">
            <w:pPr>
              <w:pStyle w:val="Tabletext"/>
              <w:tabs>
                <w:tab w:val="decimal" w:pos="397"/>
              </w:tabs>
              <w:rPr>
                <w:b/>
              </w:rPr>
            </w:pPr>
            <w:r w:rsidRPr="00FC4DDA">
              <w:rPr>
                <w:b/>
              </w:rPr>
              <w:t>33.2</w:t>
            </w:r>
          </w:p>
        </w:tc>
        <w:tc>
          <w:tcPr>
            <w:tcW w:w="861" w:type="dxa"/>
            <w:tcBorders>
              <w:top w:val="dashed" w:sz="4" w:space="0" w:color="auto"/>
              <w:bottom w:val="single" w:sz="4" w:space="0" w:color="auto"/>
            </w:tcBorders>
          </w:tcPr>
          <w:p w:rsidR="002D0C0B" w:rsidRPr="00FC4DDA" w:rsidRDefault="002D0C0B" w:rsidP="00FC4DDA">
            <w:pPr>
              <w:pStyle w:val="Tabletext"/>
              <w:tabs>
                <w:tab w:val="decimal" w:pos="397"/>
              </w:tabs>
              <w:rPr>
                <w:b/>
              </w:rPr>
            </w:pPr>
            <w:r w:rsidRPr="00FC4DDA">
              <w:rPr>
                <w:b/>
              </w:rPr>
              <w:t>36.3</w:t>
            </w:r>
          </w:p>
        </w:tc>
        <w:tc>
          <w:tcPr>
            <w:tcW w:w="861" w:type="dxa"/>
            <w:tcBorders>
              <w:top w:val="dashed" w:sz="4" w:space="0" w:color="auto"/>
              <w:bottom w:val="single" w:sz="4" w:space="0" w:color="auto"/>
            </w:tcBorders>
            <w:shd w:val="clear" w:color="auto" w:fill="auto"/>
          </w:tcPr>
          <w:p w:rsidR="002D0C0B" w:rsidRPr="00FC4DDA" w:rsidRDefault="002D0C0B" w:rsidP="00FC4DDA">
            <w:pPr>
              <w:pStyle w:val="Tabletext"/>
              <w:tabs>
                <w:tab w:val="decimal" w:pos="397"/>
              </w:tabs>
              <w:rPr>
                <w:b/>
              </w:rPr>
            </w:pPr>
            <w:r w:rsidRPr="00FC4DDA">
              <w:rPr>
                <w:b/>
              </w:rPr>
              <w:t>29.0</w:t>
            </w:r>
          </w:p>
        </w:tc>
        <w:tc>
          <w:tcPr>
            <w:tcW w:w="860" w:type="dxa"/>
            <w:tcBorders>
              <w:top w:val="dashed" w:sz="4" w:space="0" w:color="auto"/>
              <w:bottom w:val="single" w:sz="4" w:space="0" w:color="auto"/>
            </w:tcBorders>
            <w:shd w:val="clear" w:color="auto" w:fill="auto"/>
          </w:tcPr>
          <w:p w:rsidR="002D0C0B" w:rsidRPr="00FC4DDA" w:rsidRDefault="002D0C0B" w:rsidP="00FC4DDA">
            <w:pPr>
              <w:pStyle w:val="Tabletext"/>
              <w:tabs>
                <w:tab w:val="decimal" w:pos="397"/>
              </w:tabs>
              <w:rPr>
                <w:b/>
              </w:rPr>
            </w:pPr>
            <w:r w:rsidRPr="00FC4DDA">
              <w:rPr>
                <w:b/>
              </w:rPr>
              <w:t>32.9</w:t>
            </w:r>
          </w:p>
        </w:tc>
        <w:tc>
          <w:tcPr>
            <w:tcW w:w="861" w:type="dxa"/>
            <w:tcBorders>
              <w:top w:val="dashed" w:sz="4" w:space="0" w:color="auto"/>
              <w:bottom w:val="single" w:sz="4" w:space="0" w:color="auto"/>
            </w:tcBorders>
          </w:tcPr>
          <w:p w:rsidR="002D0C0B" w:rsidRPr="00FC4DDA" w:rsidRDefault="002D0C0B" w:rsidP="00FC4DDA">
            <w:pPr>
              <w:pStyle w:val="Tabletext"/>
              <w:tabs>
                <w:tab w:val="decimal" w:pos="397"/>
              </w:tabs>
              <w:rPr>
                <w:b/>
              </w:rPr>
            </w:pPr>
            <w:r w:rsidRPr="00FC4DDA">
              <w:rPr>
                <w:b/>
              </w:rPr>
              <w:t>34.2</w:t>
            </w:r>
          </w:p>
        </w:tc>
        <w:tc>
          <w:tcPr>
            <w:tcW w:w="861" w:type="dxa"/>
            <w:tcBorders>
              <w:top w:val="dashed" w:sz="4" w:space="0" w:color="auto"/>
              <w:bottom w:val="single" w:sz="4" w:space="0" w:color="auto"/>
            </w:tcBorders>
          </w:tcPr>
          <w:p w:rsidR="002D0C0B" w:rsidRPr="00FC4DDA" w:rsidRDefault="002D0C0B" w:rsidP="00FC4DDA">
            <w:pPr>
              <w:pStyle w:val="Tabletext"/>
              <w:tabs>
                <w:tab w:val="decimal" w:pos="397"/>
              </w:tabs>
              <w:rPr>
                <w:b/>
              </w:rPr>
            </w:pPr>
            <w:r w:rsidRPr="00FC4DDA">
              <w:rPr>
                <w:b/>
              </w:rPr>
              <w:t>32.4</w:t>
            </w:r>
          </w:p>
        </w:tc>
      </w:tr>
    </w:tbl>
    <w:p w:rsidR="008431EC" w:rsidRDefault="002D0C0B" w:rsidP="008431EC">
      <w:pPr>
        <w:pStyle w:val="Source"/>
      </w:pPr>
      <w:r>
        <w:t>Notes</w:t>
      </w:r>
      <w:r>
        <w:tab/>
        <w:t xml:space="preserve">Blank cells indicate a zero sample size. </w:t>
      </w:r>
      <w:r w:rsidR="002B1074">
        <w:br/>
      </w:r>
      <w:r>
        <w:t>* Relative standard error &gt; 25%. ** Relative standard er</w:t>
      </w:r>
      <w:r w:rsidR="008431EC">
        <w:t>ror &gt; 50% or cell sample size &lt;</w:t>
      </w:r>
      <w:r>
        <w:t>10.</w:t>
      </w:r>
    </w:p>
    <w:p w:rsidR="008431EC" w:rsidRDefault="008431EC" w:rsidP="008431EC">
      <w:pPr>
        <w:pStyle w:val="Source"/>
      </w:pPr>
      <w:proofErr w:type="gramStart"/>
      <w:r>
        <w:t>Source</w:t>
      </w:r>
      <w:r>
        <w:tab/>
        <w:t>NCVER (2011).</w:t>
      </w:r>
      <w:proofErr w:type="gramEnd"/>
    </w:p>
    <w:p w:rsidR="005F1FBD" w:rsidRDefault="005F1FBD" w:rsidP="00FC4DDA">
      <w:pPr>
        <w:pStyle w:val="Textmorebefore"/>
      </w:pPr>
      <w:r>
        <w:lastRenderedPageBreak/>
        <w:t xml:space="preserve">Next we consider the proportion of </w:t>
      </w:r>
      <w:r w:rsidR="008431EC">
        <w:t>VET</w:t>
      </w:r>
      <w:r>
        <w:t xml:space="preserve"> graduates who were employed in the same field as their qualification six months after completing</w:t>
      </w:r>
      <w:r w:rsidR="008431EC">
        <w:t xml:space="preserve"> their qualification, shown in t</w:t>
      </w:r>
      <w:r>
        <w:t xml:space="preserve">able </w:t>
      </w:r>
      <w:r w:rsidR="009420A6">
        <w:t>5</w:t>
      </w:r>
      <w:r>
        <w:t xml:space="preserve">. </w:t>
      </w:r>
      <w:r w:rsidR="0017588D">
        <w:t>For all fields</w:t>
      </w:r>
      <w:r w:rsidR="008431EC">
        <w:t>,</w:t>
      </w:r>
      <w:r w:rsidR="0017588D">
        <w:t xml:space="preserve"> at all levels of qualification</w:t>
      </w:r>
      <w:r w:rsidR="008431EC">
        <w:t>,</w:t>
      </w:r>
      <w:r w:rsidR="0017588D">
        <w:t xml:space="preserve"> only 37.2% of </w:t>
      </w:r>
      <w:r w:rsidR="008431EC">
        <w:t xml:space="preserve">VET </w:t>
      </w:r>
      <w:r w:rsidR="0017588D">
        <w:t xml:space="preserve">graduates were employed in the same field as their qualification. This differs by level of qualification, with the proportion of certificate III graduates employed in the same field (54.6%) being more than double that of graduates of diplomas and above (25.5%). </w:t>
      </w:r>
      <w:r w:rsidR="002F5A66">
        <w:t xml:space="preserve">The proportion of </w:t>
      </w:r>
      <w:r w:rsidR="008431EC">
        <w:t xml:space="preserve">VET </w:t>
      </w:r>
      <w:r w:rsidR="002F5A66">
        <w:t xml:space="preserve">graduates working in the same field as their qualification varies even </w:t>
      </w:r>
      <w:r w:rsidR="002F5A66" w:rsidRPr="00BC7C6C">
        <w:t>more by field of education, with the proportion for nursing (72.3%) and electrical and electronic engineering and technology (64.1</w:t>
      </w:r>
      <w:r w:rsidR="00BC7C6C" w:rsidRPr="00BC7C6C">
        <w:t>%) graduates of all levels at least</w:t>
      </w:r>
      <w:r w:rsidR="002F5A66" w:rsidRPr="00BC7C6C">
        <w:t xml:space="preserve"> two to three times that for information technology (24.7%) </w:t>
      </w:r>
      <w:r w:rsidR="00BC7C6C" w:rsidRPr="00BC7C6C">
        <w:t xml:space="preserve">and creative arts (9.8%) </w:t>
      </w:r>
      <w:r w:rsidR="002F5A66" w:rsidRPr="00BC7C6C">
        <w:t xml:space="preserve">and other fields. </w:t>
      </w:r>
      <w:r w:rsidR="00055832" w:rsidRPr="00BC7C6C">
        <w:t>Within many fields the</w:t>
      </w:r>
      <w:r w:rsidR="00055832">
        <w:t xml:space="preserve"> proportion of graduates working in the same field differs </w:t>
      </w:r>
      <w:r w:rsidR="0005473A">
        <w:t>significantly</w:t>
      </w:r>
      <w:r w:rsidR="00055832">
        <w:t xml:space="preserve"> by qualification level. For example, in e</w:t>
      </w:r>
      <w:r w:rsidR="00055832" w:rsidRPr="00055832">
        <w:t>lectrical and electronic engineering and technology</w:t>
      </w:r>
      <w:r w:rsidR="0005473A">
        <w:t>,</w:t>
      </w:r>
      <w:r w:rsidR="00055832">
        <w:t xml:space="preserve"> 83.7% of certificate III but only 30.0% of diploma and above graduates worked in the same field, whereas in agriculture only 34.2% of certificate III but 51.7% of diploma and above graduates worked in the same field as their qualification. </w:t>
      </w:r>
    </w:p>
    <w:p w:rsidR="005F1FBD" w:rsidRPr="005F1FBD" w:rsidRDefault="005F1FBD" w:rsidP="00F0362D">
      <w:pPr>
        <w:pStyle w:val="tabletitle"/>
        <w:ind w:right="283"/>
      </w:pPr>
      <w:bookmarkStart w:id="44" w:name="_Toc369273531"/>
      <w:r>
        <w:t xml:space="preserve">Table </w:t>
      </w:r>
      <w:r w:rsidR="000D53F3">
        <w:t>5</w:t>
      </w:r>
      <w:r w:rsidRPr="005F1FBD">
        <w:tab/>
        <w:t>Percentage of those employed six months after training working in the same occupation as their training, by level of qualification and broad and selected narrow field of education, 2011</w:t>
      </w:r>
      <w:bookmarkEnd w:id="44"/>
    </w:p>
    <w:tbl>
      <w:tblPr>
        <w:tblW w:w="8789" w:type="dxa"/>
        <w:tblInd w:w="57"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145"/>
        <w:gridCol w:w="940"/>
        <w:gridCol w:w="941"/>
        <w:gridCol w:w="941"/>
        <w:gridCol w:w="940"/>
        <w:gridCol w:w="941"/>
        <w:gridCol w:w="941"/>
      </w:tblGrid>
      <w:tr w:rsidR="005F1FBD" w:rsidRPr="00F0362D" w:rsidTr="00F0362D">
        <w:trPr>
          <w:tblHeader/>
        </w:trPr>
        <w:tc>
          <w:tcPr>
            <w:tcW w:w="2876" w:type="dxa"/>
            <w:tcBorders>
              <w:top w:val="single" w:sz="4" w:space="0" w:color="auto"/>
              <w:bottom w:val="nil"/>
            </w:tcBorders>
            <w:shd w:val="clear" w:color="auto" w:fill="auto"/>
          </w:tcPr>
          <w:p w:rsidR="005F1FBD" w:rsidRPr="00F0362D" w:rsidRDefault="005F1FBD" w:rsidP="00F0362D">
            <w:pPr>
              <w:pStyle w:val="Tablehead1"/>
            </w:pPr>
            <w:r w:rsidRPr="00F0362D">
              <w:t>Field of education</w:t>
            </w:r>
          </w:p>
        </w:tc>
        <w:tc>
          <w:tcPr>
            <w:tcW w:w="860" w:type="dxa"/>
            <w:tcBorders>
              <w:top w:val="single" w:sz="4" w:space="0" w:color="auto"/>
              <w:bottom w:val="nil"/>
            </w:tcBorders>
          </w:tcPr>
          <w:p w:rsidR="005F1FBD" w:rsidRPr="00F0362D" w:rsidRDefault="00E4794D" w:rsidP="00F0362D">
            <w:pPr>
              <w:pStyle w:val="Tablehead1"/>
              <w:jc w:val="center"/>
            </w:pPr>
            <w:r w:rsidRPr="00F0362D">
              <w:t>Cert.</w:t>
            </w:r>
            <w:r w:rsidR="005F1FBD" w:rsidRPr="00F0362D">
              <w:t xml:space="preserve"> I</w:t>
            </w:r>
          </w:p>
        </w:tc>
        <w:tc>
          <w:tcPr>
            <w:tcW w:w="861" w:type="dxa"/>
            <w:tcBorders>
              <w:top w:val="single" w:sz="4" w:space="0" w:color="auto"/>
              <w:bottom w:val="nil"/>
            </w:tcBorders>
          </w:tcPr>
          <w:p w:rsidR="005F1FBD" w:rsidRPr="00F0362D" w:rsidRDefault="00E4794D" w:rsidP="00F0362D">
            <w:pPr>
              <w:pStyle w:val="Tablehead1"/>
              <w:jc w:val="center"/>
            </w:pPr>
            <w:r w:rsidRPr="00F0362D">
              <w:t>Cert.</w:t>
            </w:r>
            <w:r w:rsidR="005F1FBD" w:rsidRPr="00F0362D">
              <w:t xml:space="preserve"> II</w:t>
            </w:r>
          </w:p>
        </w:tc>
        <w:tc>
          <w:tcPr>
            <w:tcW w:w="861" w:type="dxa"/>
            <w:tcBorders>
              <w:top w:val="single" w:sz="4" w:space="0" w:color="auto"/>
              <w:bottom w:val="nil"/>
            </w:tcBorders>
            <w:shd w:val="clear" w:color="auto" w:fill="auto"/>
          </w:tcPr>
          <w:p w:rsidR="005F1FBD" w:rsidRPr="00F0362D" w:rsidRDefault="00E4794D" w:rsidP="00F0362D">
            <w:pPr>
              <w:pStyle w:val="Tablehead1"/>
              <w:jc w:val="center"/>
            </w:pPr>
            <w:r w:rsidRPr="00F0362D">
              <w:t>Cert.</w:t>
            </w:r>
            <w:r w:rsidR="005F1FBD" w:rsidRPr="00F0362D">
              <w:t xml:space="preserve"> III</w:t>
            </w:r>
          </w:p>
        </w:tc>
        <w:tc>
          <w:tcPr>
            <w:tcW w:w="860" w:type="dxa"/>
            <w:tcBorders>
              <w:top w:val="single" w:sz="4" w:space="0" w:color="auto"/>
              <w:bottom w:val="nil"/>
            </w:tcBorders>
            <w:shd w:val="clear" w:color="auto" w:fill="auto"/>
          </w:tcPr>
          <w:p w:rsidR="005F1FBD" w:rsidRPr="00F0362D" w:rsidRDefault="00E4794D" w:rsidP="00F0362D">
            <w:pPr>
              <w:pStyle w:val="Tablehead1"/>
              <w:jc w:val="center"/>
            </w:pPr>
            <w:r w:rsidRPr="00F0362D">
              <w:t>Cert.</w:t>
            </w:r>
            <w:r w:rsidR="005F1FBD" w:rsidRPr="00F0362D">
              <w:t xml:space="preserve"> IV</w:t>
            </w:r>
          </w:p>
        </w:tc>
        <w:tc>
          <w:tcPr>
            <w:tcW w:w="861" w:type="dxa"/>
            <w:tcBorders>
              <w:top w:val="single" w:sz="4" w:space="0" w:color="auto"/>
              <w:bottom w:val="nil"/>
            </w:tcBorders>
          </w:tcPr>
          <w:p w:rsidR="005F1FBD" w:rsidRPr="00F0362D" w:rsidRDefault="005F1FBD" w:rsidP="00F0362D">
            <w:pPr>
              <w:pStyle w:val="Tablehead1"/>
              <w:jc w:val="center"/>
            </w:pPr>
            <w:r w:rsidRPr="00F0362D">
              <w:t>Dip</w:t>
            </w:r>
            <w:r w:rsidR="00F0362D" w:rsidRPr="00F0362D">
              <w:t>loma</w:t>
            </w:r>
            <w:r w:rsidRPr="00F0362D">
              <w:t xml:space="preserve">s </w:t>
            </w:r>
            <w:r w:rsidR="00F0362D" w:rsidRPr="00F0362D">
              <w:t>&amp;</w:t>
            </w:r>
            <w:r w:rsidRPr="00F0362D">
              <w:t xml:space="preserve"> above</w:t>
            </w:r>
          </w:p>
        </w:tc>
        <w:tc>
          <w:tcPr>
            <w:tcW w:w="861" w:type="dxa"/>
            <w:tcBorders>
              <w:top w:val="single" w:sz="4" w:space="0" w:color="auto"/>
              <w:bottom w:val="nil"/>
            </w:tcBorders>
          </w:tcPr>
          <w:p w:rsidR="005F1FBD" w:rsidRPr="00F0362D" w:rsidRDefault="005F1FBD" w:rsidP="00F0362D">
            <w:pPr>
              <w:pStyle w:val="Tablehead1"/>
              <w:jc w:val="center"/>
            </w:pPr>
            <w:r w:rsidRPr="00F0362D">
              <w:t>All levels</w:t>
            </w:r>
          </w:p>
        </w:tc>
      </w:tr>
      <w:tr w:rsidR="005F1FBD" w:rsidRPr="00354810" w:rsidTr="00F0362D">
        <w:tc>
          <w:tcPr>
            <w:tcW w:w="2876" w:type="dxa"/>
            <w:tcBorders>
              <w:top w:val="single" w:sz="4" w:space="0" w:color="auto"/>
              <w:bottom w:val="nil"/>
            </w:tcBorders>
            <w:shd w:val="clear" w:color="auto" w:fill="auto"/>
          </w:tcPr>
          <w:p w:rsidR="005F1FBD" w:rsidRPr="00F0362D" w:rsidRDefault="005F1FBD" w:rsidP="00B65A93">
            <w:pPr>
              <w:pStyle w:val="Tabletext"/>
            </w:pPr>
            <w:r w:rsidRPr="00F0362D">
              <w:t>Natural and physical sciences</w:t>
            </w:r>
          </w:p>
        </w:tc>
        <w:tc>
          <w:tcPr>
            <w:tcW w:w="860" w:type="dxa"/>
            <w:tcBorders>
              <w:top w:val="single" w:sz="4" w:space="0" w:color="auto"/>
              <w:bottom w:val="nil"/>
            </w:tcBorders>
          </w:tcPr>
          <w:p w:rsidR="005F1FBD" w:rsidRPr="00F0362D" w:rsidRDefault="005F1FBD" w:rsidP="00F0362D">
            <w:pPr>
              <w:pStyle w:val="Tabletext"/>
              <w:tabs>
                <w:tab w:val="decimal" w:pos="397"/>
              </w:tabs>
            </w:pPr>
            <w:r w:rsidRPr="00F0362D">
              <w:t>–</w:t>
            </w:r>
          </w:p>
        </w:tc>
        <w:tc>
          <w:tcPr>
            <w:tcW w:w="861" w:type="dxa"/>
            <w:tcBorders>
              <w:top w:val="single" w:sz="4" w:space="0" w:color="auto"/>
              <w:bottom w:val="nil"/>
            </w:tcBorders>
          </w:tcPr>
          <w:p w:rsidR="005F1FBD" w:rsidRPr="00F0362D" w:rsidRDefault="005F1FBD" w:rsidP="00F0362D">
            <w:pPr>
              <w:pStyle w:val="Tabletext"/>
              <w:tabs>
                <w:tab w:val="decimal" w:pos="397"/>
              </w:tabs>
            </w:pPr>
            <w:r w:rsidRPr="00F0362D">
              <w:t>55.3**</w:t>
            </w:r>
          </w:p>
        </w:tc>
        <w:tc>
          <w:tcPr>
            <w:tcW w:w="861" w:type="dxa"/>
            <w:tcBorders>
              <w:top w:val="single" w:sz="4" w:space="0" w:color="auto"/>
              <w:bottom w:val="nil"/>
            </w:tcBorders>
            <w:shd w:val="clear" w:color="auto" w:fill="auto"/>
          </w:tcPr>
          <w:p w:rsidR="005F1FBD" w:rsidRPr="00F0362D" w:rsidRDefault="005F1FBD" w:rsidP="00F0362D">
            <w:pPr>
              <w:pStyle w:val="Tabletext"/>
              <w:tabs>
                <w:tab w:val="decimal" w:pos="397"/>
              </w:tabs>
            </w:pPr>
            <w:r w:rsidRPr="00F0362D">
              <w:t>38.2</w:t>
            </w:r>
          </w:p>
        </w:tc>
        <w:tc>
          <w:tcPr>
            <w:tcW w:w="860" w:type="dxa"/>
            <w:tcBorders>
              <w:top w:val="single" w:sz="4" w:space="0" w:color="auto"/>
              <w:bottom w:val="nil"/>
            </w:tcBorders>
            <w:shd w:val="clear" w:color="auto" w:fill="auto"/>
          </w:tcPr>
          <w:p w:rsidR="005F1FBD" w:rsidRPr="00F0362D" w:rsidRDefault="005F1FBD" w:rsidP="00F0362D">
            <w:pPr>
              <w:pStyle w:val="Tabletext"/>
              <w:tabs>
                <w:tab w:val="decimal" w:pos="397"/>
              </w:tabs>
            </w:pPr>
            <w:r w:rsidRPr="00F0362D">
              <w:t>49.3</w:t>
            </w:r>
          </w:p>
        </w:tc>
        <w:tc>
          <w:tcPr>
            <w:tcW w:w="861" w:type="dxa"/>
            <w:tcBorders>
              <w:top w:val="single" w:sz="4" w:space="0" w:color="auto"/>
              <w:bottom w:val="nil"/>
            </w:tcBorders>
          </w:tcPr>
          <w:p w:rsidR="005F1FBD" w:rsidRPr="00F0362D" w:rsidRDefault="005F1FBD" w:rsidP="00F0362D">
            <w:pPr>
              <w:pStyle w:val="Tabletext"/>
              <w:tabs>
                <w:tab w:val="decimal" w:pos="397"/>
              </w:tabs>
            </w:pPr>
            <w:r w:rsidRPr="00F0362D">
              <w:t>56.6</w:t>
            </w:r>
          </w:p>
        </w:tc>
        <w:tc>
          <w:tcPr>
            <w:tcW w:w="861" w:type="dxa"/>
            <w:tcBorders>
              <w:top w:val="single" w:sz="4" w:space="0" w:color="auto"/>
              <w:bottom w:val="nil"/>
            </w:tcBorders>
          </w:tcPr>
          <w:p w:rsidR="005F1FBD" w:rsidRPr="00F0362D" w:rsidRDefault="005F1FBD" w:rsidP="00F0362D">
            <w:pPr>
              <w:pStyle w:val="Tabletext"/>
              <w:tabs>
                <w:tab w:val="decimal" w:pos="397"/>
              </w:tabs>
              <w:rPr>
                <w:b/>
              </w:rPr>
            </w:pPr>
            <w:r w:rsidRPr="00F0362D">
              <w:rPr>
                <w:b/>
              </w:rPr>
              <w:t>46.3</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pPr>
            <w:r w:rsidRPr="00F0362D">
              <w:t>Information technology</w:t>
            </w:r>
          </w:p>
        </w:tc>
        <w:tc>
          <w:tcPr>
            <w:tcW w:w="860" w:type="dxa"/>
            <w:tcBorders>
              <w:top w:val="nil"/>
              <w:bottom w:val="nil"/>
            </w:tcBorders>
          </w:tcPr>
          <w:p w:rsidR="005F1FBD" w:rsidRPr="00F0362D" w:rsidRDefault="005F1FBD" w:rsidP="00F0362D">
            <w:pPr>
              <w:pStyle w:val="Tabletext"/>
              <w:tabs>
                <w:tab w:val="decimal" w:pos="397"/>
              </w:tabs>
            </w:pPr>
            <w:r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23.5</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17.9</w:t>
            </w:r>
          </w:p>
        </w:tc>
        <w:tc>
          <w:tcPr>
            <w:tcW w:w="861" w:type="dxa"/>
            <w:tcBorders>
              <w:top w:val="nil"/>
              <w:bottom w:val="nil"/>
            </w:tcBorders>
          </w:tcPr>
          <w:p w:rsidR="005F1FBD" w:rsidRPr="00F0362D" w:rsidRDefault="005F1FBD" w:rsidP="00F0362D">
            <w:pPr>
              <w:pStyle w:val="Tabletext"/>
              <w:tabs>
                <w:tab w:val="decimal" w:pos="397"/>
              </w:tabs>
            </w:pPr>
            <w:r w:rsidRPr="00F0362D">
              <w:t>33.2</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24.7</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pPr>
            <w:r w:rsidRPr="00F0362D">
              <w:t>Engineering and related technologies</w:t>
            </w:r>
          </w:p>
        </w:tc>
        <w:tc>
          <w:tcPr>
            <w:tcW w:w="860" w:type="dxa"/>
            <w:tcBorders>
              <w:top w:val="nil"/>
              <w:bottom w:val="nil"/>
            </w:tcBorders>
          </w:tcPr>
          <w:p w:rsidR="005F1FBD" w:rsidRPr="00F0362D" w:rsidRDefault="005F1FBD" w:rsidP="00F0362D">
            <w:pPr>
              <w:pStyle w:val="Tabletext"/>
              <w:tabs>
                <w:tab w:val="decimal" w:pos="397"/>
              </w:tabs>
            </w:pPr>
            <w:r w:rsidRPr="00F0362D">
              <w:t>6.8*</w:t>
            </w:r>
          </w:p>
        </w:tc>
        <w:tc>
          <w:tcPr>
            <w:tcW w:w="861" w:type="dxa"/>
            <w:tcBorders>
              <w:top w:val="nil"/>
              <w:bottom w:val="nil"/>
            </w:tcBorders>
          </w:tcPr>
          <w:p w:rsidR="005F1FBD" w:rsidRPr="00F0362D" w:rsidRDefault="005F1FBD" w:rsidP="00F0362D">
            <w:pPr>
              <w:pStyle w:val="Tabletext"/>
              <w:tabs>
                <w:tab w:val="decimal" w:pos="397"/>
              </w:tabs>
            </w:pPr>
            <w:r w:rsidRPr="00F0362D">
              <w:t>13.0</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66.3</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39.1</w:t>
            </w:r>
          </w:p>
        </w:tc>
        <w:tc>
          <w:tcPr>
            <w:tcW w:w="861" w:type="dxa"/>
            <w:tcBorders>
              <w:top w:val="nil"/>
              <w:bottom w:val="nil"/>
            </w:tcBorders>
          </w:tcPr>
          <w:p w:rsidR="005F1FBD" w:rsidRPr="00F0362D" w:rsidRDefault="005F1FBD" w:rsidP="00F0362D">
            <w:pPr>
              <w:pStyle w:val="Tabletext"/>
              <w:tabs>
                <w:tab w:val="decimal" w:pos="397"/>
              </w:tabs>
            </w:pPr>
            <w:r w:rsidRPr="00F0362D">
              <w:t>35.1</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49.1</w:t>
            </w:r>
          </w:p>
        </w:tc>
      </w:tr>
      <w:tr w:rsidR="005F1FBD" w:rsidRPr="00354810" w:rsidTr="00F0362D">
        <w:tc>
          <w:tcPr>
            <w:tcW w:w="2876" w:type="dxa"/>
            <w:tcBorders>
              <w:top w:val="nil"/>
              <w:bottom w:val="nil"/>
            </w:tcBorders>
            <w:shd w:val="clear" w:color="auto" w:fill="auto"/>
          </w:tcPr>
          <w:p w:rsidR="005F1FBD" w:rsidRPr="00F0362D" w:rsidRDefault="005F1FBD" w:rsidP="00F0362D">
            <w:pPr>
              <w:pStyle w:val="Tabletext"/>
              <w:ind w:left="284"/>
            </w:pPr>
            <w:r w:rsidRPr="00F0362D">
              <w:t>Process and resources engineering</w:t>
            </w:r>
          </w:p>
        </w:tc>
        <w:tc>
          <w:tcPr>
            <w:tcW w:w="860" w:type="dxa"/>
            <w:tcBorders>
              <w:top w:val="nil"/>
              <w:bottom w:val="nil"/>
            </w:tcBorders>
          </w:tcPr>
          <w:p w:rsidR="005F1FBD" w:rsidRPr="00F0362D" w:rsidRDefault="005F1FBD" w:rsidP="00F0362D">
            <w:pPr>
              <w:pStyle w:val="Tabletext"/>
              <w:tabs>
                <w:tab w:val="decimal" w:pos="397"/>
              </w:tabs>
            </w:pPr>
            <w:r w:rsidRPr="00F0362D">
              <w:t>10.7</w:t>
            </w:r>
            <w:r w:rsidR="00F13BE3" w:rsidRPr="00F0362D">
              <w:t>*</w:t>
            </w:r>
            <w:r w:rsidR="00725AB2"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37.8</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43.6</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15.2*</w:t>
            </w:r>
          </w:p>
        </w:tc>
        <w:tc>
          <w:tcPr>
            <w:tcW w:w="861" w:type="dxa"/>
            <w:tcBorders>
              <w:top w:val="nil"/>
              <w:bottom w:val="nil"/>
            </w:tcBorders>
          </w:tcPr>
          <w:p w:rsidR="005F1FBD" w:rsidRPr="00F0362D" w:rsidRDefault="005F1FBD" w:rsidP="00F0362D">
            <w:pPr>
              <w:pStyle w:val="Tabletext"/>
              <w:tabs>
                <w:tab w:val="decimal" w:pos="397"/>
              </w:tabs>
            </w:pPr>
            <w:r w:rsidRPr="00F0362D">
              <w:t>37.9</w:t>
            </w:r>
            <w:r w:rsidR="00275EE1" w:rsidRPr="00F0362D">
              <w:t>*</w:t>
            </w:r>
            <w:r w:rsidR="00F13BE3" w:rsidRPr="00F0362D">
              <w:t>*</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36.5</w:t>
            </w:r>
          </w:p>
        </w:tc>
      </w:tr>
      <w:tr w:rsidR="005F1FBD" w:rsidRPr="00354810" w:rsidTr="00F0362D">
        <w:tc>
          <w:tcPr>
            <w:tcW w:w="2876" w:type="dxa"/>
            <w:tcBorders>
              <w:top w:val="nil"/>
              <w:bottom w:val="nil"/>
            </w:tcBorders>
            <w:shd w:val="clear" w:color="auto" w:fill="auto"/>
          </w:tcPr>
          <w:p w:rsidR="005F1FBD" w:rsidRPr="00F0362D" w:rsidRDefault="005F1FBD" w:rsidP="00F0362D">
            <w:pPr>
              <w:pStyle w:val="Tabletext"/>
              <w:ind w:left="284"/>
            </w:pPr>
            <w:r w:rsidRPr="00F0362D">
              <w:t>Electrical and electronic engineering and technology</w:t>
            </w:r>
          </w:p>
        </w:tc>
        <w:tc>
          <w:tcPr>
            <w:tcW w:w="860" w:type="dxa"/>
            <w:tcBorders>
              <w:top w:val="nil"/>
              <w:bottom w:val="nil"/>
            </w:tcBorders>
          </w:tcPr>
          <w:p w:rsidR="005F1FBD" w:rsidRPr="00F0362D" w:rsidRDefault="008B565B" w:rsidP="00F0362D">
            <w:pPr>
              <w:pStyle w:val="Tabletext"/>
              <w:tabs>
                <w:tab w:val="decimal" w:pos="397"/>
              </w:tabs>
            </w:pPr>
            <w:r w:rsidRPr="00F0362D">
              <w:t>0</w:t>
            </w:r>
          </w:p>
        </w:tc>
        <w:tc>
          <w:tcPr>
            <w:tcW w:w="861" w:type="dxa"/>
            <w:tcBorders>
              <w:top w:val="nil"/>
              <w:bottom w:val="nil"/>
            </w:tcBorders>
          </w:tcPr>
          <w:p w:rsidR="005F1FBD" w:rsidRPr="00F0362D" w:rsidRDefault="005F1FBD" w:rsidP="00F0362D">
            <w:pPr>
              <w:pStyle w:val="Tabletext"/>
              <w:tabs>
                <w:tab w:val="decimal" w:pos="397"/>
              </w:tabs>
            </w:pPr>
            <w:r w:rsidRPr="00F0362D">
              <w:t>8.0</w:t>
            </w:r>
            <w:r w:rsidR="00F13BE3" w:rsidRPr="00F0362D">
              <w:t>*</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83.7</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55.5</w:t>
            </w:r>
          </w:p>
        </w:tc>
        <w:tc>
          <w:tcPr>
            <w:tcW w:w="861" w:type="dxa"/>
            <w:tcBorders>
              <w:top w:val="nil"/>
              <w:bottom w:val="nil"/>
            </w:tcBorders>
          </w:tcPr>
          <w:p w:rsidR="005F1FBD" w:rsidRPr="00F0362D" w:rsidRDefault="005F1FBD" w:rsidP="00F0362D">
            <w:pPr>
              <w:pStyle w:val="Tabletext"/>
              <w:tabs>
                <w:tab w:val="decimal" w:pos="397"/>
              </w:tabs>
            </w:pPr>
            <w:r w:rsidRPr="00F0362D">
              <w:t>30.0</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64.1</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pPr>
            <w:r w:rsidRPr="00F0362D">
              <w:t>Architecture and building</w:t>
            </w:r>
          </w:p>
        </w:tc>
        <w:tc>
          <w:tcPr>
            <w:tcW w:w="860" w:type="dxa"/>
            <w:tcBorders>
              <w:top w:val="nil"/>
              <w:bottom w:val="nil"/>
            </w:tcBorders>
          </w:tcPr>
          <w:p w:rsidR="005F1FBD" w:rsidRPr="00F0362D" w:rsidRDefault="005F1FBD" w:rsidP="00F0362D">
            <w:pPr>
              <w:pStyle w:val="Tabletext"/>
              <w:tabs>
                <w:tab w:val="decimal" w:pos="397"/>
              </w:tabs>
            </w:pPr>
            <w:r w:rsidRPr="00F0362D">
              <w:t>7.1*</w:t>
            </w:r>
          </w:p>
        </w:tc>
        <w:tc>
          <w:tcPr>
            <w:tcW w:w="861" w:type="dxa"/>
            <w:tcBorders>
              <w:top w:val="nil"/>
              <w:bottom w:val="nil"/>
            </w:tcBorders>
          </w:tcPr>
          <w:p w:rsidR="005F1FBD" w:rsidRPr="00F0362D" w:rsidRDefault="005F1FBD" w:rsidP="00F0362D">
            <w:pPr>
              <w:pStyle w:val="Tabletext"/>
              <w:tabs>
                <w:tab w:val="decimal" w:pos="397"/>
              </w:tabs>
            </w:pPr>
            <w:r w:rsidRPr="00F0362D">
              <w:t>7.7</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76.0</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27.4</w:t>
            </w:r>
          </w:p>
        </w:tc>
        <w:tc>
          <w:tcPr>
            <w:tcW w:w="861" w:type="dxa"/>
            <w:tcBorders>
              <w:top w:val="nil"/>
              <w:bottom w:val="nil"/>
            </w:tcBorders>
          </w:tcPr>
          <w:p w:rsidR="005F1FBD" w:rsidRPr="00F0362D" w:rsidRDefault="005F1FBD" w:rsidP="00F0362D">
            <w:pPr>
              <w:pStyle w:val="Tabletext"/>
              <w:tabs>
                <w:tab w:val="decimal" w:pos="397"/>
              </w:tabs>
            </w:pPr>
            <w:r w:rsidRPr="00F0362D">
              <w:t>26.9</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50.9</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pPr>
            <w:r w:rsidRPr="00F0362D">
              <w:t>Agriculture, environmental and related studies</w:t>
            </w:r>
          </w:p>
        </w:tc>
        <w:tc>
          <w:tcPr>
            <w:tcW w:w="860" w:type="dxa"/>
            <w:tcBorders>
              <w:top w:val="nil"/>
              <w:bottom w:val="nil"/>
            </w:tcBorders>
          </w:tcPr>
          <w:p w:rsidR="005F1FBD" w:rsidRPr="00F0362D" w:rsidRDefault="005F1FBD" w:rsidP="00F0362D">
            <w:pPr>
              <w:pStyle w:val="Tabletext"/>
              <w:tabs>
                <w:tab w:val="decimal" w:pos="397"/>
              </w:tabs>
            </w:pPr>
            <w:r w:rsidRPr="00F0362D">
              <w:t>26.1*</w:t>
            </w:r>
            <w:r w:rsidR="00275EE1"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20.4</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34.5</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35.4</w:t>
            </w:r>
          </w:p>
        </w:tc>
        <w:tc>
          <w:tcPr>
            <w:tcW w:w="861" w:type="dxa"/>
            <w:tcBorders>
              <w:top w:val="nil"/>
              <w:bottom w:val="nil"/>
            </w:tcBorders>
          </w:tcPr>
          <w:p w:rsidR="005F1FBD" w:rsidRPr="00F0362D" w:rsidRDefault="005F1FBD" w:rsidP="00F0362D">
            <w:pPr>
              <w:pStyle w:val="Tabletext"/>
              <w:tabs>
                <w:tab w:val="decimal" w:pos="397"/>
              </w:tabs>
            </w:pPr>
            <w:r w:rsidRPr="00F0362D">
              <w:t>37.3</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30.2</w:t>
            </w:r>
          </w:p>
        </w:tc>
      </w:tr>
      <w:tr w:rsidR="005F1FBD" w:rsidRPr="00354810" w:rsidTr="00F0362D">
        <w:tc>
          <w:tcPr>
            <w:tcW w:w="2876" w:type="dxa"/>
            <w:tcBorders>
              <w:top w:val="nil"/>
              <w:bottom w:val="nil"/>
            </w:tcBorders>
            <w:shd w:val="clear" w:color="auto" w:fill="auto"/>
          </w:tcPr>
          <w:p w:rsidR="005F1FBD" w:rsidRPr="00F0362D" w:rsidRDefault="005F1FBD" w:rsidP="00F0362D">
            <w:pPr>
              <w:pStyle w:val="Tabletext"/>
              <w:ind w:left="284"/>
            </w:pPr>
            <w:r w:rsidRPr="00F0362D">
              <w:t>Agriculture</w:t>
            </w:r>
          </w:p>
        </w:tc>
        <w:tc>
          <w:tcPr>
            <w:tcW w:w="860" w:type="dxa"/>
            <w:tcBorders>
              <w:top w:val="nil"/>
              <w:bottom w:val="nil"/>
            </w:tcBorders>
          </w:tcPr>
          <w:p w:rsidR="005F1FBD" w:rsidRPr="00F0362D" w:rsidRDefault="005F1FBD" w:rsidP="00F0362D">
            <w:pPr>
              <w:pStyle w:val="Tabletext"/>
              <w:tabs>
                <w:tab w:val="decimal" w:pos="397"/>
              </w:tabs>
            </w:pPr>
            <w:r w:rsidRPr="00F0362D">
              <w:t>43.6</w:t>
            </w:r>
            <w:r w:rsidR="00666451" w:rsidRPr="00F0362D">
              <w:t>*</w:t>
            </w:r>
            <w:r w:rsidR="00275EE1"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28.9</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34.2</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31.9</w:t>
            </w:r>
          </w:p>
        </w:tc>
        <w:tc>
          <w:tcPr>
            <w:tcW w:w="861" w:type="dxa"/>
            <w:tcBorders>
              <w:top w:val="nil"/>
              <w:bottom w:val="nil"/>
            </w:tcBorders>
          </w:tcPr>
          <w:p w:rsidR="005F1FBD" w:rsidRPr="00F0362D" w:rsidRDefault="005F1FBD" w:rsidP="00F0362D">
            <w:pPr>
              <w:pStyle w:val="Tabletext"/>
              <w:tabs>
                <w:tab w:val="decimal" w:pos="397"/>
              </w:tabs>
            </w:pPr>
            <w:r w:rsidRPr="00F0362D">
              <w:t>51.7</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34.4</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pPr>
            <w:r w:rsidRPr="00F0362D">
              <w:t>Health</w:t>
            </w:r>
          </w:p>
        </w:tc>
        <w:tc>
          <w:tcPr>
            <w:tcW w:w="860" w:type="dxa"/>
            <w:tcBorders>
              <w:top w:val="nil"/>
              <w:bottom w:val="nil"/>
            </w:tcBorders>
          </w:tcPr>
          <w:p w:rsidR="005F1FBD" w:rsidRPr="00F0362D" w:rsidRDefault="005F1FBD" w:rsidP="00F0362D">
            <w:pPr>
              <w:pStyle w:val="Tabletext"/>
              <w:tabs>
                <w:tab w:val="decimal" w:pos="397"/>
              </w:tabs>
            </w:pPr>
            <w:r w:rsidRPr="00F0362D">
              <w:t>6.1**</w:t>
            </w:r>
          </w:p>
        </w:tc>
        <w:tc>
          <w:tcPr>
            <w:tcW w:w="861" w:type="dxa"/>
            <w:tcBorders>
              <w:top w:val="nil"/>
              <w:bottom w:val="nil"/>
            </w:tcBorders>
          </w:tcPr>
          <w:p w:rsidR="005F1FBD" w:rsidRPr="00F0362D" w:rsidRDefault="005F1FBD" w:rsidP="00F0362D">
            <w:pPr>
              <w:pStyle w:val="Tabletext"/>
              <w:tabs>
                <w:tab w:val="decimal" w:pos="397"/>
              </w:tabs>
            </w:pPr>
            <w:r w:rsidRPr="00F0362D">
              <w:t>6.2</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39.9</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45.7</w:t>
            </w:r>
          </w:p>
        </w:tc>
        <w:tc>
          <w:tcPr>
            <w:tcW w:w="861" w:type="dxa"/>
            <w:tcBorders>
              <w:top w:val="nil"/>
              <w:bottom w:val="nil"/>
            </w:tcBorders>
          </w:tcPr>
          <w:p w:rsidR="005F1FBD" w:rsidRPr="00F0362D" w:rsidRDefault="005F1FBD" w:rsidP="00F0362D">
            <w:pPr>
              <w:pStyle w:val="Tabletext"/>
              <w:tabs>
                <w:tab w:val="decimal" w:pos="397"/>
              </w:tabs>
            </w:pPr>
            <w:r w:rsidRPr="00F0362D">
              <w:t>58.9</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34.4</w:t>
            </w:r>
          </w:p>
        </w:tc>
      </w:tr>
      <w:tr w:rsidR="005F1FBD" w:rsidRPr="00354810" w:rsidTr="00F0362D">
        <w:tc>
          <w:tcPr>
            <w:tcW w:w="2876" w:type="dxa"/>
            <w:tcBorders>
              <w:top w:val="nil"/>
              <w:bottom w:val="nil"/>
            </w:tcBorders>
            <w:shd w:val="clear" w:color="auto" w:fill="auto"/>
          </w:tcPr>
          <w:p w:rsidR="005F1FBD" w:rsidRPr="00F0362D" w:rsidRDefault="005F1FBD" w:rsidP="00F0362D">
            <w:pPr>
              <w:pStyle w:val="Tabletext"/>
              <w:ind w:left="284"/>
            </w:pPr>
            <w:r w:rsidRPr="00F0362D">
              <w:t>Nursing</w:t>
            </w:r>
          </w:p>
        </w:tc>
        <w:tc>
          <w:tcPr>
            <w:tcW w:w="860" w:type="dxa"/>
            <w:tcBorders>
              <w:top w:val="nil"/>
              <w:bottom w:val="nil"/>
            </w:tcBorders>
          </w:tcPr>
          <w:p w:rsidR="005F1FBD" w:rsidRPr="00F0362D" w:rsidRDefault="005F1FBD" w:rsidP="00F0362D">
            <w:pPr>
              <w:pStyle w:val="Tabletext"/>
              <w:tabs>
                <w:tab w:val="decimal" w:pos="397"/>
              </w:tabs>
            </w:pPr>
            <w:r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8.4**</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70.0</w:t>
            </w:r>
          </w:p>
        </w:tc>
        <w:tc>
          <w:tcPr>
            <w:tcW w:w="861" w:type="dxa"/>
            <w:tcBorders>
              <w:top w:val="nil"/>
              <w:bottom w:val="nil"/>
            </w:tcBorders>
          </w:tcPr>
          <w:p w:rsidR="005F1FBD" w:rsidRPr="00F0362D" w:rsidRDefault="005F1FBD" w:rsidP="00F0362D">
            <w:pPr>
              <w:pStyle w:val="Tabletext"/>
              <w:tabs>
                <w:tab w:val="decimal" w:pos="397"/>
              </w:tabs>
            </w:pPr>
            <w:r w:rsidRPr="00F0362D">
              <w:t>78.1</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72.3</w:t>
            </w:r>
          </w:p>
        </w:tc>
      </w:tr>
      <w:tr w:rsidR="005F1FBD" w:rsidRPr="00354810" w:rsidTr="00F0362D">
        <w:tc>
          <w:tcPr>
            <w:tcW w:w="2876" w:type="dxa"/>
            <w:tcBorders>
              <w:top w:val="nil"/>
              <w:bottom w:val="nil"/>
            </w:tcBorders>
            <w:shd w:val="clear" w:color="auto" w:fill="auto"/>
          </w:tcPr>
          <w:p w:rsidR="005F1FBD" w:rsidRPr="00F0362D" w:rsidRDefault="005F1FBD" w:rsidP="00F0362D">
            <w:pPr>
              <w:pStyle w:val="Tabletext"/>
              <w:ind w:left="284"/>
            </w:pPr>
            <w:r w:rsidRPr="00F0362D">
              <w:t>Veterinary studies</w:t>
            </w:r>
          </w:p>
        </w:tc>
        <w:tc>
          <w:tcPr>
            <w:tcW w:w="860" w:type="dxa"/>
            <w:tcBorders>
              <w:top w:val="nil"/>
              <w:bottom w:val="nil"/>
            </w:tcBorders>
          </w:tcPr>
          <w:p w:rsidR="005F1FBD" w:rsidRPr="00F0362D" w:rsidRDefault="005F1FBD" w:rsidP="00F0362D">
            <w:pPr>
              <w:pStyle w:val="Tabletext"/>
              <w:tabs>
                <w:tab w:val="decimal" w:pos="397"/>
              </w:tabs>
            </w:pPr>
            <w:r w:rsidRPr="00F0362D">
              <w:t>6.1**</w:t>
            </w:r>
          </w:p>
        </w:tc>
        <w:tc>
          <w:tcPr>
            <w:tcW w:w="861" w:type="dxa"/>
            <w:tcBorders>
              <w:top w:val="nil"/>
              <w:bottom w:val="nil"/>
            </w:tcBorders>
          </w:tcPr>
          <w:p w:rsidR="005F1FBD" w:rsidRPr="00F0362D" w:rsidRDefault="005F1FBD" w:rsidP="00F0362D">
            <w:pPr>
              <w:pStyle w:val="Tabletext"/>
              <w:tabs>
                <w:tab w:val="decimal" w:pos="397"/>
              </w:tabs>
            </w:pPr>
            <w:r w:rsidRPr="00F0362D">
              <w:t>36.2</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42.2</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88.8</w:t>
            </w:r>
          </w:p>
        </w:tc>
        <w:tc>
          <w:tcPr>
            <w:tcW w:w="861" w:type="dxa"/>
            <w:tcBorders>
              <w:top w:val="nil"/>
              <w:bottom w:val="nil"/>
            </w:tcBorders>
          </w:tcPr>
          <w:p w:rsidR="005F1FBD" w:rsidRPr="00F0362D" w:rsidRDefault="005F1FBD" w:rsidP="00F0362D">
            <w:pPr>
              <w:pStyle w:val="Tabletext"/>
              <w:tabs>
                <w:tab w:val="decimal" w:pos="397"/>
              </w:tabs>
            </w:pPr>
            <w:r w:rsidRPr="00F0362D">
              <w:t>35.7**</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52.0</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rPr>
                <w:bCs/>
              </w:rPr>
            </w:pPr>
            <w:r w:rsidRPr="00F0362D">
              <w:rPr>
                <w:bCs/>
              </w:rPr>
              <w:t>Education</w:t>
            </w:r>
          </w:p>
        </w:tc>
        <w:tc>
          <w:tcPr>
            <w:tcW w:w="860" w:type="dxa"/>
            <w:tcBorders>
              <w:top w:val="nil"/>
              <w:bottom w:val="nil"/>
            </w:tcBorders>
          </w:tcPr>
          <w:p w:rsidR="005F1FBD" w:rsidRPr="00F0362D" w:rsidRDefault="005F1FBD" w:rsidP="00F0362D">
            <w:pPr>
              <w:pStyle w:val="Tabletext"/>
              <w:tabs>
                <w:tab w:val="decimal" w:pos="397"/>
              </w:tabs>
            </w:pPr>
            <w:r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64.5</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31.8</w:t>
            </w:r>
          </w:p>
        </w:tc>
        <w:tc>
          <w:tcPr>
            <w:tcW w:w="861" w:type="dxa"/>
            <w:tcBorders>
              <w:top w:val="nil"/>
              <w:bottom w:val="nil"/>
            </w:tcBorders>
          </w:tcPr>
          <w:p w:rsidR="005F1FBD" w:rsidRPr="00F0362D" w:rsidRDefault="005F1FBD" w:rsidP="00F0362D">
            <w:pPr>
              <w:pStyle w:val="Tabletext"/>
              <w:tabs>
                <w:tab w:val="decimal" w:pos="397"/>
              </w:tabs>
            </w:pPr>
            <w:r w:rsidRPr="00F0362D">
              <w:t>56.6</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35.2</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rPr>
                <w:bCs/>
              </w:rPr>
            </w:pPr>
            <w:r w:rsidRPr="00F0362D">
              <w:rPr>
                <w:bCs/>
              </w:rPr>
              <w:t>Management and commerce</w:t>
            </w:r>
          </w:p>
        </w:tc>
        <w:tc>
          <w:tcPr>
            <w:tcW w:w="860" w:type="dxa"/>
            <w:tcBorders>
              <w:top w:val="nil"/>
              <w:bottom w:val="nil"/>
            </w:tcBorders>
          </w:tcPr>
          <w:p w:rsidR="005F1FBD" w:rsidRPr="00F0362D" w:rsidRDefault="005F1FBD" w:rsidP="00F0362D">
            <w:pPr>
              <w:pStyle w:val="Tabletext"/>
              <w:tabs>
                <w:tab w:val="decimal" w:pos="397"/>
              </w:tabs>
            </w:pPr>
            <w:r w:rsidRPr="00F0362D">
              <w:t>8.4</w:t>
            </w:r>
            <w:r w:rsidR="00FB4BAA"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26.8</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32.0</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23.3</w:t>
            </w:r>
          </w:p>
        </w:tc>
        <w:tc>
          <w:tcPr>
            <w:tcW w:w="861" w:type="dxa"/>
            <w:tcBorders>
              <w:top w:val="nil"/>
              <w:bottom w:val="nil"/>
            </w:tcBorders>
          </w:tcPr>
          <w:p w:rsidR="005F1FBD" w:rsidRPr="00F0362D" w:rsidRDefault="005F1FBD" w:rsidP="00F0362D">
            <w:pPr>
              <w:pStyle w:val="Tabletext"/>
              <w:tabs>
                <w:tab w:val="decimal" w:pos="397"/>
              </w:tabs>
            </w:pPr>
            <w:r w:rsidRPr="00F0362D">
              <w:t>17.9</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24.8</w:t>
            </w:r>
          </w:p>
        </w:tc>
      </w:tr>
      <w:tr w:rsidR="005F1FBD" w:rsidRPr="00354810" w:rsidTr="00F0362D">
        <w:tc>
          <w:tcPr>
            <w:tcW w:w="2876" w:type="dxa"/>
            <w:tcBorders>
              <w:top w:val="nil"/>
              <w:bottom w:val="nil"/>
            </w:tcBorders>
            <w:shd w:val="clear" w:color="auto" w:fill="auto"/>
          </w:tcPr>
          <w:p w:rsidR="005F1FBD" w:rsidRPr="00F0362D" w:rsidRDefault="005F1FBD" w:rsidP="00F0362D">
            <w:pPr>
              <w:pStyle w:val="Tabletext"/>
              <w:ind w:left="284"/>
            </w:pPr>
            <w:r w:rsidRPr="00F0362D">
              <w:t>Banking and finance</w:t>
            </w:r>
          </w:p>
        </w:tc>
        <w:tc>
          <w:tcPr>
            <w:tcW w:w="860" w:type="dxa"/>
            <w:tcBorders>
              <w:top w:val="nil"/>
              <w:bottom w:val="nil"/>
            </w:tcBorders>
          </w:tcPr>
          <w:p w:rsidR="005F1FBD" w:rsidRPr="00F0362D" w:rsidRDefault="008B565B" w:rsidP="00F0362D">
            <w:pPr>
              <w:pStyle w:val="Tabletext"/>
              <w:tabs>
                <w:tab w:val="decimal" w:pos="397"/>
              </w:tabs>
            </w:pPr>
            <w:r w:rsidRPr="00F0362D">
              <w:t>0</w:t>
            </w:r>
          </w:p>
        </w:tc>
        <w:tc>
          <w:tcPr>
            <w:tcW w:w="861" w:type="dxa"/>
            <w:tcBorders>
              <w:top w:val="nil"/>
              <w:bottom w:val="nil"/>
            </w:tcBorders>
          </w:tcPr>
          <w:p w:rsidR="005F1FBD" w:rsidRPr="00F0362D" w:rsidRDefault="008B565B" w:rsidP="00F0362D">
            <w:pPr>
              <w:pStyle w:val="Tabletext"/>
              <w:tabs>
                <w:tab w:val="decimal" w:pos="397"/>
              </w:tabs>
            </w:pPr>
            <w:r w:rsidRPr="00F0362D">
              <w:t>0</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33.7</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39.8</w:t>
            </w:r>
          </w:p>
        </w:tc>
        <w:tc>
          <w:tcPr>
            <w:tcW w:w="861" w:type="dxa"/>
            <w:tcBorders>
              <w:top w:val="nil"/>
              <w:bottom w:val="nil"/>
            </w:tcBorders>
          </w:tcPr>
          <w:p w:rsidR="005F1FBD" w:rsidRPr="00F0362D" w:rsidRDefault="005F1FBD" w:rsidP="00F0362D">
            <w:pPr>
              <w:pStyle w:val="Tabletext"/>
              <w:tabs>
                <w:tab w:val="decimal" w:pos="397"/>
              </w:tabs>
            </w:pPr>
            <w:r w:rsidRPr="00F0362D">
              <w:t>22.4</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31.1</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rPr>
                <w:bCs/>
              </w:rPr>
            </w:pPr>
            <w:r w:rsidRPr="00F0362D">
              <w:rPr>
                <w:bCs/>
              </w:rPr>
              <w:t>Society and culture</w:t>
            </w:r>
          </w:p>
        </w:tc>
        <w:tc>
          <w:tcPr>
            <w:tcW w:w="860" w:type="dxa"/>
            <w:tcBorders>
              <w:top w:val="nil"/>
              <w:bottom w:val="nil"/>
            </w:tcBorders>
          </w:tcPr>
          <w:p w:rsidR="005F1FBD" w:rsidRPr="00F0362D" w:rsidRDefault="005F1FBD" w:rsidP="00F0362D">
            <w:pPr>
              <w:pStyle w:val="Tabletext"/>
              <w:tabs>
                <w:tab w:val="decimal" w:pos="397"/>
              </w:tabs>
            </w:pPr>
            <w:r w:rsidRPr="00F0362D">
              <w:t>–</w:t>
            </w:r>
          </w:p>
        </w:tc>
        <w:tc>
          <w:tcPr>
            <w:tcW w:w="861" w:type="dxa"/>
            <w:tcBorders>
              <w:top w:val="nil"/>
              <w:bottom w:val="nil"/>
            </w:tcBorders>
          </w:tcPr>
          <w:p w:rsidR="005F1FBD" w:rsidRPr="00F0362D" w:rsidRDefault="005F1FBD" w:rsidP="00F0362D">
            <w:pPr>
              <w:pStyle w:val="Tabletext"/>
              <w:tabs>
                <w:tab w:val="decimal" w:pos="397"/>
              </w:tabs>
            </w:pPr>
            <w:r w:rsidRPr="00F0362D">
              <w:t>25.9</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63.1</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35.4</w:t>
            </w:r>
          </w:p>
        </w:tc>
        <w:tc>
          <w:tcPr>
            <w:tcW w:w="861" w:type="dxa"/>
            <w:tcBorders>
              <w:top w:val="nil"/>
              <w:bottom w:val="nil"/>
            </w:tcBorders>
          </w:tcPr>
          <w:p w:rsidR="005F1FBD" w:rsidRPr="00F0362D" w:rsidRDefault="005F1FBD" w:rsidP="00F0362D">
            <w:pPr>
              <w:pStyle w:val="Tabletext"/>
              <w:tabs>
                <w:tab w:val="decimal" w:pos="397"/>
              </w:tabs>
            </w:pPr>
            <w:r w:rsidRPr="00F0362D">
              <w:t>19.4</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45.4</w:t>
            </w:r>
          </w:p>
        </w:tc>
      </w:tr>
      <w:tr w:rsidR="005F1FBD" w:rsidRPr="00354810" w:rsidTr="00F0362D">
        <w:tc>
          <w:tcPr>
            <w:tcW w:w="2876" w:type="dxa"/>
            <w:tcBorders>
              <w:top w:val="nil"/>
              <w:bottom w:val="nil"/>
            </w:tcBorders>
            <w:shd w:val="clear" w:color="auto" w:fill="auto"/>
          </w:tcPr>
          <w:p w:rsidR="005F1FBD" w:rsidRPr="00F0362D" w:rsidRDefault="005F1FBD" w:rsidP="00B65A93">
            <w:pPr>
              <w:pStyle w:val="Tabletext"/>
              <w:rPr>
                <w:bCs/>
              </w:rPr>
            </w:pPr>
            <w:r w:rsidRPr="00F0362D">
              <w:rPr>
                <w:bCs/>
              </w:rPr>
              <w:t>Creative arts</w:t>
            </w:r>
          </w:p>
        </w:tc>
        <w:tc>
          <w:tcPr>
            <w:tcW w:w="860" w:type="dxa"/>
            <w:tcBorders>
              <w:top w:val="nil"/>
              <w:bottom w:val="nil"/>
            </w:tcBorders>
          </w:tcPr>
          <w:p w:rsidR="005F1FBD" w:rsidRPr="00F0362D" w:rsidRDefault="008B565B" w:rsidP="00F0362D">
            <w:pPr>
              <w:pStyle w:val="Tabletext"/>
              <w:tabs>
                <w:tab w:val="decimal" w:pos="397"/>
              </w:tabs>
            </w:pPr>
            <w:r w:rsidRPr="00F0362D">
              <w:t>0</w:t>
            </w:r>
          </w:p>
        </w:tc>
        <w:tc>
          <w:tcPr>
            <w:tcW w:w="861" w:type="dxa"/>
            <w:tcBorders>
              <w:top w:val="nil"/>
              <w:bottom w:val="nil"/>
            </w:tcBorders>
          </w:tcPr>
          <w:p w:rsidR="005F1FBD" w:rsidRPr="00F0362D" w:rsidRDefault="005F1FBD" w:rsidP="00F0362D">
            <w:pPr>
              <w:pStyle w:val="Tabletext"/>
              <w:tabs>
                <w:tab w:val="decimal" w:pos="397"/>
              </w:tabs>
            </w:pPr>
            <w:r w:rsidRPr="00F0362D">
              <w:t>11.9</w:t>
            </w:r>
            <w:r w:rsidR="00FB4BAA" w:rsidRPr="00F0362D">
              <w:t>*</w:t>
            </w:r>
          </w:p>
        </w:tc>
        <w:tc>
          <w:tcPr>
            <w:tcW w:w="861" w:type="dxa"/>
            <w:tcBorders>
              <w:top w:val="nil"/>
              <w:bottom w:val="nil"/>
            </w:tcBorders>
            <w:shd w:val="clear" w:color="auto" w:fill="auto"/>
          </w:tcPr>
          <w:p w:rsidR="005F1FBD" w:rsidRPr="00F0362D" w:rsidRDefault="005F1FBD" w:rsidP="00F0362D">
            <w:pPr>
              <w:pStyle w:val="Tabletext"/>
              <w:tabs>
                <w:tab w:val="decimal" w:pos="397"/>
              </w:tabs>
            </w:pPr>
            <w:r w:rsidRPr="00F0362D">
              <w:t>9.1</w:t>
            </w:r>
          </w:p>
        </w:tc>
        <w:tc>
          <w:tcPr>
            <w:tcW w:w="860" w:type="dxa"/>
            <w:tcBorders>
              <w:top w:val="nil"/>
              <w:bottom w:val="nil"/>
            </w:tcBorders>
            <w:shd w:val="clear" w:color="auto" w:fill="auto"/>
          </w:tcPr>
          <w:p w:rsidR="005F1FBD" w:rsidRPr="00F0362D" w:rsidRDefault="005F1FBD" w:rsidP="00F0362D">
            <w:pPr>
              <w:pStyle w:val="Tabletext"/>
              <w:tabs>
                <w:tab w:val="decimal" w:pos="397"/>
              </w:tabs>
            </w:pPr>
            <w:r w:rsidRPr="00F0362D">
              <w:t>9.0*</w:t>
            </w:r>
          </w:p>
        </w:tc>
        <w:tc>
          <w:tcPr>
            <w:tcW w:w="861" w:type="dxa"/>
            <w:tcBorders>
              <w:top w:val="nil"/>
              <w:bottom w:val="nil"/>
            </w:tcBorders>
          </w:tcPr>
          <w:p w:rsidR="005F1FBD" w:rsidRPr="00F0362D" w:rsidRDefault="005F1FBD" w:rsidP="00F0362D">
            <w:pPr>
              <w:pStyle w:val="Tabletext"/>
              <w:tabs>
                <w:tab w:val="decimal" w:pos="397"/>
              </w:tabs>
            </w:pPr>
            <w:r w:rsidRPr="00F0362D">
              <w:t>10.9</w:t>
            </w:r>
          </w:p>
        </w:tc>
        <w:tc>
          <w:tcPr>
            <w:tcW w:w="861" w:type="dxa"/>
            <w:tcBorders>
              <w:top w:val="nil"/>
              <w:bottom w:val="nil"/>
            </w:tcBorders>
          </w:tcPr>
          <w:p w:rsidR="005F1FBD" w:rsidRPr="00F0362D" w:rsidRDefault="005F1FBD" w:rsidP="00F0362D">
            <w:pPr>
              <w:pStyle w:val="Tabletext"/>
              <w:tabs>
                <w:tab w:val="decimal" w:pos="397"/>
              </w:tabs>
              <w:rPr>
                <w:b/>
              </w:rPr>
            </w:pPr>
            <w:r w:rsidRPr="00F0362D">
              <w:rPr>
                <w:b/>
              </w:rPr>
              <w:t>9.8</w:t>
            </w:r>
          </w:p>
        </w:tc>
      </w:tr>
      <w:tr w:rsidR="005F1FBD" w:rsidRPr="00354810" w:rsidTr="00F0362D">
        <w:tc>
          <w:tcPr>
            <w:tcW w:w="2876" w:type="dxa"/>
            <w:tcBorders>
              <w:top w:val="nil"/>
              <w:bottom w:val="dashed" w:sz="4" w:space="0" w:color="auto"/>
            </w:tcBorders>
            <w:shd w:val="clear" w:color="auto" w:fill="auto"/>
          </w:tcPr>
          <w:p w:rsidR="005F1FBD" w:rsidRPr="00F0362D" w:rsidRDefault="005F1FBD" w:rsidP="00B65A93">
            <w:pPr>
              <w:pStyle w:val="Tabletext"/>
              <w:rPr>
                <w:bCs/>
              </w:rPr>
            </w:pPr>
            <w:r w:rsidRPr="00F0362D">
              <w:rPr>
                <w:bCs/>
              </w:rPr>
              <w:t>Food, hospitality and personal services</w:t>
            </w:r>
          </w:p>
        </w:tc>
        <w:tc>
          <w:tcPr>
            <w:tcW w:w="860" w:type="dxa"/>
            <w:tcBorders>
              <w:top w:val="nil"/>
              <w:bottom w:val="dashed" w:sz="4" w:space="0" w:color="auto"/>
            </w:tcBorders>
          </w:tcPr>
          <w:p w:rsidR="005F1FBD" w:rsidRPr="00F0362D" w:rsidRDefault="005F1FBD" w:rsidP="00F0362D">
            <w:pPr>
              <w:pStyle w:val="Tabletext"/>
              <w:tabs>
                <w:tab w:val="decimal" w:pos="397"/>
              </w:tabs>
            </w:pPr>
            <w:r w:rsidRPr="00F0362D">
              <w:t>21.1*</w:t>
            </w:r>
          </w:p>
        </w:tc>
        <w:tc>
          <w:tcPr>
            <w:tcW w:w="861" w:type="dxa"/>
            <w:tcBorders>
              <w:top w:val="nil"/>
              <w:bottom w:val="dashed" w:sz="4" w:space="0" w:color="auto"/>
            </w:tcBorders>
          </w:tcPr>
          <w:p w:rsidR="005F1FBD" w:rsidRPr="00F0362D" w:rsidRDefault="005F1FBD" w:rsidP="00F0362D">
            <w:pPr>
              <w:pStyle w:val="Tabletext"/>
              <w:tabs>
                <w:tab w:val="decimal" w:pos="397"/>
              </w:tabs>
            </w:pPr>
            <w:r w:rsidRPr="00F0362D">
              <w:t>20.8</w:t>
            </w:r>
          </w:p>
        </w:tc>
        <w:tc>
          <w:tcPr>
            <w:tcW w:w="861" w:type="dxa"/>
            <w:tcBorders>
              <w:top w:val="nil"/>
              <w:bottom w:val="dashed" w:sz="4" w:space="0" w:color="auto"/>
            </w:tcBorders>
            <w:shd w:val="clear" w:color="auto" w:fill="auto"/>
          </w:tcPr>
          <w:p w:rsidR="005F1FBD" w:rsidRPr="00F0362D" w:rsidRDefault="005F1FBD" w:rsidP="00F0362D">
            <w:pPr>
              <w:pStyle w:val="Tabletext"/>
              <w:tabs>
                <w:tab w:val="decimal" w:pos="397"/>
              </w:tabs>
            </w:pPr>
            <w:r w:rsidRPr="00F0362D">
              <w:t>58.0</w:t>
            </w:r>
          </w:p>
        </w:tc>
        <w:tc>
          <w:tcPr>
            <w:tcW w:w="860" w:type="dxa"/>
            <w:tcBorders>
              <w:top w:val="nil"/>
              <w:bottom w:val="dashed" w:sz="4" w:space="0" w:color="auto"/>
            </w:tcBorders>
            <w:shd w:val="clear" w:color="auto" w:fill="auto"/>
          </w:tcPr>
          <w:p w:rsidR="005F1FBD" w:rsidRPr="00F0362D" w:rsidRDefault="005F1FBD" w:rsidP="00F0362D">
            <w:pPr>
              <w:pStyle w:val="Tabletext"/>
              <w:tabs>
                <w:tab w:val="decimal" w:pos="397"/>
              </w:tabs>
            </w:pPr>
            <w:r w:rsidRPr="00F0362D">
              <w:t>37.7</w:t>
            </w:r>
          </w:p>
        </w:tc>
        <w:tc>
          <w:tcPr>
            <w:tcW w:w="861" w:type="dxa"/>
            <w:tcBorders>
              <w:top w:val="nil"/>
              <w:bottom w:val="dashed" w:sz="4" w:space="0" w:color="auto"/>
            </w:tcBorders>
          </w:tcPr>
          <w:p w:rsidR="005F1FBD" w:rsidRPr="00F0362D" w:rsidRDefault="005F1FBD" w:rsidP="00F0362D">
            <w:pPr>
              <w:pStyle w:val="Tabletext"/>
              <w:tabs>
                <w:tab w:val="decimal" w:pos="397"/>
              </w:tabs>
            </w:pPr>
            <w:r w:rsidRPr="00F0362D">
              <w:t>2.7**</w:t>
            </w:r>
          </w:p>
        </w:tc>
        <w:tc>
          <w:tcPr>
            <w:tcW w:w="861" w:type="dxa"/>
            <w:tcBorders>
              <w:top w:val="nil"/>
              <w:bottom w:val="dashed" w:sz="4" w:space="0" w:color="auto"/>
            </w:tcBorders>
          </w:tcPr>
          <w:p w:rsidR="005F1FBD" w:rsidRPr="00F0362D" w:rsidRDefault="005F1FBD" w:rsidP="00F0362D">
            <w:pPr>
              <w:pStyle w:val="Tabletext"/>
              <w:tabs>
                <w:tab w:val="decimal" w:pos="397"/>
              </w:tabs>
              <w:rPr>
                <w:b/>
              </w:rPr>
            </w:pPr>
            <w:r w:rsidRPr="00F0362D">
              <w:rPr>
                <w:b/>
              </w:rPr>
              <w:t>40.1</w:t>
            </w:r>
          </w:p>
        </w:tc>
      </w:tr>
      <w:tr w:rsidR="005F1FBD" w:rsidRPr="00354810" w:rsidTr="00F0362D">
        <w:tc>
          <w:tcPr>
            <w:tcW w:w="2876" w:type="dxa"/>
            <w:tcBorders>
              <w:top w:val="dashed" w:sz="4" w:space="0" w:color="auto"/>
              <w:bottom w:val="single" w:sz="4" w:space="0" w:color="auto"/>
            </w:tcBorders>
            <w:shd w:val="clear" w:color="auto" w:fill="auto"/>
          </w:tcPr>
          <w:p w:rsidR="005F1FBD" w:rsidRPr="00F0362D" w:rsidRDefault="005F1FBD" w:rsidP="00B65A93">
            <w:pPr>
              <w:pStyle w:val="Tabletext"/>
            </w:pPr>
            <w:r w:rsidRPr="00F0362D">
              <w:t>All fields</w:t>
            </w:r>
          </w:p>
        </w:tc>
        <w:tc>
          <w:tcPr>
            <w:tcW w:w="860" w:type="dxa"/>
            <w:tcBorders>
              <w:top w:val="dashed" w:sz="4" w:space="0" w:color="auto"/>
              <w:bottom w:val="single" w:sz="4" w:space="0" w:color="auto"/>
            </w:tcBorders>
          </w:tcPr>
          <w:p w:rsidR="005F1FBD" w:rsidRPr="00F0362D" w:rsidRDefault="005F1FBD" w:rsidP="00F0362D">
            <w:pPr>
              <w:pStyle w:val="Tabletext"/>
              <w:tabs>
                <w:tab w:val="decimal" w:pos="397"/>
              </w:tabs>
              <w:rPr>
                <w:b/>
              </w:rPr>
            </w:pPr>
            <w:r w:rsidRPr="00F0362D">
              <w:rPr>
                <w:b/>
              </w:rPr>
              <w:t>8.7</w:t>
            </w:r>
          </w:p>
        </w:tc>
        <w:tc>
          <w:tcPr>
            <w:tcW w:w="861" w:type="dxa"/>
            <w:tcBorders>
              <w:top w:val="dashed" w:sz="4" w:space="0" w:color="auto"/>
              <w:bottom w:val="single" w:sz="4" w:space="0" w:color="auto"/>
            </w:tcBorders>
          </w:tcPr>
          <w:p w:rsidR="005F1FBD" w:rsidRPr="00F0362D" w:rsidRDefault="005F1FBD" w:rsidP="00F0362D">
            <w:pPr>
              <w:pStyle w:val="Tabletext"/>
              <w:tabs>
                <w:tab w:val="decimal" w:pos="397"/>
              </w:tabs>
              <w:rPr>
                <w:b/>
              </w:rPr>
            </w:pPr>
            <w:r w:rsidRPr="00F0362D">
              <w:rPr>
                <w:b/>
              </w:rPr>
              <w:t>17.7</w:t>
            </w:r>
          </w:p>
        </w:tc>
        <w:tc>
          <w:tcPr>
            <w:tcW w:w="861" w:type="dxa"/>
            <w:tcBorders>
              <w:top w:val="dashed" w:sz="4" w:space="0" w:color="auto"/>
              <w:bottom w:val="single" w:sz="4" w:space="0" w:color="auto"/>
            </w:tcBorders>
            <w:shd w:val="clear" w:color="auto" w:fill="auto"/>
          </w:tcPr>
          <w:p w:rsidR="005F1FBD" w:rsidRPr="00F0362D" w:rsidRDefault="005F1FBD" w:rsidP="00F0362D">
            <w:pPr>
              <w:pStyle w:val="Tabletext"/>
              <w:tabs>
                <w:tab w:val="decimal" w:pos="397"/>
              </w:tabs>
              <w:rPr>
                <w:b/>
              </w:rPr>
            </w:pPr>
            <w:r w:rsidRPr="00F0362D">
              <w:rPr>
                <w:b/>
              </w:rPr>
              <w:t>54.6</w:t>
            </w:r>
          </w:p>
        </w:tc>
        <w:tc>
          <w:tcPr>
            <w:tcW w:w="860" w:type="dxa"/>
            <w:tcBorders>
              <w:top w:val="dashed" w:sz="4" w:space="0" w:color="auto"/>
              <w:bottom w:val="single" w:sz="4" w:space="0" w:color="auto"/>
            </w:tcBorders>
            <w:shd w:val="clear" w:color="auto" w:fill="auto"/>
          </w:tcPr>
          <w:p w:rsidR="005F1FBD" w:rsidRPr="00F0362D" w:rsidRDefault="005F1FBD" w:rsidP="00F0362D">
            <w:pPr>
              <w:pStyle w:val="Tabletext"/>
              <w:tabs>
                <w:tab w:val="decimal" w:pos="397"/>
              </w:tabs>
              <w:rPr>
                <w:b/>
              </w:rPr>
            </w:pPr>
            <w:r w:rsidRPr="00F0362D">
              <w:rPr>
                <w:b/>
              </w:rPr>
              <w:t>31.1</w:t>
            </w:r>
          </w:p>
        </w:tc>
        <w:tc>
          <w:tcPr>
            <w:tcW w:w="861" w:type="dxa"/>
            <w:tcBorders>
              <w:top w:val="dashed" w:sz="4" w:space="0" w:color="auto"/>
              <w:bottom w:val="single" w:sz="4" w:space="0" w:color="auto"/>
            </w:tcBorders>
          </w:tcPr>
          <w:p w:rsidR="005F1FBD" w:rsidRPr="00F0362D" w:rsidRDefault="005F1FBD" w:rsidP="00F0362D">
            <w:pPr>
              <w:pStyle w:val="Tabletext"/>
              <w:tabs>
                <w:tab w:val="decimal" w:pos="397"/>
              </w:tabs>
              <w:rPr>
                <w:b/>
              </w:rPr>
            </w:pPr>
            <w:r w:rsidRPr="00F0362D">
              <w:rPr>
                <w:b/>
              </w:rPr>
              <w:t>25.5</w:t>
            </w:r>
          </w:p>
        </w:tc>
        <w:tc>
          <w:tcPr>
            <w:tcW w:w="861" w:type="dxa"/>
            <w:tcBorders>
              <w:top w:val="dashed" w:sz="4" w:space="0" w:color="auto"/>
              <w:bottom w:val="single" w:sz="4" w:space="0" w:color="auto"/>
            </w:tcBorders>
          </w:tcPr>
          <w:p w:rsidR="005F1FBD" w:rsidRPr="00F0362D" w:rsidRDefault="005F1FBD" w:rsidP="00F0362D">
            <w:pPr>
              <w:pStyle w:val="Tabletext"/>
              <w:tabs>
                <w:tab w:val="decimal" w:pos="397"/>
              </w:tabs>
              <w:rPr>
                <w:b/>
              </w:rPr>
            </w:pPr>
            <w:r w:rsidRPr="00F0362D">
              <w:rPr>
                <w:b/>
              </w:rPr>
              <w:t>37.2</w:t>
            </w:r>
          </w:p>
        </w:tc>
      </w:tr>
    </w:tbl>
    <w:p w:rsidR="0005473A" w:rsidRPr="00F0362D" w:rsidRDefault="005F1FBD" w:rsidP="00F0362D">
      <w:pPr>
        <w:pStyle w:val="Source"/>
      </w:pPr>
      <w:r>
        <w:t>Notes</w:t>
      </w:r>
      <w:r>
        <w:tab/>
      </w:r>
      <w:r w:rsidR="00FB4BAA">
        <w:t xml:space="preserve">Sample </w:t>
      </w:r>
      <w:r w:rsidR="00FB4BAA" w:rsidRPr="00F0362D">
        <w:t>base includes only those who had indicated an occupation after training.</w:t>
      </w:r>
      <w:r w:rsidR="00F0362D">
        <w:br/>
      </w:r>
      <w:r w:rsidRPr="00F0362D">
        <w:t xml:space="preserve">Blank cells indicate a zero sample size. </w:t>
      </w:r>
      <w:r w:rsidR="00F0362D">
        <w:br/>
      </w:r>
      <w:r w:rsidRPr="00F0362D">
        <w:t>* Relative standard error &gt; 25%. ** Relative standard er</w:t>
      </w:r>
      <w:r w:rsidR="0005473A" w:rsidRPr="00F0362D">
        <w:t>ror &gt; 50% or cell sample size &lt;</w:t>
      </w:r>
      <w:r w:rsidRPr="00F0362D">
        <w:t>10</w:t>
      </w:r>
      <w:r w:rsidR="0005473A" w:rsidRPr="00F0362D">
        <w:t>.</w:t>
      </w:r>
    </w:p>
    <w:p w:rsidR="0005473A" w:rsidRDefault="0005473A" w:rsidP="00F0362D">
      <w:pPr>
        <w:pStyle w:val="Source"/>
      </w:pPr>
      <w:proofErr w:type="gramStart"/>
      <w:r w:rsidRPr="00F0362D">
        <w:t>Source</w:t>
      </w:r>
      <w:r w:rsidRPr="00F0362D">
        <w:tab/>
        <w:t>NCVER (20</w:t>
      </w:r>
      <w:r>
        <w:t>11).</w:t>
      </w:r>
      <w:proofErr w:type="gramEnd"/>
    </w:p>
    <w:p w:rsidR="00055832" w:rsidRDefault="00055832" w:rsidP="00F0362D">
      <w:pPr>
        <w:pStyle w:val="Textmorebefore"/>
      </w:pPr>
      <w:r>
        <w:t xml:space="preserve">Finally from the </w:t>
      </w:r>
      <w:r w:rsidR="00E4794D">
        <w:t>Student Outcomes Survey</w:t>
      </w:r>
      <w:r>
        <w:t xml:space="preserve">, we examine the proportion of vocational graduates who were employed six months after training </w:t>
      </w:r>
      <w:r w:rsidR="00BA770F">
        <w:t xml:space="preserve">and </w:t>
      </w:r>
      <w:r>
        <w:t>who were working at a higher skill level</w:t>
      </w:r>
      <w:r w:rsidR="00771D45">
        <w:t xml:space="preserve"> than before training</w:t>
      </w:r>
      <w:r w:rsidR="0005473A">
        <w:t>, shown in t</w:t>
      </w:r>
      <w:r w:rsidR="009420A6">
        <w:t>able 6</w:t>
      </w:r>
      <w:r>
        <w:t>.</w:t>
      </w:r>
      <w:r w:rsidR="00771D45">
        <w:t xml:space="preserve"> </w:t>
      </w:r>
      <w:r w:rsidR="00D9779E">
        <w:t>Again, there was considerable variation by qualification level within field. For example, in nursing</w:t>
      </w:r>
      <w:r w:rsidR="0005473A">
        <w:t>,</w:t>
      </w:r>
      <w:r w:rsidR="00D9779E">
        <w:t xml:space="preserve"> </w:t>
      </w:r>
      <w:r w:rsidR="00AC4C45">
        <w:t>47% of certificate I</w:t>
      </w:r>
      <w:r w:rsidR="00D9779E">
        <w:t xml:space="preserve">V graduates and 40.6% of diploma graduates worked at a higher level after training than before training, but </w:t>
      </w:r>
      <w:r w:rsidR="00AC4C45">
        <w:t xml:space="preserve">the proportion for certificate III graduates was </w:t>
      </w:r>
      <w:r w:rsidR="00D9779E">
        <w:t xml:space="preserve">only </w:t>
      </w:r>
      <w:r w:rsidR="00AC4C45">
        <w:t>10.6% (wit</w:t>
      </w:r>
      <w:r w:rsidR="00E124EF">
        <w:t xml:space="preserve">h a relative standard error of </w:t>
      </w:r>
      <w:r w:rsidR="00220618">
        <w:t xml:space="preserve">more than </w:t>
      </w:r>
      <w:r w:rsidR="00AC4C45">
        <w:t xml:space="preserve">50%). </w:t>
      </w:r>
      <w:r w:rsidR="00FC3FEE">
        <w:t>In contrast, in society and culture</w:t>
      </w:r>
      <w:r w:rsidR="00E124EF">
        <w:t>,</w:t>
      </w:r>
      <w:r w:rsidR="00FC3FEE">
        <w:t xml:space="preserve"> 20.9% of certificate III graduates were working at a higher level</w:t>
      </w:r>
      <w:r w:rsidR="0005473A">
        <w:t>,</w:t>
      </w:r>
      <w:r w:rsidR="00FC3FEE">
        <w:t xml:space="preserve"> but only 13.8% of certificate IV and 15.8% </w:t>
      </w:r>
      <w:r w:rsidR="00FC3FEE">
        <w:lastRenderedPageBreak/>
        <w:t>of graduates of diplomas and above</w:t>
      </w:r>
      <w:r w:rsidR="00E124EF">
        <w:t xml:space="preserve"> were</w:t>
      </w:r>
      <w:r w:rsidR="00FC3FEE">
        <w:t xml:space="preserve">. </w:t>
      </w:r>
      <w:r w:rsidR="00771D45">
        <w:t xml:space="preserve">As </w:t>
      </w:r>
      <w:r w:rsidR="0005473A">
        <w:t>might be</w:t>
      </w:r>
      <w:r w:rsidR="00771D45">
        <w:t xml:space="preserve"> expect</w:t>
      </w:r>
      <w:r w:rsidR="0005473A">
        <w:t>ed</w:t>
      </w:r>
      <w:r w:rsidR="00771D45">
        <w:t>, a higher proportion of graduates working in the same occupation as their qualification were working at a higher skill level (24.8%) than those who were employed in a different occupation (13.1%)</w:t>
      </w:r>
      <w:r w:rsidR="00610C60">
        <w:t>. (S</w:t>
      </w:r>
      <w:r w:rsidR="00FB4BAA">
        <w:t>ee table 16 in support document</w:t>
      </w:r>
      <w:r w:rsidR="00610C60">
        <w:t>.</w:t>
      </w:r>
      <w:r w:rsidR="00FB4BAA">
        <w:t>)</w:t>
      </w:r>
    </w:p>
    <w:p w:rsidR="00055832" w:rsidRPr="00055832" w:rsidRDefault="006D42DE" w:rsidP="00F0362D">
      <w:pPr>
        <w:pStyle w:val="tabletitle"/>
        <w:ind w:right="283"/>
      </w:pPr>
      <w:bookmarkStart w:id="45" w:name="_Toc369273532"/>
      <w:r>
        <w:t xml:space="preserve">Table </w:t>
      </w:r>
      <w:r w:rsidR="000D53F3">
        <w:t>6</w:t>
      </w:r>
      <w:r w:rsidR="00055832" w:rsidRPr="00055832">
        <w:tab/>
        <w:t>Percentage of those employed six months after training working at a higher skill level</w:t>
      </w:r>
      <w:r w:rsidR="00771D45">
        <w:t xml:space="preserve"> than before training</w:t>
      </w:r>
      <w:r w:rsidR="00055832" w:rsidRPr="00055832">
        <w:t>, by level of qualification and broad and selected narrow field of education, 2011</w:t>
      </w:r>
      <w:bookmarkEnd w:id="45"/>
    </w:p>
    <w:tbl>
      <w:tblPr>
        <w:tblW w:w="8789" w:type="dxa"/>
        <w:tblInd w:w="57"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145"/>
        <w:gridCol w:w="940"/>
        <w:gridCol w:w="941"/>
        <w:gridCol w:w="941"/>
        <w:gridCol w:w="940"/>
        <w:gridCol w:w="941"/>
        <w:gridCol w:w="941"/>
      </w:tblGrid>
      <w:tr w:rsidR="00055832" w:rsidRPr="000A7711" w:rsidTr="000A7711">
        <w:trPr>
          <w:tblHeader/>
        </w:trPr>
        <w:tc>
          <w:tcPr>
            <w:tcW w:w="2876" w:type="dxa"/>
            <w:tcBorders>
              <w:top w:val="single" w:sz="4" w:space="0" w:color="auto"/>
              <w:bottom w:val="nil"/>
            </w:tcBorders>
            <w:shd w:val="clear" w:color="auto" w:fill="auto"/>
          </w:tcPr>
          <w:p w:rsidR="00055832" w:rsidRPr="000A7711" w:rsidRDefault="00055832" w:rsidP="000A7711">
            <w:pPr>
              <w:pStyle w:val="Tablehead1"/>
            </w:pPr>
            <w:r w:rsidRPr="000A7711">
              <w:t>Field of education</w:t>
            </w:r>
          </w:p>
        </w:tc>
        <w:tc>
          <w:tcPr>
            <w:tcW w:w="860" w:type="dxa"/>
            <w:tcBorders>
              <w:top w:val="single" w:sz="4" w:space="0" w:color="auto"/>
              <w:bottom w:val="nil"/>
            </w:tcBorders>
          </w:tcPr>
          <w:p w:rsidR="00055832" w:rsidRPr="000A7711" w:rsidRDefault="00E4794D" w:rsidP="000A7711">
            <w:pPr>
              <w:pStyle w:val="Tablehead1"/>
              <w:jc w:val="center"/>
            </w:pPr>
            <w:r w:rsidRPr="000A7711">
              <w:t>Cert.</w:t>
            </w:r>
            <w:r w:rsidR="00055832" w:rsidRPr="000A7711">
              <w:t xml:space="preserve"> I</w:t>
            </w:r>
          </w:p>
        </w:tc>
        <w:tc>
          <w:tcPr>
            <w:tcW w:w="861" w:type="dxa"/>
            <w:tcBorders>
              <w:top w:val="single" w:sz="4" w:space="0" w:color="auto"/>
              <w:bottom w:val="nil"/>
            </w:tcBorders>
          </w:tcPr>
          <w:p w:rsidR="00055832" w:rsidRPr="000A7711" w:rsidRDefault="00E4794D" w:rsidP="000A7711">
            <w:pPr>
              <w:pStyle w:val="Tablehead1"/>
              <w:jc w:val="center"/>
            </w:pPr>
            <w:r w:rsidRPr="000A7711">
              <w:t>Cert.</w:t>
            </w:r>
            <w:r w:rsidR="00055832" w:rsidRPr="000A7711">
              <w:t xml:space="preserve"> II</w:t>
            </w:r>
          </w:p>
        </w:tc>
        <w:tc>
          <w:tcPr>
            <w:tcW w:w="861" w:type="dxa"/>
            <w:tcBorders>
              <w:top w:val="single" w:sz="4" w:space="0" w:color="auto"/>
              <w:bottom w:val="nil"/>
            </w:tcBorders>
            <w:shd w:val="clear" w:color="auto" w:fill="auto"/>
          </w:tcPr>
          <w:p w:rsidR="00055832" w:rsidRPr="000A7711" w:rsidRDefault="00E4794D" w:rsidP="000A7711">
            <w:pPr>
              <w:pStyle w:val="Tablehead1"/>
              <w:jc w:val="center"/>
            </w:pPr>
            <w:r w:rsidRPr="000A7711">
              <w:t>Cert.</w:t>
            </w:r>
            <w:r w:rsidR="00055832" w:rsidRPr="000A7711">
              <w:t xml:space="preserve"> III</w:t>
            </w:r>
          </w:p>
        </w:tc>
        <w:tc>
          <w:tcPr>
            <w:tcW w:w="860" w:type="dxa"/>
            <w:tcBorders>
              <w:top w:val="single" w:sz="4" w:space="0" w:color="auto"/>
              <w:bottom w:val="nil"/>
            </w:tcBorders>
            <w:shd w:val="clear" w:color="auto" w:fill="auto"/>
          </w:tcPr>
          <w:p w:rsidR="00055832" w:rsidRPr="000A7711" w:rsidRDefault="00E4794D" w:rsidP="000A7711">
            <w:pPr>
              <w:pStyle w:val="Tablehead1"/>
              <w:jc w:val="center"/>
            </w:pPr>
            <w:r w:rsidRPr="000A7711">
              <w:t>Cert.</w:t>
            </w:r>
            <w:r w:rsidR="00055832" w:rsidRPr="000A7711">
              <w:t xml:space="preserve"> IV</w:t>
            </w:r>
          </w:p>
        </w:tc>
        <w:tc>
          <w:tcPr>
            <w:tcW w:w="861" w:type="dxa"/>
            <w:tcBorders>
              <w:top w:val="single" w:sz="4" w:space="0" w:color="auto"/>
              <w:bottom w:val="nil"/>
            </w:tcBorders>
          </w:tcPr>
          <w:p w:rsidR="00055832" w:rsidRPr="000A7711" w:rsidRDefault="00055832" w:rsidP="000A7711">
            <w:pPr>
              <w:pStyle w:val="Tablehead1"/>
              <w:jc w:val="center"/>
            </w:pPr>
            <w:r w:rsidRPr="000A7711">
              <w:t>Dip</w:t>
            </w:r>
            <w:r w:rsidR="000A7711">
              <w:t>loma</w:t>
            </w:r>
            <w:r w:rsidRPr="000A7711">
              <w:t xml:space="preserve">s </w:t>
            </w:r>
            <w:r w:rsidR="000A7711">
              <w:t>&amp;</w:t>
            </w:r>
            <w:r w:rsidRPr="000A7711">
              <w:t xml:space="preserve"> above</w:t>
            </w:r>
          </w:p>
        </w:tc>
        <w:tc>
          <w:tcPr>
            <w:tcW w:w="861" w:type="dxa"/>
            <w:tcBorders>
              <w:top w:val="single" w:sz="4" w:space="0" w:color="auto"/>
              <w:bottom w:val="nil"/>
            </w:tcBorders>
          </w:tcPr>
          <w:p w:rsidR="00055832" w:rsidRPr="000A7711" w:rsidRDefault="00055832" w:rsidP="000A7711">
            <w:pPr>
              <w:pStyle w:val="Tablehead1"/>
              <w:jc w:val="center"/>
            </w:pPr>
            <w:r w:rsidRPr="000A7711">
              <w:t>All levels</w:t>
            </w:r>
          </w:p>
        </w:tc>
      </w:tr>
      <w:tr w:rsidR="00055832" w:rsidRPr="00354810" w:rsidTr="000A7711">
        <w:tc>
          <w:tcPr>
            <w:tcW w:w="2876" w:type="dxa"/>
            <w:tcBorders>
              <w:top w:val="single" w:sz="4" w:space="0" w:color="auto"/>
              <w:bottom w:val="nil"/>
            </w:tcBorders>
            <w:shd w:val="clear" w:color="auto" w:fill="auto"/>
          </w:tcPr>
          <w:p w:rsidR="00055832" w:rsidRPr="00F0362D" w:rsidRDefault="00055832" w:rsidP="00B65A93">
            <w:pPr>
              <w:pStyle w:val="Tabletext"/>
            </w:pPr>
            <w:r w:rsidRPr="00F0362D">
              <w:t>Natural and physical sciences</w:t>
            </w:r>
          </w:p>
        </w:tc>
        <w:tc>
          <w:tcPr>
            <w:tcW w:w="860" w:type="dxa"/>
            <w:tcBorders>
              <w:top w:val="single" w:sz="4" w:space="0" w:color="auto"/>
              <w:bottom w:val="nil"/>
            </w:tcBorders>
          </w:tcPr>
          <w:p w:rsidR="00055832" w:rsidRPr="000A7711" w:rsidRDefault="00055832" w:rsidP="000A7711">
            <w:pPr>
              <w:pStyle w:val="Tabletext"/>
              <w:tabs>
                <w:tab w:val="decimal" w:pos="397"/>
              </w:tabs>
            </w:pPr>
            <w:r w:rsidRPr="000A7711">
              <w:t>–</w:t>
            </w:r>
          </w:p>
        </w:tc>
        <w:tc>
          <w:tcPr>
            <w:tcW w:w="861" w:type="dxa"/>
            <w:tcBorders>
              <w:top w:val="single" w:sz="4" w:space="0" w:color="auto"/>
              <w:bottom w:val="nil"/>
            </w:tcBorders>
          </w:tcPr>
          <w:p w:rsidR="00055832" w:rsidRPr="000A7711" w:rsidRDefault="008B565B" w:rsidP="000A7711">
            <w:pPr>
              <w:pStyle w:val="Tabletext"/>
              <w:tabs>
                <w:tab w:val="decimal" w:pos="397"/>
              </w:tabs>
            </w:pPr>
            <w:r w:rsidRPr="000A7711">
              <w:t>0</w:t>
            </w:r>
          </w:p>
        </w:tc>
        <w:tc>
          <w:tcPr>
            <w:tcW w:w="861" w:type="dxa"/>
            <w:tcBorders>
              <w:top w:val="single" w:sz="4" w:space="0" w:color="auto"/>
              <w:bottom w:val="nil"/>
            </w:tcBorders>
            <w:shd w:val="clear" w:color="auto" w:fill="auto"/>
          </w:tcPr>
          <w:p w:rsidR="00055832" w:rsidRPr="000A7711" w:rsidRDefault="00055832" w:rsidP="000A7711">
            <w:pPr>
              <w:pStyle w:val="Tabletext"/>
              <w:tabs>
                <w:tab w:val="decimal" w:pos="397"/>
              </w:tabs>
            </w:pPr>
            <w:r w:rsidRPr="000A7711">
              <w:t>26.3</w:t>
            </w:r>
          </w:p>
        </w:tc>
        <w:tc>
          <w:tcPr>
            <w:tcW w:w="860" w:type="dxa"/>
            <w:tcBorders>
              <w:top w:val="single" w:sz="4" w:space="0" w:color="auto"/>
              <w:bottom w:val="nil"/>
            </w:tcBorders>
            <w:shd w:val="clear" w:color="auto" w:fill="auto"/>
          </w:tcPr>
          <w:p w:rsidR="00055832" w:rsidRPr="000A7711" w:rsidRDefault="00055832" w:rsidP="000A7711">
            <w:pPr>
              <w:pStyle w:val="Tabletext"/>
              <w:tabs>
                <w:tab w:val="decimal" w:pos="397"/>
              </w:tabs>
            </w:pPr>
            <w:r w:rsidRPr="000A7711">
              <w:t>31.5</w:t>
            </w:r>
          </w:p>
        </w:tc>
        <w:tc>
          <w:tcPr>
            <w:tcW w:w="861" w:type="dxa"/>
            <w:tcBorders>
              <w:top w:val="single" w:sz="4" w:space="0" w:color="auto"/>
              <w:bottom w:val="nil"/>
            </w:tcBorders>
          </w:tcPr>
          <w:p w:rsidR="00055832" w:rsidRPr="000A7711" w:rsidRDefault="00055832" w:rsidP="000A7711">
            <w:pPr>
              <w:pStyle w:val="Tabletext"/>
              <w:tabs>
                <w:tab w:val="decimal" w:pos="397"/>
              </w:tabs>
            </w:pPr>
            <w:r w:rsidRPr="000A7711">
              <w:t>25.7*</w:t>
            </w:r>
          </w:p>
        </w:tc>
        <w:tc>
          <w:tcPr>
            <w:tcW w:w="861" w:type="dxa"/>
            <w:tcBorders>
              <w:top w:val="single" w:sz="4" w:space="0" w:color="auto"/>
              <w:bottom w:val="nil"/>
            </w:tcBorders>
          </w:tcPr>
          <w:p w:rsidR="00055832" w:rsidRPr="000A7711" w:rsidRDefault="00055832" w:rsidP="000A7711">
            <w:pPr>
              <w:pStyle w:val="Tabletext"/>
              <w:tabs>
                <w:tab w:val="decimal" w:pos="397"/>
              </w:tabs>
              <w:rPr>
                <w:b/>
              </w:rPr>
            </w:pPr>
            <w:r w:rsidRPr="000A7711">
              <w:rPr>
                <w:b/>
              </w:rPr>
              <w:t>27.6</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pPr>
            <w:r w:rsidRPr="00F0362D">
              <w:t>Information technology</w:t>
            </w:r>
          </w:p>
        </w:tc>
        <w:tc>
          <w:tcPr>
            <w:tcW w:w="860" w:type="dxa"/>
            <w:tcBorders>
              <w:top w:val="nil"/>
              <w:bottom w:val="nil"/>
            </w:tcBorders>
          </w:tcPr>
          <w:p w:rsidR="00055832" w:rsidRPr="000A7711" w:rsidRDefault="00055832" w:rsidP="000A7711">
            <w:pPr>
              <w:pStyle w:val="Tabletext"/>
              <w:tabs>
                <w:tab w:val="decimal" w:pos="397"/>
              </w:tabs>
            </w:pPr>
            <w:r w:rsidRPr="000A7711">
              <w:t>–</w:t>
            </w:r>
          </w:p>
        </w:tc>
        <w:tc>
          <w:tcPr>
            <w:tcW w:w="861" w:type="dxa"/>
            <w:tcBorders>
              <w:top w:val="nil"/>
              <w:bottom w:val="nil"/>
            </w:tcBorders>
          </w:tcPr>
          <w:p w:rsidR="00055832" w:rsidRPr="000A7711" w:rsidRDefault="008B565B" w:rsidP="000A7711">
            <w:pPr>
              <w:pStyle w:val="Tabletext"/>
              <w:tabs>
                <w:tab w:val="decimal" w:pos="397"/>
              </w:tabs>
            </w:pPr>
            <w:r w:rsidRPr="000A7711">
              <w:t>0</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25.7</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16.5</w:t>
            </w:r>
          </w:p>
        </w:tc>
        <w:tc>
          <w:tcPr>
            <w:tcW w:w="861" w:type="dxa"/>
            <w:tcBorders>
              <w:top w:val="nil"/>
              <w:bottom w:val="nil"/>
            </w:tcBorders>
          </w:tcPr>
          <w:p w:rsidR="00055832" w:rsidRPr="000A7711" w:rsidRDefault="00055832" w:rsidP="000A7711">
            <w:pPr>
              <w:pStyle w:val="Tabletext"/>
              <w:tabs>
                <w:tab w:val="decimal" w:pos="397"/>
              </w:tabs>
            </w:pPr>
            <w:r w:rsidRPr="000A7711">
              <w:t>29.6</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22.8</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pPr>
            <w:r w:rsidRPr="00F0362D">
              <w:t>Engineering and related technologies</w:t>
            </w:r>
          </w:p>
        </w:tc>
        <w:tc>
          <w:tcPr>
            <w:tcW w:w="860" w:type="dxa"/>
            <w:tcBorders>
              <w:top w:val="nil"/>
              <w:bottom w:val="nil"/>
            </w:tcBorders>
          </w:tcPr>
          <w:p w:rsidR="00055832" w:rsidRPr="000A7711" w:rsidRDefault="00055832" w:rsidP="000A7711">
            <w:pPr>
              <w:pStyle w:val="Tabletext"/>
              <w:tabs>
                <w:tab w:val="decimal" w:pos="397"/>
              </w:tabs>
            </w:pPr>
            <w:r w:rsidRPr="000A7711">
              <w:t>13.0</w:t>
            </w:r>
          </w:p>
        </w:tc>
        <w:tc>
          <w:tcPr>
            <w:tcW w:w="861" w:type="dxa"/>
            <w:tcBorders>
              <w:top w:val="nil"/>
              <w:bottom w:val="nil"/>
            </w:tcBorders>
          </w:tcPr>
          <w:p w:rsidR="00055832" w:rsidRPr="000A7711" w:rsidRDefault="00055832" w:rsidP="000A7711">
            <w:pPr>
              <w:pStyle w:val="Tabletext"/>
              <w:tabs>
                <w:tab w:val="decimal" w:pos="397"/>
              </w:tabs>
            </w:pPr>
            <w:r w:rsidRPr="000A7711">
              <w:t>17.8</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24.5</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9.6</w:t>
            </w:r>
          </w:p>
        </w:tc>
        <w:tc>
          <w:tcPr>
            <w:tcW w:w="861" w:type="dxa"/>
            <w:tcBorders>
              <w:top w:val="nil"/>
              <w:bottom w:val="nil"/>
            </w:tcBorders>
          </w:tcPr>
          <w:p w:rsidR="00055832" w:rsidRPr="000A7711" w:rsidRDefault="00055832" w:rsidP="000A7711">
            <w:pPr>
              <w:pStyle w:val="Tabletext"/>
              <w:tabs>
                <w:tab w:val="decimal" w:pos="397"/>
              </w:tabs>
            </w:pPr>
            <w:r w:rsidRPr="000A7711">
              <w:t>20.0</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20.5</w:t>
            </w:r>
          </w:p>
        </w:tc>
      </w:tr>
      <w:tr w:rsidR="00055832" w:rsidRPr="00354810" w:rsidTr="000A7711">
        <w:tc>
          <w:tcPr>
            <w:tcW w:w="2876" w:type="dxa"/>
            <w:tcBorders>
              <w:top w:val="nil"/>
              <w:bottom w:val="nil"/>
            </w:tcBorders>
            <w:shd w:val="clear" w:color="auto" w:fill="auto"/>
          </w:tcPr>
          <w:p w:rsidR="00055832" w:rsidRPr="00F0362D" w:rsidRDefault="00055832" w:rsidP="00F0362D">
            <w:pPr>
              <w:pStyle w:val="Tabletext"/>
              <w:ind w:left="284"/>
            </w:pPr>
            <w:r w:rsidRPr="00F0362D">
              <w:t>Process and resources engineering</w:t>
            </w:r>
          </w:p>
        </w:tc>
        <w:tc>
          <w:tcPr>
            <w:tcW w:w="860" w:type="dxa"/>
            <w:tcBorders>
              <w:top w:val="nil"/>
              <w:bottom w:val="nil"/>
            </w:tcBorders>
          </w:tcPr>
          <w:p w:rsidR="00055832" w:rsidRPr="000A7711" w:rsidRDefault="00055832" w:rsidP="000A7711">
            <w:pPr>
              <w:pStyle w:val="Tabletext"/>
              <w:tabs>
                <w:tab w:val="decimal" w:pos="397"/>
              </w:tabs>
            </w:pPr>
            <w:r w:rsidRPr="000A7711">
              <w:t>0.9</w:t>
            </w:r>
            <w:r w:rsidR="00480283" w:rsidRPr="000A7711">
              <w:t>**</w:t>
            </w:r>
          </w:p>
        </w:tc>
        <w:tc>
          <w:tcPr>
            <w:tcW w:w="861" w:type="dxa"/>
            <w:tcBorders>
              <w:top w:val="nil"/>
              <w:bottom w:val="nil"/>
            </w:tcBorders>
          </w:tcPr>
          <w:p w:rsidR="00055832" w:rsidRPr="000A7711" w:rsidRDefault="00055832" w:rsidP="000A7711">
            <w:pPr>
              <w:pStyle w:val="Tabletext"/>
              <w:tabs>
                <w:tab w:val="decimal" w:pos="397"/>
              </w:tabs>
            </w:pPr>
            <w:r w:rsidRPr="000A7711">
              <w:t>8.4*</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9.4</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7.7</w:t>
            </w:r>
            <w:r w:rsidR="0082675A" w:rsidRPr="000A7711">
              <w:t>*</w:t>
            </w:r>
            <w:r w:rsidR="00275EE1" w:rsidRPr="000A7711">
              <w:t>*</w:t>
            </w:r>
          </w:p>
        </w:tc>
        <w:tc>
          <w:tcPr>
            <w:tcW w:w="861" w:type="dxa"/>
            <w:tcBorders>
              <w:top w:val="nil"/>
              <w:bottom w:val="nil"/>
            </w:tcBorders>
          </w:tcPr>
          <w:p w:rsidR="00055832" w:rsidRPr="000A7711" w:rsidRDefault="00055832" w:rsidP="000A7711">
            <w:pPr>
              <w:pStyle w:val="Tabletext"/>
              <w:tabs>
                <w:tab w:val="decimal" w:pos="397"/>
              </w:tabs>
            </w:pPr>
            <w:r w:rsidRPr="000A7711">
              <w:t>10.0**</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8.7</w:t>
            </w:r>
          </w:p>
        </w:tc>
      </w:tr>
      <w:tr w:rsidR="00055832" w:rsidRPr="00354810" w:rsidTr="000A7711">
        <w:tc>
          <w:tcPr>
            <w:tcW w:w="2876" w:type="dxa"/>
            <w:tcBorders>
              <w:top w:val="nil"/>
              <w:bottom w:val="nil"/>
            </w:tcBorders>
            <w:shd w:val="clear" w:color="auto" w:fill="auto"/>
          </w:tcPr>
          <w:p w:rsidR="00055832" w:rsidRPr="00F0362D" w:rsidRDefault="00055832" w:rsidP="00F0362D">
            <w:pPr>
              <w:pStyle w:val="Tabletext"/>
              <w:ind w:left="284"/>
            </w:pPr>
            <w:r w:rsidRPr="00F0362D">
              <w:t>Electrical and electronic engineering and technology</w:t>
            </w:r>
          </w:p>
        </w:tc>
        <w:tc>
          <w:tcPr>
            <w:tcW w:w="860" w:type="dxa"/>
            <w:tcBorders>
              <w:top w:val="nil"/>
              <w:bottom w:val="nil"/>
            </w:tcBorders>
          </w:tcPr>
          <w:p w:rsidR="00055832" w:rsidRPr="000A7711" w:rsidRDefault="00055832" w:rsidP="000A7711">
            <w:pPr>
              <w:pStyle w:val="Tabletext"/>
              <w:tabs>
                <w:tab w:val="decimal" w:pos="397"/>
              </w:tabs>
            </w:pPr>
            <w:r w:rsidRPr="000A7711">
              <w:t>52.6**</w:t>
            </w:r>
          </w:p>
        </w:tc>
        <w:tc>
          <w:tcPr>
            <w:tcW w:w="861" w:type="dxa"/>
            <w:tcBorders>
              <w:top w:val="nil"/>
              <w:bottom w:val="nil"/>
            </w:tcBorders>
          </w:tcPr>
          <w:p w:rsidR="00055832" w:rsidRPr="000A7711" w:rsidRDefault="00055832" w:rsidP="000A7711">
            <w:pPr>
              <w:pStyle w:val="Tabletext"/>
              <w:tabs>
                <w:tab w:val="decimal" w:pos="397"/>
              </w:tabs>
            </w:pPr>
            <w:r w:rsidRPr="000A7711">
              <w:t>34.5</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39.8</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7.6*</w:t>
            </w:r>
          </w:p>
        </w:tc>
        <w:tc>
          <w:tcPr>
            <w:tcW w:w="861" w:type="dxa"/>
            <w:tcBorders>
              <w:top w:val="nil"/>
              <w:bottom w:val="nil"/>
            </w:tcBorders>
          </w:tcPr>
          <w:p w:rsidR="00055832" w:rsidRPr="000A7711" w:rsidRDefault="00055832" w:rsidP="000A7711">
            <w:pPr>
              <w:pStyle w:val="Tabletext"/>
              <w:tabs>
                <w:tab w:val="decimal" w:pos="397"/>
              </w:tabs>
            </w:pPr>
            <w:r w:rsidRPr="000A7711">
              <w:t>26.0</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33.4</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pPr>
            <w:r w:rsidRPr="00F0362D">
              <w:t>Architecture and building</w:t>
            </w:r>
          </w:p>
        </w:tc>
        <w:tc>
          <w:tcPr>
            <w:tcW w:w="860" w:type="dxa"/>
            <w:tcBorders>
              <w:top w:val="nil"/>
              <w:bottom w:val="nil"/>
            </w:tcBorders>
          </w:tcPr>
          <w:p w:rsidR="00055832" w:rsidRPr="000A7711" w:rsidRDefault="00055832" w:rsidP="000A7711">
            <w:pPr>
              <w:pStyle w:val="Tabletext"/>
              <w:tabs>
                <w:tab w:val="decimal" w:pos="397"/>
              </w:tabs>
            </w:pPr>
            <w:r w:rsidRPr="000A7711">
              <w:t>11.7</w:t>
            </w:r>
          </w:p>
        </w:tc>
        <w:tc>
          <w:tcPr>
            <w:tcW w:w="861" w:type="dxa"/>
            <w:tcBorders>
              <w:top w:val="nil"/>
              <w:bottom w:val="nil"/>
            </w:tcBorders>
          </w:tcPr>
          <w:p w:rsidR="00055832" w:rsidRPr="000A7711" w:rsidRDefault="00055832" w:rsidP="000A7711">
            <w:pPr>
              <w:pStyle w:val="Tabletext"/>
              <w:tabs>
                <w:tab w:val="decimal" w:pos="397"/>
              </w:tabs>
            </w:pPr>
            <w:r w:rsidRPr="000A7711">
              <w:t>20.1</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27.0</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12.8</w:t>
            </w:r>
          </w:p>
        </w:tc>
        <w:tc>
          <w:tcPr>
            <w:tcW w:w="861" w:type="dxa"/>
            <w:tcBorders>
              <w:top w:val="nil"/>
              <w:bottom w:val="nil"/>
            </w:tcBorders>
          </w:tcPr>
          <w:p w:rsidR="00055832" w:rsidRPr="000A7711" w:rsidRDefault="00055832" w:rsidP="000A7711">
            <w:pPr>
              <w:pStyle w:val="Tabletext"/>
              <w:tabs>
                <w:tab w:val="decimal" w:pos="397"/>
              </w:tabs>
            </w:pPr>
            <w:r w:rsidRPr="000A7711">
              <w:t>23.7</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22.3</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pPr>
            <w:r w:rsidRPr="00F0362D">
              <w:t>Agriculture, environmental and related studies</w:t>
            </w:r>
          </w:p>
        </w:tc>
        <w:tc>
          <w:tcPr>
            <w:tcW w:w="860" w:type="dxa"/>
            <w:tcBorders>
              <w:top w:val="nil"/>
              <w:bottom w:val="nil"/>
            </w:tcBorders>
          </w:tcPr>
          <w:p w:rsidR="00055832" w:rsidRPr="000A7711" w:rsidRDefault="008B565B" w:rsidP="000A7711">
            <w:pPr>
              <w:pStyle w:val="Tabletext"/>
              <w:tabs>
                <w:tab w:val="decimal" w:pos="397"/>
              </w:tabs>
            </w:pPr>
            <w:r w:rsidRPr="000A7711">
              <w:t>0</w:t>
            </w:r>
          </w:p>
        </w:tc>
        <w:tc>
          <w:tcPr>
            <w:tcW w:w="861" w:type="dxa"/>
            <w:tcBorders>
              <w:top w:val="nil"/>
              <w:bottom w:val="nil"/>
            </w:tcBorders>
          </w:tcPr>
          <w:p w:rsidR="00055832" w:rsidRPr="000A7711" w:rsidRDefault="00055832" w:rsidP="000A7711">
            <w:pPr>
              <w:pStyle w:val="Tabletext"/>
              <w:tabs>
                <w:tab w:val="decimal" w:pos="397"/>
              </w:tabs>
            </w:pPr>
            <w:r w:rsidRPr="000A7711">
              <w:t>9.7</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10.1</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9.6*</w:t>
            </w:r>
          </w:p>
        </w:tc>
        <w:tc>
          <w:tcPr>
            <w:tcW w:w="861" w:type="dxa"/>
            <w:tcBorders>
              <w:top w:val="nil"/>
              <w:bottom w:val="nil"/>
            </w:tcBorders>
          </w:tcPr>
          <w:p w:rsidR="00055832" w:rsidRPr="000A7711" w:rsidRDefault="00055832" w:rsidP="000A7711">
            <w:pPr>
              <w:pStyle w:val="Tabletext"/>
              <w:tabs>
                <w:tab w:val="decimal" w:pos="397"/>
              </w:tabs>
            </w:pPr>
            <w:r w:rsidRPr="000A7711">
              <w:t>10.2</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9.8</w:t>
            </w:r>
          </w:p>
        </w:tc>
      </w:tr>
      <w:tr w:rsidR="00055832" w:rsidRPr="00354810" w:rsidTr="000A7711">
        <w:tc>
          <w:tcPr>
            <w:tcW w:w="2876" w:type="dxa"/>
            <w:tcBorders>
              <w:top w:val="nil"/>
              <w:bottom w:val="nil"/>
            </w:tcBorders>
            <w:shd w:val="clear" w:color="auto" w:fill="auto"/>
          </w:tcPr>
          <w:p w:rsidR="00055832" w:rsidRPr="00F0362D" w:rsidRDefault="00055832" w:rsidP="00F0362D">
            <w:pPr>
              <w:pStyle w:val="Tabletext"/>
              <w:ind w:left="284"/>
            </w:pPr>
            <w:r w:rsidRPr="00F0362D">
              <w:t>Agriculture</w:t>
            </w:r>
          </w:p>
        </w:tc>
        <w:tc>
          <w:tcPr>
            <w:tcW w:w="860" w:type="dxa"/>
            <w:tcBorders>
              <w:top w:val="nil"/>
              <w:bottom w:val="nil"/>
            </w:tcBorders>
          </w:tcPr>
          <w:p w:rsidR="00055832" w:rsidRPr="000A7711" w:rsidRDefault="00FE04F0" w:rsidP="000A7711">
            <w:pPr>
              <w:pStyle w:val="Tabletext"/>
              <w:tabs>
                <w:tab w:val="decimal" w:pos="397"/>
              </w:tabs>
            </w:pPr>
            <w:r w:rsidRPr="000A7711">
              <w:t>0</w:t>
            </w:r>
          </w:p>
        </w:tc>
        <w:tc>
          <w:tcPr>
            <w:tcW w:w="861" w:type="dxa"/>
            <w:tcBorders>
              <w:top w:val="nil"/>
              <w:bottom w:val="nil"/>
            </w:tcBorders>
          </w:tcPr>
          <w:p w:rsidR="00055832" w:rsidRPr="000A7711" w:rsidRDefault="00055832" w:rsidP="000A7711">
            <w:pPr>
              <w:pStyle w:val="Tabletext"/>
              <w:tabs>
                <w:tab w:val="decimal" w:pos="397"/>
              </w:tabs>
            </w:pPr>
            <w:r w:rsidRPr="000A7711">
              <w:t>8.2</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6.7</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11.7</w:t>
            </w:r>
            <w:r w:rsidR="0082675A" w:rsidRPr="000A7711">
              <w:t>*</w:t>
            </w:r>
          </w:p>
        </w:tc>
        <w:tc>
          <w:tcPr>
            <w:tcW w:w="861" w:type="dxa"/>
            <w:tcBorders>
              <w:top w:val="nil"/>
              <w:bottom w:val="nil"/>
            </w:tcBorders>
          </w:tcPr>
          <w:p w:rsidR="00055832" w:rsidRPr="000A7711" w:rsidRDefault="00055832" w:rsidP="000A7711">
            <w:pPr>
              <w:pStyle w:val="Tabletext"/>
              <w:tabs>
                <w:tab w:val="decimal" w:pos="397"/>
              </w:tabs>
            </w:pPr>
            <w:r w:rsidRPr="000A7711">
              <w:t>9.5</w:t>
            </w:r>
            <w:r w:rsidR="0082675A" w:rsidRPr="000A7711">
              <w:t>*</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8.0</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pPr>
            <w:r w:rsidRPr="00F0362D">
              <w:t>Health</w:t>
            </w:r>
          </w:p>
        </w:tc>
        <w:tc>
          <w:tcPr>
            <w:tcW w:w="860" w:type="dxa"/>
            <w:tcBorders>
              <w:top w:val="nil"/>
              <w:bottom w:val="nil"/>
            </w:tcBorders>
          </w:tcPr>
          <w:p w:rsidR="00055832" w:rsidRPr="000A7711" w:rsidRDefault="008B565B" w:rsidP="000A7711">
            <w:pPr>
              <w:pStyle w:val="Tabletext"/>
              <w:tabs>
                <w:tab w:val="decimal" w:pos="397"/>
              </w:tabs>
            </w:pPr>
            <w:r w:rsidRPr="000A7711">
              <w:t>0</w:t>
            </w:r>
          </w:p>
        </w:tc>
        <w:tc>
          <w:tcPr>
            <w:tcW w:w="861" w:type="dxa"/>
            <w:tcBorders>
              <w:top w:val="nil"/>
              <w:bottom w:val="nil"/>
            </w:tcBorders>
          </w:tcPr>
          <w:p w:rsidR="00055832" w:rsidRPr="000A7711" w:rsidRDefault="00055832" w:rsidP="000A7711">
            <w:pPr>
              <w:pStyle w:val="Tabletext"/>
              <w:tabs>
                <w:tab w:val="decimal" w:pos="397"/>
              </w:tabs>
            </w:pPr>
            <w:r w:rsidRPr="000A7711">
              <w:t>6.5</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14.3</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24.0</w:t>
            </w:r>
          </w:p>
        </w:tc>
        <w:tc>
          <w:tcPr>
            <w:tcW w:w="861" w:type="dxa"/>
            <w:tcBorders>
              <w:top w:val="nil"/>
              <w:bottom w:val="nil"/>
            </w:tcBorders>
          </w:tcPr>
          <w:p w:rsidR="00055832" w:rsidRPr="000A7711" w:rsidRDefault="00055832" w:rsidP="000A7711">
            <w:pPr>
              <w:pStyle w:val="Tabletext"/>
              <w:tabs>
                <w:tab w:val="decimal" w:pos="397"/>
              </w:tabs>
            </w:pPr>
            <w:r w:rsidRPr="000A7711">
              <w:t>32.3</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18.2</w:t>
            </w:r>
          </w:p>
        </w:tc>
      </w:tr>
      <w:tr w:rsidR="00055832" w:rsidRPr="00354810" w:rsidTr="000A7711">
        <w:tc>
          <w:tcPr>
            <w:tcW w:w="2876" w:type="dxa"/>
            <w:tcBorders>
              <w:top w:val="nil"/>
              <w:bottom w:val="nil"/>
            </w:tcBorders>
            <w:shd w:val="clear" w:color="auto" w:fill="auto"/>
          </w:tcPr>
          <w:p w:rsidR="00055832" w:rsidRPr="00F0362D" w:rsidRDefault="00055832" w:rsidP="00F0362D">
            <w:pPr>
              <w:pStyle w:val="Tabletext"/>
              <w:ind w:left="284"/>
            </w:pPr>
            <w:r w:rsidRPr="00F0362D">
              <w:t>Nursing</w:t>
            </w:r>
          </w:p>
        </w:tc>
        <w:tc>
          <w:tcPr>
            <w:tcW w:w="860" w:type="dxa"/>
            <w:tcBorders>
              <w:top w:val="nil"/>
              <w:bottom w:val="nil"/>
            </w:tcBorders>
          </w:tcPr>
          <w:p w:rsidR="00055832" w:rsidRPr="000A7711" w:rsidRDefault="00055832" w:rsidP="000A7711">
            <w:pPr>
              <w:pStyle w:val="Tabletext"/>
              <w:tabs>
                <w:tab w:val="decimal" w:pos="397"/>
              </w:tabs>
            </w:pPr>
            <w:r w:rsidRPr="000A7711">
              <w:t>–</w:t>
            </w:r>
          </w:p>
        </w:tc>
        <w:tc>
          <w:tcPr>
            <w:tcW w:w="861" w:type="dxa"/>
            <w:tcBorders>
              <w:top w:val="nil"/>
              <w:bottom w:val="nil"/>
            </w:tcBorders>
          </w:tcPr>
          <w:p w:rsidR="00055832" w:rsidRPr="000A7711" w:rsidRDefault="00055832" w:rsidP="000A7711">
            <w:pPr>
              <w:pStyle w:val="Tabletext"/>
              <w:tabs>
                <w:tab w:val="decimal" w:pos="397"/>
              </w:tabs>
            </w:pPr>
            <w:r w:rsidRPr="000A7711">
              <w:t>–</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10.6*</w:t>
            </w:r>
            <w:r w:rsidR="0082675A" w:rsidRPr="000A7711">
              <w:t>*</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47.0</w:t>
            </w:r>
          </w:p>
        </w:tc>
        <w:tc>
          <w:tcPr>
            <w:tcW w:w="861" w:type="dxa"/>
            <w:tcBorders>
              <w:top w:val="nil"/>
              <w:bottom w:val="nil"/>
            </w:tcBorders>
          </w:tcPr>
          <w:p w:rsidR="00055832" w:rsidRPr="000A7711" w:rsidRDefault="00055832" w:rsidP="000A7711">
            <w:pPr>
              <w:pStyle w:val="Tabletext"/>
              <w:tabs>
                <w:tab w:val="decimal" w:pos="397"/>
              </w:tabs>
            </w:pPr>
            <w:r w:rsidRPr="000A7711">
              <w:t>40.6</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41.0</w:t>
            </w:r>
          </w:p>
        </w:tc>
      </w:tr>
      <w:tr w:rsidR="00055832" w:rsidRPr="00354810" w:rsidTr="000A7711">
        <w:tc>
          <w:tcPr>
            <w:tcW w:w="2876" w:type="dxa"/>
            <w:tcBorders>
              <w:top w:val="nil"/>
              <w:bottom w:val="nil"/>
            </w:tcBorders>
            <w:shd w:val="clear" w:color="auto" w:fill="auto"/>
          </w:tcPr>
          <w:p w:rsidR="00055832" w:rsidRPr="00F0362D" w:rsidRDefault="00055832" w:rsidP="00F0362D">
            <w:pPr>
              <w:pStyle w:val="Tabletext"/>
              <w:ind w:left="284"/>
            </w:pPr>
            <w:r w:rsidRPr="00F0362D">
              <w:t>Veterinary studies</w:t>
            </w:r>
          </w:p>
        </w:tc>
        <w:tc>
          <w:tcPr>
            <w:tcW w:w="860" w:type="dxa"/>
            <w:tcBorders>
              <w:top w:val="nil"/>
              <w:bottom w:val="nil"/>
            </w:tcBorders>
          </w:tcPr>
          <w:p w:rsidR="00055832" w:rsidRPr="000A7711" w:rsidRDefault="008B565B" w:rsidP="000A7711">
            <w:pPr>
              <w:pStyle w:val="Tabletext"/>
              <w:tabs>
                <w:tab w:val="decimal" w:pos="397"/>
              </w:tabs>
            </w:pPr>
            <w:r w:rsidRPr="000A7711">
              <w:t>0</w:t>
            </w:r>
          </w:p>
        </w:tc>
        <w:tc>
          <w:tcPr>
            <w:tcW w:w="861" w:type="dxa"/>
            <w:tcBorders>
              <w:top w:val="nil"/>
              <w:bottom w:val="nil"/>
            </w:tcBorders>
          </w:tcPr>
          <w:p w:rsidR="00055832" w:rsidRPr="000A7711" w:rsidRDefault="00055832" w:rsidP="000A7711">
            <w:pPr>
              <w:pStyle w:val="Tabletext"/>
              <w:tabs>
                <w:tab w:val="decimal" w:pos="397"/>
              </w:tabs>
            </w:pPr>
            <w:r w:rsidRPr="000A7711">
              <w:t>22.3</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21.0*</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32.7</w:t>
            </w:r>
          </w:p>
        </w:tc>
        <w:tc>
          <w:tcPr>
            <w:tcW w:w="861" w:type="dxa"/>
            <w:tcBorders>
              <w:top w:val="nil"/>
              <w:bottom w:val="nil"/>
            </w:tcBorders>
          </w:tcPr>
          <w:p w:rsidR="00055832" w:rsidRPr="000A7711" w:rsidRDefault="0082675A" w:rsidP="000A7711">
            <w:pPr>
              <w:pStyle w:val="Tabletext"/>
              <w:tabs>
                <w:tab w:val="decimal" w:pos="397"/>
              </w:tabs>
            </w:pPr>
            <w:r w:rsidRPr="000A7711">
              <w:t>0</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24.3</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rPr>
                <w:bCs/>
              </w:rPr>
            </w:pPr>
            <w:r w:rsidRPr="00F0362D">
              <w:rPr>
                <w:bCs/>
              </w:rPr>
              <w:t>Education</w:t>
            </w:r>
          </w:p>
        </w:tc>
        <w:tc>
          <w:tcPr>
            <w:tcW w:w="860" w:type="dxa"/>
            <w:tcBorders>
              <w:top w:val="nil"/>
              <w:bottom w:val="nil"/>
            </w:tcBorders>
          </w:tcPr>
          <w:p w:rsidR="00055832" w:rsidRPr="000A7711" w:rsidRDefault="008B565B" w:rsidP="000A7711">
            <w:pPr>
              <w:pStyle w:val="Tabletext"/>
              <w:tabs>
                <w:tab w:val="decimal" w:pos="397"/>
              </w:tabs>
            </w:pPr>
            <w:r w:rsidRPr="000A7711">
              <w:t>0</w:t>
            </w:r>
          </w:p>
        </w:tc>
        <w:tc>
          <w:tcPr>
            <w:tcW w:w="861" w:type="dxa"/>
            <w:tcBorders>
              <w:top w:val="nil"/>
              <w:bottom w:val="nil"/>
            </w:tcBorders>
          </w:tcPr>
          <w:p w:rsidR="00055832" w:rsidRPr="000A7711" w:rsidRDefault="00055832" w:rsidP="000A7711">
            <w:pPr>
              <w:pStyle w:val="Tabletext"/>
              <w:tabs>
                <w:tab w:val="decimal" w:pos="397"/>
              </w:tabs>
            </w:pPr>
            <w:r w:rsidRPr="000A7711">
              <w:t>–</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21.4</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7.9</w:t>
            </w:r>
          </w:p>
        </w:tc>
        <w:tc>
          <w:tcPr>
            <w:tcW w:w="861" w:type="dxa"/>
            <w:tcBorders>
              <w:top w:val="nil"/>
              <w:bottom w:val="nil"/>
            </w:tcBorders>
          </w:tcPr>
          <w:p w:rsidR="00055832" w:rsidRPr="000A7711" w:rsidRDefault="00055832" w:rsidP="000A7711">
            <w:pPr>
              <w:pStyle w:val="Tabletext"/>
              <w:tabs>
                <w:tab w:val="decimal" w:pos="397"/>
              </w:tabs>
            </w:pPr>
            <w:r w:rsidRPr="000A7711">
              <w:t>3.5*</w:t>
            </w:r>
            <w:r w:rsidR="0082675A" w:rsidRPr="000A7711">
              <w:t>*</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8.5</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rPr>
                <w:bCs/>
              </w:rPr>
            </w:pPr>
            <w:r w:rsidRPr="00F0362D">
              <w:rPr>
                <w:bCs/>
              </w:rPr>
              <w:t>Management and commerce</w:t>
            </w:r>
          </w:p>
        </w:tc>
        <w:tc>
          <w:tcPr>
            <w:tcW w:w="860" w:type="dxa"/>
            <w:tcBorders>
              <w:top w:val="nil"/>
              <w:bottom w:val="nil"/>
            </w:tcBorders>
          </w:tcPr>
          <w:p w:rsidR="00055832" w:rsidRPr="000A7711" w:rsidRDefault="00055832" w:rsidP="000A7711">
            <w:pPr>
              <w:pStyle w:val="Tabletext"/>
              <w:tabs>
                <w:tab w:val="decimal" w:pos="397"/>
              </w:tabs>
            </w:pPr>
            <w:r w:rsidRPr="000A7711">
              <w:t>10.5*</w:t>
            </w:r>
          </w:p>
        </w:tc>
        <w:tc>
          <w:tcPr>
            <w:tcW w:w="861" w:type="dxa"/>
            <w:tcBorders>
              <w:top w:val="nil"/>
              <w:bottom w:val="nil"/>
            </w:tcBorders>
          </w:tcPr>
          <w:p w:rsidR="00055832" w:rsidRPr="000A7711" w:rsidRDefault="00055832" w:rsidP="000A7711">
            <w:pPr>
              <w:pStyle w:val="Tabletext"/>
              <w:tabs>
                <w:tab w:val="decimal" w:pos="397"/>
              </w:tabs>
            </w:pPr>
            <w:r w:rsidRPr="000A7711">
              <w:t>17.3</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23.2</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12.0</w:t>
            </w:r>
          </w:p>
        </w:tc>
        <w:tc>
          <w:tcPr>
            <w:tcW w:w="861" w:type="dxa"/>
            <w:tcBorders>
              <w:top w:val="nil"/>
              <w:bottom w:val="nil"/>
            </w:tcBorders>
          </w:tcPr>
          <w:p w:rsidR="00055832" w:rsidRPr="000A7711" w:rsidRDefault="00055832" w:rsidP="000A7711">
            <w:pPr>
              <w:pStyle w:val="Tabletext"/>
              <w:tabs>
                <w:tab w:val="decimal" w:pos="397"/>
              </w:tabs>
            </w:pPr>
            <w:r w:rsidRPr="000A7711">
              <w:t>11.9</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15.8</w:t>
            </w:r>
          </w:p>
        </w:tc>
      </w:tr>
      <w:tr w:rsidR="00055832" w:rsidRPr="00354810" w:rsidTr="000A7711">
        <w:tc>
          <w:tcPr>
            <w:tcW w:w="2876" w:type="dxa"/>
            <w:tcBorders>
              <w:top w:val="nil"/>
              <w:bottom w:val="nil"/>
            </w:tcBorders>
            <w:shd w:val="clear" w:color="auto" w:fill="auto"/>
          </w:tcPr>
          <w:p w:rsidR="00055832" w:rsidRPr="00F0362D" w:rsidRDefault="00055832" w:rsidP="00F0362D">
            <w:pPr>
              <w:pStyle w:val="Tabletext"/>
              <w:ind w:left="284"/>
            </w:pPr>
            <w:r w:rsidRPr="00F0362D">
              <w:t>Banking and finance</w:t>
            </w:r>
          </w:p>
        </w:tc>
        <w:tc>
          <w:tcPr>
            <w:tcW w:w="860" w:type="dxa"/>
            <w:tcBorders>
              <w:top w:val="nil"/>
              <w:bottom w:val="nil"/>
            </w:tcBorders>
          </w:tcPr>
          <w:p w:rsidR="00055832" w:rsidRPr="000A7711" w:rsidRDefault="008B565B" w:rsidP="000A7711">
            <w:pPr>
              <w:pStyle w:val="Tabletext"/>
              <w:tabs>
                <w:tab w:val="decimal" w:pos="397"/>
              </w:tabs>
            </w:pPr>
            <w:r w:rsidRPr="000A7711">
              <w:t>0</w:t>
            </w:r>
          </w:p>
        </w:tc>
        <w:tc>
          <w:tcPr>
            <w:tcW w:w="861" w:type="dxa"/>
            <w:tcBorders>
              <w:top w:val="nil"/>
              <w:bottom w:val="nil"/>
            </w:tcBorders>
          </w:tcPr>
          <w:p w:rsidR="00055832" w:rsidRPr="000A7711" w:rsidRDefault="008B565B" w:rsidP="000A7711">
            <w:pPr>
              <w:pStyle w:val="Tabletext"/>
              <w:tabs>
                <w:tab w:val="decimal" w:pos="397"/>
              </w:tabs>
            </w:pPr>
            <w:r w:rsidRPr="000A7711">
              <w:t>0</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17.1</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9.9</w:t>
            </w:r>
          </w:p>
        </w:tc>
        <w:tc>
          <w:tcPr>
            <w:tcW w:w="861" w:type="dxa"/>
            <w:tcBorders>
              <w:top w:val="nil"/>
              <w:bottom w:val="nil"/>
            </w:tcBorders>
          </w:tcPr>
          <w:p w:rsidR="00055832" w:rsidRPr="000A7711" w:rsidRDefault="00055832" w:rsidP="000A7711">
            <w:pPr>
              <w:pStyle w:val="Tabletext"/>
              <w:tabs>
                <w:tab w:val="decimal" w:pos="397"/>
              </w:tabs>
            </w:pPr>
            <w:r w:rsidRPr="000A7711">
              <w:t>12.2</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13.1</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rPr>
                <w:bCs/>
              </w:rPr>
            </w:pPr>
            <w:r w:rsidRPr="00F0362D">
              <w:rPr>
                <w:bCs/>
              </w:rPr>
              <w:t>Society and culture</w:t>
            </w:r>
          </w:p>
        </w:tc>
        <w:tc>
          <w:tcPr>
            <w:tcW w:w="860" w:type="dxa"/>
            <w:tcBorders>
              <w:top w:val="nil"/>
              <w:bottom w:val="nil"/>
            </w:tcBorders>
          </w:tcPr>
          <w:p w:rsidR="00055832" w:rsidRPr="000A7711" w:rsidRDefault="00055832" w:rsidP="000A7711">
            <w:pPr>
              <w:pStyle w:val="Tabletext"/>
              <w:tabs>
                <w:tab w:val="decimal" w:pos="397"/>
              </w:tabs>
            </w:pPr>
            <w:r w:rsidRPr="000A7711">
              <w:t>6.3**</w:t>
            </w:r>
          </w:p>
        </w:tc>
        <w:tc>
          <w:tcPr>
            <w:tcW w:w="861" w:type="dxa"/>
            <w:tcBorders>
              <w:top w:val="nil"/>
              <w:bottom w:val="nil"/>
            </w:tcBorders>
          </w:tcPr>
          <w:p w:rsidR="00055832" w:rsidRPr="000A7711" w:rsidRDefault="00055832" w:rsidP="000A7711">
            <w:pPr>
              <w:pStyle w:val="Tabletext"/>
              <w:tabs>
                <w:tab w:val="decimal" w:pos="397"/>
              </w:tabs>
            </w:pPr>
            <w:r w:rsidRPr="000A7711">
              <w:t>11.5</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20.9</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13.8</w:t>
            </w:r>
          </w:p>
        </w:tc>
        <w:tc>
          <w:tcPr>
            <w:tcW w:w="861" w:type="dxa"/>
            <w:tcBorders>
              <w:top w:val="nil"/>
              <w:bottom w:val="nil"/>
            </w:tcBorders>
          </w:tcPr>
          <w:p w:rsidR="00055832" w:rsidRPr="000A7711" w:rsidRDefault="00055832" w:rsidP="000A7711">
            <w:pPr>
              <w:pStyle w:val="Tabletext"/>
              <w:tabs>
                <w:tab w:val="decimal" w:pos="397"/>
              </w:tabs>
            </w:pPr>
            <w:r w:rsidRPr="000A7711">
              <w:t>15.8</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17.1</w:t>
            </w:r>
          </w:p>
        </w:tc>
      </w:tr>
      <w:tr w:rsidR="00055832" w:rsidRPr="00354810" w:rsidTr="000A7711">
        <w:tc>
          <w:tcPr>
            <w:tcW w:w="2876" w:type="dxa"/>
            <w:tcBorders>
              <w:top w:val="nil"/>
              <w:bottom w:val="nil"/>
            </w:tcBorders>
            <w:shd w:val="clear" w:color="auto" w:fill="auto"/>
          </w:tcPr>
          <w:p w:rsidR="00055832" w:rsidRPr="00F0362D" w:rsidRDefault="00055832" w:rsidP="00B65A93">
            <w:pPr>
              <w:pStyle w:val="Tabletext"/>
              <w:rPr>
                <w:bCs/>
              </w:rPr>
            </w:pPr>
            <w:r w:rsidRPr="00F0362D">
              <w:rPr>
                <w:bCs/>
              </w:rPr>
              <w:t>Creative arts</w:t>
            </w:r>
          </w:p>
        </w:tc>
        <w:tc>
          <w:tcPr>
            <w:tcW w:w="860" w:type="dxa"/>
            <w:tcBorders>
              <w:top w:val="nil"/>
              <w:bottom w:val="nil"/>
            </w:tcBorders>
          </w:tcPr>
          <w:p w:rsidR="00055832" w:rsidRPr="000A7711" w:rsidRDefault="00275EE1" w:rsidP="000A7711">
            <w:pPr>
              <w:pStyle w:val="Tabletext"/>
              <w:tabs>
                <w:tab w:val="decimal" w:pos="397"/>
              </w:tabs>
            </w:pPr>
            <w:r w:rsidRPr="000A7711">
              <w:t>0</w:t>
            </w:r>
          </w:p>
        </w:tc>
        <w:tc>
          <w:tcPr>
            <w:tcW w:w="861" w:type="dxa"/>
            <w:tcBorders>
              <w:top w:val="nil"/>
              <w:bottom w:val="nil"/>
            </w:tcBorders>
          </w:tcPr>
          <w:p w:rsidR="00055832" w:rsidRPr="000A7711" w:rsidRDefault="00055832" w:rsidP="000A7711">
            <w:pPr>
              <w:pStyle w:val="Tabletext"/>
              <w:tabs>
                <w:tab w:val="decimal" w:pos="397"/>
              </w:tabs>
            </w:pPr>
            <w:r w:rsidRPr="000A7711">
              <w:t>20.5</w:t>
            </w:r>
          </w:p>
        </w:tc>
        <w:tc>
          <w:tcPr>
            <w:tcW w:w="861" w:type="dxa"/>
            <w:tcBorders>
              <w:top w:val="nil"/>
              <w:bottom w:val="nil"/>
            </w:tcBorders>
            <w:shd w:val="clear" w:color="auto" w:fill="auto"/>
          </w:tcPr>
          <w:p w:rsidR="00055832" w:rsidRPr="000A7711" w:rsidRDefault="00055832" w:rsidP="000A7711">
            <w:pPr>
              <w:pStyle w:val="Tabletext"/>
              <w:tabs>
                <w:tab w:val="decimal" w:pos="397"/>
              </w:tabs>
            </w:pPr>
            <w:r w:rsidRPr="000A7711">
              <w:t>15.6</w:t>
            </w:r>
          </w:p>
        </w:tc>
        <w:tc>
          <w:tcPr>
            <w:tcW w:w="860" w:type="dxa"/>
            <w:tcBorders>
              <w:top w:val="nil"/>
              <w:bottom w:val="nil"/>
            </w:tcBorders>
            <w:shd w:val="clear" w:color="auto" w:fill="auto"/>
          </w:tcPr>
          <w:p w:rsidR="00055832" w:rsidRPr="000A7711" w:rsidRDefault="00055832" w:rsidP="000A7711">
            <w:pPr>
              <w:pStyle w:val="Tabletext"/>
              <w:tabs>
                <w:tab w:val="decimal" w:pos="397"/>
              </w:tabs>
            </w:pPr>
            <w:r w:rsidRPr="000A7711">
              <w:t>10.2</w:t>
            </w:r>
          </w:p>
        </w:tc>
        <w:tc>
          <w:tcPr>
            <w:tcW w:w="861" w:type="dxa"/>
            <w:tcBorders>
              <w:top w:val="nil"/>
              <w:bottom w:val="nil"/>
            </w:tcBorders>
          </w:tcPr>
          <w:p w:rsidR="00055832" w:rsidRPr="000A7711" w:rsidRDefault="00055832" w:rsidP="000A7711">
            <w:pPr>
              <w:pStyle w:val="Tabletext"/>
              <w:tabs>
                <w:tab w:val="decimal" w:pos="397"/>
              </w:tabs>
            </w:pPr>
            <w:r w:rsidRPr="000A7711">
              <w:t>25.3</w:t>
            </w:r>
          </w:p>
        </w:tc>
        <w:tc>
          <w:tcPr>
            <w:tcW w:w="861" w:type="dxa"/>
            <w:tcBorders>
              <w:top w:val="nil"/>
              <w:bottom w:val="nil"/>
            </w:tcBorders>
          </w:tcPr>
          <w:p w:rsidR="00055832" w:rsidRPr="000A7711" w:rsidRDefault="00055832" w:rsidP="000A7711">
            <w:pPr>
              <w:pStyle w:val="Tabletext"/>
              <w:tabs>
                <w:tab w:val="decimal" w:pos="397"/>
              </w:tabs>
              <w:rPr>
                <w:b/>
              </w:rPr>
            </w:pPr>
            <w:r w:rsidRPr="000A7711">
              <w:rPr>
                <w:b/>
              </w:rPr>
              <w:t>18.4</w:t>
            </w:r>
          </w:p>
        </w:tc>
      </w:tr>
      <w:tr w:rsidR="00055832" w:rsidRPr="00354810" w:rsidTr="000A7711">
        <w:tc>
          <w:tcPr>
            <w:tcW w:w="2876" w:type="dxa"/>
            <w:tcBorders>
              <w:top w:val="nil"/>
              <w:bottom w:val="dashed" w:sz="4" w:space="0" w:color="auto"/>
            </w:tcBorders>
            <w:shd w:val="clear" w:color="auto" w:fill="auto"/>
          </w:tcPr>
          <w:p w:rsidR="00055832" w:rsidRPr="00F0362D" w:rsidRDefault="00055832" w:rsidP="00B65A93">
            <w:pPr>
              <w:pStyle w:val="Tabletext"/>
              <w:rPr>
                <w:bCs/>
              </w:rPr>
            </w:pPr>
            <w:r w:rsidRPr="00F0362D">
              <w:rPr>
                <w:bCs/>
              </w:rPr>
              <w:t>Food, hospitality and personal services</w:t>
            </w:r>
          </w:p>
        </w:tc>
        <w:tc>
          <w:tcPr>
            <w:tcW w:w="860" w:type="dxa"/>
            <w:tcBorders>
              <w:top w:val="nil"/>
              <w:bottom w:val="dashed" w:sz="4" w:space="0" w:color="auto"/>
            </w:tcBorders>
          </w:tcPr>
          <w:p w:rsidR="00055832" w:rsidRPr="000A7711" w:rsidRDefault="00055832" w:rsidP="000A7711">
            <w:pPr>
              <w:pStyle w:val="Tabletext"/>
              <w:tabs>
                <w:tab w:val="decimal" w:pos="397"/>
              </w:tabs>
            </w:pPr>
            <w:r w:rsidRPr="000A7711">
              <w:t>14.5</w:t>
            </w:r>
            <w:r w:rsidR="0082675A" w:rsidRPr="000A7711">
              <w:t>**</w:t>
            </w:r>
          </w:p>
        </w:tc>
        <w:tc>
          <w:tcPr>
            <w:tcW w:w="861" w:type="dxa"/>
            <w:tcBorders>
              <w:top w:val="nil"/>
              <w:bottom w:val="dashed" w:sz="4" w:space="0" w:color="auto"/>
            </w:tcBorders>
          </w:tcPr>
          <w:p w:rsidR="00055832" w:rsidRPr="000A7711" w:rsidRDefault="00055832" w:rsidP="000A7711">
            <w:pPr>
              <w:pStyle w:val="Tabletext"/>
              <w:tabs>
                <w:tab w:val="decimal" w:pos="397"/>
              </w:tabs>
            </w:pPr>
            <w:r w:rsidRPr="000A7711">
              <w:t>15.4</w:t>
            </w:r>
          </w:p>
        </w:tc>
        <w:tc>
          <w:tcPr>
            <w:tcW w:w="861" w:type="dxa"/>
            <w:tcBorders>
              <w:top w:val="nil"/>
              <w:bottom w:val="dashed" w:sz="4" w:space="0" w:color="auto"/>
            </w:tcBorders>
            <w:shd w:val="clear" w:color="auto" w:fill="auto"/>
          </w:tcPr>
          <w:p w:rsidR="00055832" w:rsidRPr="000A7711" w:rsidRDefault="00055832" w:rsidP="000A7711">
            <w:pPr>
              <w:pStyle w:val="Tabletext"/>
              <w:tabs>
                <w:tab w:val="decimal" w:pos="397"/>
              </w:tabs>
            </w:pPr>
            <w:r w:rsidRPr="000A7711">
              <w:t>25.8</w:t>
            </w:r>
          </w:p>
        </w:tc>
        <w:tc>
          <w:tcPr>
            <w:tcW w:w="860" w:type="dxa"/>
            <w:tcBorders>
              <w:top w:val="nil"/>
              <w:bottom w:val="dashed" w:sz="4" w:space="0" w:color="auto"/>
            </w:tcBorders>
            <w:shd w:val="clear" w:color="auto" w:fill="auto"/>
          </w:tcPr>
          <w:p w:rsidR="00055832" w:rsidRPr="000A7711" w:rsidRDefault="00055832" w:rsidP="000A7711">
            <w:pPr>
              <w:pStyle w:val="Tabletext"/>
              <w:tabs>
                <w:tab w:val="decimal" w:pos="397"/>
              </w:tabs>
            </w:pPr>
            <w:r w:rsidRPr="000A7711">
              <w:t>16.2</w:t>
            </w:r>
          </w:p>
        </w:tc>
        <w:tc>
          <w:tcPr>
            <w:tcW w:w="861" w:type="dxa"/>
            <w:tcBorders>
              <w:top w:val="nil"/>
              <w:bottom w:val="dashed" w:sz="4" w:space="0" w:color="auto"/>
            </w:tcBorders>
          </w:tcPr>
          <w:p w:rsidR="00055832" w:rsidRPr="000A7711" w:rsidRDefault="00055832" w:rsidP="000A7711">
            <w:pPr>
              <w:pStyle w:val="Tabletext"/>
              <w:tabs>
                <w:tab w:val="decimal" w:pos="397"/>
              </w:tabs>
            </w:pPr>
            <w:r w:rsidRPr="000A7711">
              <w:t>22.4</w:t>
            </w:r>
          </w:p>
        </w:tc>
        <w:tc>
          <w:tcPr>
            <w:tcW w:w="861" w:type="dxa"/>
            <w:tcBorders>
              <w:top w:val="nil"/>
              <w:bottom w:val="dashed" w:sz="4" w:space="0" w:color="auto"/>
            </w:tcBorders>
          </w:tcPr>
          <w:p w:rsidR="00055832" w:rsidRPr="000A7711" w:rsidRDefault="00055832" w:rsidP="000A7711">
            <w:pPr>
              <w:pStyle w:val="Tabletext"/>
              <w:tabs>
                <w:tab w:val="decimal" w:pos="397"/>
              </w:tabs>
              <w:rPr>
                <w:b/>
              </w:rPr>
            </w:pPr>
            <w:r w:rsidRPr="000A7711">
              <w:rPr>
                <w:b/>
              </w:rPr>
              <w:t>20.9</w:t>
            </w:r>
          </w:p>
        </w:tc>
      </w:tr>
      <w:tr w:rsidR="00055832" w:rsidRPr="00354810" w:rsidTr="000A7711">
        <w:tc>
          <w:tcPr>
            <w:tcW w:w="2876" w:type="dxa"/>
            <w:tcBorders>
              <w:top w:val="dashed" w:sz="4" w:space="0" w:color="auto"/>
              <w:bottom w:val="single" w:sz="4" w:space="0" w:color="auto"/>
            </w:tcBorders>
            <w:shd w:val="clear" w:color="auto" w:fill="auto"/>
          </w:tcPr>
          <w:p w:rsidR="00055832" w:rsidRPr="00F0362D" w:rsidRDefault="00055832" w:rsidP="00B65A93">
            <w:pPr>
              <w:pStyle w:val="Tabletext"/>
            </w:pPr>
            <w:r w:rsidRPr="00F0362D">
              <w:t>All fields</w:t>
            </w:r>
          </w:p>
        </w:tc>
        <w:tc>
          <w:tcPr>
            <w:tcW w:w="860" w:type="dxa"/>
            <w:tcBorders>
              <w:top w:val="dashed" w:sz="4" w:space="0" w:color="auto"/>
              <w:bottom w:val="single" w:sz="4" w:space="0" w:color="auto"/>
            </w:tcBorders>
          </w:tcPr>
          <w:p w:rsidR="00055832" w:rsidRPr="000A7711" w:rsidRDefault="00055832" w:rsidP="000A7711">
            <w:pPr>
              <w:pStyle w:val="Tabletext"/>
              <w:tabs>
                <w:tab w:val="decimal" w:pos="397"/>
              </w:tabs>
              <w:rPr>
                <w:b/>
              </w:rPr>
            </w:pPr>
            <w:r w:rsidRPr="000A7711">
              <w:rPr>
                <w:b/>
              </w:rPr>
              <w:t>11.1</w:t>
            </w:r>
          </w:p>
        </w:tc>
        <w:tc>
          <w:tcPr>
            <w:tcW w:w="861" w:type="dxa"/>
            <w:tcBorders>
              <w:top w:val="dashed" w:sz="4" w:space="0" w:color="auto"/>
              <w:bottom w:val="single" w:sz="4" w:space="0" w:color="auto"/>
            </w:tcBorders>
          </w:tcPr>
          <w:p w:rsidR="00055832" w:rsidRPr="000A7711" w:rsidRDefault="00055832" w:rsidP="000A7711">
            <w:pPr>
              <w:pStyle w:val="Tabletext"/>
              <w:tabs>
                <w:tab w:val="decimal" w:pos="397"/>
              </w:tabs>
              <w:rPr>
                <w:b/>
              </w:rPr>
            </w:pPr>
            <w:r w:rsidRPr="000A7711">
              <w:rPr>
                <w:b/>
              </w:rPr>
              <w:t>14.6</w:t>
            </w:r>
          </w:p>
        </w:tc>
        <w:tc>
          <w:tcPr>
            <w:tcW w:w="861" w:type="dxa"/>
            <w:tcBorders>
              <w:top w:val="dashed" w:sz="4" w:space="0" w:color="auto"/>
              <w:bottom w:val="single" w:sz="4" w:space="0" w:color="auto"/>
            </w:tcBorders>
            <w:shd w:val="clear" w:color="auto" w:fill="auto"/>
          </w:tcPr>
          <w:p w:rsidR="00055832" w:rsidRPr="000A7711" w:rsidRDefault="00055832" w:rsidP="000A7711">
            <w:pPr>
              <w:pStyle w:val="Tabletext"/>
              <w:tabs>
                <w:tab w:val="decimal" w:pos="397"/>
              </w:tabs>
              <w:rPr>
                <w:b/>
              </w:rPr>
            </w:pPr>
            <w:r w:rsidRPr="000A7711">
              <w:rPr>
                <w:b/>
              </w:rPr>
              <w:t>22.2</w:t>
            </w:r>
          </w:p>
        </w:tc>
        <w:tc>
          <w:tcPr>
            <w:tcW w:w="860" w:type="dxa"/>
            <w:tcBorders>
              <w:top w:val="dashed" w:sz="4" w:space="0" w:color="auto"/>
              <w:bottom w:val="single" w:sz="4" w:space="0" w:color="auto"/>
            </w:tcBorders>
            <w:shd w:val="clear" w:color="auto" w:fill="auto"/>
          </w:tcPr>
          <w:p w:rsidR="00055832" w:rsidRPr="000A7711" w:rsidRDefault="00055832" w:rsidP="000A7711">
            <w:pPr>
              <w:pStyle w:val="Tabletext"/>
              <w:tabs>
                <w:tab w:val="decimal" w:pos="397"/>
              </w:tabs>
              <w:rPr>
                <w:b/>
              </w:rPr>
            </w:pPr>
            <w:r w:rsidRPr="000A7711">
              <w:rPr>
                <w:b/>
              </w:rPr>
              <w:t>12.3</w:t>
            </w:r>
          </w:p>
        </w:tc>
        <w:tc>
          <w:tcPr>
            <w:tcW w:w="861" w:type="dxa"/>
            <w:tcBorders>
              <w:top w:val="dashed" w:sz="4" w:space="0" w:color="auto"/>
              <w:bottom w:val="single" w:sz="4" w:space="0" w:color="auto"/>
            </w:tcBorders>
          </w:tcPr>
          <w:p w:rsidR="00055832" w:rsidRPr="000A7711" w:rsidRDefault="00055832" w:rsidP="000A7711">
            <w:pPr>
              <w:pStyle w:val="Tabletext"/>
              <w:tabs>
                <w:tab w:val="decimal" w:pos="397"/>
              </w:tabs>
              <w:rPr>
                <w:b/>
              </w:rPr>
            </w:pPr>
            <w:r w:rsidRPr="000A7711">
              <w:rPr>
                <w:b/>
              </w:rPr>
              <w:t>16.6</w:t>
            </w:r>
          </w:p>
        </w:tc>
        <w:tc>
          <w:tcPr>
            <w:tcW w:w="861" w:type="dxa"/>
            <w:tcBorders>
              <w:top w:val="dashed" w:sz="4" w:space="0" w:color="auto"/>
              <w:bottom w:val="single" w:sz="4" w:space="0" w:color="auto"/>
            </w:tcBorders>
          </w:tcPr>
          <w:p w:rsidR="00055832" w:rsidRPr="000A7711" w:rsidRDefault="00055832" w:rsidP="000A7711">
            <w:pPr>
              <w:pStyle w:val="Tabletext"/>
              <w:tabs>
                <w:tab w:val="decimal" w:pos="397"/>
              </w:tabs>
              <w:rPr>
                <w:b/>
              </w:rPr>
            </w:pPr>
            <w:r w:rsidRPr="000A7711">
              <w:rPr>
                <w:b/>
              </w:rPr>
              <w:t>17.3</w:t>
            </w:r>
          </w:p>
        </w:tc>
      </w:tr>
    </w:tbl>
    <w:p w:rsidR="00610C60" w:rsidRPr="00F0362D" w:rsidRDefault="00055832" w:rsidP="00F0362D">
      <w:pPr>
        <w:pStyle w:val="Source"/>
      </w:pPr>
      <w:r>
        <w:t>Notes</w:t>
      </w:r>
      <w:r>
        <w:tab/>
      </w:r>
      <w:r w:rsidRPr="00F0362D">
        <w:t xml:space="preserve">Blank cells indicate a zero sample size. </w:t>
      </w:r>
      <w:r w:rsidR="00F0362D">
        <w:br/>
      </w:r>
      <w:r w:rsidRPr="00F0362D">
        <w:t>* Relative standard error &gt; 25%. ** Relative standard er</w:t>
      </w:r>
      <w:r w:rsidR="00610C60" w:rsidRPr="00F0362D">
        <w:t>ror &gt; 50% or cell sample size &lt;</w:t>
      </w:r>
      <w:r w:rsidRPr="00F0362D">
        <w:t>10</w:t>
      </w:r>
      <w:r w:rsidR="00610C60" w:rsidRPr="00F0362D">
        <w:t>.</w:t>
      </w:r>
    </w:p>
    <w:p w:rsidR="00610C60" w:rsidRDefault="00610C60" w:rsidP="00F0362D">
      <w:pPr>
        <w:pStyle w:val="Source"/>
      </w:pPr>
      <w:proofErr w:type="gramStart"/>
      <w:r w:rsidRPr="00F0362D">
        <w:t>Source</w:t>
      </w:r>
      <w:r w:rsidRPr="00F0362D">
        <w:tab/>
        <w:t>NCVER</w:t>
      </w:r>
      <w:r>
        <w:t xml:space="preserve"> (2011).</w:t>
      </w:r>
      <w:proofErr w:type="gramEnd"/>
    </w:p>
    <w:p w:rsidR="00055832" w:rsidRPr="0003300C" w:rsidRDefault="00144C77" w:rsidP="00F0362D">
      <w:pPr>
        <w:pStyle w:val="Textmorebefore"/>
      </w:pPr>
      <w:r>
        <w:t>The rel</w:t>
      </w:r>
      <w:r w:rsidR="00610C60">
        <w:t xml:space="preserve">evant </w:t>
      </w:r>
      <w:r>
        <w:t>chapter in the support</w:t>
      </w:r>
      <w:r w:rsidR="00610C60">
        <w:t xml:space="preserve"> </w:t>
      </w:r>
      <w:r>
        <w:t xml:space="preserve">document </w:t>
      </w:r>
      <w:r w:rsidR="00610C60">
        <w:t>contains</w:t>
      </w:r>
      <w:r>
        <w:t xml:space="preserve"> additional tables and discussion</w:t>
      </w:r>
      <w:r w:rsidR="00610C60">
        <w:t>,</w:t>
      </w:r>
      <w:r>
        <w:t xml:space="preserve"> including tables </w:t>
      </w:r>
      <w:r w:rsidR="00610C60">
        <w:t>showing the</w:t>
      </w:r>
      <w:r>
        <w:t xml:space="preserve"> predicted probabilities </w:t>
      </w:r>
      <w:r w:rsidR="0003300C">
        <w:t>of employment and further study after graduation</w:t>
      </w:r>
      <w:r w:rsidR="00610C60">
        <w:t>,</w:t>
      </w:r>
      <w:r w:rsidR="0003300C">
        <w:t xml:space="preserve"> </w:t>
      </w:r>
      <w:r>
        <w:t xml:space="preserve">controlling for </w:t>
      </w:r>
      <w:r w:rsidR="0003300C" w:rsidRPr="0003300C">
        <w:t>field, sex and previous employment status</w:t>
      </w:r>
      <w:r w:rsidR="0003300C">
        <w:t>. T</w:t>
      </w:r>
      <w:r w:rsidR="0003300C" w:rsidRPr="0003300C">
        <w:t xml:space="preserve">he results </w:t>
      </w:r>
      <w:r w:rsidR="0003300C">
        <w:t xml:space="preserve">suggest </w:t>
      </w:r>
      <w:r w:rsidR="0003300C" w:rsidRPr="0003300C">
        <w:t>that qualifications at diploma and high</w:t>
      </w:r>
      <w:r w:rsidR="00E613A2">
        <w:t xml:space="preserve">er levels are, </w:t>
      </w:r>
      <w:r w:rsidR="00610C60">
        <w:t>by</w:t>
      </w:r>
      <w:r w:rsidR="00E613A2">
        <w:t xml:space="preserve"> comparison with</w:t>
      </w:r>
      <w:r w:rsidR="0003300C" w:rsidRPr="0003300C">
        <w:t xml:space="preserve"> other qualification levels, particularly useful for young people</w:t>
      </w:r>
      <w:r w:rsidR="00610C60">
        <w:t>,</w:t>
      </w:r>
      <w:r w:rsidR="0003300C" w:rsidRPr="0003300C">
        <w:t xml:space="preserve"> both </w:t>
      </w:r>
      <w:r w:rsidR="00610C60">
        <w:t xml:space="preserve">for </w:t>
      </w:r>
      <w:r w:rsidR="0003300C" w:rsidRPr="0003300C">
        <w:t>accessing higher education and moving to more highly skilled work</w:t>
      </w:r>
      <w:r w:rsidR="00E613A2">
        <w:t xml:space="preserve">. </w:t>
      </w:r>
    </w:p>
    <w:p w:rsidR="00E613A2" w:rsidRDefault="00610C60" w:rsidP="00E613A2">
      <w:pPr>
        <w:pStyle w:val="Heading2"/>
      </w:pPr>
      <w:bookmarkStart w:id="46" w:name="_Toc370199898"/>
      <w:r>
        <w:t>Survey of Education and W</w:t>
      </w:r>
      <w:r w:rsidR="00E613A2">
        <w:t>ork 1998</w:t>
      </w:r>
      <w:r w:rsidR="005E2025">
        <w:t>–</w:t>
      </w:r>
      <w:r w:rsidR="00E613A2">
        <w:t>2012</w:t>
      </w:r>
      <w:bookmarkEnd w:id="46"/>
    </w:p>
    <w:p w:rsidR="00E613A2" w:rsidRDefault="00BB09A3" w:rsidP="002D0C0B">
      <w:pPr>
        <w:pStyle w:val="Text"/>
      </w:pPr>
      <w:proofErr w:type="gramStart"/>
      <w:r>
        <w:t xml:space="preserve">The </w:t>
      </w:r>
      <w:r w:rsidR="00610C60">
        <w:t>ABS</w:t>
      </w:r>
      <w:r>
        <w:t xml:space="preserve"> </w:t>
      </w:r>
      <w:r w:rsidR="002F5425">
        <w:t xml:space="preserve">Survey of Education and Work </w:t>
      </w:r>
      <w:r>
        <w:t>reports, amongst other things, people</w:t>
      </w:r>
      <w:r w:rsidR="009120B1">
        <w:t>’s</w:t>
      </w:r>
      <w:r>
        <w:t xml:space="preserve"> occupation by their highest level of qualification.</w:t>
      </w:r>
      <w:proofErr w:type="gramEnd"/>
      <w:r>
        <w:t xml:space="preserve"> This is analysed in some detail in the supporting document. In summary, these data </w:t>
      </w:r>
      <w:r w:rsidRPr="00BB09A3">
        <w:t xml:space="preserve">do not provide strong evidence that people whose highest qualification is a bachelor degree are </w:t>
      </w:r>
      <w:r w:rsidR="00610C60">
        <w:t>being employed at lower-</w:t>
      </w:r>
      <w:r w:rsidR="006326B6">
        <w:t>level occupations</w:t>
      </w:r>
      <w:r w:rsidR="00BB5B2F">
        <w:t xml:space="preserve">. Neither do they provide strong evidence that people whose highest qualification is a bachelor </w:t>
      </w:r>
      <w:r w:rsidR="00610C60">
        <w:t xml:space="preserve">degree </w:t>
      </w:r>
      <w:r w:rsidR="006326B6">
        <w:t xml:space="preserve">are </w:t>
      </w:r>
      <w:r w:rsidRPr="00BB09A3">
        <w:t xml:space="preserve">displacing people whose highest qualification is a diploma or advanced diploma in </w:t>
      </w:r>
      <w:r w:rsidR="00BB5B2F">
        <w:t xml:space="preserve">employment in </w:t>
      </w:r>
      <w:r w:rsidRPr="00BB09A3">
        <w:t>ma</w:t>
      </w:r>
      <w:r w:rsidR="00610C60">
        <w:t>nagement, professional or lower-</w:t>
      </w:r>
      <w:r w:rsidRPr="00BB09A3">
        <w:t>level occupations</w:t>
      </w:r>
      <w:r>
        <w:t xml:space="preserve">. </w:t>
      </w:r>
      <w:r w:rsidR="00677A50">
        <w:t xml:space="preserve">This may be because some people working </w:t>
      </w:r>
      <w:r w:rsidR="00BE7F60">
        <w:t xml:space="preserve">in these occupations held a diploma and subsequently upgraded it to a bachelor degree. </w:t>
      </w:r>
      <w:r w:rsidR="006326B6">
        <w:t xml:space="preserve">Figure 1 shows the proportions of people </w:t>
      </w:r>
      <w:r w:rsidR="009120B1">
        <w:t xml:space="preserve">employed as managers or professionals </w:t>
      </w:r>
      <w:r w:rsidR="006326B6">
        <w:t>whose highest qualification was a baccalaureate and people whose highest qualification was a diploma or advanced diploma</w:t>
      </w:r>
      <w:r w:rsidR="00610C60">
        <w:t>,</w:t>
      </w:r>
      <w:r w:rsidR="006326B6">
        <w:t xml:space="preserve"> from 1998 to 2012. </w:t>
      </w:r>
      <w:r w:rsidR="00BE7F60">
        <w:t xml:space="preserve">Many diplomas and advanced diplomas </w:t>
      </w:r>
      <w:r w:rsidR="008814A2">
        <w:t xml:space="preserve">prepare graduates as </w:t>
      </w:r>
      <w:r w:rsidR="00610C60">
        <w:t>paraprofessionals,</w:t>
      </w:r>
      <w:r w:rsidR="00BE7F60">
        <w:t xml:space="preserve"> so the modest </w:t>
      </w:r>
      <w:r w:rsidR="00610C60">
        <w:t>proportions shown in f</w:t>
      </w:r>
      <w:r w:rsidR="00BE7F60">
        <w:t xml:space="preserve">igure 1 of </w:t>
      </w:r>
      <w:r w:rsidR="00BE7F60">
        <w:lastRenderedPageBreak/>
        <w:t xml:space="preserve">people whose highest qualification is an (advanced) diploma </w:t>
      </w:r>
      <w:r w:rsidR="00BA770F">
        <w:t xml:space="preserve">and who are </w:t>
      </w:r>
      <w:r w:rsidR="00BE7F60">
        <w:t>employed as managers or professionals</w:t>
      </w:r>
      <w:r w:rsidR="009120B1">
        <w:t xml:space="preserve"> might be expected</w:t>
      </w:r>
      <w:r w:rsidR="00BE7F60">
        <w:t xml:space="preserve">. </w:t>
      </w:r>
      <w:r w:rsidR="006326B6">
        <w:t>It will be noted that t</w:t>
      </w:r>
      <w:r w:rsidRPr="00BB09A3">
        <w:t>he proportion of diploma and advanced diploma graduates employed as managers or professionals has fallen since 2010 and the proportion of bachelor graduates employed in the top two occupations fell from 2011 to 2012, but these changes are within historical trends. Bachelor graduates may be displacing diploma graduates in the workforce, b</w:t>
      </w:r>
      <w:r w:rsidR="009120B1">
        <w:t>ut data from future Surveys of Education and W</w:t>
      </w:r>
      <w:r w:rsidRPr="00BB09A3">
        <w:t xml:space="preserve">ork will be needed to confirm this. </w:t>
      </w:r>
    </w:p>
    <w:p w:rsidR="00E613A2" w:rsidRPr="006326B6" w:rsidRDefault="006326B6" w:rsidP="000A7711">
      <w:pPr>
        <w:pStyle w:val="Figuretitle"/>
        <w:ind w:right="-143"/>
      </w:pPr>
      <w:bookmarkStart w:id="47" w:name="_Toc350011320"/>
      <w:bookmarkStart w:id="48" w:name="_Toc369273535"/>
      <w:r>
        <w:t>Figure 1</w:t>
      </w:r>
      <w:r w:rsidR="000A7711">
        <w:tab/>
      </w:r>
      <w:r w:rsidR="007B4FA2" w:rsidRPr="006326B6">
        <w:t xml:space="preserve">Percentage </w:t>
      </w:r>
      <w:r w:rsidRPr="006326B6">
        <w:t xml:space="preserve">of people whose highest qualification was bachelor or whose highest qualification was a diploma or advanced diploma employed as </w:t>
      </w:r>
      <w:r w:rsidR="00610C60">
        <w:t>managers or professionals, 1998–</w:t>
      </w:r>
      <w:r w:rsidRPr="006326B6">
        <w:t>2012</w:t>
      </w:r>
      <w:bookmarkEnd w:id="47"/>
      <w:bookmarkEnd w:id="48"/>
    </w:p>
    <w:p w:rsidR="00855CE0" w:rsidRDefault="001E00D3" w:rsidP="005E491F">
      <w:pPr>
        <w:pStyle w:val="Source"/>
      </w:pPr>
      <w:r>
        <w:rPr>
          <w:noProof/>
          <w:lang w:eastAsia="en-AU"/>
        </w:rPr>
        <w:drawing>
          <wp:inline distT="0" distB="0" distL="0" distR="0">
            <wp:extent cx="4980940" cy="30607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4980940" cy="3060700"/>
                    </a:xfrm>
                    <a:prstGeom prst="rect">
                      <a:avLst/>
                    </a:prstGeom>
                    <a:noFill/>
                  </pic:spPr>
                </pic:pic>
              </a:graphicData>
            </a:graphic>
          </wp:inline>
        </w:drawing>
      </w:r>
    </w:p>
    <w:p w:rsidR="006326B6" w:rsidRPr="005E491F" w:rsidRDefault="005E491F" w:rsidP="000A7711">
      <w:pPr>
        <w:pStyle w:val="Source"/>
      </w:pPr>
      <w:r w:rsidRPr="005E491F">
        <w:t>Source:</w:t>
      </w:r>
      <w:r w:rsidR="000A7711">
        <w:tab/>
      </w:r>
      <w:r w:rsidR="00BA770F">
        <w:t>ABS</w:t>
      </w:r>
      <w:r w:rsidRPr="005E491F">
        <w:t xml:space="preserve"> (2012</w:t>
      </w:r>
      <w:r w:rsidR="00BA770F">
        <w:t>,</w:t>
      </w:r>
      <w:r w:rsidRPr="005E491F">
        <w:t xml:space="preserve"> </w:t>
      </w:r>
      <w:r w:rsidR="00BA770F">
        <w:t>t</w:t>
      </w:r>
      <w:r w:rsidRPr="005E491F">
        <w:t>able 11</w:t>
      </w:r>
      <w:r w:rsidR="00BA770F">
        <w:t>)</w:t>
      </w:r>
      <w:r w:rsidRPr="005E491F">
        <w:t>.</w:t>
      </w:r>
      <w:r w:rsidR="00610C60">
        <w:t xml:space="preserve"> </w:t>
      </w:r>
    </w:p>
    <w:p w:rsidR="00E613A2" w:rsidRDefault="00E613A2" w:rsidP="00BA770F">
      <w:pPr>
        <w:pStyle w:val="Heading2"/>
        <w:tabs>
          <w:tab w:val="left" w:pos="2970"/>
        </w:tabs>
      </w:pPr>
      <w:bookmarkStart w:id="49" w:name="_Toc370199899"/>
      <w:r>
        <w:t>Conclusion</w:t>
      </w:r>
      <w:bookmarkEnd w:id="49"/>
    </w:p>
    <w:p w:rsidR="004B0FC9" w:rsidRDefault="00E82BCE" w:rsidP="002D0C0B">
      <w:pPr>
        <w:pStyle w:val="Text"/>
      </w:pPr>
      <w:r>
        <w:t>Previous reviews of enrolment data and th</w:t>
      </w:r>
      <w:r w:rsidR="005E491F">
        <w:t xml:space="preserve">is review of data from the NCVER’s </w:t>
      </w:r>
      <w:r w:rsidR="00E4794D">
        <w:t>Student Outcomes Survey</w:t>
      </w:r>
      <w:r w:rsidR="005E491F">
        <w:t xml:space="preserve"> and from the </w:t>
      </w:r>
      <w:r w:rsidR="005A75BF">
        <w:t>ABS</w:t>
      </w:r>
      <w:r w:rsidR="005E491F">
        <w:t xml:space="preserve"> </w:t>
      </w:r>
      <w:r w:rsidR="002F5425">
        <w:t xml:space="preserve">Survey of Education and Work </w:t>
      </w:r>
      <w:r w:rsidR="005E491F">
        <w:t xml:space="preserve">do not provide much evidence that </w:t>
      </w:r>
      <w:r>
        <w:t>bachelor degrees are displacing diplomas and advanced diplomas in enrolments, employment outcomes or levels of occupation. These have changed recently, but not all in the same direction</w:t>
      </w:r>
      <w:r w:rsidR="004B0FC9">
        <w:t xml:space="preserve"> and </w:t>
      </w:r>
      <w:r w:rsidR="005A75BF">
        <w:t xml:space="preserve">are </w:t>
      </w:r>
      <w:r w:rsidR="004B0FC9">
        <w:t xml:space="preserve">within historical </w:t>
      </w:r>
      <w:r w:rsidR="009420A6">
        <w:t>bands</w:t>
      </w:r>
      <w:r w:rsidR="004B0FC9">
        <w:t xml:space="preserve">. Bachelors </w:t>
      </w:r>
      <w:r w:rsidR="004B0FC9" w:rsidRPr="004B0FC9">
        <w:t>may be displacing diploma</w:t>
      </w:r>
      <w:r w:rsidR="004B0FC9">
        <w:t>s and advanced diplomas, but future data will be needed to confirm this.</w:t>
      </w:r>
    </w:p>
    <w:p w:rsidR="005E491F" w:rsidRDefault="00F1271B" w:rsidP="000A7711">
      <w:pPr>
        <w:pStyle w:val="Text"/>
        <w:ind w:right="-143"/>
      </w:pPr>
      <w:r>
        <w:t xml:space="preserve">Indeed, few generalisations are evident from these data at the level of qualification. Certificates </w:t>
      </w:r>
      <w:proofErr w:type="gramStart"/>
      <w:r>
        <w:t>I</w:t>
      </w:r>
      <w:proofErr w:type="gramEnd"/>
      <w:r>
        <w:t xml:space="preserve"> and to some extent certificates II have different roles from other vocational qualifications in employment. </w:t>
      </w:r>
      <w:r w:rsidR="00E66E02">
        <w:t>M</w:t>
      </w:r>
      <w:r w:rsidR="005B74F4">
        <w:t xml:space="preserve">ore informative are analyses by qualification level by students’ age group and by field of education. </w:t>
      </w:r>
      <w:r w:rsidR="000C35AF">
        <w:t xml:space="preserve">Diplomas play different roles for young and older people. </w:t>
      </w:r>
      <w:r w:rsidR="008814A2">
        <w:t>From additional tables and analysis reported in the support document we find that d</w:t>
      </w:r>
      <w:r w:rsidR="000C35AF">
        <w:t xml:space="preserve">iplomas but not certificates give young people </w:t>
      </w:r>
      <w:r w:rsidR="00CC3522">
        <w:t xml:space="preserve">greater </w:t>
      </w:r>
      <w:r w:rsidR="000C35AF" w:rsidRPr="00FB6B28">
        <w:t>access</w:t>
      </w:r>
      <w:r w:rsidR="000C35AF">
        <w:t xml:space="preserve"> to </w:t>
      </w:r>
      <w:r w:rsidR="000C35AF" w:rsidRPr="00FB6B28">
        <w:t xml:space="preserve">higher education </w:t>
      </w:r>
      <w:r w:rsidR="00CC3522">
        <w:t xml:space="preserve">than older people </w:t>
      </w:r>
      <w:r w:rsidR="000C35AF" w:rsidRPr="00FB6B28">
        <w:t xml:space="preserve">and </w:t>
      </w:r>
      <w:r w:rsidR="000C35AF">
        <w:t xml:space="preserve">to </w:t>
      </w:r>
      <w:r w:rsidR="000C35AF" w:rsidRPr="00FB6B28">
        <w:t>more highly skilled work</w:t>
      </w:r>
      <w:r w:rsidR="000C35AF">
        <w:t xml:space="preserve">. </w:t>
      </w:r>
      <w:r w:rsidR="005A75BF">
        <w:t>The m</w:t>
      </w:r>
      <w:r w:rsidR="00E66E02">
        <w:t xml:space="preserve">ost </w:t>
      </w:r>
      <w:r w:rsidR="005A75BF">
        <w:t>significant</w:t>
      </w:r>
      <w:r w:rsidR="00E66E02">
        <w:t xml:space="preserve"> differences are observed by level of qualification within field of education, particularly narrow field of education. Some qualifications in some fields are needed for entry to or progression in some occupations, particularly those licensed by the state or strongly regulated by industry bodies. These qualifications</w:t>
      </w:r>
      <w:r w:rsidR="008814A2">
        <w:t xml:space="preserve"> are more likely to lead to</w:t>
      </w:r>
      <w:r w:rsidR="002A0D6F">
        <w:t xml:space="preserve"> employment,</w:t>
      </w:r>
      <w:r w:rsidR="001E447B">
        <w:t xml:space="preserve"> particularly</w:t>
      </w:r>
      <w:r w:rsidR="002A0D6F">
        <w:t xml:space="preserve"> relevant employment and skilled employment</w:t>
      </w:r>
      <w:r w:rsidR="001E447B">
        <w:t>,</w:t>
      </w:r>
      <w:r w:rsidR="002A0D6F">
        <w:t xml:space="preserve"> much more than qualifications not leading to regulated employment.</w:t>
      </w:r>
    </w:p>
    <w:p w:rsidR="001C39BD" w:rsidRDefault="002A0D6F" w:rsidP="000A7711">
      <w:pPr>
        <w:pStyle w:val="Text"/>
        <w:ind w:right="-284"/>
      </w:pPr>
      <w:r>
        <w:lastRenderedPageBreak/>
        <w:t xml:space="preserve">This </w:t>
      </w:r>
      <w:r w:rsidR="00AA4CD5">
        <w:t xml:space="preserve">raises the question of what </w:t>
      </w:r>
      <w:r>
        <w:t xml:space="preserve">scope </w:t>
      </w:r>
      <w:r w:rsidR="00AA4CD5">
        <w:t xml:space="preserve">there may be </w:t>
      </w:r>
      <w:r>
        <w:t>for systemic changes to tertiary education to improve the link between education and work</w:t>
      </w:r>
      <w:r w:rsidR="00CC3522">
        <w:t xml:space="preserve"> </w:t>
      </w:r>
      <w:r w:rsidR="00AA4CD5">
        <w:t xml:space="preserve">without </w:t>
      </w:r>
      <w:r w:rsidR="00CC3522">
        <w:t xml:space="preserve">such changes </w:t>
      </w:r>
      <w:r w:rsidR="00AA4CD5">
        <w:t>being</w:t>
      </w:r>
      <w:r w:rsidR="00CC3522">
        <w:t xml:space="preserve"> </w:t>
      </w:r>
      <w:r w:rsidR="00345754">
        <w:t>led</w:t>
      </w:r>
      <w:r w:rsidR="00CC3522">
        <w:t xml:space="preserve"> by the social partners</w:t>
      </w:r>
      <w:r w:rsidR="00AA4CD5">
        <w:t xml:space="preserve">: </w:t>
      </w:r>
      <w:r w:rsidR="00CC3522">
        <w:t>employers, unions and government</w:t>
      </w:r>
      <w:r>
        <w:t>.</w:t>
      </w:r>
      <w:r w:rsidR="00CC3522">
        <w:t xml:space="preserve"> </w:t>
      </w:r>
      <w:r w:rsidR="00AA4CD5">
        <w:t>This is investigated in the case studies reported in the next chapter.</w:t>
      </w:r>
    </w:p>
    <w:p w:rsidR="001C39BD" w:rsidRDefault="001C39BD" w:rsidP="00E82B6E">
      <w:pPr>
        <w:pStyle w:val="Heading1"/>
      </w:pPr>
      <w:r>
        <w:br w:type="page"/>
      </w:r>
      <w:bookmarkStart w:id="50" w:name="_Toc370199900"/>
      <w:r w:rsidR="005A75BF">
        <w:lastRenderedPageBreak/>
        <w:t>Case studies of mid-</w:t>
      </w:r>
      <w:r w:rsidR="00E82B6E">
        <w:t>level qualifications</w:t>
      </w:r>
      <w:bookmarkEnd w:id="50"/>
    </w:p>
    <w:p w:rsidR="00DF64CC" w:rsidRDefault="00AB0A8B" w:rsidP="00553059">
      <w:pPr>
        <w:pStyle w:val="Text"/>
      </w:pPr>
      <w:r>
        <w:t>This chapter repor</w:t>
      </w:r>
      <w:r w:rsidR="00DF64CC">
        <w:t xml:space="preserve">ts </w:t>
      </w:r>
      <w:r w:rsidR="005A75BF">
        <w:t xml:space="preserve">on </w:t>
      </w:r>
      <w:r w:rsidR="00DF64CC">
        <w:t xml:space="preserve">the development of </w:t>
      </w:r>
      <w:r>
        <w:t>qualifications</w:t>
      </w:r>
      <w:r w:rsidR="00DF64CC">
        <w:t xml:space="preserve"> with </w:t>
      </w:r>
      <w:proofErr w:type="gramStart"/>
      <w:r w:rsidR="00DF64CC">
        <w:t>an employment</w:t>
      </w:r>
      <w:proofErr w:type="gramEnd"/>
      <w:r w:rsidR="00DF64CC">
        <w:t xml:space="preserve"> logic</w:t>
      </w:r>
      <w:r>
        <w:t xml:space="preserve"> </w:t>
      </w:r>
      <w:r w:rsidR="009120B1">
        <w:t>for preparing</w:t>
      </w:r>
      <w:r w:rsidR="00DF64CC">
        <w:t xml:space="preserve"> graduates for </w:t>
      </w:r>
      <w:r w:rsidR="007F0717">
        <w:t>parapr</w:t>
      </w:r>
      <w:r w:rsidR="00345754">
        <w:t xml:space="preserve">ofessional </w:t>
      </w:r>
      <w:r w:rsidR="00DF64CC">
        <w:t xml:space="preserve">occupations </w:t>
      </w:r>
      <w:r w:rsidR="00662FF6">
        <w:t>in engineering and</w:t>
      </w:r>
      <w:r>
        <w:t xml:space="preserve"> finance, and for physician assistants</w:t>
      </w:r>
      <w:r w:rsidR="00F6043E">
        <w:t xml:space="preserve"> (health)</w:t>
      </w:r>
      <w:r>
        <w:t xml:space="preserve"> and veterinary technologists</w:t>
      </w:r>
      <w:r w:rsidR="00F6043E">
        <w:t xml:space="preserve"> (agriculture)</w:t>
      </w:r>
      <w:r>
        <w:t>.</w:t>
      </w:r>
    </w:p>
    <w:p w:rsidR="003E02BE" w:rsidRPr="003E02BE" w:rsidRDefault="003E02BE" w:rsidP="003E02BE">
      <w:pPr>
        <w:pStyle w:val="Heading2"/>
      </w:pPr>
      <w:bookmarkStart w:id="51" w:name="_Toc370199901"/>
      <w:r>
        <w:t>A</w:t>
      </w:r>
      <w:r w:rsidRPr="003E02BE">
        <w:t>ssociate degrees in engineering, mining and geoscience</w:t>
      </w:r>
      <w:bookmarkEnd w:id="51"/>
    </w:p>
    <w:p w:rsidR="003E02BE" w:rsidRPr="00334674" w:rsidRDefault="00AB756A" w:rsidP="002D0C0B">
      <w:pPr>
        <w:pStyle w:val="Text"/>
      </w:pPr>
      <w:r>
        <w:t xml:space="preserve">The initiative for </w:t>
      </w:r>
      <w:r w:rsidR="00672D3A" w:rsidRPr="00672D3A">
        <w:t>developing nationally consistent associate degrees in mining</w:t>
      </w:r>
      <w:r w:rsidR="002A7E66">
        <w:t>,</w:t>
      </w:r>
      <w:r w:rsidR="00672D3A" w:rsidRPr="00672D3A">
        <w:t xml:space="preserve"> engineering and geoscience</w:t>
      </w:r>
      <w:r>
        <w:t xml:space="preserve"> came from the Minerals Council of Australia</w:t>
      </w:r>
      <w:r w:rsidR="001E4268">
        <w:t xml:space="preserve"> (2012)</w:t>
      </w:r>
      <w:r>
        <w:t>, which ‘</w:t>
      </w:r>
      <w:r w:rsidRPr="00AB756A">
        <w:t xml:space="preserve">represents Australia’s exploration, mining and minerals processing industry, nationally and internationally, in its contribution to sustainable development and society. </w:t>
      </w:r>
      <w:r w:rsidR="00096B5C">
        <w:t>MCA</w:t>
      </w:r>
      <w:r w:rsidR="00220618">
        <w:t xml:space="preserve"> </w:t>
      </w:r>
      <w:r w:rsidRPr="00AB756A">
        <w:t>member companies produce more than 85 per cent of Australia’s annual mineral output</w:t>
      </w:r>
      <w:r>
        <w:t>’</w:t>
      </w:r>
      <w:r w:rsidRPr="00AB756A">
        <w:t>.</w:t>
      </w:r>
      <w:r>
        <w:t xml:space="preserve"> </w:t>
      </w:r>
      <w:r w:rsidR="00334674">
        <w:t xml:space="preserve">In </w:t>
      </w:r>
      <w:r w:rsidR="00112912">
        <w:t>1998</w:t>
      </w:r>
      <w:r w:rsidR="00334674">
        <w:t xml:space="preserve"> the </w:t>
      </w:r>
      <w:r>
        <w:t>Minerals Council of Australia</w:t>
      </w:r>
      <w:r w:rsidR="00334674">
        <w:t xml:space="preserve"> established a </w:t>
      </w:r>
      <w:r w:rsidR="00334674" w:rsidRPr="00334674">
        <w:t>Minerals Tertiary Education Council</w:t>
      </w:r>
      <w:r w:rsidR="00334674">
        <w:t xml:space="preserve"> to foster a </w:t>
      </w:r>
      <w:r w:rsidR="00334674" w:rsidRPr="00334674">
        <w:t xml:space="preserve">network of selected university partners </w:t>
      </w:r>
      <w:r w:rsidR="00334674">
        <w:t xml:space="preserve">to </w:t>
      </w:r>
      <w:r w:rsidR="00334674" w:rsidRPr="00334674">
        <w:t>cooperat</w:t>
      </w:r>
      <w:r w:rsidR="00334674">
        <w:t xml:space="preserve">e </w:t>
      </w:r>
      <w:r w:rsidR="00334674" w:rsidRPr="00334674">
        <w:t>in develop</w:t>
      </w:r>
      <w:r w:rsidR="00334674">
        <w:t xml:space="preserve">ing </w:t>
      </w:r>
      <w:r w:rsidR="005B37C8">
        <w:t xml:space="preserve">and </w:t>
      </w:r>
      <w:r w:rsidR="00334674" w:rsidRPr="00334674">
        <w:t>deliver</w:t>
      </w:r>
      <w:r w:rsidR="00334674">
        <w:t xml:space="preserve">ing </w:t>
      </w:r>
      <w:r w:rsidR="005A75BF">
        <w:t>undergraduate and post</w:t>
      </w:r>
      <w:r w:rsidR="00334674" w:rsidRPr="00334674">
        <w:t>gradua</w:t>
      </w:r>
      <w:r w:rsidR="00334674">
        <w:t xml:space="preserve">te programs in the earth sciences. The </w:t>
      </w:r>
      <w:r w:rsidR="00E63A74">
        <w:t xml:space="preserve">Tertiary Education Council was established </w:t>
      </w:r>
      <w:r w:rsidR="00334674">
        <w:t>following</w:t>
      </w:r>
      <w:r w:rsidR="005A75BF">
        <w:t xml:space="preserve"> the</w:t>
      </w:r>
      <w:r w:rsidR="00334674">
        <w:t xml:space="preserve"> publication of a discussion paper</w:t>
      </w:r>
      <w:r w:rsidR="00BA770F">
        <w:t xml:space="preserve"> arguing for the </w:t>
      </w:r>
      <w:r w:rsidR="00334674" w:rsidRPr="00334674">
        <w:t xml:space="preserve">reshaping </w:t>
      </w:r>
      <w:r w:rsidR="00BA770F">
        <w:t xml:space="preserve">of </w:t>
      </w:r>
      <w:r w:rsidR="00334674" w:rsidRPr="00334674">
        <w:t>minerals tertiary education</w:t>
      </w:r>
      <w:r w:rsidR="00334674">
        <w:t>. The discussion paper found that:</w:t>
      </w:r>
    </w:p>
    <w:p w:rsidR="00334674" w:rsidRDefault="00A905A4" w:rsidP="00A905A4">
      <w:pPr>
        <w:pStyle w:val="Quote"/>
        <w:ind w:left="851" w:hanging="284"/>
      </w:pPr>
      <w:r>
        <w:sym w:font="Wingdings" w:char="F0A7"/>
      </w:r>
      <w:r>
        <w:tab/>
      </w:r>
      <w:proofErr w:type="gramStart"/>
      <w:r w:rsidR="00334674">
        <w:t>graduates</w:t>
      </w:r>
      <w:proofErr w:type="gramEnd"/>
      <w:r w:rsidR="00334674">
        <w:t xml:space="preserve"> often have a poor understanding of how their theoretical knowledge can be applied in practice. They also tend to be unaware of the importance of communication and ‘people skills’, how business decisions are made, occupational health and safety, the demands of life in (often remote) operational settings and other significant issues facing industry;</w:t>
      </w:r>
    </w:p>
    <w:p w:rsidR="00334674" w:rsidRDefault="00A905A4" w:rsidP="00A905A4">
      <w:pPr>
        <w:pStyle w:val="Quote"/>
        <w:ind w:left="851" w:hanging="284"/>
      </w:pPr>
      <w:r>
        <w:sym w:font="Wingdings" w:char="F0A7"/>
      </w:r>
      <w:r>
        <w:tab/>
      </w:r>
      <w:proofErr w:type="gramStart"/>
      <w:r w:rsidR="00334674">
        <w:t>industry</w:t>
      </w:r>
      <w:proofErr w:type="gramEnd"/>
      <w:r w:rsidR="00334674">
        <w:t xml:space="preserve"> has a poor record of employing new graduates, with most companies preferring to recruit professionals with some experience. The Western Australia Taskforce survey found that only 16% of responding companies intended to employ new graduates;</w:t>
      </w:r>
    </w:p>
    <w:p w:rsidR="00334674" w:rsidRDefault="00A905A4" w:rsidP="00A905A4">
      <w:pPr>
        <w:pStyle w:val="Quote"/>
        <w:ind w:left="851" w:hanging="284"/>
      </w:pPr>
      <w:r>
        <w:sym w:font="Wingdings" w:char="F0A7"/>
      </w:r>
      <w:r>
        <w:tab/>
      </w:r>
      <w:proofErr w:type="gramStart"/>
      <w:r w:rsidR="00334674">
        <w:t>industry</w:t>
      </w:r>
      <w:proofErr w:type="gramEnd"/>
      <w:r w:rsidR="00334674">
        <w:t xml:space="preserve"> uptake of new graduates is profoundly affected by the business cycle. This has established a ‘boom or bust’ environment for educators, graduates and ultimately, for industry, which is far from optimum;</w:t>
      </w:r>
    </w:p>
    <w:p w:rsidR="00334674" w:rsidRDefault="00A905A4" w:rsidP="00A905A4">
      <w:pPr>
        <w:pStyle w:val="Quote"/>
        <w:ind w:left="851" w:hanging="284"/>
      </w:pPr>
      <w:r>
        <w:sym w:font="Wingdings" w:char="F0A7"/>
      </w:r>
      <w:r>
        <w:tab/>
      </w:r>
      <w:proofErr w:type="gramStart"/>
      <w:r w:rsidR="00334674">
        <w:t>industry</w:t>
      </w:r>
      <w:proofErr w:type="gramEnd"/>
      <w:r w:rsidR="00334674">
        <w:t xml:space="preserve"> has been inconsistent and ad hoc in interacting with the tertiary education system. An example of this is the unwillingness of too many companies to offer students opportunities for their mandatory vacation work experience; and</w:t>
      </w:r>
    </w:p>
    <w:p w:rsidR="00AB756A" w:rsidRDefault="00A905A4" w:rsidP="00A905A4">
      <w:pPr>
        <w:pStyle w:val="Quote"/>
        <w:ind w:left="851" w:hanging="284"/>
      </w:pPr>
      <w:r>
        <w:sym w:font="Wingdings" w:char="F0A7"/>
      </w:r>
      <w:r>
        <w:tab/>
      </w:r>
      <w:proofErr w:type="gramStart"/>
      <w:r w:rsidR="00334674">
        <w:t>industry</w:t>
      </w:r>
      <w:proofErr w:type="gramEnd"/>
      <w:r w:rsidR="00334674">
        <w:t xml:space="preserve"> has adopted too narrow and restricted a view of what constitutes an acceptable preparation for a career as a minerals specialist, particularly as a mining engineer or metallurgist. With some important exceptions, this has robbed industry of the opportunity to diversify its sources of graduates and strengthen its standards of competence. It has also restricted an opportunity to make up the frequent shortages of specialist graduates.</w:t>
      </w:r>
      <w:r>
        <w:br/>
      </w:r>
      <w:r w:rsidR="00C6219E">
        <w:tab/>
      </w:r>
      <w:proofErr w:type="gramStart"/>
      <w:r w:rsidR="00C6219E">
        <w:t xml:space="preserve">(Minerals </w:t>
      </w:r>
      <w:r w:rsidR="0086053D">
        <w:t>Council of Australia 1998, pp.5—</w:t>
      </w:r>
      <w:r w:rsidR="00C6219E">
        <w:t>6).</w:t>
      </w:r>
      <w:proofErr w:type="gramEnd"/>
    </w:p>
    <w:p w:rsidR="00AB756A" w:rsidRDefault="00C6219E" w:rsidP="002D0C0B">
      <w:pPr>
        <w:pStyle w:val="Text"/>
      </w:pPr>
      <w:r>
        <w:t xml:space="preserve">In 2012 the </w:t>
      </w:r>
      <w:r w:rsidRPr="00C6219E">
        <w:t xml:space="preserve">Minerals Tertiary Education Council </w:t>
      </w:r>
      <w:r>
        <w:t>established t</w:t>
      </w:r>
      <w:r w:rsidRPr="00C6219E">
        <w:t xml:space="preserve">he Minerals Industry National Associate Degree </w:t>
      </w:r>
      <w:r>
        <w:t>p</w:t>
      </w:r>
      <w:r w:rsidRPr="00C6219E">
        <w:t xml:space="preserve">roject </w:t>
      </w:r>
      <w:r>
        <w:t xml:space="preserve">with funding from the </w:t>
      </w:r>
      <w:r w:rsidRPr="00C6219E">
        <w:t>Australian Government</w:t>
      </w:r>
      <w:r>
        <w:t>’s</w:t>
      </w:r>
      <w:r w:rsidRPr="00C6219E">
        <w:t xml:space="preserve"> Workforce Innovation Program</w:t>
      </w:r>
      <w:r>
        <w:t>. The project seeks:</w:t>
      </w:r>
    </w:p>
    <w:p w:rsidR="00C6219E" w:rsidRDefault="00A905A4" w:rsidP="00A905A4">
      <w:pPr>
        <w:pStyle w:val="Quote"/>
        <w:ind w:left="851" w:hanging="284"/>
      </w:pPr>
      <w:r>
        <w:sym w:font="Wingdings" w:char="F0A7"/>
      </w:r>
      <w:r>
        <w:tab/>
      </w:r>
      <w:r w:rsidR="00C6219E">
        <w:t>The articulation of paraprofessional roles that share the workload with traditional four-year graduates;</w:t>
      </w:r>
    </w:p>
    <w:p w:rsidR="00C6219E" w:rsidRDefault="00A905A4" w:rsidP="00A905A4">
      <w:pPr>
        <w:pStyle w:val="Quote"/>
        <w:ind w:left="851" w:hanging="284"/>
        <w:rPr>
          <w:rFonts w:cs="Trebuchet MS"/>
        </w:rPr>
      </w:pPr>
      <w:r>
        <w:lastRenderedPageBreak/>
        <w:sym w:font="Wingdings" w:char="F0A7"/>
      </w:r>
      <w:r>
        <w:tab/>
      </w:r>
      <w:r w:rsidR="00C6219E">
        <w:rPr>
          <w:rFonts w:cs="Trebuchet MS"/>
        </w:rPr>
        <w:t>Formalised national collaboration by a consortium of at least four VET/dual-sector/higher education institutions to develop and deliver the Associate Degree programs;</w:t>
      </w:r>
    </w:p>
    <w:p w:rsidR="00C6219E" w:rsidRDefault="00A905A4" w:rsidP="00A905A4">
      <w:pPr>
        <w:pStyle w:val="Quote"/>
        <w:ind w:left="851" w:hanging="284"/>
      </w:pPr>
      <w:r>
        <w:sym w:font="Wingdings" w:char="F0A7"/>
      </w:r>
      <w:r>
        <w:tab/>
      </w:r>
      <w:r w:rsidR="00C6219E">
        <w:rPr>
          <w:rFonts w:cs="Trebuchet MS"/>
        </w:rPr>
        <w:t>Two new industry-supported, nationally consistent and nationally accessible Associate</w:t>
      </w:r>
      <w:r w:rsidR="00C6219E">
        <w:t xml:space="preserve"> Degree programs in the disciplines of mining engineering and minerals geoscience, including flexible learning platforms and support tools required to ensure high completion rates;</w:t>
      </w:r>
    </w:p>
    <w:p w:rsidR="00C6219E" w:rsidRDefault="00A905A4" w:rsidP="00A905A4">
      <w:pPr>
        <w:pStyle w:val="Quote"/>
        <w:ind w:left="851" w:hanging="284"/>
      </w:pPr>
      <w:r>
        <w:sym w:font="Wingdings" w:char="F0A7"/>
      </w:r>
      <w:r>
        <w:tab/>
      </w:r>
      <w:r w:rsidR="00C6219E">
        <w:rPr>
          <w:rFonts w:cs="Trebuchet MS"/>
        </w:rPr>
        <w:t>At least four companies supporting their existing employees (including wo</w:t>
      </w:r>
      <w:r w:rsidR="00C6219E">
        <w:t>men and Indigenous Australians) to be up-skilled by participating in and completing the new Associate Degree programs;</w:t>
      </w:r>
    </w:p>
    <w:p w:rsidR="00C6219E" w:rsidRDefault="00A905A4" w:rsidP="00A905A4">
      <w:pPr>
        <w:pStyle w:val="Quote"/>
        <w:ind w:left="851" w:hanging="284"/>
      </w:pPr>
      <w:r>
        <w:sym w:font="Wingdings" w:char="F0A7"/>
      </w:r>
      <w:r>
        <w:tab/>
      </w:r>
      <w:r w:rsidR="00C6219E">
        <w:rPr>
          <w:rFonts w:cs="Trebuchet MS"/>
        </w:rPr>
        <w:t>Expanded career and articulation pathways for mining engineers and geoscientists, including into the Associate Degree programs and from</w:t>
      </w:r>
      <w:r w:rsidR="00C6219E">
        <w:t xml:space="preserve"> these to the workforce or further study;</w:t>
      </w:r>
    </w:p>
    <w:p w:rsidR="00C6219E" w:rsidRPr="00C6219E" w:rsidRDefault="00A905A4" w:rsidP="00A905A4">
      <w:pPr>
        <w:pStyle w:val="Quote"/>
        <w:ind w:left="851" w:hanging="284"/>
      </w:pPr>
      <w:r>
        <w:sym w:font="Wingdings" w:char="F0A7"/>
      </w:r>
      <w:r>
        <w:tab/>
      </w:r>
      <w:proofErr w:type="gramStart"/>
      <w:r w:rsidR="00C6219E">
        <w:t>An Associate Degree program model and marketing strategies for education institutions and employers in the resources sector and other industries available for ongoing public dissemination.</w:t>
      </w:r>
      <w:proofErr w:type="gramEnd"/>
      <w:r w:rsidR="001E4268">
        <w:tab/>
        <w:t>(Minerals Council of Australia 2012b)</w:t>
      </w:r>
    </w:p>
    <w:p w:rsidR="00AA4CD5" w:rsidRDefault="001E2905" w:rsidP="002D0C0B">
      <w:pPr>
        <w:pStyle w:val="Text"/>
      </w:pPr>
      <w:r>
        <w:t xml:space="preserve">The project is piloting an associate degree of engineering offered by the University of Southern Queensland. The pilot is progressing well and has good potential to </w:t>
      </w:r>
      <w:r w:rsidR="00831AFD">
        <w:t xml:space="preserve">solve the problems identified by the Minerals Council of Australia and by the research more generally. </w:t>
      </w:r>
      <w:r w:rsidR="00640C4C">
        <w:t>Attracting</w:t>
      </w:r>
      <w:r w:rsidR="00831AFD" w:rsidRPr="00F9630F">
        <w:t xml:space="preserve"> interest from a broad range of employers, universities and TAFE </w:t>
      </w:r>
      <w:r w:rsidR="00E63A74">
        <w:t xml:space="preserve">(technical and further education) </w:t>
      </w:r>
      <w:r w:rsidR="00831AFD" w:rsidRPr="00F9630F">
        <w:t>institutes</w:t>
      </w:r>
      <w:r w:rsidR="00640C4C">
        <w:t xml:space="preserve">, the project </w:t>
      </w:r>
      <w:r w:rsidR="00831AFD">
        <w:t xml:space="preserve">could be </w:t>
      </w:r>
      <w:r w:rsidR="00E63A74">
        <w:t xml:space="preserve">used as </w:t>
      </w:r>
      <w:r w:rsidR="00F9630F" w:rsidRPr="00F9630F">
        <w:t xml:space="preserve">a general model for </w:t>
      </w:r>
      <w:r w:rsidR="00831AFD">
        <w:t xml:space="preserve">other </w:t>
      </w:r>
      <w:r w:rsidR="00E63A74">
        <w:t>disciplines</w:t>
      </w:r>
      <w:r w:rsidR="00831AFD">
        <w:t xml:space="preserve">. </w:t>
      </w:r>
      <w:r w:rsidR="00511373">
        <w:t>This case is</w:t>
      </w:r>
      <w:r w:rsidR="00A942DD">
        <w:t xml:space="preserve"> the most successful of those</w:t>
      </w:r>
      <w:r w:rsidR="00E63A74">
        <w:t xml:space="preserve"> studied, since, </w:t>
      </w:r>
      <w:proofErr w:type="gramStart"/>
      <w:r w:rsidR="00E63A74">
        <w:t>i</w:t>
      </w:r>
      <w:r w:rsidR="00511373">
        <w:t>mportantly,</w:t>
      </w:r>
      <w:proofErr w:type="gramEnd"/>
      <w:r w:rsidR="00511373">
        <w:t xml:space="preserve"> it involves </w:t>
      </w:r>
      <w:r w:rsidR="00A942DD">
        <w:t xml:space="preserve">collaboration by </w:t>
      </w:r>
      <w:r w:rsidR="00511373">
        <w:t xml:space="preserve">the three social partners. An industry association initiated the qualification, described the work role for which the qualification should prepare graduates and </w:t>
      </w:r>
      <w:r w:rsidR="00C710CB">
        <w:t>set</w:t>
      </w:r>
      <w:r w:rsidR="00A942DD">
        <w:t xml:space="preserve"> the aims for the project. Educators consulted employers and their colleagues, developed the qualification</w:t>
      </w:r>
      <w:r w:rsidR="00BA770F">
        <w:t>,</w:t>
      </w:r>
      <w:r w:rsidR="00A942DD">
        <w:t xml:space="preserve"> and </w:t>
      </w:r>
      <w:r w:rsidR="00662FF6">
        <w:t xml:space="preserve">now </w:t>
      </w:r>
      <w:r w:rsidR="00A942DD">
        <w:t>offer it in close association with employers. Governments establish</w:t>
      </w:r>
      <w:r w:rsidR="00662FF6">
        <w:t xml:space="preserve">ed the regulatory environment and </w:t>
      </w:r>
      <w:r w:rsidR="00A942DD">
        <w:t>funded the development of the qualification</w:t>
      </w:r>
      <w:r w:rsidR="00B27366">
        <w:t>,</w:t>
      </w:r>
      <w:r w:rsidR="00662FF6">
        <w:t xml:space="preserve"> as well as</w:t>
      </w:r>
      <w:r w:rsidR="002E17BA">
        <w:t xml:space="preserve"> subsidising</w:t>
      </w:r>
      <w:r w:rsidR="00B27366">
        <w:t xml:space="preserve"> its teaching and offer</w:t>
      </w:r>
      <w:r w:rsidR="002E17BA">
        <w:t>ing</w:t>
      </w:r>
      <w:r w:rsidR="00640C4C">
        <w:t xml:space="preserve"> income-</w:t>
      </w:r>
      <w:r w:rsidR="00B27366">
        <w:t>contingent loans for student fees.</w:t>
      </w:r>
    </w:p>
    <w:p w:rsidR="00831AFD" w:rsidRPr="00831AFD" w:rsidRDefault="00831AFD" w:rsidP="002D0C0B">
      <w:pPr>
        <w:pStyle w:val="Text"/>
      </w:pPr>
      <w:r>
        <w:t>The context for th</w:t>
      </w:r>
      <w:r w:rsidR="00640C4C">
        <w:t xml:space="preserve">e project and </w:t>
      </w:r>
      <w:r w:rsidR="00E63A74">
        <w:t xml:space="preserve">the </w:t>
      </w:r>
      <w:r w:rsidR="00640C4C">
        <w:t>challenges of mid-</w:t>
      </w:r>
      <w:r>
        <w:t xml:space="preserve">level qualifications </w:t>
      </w:r>
      <w:r w:rsidR="007D4410">
        <w:t xml:space="preserve">in engineering are described and </w:t>
      </w:r>
      <w:r>
        <w:t>discussed</w:t>
      </w:r>
      <w:r w:rsidR="00E63A74">
        <w:t xml:space="preserve"> in the supporting document</w:t>
      </w:r>
      <w:r>
        <w:t>.</w:t>
      </w:r>
    </w:p>
    <w:p w:rsidR="00831AFD" w:rsidRPr="00831AFD" w:rsidRDefault="00831AFD" w:rsidP="00831AFD">
      <w:pPr>
        <w:pStyle w:val="Heading2"/>
      </w:pPr>
      <w:bookmarkStart w:id="52" w:name="_Toc370199902"/>
      <w:r>
        <w:t>F</w:t>
      </w:r>
      <w:r w:rsidRPr="00831AFD">
        <w:t>inancial planning</w:t>
      </w:r>
      <w:bookmarkEnd w:id="52"/>
    </w:p>
    <w:p w:rsidR="00831AFD" w:rsidRDefault="00831AFD" w:rsidP="00831AFD">
      <w:pPr>
        <w:pStyle w:val="Text"/>
      </w:pPr>
      <w:r>
        <w:t>Financial planning em</w:t>
      </w:r>
      <w:r w:rsidR="00C710CB">
        <w:t>erged as a distinct occupation i</w:t>
      </w:r>
      <w:r w:rsidR="00640C4C">
        <w:t>n Australia in the 1980s (Cowe</w:t>
      </w:r>
      <w:r>
        <w:t>n, Blair &amp; Taylor 2006). At that time practitioners were likely to be accountants, bankers or insurance brokers who were ‘self-taught, with most having no specific formal education in financial planning’ (</w:t>
      </w:r>
      <w:r w:rsidR="00640C4C">
        <w:t xml:space="preserve">Cowen, Blair &amp; Taylor </w:t>
      </w:r>
      <w:r>
        <w:t xml:space="preserve">2006). The industry grew extremely quickly after the introduction of compulsory superannuation, creating the impetus for regulating the industry following the </w:t>
      </w:r>
      <w:r w:rsidR="00054449">
        <w:t xml:space="preserve">1996 </w:t>
      </w:r>
      <w:r>
        <w:t>Financial System Inquiry (FSI, or the Wallis Inquiry</w:t>
      </w:r>
      <w:r w:rsidR="00054449">
        <w:t>, 1997</w:t>
      </w:r>
      <w:r>
        <w:t xml:space="preserve">) </w:t>
      </w:r>
    </w:p>
    <w:p w:rsidR="00F9630F" w:rsidRDefault="00831AFD" w:rsidP="00831AFD">
      <w:pPr>
        <w:pStyle w:val="Text"/>
      </w:pPr>
      <w:r>
        <w:t>F</w:t>
      </w:r>
      <w:r w:rsidR="007D4410">
        <w:t>i</w:t>
      </w:r>
      <w:r>
        <w:t xml:space="preserve">nancial planning </w:t>
      </w:r>
      <w:r w:rsidR="007D4410">
        <w:t>i</w:t>
      </w:r>
      <w:r>
        <w:t>s regulated as part of the financial services industry</w:t>
      </w:r>
      <w:r w:rsidR="00E63A74">
        <w:t>,</w:t>
      </w:r>
      <w:r>
        <w:t xml:space="preserve"> </w:t>
      </w:r>
      <w:r w:rsidR="0048642A">
        <w:t xml:space="preserve">along </w:t>
      </w:r>
      <w:r>
        <w:t>with the superannuation industry</w:t>
      </w:r>
      <w:r w:rsidR="00BA770F">
        <w:t>,</w:t>
      </w:r>
      <w:r>
        <w:t xml:space="preserve"> under the </w:t>
      </w:r>
      <w:r w:rsidRPr="007D4410">
        <w:rPr>
          <w:i/>
        </w:rPr>
        <w:t>Financial Services Reform Act 2001</w:t>
      </w:r>
      <w:r>
        <w:t xml:space="preserve"> (Cull 2009; </w:t>
      </w:r>
      <w:proofErr w:type="spellStart"/>
      <w:r>
        <w:t>Jackling</w:t>
      </w:r>
      <w:proofErr w:type="spellEnd"/>
      <w:r>
        <w:t xml:space="preserve"> </w:t>
      </w:r>
      <w:r w:rsidR="00054449">
        <w:t>&amp;</w:t>
      </w:r>
      <w:r>
        <w:t xml:space="preserve"> Sullivan 2007). Under the Act, people providing financial advice must comply with Regulatory Guide 146: Licensing: Training of financial product advisers. R</w:t>
      </w:r>
      <w:r w:rsidR="0048642A">
        <w:t xml:space="preserve">egulatory </w:t>
      </w:r>
      <w:r>
        <w:t>G</w:t>
      </w:r>
      <w:r w:rsidR="0048642A">
        <w:t>uide</w:t>
      </w:r>
      <w:r>
        <w:t xml:space="preserve"> 146 aims to </w:t>
      </w:r>
      <w:r w:rsidR="008576CF">
        <w:t>‘</w:t>
      </w:r>
      <w:r>
        <w:t>protect consumers of financial advice by ensuring that those who provide the advice are competent to do so’, because ‘retail clients generally do not have the resources or expertise to assess whether their adviser has an appropriate level of competence to provide financial a</w:t>
      </w:r>
      <w:r w:rsidR="00054449">
        <w:t>dvice. It is important for ASIC</w:t>
      </w:r>
      <w:r w:rsidR="00755ADE">
        <w:t xml:space="preserve"> </w:t>
      </w:r>
      <w:r>
        <w:t>to set training standards that ensure a level of competence’ (</w:t>
      </w:r>
      <w:r w:rsidR="00054449">
        <w:t xml:space="preserve">Australian Securities and Investments Commission </w:t>
      </w:r>
      <w:r w:rsidR="007436BA">
        <w:t xml:space="preserve">[ASIC] </w:t>
      </w:r>
      <w:r>
        <w:t>2012</w:t>
      </w:r>
      <w:r w:rsidR="00AB4BE7">
        <w:t>, p.4</w:t>
      </w:r>
      <w:r>
        <w:t>).</w:t>
      </w:r>
    </w:p>
    <w:p w:rsidR="00F9630F" w:rsidRDefault="00FE607C" w:rsidP="00FE607C">
      <w:pPr>
        <w:pStyle w:val="Text"/>
      </w:pPr>
      <w:r>
        <w:lastRenderedPageBreak/>
        <w:t>R</w:t>
      </w:r>
      <w:r w:rsidR="0048642A">
        <w:t xml:space="preserve">egulatory </w:t>
      </w:r>
      <w:r>
        <w:t>G</w:t>
      </w:r>
      <w:r w:rsidR="0048642A">
        <w:t>uide</w:t>
      </w:r>
      <w:r>
        <w:t xml:space="preserve"> 146 requires that those offering financial advice should have undertaken training at an equivalent of at least the </w:t>
      </w:r>
      <w:r w:rsidR="00054449">
        <w:t>AQF</w:t>
      </w:r>
      <w:r>
        <w:t xml:space="preserve"> certificate III for tier 2 (financial product sellers) or AQF diploma for tier 1 (those providing independent financial advice) (</w:t>
      </w:r>
      <w:r w:rsidR="007436BA">
        <w:t>Australian Securities and Investments Commission</w:t>
      </w:r>
      <w:r>
        <w:t xml:space="preserve"> 2012). Training is likely to be </w:t>
      </w:r>
      <w:r w:rsidR="0097150D">
        <w:t>continuing</w:t>
      </w:r>
      <w:r>
        <w:t>, for R</w:t>
      </w:r>
      <w:r w:rsidR="0048642A">
        <w:t xml:space="preserve">egulatory </w:t>
      </w:r>
      <w:r>
        <w:t>G</w:t>
      </w:r>
      <w:r w:rsidR="0048642A">
        <w:t>uide</w:t>
      </w:r>
      <w:r>
        <w:t xml:space="preserve"> 146 requires that practitioners be trained in the particular areas in which they are providing advice, and that their knowledge </w:t>
      </w:r>
      <w:r w:rsidR="007436BA">
        <w:t>is</w:t>
      </w:r>
      <w:r>
        <w:t xml:space="preserve"> up to date. Training must be completed </w:t>
      </w:r>
      <w:r w:rsidR="0097150D">
        <w:t>by a course listed on the ASIC t</w:t>
      </w:r>
      <w:r>
        <w:t xml:space="preserve">raining </w:t>
      </w:r>
      <w:r w:rsidR="0097150D">
        <w:t>r</w:t>
      </w:r>
      <w:r>
        <w:t>egister</w:t>
      </w:r>
      <w:r w:rsidR="0097150D">
        <w:t xml:space="preserve">, but this </w:t>
      </w:r>
      <w:r>
        <w:t>is to change to a self-regulate</w:t>
      </w:r>
      <w:r w:rsidR="00E67A96">
        <w:t>d</w:t>
      </w:r>
      <w:r>
        <w:t xml:space="preserve"> system in 2013.</w:t>
      </w:r>
      <w:r w:rsidR="0097150D">
        <w:t xml:space="preserve"> E</w:t>
      </w:r>
      <w:r>
        <w:t>ntry to financial planning</w:t>
      </w:r>
      <w:r w:rsidR="0097150D">
        <w:t xml:space="preserve"> may</w:t>
      </w:r>
      <w:r>
        <w:t xml:space="preserve"> therefore</w:t>
      </w:r>
      <w:r w:rsidR="0097150D">
        <w:t xml:space="preserve"> be through </w:t>
      </w:r>
      <w:r w:rsidR="007436BA">
        <w:t xml:space="preserve">a </w:t>
      </w:r>
      <w:r w:rsidR="00BA770F">
        <w:t xml:space="preserve">Diploma </w:t>
      </w:r>
      <w:r w:rsidR="00E63A74">
        <w:t xml:space="preserve">or </w:t>
      </w:r>
      <w:r w:rsidR="00BA770F">
        <w:t xml:space="preserve">Advanced Diploma </w:t>
      </w:r>
      <w:r w:rsidR="00E63A74">
        <w:t xml:space="preserve">in </w:t>
      </w:r>
      <w:r w:rsidR="00BA770F">
        <w:t xml:space="preserve">Financial Services </w:t>
      </w:r>
      <w:r w:rsidR="00E63A74">
        <w:t>(</w:t>
      </w:r>
      <w:r w:rsidR="00BA770F">
        <w:t>Financial Planning</w:t>
      </w:r>
      <w:r>
        <w:t xml:space="preserve">) or equivalent as the minimum requirement under ASIC, or, above that, </w:t>
      </w:r>
      <w:r w:rsidR="0097150D">
        <w:t xml:space="preserve">a </w:t>
      </w:r>
      <w:r w:rsidR="007436BA">
        <w:t>bachelor’s degree, post</w:t>
      </w:r>
      <w:r>
        <w:t>graduate studies, or professional accounting qualification with a financial planning specialisation.</w:t>
      </w:r>
    </w:p>
    <w:p w:rsidR="007D4410" w:rsidRPr="007D4410" w:rsidRDefault="0097150D" w:rsidP="002D0C0B">
      <w:pPr>
        <w:pStyle w:val="Text"/>
      </w:pPr>
      <w:r w:rsidRPr="0097150D">
        <w:t>Three professional associations represent financial planners</w:t>
      </w:r>
      <w:r>
        <w:t>:</w:t>
      </w:r>
      <w:r w:rsidRPr="0097150D">
        <w:t xml:space="preserve"> the Financial Planning Association (FPA) as well as the accounting bodies CPA </w:t>
      </w:r>
      <w:r w:rsidR="00755ADE">
        <w:t xml:space="preserve">(Certified Practising Accountants) </w:t>
      </w:r>
      <w:r w:rsidRPr="0097150D">
        <w:t xml:space="preserve">Australia and the Institute of Chartered Accountants in Australia (ICAA) (Cull 2009). The </w:t>
      </w:r>
      <w:r w:rsidR="007436BA" w:rsidRPr="0097150D">
        <w:t>Financial Planning Association</w:t>
      </w:r>
      <w:r w:rsidRPr="0097150D">
        <w:t>, formed in 1992 to develop financial planning as a profession,</w:t>
      </w:r>
      <w:r>
        <w:t xml:space="preserve"> today has over 12 000 members</w:t>
      </w:r>
      <w:r w:rsidR="007436BA">
        <w:t>,</w:t>
      </w:r>
      <w:r>
        <w:t xml:space="preserve"> </w:t>
      </w:r>
      <w:r w:rsidRPr="0097150D">
        <w:t xml:space="preserve">of whom around 5000 are certified CFP </w:t>
      </w:r>
      <w:r w:rsidR="00755ADE">
        <w:t>(</w:t>
      </w:r>
      <w:r w:rsidR="00E63A74">
        <w:t>Certified Financial Planners</w:t>
      </w:r>
      <w:r w:rsidR="00755ADE">
        <w:t xml:space="preserve">) </w:t>
      </w:r>
      <w:r w:rsidR="007436BA">
        <w:t>(FPA interview</w:t>
      </w:r>
      <w:r w:rsidRPr="0097150D">
        <w:t xml:space="preserve"> 2012).</w:t>
      </w:r>
      <w:r>
        <w:t xml:space="preserve"> The </w:t>
      </w:r>
      <w:r w:rsidRPr="0097150D">
        <w:t xml:space="preserve">Financial Planning Association </w:t>
      </w:r>
      <w:r>
        <w:t>introduced c</w:t>
      </w:r>
      <w:r w:rsidRPr="0097150D">
        <w:t>ertification of practi</w:t>
      </w:r>
      <w:r w:rsidR="00BA770F">
        <w:t>s</w:t>
      </w:r>
      <w:r w:rsidRPr="0097150D">
        <w:t xml:space="preserve">ing financial planners in 1997, with education key to certification and </w:t>
      </w:r>
      <w:r>
        <w:t>continuing</w:t>
      </w:r>
      <w:r w:rsidRPr="0097150D">
        <w:t xml:space="preserve"> registration (Cull 2009). Before 1 January 2007 financial planners could gain certification with FPA as a C</w:t>
      </w:r>
      <w:r w:rsidR="00C64A44">
        <w:t xml:space="preserve">ertified </w:t>
      </w:r>
      <w:r w:rsidRPr="0097150D">
        <w:t>F</w:t>
      </w:r>
      <w:r w:rsidR="00C64A44">
        <w:t xml:space="preserve">inancial </w:t>
      </w:r>
      <w:r w:rsidRPr="0097150D">
        <w:t>P</w:t>
      </w:r>
      <w:r w:rsidR="00C64A44">
        <w:t>lanner</w:t>
      </w:r>
      <w:r w:rsidRPr="0097150D">
        <w:t xml:space="preserve"> having completed </w:t>
      </w:r>
      <w:r w:rsidR="007436BA">
        <w:t xml:space="preserve">a </w:t>
      </w:r>
      <w:r w:rsidR="00BA770F">
        <w:t xml:space="preserve">Diploma </w:t>
      </w:r>
      <w:r w:rsidR="00E63A74">
        <w:t xml:space="preserve">or </w:t>
      </w:r>
      <w:r w:rsidR="00BA770F">
        <w:t xml:space="preserve">Advanced Diploma </w:t>
      </w:r>
      <w:r w:rsidR="00E63A74">
        <w:t xml:space="preserve">in </w:t>
      </w:r>
      <w:r w:rsidR="00BA770F">
        <w:t>Financial Services (Financial Planning</w:t>
      </w:r>
      <w:r w:rsidR="00E63A74">
        <w:t>)</w:t>
      </w:r>
      <w:r w:rsidRPr="0097150D">
        <w:t xml:space="preserve">, with additional training requirements offered </w:t>
      </w:r>
      <w:r w:rsidR="00E63A74">
        <w:t>through</w:t>
      </w:r>
      <w:r w:rsidR="00BA770F">
        <w:t xml:space="preserve"> the</w:t>
      </w:r>
      <w:r w:rsidRPr="0097150D">
        <w:t xml:space="preserve"> </w:t>
      </w:r>
      <w:r w:rsidR="007436BA" w:rsidRPr="0097150D">
        <w:t>Financial Planning Association</w:t>
      </w:r>
      <w:r w:rsidRPr="0097150D">
        <w:t xml:space="preserve">. In 2007 </w:t>
      </w:r>
      <w:r w:rsidR="007436BA">
        <w:t xml:space="preserve">the </w:t>
      </w:r>
      <w:r w:rsidRPr="0097150D">
        <w:t>FPA moved t</w:t>
      </w:r>
      <w:r w:rsidR="007436BA">
        <w:t xml:space="preserve">o a bachelor for certification. </w:t>
      </w:r>
      <w:r w:rsidRPr="0097150D">
        <w:t xml:space="preserve">From 2012 a bachelor degree will be required for practitioner affiliation as well (interview with </w:t>
      </w:r>
      <w:r w:rsidR="007436BA">
        <w:t xml:space="preserve">the </w:t>
      </w:r>
      <w:r w:rsidR="007436BA" w:rsidRPr="0097150D">
        <w:t>Financial Planning Association</w:t>
      </w:r>
      <w:r w:rsidRPr="0097150D">
        <w:t>).</w:t>
      </w:r>
      <w:r w:rsidR="00E05AB2">
        <w:t xml:space="preserve"> </w:t>
      </w:r>
      <w:r w:rsidR="007D4410" w:rsidRPr="007D4410">
        <w:t xml:space="preserve">The move by the </w:t>
      </w:r>
      <w:r w:rsidR="007436BA">
        <w:t>association</w:t>
      </w:r>
      <w:r w:rsidR="007D4410" w:rsidRPr="007D4410">
        <w:t xml:space="preserve"> to require at least a bachelor qualification for certification as a C</w:t>
      </w:r>
      <w:r w:rsidR="00C64A44">
        <w:t xml:space="preserve">ertified </w:t>
      </w:r>
      <w:r w:rsidR="007D4410" w:rsidRPr="007D4410">
        <w:t>F</w:t>
      </w:r>
      <w:r w:rsidR="00C64A44">
        <w:t xml:space="preserve">inancial </w:t>
      </w:r>
      <w:r w:rsidR="007D4410" w:rsidRPr="007D4410">
        <w:t>P</w:t>
      </w:r>
      <w:r w:rsidR="00C64A44">
        <w:t>lanner</w:t>
      </w:r>
      <w:r w:rsidR="007D4410" w:rsidRPr="007D4410">
        <w:t xml:space="preserve"> has been seen as motivated by a desire to have the industry recognised as a profession, and to bring it into line with professions </w:t>
      </w:r>
      <w:r w:rsidR="007436BA">
        <w:t>such as accounting and law (Cowen, Blair &amp; Taylor 2006;</w:t>
      </w:r>
      <w:r w:rsidR="007D4410" w:rsidRPr="007D4410">
        <w:t xml:space="preserve"> </w:t>
      </w:r>
      <w:proofErr w:type="spellStart"/>
      <w:r w:rsidR="007D4410" w:rsidRPr="007D4410">
        <w:t>Jackling</w:t>
      </w:r>
      <w:proofErr w:type="spellEnd"/>
      <w:r w:rsidR="007D4410" w:rsidRPr="007D4410">
        <w:t xml:space="preserve"> </w:t>
      </w:r>
      <w:r w:rsidR="00E63A74">
        <w:t>&amp;</w:t>
      </w:r>
      <w:r w:rsidR="00BA770F">
        <w:t xml:space="preserve"> </w:t>
      </w:r>
      <w:r w:rsidR="007D4410" w:rsidRPr="007D4410">
        <w:t>Sullivan 2007).</w:t>
      </w:r>
    </w:p>
    <w:p w:rsidR="007D4410" w:rsidRDefault="007D4410" w:rsidP="007D4410">
      <w:pPr>
        <w:pStyle w:val="Text"/>
      </w:pPr>
      <w:r>
        <w:t>Financial planning, then, has shifted in just three decades from a specialisation of accounting or insurance broking undertaken largely by self-taught practitioners, to a regulated industry requiring mid-level qualifications to practi</w:t>
      </w:r>
      <w:r w:rsidR="00BA770F">
        <w:t>s</w:t>
      </w:r>
      <w:r>
        <w:t>e, and finally to a nascent profession</w:t>
      </w:r>
      <w:r w:rsidR="007436BA">
        <w:t>, which</w:t>
      </w:r>
      <w:r>
        <w:t xml:space="preserve"> in practice requires the status of a bachelor or postgraduate qualification for a high-level career.</w:t>
      </w:r>
    </w:p>
    <w:p w:rsidR="00170ECF" w:rsidRDefault="007D4410" w:rsidP="007D4410">
      <w:pPr>
        <w:pStyle w:val="Text"/>
      </w:pPr>
      <w:r>
        <w:t xml:space="preserve">This apparent credential creep </w:t>
      </w:r>
      <w:r w:rsidR="006D774C">
        <w:t xml:space="preserve">makes it harder for people to </w:t>
      </w:r>
      <w:r>
        <w:t>ent</w:t>
      </w:r>
      <w:r w:rsidR="006D774C">
        <w:t>er</w:t>
      </w:r>
      <w:r>
        <w:t xml:space="preserve"> the industry</w:t>
      </w:r>
      <w:r w:rsidR="006D774C">
        <w:t xml:space="preserve"> at a modest level and work their way up just by learning and gaining experience in employment. It is an extremely </w:t>
      </w:r>
      <w:r w:rsidR="003D1CEA">
        <w:t xml:space="preserve">pertinent </w:t>
      </w:r>
      <w:r w:rsidR="006D774C">
        <w:t>example of a change in</w:t>
      </w:r>
      <w:r>
        <w:t xml:space="preserve"> th</w:t>
      </w:r>
      <w:r w:rsidR="003D1CEA">
        <w:t>e way people navigate education</w:t>
      </w:r>
      <w:r w:rsidR="00CA4814">
        <w:t>-</w:t>
      </w:r>
      <w:r w:rsidR="003D1CEA">
        <w:t>to</w:t>
      </w:r>
      <w:r w:rsidR="00CA4814">
        <w:t>-</w:t>
      </w:r>
      <w:r w:rsidR="003D1CEA">
        <w:t>work, occupation</w:t>
      </w:r>
      <w:r w:rsidR="00CA4814">
        <w:t>-</w:t>
      </w:r>
      <w:r w:rsidR="003D1CEA">
        <w:t>to</w:t>
      </w:r>
      <w:r w:rsidR="00CA4814">
        <w:t>-</w:t>
      </w:r>
      <w:r>
        <w:t>occu</w:t>
      </w:r>
      <w:r w:rsidR="003D1CEA">
        <w:t>pation and work</w:t>
      </w:r>
      <w:r w:rsidR="00CA4814">
        <w:t>-</w:t>
      </w:r>
      <w:r w:rsidR="003D1CEA">
        <w:t>to</w:t>
      </w:r>
      <w:r w:rsidR="00CA4814">
        <w:t>-</w:t>
      </w:r>
      <w:r w:rsidR="003D1CEA">
        <w:t>education</w:t>
      </w:r>
      <w:r w:rsidR="00CA4814">
        <w:t>-</w:t>
      </w:r>
      <w:r w:rsidR="003D1CEA">
        <w:t>to</w:t>
      </w:r>
      <w:r w:rsidR="00CA4814">
        <w:t>-</w:t>
      </w:r>
      <w:r>
        <w:t>occupation p</w:t>
      </w:r>
      <w:r w:rsidR="00E05AB2">
        <w:t>athways</w:t>
      </w:r>
      <w:r>
        <w:t>. The difference between membership of a regulated in</w:t>
      </w:r>
      <w:r w:rsidR="003D1CEA">
        <w:t>dustry and membership of a high-</w:t>
      </w:r>
      <w:r>
        <w:t>statu</w:t>
      </w:r>
      <w:r w:rsidR="00E05AB2">
        <w:t>s profession i</w:t>
      </w:r>
      <w:r>
        <w:t>s spelt out in the explicit and implicit educational requirements. Th</w:t>
      </w:r>
      <w:r w:rsidR="00011743">
        <w:t>is has resulted in two very different types of qualifications</w:t>
      </w:r>
      <w:r w:rsidR="003D19A3">
        <w:t xml:space="preserve"> being offered</w:t>
      </w:r>
      <w:r w:rsidR="00011743">
        <w:t xml:space="preserve">. </w:t>
      </w:r>
      <w:r w:rsidR="003D19A3">
        <w:t xml:space="preserve">One type was </w:t>
      </w:r>
      <w:r>
        <w:t>training for ‘product sellers’</w:t>
      </w:r>
      <w:r w:rsidR="00CA4814">
        <w:t>,</w:t>
      </w:r>
      <w:r>
        <w:t xml:space="preserve"> delivered by </w:t>
      </w:r>
      <w:r w:rsidR="003D19A3">
        <w:t>a</w:t>
      </w:r>
      <w:r>
        <w:t xml:space="preserve"> private college </w:t>
      </w:r>
      <w:r w:rsidR="003D19A3">
        <w:t xml:space="preserve">and sponsored by an employer to meet regulatory requirements. This </w:t>
      </w:r>
      <w:r>
        <w:t xml:space="preserve">was in sharp contrast to the </w:t>
      </w:r>
      <w:r w:rsidR="003D19A3">
        <w:t xml:space="preserve">bachelor </w:t>
      </w:r>
      <w:r>
        <w:t xml:space="preserve">or postgraduate education </w:t>
      </w:r>
      <w:r w:rsidR="003D19A3">
        <w:t>offered by a</w:t>
      </w:r>
      <w:r>
        <w:t xml:space="preserve"> university</w:t>
      </w:r>
      <w:r w:rsidR="001B7AD8">
        <w:t>,</w:t>
      </w:r>
      <w:r>
        <w:t xml:space="preserve"> </w:t>
      </w:r>
      <w:r w:rsidR="003D19A3">
        <w:t xml:space="preserve">which met the requirements of the </w:t>
      </w:r>
      <w:r>
        <w:t>professiona</w:t>
      </w:r>
      <w:r w:rsidR="003D19A3">
        <w:t xml:space="preserve">l association. </w:t>
      </w:r>
      <w:r w:rsidR="008576CF">
        <w:t>TAFE</w:t>
      </w:r>
      <w:r w:rsidR="003D19A3">
        <w:t xml:space="preserve"> institutes approached for the study report</w:t>
      </w:r>
      <w:r w:rsidR="001B7AD8">
        <w:t xml:space="preserve">ed too few enrolments in their </w:t>
      </w:r>
      <w:r w:rsidR="00CA4814">
        <w:t xml:space="preserve">Diplomas </w:t>
      </w:r>
      <w:r w:rsidR="00E63A74">
        <w:t xml:space="preserve">in </w:t>
      </w:r>
      <w:r w:rsidR="00CA4814">
        <w:t>Financial Services (Financial Planning</w:t>
      </w:r>
      <w:r w:rsidR="00E63A74">
        <w:t>)</w:t>
      </w:r>
      <w:r w:rsidR="003D19A3">
        <w:t xml:space="preserve"> to continue offering the qualification.</w:t>
      </w:r>
      <w:r w:rsidR="00170ECF">
        <w:t xml:space="preserve"> </w:t>
      </w:r>
      <w:r w:rsidR="001B7AD8">
        <w:t xml:space="preserve">This is not </w:t>
      </w:r>
      <w:r w:rsidR="00B977B6">
        <w:t>surprising in view of the very few full</w:t>
      </w:r>
      <w:r w:rsidR="00CA4814">
        <w:t>-</w:t>
      </w:r>
      <w:r w:rsidR="00B977B6">
        <w:t xml:space="preserve">year training equivalents enrolled in the qualification </w:t>
      </w:r>
      <w:r w:rsidR="00E63A74">
        <w:t>across</w:t>
      </w:r>
      <w:r w:rsidR="00B977B6">
        <w:t xml:space="preserve"> Australia</w:t>
      </w:r>
      <w:r w:rsidR="00C91EEE">
        <w:t>, and there were no enrolments in this qualification between 2007 and 2011, the latest year figures available</w:t>
      </w:r>
      <w:r w:rsidR="001B7AD8">
        <w:t xml:space="preserve"> (t</w:t>
      </w:r>
      <w:r w:rsidR="00B977B6">
        <w:t xml:space="preserve">able </w:t>
      </w:r>
      <w:r w:rsidR="00C91EEE">
        <w:t>7</w:t>
      </w:r>
      <w:r w:rsidR="00B977B6">
        <w:t>).</w:t>
      </w:r>
    </w:p>
    <w:p w:rsidR="00B977B6" w:rsidRDefault="00A905A4" w:rsidP="00A905A4">
      <w:pPr>
        <w:pStyle w:val="tabletitle"/>
      </w:pPr>
      <w:r>
        <w:br w:type="page"/>
      </w:r>
      <w:bookmarkStart w:id="53" w:name="_Toc369273533"/>
      <w:r w:rsidR="000D53F3">
        <w:lastRenderedPageBreak/>
        <w:t>Table 7</w:t>
      </w:r>
      <w:r>
        <w:tab/>
      </w:r>
      <w:r w:rsidR="001B7AD8">
        <w:t>F</w:t>
      </w:r>
      <w:r w:rsidR="004201B0">
        <w:t>ull-</w:t>
      </w:r>
      <w:r w:rsidR="00170ECF">
        <w:t>year training equivalents enrolled in the diploma of financial servi</w:t>
      </w:r>
      <w:r w:rsidR="001B7AD8">
        <w:t>ces (financial planning) 2003–</w:t>
      </w:r>
      <w:bookmarkEnd w:id="53"/>
      <w:r w:rsidR="00220618">
        <w:t>11</w:t>
      </w:r>
    </w:p>
    <w:tbl>
      <w:tblPr>
        <w:tblW w:w="8789" w:type="dxa"/>
        <w:tblInd w:w="57" w:type="dxa"/>
        <w:tblBorders>
          <w:top w:val="single" w:sz="4" w:space="0" w:color="000000"/>
          <w:bottom w:val="single" w:sz="4" w:space="0" w:color="000000"/>
        </w:tblBorders>
        <w:tblLayout w:type="fixed"/>
        <w:tblCellMar>
          <w:left w:w="57" w:type="dxa"/>
          <w:right w:w="57" w:type="dxa"/>
        </w:tblCellMar>
        <w:tblLook w:val="01E0" w:firstRow="1" w:lastRow="1" w:firstColumn="1" w:lastColumn="1" w:noHBand="0" w:noVBand="0"/>
      </w:tblPr>
      <w:tblGrid>
        <w:gridCol w:w="2284"/>
        <w:gridCol w:w="722"/>
        <w:gridCol w:w="723"/>
        <w:gridCol w:w="723"/>
        <w:gridCol w:w="723"/>
        <w:gridCol w:w="722"/>
        <w:gridCol w:w="723"/>
        <w:gridCol w:w="723"/>
        <w:gridCol w:w="723"/>
        <w:gridCol w:w="723"/>
      </w:tblGrid>
      <w:tr w:rsidR="00C91EEE" w:rsidTr="00A905A4">
        <w:tc>
          <w:tcPr>
            <w:tcW w:w="2284" w:type="dxa"/>
            <w:tcBorders>
              <w:top w:val="single" w:sz="4" w:space="0" w:color="000000"/>
              <w:bottom w:val="single" w:sz="4" w:space="0" w:color="auto"/>
            </w:tcBorders>
            <w:shd w:val="clear" w:color="auto" w:fill="auto"/>
          </w:tcPr>
          <w:p w:rsidR="00C91EEE" w:rsidRPr="009E5339" w:rsidRDefault="00C91EEE" w:rsidP="00A905A4">
            <w:pPr>
              <w:pStyle w:val="Tablehead1"/>
              <w:rPr>
                <w:lang w:val="en-US"/>
              </w:rPr>
            </w:pPr>
          </w:p>
        </w:tc>
        <w:tc>
          <w:tcPr>
            <w:tcW w:w="722" w:type="dxa"/>
            <w:tcBorders>
              <w:top w:val="single" w:sz="4" w:space="0" w:color="000000"/>
              <w:bottom w:val="single" w:sz="4" w:space="0" w:color="auto"/>
            </w:tcBorders>
            <w:shd w:val="clear" w:color="auto" w:fill="auto"/>
          </w:tcPr>
          <w:p w:rsidR="00C91EEE" w:rsidRDefault="00C91EEE" w:rsidP="00A905A4">
            <w:pPr>
              <w:pStyle w:val="Tablehead1"/>
              <w:jc w:val="center"/>
            </w:pPr>
            <w:r>
              <w:t>2003</w:t>
            </w:r>
          </w:p>
        </w:tc>
        <w:tc>
          <w:tcPr>
            <w:tcW w:w="723" w:type="dxa"/>
            <w:tcBorders>
              <w:top w:val="single" w:sz="4" w:space="0" w:color="000000"/>
              <w:bottom w:val="single" w:sz="4" w:space="0" w:color="auto"/>
            </w:tcBorders>
            <w:shd w:val="clear" w:color="auto" w:fill="auto"/>
          </w:tcPr>
          <w:p w:rsidR="00C91EEE" w:rsidRDefault="00C91EEE" w:rsidP="00A905A4">
            <w:pPr>
              <w:pStyle w:val="Tablehead1"/>
              <w:jc w:val="center"/>
            </w:pPr>
            <w:r>
              <w:t>2004</w:t>
            </w:r>
          </w:p>
        </w:tc>
        <w:tc>
          <w:tcPr>
            <w:tcW w:w="723" w:type="dxa"/>
            <w:tcBorders>
              <w:top w:val="single" w:sz="4" w:space="0" w:color="000000"/>
              <w:bottom w:val="single" w:sz="4" w:space="0" w:color="auto"/>
            </w:tcBorders>
            <w:shd w:val="clear" w:color="auto" w:fill="auto"/>
          </w:tcPr>
          <w:p w:rsidR="00C91EEE" w:rsidRDefault="00C91EEE" w:rsidP="00A905A4">
            <w:pPr>
              <w:pStyle w:val="Tablehead1"/>
              <w:jc w:val="center"/>
            </w:pPr>
            <w:r>
              <w:t>2005</w:t>
            </w:r>
          </w:p>
        </w:tc>
        <w:tc>
          <w:tcPr>
            <w:tcW w:w="723" w:type="dxa"/>
            <w:tcBorders>
              <w:top w:val="single" w:sz="4" w:space="0" w:color="000000"/>
              <w:bottom w:val="single" w:sz="4" w:space="0" w:color="auto"/>
            </w:tcBorders>
            <w:shd w:val="clear" w:color="auto" w:fill="auto"/>
          </w:tcPr>
          <w:p w:rsidR="00C91EEE" w:rsidRDefault="00C91EEE" w:rsidP="00A905A4">
            <w:pPr>
              <w:pStyle w:val="Tablehead1"/>
              <w:jc w:val="center"/>
            </w:pPr>
            <w:r>
              <w:t>2006</w:t>
            </w:r>
          </w:p>
        </w:tc>
        <w:tc>
          <w:tcPr>
            <w:tcW w:w="722" w:type="dxa"/>
            <w:tcBorders>
              <w:top w:val="single" w:sz="4" w:space="0" w:color="000000"/>
              <w:bottom w:val="single" w:sz="4" w:space="0" w:color="auto"/>
            </w:tcBorders>
          </w:tcPr>
          <w:p w:rsidR="00C91EEE" w:rsidRDefault="00C91EEE" w:rsidP="00A905A4">
            <w:pPr>
              <w:pStyle w:val="Tablehead1"/>
              <w:jc w:val="center"/>
            </w:pPr>
            <w:r>
              <w:t>2007</w:t>
            </w:r>
          </w:p>
        </w:tc>
        <w:tc>
          <w:tcPr>
            <w:tcW w:w="723" w:type="dxa"/>
            <w:tcBorders>
              <w:top w:val="single" w:sz="4" w:space="0" w:color="000000"/>
              <w:bottom w:val="single" w:sz="4" w:space="0" w:color="auto"/>
            </w:tcBorders>
          </w:tcPr>
          <w:p w:rsidR="00C91EEE" w:rsidRDefault="00C91EEE" w:rsidP="00A905A4">
            <w:pPr>
              <w:pStyle w:val="Tablehead1"/>
              <w:jc w:val="center"/>
            </w:pPr>
            <w:r>
              <w:t>2008</w:t>
            </w:r>
          </w:p>
        </w:tc>
        <w:tc>
          <w:tcPr>
            <w:tcW w:w="723" w:type="dxa"/>
            <w:tcBorders>
              <w:top w:val="single" w:sz="4" w:space="0" w:color="000000"/>
              <w:bottom w:val="single" w:sz="4" w:space="0" w:color="auto"/>
            </w:tcBorders>
          </w:tcPr>
          <w:p w:rsidR="00C91EEE" w:rsidRDefault="00C91EEE" w:rsidP="00A905A4">
            <w:pPr>
              <w:pStyle w:val="Tablehead1"/>
              <w:jc w:val="center"/>
            </w:pPr>
            <w:r>
              <w:t>2009</w:t>
            </w:r>
          </w:p>
        </w:tc>
        <w:tc>
          <w:tcPr>
            <w:tcW w:w="723" w:type="dxa"/>
            <w:tcBorders>
              <w:top w:val="single" w:sz="4" w:space="0" w:color="000000"/>
              <w:bottom w:val="single" w:sz="4" w:space="0" w:color="auto"/>
            </w:tcBorders>
          </w:tcPr>
          <w:p w:rsidR="00C91EEE" w:rsidRDefault="00C91EEE" w:rsidP="00A905A4">
            <w:pPr>
              <w:pStyle w:val="Tablehead1"/>
              <w:jc w:val="center"/>
            </w:pPr>
            <w:r>
              <w:t>2010</w:t>
            </w:r>
          </w:p>
        </w:tc>
        <w:tc>
          <w:tcPr>
            <w:tcW w:w="723" w:type="dxa"/>
            <w:tcBorders>
              <w:top w:val="single" w:sz="4" w:space="0" w:color="000000"/>
              <w:bottom w:val="single" w:sz="4" w:space="0" w:color="auto"/>
            </w:tcBorders>
          </w:tcPr>
          <w:p w:rsidR="00C91EEE" w:rsidRDefault="00C91EEE" w:rsidP="00A905A4">
            <w:pPr>
              <w:pStyle w:val="Tablehead1"/>
              <w:jc w:val="center"/>
            </w:pPr>
            <w:r>
              <w:t>2011</w:t>
            </w:r>
          </w:p>
        </w:tc>
      </w:tr>
      <w:tr w:rsidR="00C91EEE" w:rsidRPr="00A905A4" w:rsidTr="00A905A4">
        <w:tc>
          <w:tcPr>
            <w:tcW w:w="2284" w:type="dxa"/>
            <w:tcBorders>
              <w:top w:val="single" w:sz="4" w:space="0" w:color="auto"/>
            </w:tcBorders>
            <w:shd w:val="clear" w:color="auto" w:fill="auto"/>
          </w:tcPr>
          <w:p w:rsidR="00C91EEE" w:rsidRPr="00A905A4" w:rsidRDefault="00DB4B59" w:rsidP="00CA4814">
            <w:pPr>
              <w:pStyle w:val="Tabletext"/>
            </w:pPr>
            <w:r w:rsidRPr="00A905A4">
              <w:t>Full</w:t>
            </w:r>
            <w:r w:rsidR="00CA4814">
              <w:t>-</w:t>
            </w:r>
            <w:r w:rsidRPr="00A905A4">
              <w:t xml:space="preserve">year training </w:t>
            </w:r>
            <w:r w:rsidR="00C91EEE" w:rsidRPr="00A905A4">
              <w:t>equivalents</w:t>
            </w:r>
          </w:p>
        </w:tc>
        <w:tc>
          <w:tcPr>
            <w:tcW w:w="722" w:type="dxa"/>
            <w:tcBorders>
              <w:top w:val="single" w:sz="4" w:space="0" w:color="auto"/>
            </w:tcBorders>
            <w:shd w:val="clear" w:color="auto" w:fill="auto"/>
          </w:tcPr>
          <w:p w:rsidR="00C91EEE" w:rsidRPr="00A905A4" w:rsidRDefault="00C91EEE" w:rsidP="00A905A4">
            <w:pPr>
              <w:pStyle w:val="Tabletext"/>
              <w:jc w:val="center"/>
            </w:pPr>
            <w:r w:rsidRPr="00A905A4">
              <w:t>4.2</w:t>
            </w:r>
          </w:p>
        </w:tc>
        <w:tc>
          <w:tcPr>
            <w:tcW w:w="723" w:type="dxa"/>
            <w:tcBorders>
              <w:top w:val="single" w:sz="4" w:space="0" w:color="auto"/>
            </w:tcBorders>
            <w:shd w:val="clear" w:color="auto" w:fill="auto"/>
          </w:tcPr>
          <w:p w:rsidR="00C91EEE" w:rsidRPr="00A905A4" w:rsidRDefault="00C91EEE" w:rsidP="00A905A4">
            <w:pPr>
              <w:pStyle w:val="Tabletext"/>
              <w:jc w:val="center"/>
            </w:pPr>
            <w:r w:rsidRPr="00A905A4">
              <w:t>43.4</w:t>
            </w:r>
          </w:p>
        </w:tc>
        <w:tc>
          <w:tcPr>
            <w:tcW w:w="723" w:type="dxa"/>
            <w:tcBorders>
              <w:top w:val="single" w:sz="4" w:space="0" w:color="auto"/>
            </w:tcBorders>
            <w:shd w:val="clear" w:color="auto" w:fill="auto"/>
          </w:tcPr>
          <w:p w:rsidR="00C91EEE" w:rsidRPr="00A905A4" w:rsidRDefault="00C91EEE" w:rsidP="00A905A4">
            <w:pPr>
              <w:pStyle w:val="Tabletext"/>
              <w:jc w:val="center"/>
            </w:pPr>
            <w:r w:rsidRPr="00A905A4">
              <w:t>38.3</w:t>
            </w:r>
          </w:p>
        </w:tc>
        <w:tc>
          <w:tcPr>
            <w:tcW w:w="723" w:type="dxa"/>
            <w:tcBorders>
              <w:top w:val="single" w:sz="4" w:space="0" w:color="auto"/>
            </w:tcBorders>
            <w:shd w:val="clear" w:color="auto" w:fill="auto"/>
          </w:tcPr>
          <w:p w:rsidR="00C91EEE" w:rsidRPr="00A905A4" w:rsidRDefault="00C91EEE" w:rsidP="00A905A4">
            <w:pPr>
              <w:pStyle w:val="Tabletext"/>
              <w:jc w:val="center"/>
            </w:pPr>
            <w:r w:rsidRPr="00A905A4">
              <w:t>3.2</w:t>
            </w:r>
          </w:p>
        </w:tc>
        <w:tc>
          <w:tcPr>
            <w:tcW w:w="722" w:type="dxa"/>
            <w:tcBorders>
              <w:top w:val="single" w:sz="4" w:space="0" w:color="auto"/>
            </w:tcBorders>
          </w:tcPr>
          <w:p w:rsidR="00C91EEE" w:rsidRPr="00A905A4" w:rsidRDefault="00C91EEE" w:rsidP="00A905A4">
            <w:pPr>
              <w:pStyle w:val="Tabletext"/>
              <w:jc w:val="center"/>
            </w:pPr>
            <w:r w:rsidRPr="00A905A4">
              <w:t>0.0</w:t>
            </w:r>
          </w:p>
        </w:tc>
        <w:tc>
          <w:tcPr>
            <w:tcW w:w="723" w:type="dxa"/>
            <w:tcBorders>
              <w:top w:val="single" w:sz="4" w:space="0" w:color="auto"/>
            </w:tcBorders>
          </w:tcPr>
          <w:p w:rsidR="00C91EEE" w:rsidRPr="00A905A4" w:rsidRDefault="00C91EEE" w:rsidP="00A905A4">
            <w:pPr>
              <w:pStyle w:val="Tabletext"/>
              <w:jc w:val="center"/>
            </w:pPr>
            <w:r w:rsidRPr="00A905A4">
              <w:t>0.0</w:t>
            </w:r>
          </w:p>
        </w:tc>
        <w:tc>
          <w:tcPr>
            <w:tcW w:w="723" w:type="dxa"/>
            <w:tcBorders>
              <w:top w:val="single" w:sz="4" w:space="0" w:color="auto"/>
            </w:tcBorders>
          </w:tcPr>
          <w:p w:rsidR="00C91EEE" w:rsidRPr="00A905A4" w:rsidRDefault="00C91EEE" w:rsidP="00A905A4">
            <w:pPr>
              <w:pStyle w:val="Tabletext"/>
              <w:jc w:val="center"/>
            </w:pPr>
            <w:r w:rsidRPr="00A905A4">
              <w:t>0.0</w:t>
            </w:r>
          </w:p>
        </w:tc>
        <w:tc>
          <w:tcPr>
            <w:tcW w:w="723" w:type="dxa"/>
            <w:tcBorders>
              <w:top w:val="single" w:sz="4" w:space="0" w:color="auto"/>
            </w:tcBorders>
          </w:tcPr>
          <w:p w:rsidR="00C91EEE" w:rsidRPr="00A905A4" w:rsidRDefault="00C91EEE" w:rsidP="00A905A4">
            <w:pPr>
              <w:pStyle w:val="Tabletext"/>
              <w:jc w:val="center"/>
            </w:pPr>
            <w:r w:rsidRPr="00A905A4">
              <w:t>0.0</w:t>
            </w:r>
          </w:p>
        </w:tc>
        <w:tc>
          <w:tcPr>
            <w:tcW w:w="723" w:type="dxa"/>
            <w:tcBorders>
              <w:top w:val="single" w:sz="4" w:space="0" w:color="auto"/>
            </w:tcBorders>
          </w:tcPr>
          <w:p w:rsidR="00C91EEE" w:rsidRPr="00A905A4" w:rsidRDefault="00C91EEE" w:rsidP="00A905A4">
            <w:pPr>
              <w:pStyle w:val="Tabletext"/>
              <w:jc w:val="center"/>
            </w:pPr>
            <w:r w:rsidRPr="00A905A4">
              <w:t>0.0</w:t>
            </w:r>
          </w:p>
        </w:tc>
      </w:tr>
    </w:tbl>
    <w:p w:rsidR="00C91EEE" w:rsidRDefault="00C91EEE" w:rsidP="00A905A4">
      <w:pPr>
        <w:pStyle w:val="Source"/>
      </w:pPr>
      <w:r>
        <w:t>Source</w:t>
      </w:r>
      <w:r w:rsidR="00A905A4">
        <w:t>:</w:t>
      </w:r>
      <w:r w:rsidR="00A905A4">
        <w:tab/>
      </w:r>
      <w:r>
        <w:t>VOCSTATS (</w:t>
      </w:r>
      <w:r w:rsidR="001B7AD8">
        <w:t>&lt;</w:t>
      </w:r>
      <w:hyperlink r:id="rId14" w:history="1">
        <w:r w:rsidRPr="006516C5">
          <w:rPr>
            <w:rStyle w:val="Hyperlink"/>
            <w:rFonts w:ascii="Arial" w:hAnsi="Arial"/>
            <w:sz w:val="15"/>
          </w:rPr>
          <w:t>www.ncver.edu.au/resources/vocstats/intro.html</w:t>
        </w:r>
      </w:hyperlink>
      <w:r w:rsidR="001B7AD8">
        <w:t>&gt;</w:t>
      </w:r>
      <w:r>
        <w:t xml:space="preserve"> extracted 28/5/2013</w:t>
      </w:r>
      <w:r w:rsidR="001B7AD8">
        <w:t>)</w:t>
      </w:r>
      <w:r>
        <w:t>.</w:t>
      </w:r>
    </w:p>
    <w:p w:rsidR="007D4410" w:rsidRPr="009A1285" w:rsidRDefault="009A1285" w:rsidP="009A1285">
      <w:pPr>
        <w:pStyle w:val="Heading2"/>
      </w:pPr>
      <w:bookmarkStart w:id="54" w:name="_Toc370199903"/>
      <w:r w:rsidRPr="009A1285">
        <w:t>Physician assistant</w:t>
      </w:r>
      <w:bookmarkEnd w:id="54"/>
    </w:p>
    <w:p w:rsidR="009A1285" w:rsidRDefault="006C3EF4" w:rsidP="002D0C0B">
      <w:pPr>
        <w:pStyle w:val="Text"/>
      </w:pPr>
      <w:r>
        <w:t>Physician</w:t>
      </w:r>
      <w:r w:rsidR="009A1285" w:rsidRPr="009A1285">
        <w:t xml:space="preserve"> assistants originated in the U</w:t>
      </w:r>
      <w:r>
        <w:t xml:space="preserve">nited </w:t>
      </w:r>
      <w:r w:rsidR="009A1285" w:rsidRPr="009A1285">
        <w:t>S</w:t>
      </w:r>
      <w:r>
        <w:t>tates</w:t>
      </w:r>
      <w:r w:rsidR="009A1285" w:rsidRPr="009A1285">
        <w:t>.</w:t>
      </w:r>
      <w:r w:rsidR="009A1285">
        <w:t xml:space="preserve"> </w:t>
      </w:r>
      <w:r w:rsidR="009A1285" w:rsidRPr="009A1285">
        <w:t>In 1961 Dr Charles L Hudson (1961, p</w:t>
      </w:r>
      <w:r w:rsidR="009A1285">
        <w:t>p</w:t>
      </w:r>
      <w:r w:rsidR="001B7AD8">
        <w:t>.839—</w:t>
      </w:r>
      <w:r w:rsidR="009A1285" w:rsidRPr="009A1285">
        <w:t xml:space="preserve">40) proposed the ‘creation of two new groups of assistants to doctors from nonmedical and </w:t>
      </w:r>
      <w:proofErr w:type="spellStart"/>
      <w:r w:rsidR="009A1285" w:rsidRPr="009A1285">
        <w:t>nonnursing</w:t>
      </w:r>
      <w:proofErr w:type="spellEnd"/>
      <w:r w:rsidR="009A1285" w:rsidRPr="009A1285">
        <w:t xml:space="preserve"> personnel’, one of which would be ‘assistants with special training, intermediate between that of the technician and that of the doctor, who could not only handle many technical procedures … but could also take some degree of medical responsibility’. Hudson pro</w:t>
      </w:r>
      <w:r w:rsidR="009A1285">
        <w:t>posed that this assistant</w:t>
      </w:r>
      <w:r w:rsidR="00CA4814">
        <w:t xml:space="preserve"> would</w:t>
      </w:r>
      <w:r w:rsidR="009A1285">
        <w:t xml:space="preserve"> have two</w:t>
      </w:r>
      <w:r w:rsidR="009A1285" w:rsidRPr="009A1285">
        <w:t xml:space="preserve"> or </w:t>
      </w:r>
      <w:r w:rsidR="009A1285">
        <w:t>three</w:t>
      </w:r>
      <w:r w:rsidR="009A1285" w:rsidRPr="009A1285">
        <w:t xml:space="preserve"> years of higher education plus ‘vocational training’.</w:t>
      </w:r>
      <w:r w:rsidR="009A1285">
        <w:t xml:space="preserve"> </w:t>
      </w:r>
    </w:p>
    <w:p w:rsidR="009A1285" w:rsidRDefault="009A1285" w:rsidP="009A1285">
      <w:pPr>
        <w:pStyle w:val="Text"/>
      </w:pPr>
      <w:r w:rsidRPr="009A1285">
        <w:t xml:space="preserve">The initiative for physician assistants in Australia came in 2006 from Peter Brooks (2006, p.14), then dean of the University of Queensland’s </w:t>
      </w:r>
      <w:r w:rsidR="001B7AD8">
        <w:t>Faculty o</w:t>
      </w:r>
      <w:r w:rsidR="001B7AD8" w:rsidRPr="009A1285">
        <w:t>f Health Science</w:t>
      </w:r>
      <w:r w:rsidRPr="009A1285">
        <w:t>.</w:t>
      </w:r>
      <w:r w:rsidR="006C3EF4">
        <w:t xml:space="preserve"> The first physician assistant</w:t>
      </w:r>
      <w:r>
        <w:t>s</w:t>
      </w:r>
      <w:r w:rsidR="006C3EF4">
        <w:t>’</w:t>
      </w:r>
      <w:r w:rsidR="001B7AD8">
        <w:t xml:space="preserve"> program in Australia was the M</w:t>
      </w:r>
      <w:r>
        <w:t xml:space="preserve">aster of </w:t>
      </w:r>
      <w:r w:rsidR="001B7AD8">
        <w:t xml:space="preserve">Physician Assistant Studies </w:t>
      </w:r>
      <w:r>
        <w:t xml:space="preserve">first offered by the University of Queensland in July 2009 (University of Queensland 2010, p.86). The program comprised half a year of coursework and a full year of clinical rotations. The entry requirements were a bachelor’s degree in biological or health sciences or a related field and one year </w:t>
      </w:r>
      <w:r w:rsidR="00E63A74">
        <w:t xml:space="preserve">of </w:t>
      </w:r>
      <w:r>
        <w:t xml:space="preserve">direct patient care experience (University of Queensland no date). The program admitted 11 students in its first year and 23 students in its second year. </w:t>
      </w:r>
    </w:p>
    <w:p w:rsidR="009A1285" w:rsidRDefault="009A1285" w:rsidP="009A1285">
      <w:pPr>
        <w:pStyle w:val="Text"/>
      </w:pPr>
      <w:r>
        <w:t>However, in May 2011 the</w:t>
      </w:r>
      <w:r w:rsidR="00E63A74">
        <w:t xml:space="preserve"> University of Queensland</w:t>
      </w:r>
      <w:r>
        <w:t xml:space="preserve"> announced that it would close its physician assistant’s program ‘in the light of a combination of key factors. This includes the resignation of the Program Director and the difficulty in recruiting a replacement within this field, the significant uncertainty about the future of a physician assistant workforce in Australia, and the associated financial risk’. Swan (Swan </w:t>
      </w:r>
      <w:r w:rsidR="004651B7">
        <w:t>&amp;</w:t>
      </w:r>
      <w:r>
        <w:t xml:space="preserve"> Wilkinson 2012) described this explanation as ‘very diplomatic’. Others cited trenchant opposition from the Australian Medical Association and nurses (Edwards 200</w:t>
      </w:r>
      <w:r w:rsidR="00B05EE8">
        <w:t>7</w:t>
      </w:r>
      <w:r>
        <w:t xml:space="preserve">; Jolly 2008, p.32; Swan </w:t>
      </w:r>
      <w:r w:rsidR="004651B7">
        <w:t>&amp;</w:t>
      </w:r>
      <w:r>
        <w:t xml:space="preserve"> Wilkinson 201</w:t>
      </w:r>
      <w:r w:rsidR="004651B7">
        <w:t xml:space="preserve">2; Sweet 2011a; </w:t>
      </w:r>
      <w:proofErr w:type="spellStart"/>
      <w:r w:rsidR="004651B7">
        <w:t>Pashen</w:t>
      </w:r>
      <w:proofErr w:type="spellEnd"/>
      <w:r w:rsidR="004651B7">
        <w:t xml:space="preserve"> in Sweet</w:t>
      </w:r>
      <w:r>
        <w:t xml:space="preserve"> 2011b). Physician assistants were, however, supported by the Australian College of Rural and Remote Medicine (2011). The closure was criticised heavily by Brooks, now at the University of Melbourne (Sweet 2011b).</w:t>
      </w:r>
    </w:p>
    <w:p w:rsidR="009A1285" w:rsidRDefault="009A1285" w:rsidP="00A905A4">
      <w:pPr>
        <w:pStyle w:val="Text"/>
        <w:ind w:right="141"/>
      </w:pPr>
      <w:r>
        <w:t xml:space="preserve">Other Australian universities have </w:t>
      </w:r>
      <w:r w:rsidR="004651B7">
        <w:t>begun</w:t>
      </w:r>
      <w:r>
        <w:t xml:space="preserve"> physician assistant programs. The Uni</w:t>
      </w:r>
      <w:r w:rsidR="004651B7">
        <w:t>versity of Adelaide promoted a M</w:t>
      </w:r>
      <w:r>
        <w:t xml:space="preserve">aster of </w:t>
      </w:r>
      <w:r w:rsidR="004651B7">
        <w:t xml:space="preserve">Physician Assistant Studies </w:t>
      </w:r>
      <w:r>
        <w:t xml:space="preserve">in 2010 but is not offering the program in 2012. James Cook </w:t>
      </w:r>
      <w:r w:rsidR="004651B7">
        <w:t xml:space="preserve">University (2011) introduced a </w:t>
      </w:r>
      <w:r w:rsidR="00CA4814">
        <w:t xml:space="preserve">Bachelor </w:t>
      </w:r>
      <w:r w:rsidR="00E63A74">
        <w:t xml:space="preserve">of </w:t>
      </w:r>
      <w:r w:rsidR="00CA4814">
        <w:t>Health Science (Physician Assistant</w:t>
      </w:r>
      <w:r>
        <w:t>) in 2012. The program comprises coursework for the first two years and clinical health service placements with limited residential blocks in the third year. Entrant</w:t>
      </w:r>
      <w:r w:rsidR="004651B7">
        <w:t>s are required to have a health-</w:t>
      </w:r>
      <w:r>
        <w:t>related degree or equivalent and a minim</w:t>
      </w:r>
      <w:r w:rsidR="004651B7">
        <w:t>um of two years equivalent full-</w:t>
      </w:r>
      <w:r>
        <w:t xml:space="preserve">time experience in a healthcare setting that includes direct patient contact (James Cook University </w:t>
      </w:r>
      <w:r w:rsidR="00E63A74">
        <w:t>2012</w:t>
      </w:r>
      <w:r>
        <w:t>).</w:t>
      </w:r>
      <w:r w:rsidR="00292E57">
        <w:t xml:space="preserve"> E</w:t>
      </w:r>
      <w:r>
        <w:t>dith Cowan University (</w:t>
      </w:r>
      <w:r w:rsidR="00E63A74">
        <w:t>2011</w:t>
      </w:r>
      <w:r>
        <w:t xml:space="preserve">) introduced a </w:t>
      </w:r>
      <w:r w:rsidR="00CA4814">
        <w:t xml:space="preserve">Master </w:t>
      </w:r>
      <w:r>
        <w:t xml:space="preserve">of </w:t>
      </w:r>
      <w:r w:rsidR="00CA4814">
        <w:t>Medical Science (Physician Assistant</w:t>
      </w:r>
      <w:r>
        <w:t>) program in 2011. The program’s entry re</w:t>
      </w:r>
      <w:r w:rsidR="003D19A3">
        <w:t xml:space="preserve">quirements were a </w:t>
      </w:r>
      <w:r w:rsidR="00CA4814">
        <w:t xml:space="preserve">Bachelor </w:t>
      </w:r>
      <w:r>
        <w:t xml:space="preserve">in </w:t>
      </w:r>
      <w:r w:rsidR="00CA4814">
        <w:t xml:space="preserve">Biological or Health Sciences </w:t>
      </w:r>
      <w:r>
        <w:t>or a related field and one year of direct clinical care experie</w:t>
      </w:r>
      <w:r w:rsidR="004651B7">
        <w:t>nce. The program comprised half-</w:t>
      </w:r>
      <w:r>
        <w:t>time coursework in the first year and four full</w:t>
      </w:r>
      <w:r w:rsidR="004651B7">
        <w:t>-</w:t>
      </w:r>
      <w:r>
        <w:t>time clinical rotations in the second year. The program is not included in the university’s 2012 handbook.</w:t>
      </w:r>
    </w:p>
    <w:p w:rsidR="007D4410" w:rsidRPr="009A1285" w:rsidRDefault="004651B7" w:rsidP="009A1285">
      <w:pPr>
        <w:pStyle w:val="Text"/>
      </w:pPr>
      <w:r>
        <w:lastRenderedPageBreak/>
        <w:t>The Australian and s</w:t>
      </w:r>
      <w:r w:rsidR="009A1285">
        <w:t>tate governments seem likely to continue promoting physicians</w:t>
      </w:r>
      <w:r w:rsidR="00E63A74">
        <w:t>’</w:t>
      </w:r>
      <w:r w:rsidR="009A1285">
        <w:t xml:space="preserve"> assistants, since a review by Health Workforce Australia concluded that physician assistants could make a significant contribution to addressing a number of key health needs (Miller </w:t>
      </w:r>
      <w:r w:rsidR="00B05EE8">
        <w:t>et al.</w:t>
      </w:r>
      <w:r w:rsidR="009A1285">
        <w:t xml:space="preserve"> 2011, p.1).</w:t>
      </w:r>
    </w:p>
    <w:p w:rsidR="001C39BD" w:rsidRPr="00F42BEF" w:rsidRDefault="00F42BEF" w:rsidP="00F42BEF">
      <w:pPr>
        <w:pStyle w:val="Heading2"/>
      </w:pPr>
      <w:bookmarkStart w:id="55" w:name="_Toc370199904"/>
      <w:r w:rsidRPr="00F42BEF">
        <w:t>Veterinary technologist</w:t>
      </w:r>
      <w:bookmarkEnd w:id="55"/>
    </w:p>
    <w:p w:rsidR="00F42BEF" w:rsidRDefault="00F42BEF" w:rsidP="00F42BEF">
      <w:pPr>
        <w:pStyle w:val="Text"/>
      </w:pPr>
      <w:r>
        <w:t xml:space="preserve">Australia also followed the US in establishing veterinary technology programs, where they may have been introduced by extension from physician assistants. </w:t>
      </w:r>
      <w:proofErr w:type="spellStart"/>
      <w:r>
        <w:t>Kogan</w:t>
      </w:r>
      <w:proofErr w:type="spellEnd"/>
      <w:r>
        <w:t xml:space="preserve"> </w:t>
      </w:r>
      <w:r w:rsidR="006452AC">
        <w:t xml:space="preserve">and </w:t>
      </w:r>
      <w:r>
        <w:t xml:space="preserve">Stewart </w:t>
      </w:r>
      <w:r w:rsidR="006452AC">
        <w:t>(</w:t>
      </w:r>
      <w:r>
        <w:t xml:space="preserve">2009, p.220) argued that the US should introduce ‘a mid-tier veterinary professional health care provider </w:t>
      </w:r>
      <w:r w:rsidR="00E63A74">
        <w:t>…</w:t>
      </w:r>
      <w:r>
        <w:t xml:space="preserve"> similar to the human medical profession’s physician assistant’.</w:t>
      </w:r>
    </w:p>
    <w:p w:rsidR="001C39BD" w:rsidRPr="005B3638" w:rsidRDefault="00F42BEF" w:rsidP="00F42BEF">
      <w:pPr>
        <w:pStyle w:val="Text"/>
      </w:pPr>
      <w:r>
        <w:t xml:space="preserve">The first and currently only veterinary technology program offered in Australia is the </w:t>
      </w:r>
      <w:r w:rsidR="00CA4814">
        <w:t>Bachelor</w:t>
      </w:r>
      <w:r w:rsidR="00CA4814" w:rsidRPr="00F42BEF">
        <w:t xml:space="preserve"> </w:t>
      </w:r>
      <w:r w:rsidR="00E63A74">
        <w:t xml:space="preserve">of </w:t>
      </w:r>
      <w:r w:rsidR="00CA4814">
        <w:t>A</w:t>
      </w:r>
      <w:r w:rsidR="00CA4814" w:rsidRPr="00F42BEF">
        <w:t xml:space="preserve">pplied </w:t>
      </w:r>
      <w:r w:rsidR="00CA4814">
        <w:t>S</w:t>
      </w:r>
      <w:r w:rsidR="00CA4814" w:rsidRPr="00F42BEF">
        <w:t>cience (</w:t>
      </w:r>
      <w:r w:rsidR="00CA4814">
        <w:t>v</w:t>
      </w:r>
      <w:r w:rsidR="00CA4814" w:rsidRPr="00F42BEF">
        <w:t xml:space="preserve">eterinary </w:t>
      </w:r>
      <w:r w:rsidR="00CA4814">
        <w:t>t</w:t>
      </w:r>
      <w:r w:rsidR="00CA4814" w:rsidRPr="00F42BEF">
        <w:t xml:space="preserve">echnology </w:t>
      </w:r>
      <w:r w:rsidRPr="00F42BEF">
        <w:t>extended major)</w:t>
      </w:r>
      <w:r>
        <w:t xml:space="preserve"> offered by the University of Queensland. </w:t>
      </w:r>
      <w:r w:rsidRPr="00F42BEF">
        <w:t xml:space="preserve">The program is broadly similar to other veterinary technology baccalaureates, such as that offered prominently by Purdue University since the late 1990s (Clarke, </w:t>
      </w:r>
      <w:proofErr w:type="spellStart"/>
      <w:r w:rsidRPr="00F42BEF">
        <w:t>Schull</w:t>
      </w:r>
      <w:proofErr w:type="spellEnd"/>
      <w:r w:rsidRPr="00F42BEF">
        <w:t xml:space="preserve"> &amp; Coleman 2009, p.241). The first year establishes a foundation in sciences such as chemistry, biology, animal anatomy and physiology. The second year introduces biochemistry and microbiology and applied sciences such as genetics and anima</w:t>
      </w:r>
      <w:r w:rsidR="004651B7">
        <w:t>l breeding, animal reproduction and</w:t>
      </w:r>
      <w:r w:rsidRPr="00F42BEF">
        <w:t xml:space="preserve"> animal nutrition. The final year is intensively clinical</w:t>
      </w:r>
      <w:r w:rsidR="004651B7">
        <w:t>,</w:t>
      </w:r>
      <w:r w:rsidRPr="00F42BEF">
        <w:t xml:space="preserve"> with a combination of laboratory classes and clinical placements, concentrating on small animals but also including equine and big anima</w:t>
      </w:r>
      <w:r w:rsidR="004651B7">
        <w:t>l health and management studies</w:t>
      </w:r>
      <w:r w:rsidRPr="00F42BEF">
        <w:t xml:space="preserve"> (Clarke, </w:t>
      </w:r>
      <w:proofErr w:type="spellStart"/>
      <w:r w:rsidRPr="00F42BEF">
        <w:t>Schull</w:t>
      </w:r>
      <w:proofErr w:type="spellEnd"/>
      <w:r w:rsidRPr="00F42BEF">
        <w:t xml:space="preserve"> &amp; Coleman 2009, p.241). The clinical rotations and industry placements are in locations such as the university’s veterinary teaching hospital, veterinary practices, zoos, wildlife parks, government agencies, welfare organisations, animal breeding enterprises and pharmaceutical companies.</w:t>
      </w:r>
      <w:r w:rsidR="005B3638">
        <w:t xml:space="preserve"> </w:t>
      </w:r>
      <w:r w:rsidR="005B3638" w:rsidRPr="005B3638">
        <w:t>Students may complete the veterinary tec</w:t>
      </w:r>
      <w:r w:rsidR="00E978F5">
        <w:t xml:space="preserve">hnology program jointly with a </w:t>
      </w:r>
      <w:r w:rsidR="00CA4814">
        <w:t>C</w:t>
      </w:r>
      <w:r w:rsidR="00CA4814" w:rsidRPr="005B3638">
        <w:t xml:space="preserve">ertificate </w:t>
      </w:r>
      <w:r w:rsidR="005B3638" w:rsidRPr="005B3638">
        <w:t xml:space="preserve">IV in </w:t>
      </w:r>
      <w:r w:rsidR="00CA4814" w:rsidRPr="005B3638">
        <w:t>Veterinary Nursing</w:t>
      </w:r>
      <w:r w:rsidR="00E63A74" w:rsidRPr="005B3638">
        <w:t>.</w:t>
      </w:r>
    </w:p>
    <w:p w:rsidR="005B3638" w:rsidRDefault="005B3638" w:rsidP="005B3638">
      <w:pPr>
        <w:pStyle w:val="Text"/>
      </w:pPr>
      <w:r>
        <w:t>A review of rural veterinary services conducted for the Australian Government in 2003 argued that the veterinary profession should promote new models of rural practice and that scope ex</w:t>
      </w:r>
      <w:r w:rsidR="00390566">
        <w:t>ists for veterinarians and para</w:t>
      </w:r>
      <w:r>
        <w:t>professionals in allied fields to work more cooperatively and closely (</w:t>
      </w:r>
      <w:proofErr w:type="spellStart"/>
      <w:r>
        <w:t>Frawley</w:t>
      </w:r>
      <w:proofErr w:type="spellEnd"/>
      <w:r>
        <w:t xml:space="preserve"> 2003 pp.77, 115). However, the review noted that ‘Among older veterinarians, in particular, there is some antipathy towards </w:t>
      </w:r>
      <w:proofErr w:type="spellStart"/>
      <w:r>
        <w:t>para</w:t>
      </w:r>
      <w:proofErr w:type="spellEnd"/>
      <w:r>
        <w:t xml:space="preserve"> and other professionals’ (</w:t>
      </w:r>
      <w:proofErr w:type="spellStart"/>
      <w:r>
        <w:t>Frawley</w:t>
      </w:r>
      <w:proofErr w:type="spellEnd"/>
      <w:r>
        <w:t xml:space="preserve"> 2003, p.76).</w:t>
      </w:r>
      <w:r w:rsidR="000305D7">
        <w:t xml:space="preserve"> </w:t>
      </w:r>
      <w:r w:rsidR="000305D7" w:rsidRPr="000305D7">
        <w:t>The coordinator of the final year of the University of Queensland’s veterinary technology program reports that veterinary practice is changing faster tha</w:t>
      </w:r>
      <w:r w:rsidR="006C3EF4">
        <w:t>n</w:t>
      </w:r>
      <w:r w:rsidR="000305D7" w:rsidRPr="000305D7">
        <w:t xml:space="preserve"> veterinary principals realise. Opportunities for veterinary technology graduates are emerging in practice management, specialist technical areas such as emergency and critical care, dermatology</w:t>
      </w:r>
      <w:r w:rsidR="00CA4814">
        <w:t>,</w:t>
      </w:r>
      <w:r w:rsidR="000305D7" w:rsidRPr="000305D7">
        <w:t xml:space="preserve"> and veterinary research and pharmaceuticals. Opportunities are also arising in stock inspection for disease control and animal welfare regulation (Clarke 20</w:t>
      </w:r>
      <w:r w:rsidR="00390566">
        <w:t>04, p.</w:t>
      </w:r>
      <w:r w:rsidR="000305D7" w:rsidRPr="000305D7">
        <w:t>39).</w:t>
      </w:r>
    </w:p>
    <w:p w:rsidR="00A31485" w:rsidRPr="000305D7" w:rsidRDefault="00A31485" w:rsidP="005B3638">
      <w:pPr>
        <w:pStyle w:val="Text"/>
      </w:pPr>
      <w:r w:rsidRPr="00A31485">
        <w:t xml:space="preserve">It is </w:t>
      </w:r>
      <w:r>
        <w:t xml:space="preserve">perhaps significant </w:t>
      </w:r>
      <w:r w:rsidRPr="00A31485">
        <w:t>that the coordinator of the final year of the University of Queensland’s veterinary technology program, Ms Patricia (Trish) Clarke, is a veterinary physician with</w:t>
      </w:r>
      <w:r w:rsidR="00390566">
        <w:t xml:space="preserve"> close links with practitioners,</w:t>
      </w:r>
      <w:r w:rsidRPr="00A31485">
        <w:t xml:space="preserve"> and that the champion of the University of Queensland’s physician assistant program, Professor Peter Brooks, is now Director of the Australian Health Workforce Institute. Maintaining such close knowledge of the relevant industry is feasible for the program coordinator and head of school, but is probably too detailed for most deans of faculty and other senior academic managers not directly related to the field.</w:t>
      </w:r>
    </w:p>
    <w:p w:rsidR="00F42BEF" w:rsidRDefault="000305D7" w:rsidP="000305D7">
      <w:pPr>
        <w:pStyle w:val="Heading2"/>
      </w:pPr>
      <w:bookmarkStart w:id="56" w:name="_Toc370199905"/>
      <w:r>
        <w:t>Conclusion</w:t>
      </w:r>
      <w:bookmarkEnd w:id="56"/>
    </w:p>
    <w:p w:rsidR="000556C3" w:rsidRDefault="00B977B6" w:rsidP="002D0C0B">
      <w:pPr>
        <w:pStyle w:val="Text"/>
      </w:pPr>
      <w:r>
        <w:t>O</w:t>
      </w:r>
      <w:r w:rsidR="000556C3">
        <w:t xml:space="preserve">f the </w:t>
      </w:r>
      <w:r>
        <w:t>qualific</w:t>
      </w:r>
      <w:r w:rsidR="00EB5977">
        <w:t>ation</w:t>
      </w:r>
      <w:r w:rsidR="00066ADA">
        <w:t>s</w:t>
      </w:r>
      <w:r w:rsidR="00EB5977">
        <w:t xml:space="preserve"> preparing graduates for </w:t>
      </w:r>
      <w:r w:rsidR="00390566">
        <w:t>the para</w:t>
      </w:r>
      <w:r>
        <w:t>professional role</w:t>
      </w:r>
      <w:r w:rsidR="00EB5977">
        <w:t>s considered here</w:t>
      </w:r>
      <w:r w:rsidR="00066ADA">
        <w:t>,</w:t>
      </w:r>
      <w:r w:rsidR="00EB5977">
        <w:t xml:space="preserve"> the one</w:t>
      </w:r>
      <w:r w:rsidR="000305D7">
        <w:t xml:space="preserve"> that seem</w:t>
      </w:r>
      <w:r w:rsidR="00066ADA">
        <w:t>s</w:t>
      </w:r>
      <w:r w:rsidR="000305D7">
        <w:t xml:space="preserve"> to have the</w:t>
      </w:r>
      <w:r w:rsidR="00390566">
        <w:t xml:space="preserve"> most potential for filling mid-</w:t>
      </w:r>
      <w:r w:rsidR="000305D7">
        <w:t xml:space="preserve">level gaps in work is the </w:t>
      </w:r>
      <w:r w:rsidR="000556C3">
        <w:t>minerals i</w:t>
      </w:r>
      <w:r w:rsidR="000305D7" w:rsidRPr="000305D7">
        <w:t xml:space="preserve">ndustry </w:t>
      </w:r>
      <w:r w:rsidR="000556C3">
        <w:t>n</w:t>
      </w:r>
      <w:r w:rsidR="000305D7" w:rsidRPr="000305D7">
        <w:t xml:space="preserve">ational </w:t>
      </w:r>
      <w:r w:rsidR="000556C3">
        <w:t>a</w:t>
      </w:r>
      <w:r w:rsidR="000305D7" w:rsidRPr="000305D7">
        <w:t xml:space="preserve">ssociate </w:t>
      </w:r>
      <w:r w:rsidR="000556C3">
        <w:t>d</w:t>
      </w:r>
      <w:r w:rsidR="000305D7" w:rsidRPr="000305D7">
        <w:t>egree</w:t>
      </w:r>
      <w:r w:rsidR="000556C3">
        <w:t xml:space="preserve">. It is </w:t>
      </w:r>
      <w:r w:rsidR="00EB5977">
        <w:t xml:space="preserve">significant </w:t>
      </w:r>
      <w:r w:rsidR="000556C3">
        <w:t xml:space="preserve">that this </w:t>
      </w:r>
      <w:r>
        <w:t xml:space="preserve">is </w:t>
      </w:r>
      <w:proofErr w:type="gramStart"/>
      <w:r>
        <w:t>a collaboration</w:t>
      </w:r>
      <w:proofErr w:type="gramEnd"/>
      <w:r>
        <w:t xml:space="preserve"> </w:t>
      </w:r>
      <w:r w:rsidR="00E978F5">
        <w:t>between</w:t>
      </w:r>
      <w:r>
        <w:t xml:space="preserve"> the social partners: it </w:t>
      </w:r>
      <w:r w:rsidR="000556C3">
        <w:t xml:space="preserve">is </w:t>
      </w:r>
      <w:r w:rsidR="000556C3">
        <w:lastRenderedPageBreak/>
        <w:t>sponsored by an industry body</w:t>
      </w:r>
      <w:r>
        <w:t xml:space="preserve">, </w:t>
      </w:r>
      <w:r w:rsidR="000556C3">
        <w:t>support</w:t>
      </w:r>
      <w:r>
        <w:t>ed by</w:t>
      </w:r>
      <w:r w:rsidR="007E33DE">
        <w:t xml:space="preserve"> </w:t>
      </w:r>
      <w:r w:rsidR="000556C3">
        <w:t xml:space="preserve">the Australian Government and </w:t>
      </w:r>
      <w:r>
        <w:t xml:space="preserve">was developed and is being offered by </w:t>
      </w:r>
      <w:r w:rsidR="000556C3">
        <w:t>tertiary education institutions. It is also not</w:t>
      </w:r>
      <w:r w:rsidR="00EB5977">
        <w:t>eworthy</w:t>
      </w:r>
      <w:r w:rsidR="000556C3">
        <w:t xml:space="preserve"> that the project developed from the </w:t>
      </w:r>
      <w:r w:rsidR="000556C3" w:rsidRPr="00334674">
        <w:t>Minerals Tertiary Education Council</w:t>
      </w:r>
      <w:r w:rsidR="00390566">
        <w:t>,</w:t>
      </w:r>
      <w:r w:rsidR="000556C3">
        <w:t xml:space="preserve"> </w:t>
      </w:r>
      <w:r w:rsidR="00390566">
        <w:t>established by</w:t>
      </w:r>
      <w:r w:rsidR="000556C3">
        <w:t xml:space="preserve"> the Minerals Council of Australia in </w:t>
      </w:r>
      <w:r w:rsidR="00112912">
        <w:t>1998</w:t>
      </w:r>
      <w:r w:rsidR="00390566">
        <w:t>,</w:t>
      </w:r>
      <w:r w:rsidR="000556C3">
        <w:t xml:space="preserve"> following </w:t>
      </w:r>
      <w:r w:rsidR="00390566">
        <w:t>a</w:t>
      </w:r>
      <w:r w:rsidR="000556C3">
        <w:t xml:space="preserve"> review which identified problems in both tertiary education and industry. </w:t>
      </w:r>
    </w:p>
    <w:p w:rsidR="00C51611" w:rsidRPr="00C51611" w:rsidRDefault="00C51611" w:rsidP="002D0C0B">
      <w:pPr>
        <w:pStyle w:val="Text"/>
      </w:pPr>
      <w:r>
        <w:t xml:space="preserve">While the </w:t>
      </w:r>
      <w:r w:rsidRPr="00C51611">
        <w:rPr>
          <w:i/>
        </w:rPr>
        <w:t>Financial Services Reform Act 2001</w:t>
      </w:r>
      <w:r>
        <w:t xml:space="preserve"> requires a diploma for those providing independent financial advice, since 2007 </w:t>
      </w:r>
      <w:r w:rsidR="00292E57">
        <w:t xml:space="preserve">the </w:t>
      </w:r>
      <w:r>
        <w:t xml:space="preserve">Financial Planners Association has required a bachelor degree for membership. This has effectively set the </w:t>
      </w:r>
      <w:r w:rsidR="00D27A64">
        <w:t>requirement</w:t>
      </w:r>
      <w:r w:rsidR="00E978F5">
        <w:t xml:space="preserve"> for entry to practis</w:t>
      </w:r>
      <w:r>
        <w:t>e and is undermining the viability of the</w:t>
      </w:r>
      <w:r w:rsidR="00E978F5">
        <w:t xml:space="preserve"> </w:t>
      </w:r>
      <w:r w:rsidR="00CA4814" w:rsidRPr="00C51611">
        <w:t xml:space="preserve">Diploma </w:t>
      </w:r>
      <w:r w:rsidR="00E978F5" w:rsidRPr="00C51611">
        <w:t xml:space="preserve">in </w:t>
      </w:r>
      <w:r w:rsidR="00CA4814" w:rsidRPr="00C51611">
        <w:t>Financial Services (Financial Planning</w:t>
      </w:r>
      <w:r w:rsidRPr="00C51611">
        <w:t>)</w:t>
      </w:r>
      <w:r>
        <w:t xml:space="preserve">, </w:t>
      </w:r>
      <w:r w:rsidR="00A31485">
        <w:t>reducing opportunities for people to enter the industry at a modest level and work their way up</w:t>
      </w:r>
      <w:r>
        <w:t>.</w:t>
      </w:r>
    </w:p>
    <w:p w:rsidR="000305D7" w:rsidRDefault="007F2D84" w:rsidP="000305D7">
      <w:pPr>
        <w:pStyle w:val="Text"/>
      </w:pPr>
      <w:r>
        <w:t xml:space="preserve">The programs for physician assistants and veterinary technologists are examples of educational institutions </w:t>
      </w:r>
      <w:r w:rsidR="00D27A64">
        <w:t xml:space="preserve">taking the initiative in establishing programs to prepare graduates for </w:t>
      </w:r>
      <w:r w:rsidR="00390566">
        <w:t xml:space="preserve">the </w:t>
      </w:r>
      <w:proofErr w:type="spellStart"/>
      <w:r w:rsidR="00390566">
        <w:t>para</w:t>
      </w:r>
      <w:r w:rsidR="001A175D">
        <w:t>professions</w:t>
      </w:r>
      <w:proofErr w:type="spellEnd"/>
      <w:r w:rsidR="00D27A64">
        <w:t xml:space="preserve">. They have achieved </w:t>
      </w:r>
      <w:r w:rsidR="00390566">
        <w:t xml:space="preserve">only </w:t>
      </w:r>
      <w:r w:rsidR="00D27A64">
        <w:t xml:space="preserve">modest success so far, largely because of trenchant opposition from competing professionals. </w:t>
      </w:r>
      <w:r w:rsidR="000305D7">
        <w:t>The</w:t>
      </w:r>
      <w:r w:rsidR="007E33DE">
        <w:t>se</w:t>
      </w:r>
      <w:r w:rsidR="00D27A64">
        <w:t xml:space="preserve"> </w:t>
      </w:r>
      <w:r w:rsidR="007E33DE">
        <w:t xml:space="preserve">two </w:t>
      </w:r>
      <w:r w:rsidR="00D27A64">
        <w:t xml:space="preserve">cases </w:t>
      </w:r>
      <w:r w:rsidR="000305D7">
        <w:t>suggest the</w:t>
      </w:r>
      <w:r w:rsidR="006C3EF4">
        <w:t xml:space="preserve"> following</w:t>
      </w:r>
      <w:r w:rsidR="000305D7">
        <w:t xml:space="preserve"> conditions for educational instituti</w:t>
      </w:r>
      <w:r w:rsidR="000A2C1E">
        <w:t xml:space="preserve">ons to introduce successful </w:t>
      </w:r>
      <w:r w:rsidR="000305D7">
        <w:t>qualifications</w:t>
      </w:r>
      <w:r w:rsidR="000A2C1E">
        <w:t xml:space="preserve"> with </w:t>
      </w:r>
      <w:proofErr w:type="gramStart"/>
      <w:r w:rsidR="000A2C1E">
        <w:t>an employment</w:t>
      </w:r>
      <w:proofErr w:type="gramEnd"/>
      <w:r w:rsidR="000A2C1E">
        <w:t xml:space="preserve"> logic</w:t>
      </w:r>
      <w:r w:rsidR="000305D7">
        <w:t>.</w:t>
      </w:r>
    </w:p>
    <w:p w:rsidR="000305D7" w:rsidRDefault="000305D7" w:rsidP="00A905A4">
      <w:pPr>
        <w:pStyle w:val="Dotpoint1"/>
      </w:pPr>
      <w:r>
        <w:t>Identify a role in the workforce</w:t>
      </w:r>
      <w:r w:rsidR="00E978F5">
        <w:t>.</w:t>
      </w:r>
    </w:p>
    <w:p w:rsidR="000305D7" w:rsidRDefault="000305D7" w:rsidP="00D14351">
      <w:pPr>
        <w:pStyle w:val="Text"/>
        <w:spacing w:before="80"/>
        <w:ind w:left="284" w:right="0"/>
      </w:pPr>
      <w:r>
        <w:t xml:space="preserve">The first and crucial step is to identify a role in the workforce to be filled by the new worker who would </w:t>
      </w:r>
      <w:r w:rsidR="00390566">
        <w:t>undertake</w:t>
      </w:r>
      <w:r>
        <w:t xml:space="preserve"> the qualification. In their early and perhaps developmental form some of these statements of roles are somewhat vague</w:t>
      </w:r>
      <w:r w:rsidR="006452AC">
        <w:t>;</w:t>
      </w:r>
      <w:r>
        <w:t xml:space="preserve"> they tend to be cast in general terms so they don’t limit the potential for the new worker to develop their role or to anticipate an objection that the proposed role is already performed by another worker. Initial role statements also tend to be ambiguous to avoid </w:t>
      </w:r>
      <w:r w:rsidRPr="00D14351">
        <w:t>conflicts</w:t>
      </w:r>
      <w:r>
        <w:t xml:space="preserve"> with other workers’ roles. Most educational programs, particularly those with </w:t>
      </w:r>
      <w:proofErr w:type="gramStart"/>
      <w:r>
        <w:t>an employment</w:t>
      </w:r>
      <w:proofErr w:type="gramEnd"/>
      <w:r>
        <w:t xml:space="preserve"> logic, tend to incorporate structured work experience. A description of the work experience to be undertaken by students helps to clarify graduates’ roles by stating the scope of their practice and the contexts in which it may be exercised.</w:t>
      </w:r>
    </w:p>
    <w:p w:rsidR="000305D7" w:rsidRDefault="000305D7" w:rsidP="00A905A4">
      <w:pPr>
        <w:pStyle w:val="Dotpoint1"/>
      </w:pPr>
      <w:r>
        <w:t>Convince employers of the benefits of the new role</w:t>
      </w:r>
      <w:r w:rsidR="00E978F5">
        <w:t>.</w:t>
      </w:r>
    </w:p>
    <w:p w:rsidR="000305D7" w:rsidRDefault="000305D7" w:rsidP="00D14351">
      <w:pPr>
        <w:pStyle w:val="Text"/>
        <w:spacing w:before="80"/>
        <w:ind w:left="284" w:right="0"/>
      </w:pPr>
      <w:r>
        <w:t xml:space="preserve">It is necessary to convince at least some employers of the benefits of the new work role. Many occupations are found in a variety of settings and </w:t>
      </w:r>
      <w:r w:rsidR="008A4EAC">
        <w:t xml:space="preserve">are </w:t>
      </w:r>
      <w:r>
        <w:t>employed by different types of employers. In general</w:t>
      </w:r>
      <w:r w:rsidR="006C3EF4">
        <w:t>,</w:t>
      </w:r>
      <w:r>
        <w:t xml:space="preserve"> employers with few employees differentiate work roles less </w:t>
      </w:r>
      <w:r w:rsidR="008A4EAC">
        <w:t xml:space="preserve">often </w:t>
      </w:r>
      <w:r>
        <w:t xml:space="preserve">than </w:t>
      </w:r>
      <w:r w:rsidR="00E978F5">
        <w:t>large</w:t>
      </w:r>
      <w:r>
        <w:t xml:space="preserve"> employers</w:t>
      </w:r>
      <w:r w:rsidR="008A4EAC">
        <w:t>, meaning that the latter</w:t>
      </w:r>
      <w:r>
        <w:t xml:space="preserve"> are likely to be more receptive to the benefits of a new work role. Proponents may concentrate on the most receptive employers, at least initially. Again, students’ work experience can usefully crystallise the extent of employers’ support for a new role. While planning a new program</w:t>
      </w:r>
      <w:r w:rsidR="008A4EAC">
        <w:t>,</w:t>
      </w:r>
      <w:r>
        <w:t xml:space="preserve"> educational institutions may ask employers whether they would in principle and be likely to accept students on work experience. There seems little point in proceeding with a program unless it </w:t>
      </w:r>
      <w:r w:rsidR="008A4EAC">
        <w:t>appears</w:t>
      </w:r>
      <w:r>
        <w:t xml:space="preserve"> likely that work experience places will be available for most students. While a program is being introduced</w:t>
      </w:r>
      <w:r w:rsidR="008A4EAC">
        <w:t>,</w:t>
      </w:r>
      <w:r>
        <w:t xml:space="preserve"> work experience is as much experience for employers as it is for students, and if employers’ experience is good they are more likely to employ the program’s graduates.</w:t>
      </w:r>
    </w:p>
    <w:p w:rsidR="000305D7" w:rsidRDefault="000305D7" w:rsidP="00A905A4">
      <w:pPr>
        <w:pStyle w:val="Dotpoint1"/>
      </w:pPr>
      <w:r>
        <w:t>Understand workforce structure and dynamics</w:t>
      </w:r>
      <w:r w:rsidR="00E978F5">
        <w:t>.</w:t>
      </w:r>
    </w:p>
    <w:p w:rsidR="000305D7" w:rsidRDefault="008A4EAC" w:rsidP="00D14351">
      <w:pPr>
        <w:pStyle w:val="Text"/>
        <w:spacing w:before="80"/>
        <w:ind w:left="284" w:right="0"/>
      </w:pPr>
      <w:r>
        <w:t>The long-term prospects of mid-level job roles and thus mid-</w:t>
      </w:r>
      <w:r w:rsidR="000305D7">
        <w:t>le</w:t>
      </w:r>
      <w:r>
        <w:t>vel qualifications depend</w:t>
      </w:r>
      <w:r w:rsidR="000305D7">
        <w:t xml:space="preserve"> on the structure of the relevant labour market and therefore the str</w:t>
      </w:r>
      <w:r>
        <w:t>ucture of the relevant industry</w:t>
      </w:r>
      <w:r w:rsidR="000305D7">
        <w:t xml:space="preserve"> and how both change. </w:t>
      </w:r>
      <w:r w:rsidR="00BE522C">
        <w:t xml:space="preserve">The staff developing and offering </w:t>
      </w:r>
      <w:r>
        <w:t>mid-</w:t>
      </w:r>
      <w:r w:rsidR="00515B50">
        <w:t xml:space="preserve">level </w:t>
      </w:r>
      <w:r w:rsidR="000305D7">
        <w:t xml:space="preserve">qualifications </w:t>
      </w:r>
      <w:r w:rsidR="009873E3">
        <w:t xml:space="preserve">therefore </w:t>
      </w:r>
      <w:r w:rsidR="000305D7">
        <w:t>need</w:t>
      </w:r>
      <w:r w:rsidR="00BE522C">
        <w:t xml:space="preserve"> to have</w:t>
      </w:r>
      <w:r w:rsidR="001A3C1E">
        <w:t xml:space="preserve"> continuing close connections to the field</w:t>
      </w:r>
      <w:r w:rsidR="006C3EF4">
        <w:t>.</w:t>
      </w:r>
    </w:p>
    <w:p w:rsidR="000305D7" w:rsidRDefault="00386BF9" w:rsidP="00386BF9">
      <w:pPr>
        <w:pStyle w:val="Heading1"/>
      </w:pPr>
      <w:r>
        <w:br w:type="page"/>
      </w:r>
      <w:bookmarkStart w:id="57" w:name="_Toc370199906"/>
      <w:r>
        <w:lastRenderedPageBreak/>
        <w:t>Conclusion</w:t>
      </w:r>
      <w:bookmarkEnd w:id="57"/>
    </w:p>
    <w:p w:rsidR="009C7100" w:rsidRPr="009C7100" w:rsidRDefault="00B3451F" w:rsidP="002C1A5D">
      <w:pPr>
        <w:pStyle w:val="Text"/>
      </w:pPr>
      <w:r>
        <w:t xml:space="preserve">In the first year </w:t>
      </w:r>
      <w:r w:rsidR="0078750E">
        <w:t xml:space="preserve">of this project </w:t>
      </w:r>
      <w:r>
        <w:t xml:space="preserve">we noted that only 36.6% of </w:t>
      </w:r>
      <w:r w:rsidR="008431EC">
        <w:t>VET</w:t>
      </w:r>
      <w:r w:rsidR="008A4EAC">
        <w:t xml:space="preserve"> </w:t>
      </w:r>
      <w:r>
        <w:t>graduates in 2007 were employed in the field of their training package six months after completing their program (</w:t>
      </w:r>
      <w:proofErr w:type="spellStart"/>
      <w:r>
        <w:t>Karmel</w:t>
      </w:r>
      <w:proofErr w:type="spellEnd"/>
      <w:r>
        <w:t xml:space="preserve">, </w:t>
      </w:r>
      <w:proofErr w:type="spellStart"/>
      <w:r>
        <w:t>Mlotkowski</w:t>
      </w:r>
      <w:proofErr w:type="spellEnd"/>
      <w:r>
        <w:t xml:space="preserve"> &amp; </w:t>
      </w:r>
      <w:proofErr w:type="spellStart"/>
      <w:r>
        <w:t>Awodeyi</w:t>
      </w:r>
      <w:proofErr w:type="spellEnd"/>
      <w:r>
        <w:t xml:space="preserve"> 2008, p.10; </w:t>
      </w:r>
      <w:proofErr w:type="spellStart"/>
      <w:r>
        <w:t>Moodie</w:t>
      </w:r>
      <w:proofErr w:type="spellEnd"/>
      <w:r w:rsidR="008A4EAC">
        <w:t xml:space="preserve"> 2012, p.15). T</w:t>
      </w:r>
      <w:r>
        <w:t xml:space="preserve">he support document </w:t>
      </w:r>
      <w:r w:rsidR="008A4EAC">
        <w:t>accompanying</w:t>
      </w:r>
      <w:r>
        <w:t xml:space="preserve"> this report </w:t>
      </w:r>
      <w:r w:rsidR="008A4EAC">
        <w:t>notes</w:t>
      </w:r>
      <w:r>
        <w:t xml:space="preserve"> that the proportion of vocational education graduates in 2011 employed in the same field as their training package </w:t>
      </w:r>
      <w:r w:rsidR="007E33DE">
        <w:t xml:space="preserve">barely </w:t>
      </w:r>
      <w:r>
        <w:t>increased</w:t>
      </w:r>
      <w:r w:rsidR="00CA4814">
        <w:t>,</w:t>
      </w:r>
      <w:r>
        <w:t xml:space="preserve"> to 37.2%. </w:t>
      </w:r>
      <w:r w:rsidR="007E33DE">
        <w:t>T</w:t>
      </w:r>
      <w:r>
        <w:t xml:space="preserve">his seems very low for </w:t>
      </w:r>
      <w:r w:rsidR="009C7100">
        <w:t>qualifications that ‘</w:t>
      </w:r>
      <w:r w:rsidR="009C7100" w:rsidRPr="009C7100">
        <w:t>specify the skills and knowledge required to perform effectively in the workplace’ as the National Skills Standards Council (2012, p.4) specifies.</w:t>
      </w:r>
    </w:p>
    <w:p w:rsidR="00435FCE" w:rsidRDefault="0078750E" w:rsidP="00435FCE">
      <w:pPr>
        <w:pStyle w:val="Text"/>
      </w:pPr>
      <w:r>
        <w:t xml:space="preserve">The analysis of the 2011 </w:t>
      </w:r>
      <w:r w:rsidR="00E4794D">
        <w:t>Student Outcomes Survey</w:t>
      </w:r>
      <w:r>
        <w:t xml:space="preserve"> and the historical analysis of the </w:t>
      </w:r>
      <w:r w:rsidR="002F5425">
        <w:t xml:space="preserve">Survey of Education and Work </w:t>
      </w:r>
      <w:r>
        <w:t xml:space="preserve">reported here </w:t>
      </w:r>
      <w:r w:rsidR="00A02120">
        <w:t xml:space="preserve">found </w:t>
      </w:r>
      <w:r w:rsidR="00B0557A">
        <w:t xml:space="preserve">few </w:t>
      </w:r>
      <w:r w:rsidR="008A4EAC">
        <w:t>general, systemic trends in mid-</w:t>
      </w:r>
      <w:r w:rsidR="00B0557A">
        <w:t xml:space="preserve">level qualifications. </w:t>
      </w:r>
      <w:r w:rsidR="00A02120">
        <w:t>For most students in most qualifications in most fields</w:t>
      </w:r>
      <w:r w:rsidR="008A4EAC">
        <w:t>,</w:t>
      </w:r>
      <w:r w:rsidR="00A02120">
        <w:t xml:space="preserve"> there is a weak link between education and work. </w:t>
      </w:r>
      <w:r w:rsidR="000F65F2">
        <w:t>I</w:t>
      </w:r>
      <w:r w:rsidR="00A02120">
        <w:t>n general</w:t>
      </w:r>
      <w:r w:rsidR="00AA48A5">
        <w:t>,</w:t>
      </w:r>
      <w:r w:rsidR="008A4EAC">
        <w:t xml:space="preserve"> Australian mid-</w:t>
      </w:r>
      <w:r w:rsidR="00A02120">
        <w:t xml:space="preserve">level qualifications have an educational rather than </w:t>
      </w:r>
      <w:proofErr w:type="gramStart"/>
      <w:r w:rsidR="00A02120">
        <w:t>an employment</w:t>
      </w:r>
      <w:proofErr w:type="gramEnd"/>
      <w:r w:rsidR="00A02120">
        <w:t xml:space="preserve"> logic. </w:t>
      </w:r>
      <w:r w:rsidR="00B0557A">
        <w:t>There are, however, substantial differenc</w:t>
      </w:r>
      <w:r w:rsidR="008A4EAC">
        <w:t xml:space="preserve">es in </w:t>
      </w:r>
      <w:r w:rsidR="00CA4814">
        <w:t xml:space="preserve">the </w:t>
      </w:r>
      <w:r w:rsidR="008A4EAC">
        <w:t>outcomes of different mid-</w:t>
      </w:r>
      <w:r w:rsidR="00B0557A">
        <w:t xml:space="preserve">level qualifications by age group and field of education. </w:t>
      </w:r>
      <w:r w:rsidR="00BB5B2F">
        <w:t xml:space="preserve">Diplomas but not certificates give young but not older people </w:t>
      </w:r>
      <w:r w:rsidR="00BB5B2F" w:rsidRPr="00FB6B28">
        <w:t>access</w:t>
      </w:r>
      <w:r w:rsidR="00BB5B2F">
        <w:t xml:space="preserve"> to </w:t>
      </w:r>
      <w:r w:rsidR="00BB5B2F" w:rsidRPr="00FB6B28">
        <w:t xml:space="preserve">higher education and </w:t>
      </w:r>
      <w:r w:rsidR="00BB5B2F">
        <w:t xml:space="preserve">to </w:t>
      </w:r>
      <w:r w:rsidR="00BB5B2F" w:rsidRPr="00FB6B28">
        <w:t>more highly skilled work</w:t>
      </w:r>
      <w:r w:rsidR="00BB5B2F">
        <w:t xml:space="preserve">. </w:t>
      </w:r>
    </w:p>
    <w:p w:rsidR="00B0557A" w:rsidRDefault="008A4EAC" w:rsidP="00435FCE">
      <w:pPr>
        <w:pStyle w:val="Text"/>
      </w:pPr>
      <w:r>
        <w:t>The most</w:t>
      </w:r>
      <w:r w:rsidR="00BB5B2F">
        <w:t xml:space="preserve"> marked differences are observed by level of qualification within field of education, particularly </w:t>
      </w:r>
      <w:r w:rsidR="00B0557A">
        <w:t xml:space="preserve">by </w:t>
      </w:r>
      <w:r w:rsidR="00BB5B2F">
        <w:t>narrow field of education. Some qualifications in some fields are needed for entry to or progression in some occupations, particularly those licensed by the state or strongly regulated by industry bodies. These qualifications increase employment, relevant employment and skilled employment much more than qualifications not leading to regulated employment.</w:t>
      </w:r>
      <w:r w:rsidR="00B0557A">
        <w:t xml:space="preserve"> </w:t>
      </w:r>
    </w:p>
    <w:p w:rsidR="0078750E" w:rsidRDefault="00A02120" w:rsidP="002C1A5D">
      <w:pPr>
        <w:pStyle w:val="Text"/>
      </w:pPr>
      <w:r>
        <w:t xml:space="preserve">This </w:t>
      </w:r>
      <w:r w:rsidR="006F3384">
        <w:t>suggests that mid-</w:t>
      </w:r>
      <w:r>
        <w:t>level quali</w:t>
      </w:r>
      <w:r w:rsidR="00435FCE">
        <w:t>fications have one of three main</w:t>
      </w:r>
      <w:r>
        <w:t xml:space="preserve"> roles</w:t>
      </w:r>
      <w:r w:rsidR="00435FCE">
        <w:t>, and that these roles are different for students in different age groups</w:t>
      </w:r>
      <w:r>
        <w:t>:</w:t>
      </w:r>
    </w:p>
    <w:p w:rsidR="00A02120" w:rsidRDefault="00A02120" w:rsidP="00D14351">
      <w:pPr>
        <w:pStyle w:val="Dotpoint1"/>
      </w:pPr>
      <w:r>
        <w:t>as</w:t>
      </w:r>
      <w:r w:rsidR="006F3384">
        <w:t xml:space="preserve"> a labour market qualification — entry or upgrade</w:t>
      </w:r>
    </w:p>
    <w:p w:rsidR="00A02120" w:rsidRDefault="006F3384" w:rsidP="00D14351">
      <w:pPr>
        <w:pStyle w:val="Dotpoint1"/>
      </w:pPr>
      <w:r>
        <w:t>as a transition to a higher-level qualification</w:t>
      </w:r>
    </w:p>
    <w:p w:rsidR="0078750E" w:rsidRDefault="006F3384" w:rsidP="00D14351">
      <w:pPr>
        <w:pStyle w:val="Dotpoint1"/>
      </w:pPr>
      <w:proofErr w:type="gramStart"/>
      <w:r>
        <w:t>for</w:t>
      </w:r>
      <w:proofErr w:type="gramEnd"/>
      <w:r w:rsidR="00A02120">
        <w:t xml:space="preserve"> widen</w:t>
      </w:r>
      <w:r>
        <w:t>ed</w:t>
      </w:r>
      <w:r w:rsidR="00A02120">
        <w:t xml:space="preserve"> acc</w:t>
      </w:r>
      <w:r>
        <w:t>ess to higher-</w:t>
      </w:r>
      <w:r w:rsidR="00A02120">
        <w:t>level qualifications.</w:t>
      </w:r>
    </w:p>
    <w:p w:rsidR="0074412C" w:rsidRPr="00D14351" w:rsidRDefault="0074412C" w:rsidP="00D14351">
      <w:pPr>
        <w:pStyle w:val="Text"/>
      </w:pPr>
      <w:r>
        <w:t>Case studies of the minerals i</w:t>
      </w:r>
      <w:r w:rsidRPr="000305D7">
        <w:t xml:space="preserve">ndustry </w:t>
      </w:r>
      <w:r>
        <w:t>n</w:t>
      </w:r>
      <w:r w:rsidRPr="000305D7">
        <w:t xml:space="preserve">ational </w:t>
      </w:r>
      <w:r>
        <w:t>a</w:t>
      </w:r>
      <w:r w:rsidRPr="000305D7">
        <w:t xml:space="preserve">ssociate </w:t>
      </w:r>
      <w:r>
        <w:t>d</w:t>
      </w:r>
      <w:r w:rsidRPr="000305D7">
        <w:t>egree</w:t>
      </w:r>
      <w:r>
        <w:t xml:space="preserve">, financial planning, physician assistants and veterinary </w:t>
      </w:r>
      <w:r w:rsidR="00BE522C">
        <w:t xml:space="preserve">technologists </w:t>
      </w:r>
      <w:r>
        <w:t xml:space="preserve">again suggest limited scope for tertiary education institutions </w:t>
      </w:r>
      <w:r w:rsidR="000A2C1E">
        <w:t xml:space="preserve">alone </w:t>
      </w:r>
      <w:r>
        <w:t>to foster progression</w:t>
      </w:r>
      <w:r w:rsidR="006F3384">
        <w:t xml:space="preserve"> in vocations by initiating mid-</w:t>
      </w:r>
      <w:r>
        <w:t xml:space="preserve">level qualifications. </w:t>
      </w:r>
      <w:r w:rsidR="007E33DE">
        <w:t>Of the four qualifications examined</w:t>
      </w:r>
      <w:r w:rsidR="006F3384">
        <w:t>, the mid-</w:t>
      </w:r>
      <w:r>
        <w:t xml:space="preserve">level qualification </w:t>
      </w:r>
      <w:r w:rsidR="00E978F5">
        <w:t>with</w:t>
      </w:r>
      <w:r>
        <w:t xml:space="preserve"> the most potential for entry to and progression in a vocation is the minerals i</w:t>
      </w:r>
      <w:r w:rsidRPr="000305D7">
        <w:t xml:space="preserve">ndustry </w:t>
      </w:r>
      <w:r>
        <w:t>n</w:t>
      </w:r>
      <w:r w:rsidRPr="000305D7">
        <w:t xml:space="preserve">ational </w:t>
      </w:r>
      <w:r>
        <w:t>a</w:t>
      </w:r>
      <w:r w:rsidRPr="000305D7">
        <w:t xml:space="preserve">ssociate </w:t>
      </w:r>
      <w:r>
        <w:t>d</w:t>
      </w:r>
      <w:r w:rsidRPr="000305D7">
        <w:t>egree</w:t>
      </w:r>
      <w:r>
        <w:t>.</w:t>
      </w:r>
      <w:r w:rsidR="003925F2">
        <w:t xml:space="preserve"> This is distinctive in being</w:t>
      </w:r>
      <w:r>
        <w:t xml:space="preserve"> </w:t>
      </w:r>
      <w:proofErr w:type="gramStart"/>
      <w:r w:rsidR="009873E3">
        <w:t>a collaboration</w:t>
      </w:r>
      <w:proofErr w:type="gramEnd"/>
      <w:r w:rsidR="009873E3">
        <w:t xml:space="preserve"> </w:t>
      </w:r>
      <w:r w:rsidR="006F3384">
        <w:t xml:space="preserve">between </w:t>
      </w:r>
      <w:r w:rsidR="00CA4814">
        <w:t>the social partners</w:t>
      </w:r>
      <w:r w:rsidRPr="00D14351">
        <w:t xml:space="preserve">. </w:t>
      </w:r>
    </w:p>
    <w:p w:rsidR="003925F2" w:rsidRDefault="003925F2" w:rsidP="00D14351">
      <w:pPr>
        <w:pStyle w:val="Text"/>
        <w:ind w:right="-143"/>
      </w:pPr>
      <w:r w:rsidRPr="00D14351">
        <w:t>This suggests that to improve progression</w:t>
      </w:r>
      <w:r>
        <w:t xml:space="preserve"> to and within vocations</w:t>
      </w:r>
      <w:r w:rsidR="00BA14B7">
        <w:t>,</w:t>
      </w:r>
      <w:r>
        <w:t xml:space="preserve"> policy should concentrate on the construction of work, and in particular, on encouraging and supporting industry bodies and intermediary organisations to improv</w:t>
      </w:r>
      <w:r w:rsidR="000A2C1E">
        <w:t>e</w:t>
      </w:r>
      <w:r>
        <w:t xml:space="preserve"> the relation between employment and education. Industry or intermediary bodies may also usefully coordinate and codify employers’ expectations of tertiary qualifications, </w:t>
      </w:r>
      <w:r w:rsidR="00E978F5">
        <w:t>which</w:t>
      </w:r>
      <w:r w:rsidR="00D14351">
        <w:t> </w:t>
      </w:r>
      <w:r w:rsidR="00E978F5">
        <w:t xml:space="preserve">will assist </w:t>
      </w:r>
      <w:r>
        <w:t>tertiary education institutions in designing and offering their qualifications.</w:t>
      </w:r>
    </w:p>
    <w:p w:rsidR="0074412C" w:rsidRDefault="001A6630" w:rsidP="00440E2F">
      <w:pPr>
        <w:pStyle w:val="Text"/>
      </w:pPr>
      <w:r>
        <w:t>The different outcomes for qualifications by field, level and students</w:t>
      </w:r>
      <w:r w:rsidR="00DC5A82">
        <w:t>’ age group suggest that system-</w:t>
      </w:r>
      <w:r>
        <w:t xml:space="preserve">wide </w:t>
      </w:r>
      <w:r w:rsidR="000F65F2">
        <w:t>approach</w:t>
      </w:r>
      <w:r w:rsidR="007C41EA">
        <w:t xml:space="preserve">es are </w:t>
      </w:r>
      <w:r w:rsidR="000F65F2">
        <w:t>probably not the most effective. Educational institutions may increase the effectiveness of their qualification</w:t>
      </w:r>
      <w:r w:rsidR="007C41EA">
        <w:t>s</w:t>
      </w:r>
      <w:r w:rsidR="000F65F2">
        <w:t xml:space="preserve"> by designing </w:t>
      </w:r>
      <w:r w:rsidR="007C41EA">
        <w:t xml:space="preserve">them differently </w:t>
      </w:r>
      <w:r w:rsidR="000F65F2">
        <w:t xml:space="preserve">to suit the </w:t>
      </w:r>
      <w:r w:rsidR="007C41EA">
        <w:t xml:space="preserve">different </w:t>
      </w:r>
      <w:r w:rsidR="000F65F2">
        <w:t xml:space="preserve">purposes they </w:t>
      </w:r>
      <w:r w:rsidR="000F65F2">
        <w:lastRenderedPageBreak/>
        <w:t xml:space="preserve">serve. For example, </w:t>
      </w:r>
      <w:r w:rsidR="00507E09">
        <w:t>in 2012</w:t>
      </w:r>
      <w:r w:rsidR="00DC5A82">
        <w:t>,</w:t>
      </w:r>
      <w:r w:rsidR="00507E09">
        <w:t xml:space="preserve"> 37</w:t>
      </w:r>
      <w:r w:rsidR="00DC5A82">
        <w:t>% of equivalent full-</w:t>
      </w:r>
      <w:r w:rsidR="000F65F2">
        <w:t xml:space="preserve">time diploma students </w:t>
      </w:r>
      <w:r w:rsidR="00507E09">
        <w:t>we</w:t>
      </w:r>
      <w:r w:rsidR="000F65F2">
        <w:t xml:space="preserve">re </w:t>
      </w:r>
      <w:r w:rsidR="00DC5A82">
        <w:t xml:space="preserve">aged </w:t>
      </w:r>
      <w:proofErr w:type="gramStart"/>
      <w:r w:rsidR="000F65F2">
        <w:t>under</w:t>
      </w:r>
      <w:proofErr w:type="gramEnd"/>
      <w:r w:rsidR="000F65F2">
        <w:t xml:space="preserve"> 25</w:t>
      </w:r>
      <w:r w:rsidR="00DC5A82">
        <w:t xml:space="preserve"> years.</w:t>
      </w:r>
      <w:r w:rsidR="00DC5A82">
        <w:rPr>
          <w:rStyle w:val="FootnoteReference"/>
        </w:rPr>
        <w:footnoteReference w:id="1"/>
      </w:r>
      <w:r w:rsidR="000F65F2">
        <w:t xml:space="preserve"> </w:t>
      </w:r>
      <w:r w:rsidR="00507E09">
        <w:t>From the 2011 Student Outcomes Survey, s</w:t>
      </w:r>
      <w:r w:rsidR="000F65F2">
        <w:t xml:space="preserve">ome </w:t>
      </w:r>
      <w:r w:rsidR="003E6B63">
        <w:t>2</w:t>
      </w:r>
      <w:r w:rsidR="00A55245">
        <w:t>6</w:t>
      </w:r>
      <w:r w:rsidR="000F65F2">
        <w:t>% of diploma graduates aged between 15</w:t>
      </w:r>
      <w:r w:rsidR="00DC5A82">
        <w:t xml:space="preserve"> and </w:t>
      </w:r>
      <w:r w:rsidR="000F65F2">
        <w:t xml:space="preserve">19 years and </w:t>
      </w:r>
      <w:r w:rsidR="003E6B63">
        <w:t>2</w:t>
      </w:r>
      <w:r w:rsidR="00A55245">
        <w:t>6</w:t>
      </w:r>
      <w:r w:rsidR="000F65F2">
        <w:t xml:space="preserve">% of </w:t>
      </w:r>
      <w:r w:rsidR="00A55245">
        <w:t xml:space="preserve">diploma </w:t>
      </w:r>
      <w:r w:rsidR="000F65F2">
        <w:t>graduates aged between 20</w:t>
      </w:r>
      <w:r w:rsidR="00DC5A82">
        <w:t xml:space="preserve"> and </w:t>
      </w:r>
      <w:r w:rsidR="000F65F2">
        <w:t xml:space="preserve">24 years study at </w:t>
      </w:r>
      <w:r w:rsidR="00E978F5">
        <w:t>the</w:t>
      </w:r>
      <w:r w:rsidR="003E6B63">
        <w:t xml:space="preserve"> level of bachelor degree or higher si</w:t>
      </w:r>
      <w:r w:rsidR="00A55245">
        <w:t>x</w:t>
      </w:r>
      <w:r w:rsidR="003E6B63">
        <w:t xml:space="preserve"> months after graduation (NCVER 2011)</w:t>
      </w:r>
      <w:r w:rsidR="000F65F2">
        <w:t xml:space="preserve">. The diploma is </w:t>
      </w:r>
      <w:r w:rsidR="004673E2">
        <w:t>therefore</w:t>
      </w:r>
      <w:r w:rsidR="00CA4814">
        <w:t>,</w:t>
      </w:r>
      <w:r w:rsidR="004673E2">
        <w:t xml:space="preserve"> </w:t>
      </w:r>
      <w:r w:rsidR="000F65F2">
        <w:t>importantly</w:t>
      </w:r>
      <w:r w:rsidR="00CA4814">
        <w:t>,</w:t>
      </w:r>
      <w:r w:rsidR="000F65F2">
        <w:t xml:space="preserve"> a transitional qualification for younger students. </w:t>
      </w:r>
      <w:r w:rsidR="009873E3">
        <w:t xml:space="preserve">While some vocational diplomas </w:t>
      </w:r>
      <w:r w:rsidR="000A2C1E">
        <w:t>provide</w:t>
      </w:r>
      <w:r w:rsidR="009873E3">
        <w:t xml:space="preserve"> </w:t>
      </w:r>
      <w:r w:rsidR="000D53F3">
        <w:t>successful transi</w:t>
      </w:r>
      <w:r w:rsidR="003E69F8">
        <w:t>tions to higher education, the m</w:t>
      </w:r>
      <w:r w:rsidR="00DC5A82">
        <w:t>id-</w:t>
      </w:r>
      <w:r w:rsidR="00864C21">
        <w:t>level q</w:t>
      </w:r>
      <w:r w:rsidR="00A51942">
        <w:t>ualifications</w:t>
      </w:r>
      <w:r w:rsidR="00DC5A82">
        <w:t>,</w:t>
      </w:r>
      <w:r w:rsidR="00A51942">
        <w:t xml:space="preserve"> which are mainly a transition to a higher</w:t>
      </w:r>
      <w:r w:rsidR="00CA4814">
        <w:t>-</w:t>
      </w:r>
      <w:r w:rsidR="00A51942">
        <w:t xml:space="preserve">level qualification or </w:t>
      </w:r>
      <w:r w:rsidR="00864C21">
        <w:t xml:space="preserve">which </w:t>
      </w:r>
      <w:r w:rsidR="00E978F5">
        <w:t>widen access to higher-</w:t>
      </w:r>
      <w:r w:rsidR="00A51942">
        <w:t>level qualifications</w:t>
      </w:r>
      <w:r w:rsidR="00DC5A82">
        <w:t>,</w:t>
      </w:r>
      <w:r w:rsidR="00A51942">
        <w:t xml:space="preserve"> are arguably more effective if they are higher education diplomas or associate degrees</w:t>
      </w:r>
      <w:r w:rsidR="00CA4814">
        <w:t>:</w:t>
      </w:r>
      <w:r w:rsidR="00A51942">
        <w:t xml:space="preserve"> they </w:t>
      </w:r>
      <w:r w:rsidR="00E978F5">
        <w:t xml:space="preserve">display </w:t>
      </w:r>
      <w:r w:rsidR="00A51942">
        <w:t xml:space="preserve">more curriculum coherence </w:t>
      </w:r>
      <w:r w:rsidR="00864C21">
        <w:t xml:space="preserve">with degrees </w:t>
      </w:r>
      <w:r w:rsidR="00A51942">
        <w:t xml:space="preserve">and </w:t>
      </w:r>
      <w:r w:rsidR="00E978F5">
        <w:t>they have</w:t>
      </w:r>
      <w:r w:rsidR="00A51942">
        <w:t xml:space="preserve"> more capacity to include </w:t>
      </w:r>
      <w:r>
        <w:t xml:space="preserve">foundation studies and </w:t>
      </w:r>
      <w:r w:rsidR="007C41EA">
        <w:t xml:space="preserve">develop </w:t>
      </w:r>
      <w:r>
        <w:t>s</w:t>
      </w:r>
      <w:r w:rsidR="007C41EA">
        <w:t xml:space="preserve">cholastic </w:t>
      </w:r>
      <w:r>
        <w:t xml:space="preserve">skills. </w:t>
      </w:r>
    </w:p>
    <w:p w:rsidR="000F65F2" w:rsidRDefault="000F65F2" w:rsidP="00440E2F">
      <w:pPr>
        <w:pStyle w:val="Text"/>
      </w:pPr>
      <w:r>
        <w:t xml:space="preserve">In contrast, qualifications which prepare graduates for </w:t>
      </w:r>
      <w:r w:rsidR="007C41EA">
        <w:t xml:space="preserve">one of the regulated occupations have </w:t>
      </w:r>
      <w:proofErr w:type="gramStart"/>
      <w:r w:rsidR="007C41EA">
        <w:t>a strong</w:t>
      </w:r>
      <w:proofErr w:type="gramEnd"/>
      <w:r w:rsidR="007C41EA">
        <w:t xml:space="preserve"> employment logic. While these qualifications should also provide the foundation for students to progress in their career</w:t>
      </w:r>
      <w:r w:rsidR="00CA4814">
        <w:t>s</w:t>
      </w:r>
      <w:r w:rsidR="007C41EA">
        <w:t xml:space="preserve"> and update and upgrade their qualification</w:t>
      </w:r>
      <w:r w:rsidR="00CA4814">
        <w:t>s</w:t>
      </w:r>
      <w:r w:rsidR="007C41EA">
        <w:t xml:space="preserve"> after graduation, qualifications with </w:t>
      </w:r>
      <w:proofErr w:type="gramStart"/>
      <w:r w:rsidR="007C41EA">
        <w:t>an employment</w:t>
      </w:r>
      <w:proofErr w:type="gramEnd"/>
      <w:r w:rsidR="007C41EA">
        <w:t xml:space="preserve"> logic should incorpor</w:t>
      </w:r>
      <w:r w:rsidR="00DC5A82">
        <w:t>ate substantial amounts of work-</w:t>
      </w:r>
      <w:r w:rsidR="007C41EA">
        <w:t>integrated learning. They should have substantially different curriculum and pedagogy from transitional qualifications.</w:t>
      </w:r>
    </w:p>
    <w:p w:rsidR="00A51942" w:rsidRDefault="004673E2" w:rsidP="009E33B1">
      <w:pPr>
        <w:pStyle w:val="Text"/>
      </w:pPr>
      <w:r>
        <w:t>Policies and funding arrangements need to give institutions the flexibility to construct and offer their qualifications differently to suit the different purposes they serve.</w:t>
      </w:r>
      <w:r w:rsidR="00B41365">
        <w:t xml:space="preserve"> Moreover, </w:t>
      </w:r>
      <w:r w:rsidR="000A2C1E">
        <w:t>given the different relation</w:t>
      </w:r>
      <w:r w:rsidR="00B41365">
        <w:t xml:space="preserve"> between education and work in different industries and the greater potential for some compared </w:t>
      </w:r>
      <w:r w:rsidR="00DC5A82">
        <w:t>with</w:t>
      </w:r>
      <w:r w:rsidR="00B41365">
        <w:t xml:space="preserve"> others to develop closer links, it would be appropriate </w:t>
      </w:r>
      <w:r w:rsidR="00DC5A82">
        <w:t>to develop differentiated skill-</w:t>
      </w:r>
      <w:r w:rsidR="00B41365">
        <w:t>formation strategies to support these clos</w:t>
      </w:r>
      <w:r w:rsidR="00DC5A82">
        <w:t>er links</w:t>
      </w:r>
      <w:r w:rsidR="00CA4814">
        <w:t>,</w:t>
      </w:r>
      <w:r w:rsidR="00DC5A82">
        <w:t xml:space="preserve"> where that is possible</w:t>
      </w:r>
      <w:r w:rsidR="00CA4814">
        <w:t>,</w:t>
      </w:r>
      <w:r w:rsidR="00B41365">
        <w:t xml:space="preserve"> and </w:t>
      </w:r>
      <w:r w:rsidR="00CA4814">
        <w:t xml:space="preserve">to </w:t>
      </w:r>
      <w:r w:rsidR="00B41365">
        <w:t xml:space="preserve">develop alternative strategies in other industries. Strategies in other industries may emphasise qualifications as ‘screening’ qualifications rather than </w:t>
      </w:r>
      <w:r w:rsidR="00DC5A82">
        <w:t xml:space="preserve">being </w:t>
      </w:r>
      <w:r w:rsidR="00B41365">
        <w:t>specific preparation for specific occupations.</w:t>
      </w:r>
    </w:p>
    <w:p w:rsidR="00B41365" w:rsidRDefault="00B41365" w:rsidP="00B41365">
      <w:pPr>
        <w:pStyle w:val="Heading2"/>
      </w:pPr>
      <w:bookmarkStart w:id="58" w:name="_Toc370199907"/>
      <w:r>
        <w:t>Vocational streams</w:t>
      </w:r>
      <w:bookmarkEnd w:id="58"/>
    </w:p>
    <w:p w:rsidR="002F7340" w:rsidRDefault="00B41365" w:rsidP="002D0C0B">
      <w:pPr>
        <w:pStyle w:val="Text"/>
      </w:pPr>
      <w:r>
        <w:t>Th</w:t>
      </w:r>
      <w:r w:rsidR="003E69F8">
        <w:t>e different roles and logics of qualifications may be encompassed within the concept of vocational streams</w:t>
      </w:r>
      <w:r>
        <w:t>. We explored the notion of</w:t>
      </w:r>
      <w:r w:rsidR="00A83AAF">
        <w:t xml:space="preserve"> ‘vocations’ and</w:t>
      </w:r>
      <w:r>
        <w:t xml:space="preserve"> ‘vocational streams’</w:t>
      </w:r>
      <w:r w:rsidR="0055761B">
        <w:t xml:space="preserve"> in year one</w:t>
      </w:r>
      <w:r>
        <w:t xml:space="preserve"> o</w:t>
      </w:r>
      <w:r w:rsidR="003E69F8">
        <w:t>f</w:t>
      </w:r>
      <w:r>
        <w:t xml:space="preserve"> this project (Wheelahan et al. 2012). </w:t>
      </w:r>
      <w:r w:rsidR="00A83AAF" w:rsidRPr="00266176">
        <w:t>Vocational streams consist of linked occupations that relate to the core underpinni</w:t>
      </w:r>
      <w:r w:rsidR="00DC5A82">
        <w:t>ng concept and set of practices;</w:t>
      </w:r>
      <w:r w:rsidR="00A83AAF" w:rsidRPr="00266176">
        <w:t xml:space="preserve"> for example</w:t>
      </w:r>
      <w:r w:rsidR="00DC5A82">
        <w:t>,</w:t>
      </w:r>
      <w:r w:rsidR="00A83AAF" w:rsidRPr="00266176">
        <w:t xml:space="preserve"> care and care work.</w:t>
      </w:r>
      <w:r w:rsidR="00A83AAF">
        <w:t xml:space="preserve"> Preparation for a vocational stream implies that education will have a broader focus because it is preparation for a number of linked occupations rather than </w:t>
      </w:r>
      <w:r w:rsidR="00CA4814">
        <w:t xml:space="preserve">being </w:t>
      </w:r>
      <w:r w:rsidR="00A83AAF">
        <w:t>specific preparation for specific jobs. In preparing students for vocational streams the focus will need to move beyond specific tasks and roles within jobs, to</w:t>
      </w:r>
      <w:r w:rsidR="00A83AAF" w:rsidRPr="00266176">
        <w:t xml:space="preserve"> broad fields of practice</w:t>
      </w:r>
      <w:r w:rsidR="00E978F5">
        <w:t>,</w:t>
      </w:r>
      <w:r w:rsidR="00A83AAF" w:rsidRPr="00266176">
        <w:t xml:space="preserve"> where the focus is on the development of the person, the attributes they need and the knowledge and skills they require to work within a broadly defined </w:t>
      </w:r>
      <w:r w:rsidR="00A83AAF">
        <w:t>field of practice</w:t>
      </w:r>
      <w:r w:rsidR="00CA4814">
        <w:t>,</w:t>
      </w:r>
      <w:r w:rsidR="00A83AAF" w:rsidRPr="00266176">
        <w:t xml:space="preserve"> </w:t>
      </w:r>
      <w:r w:rsidR="00E978F5">
        <w:t>in which</w:t>
      </w:r>
      <w:r w:rsidR="00A83AAF" w:rsidRPr="00266176">
        <w:t xml:space="preserve"> educational and occupational progression</w:t>
      </w:r>
      <w:r w:rsidR="00E978F5">
        <w:t xml:space="preserve"> is combined</w:t>
      </w:r>
      <w:r w:rsidR="00A83AAF">
        <w:t xml:space="preserve">. </w:t>
      </w:r>
    </w:p>
    <w:p w:rsidR="0055761B" w:rsidRDefault="00A83AAF" w:rsidP="002D0C0B">
      <w:pPr>
        <w:pStyle w:val="Text"/>
      </w:pPr>
      <w:r>
        <w:t xml:space="preserve">Preparation for vocational streams </w:t>
      </w:r>
      <w:r w:rsidRPr="00266176">
        <w:t xml:space="preserve">fosters identification with the field of practice rather than </w:t>
      </w:r>
      <w:r w:rsidR="00DC5A82">
        <w:t xml:space="preserve">with </w:t>
      </w:r>
      <w:r w:rsidRPr="00266176">
        <w:t>a specific employer</w:t>
      </w:r>
      <w:r>
        <w:t>,</w:t>
      </w:r>
      <w:r w:rsidRPr="00266176">
        <w:t xml:space="preserve"> enterprise</w:t>
      </w:r>
      <w:r>
        <w:t xml:space="preserve">, job or occupation. Preparation for vocational streams requires education in </w:t>
      </w:r>
      <w:r w:rsidRPr="00266176">
        <w:t>related clusters of knowledge and skills</w:t>
      </w:r>
      <w:r w:rsidR="00CA4814">
        <w:t>,</w:t>
      </w:r>
      <w:r w:rsidRPr="00266176">
        <w:t xml:space="preserve"> </w:t>
      </w:r>
      <w:r w:rsidR="00CA4814">
        <w:t>which</w:t>
      </w:r>
      <w:r w:rsidRPr="00266176">
        <w:t xml:space="preserve"> allow</w:t>
      </w:r>
      <w:r w:rsidR="00CA4814">
        <w:t>s</w:t>
      </w:r>
      <w:r w:rsidRPr="00266176">
        <w:t xml:space="preserve"> individuals to progress and/or specialise within a </w:t>
      </w:r>
      <w:r>
        <w:t>field of practice</w:t>
      </w:r>
      <w:r w:rsidRPr="00266176">
        <w:t xml:space="preserve">, or to move laterally into </w:t>
      </w:r>
      <w:r>
        <w:t>related</w:t>
      </w:r>
      <w:r w:rsidRPr="00266176">
        <w:t xml:space="preserve"> occupations. </w:t>
      </w:r>
      <w:r>
        <w:t xml:space="preserve">Preparation for work would need to be </w:t>
      </w:r>
      <w:r w:rsidRPr="00266176">
        <w:t xml:space="preserve">based on a continuum of knowledge and skill that links work, </w:t>
      </w:r>
      <w:r w:rsidR="00EA6218">
        <w:t>vocational</w:t>
      </w:r>
      <w:r w:rsidRPr="00266176">
        <w:t xml:space="preserve"> and higher education and </w:t>
      </w:r>
      <w:r>
        <w:t>include</w:t>
      </w:r>
      <w:r w:rsidRPr="00266176">
        <w:t xml:space="preserve"> the capacity to accrue skills coherent</w:t>
      </w:r>
      <w:r w:rsidR="00EA6218">
        <w:t>ly and</w:t>
      </w:r>
      <w:r w:rsidRPr="00266176">
        <w:t xml:space="preserve"> cumulative</w:t>
      </w:r>
      <w:r w:rsidR="00EA6218">
        <w:t>ly</w:t>
      </w:r>
      <w:r>
        <w:t xml:space="preserve">. </w:t>
      </w:r>
      <w:r w:rsidR="0055761B">
        <w:t>The notion of vocational streams is premised on the structure and nature of work</w:t>
      </w:r>
      <w:r w:rsidR="00DC5A82">
        <w:t>,</w:t>
      </w:r>
      <w:r w:rsidR="0055761B">
        <w:t xml:space="preserve"> but it allows for differentiation between different fields of practice and different emphases in </w:t>
      </w:r>
      <w:r w:rsidR="00E978F5">
        <w:t xml:space="preserve">the </w:t>
      </w:r>
      <w:r w:rsidR="0055761B">
        <w:t xml:space="preserve">qualifications </w:t>
      </w:r>
      <w:r w:rsidR="00575724">
        <w:t>that prepare people for work, while still incorporating</w:t>
      </w:r>
      <w:r w:rsidR="0055761B">
        <w:t xml:space="preserve"> the three purposes of qualifications as outlined above. Even in those areas where there are tight relations between education and work</w:t>
      </w:r>
      <w:r w:rsidR="00153E14">
        <w:t>,</w:t>
      </w:r>
      <w:r w:rsidR="0055761B">
        <w:t xml:space="preserve"> it would be necessary to </w:t>
      </w:r>
      <w:r w:rsidR="0055761B">
        <w:lastRenderedPageBreak/>
        <w:t xml:space="preserve">ensure that </w:t>
      </w:r>
      <w:r w:rsidR="00E978F5">
        <w:t xml:space="preserve">the </w:t>
      </w:r>
      <w:r w:rsidR="00575724">
        <w:t>qualifications support</w:t>
      </w:r>
      <w:r w:rsidR="0055761B">
        <w:t xml:space="preserve"> educational progression as well as widening participation. Indeed, using vocational streams as the framework for </w:t>
      </w:r>
      <w:r w:rsidR="00AB4BE7">
        <w:t>the</w:t>
      </w:r>
      <w:r w:rsidR="0055761B">
        <w:t xml:space="preserve"> preparation </w:t>
      </w:r>
      <w:r w:rsidR="00AB4BE7">
        <w:t xml:space="preserve">for work </w:t>
      </w:r>
      <w:r w:rsidR="0055761B">
        <w:t xml:space="preserve">requires greater emphasis on </w:t>
      </w:r>
      <w:r w:rsidR="00153E14">
        <w:t xml:space="preserve">the </w:t>
      </w:r>
      <w:r w:rsidR="0055761B">
        <w:t xml:space="preserve">educational purposes of qualifications </w:t>
      </w:r>
      <w:r w:rsidR="0055761B" w:rsidRPr="00AB4BE7">
        <w:t>if they are to support and link occupational and educational progression.</w:t>
      </w:r>
    </w:p>
    <w:p w:rsidR="0015382B" w:rsidRDefault="0055761B" w:rsidP="00D14351">
      <w:pPr>
        <w:pStyle w:val="Text"/>
        <w:ind w:right="-143"/>
      </w:pPr>
      <w:r>
        <w:t xml:space="preserve">Such an approach could help to support occupational progression in areas where there are tight links between education and work because </w:t>
      </w:r>
      <w:r w:rsidR="00E978F5">
        <w:t>the</w:t>
      </w:r>
      <w:r>
        <w:t xml:space="preserve"> social partners’ attempts to build occupational structures (as</w:t>
      </w:r>
      <w:r w:rsidR="00D14351">
        <w:t> </w:t>
      </w:r>
      <w:r w:rsidR="00575724">
        <w:t xml:space="preserve">in the engineering case study) </w:t>
      </w:r>
      <w:r w:rsidR="00E978F5">
        <w:t>can be supported. This approach also has the potential to</w:t>
      </w:r>
      <w:r>
        <w:t xml:space="preserve"> support occupational progression in areas whe</w:t>
      </w:r>
      <w:r w:rsidR="00575724">
        <w:t>re links are looser:</w:t>
      </w:r>
      <w:r>
        <w:t xml:space="preserve"> qualifications would help students enter a broader range of occupations and support their educational progression. Qualifications in both ins</w:t>
      </w:r>
      <w:r w:rsidR="00153E14">
        <w:t>tances</w:t>
      </w:r>
      <w:r w:rsidR="00D14351">
        <w:t> </w:t>
      </w:r>
      <w:r w:rsidR="00153E14">
        <w:t>may look quite different</w:t>
      </w:r>
      <w:r>
        <w:t xml:space="preserve"> and emphasise different aspects of the three purposes of intermediate qualifications in different ways.</w:t>
      </w:r>
      <w:r w:rsidR="00575724">
        <w:t xml:space="preserve"> Strand three</w:t>
      </w:r>
      <w:r w:rsidR="0015382B">
        <w:t xml:space="preserve">’s report </w:t>
      </w:r>
      <w:r w:rsidR="00EA6218">
        <w:t>examines</w:t>
      </w:r>
      <w:r w:rsidR="0015382B">
        <w:t xml:space="preserve"> these issues from a labour</w:t>
      </w:r>
      <w:r w:rsidR="00D14351">
        <w:t xml:space="preserve"> </w:t>
      </w:r>
      <w:r w:rsidR="0015382B">
        <w:t>market perspective and considers the nature of practice and partnerships between social partners that would be needed to support vocational streams</w:t>
      </w:r>
      <w:r w:rsidR="00AF1F07">
        <w:t xml:space="preserve"> (Yu, </w:t>
      </w:r>
      <w:proofErr w:type="spellStart"/>
      <w:r w:rsidR="00AF1F07">
        <w:t>Bretherton</w:t>
      </w:r>
      <w:proofErr w:type="spellEnd"/>
      <w:r w:rsidR="00AF1F07">
        <w:t xml:space="preserve"> &amp; Buchanan</w:t>
      </w:r>
      <w:r w:rsidR="00705F46">
        <w:t>, forthcoming)</w:t>
      </w:r>
      <w:r w:rsidR="0015382B">
        <w:t xml:space="preserve">.  </w:t>
      </w:r>
    </w:p>
    <w:p w:rsidR="006C15D0" w:rsidRDefault="006C15D0" w:rsidP="002421EF">
      <w:pPr>
        <w:pStyle w:val="Heading1"/>
      </w:pPr>
      <w:r>
        <w:br w:type="page"/>
      </w:r>
      <w:bookmarkStart w:id="59" w:name="_Toc370199908"/>
      <w:r w:rsidR="001A30FC">
        <w:lastRenderedPageBreak/>
        <w:t>References</w:t>
      </w:r>
      <w:bookmarkEnd w:id="59"/>
    </w:p>
    <w:p w:rsidR="001A30FC" w:rsidRDefault="00CA4814" w:rsidP="00CA47E3">
      <w:pPr>
        <w:pStyle w:val="References"/>
      </w:pPr>
      <w:r>
        <w:rPr>
          <w:lang w:val="en-US"/>
        </w:rPr>
        <w:t>ABS (</w:t>
      </w:r>
      <w:r w:rsidR="001A30FC" w:rsidRPr="001A30FC">
        <w:rPr>
          <w:lang w:val="en-US"/>
        </w:rPr>
        <w:t>Australian Bureau of Statistics</w:t>
      </w:r>
      <w:r>
        <w:rPr>
          <w:lang w:val="en-US"/>
        </w:rPr>
        <w:t>)</w:t>
      </w:r>
      <w:r w:rsidR="001A30FC" w:rsidRPr="001A30FC">
        <w:rPr>
          <w:lang w:val="en-US"/>
        </w:rPr>
        <w:t xml:space="preserve"> 2012,</w:t>
      </w:r>
      <w:r w:rsidR="001A30FC" w:rsidRPr="001A30FC">
        <w:rPr>
          <w:i/>
          <w:iCs/>
          <w:lang w:val="en-US"/>
        </w:rPr>
        <w:t xml:space="preserve"> Education and </w:t>
      </w:r>
      <w:r w:rsidR="001A30FC">
        <w:rPr>
          <w:i/>
          <w:iCs/>
          <w:lang w:val="en-US"/>
        </w:rPr>
        <w:t>w</w:t>
      </w:r>
      <w:r w:rsidR="001A30FC" w:rsidRPr="001A30FC">
        <w:rPr>
          <w:i/>
          <w:iCs/>
          <w:lang w:val="en-US"/>
        </w:rPr>
        <w:t>ork, Australia</w:t>
      </w:r>
      <w:r w:rsidR="001A30FC" w:rsidRPr="001A30FC">
        <w:rPr>
          <w:lang w:val="en-US"/>
        </w:rPr>
        <w:t xml:space="preserve">, </w:t>
      </w:r>
      <w:r w:rsidR="00AB4BE7">
        <w:rPr>
          <w:lang w:val="en-US"/>
        </w:rPr>
        <w:t>cat.no.</w:t>
      </w:r>
      <w:r w:rsidR="00AB4BE7" w:rsidRPr="001A30FC">
        <w:rPr>
          <w:i/>
          <w:iCs/>
          <w:lang w:val="en-US"/>
        </w:rPr>
        <w:t>6227.0</w:t>
      </w:r>
      <w:r w:rsidR="00AB4BE7">
        <w:rPr>
          <w:i/>
          <w:iCs/>
          <w:lang w:val="en-US"/>
        </w:rPr>
        <w:t xml:space="preserve">, </w:t>
      </w:r>
      <w:r w:rsidR="00AB4BE7">
        <w:rPr>
          <w:lang w:val="en-US"/>
        </w:rPr>
        <w:t xml:space="preserve">ABS, </w:t>
      </w:r>
      <w:r w:rsidR="001A30FC" w:rsidRPr="001A30FC">
        <w:rPr>
          <w:lang w:val="en-US"/>
        </w:rPr>
        <w:t>viewed </w:t>
      </w:r>
      <w:r w:rsidR="00AB4BE7">
        <w:rPr>
          <w:lang w:val="en-US"/>
        </w:rPr>
        <w:br/>
      </w:r>
      <w:r w:rsidR="001A30FC" w:rsidRPr="001A30FC">
        <w:rPr>
          <w:lang w:val="en-US"/>
        </w:rPr>
        <w:t xml:space="preserve">12 September, </w:t>
      </w:r>
      <w:r w:rsidR="00AB4BE7">
        <w:rPr>
          <w:lang w:val="en-US"/>
        </w:rPr>
        <w:t>&lt;</w:t>
      </w:r>
      <w:r w:rsidR="001A30FC" w:rsidRPr="001A30FC">
        <w:rPr>
          <w:lang w:val="en-US"/>
        </w:rPr>
        <w:t>http://www.abs.gov.au/Ausstats/abs@.nsf/0/CD2CE1EB2959AD07CA25750C000EF95F?OpenDocument</w:t>
      </w:r>
      <w:r w:rsidR="00AB4BE7">
        <w:rPr>
          <w:lang w:val="en-US"/>
        </w:rPr>
        <w:t>&gt;.</w:t>
      </w:r>
      <w:r w:rsidR="001A30FC" w:rsidRPr="001A30FC">
        <w:t xml:space="preserve"> </w:t>
      </w:r>
    </w:p>
    <w:p w:rsidR="00B05EE8" w:rsidRDefault="00B05EE8" w:rsidP="00CA47E3">
      <w:pPr>
        <w:pStyle w:val="References"/>
      </w:pPr>
      <w:r w:rsidRPr="00B05EE8">
        <w:t xml:space="preserve">Australian College of Rural and Remote Medicine 2011, </w:t>
      </w:r>
      <w:r w:rsidR="00153E14">
        <w:t>‘</w:t>
      </w:r>
      <w:r w:rsidRPr="00B05EE8">
        <w:t>Position statement on physician assistants</w:t>
      </w:r>
      <w:r w:rsidR="00153E14">
        <w:t>’</w:t>
      </w:r>
      <w:r w:rsidRPr="00B05EE8">
        <w:t>, viewed 9</w:t>
      </w:r>
      <w:r w:rsidR="0031125E">
        <w:t> </w:t>
      </w:r>
      <w:r w:rsidRPr="00B05EE8">
        <w:t>Septem</w:t>
      </w:r>
      <w:r w:rsidR="0031125E">
        <w:t>ber 2012, &lt;</w:t>
      </w:r>
      <w:r w:rsidR="00CA4814">
        <w:t>http://</w:t>
      </w:r>
      <w:r w:rsidRPr="00B05EE8">
        <w:t>www.acrrm.org.au/policy&gt;.</w:t>
      </w:r>
    </w:p>
    <w:p w:rsidR="00696161" w:rsidRDefault="00696161" w:rsidP="00CA47E3">
      <w:pPr>
        <w:pStyle w:val="References"/>
      </w:pPr>
      <w:r>
        <w:t xml:space="preserve">Australian Qualifications Framework Council 2011, </w:t>
      </w:r>
      <w:r>
        <w:rPr>
          <w:i/>
        </w:rPr>
        <w:t>Australian qualifications framework 2011</w:t>
      </w:r>
      <w:r>
        <w:t>,</w:t>
      </w:r>
      <w:r w:rsidRPr="00E6580C">
        <w:t xml:space="preserve"> </w:t>
      </w:r>
      <w:r>
        <w:t>viewed 27</w:t>
      </w:r>
      <w:r w:rsidR="0031125E">
        <w:t> </w:t>
      </w:r>
      <w:r>
        <w:t>March 2011, &lt;</w:t>
      </w:r>
      <w:r w:rsidR="00CA4814">
        <w:t>http://</w:t>
      </w:r>
      <w:hyperlink r:id="rId15" w:history="1">
        <w:r w:rsidR="00A60C15" w:rsidRPr="003B3B51">
          <w:rPr>
            <w:rStyle w:val="Hyperlink"/>
            <w:sz w:val="18"/>
          </w:rPr>
          <w:t>www.aqf.edu.au/Portals/0/Documents/Australian%20Qualifications%20 Framework%202011%20approved%20by%20MCTEE%2018%20March%202011.pdf</w:t>
        </w:r>
      </w:hyperlink>
      <w:r>
        <w:t>&gt;.</w:t>
      </w:r>
    </w:p>
    <w:p w:rsidR="00696161" w:rsidRPr="00B05EE8" w:rsidRDefault="00696161" w:rsidP="00CA47E3">
      <w:pPr>
        <w:pStyle w:val="References"/>
      </w:pPr>
      <w:r>
        <w:t>——2012,</w:t>
      </w:r>
      <w:r w:rsidRPr="00BB46B4">
        <w:t xml:space="preserve"> </w:t>
      </w:r>
      <w:r w:rsidR="00153E14">
        <w:t>‘</w:t>
      </w:r>
      <w:r w:rsidRPr="00BB46B4">
        <w:t>Addendum to AQF first edition July 2011, amended qualification types: graduate certificate and graduate diploma</w:t>
      </w:r>
      <w:r w:rsidR="00153E14">
        <w:t>’</w:t>
      </w:r>
      <w:r w:rsidRPr="00BB46B4">
        <w:t xml:space="preserve">, </w:t>
      </w:r>
      <w:r>
        <w:t>viewed 29 October 2012,</w:t>
      </w:r>
      <w:r w:rsidRPr="00BB46B4">
        <w:t xml:space="preserve"> </w:t>
      </w:r>
      <w:r>
        <w:t>&lt;</w:t>
      </w:r>
      <w:hyperlink r:id="rId16" w:history="1">
        <w:r w:rsidR="0031125E" w:rsidRPr="000723AD">
          <w:rPr>
            <w:rStyle w:val="Hyperlink"/>
            <w:sz w:val="18"/>
          </w:rPr>
          <w:t>http://aqf.edu.au/Portals/0/Documents/AQF_ Addendum.pdf</w:t>
        </w:r>
      </w:hyperlink>
      <w:r>
        <w:t>&gt;.</w:t>
      </w:r>
    </w:p>
    <w:p w:rsidR="00AB4BE7" w:rsidRDefault="00AB4BE7" w:rsidP="00CA47E3">
      <w:pPr>
        <w:pStyle w:val="References"/>
        <w:rPr>
          <w:lang w:val="en-US"/>
        </w:rPr>
      </w:pPr>
      <w:r w:rsidRPr="00AB4BE7">
        <w:rPr>
          <w:lang w:val="en-US"/>
        </w:rPr>
        <w:t xml:space="preserve">Australian Securities and Investments Commission 2012, </w:t>
      </w:r>
      <w:r w:rsidRPr="004201B0">
        <w:rPr>
          <w:i/>
          <w:lang w:val="en-US"/>
        </w:rPr>
        <w:t xml:space="preserve">Regulatory </w:t>
      </w:r>
      <w:r w:rsidR="00A60C15" w:rsidRPr="004201B0">
        <w:rPr>
          <w:i/>
          <w:lang w:val="en-US"/>
        </w:rPr>
        <w:t>g</w:t>
      </w:r>
      <w:r w:rsidRPr="004201B0">
        <w:rPr>
          <w:i/>
          <w:lang w:val="en-US"/>
        </w:rPr>
        <w:t>uide 146: Licensing: Training of</w:t>
      </w:r>
      <w:r w:rsidRPr="00AB4BE7">
        <w:rPr>
          <w:i/>
          <w:lang w:val="en-US"/>
        </w:rPr>
        <w:t xml:space="preserve"> financial product advisers</w:t>
      </w:r>
      <w:r w:rsidRPr="00AB4BE7">
        <w:rPr>
          <w:lang w:val="en-US"/>
        </w:rPr>
        <w:t>,</w:t>
      </w:r>
      <w:r w:rsidRPr="00AB4BE7">
        <w:rPr>
          <w:i/>
          <w:lang w:val="en-US"/>
        </w:rPr>
        <w:t xml:space="preserve"> </w:t>
      </w:r>
      <w:r w:rsidRPr="00AB4BE7">
        <w:rPr>
          <w:lang w:val="en-US"/>
        </w:rPr>
        <w:t xml:space="preserve">Melbourne, viewed 10 September 2012, </w:t>
      </w:r>
      <w:r>
        <w:rPr>
          <w:lang w:val="en-US"/>
        </w:rPr>
        <w:t>&lt;</w:t>
      </w:r>
      <w:hyperlink r:id="rId17" w:history="1">
        <w:r w:rsidRPr="00BB6D40">
          <w:rPr>
            <w:rStyle w:val="Hyperlink"/>
            <w:sz w:val="18"/>
            <w:lang w:val="en-US"/>
          </w:rPr>
          <w:t>http://www.asic.gov.au/asic/pdflib.nsf/LookupByFileName/rg146-published-2-July-2012.pdf/$file/rg146-published-2-July-2012.pdf</w:t>
        </w:r>
      </w:hyperlink>
      <w:r>
        <w:rPr>
          <w:lang w:val="en-US"/>
        </w:rPr>
        <w:t>&gt;.</w:t>
      </w:r>
    </w:p>
    <w:p w:rsidR="009A1285" w:rsidRDefault="009A1285" w:rsidP="00CA47E3">
      <w:pPr>
        <w:pStyle w:val="References"/>
      </w:pPr>
      <w:proofErr w:type="gramStart"/>
      <w:r w:rsidRPr="009A1285">
        <w:t xml:space="preserve">Brooks, P 2006, </w:t>
      </w:r>
      <w:r w:rsidR="00696161">
        <w:t>‘</w:t>
      </w:r>
      <w:r w:rsidRPr="009A1285">
        <w:t>The health workforce of the future</w:t>
      </w:r>
      <w:r w:rsidR="00696161">
        <w:t>’</w:t>
      </w:r>
      <w:r w:rsidRPr="009A1285">
        <w:t xml:space="preserve">, </w:t>
      </w:r>
      <w:r w:rsidRPr="009A1285">
        <w:rPr>
          <w:i/>
        </w:rPr>
        <w:t>UQ News</w:t>
      </w:r>
      <w:r w:rsidRPr="009A1285">
        <w:t>, issue 555 July, p.14, viewed 9 September 2012, &lt;http://omc.uq.edu.au/news/555UQNEWS.pdf&gt;.</w:t>
      </w:r>
      <w:proofErr w:type="gramEnd"/>
    </w:p>
    <w:p w:rsidR="000305D7" w:rsidRPr="000305D7" w:rsidRDefault="000305D7" w:rsidP="00CA47E3">
      <w:pPr>
        <w:pStyle w:val="References"/>
      </w:pPr>
      <w:r w:rsidRPr="000305D7">
        <w:t xml:space="preserve">Clarke, PM 2004, </w:t>
      </w:r>
      <w:r w:rsidR="00153E14">
        <w:t>‘</w:t>
      </w:r>
      <w:r w:rsidRPr="000305D7">
        <w:t>Veterinary technology and man</w:t>
      </w:r>
      <w:r w:rsidR="00153E14">
        <w:t>agement program —</w:t>
      </w:r>
      <w:r w:rsidRPr="000305D7">
        <w:t xml:space="preserve"> current status</w:t>
      </w:r>
      <w:r w:rsidR="00153E14">
        <w:t>’</w:t>
      </w:r>
      <w:r w:rsidRPr="000305D7">
        <w:t xml:space="preserve">, </w:t>
      </w:r>
      <w:r w:rsidRPr="000305D7">
        <w:rPr>
          <w:i/>
        </w:rPr>
        <w:t>Australian Veterinary Practitioner</w:t>
      </w:r>
      <w:r w:rsidR="00153E14">
        <w:t>, vol.34, no.1, pp.38—</w:t>
      </w:r>
      <w:r w:rsidRPr="000305D7">
        <w:t>9.</w:t>
      </w:r>
    </w:p>
    <w:p w:rsidR="00F42BEF" w:rsidRPr="00F42BEF" w:rsidRDefault="00F42BEF" w:rsidP="00CA47E3">
      <w:pPr>
        <w:pStyle w:val="References"/>
      </w:pPr>
      <w:proofErr w:type="gramStart"/>
      <w:r w:rsidRPr="00F42BEF">
        <w:t xml:space="preserve">Clarke, PM, </w:t>
      </w:r>
      <w:proofErr w:type="spellStart"/>
      <w:r w:rsidRPr="00F42BEF">
        <w:t>Schull</w:t>
      </w:r>
      <w:proofErr w:type="spellEnd"/>
      <w:r w:rsidRPr="00F42BEF">
        <w:t xml:space="preserve">, DN &amp; Coleman, GT 2009, </w:t>
      </w:r>
      <w:r w:rsidR="00153E14">
        <w:t>‘</w:t>
      </w:r>
      <w:r w:rsidRPr="00F42BEF">
        <w:t>Demographics and employment destinations of a new group of veterinary technologists in Australia</w:t>
      </w:r>
      <w:r w:rsidR="00153E14">
        <w:t>’</w:t>
      </w:r>
      <w:r w:rsidRPr="00F42BEF">
        <w:t xml:space="preserve">, </w:t>
      </w:r>
      <w:r w:rsidRPr="00F42BEF">
        <w:rPr>
          <w:i/>
        </w:rPr>
        <w:t>Journal of Veterinary Medical Education</w:t>
      </w:r>
      <w:r w:rsidR="00153E14">
        <w:t>, vol.36, no.2, pp.241—</w:t>
      </w:r>
      <w:r w:rsidRPr="00F42BEF">
        <w:t>5.</w:t>
      </w:r>
      <w:proofErr w:type="gramEnd"/>
    </w:p>
    <w:p w:rsidR="00831AFD" w:rsidRPr="004201B0" w:rsidRDefault="00831AFD" w:rsidP="00CA47E3">
      <w:pPr>
        <w:pStyle w:val="References"/>
      </w:pPr>
      <w:proofErr w:type="gramStart"/>
      <w:r w:rsidRPr="00831AFD">
        <w:t xml:space="preserve">Cowen, JE, Blair, WT &amp; Taylor, SM 2006, </w:t>
      </w:r>
      <w:r w:rsidR="00153E14">
        <w:t>‘</w:t>
      </w:r>
      <w:r w:rsidRPr="00831AFD">
        <w:t>Personal financial planning education in Australian universities</w:t>
      </w:r>
      <w:r w:rsidR="00153E14">
        <w:t>’</w:t>
      </w:r>
      <w:r w:rsidRPr="00831AFD">
        <w:t xml:space="preserve">, </w:t>
      </w:r>
      <w:r w:rsidRPr="004201B0">
        <w:rPr>
          <w:i/>
        </w:rPr>
        <w:t>Financial Services Review</w:t>
      </w:r>
      <w:r w:rsidR="00153E14" w:rsidRPr="004201B0">
        <w:t>, vol.5, pp.43—</w:t>
      </w:r>
      <w:r w:rsidRPr="004201B0">
        <w:t>57.</w:t>
      </w:r>
      <w:proofErr w:type="gramEnd"/>
    </w:p>
    <w:p w:rsidR="00FE607C" w:rsidRDefault="00FE607C" w:rsidP="00CA47E3">
      <w:pPr>
        <w:pStyle w:val="References"/>
      </w:pPr>
      <w:proofErr w:type="gramStart"/>
      <w:r w:rsidRPr="004201B0">
        <w:t>Cull, M 2009</w:t>
      </w:r>
      <w:r w:rsidRPr="00FE607C">
        <w:t xml:space="preserve">, </w:t>
      </w:r>
      <w:r w:rsidR="00153E14">
        <w:t>‘</w:t>
      </w:r>
      <w:r w:rsidRPr="00FE607C">
        <w:t>The rise of the financial planning industry</w:t>
      </w:r>
      <w:r w:rsidR="00153E14">
        <w:t>’</w:t>
      </w:r>
      <w:r w:rsidRPr="00FE607C">
        <w:t xml:space="preserve">, </w:t>
      </w:r>
      <w:r w:rsidRPr="00FE607C">
        <w:rPr>
          <w:i/>
        </w:rPr>
        <w:t>Australasian Accounting Business and Finance Journal</w:t>
      </w:r>
      <w:r w:rsidRPr="00FE607C">
        <w:t>, vol.3, no.1.</w:t>
      </w:r>
      <w:proofErr w:type="gramEnd"/>
    </w:p>
    <w:p w:rsidR="003A1891" w:rsidRDefault="003A1891" w:rsidP="003A1891">
      <w:pPr>
        <w:pStyle w:val="References"/>
      </w:pPr>
      <w:r>
        <w:t xml:space="preserve">Cully, M 2003, </w:t>
      </w:r>
      <w:r w:rsidRPr="00153E14">
        <w:rPr>
          <w:i/>
        </w:rPr>
        <w:t>Pathways to knowledge work</w:t>
      </w:r>
      <w:r>
        <w:t>, NCVER, Adelaide, viewed 10 June 2004</w:t>
      </w:r>
      <w:r w:rsidR="00153E14">
        <w:t>,</w:t>
      </w:r>
      <w:r w:rsidR="0031125E">
        <w:t xml:space="preserve"> </w:t>
      </w:r>
      <w:proofErr w:type="gramStart"/>
      <w:r w:rsidR="0031125E">
        <w:t>&lt;</w:t>
      </w:r>
      <w:proofErr w:type="gramEnd"/>
      <w:r w:rsidR="00A60C15">
        <w:t>http://</w:t>
      </w:r>
      <w:r>
        <w:t>www.ncver.edu.au/publications/927.html&gt;.</w:t>
      </w:r>
    </w:p>
    <w:p w:rsidR="003A1891" w:rsidRDefault="003A1891" w:rsidP="003A1891">
      <w:pPr>
        <w:pStyle w:val="References"/>
      </w:pPr>
      <w:r>
        <w:t xml:space="preserve">Curtain, R 2003, </w:t>
      </w:r>
      <w:r w:rsidR="00153E14">
        <w:rPr>
          <w:i/>
        </w:rPr>
        <w:t>The i</w:t>
      </w:r>
      <w:r w:rsidRPr="00153E14">
        <w:rPr>
          <w:i/>
        </w:rPr>
        <w:t>ntermediate skills pool, new apprenticeships and skill shortages</w:t>
      </w:r>
      <w:r>
        <w:t>, Curtain Consulting, Melbourne, viewed 12 September 2010</w:t>
      </w:r>
      <w:r w:rsidR="007B6352">
        <w:t>,</w:t>
      </w:r>
      <w:r w:rsidR="0031125E">
        <w:t xml:space="preserve"> &lt;</w:t>
      </w:r>
      <w:r w:rsidR="00A60C15">
        <w:t>http://</w:t>
      </w:r>
      <w:r>
        <w:t>www.curtain-consulting.net.au/download_controlled/</w:t>
      </w:r>
      <w:r w:rsidR="0031125E">
        <w:t xml:space="preserve"> </w:t>
      </w:r>
      <w:r>
        <w:t>Skill%20formation/sub101.pdf&gt;.</w:t>
      </w:r>
    </w:p>
    <w:p w:rsidR="00C608C9" w:rsidRPr="007B6352" w:rsidRDefault="00C608C9" w:rsidP="003A1891">
      <w:pPr>
        <w:pStyle w:val="References"/>
        <w:rPr>
          <w:szCs w:val="18"/>
        </w:rPr>
      </w:pPr>
      <w:r w:rsidRPr="00C608C9">
        <w:t xml:space="preserve">Deakin University (no date) </w:t>
      </w:r>
      <w:r w:rsidR="00153E14">
        <w:t>‘</w:t>
      </w:r>
      <w:r w:rsidRPr="00C608C9">
        <w:t>Associate degree of arts, business and sciences</w:t>
      </w:r>
      <w:r w:rsidR="00153E14">
        <w:t>’</w:t>
      </w:r>
      <w:r w:rsidRPr="00C608C9">
        <w:t xml:space="preserve">, </w:t>
      </w:r>
      <w:r>
        <w:t xml:space="preserve">viewed </w:t>
      </w:r>
      <w:r w:rsidRPr="00C608C9">
        <w:t>12 September 2012</w:t>
      </w:r>
      <w:r>
        <w:t xml:space="preserve">, </w:t>
      </w:r>
      <w:r w:rsidRPr="007B6352">
        <w:rPr>
          <w:szCs w:val="18"/>
        </w:rPr>
        <w:t>&lt;</w:t>
      </w:r>
      <w:hyperlink r:id="rId18" w:history="1">
        <w:r w:rsidR="00AA6608" w:rsidRPr="000723AD">
          <w:rPr>
            <w:rStyle w:val="Hyperlink"/>
            <w:sz w:val="18"/>
            <w:szCs w:val="18"/>
          </w:rPr>
          <w:t>http://deakin.edu.au/future-students/courses/course.php?course=A200&amp;stutype=local&amp;keywords= associate%20degree</w:t>
        </w:r>
      </w:hyperlink>
      <w:r w:rsidRPr="007B6352">
        <w:rPr>
          <w:szCs w:val="18"/>
        </w:rPr>
        <w:t>&gt;.</w:t>
      </w:r>
    </w:p>
    <w:p w:rsidR="00705F46" w:rsidRDefault="00705F46" w:rsidP="00705F46">
      <w:pPr>
        <w:pStyle w:val="References"/>
      </w:pPr>
      <w:r w:rsidRPr="00B05EE8">
        <w:t>Ed</w:t>
      </w:r>
      <w:r w:rsidR="00153E14">
        <w:t>ith Cowan University 2011,</w:t>
      </w:r>
      <w:r w:rsidRPr="00B05EE8">
        <w:t xml:space="preserve"> </w:t>
      </w:r>
      <w:r w:rsidR="00153E14">
        <w:t>‘</w:t>
      </w:r>
      <w:r w:rsidRPr="00B05EE8">
        <w:t>Course information, master of medical science (physician assistant)</w:t>
      </w:r>
      <w:r w:rsidR="00153E14">
        <w:t>’</w:t>
      </w:r>
      <w:r w:rsidRPr="00B05EE8">
        <w:t xml:space="preserve">, </w:t>
      </w:r>
      <w:r w:rsidRPr="00153E14">
        <w:rPr>
          <w:i/>
        </w:rPr>
        <w:t>Handbook</w:t>
      </w:r>
      <w:r w:rsidRPr="00B05EE8">
        <w:t>, viewed 9 September 2012, &lt;http://handbook.ecu.edu.au/CourseStructure.asp?disyear=</w:t>
      </w:r>
      <w:r w:rsidR="00AA6608">
        <w:t xml:space="preserve"> </w:t>
      </w:r>
      <w:r w:rsidRPr="00B05EE8">
        <w:t>2011&amp;CID=1488&amp;USID=0&amp;UCID=0&amp;UID=0&amp;Ver=1&amp;HB=HB&amp;SC=PG&gt;.</w:t>
      </w:r>
    </w:p>
    <w:p w:rsidR="00B05EE8" w:rsidRDefault="00B05EE8" w:rsidP="00CA47E3">
      <w:pPr>
        <w:pStyle w:val="References"/>
      </w:pPr>
      <w:r w:rsidRPr="00B05EE8">
        <w:t xml:space="preserve">Edwards, M 2007, </w:t>
      </w:r>
      <w:r w:rsidR="00153E14">
        <w:t>‘</w:t>
      </w:r>
      <w:r w:rsidRPr="00B05EE8">
        <w:t>Doctors divided over use of physician assistants in healthcare</w:t>
      </w:r>
      <w:r w:rsidR="00153E14">
        <w:t>’</w:t>
      </w:r>
      <w:r w:rsidRPr="00B05EE8">
        <w:t xml:space="preserve">, </w:t>
      </w:r>
      <w:r w:rsidR="00153E14" w:rsidRPr="00153E14">
        <w:rPr>
          <w:i/>
        </w:rPr>
        <w:t>World Today</w:t>
      </w:r>
      <w:r w:rsidR="00153E14">
        <w:t xml:space="preserve">, </w:t>
      </w:r>
      <w:r w:rsidRPr="00B05EE8">
        <w:t>ABC radio, 12 December, v</w:t>
      </w:r>
      <w:r w:rsidR="00AA6608">
        <w:t>iewed 9 September 2012, &lt;</w:t>
      </w:r>
      <w:r w:rsidR="00A60C15">
        <w:t>http://</w:t>
      </w:r>
      <w:r w:rsidRPr="00B05EE8">
        <w:t>www.abc.net.au/worldtoday/content/2007/s2116708.htm&gt;.</w:t>
      </w:r>
    </w:p>
    <w:p w:rsidR="00054449" w:rsidRDefault="00054449" w:rsidP="00CA47E3">
      <w:pPr>
        <w:pStyle w:val="References"/>
      </w:pPr>
      <w:proofErr w:type="gramStart"/>
      <w:r>
        <w:t xml:space="preserve">Financial System Inquiry 1997, </w:t>
      </w:r>
      <w:r w:rsidRPr="00054449">
        <w:rPr>
          <w:i/>
        </w:rPr>
        <w:t>Final report</w:t>
      </w:r>
      <w:r>
        <w:t xml:space="preserve"> (the Wallis report), Treasury, Canberra.</w:t>
      </w:r>
      <w:proofErr w:type="gramEnd"/>
    </w:p>
    <w:p w:rsidR="000305D7" w:rsidRPr="000305D7" w:rsidRDefault="000305D7" w:rsidP="00CA47E3">
      <w:pPr>
        <w:pStyle w:val="References"/>
      </w:pPr>
      <w:proofErr w:type="spellStart"/>
      <w:r w:rsidRPr="000305D7">
        <w:t>Frawley</w:t>
      </w:r>
      <w:proofErr w:type="spellEnd"/>
      <w:r w:rsidRPr="000305D7">
        <w:t xml:space="preserve">, PT 2003, </w:t>
      </w:r>
      <w:r w:rsidRPr="000305D7">
        <w:rPr>
          <w:i/>
        </w:rPr>
        <w:t>Review of rural veterinary services</w:t>
      </w:r>
      <w:r w:rsidRPr="000305D7">
        <w:t>:</w:t>
      </w:r>
      <w:r w:rsidRPr="000305D7">
        <w:rPr>
          <w:i/>
        </w:rPr>
        <w:t xml:space="preserve"> report</w:t>
      </w:r>
      <w:r w:rsidRPr="000305D7">
        <w:t xml:space="preserve">, Department of Agriculture, Fisheries &amp; Forestry </w:t>
      </w:r>
      <w:r w:rsidR="00AA6608">
        <w:t>—</w:t>
      </w:r>
      <w:r w:rsidRPr="000305D7">
        <w:t xml:space="preserve"> Australia and Commonwealth Department of Education, Science </w:t>
      </w:r>
      <w:r w:rsidR="007B6352">
        <w:t>and</w:t>
      </w:r>
      <w:r w:rsidRPr="000305D7">
        <w:t xml:space="preserve"> Training, viewed 26</w:t>
      </w:r>
      <w:r w:rsidR="00AA6608">
        <w:t> August 2012, &lt;</w:t>
      </w:r>
      <w:r w:rsidR="00A60C15">
        <w:t>http://</w:t>
      </w:r>
      <w:r w:rsidRPr="000305D7">
        <w:t>www.daff.gov.au/animal-plant-health/animal/system/avr/rural-vets&gt;.</w:t>
      </w:r>
    </w:p>
    <w:p w:rsidR="00705F46" w:rsidRDefault="00705F46" w:rsidP="00705F46">
      <w:pPr>
        <w:pStyle w:val="References"/>
      </w:pPr>
      <w:proofErr w:type="spellStart"/>
      <w:r>
        <w:t>Gallacher</w:t>
      </w:r>
      <w:proofErr w:type="spellEnd"/>
      <w:r>
        <w:t xml:space="preserve">, J </w:t>
      </w:r>
      <w:r w:rsidRPr="008D1B6B">
        <w:t>2011</w:t>
      </w:r>
      <w:r>
        <w:t>,</w:t>
      </w:r>
      <w:r w:rsidRPr="008D1B6B">
        <w:t xml:space="preserve"> </w:t>
      </w:r>
      <w:proofErr w:type="gramStart"/>
      <w:r w:rsidRPr="00153E14">
        <w:rPr>
          <w:i/>
        </w:rPr>
        <w:t>Enhancing</w:t>
      </w:r>
      <w:proofErr w:type="gramEnd"/>
      <w:r w:rsidRPr="00153E14">
        <w:rPr>
          <w:i/>
        </w:rPr>
        <w:t xml:space="preserve"> the role of higher education in Scotland’s colleges: a discussion paper</w:t>
      </w:r>
      <w:r w:rsidRPr="008D1B6B">
        <w:t>, Centre for Research in Lifelong Learning, Glasgow Caledonian University, Glasgow.</w:t>
      </w:r>
    </w:p>
    <w:p w:rsidR="001A30FC" w:rsidRDefault="001A30FC" w:rsidP="00CA47E3">
      <w:pPr>
        <w:pStyle w:val="References"/>
      </w:pPr>
      <w:r>
        <w:t xml:space="preserve">Guthrie, H 2009, </w:t>
      </w:r>
      <w:r w:rsidRPr="001A30FC">
        <w:rPr>
          <w:i/>
          <w:lang w:val="en-US"/>
        </w:rPr>
        <w:t>Competence and competency-based training: what the literature says</w:t>
      </w:r>
      <w:r w:rsidRPr="001A30FC">
        <w:rPr>
          <w:lang w:val="en-US"/>
        </w:rPr>
        <w:t>, NCVER, Adelaide, viewed 7 July 2009, &lt;</w:t>
      </w:r>
      <w:hyperlink r:id="rId19" w:history="1">
        <w:r w:rsidRPr="001A30FC">
          <w:rPr>
            <w:rStyle w:val="Hyperlink"/>
            <w:sz w:val="18"/>
            <w:lang w:val="en-US"/>
          </w:rPr>
          <w:t>http://www.ncver.edu.au/publications/2153.html&gt;</w:t>
        </w:r>
      </w:hyperlink>
      <w:r w:rsidRPr="001A30FC">
        <w:rPr>
          <w:lang w:val="en-US"/>
        </w:rPr>
        <w:t>.</w:t>
      </w:r>
    </w:p>
    <w:p w:rsidR="009A1285" w:rsidRDefault="009A1285" w:rsidP="00CA47E3">
      <w:pPr>
        <w:pStyle w:val="References"/>
      </w:pPr>
      <w:proofErr w:type="gramStart"/>
      <w:r w:rsidRPr="009A1285">
        <w:t xml:space="preserve">Hudson, CL 1961, </w:t>
      </w:r>
      <w:r w:rsidR="00153E14">
        <w:t>‘</w:t>
      </w:r>
      <w:r w:rsidRPr="009A1285">
        <w:t>Expansion of medical professional services with nonprofessional personnel</w:t>
      </w:r>
      <w:r w:rsidR="00153E14">
        <w:t>’</w:t>
      </w:r>
      <w:r w:rsidRPr="009A1285">
        <w:t xml:space="preserve">, </w:t>
      </w:r>
      <w:r w:rsidRPr="009A1285">
        <w:rPr>
          <w:i/>
        </w:rPr>
        <w:t>Journal of the American Medical Association</w:t>
      </w:r>
      <w:r w:rsidR="00153E14">
        <w:t>, vol.176, no.10, pp.839—</w:t>
      </w:r>
      <w:r w:rsidRPr="009A1285">
        <w:t>41.</w:t>
      </w:r>
      <w:proofErr w:type="gramEnd"/>
    </w:p>
    <w:p w:rsidR="003A1891" w:rsidRPr="003A1891" w:rsidRDefault="003A1891" w:rsidP="00CA47E3">
      <w:pPr>
        <w:pStyle w:val="References"/>
      </w:pPr>
      <w:proofErr w:type="spellStart"/>
      <w:proofErr w:type="gramStart"/>
      <w:r w:rsidRPr="003A1891">
        <w:t>Iannelli</w:t>
      </w:r>
      <w:proofErr w:type="spellEnd"/>
      <w:r w:rsidRPr="003A1891">
        <w:t xml:space="preserve">, C </w:t>
      </w:r>
      <w:r>
        <w:t>&amp;</w:t>
      </w:r>
      <w:r w:rsidRPr="003A1891">
        <w:t xml:space="preserve"> </w:t>
      </w:r>
      <w:proofErr w:type="spellStart"/>
      <w:r w:rsidRPr="003A1891">
        <w:t>Raffe</w:t>
      </w:r>
      <w:proofErr w:type="spellEnd"/>
      <w:r w:rsidRPr="003A1891">
        <w:t>, D</w:t>
      </w:r>
      <w:r>
        <w:t xml:space="preserve"> </w:t>
      </w:r>
      <w:r w:rsidRPr="003A1891">
        <w:t>2007</w:t>
      </w:r>
      <w:r>
        <w:t>,</w:t>
      </w:r>
      <w:r w:rsidRPr="003A1891">
        <w:t xml:space="preserve"> </w:t>
      </w:r>
      <w:r w:rsidR="00153E14">
        <w:t>‘</w:t>
      </w:r>
      <w:r w:rsidRPr="003A1891">
        <w:t>Vocational upper-secondary education and the transition from school</w:t>
      </w:r>
      <w:r w:rsidR="00153E14">
        <w:t>’</w:t>
      </w:r>
      <w:r w:rsidRPr="003A1891">
        <w:t xml:space="preserve">, </w:t>
      </w:r>
      <w:r w:rsidRPr="003A1891">
        <w:rPr>
          <w:i/>
        </w:rPr>
        <w:t>European Sociological Review</w:t>
      </w:r>
      <w:r w:rsidRPr="003A1891">
        <w:t>, vol</w:t>
      </w:r>
      <w:r w:rsidR="0058533F">
        <w:t>.</w:t>
      </w:r>
      <w:r w:rsidRPr="003A1891">
        <w:t>23, n</w:t>
      </w:r>
      <w:r w:rsidR="0058533F">
        <w:t>o.</w:t>
      </w:r>
      <w:r w:rsidRPr="003A1891">
        <w:t>1, p</w:t>
      </w:r>
      <w:r w:rsidR="0058533F">
        <w:t>p.</w:t>
      </w:r>
      <w:r w:rsidR="00153E14">
        <w:t>49—</w:t>
      </w:r>
      <w:r w:rsidRPr="003A1891">
        <w:t>63.</w:t>
      </w:r>
      <w:proofErr w:type="gramEnd"/>
    </w:p>
    <w:p w:rsidR="00FE607C" w:rsidRDefault="001E6A01" w:rsidP="00CA47E3">
      <w:pPr>
        <w:pStyle w:val="References"/>
      </w:pPr>
      <w:proofErr w:type="spellStart"/>
      <w:r>
        <w:t>Jackling</w:t>
      </w:r>
      <w:proofErr w:type="spellEnd"/>
      <w:r>
        <w:t>, B &amp; Sulliv</w:t>
      </w:r>
      <w:r w:rsidR="00FE607C" w:rsidRPr="00FE607C">
        <w:t xml:space="preserve">an, C 2007, </w:t>
      </w:r>
      <w:r w:rsidR="000B2D2D">
        <w:t>‘</w:t>
      </w:r>
      <w:r w:rsidR="00FE607C" w:rsidRPr="00FE607C">
        <w:t xml:space="preserve">Financial planners in Australia: an evaluation of gaps in technical and </w:t>
      </w:r>
      <w:proofErr w:type="spellStart"/>
      <w:r w:rsidR="00FE607C" w:rsidRPr="00FE607C">
        <w:t>behavioral</w:t>
      </w:r>
      <w:proofErr w:type="spellEnd"/>
      <w:r w:rsidR="00FE607C" w:rsidRPr="00FE607C">
        <w:t xml:space="preserve"> skills</w:t>
      </w:r>
      <w:r w:rsidR="000B2D2D">
        <w:t>’</w:t>
      </w:r>
      <w:r w:rsidR="00FE607C" w:rsidRPr="00FE607C">
        <w:t xml:space="preserve">, </w:t>
      </w:r>
      <w:r w:rsidR="00FE607C" w:rsidRPr="00FE607C">
        <w:rPr>
          <w:i/>
        </w:rPr>
        <w:t>Financial Services Review</w:t>
      </w:r>
      <w:r w:rsidR="000B2D2D">
        <w:t>, vol.16, issue3, pp.211—</w:t>
      </w:r>
      <w:r w:rsidR="00FE607C" w:rsidRPr="00FE607C">
        <w:t>28.</w:t>
      </w:r>
    </w:p>
    <w:p w:rsidR="00B05EE8" w:rsidRPr="00B05EE8" w:rsidRDefault="00A60C15" w:rsidP="00CA47E3">
      <w:pPr>
        <w:pStyle w:val="References"/>
      </w:pPr>
      <w:r>
        <w:lastRenderedPageBreak/>
        <w:t xml:space="preserve">James Cook University </w:t>
      </w:r>
      <w:r w:rsidR="00FE7B94">
        <w:t>2012</w:t>
      </w:r>
      <w:r w:rsidR="004201B0">
        <w:t>,</w:t>
      </w:r>
      <w:r w:rsidR="00B05EE8" w:rsidRPr="00B05EE8">
        <w:t xml:space="preserve"> </w:t>
      </w:r>
      <w:r w:rsidR="000B2D2D">
        <w:t>‘Information for 2013 entry B</w:t>
      </w:r>
      <w:r w:rsidR="00B05EE8" w:rsidRPr="00B05EE8">
        <w:t xml:space="preserve">achelor of </w:t>
      </w:r>
      <w:r w:rsidR="000B2D2D" w:rsidRPr="00B05EE8">
        <w:t>Health Science (Physician Assistant</w:t>
      </w:r>
      <w:r w:rsidR="00B05EE8" w:rsidRPr="00B05EE8">
        <w:t>), viewed 9 Sept</w:t>
      </w:r>
      <w:r w:rsidR="00AA6608">
        <w:t>ember 2012, &lt;</w:t>
      </w:r>
      <w:r>
        <w:t>http://</w:t>
      </w:r>
      <w:r w:rsidR="00B05EE8" w:rsidRPr="00B05EE8">
        <w:t>www.jcu.edu.au/fmhms/public/groups/everyone/documents/form_</w:t>
      </w:r>
      <w:r w:rsidR="00AA6608">
        <w:t xml:space="preserve"> </w:t>
      </w:r>
      <w:r w:rsidR="00B05EE8" w:rsidRPr="00B05EE8">
        <w:t>interactive/jcu_107908.pdf&gt;.</w:t>
      </w:r>
    </w:p>
    <w:p w:rsidR="00B05EE8" w:rsidRPr="00B05EE8" w:rsidRDefault="00AA6608" w:rsidP="00CA47E3">
      <w:pPr>
        <w:pStyle w:val="References"/>
      </w:pPr>
      <w:proofErr w:type="gramStart"/>
      <w:r>
        <w:t>——</w:t>
      </w:r>
      <w:r w:rsidR="000B2D2D">
        <w:t>2011,</w:t>
      </w:r>
      <w:r w:rsidR="00B05EE8" w:rsidRPr="00B05EE8">
        <w:t xml:space="preserve"> </w:t>
      </w:r>
      <w:r w:rsidR="000B2D2D">
        <w:t>‘</w:t>
      </w:r>
      <w:r w:rsidR="00B05EE8" w:rsidRPr="00B05EE8">
        <w:t>A helping hand for doctors</w:t>
      </w:r>
      <w:r w:rsidR="000B2D2D">
        <w:t>’</w:t>
      </w:r>
      <w:r w:rsidR="00B05EE8" w:rsidRPr="00B05EE8">
        <w:t>, media release, 18 November, viewed 10</w:t>
      </w:r>
      <w:r>
        <w:t> September 2012, &lt;</w:t>
      </w:r>
      <w:r w:rsidR="00B05EE8" w:rsidRPr="00B05EE8">
        <w:t>www-public.jcu.edu.au/news/archive/JCU_093958&gt;.</w:t>
      </w:r>
      <w:proofErr w:type="gramEnd"/>
    </w:p>
    <w:p w:rsidR="00B05EE8" w:rsidRPr="00B05EE8" w:rsidRDefault="00B05EE8" w:rsidP="00CA47E3">
      <w:pPr>
        <w:pStyle w:val="References"/>
      </w:pPr>
      <w:r w:rsidRPr="00B05EE8">
        <w:t xml:space="preserve">Jolly, R 2008, </w:t>
      </w:r>
      <w:r w:rsidRPr="000B2D2D">
        <w:rPr>
          <w:i/>
        </w:rPr>
        <w:t>Health workforce: a case for physician assistants?</w:t>
      </w:r>
      <w:r w:rsidRPr="00B05EE8">
        <w:t xml:space="preserve"> Parliament of Australia</w:t>
      </w:r>
      <w:r w:rsidR="001E6A01">
        <w:t>,</w:t>
      </w:r>
      <w:r w:rsidRPr="00B05EE8">
        <w:t xml:space="preserve"> </w:t>
      </w:r>
      <w:r w:rsidR="000B2D2D" w:rsidRPr="00B05EE8">
        <w:t>Parliamentary Library</w:t>
      </w:r>
      <w:r w:rsidR="000B2D2D">
        <w:t>, R</w:t>
      </w:r>
      <w:r w:rsidRPr="00B05EE8">
        <w:t>esearch paper n</w:t>
      </w:r>
      <w:r w:rsidR="007B6352">
        <w:t>o.</w:t>
      </w:r>
      <w:r w:rsidRPr="00B05EE8">
        <w:t xml:space="preserve"> 24, viewed 15 September 2012, &lt;http://parlinfo.aph.gov.au/parlInfo/</w:t>
      </w:r>
      <w:r w:rsidR="00AA6608">
        <w:t xml:space="preserve"> </w:t>
      </w:r>
      <w:r w:rsidRPr="00B05EE8">
        <w:t>search/display/display.w3p;query=Id%3A%22library%2Fprspub%2FYR3Q6%22&gt;.</w:t>
      </w:r>
    </w:p>
    <w:p w:rsidR="006C15D0" w:rsidRDefault="006C15D0" w:rsidP="008A7B2A">
      <w:pPr>
        <w:pStyle w:val="References"/>
      </w:pPr>
      <w:proofErr w:type="spellStart"/>
      <w:proofErr w:type="gramStart"/>
      <w:r>
        <w:t>Karmel</w:t>
      </w:r>
      <w:proofErr w:type="spellEnd"/>
      <w:r>
        <w:t xml:space="preserve">, T, </w:t>
      </w:r>
      <w:proofErr w:type="spellStart"/>
      <w:r>
        <w:t>Mlotkowski</w:t>
      </w:r>
      <w:proofErr w:type="spellEnd"/>
      <w:r>
        <w:t xml:space="preserve">, P &amp; </w:t>
      </w:r>
      <w:proofErr w:type="spellStart"/>
      <w:r>
        <w:t>Awodeyi</w:t>
      </w:r>
      <w:proofErr w:type="spellEnd"/>
      <w:r>
        <w:t xml:space="preserve">, T 2008, </w:t>
      </w:r>
      <w:r w:rsidRPr="006C15D0">
        <w:rPr>
          <w:i/>
        </w:rPr>
        <w:t>Is VET vocational?</w:t>
      </w:r>
      <w:proofErr w:type="gramEnd"/>
      <w:r w:rsidRPr="006C15D0">
        <w:rPr>
          <w:i/>
        </w:rPr>
        <w:t xml:space="preserve"> The relevance of training to the occupations of vocational education and training graduates</w:t>
      </w:r>
      <w:r>
        <w:t>, NCVER, Adelaide, v</w:t>
      </w:r>
      <w:r w:rsidR="00AA6608">
        <w:t>iewed 19 February 2011, &lt;</w:t>
      </w:r>
      <w:r w:rsidR="00A60C15">
        <w:t>http://</w:t>
      </w:r>
      <w:r>
        <w:t>www.ncver.edu.au/publications/2013.html?friendly=printable&gt;.</w:t>
      </w:r>
    </w:p>
    <w:p w:rsidR="001A30FC" w:rsidRDefault="001A30FC" w:rsidP="009C7100">
      <w:pPr>
        <w:pStyle w:val="References"/>
      </w:pPr>
      <w:proofErr w:type="spellStart"/>
      <w:r>
        <w:t>Karmel</w:t>
      </w:r>
      <w:proofErr w:type="spellEnd"/>
      <w:r>
        <w:t xml:space="preserve">, T &amp; Nguyen, N 2003, </w:t>
      </w:r>
      <w:r w:rsidRPr="001A30FC">
        <w:rPr>
          <w:lang w:val="en-US"/>
        </w:rPr>
        <w:t xml:space="preserve">‘Australia's tertiary education sector’, </w:t>
      </w:r>
      <w:r>
        <w:rPr>
          <w:lang w:val="en-US"/>
        </w:rPr>
        <w:t>presented at the</w:t>
      </w:r>
      <w:r w:rsidRPr="001A30FC">
        <w:rPr>
          <w:lang w:val="en-US"/>
        </w:rPr>
        <w:t xml:space="preserve"> Centre for the Economics of Education and Training 7th National Conference, 15 September, </w:t>
      </w:r>
      <w:proofErr w:type="spellStart"/>
      <w:r w:rsidRPr="001A30FC">
        <w:rPr>
          <w:lang w:val="en-US"/>
        </w:rPr>
        <w:t>Monash</w:t>
      </w:r>
      <w:proofErr w:type="spellEnd"/>
      <w:r w:rsidRPr="001A30FC">
        <w:rPr>
          <w:lang w:val="en-US"/>
        </w:rPr>
        <w:t xml:space="preserve"> University, Melbourne, viewed 12 September 2012, </w:t>
      </w:r>
      <w:hyperlink r:id="rId20" w:history="1">
        <w:r w:rsidRPr="001A30FC">
          <w:rPr>
            <w:rStyle w:val="Hyperlink"/>
            <w:sz w:val="18"/>
            <w:lang w:val="en-US"/>
          </w:rPr>
          <w:t>&lt;http://www.ncver.edu.au/publications/1442.html&gt;.</w:t>
        </w:r>
      </w:hyperlink>
    </w:p>
    <w:p w:rsidR="004B5B25" w:rsidRPr="009C7100" w:rsidRDefault="004B5B25" w:rsidP="009C7100">
      <w:pPr>
        <w:pStyle w:val="References"/>
      </w:pPr>
      <w:r w:rsidRPr="009C7100">
        <w:t xml:space="preserve">Keating, J, 2008, </w:t>
      </w:r>
      <w:r w:rsidR="000B2D2D">
        <w:t>‘</w:t>
      </w:r>
      <w:r w:rsidRPr="009C7100">
        <w:t>Qualifications systems and national qualifications frameworks</w:t>
      </w:r>
      <w:r w:rsidR="000B2D2D">
        <w:t>’</w:t>
      </w:r>
      <w:r w:rsidRPr="009C7100">
        <w:t>, paper presented to the Monash University-ACER Centre for the Economics of Education and Training annual conference, Melbourne, October 2008</w:t>
      </w:r>
      <w:r w:rsidR="009C7100" w:rsidRPr="009C7100">
        <w:t>, viewed 19 November 2008, &lt;</w:t>
      </w:r>
      <w:r w:rsidR="00A60C15">
        <w:t>http://</w:t>
      </w:r>
      <w:hyperlink r:id="rId21" w:history="1">
        <w:r w:rsidR="00AA6608" w:rsidRPr="000723AD">
          <w:rPr>
            <w:rStyle w:val="Hyperlink"/>
            <w:sz w:val="18"/>
          </w:rPr>
          <w:t>www.education.monash.edu.au/centres/ceet/publications/conferencepapers/2008.html</w:t>
        </w:r>
      </w:hyperlink>
      <w:r w:rsidR="009C7100" w:rsidRPr="009C7100">
        <w:t>&gt;</w:t>
      </w:r>
      <w:r w:rsidR="00A60C15">
        <w:t>.</w:t>
      </w:r>
    </w:p>
    <w:p w:rsidR="00705F46" w:rsidRPr="00F42BEF" w:rsidRDefault="00705F46" w:rsidP="00705F46">
      <w:pPr>
        <w:pStyle w:val="References"/>
      </w:pPr>
      <w:proofErr w:type="spellStart"/>
      <w:r w:rsidRPr="00F42BEF">
        <w:t>Kogang</w:t>
      </w:r>
      <w:proofErr w:type="spellEnd"/>
      <w:r w:rsidRPr="00F42BEF">
        <w:t xml:space="preserve">, LR &amp; Stewart, SM 2009, </w:t>
      </w:r>
      <w:r w:rsidR="000B2D2D">
        <w:t>‘</w:t>
      </w:r>
      <w:r w:rsidRPr="00F42BEF">
        <w:t>Veterinary professional associates: does the profession’s foresight include a mid-tier professional similar to physician assistants?</w:t>
      </w:r>
      <w:proofErr w:type="gramStart"/>
      <w:r w:rsidR="000B2D2D">
        <w:t>’</w:t>
      </w:r>
      <w:r w:rsidRPr="00F42BEF">
        <w:t>,</w:t>
      </w:r>
      <w:proofErr w:type="gramEnd"/>
      <w:r w:rsidRPr="00F42BEF">
        <w:t xml:space="preserve"> </w:t>
      </w:r>
      <w:r w:rsidRPr="00F42BEF">
        <w:rPr>
          <w:i/>
        </w:rPr>
        <w:t>Journal of Veterinary Medical Education</w:t>
      </w:r>
      <w:r w:rsidR="000B2D2D">
        <w:t>, vol.36, no.2, pp.220—</w:t>
      </w:r>
      <w:r w:rsidRPr="00F42BEF">
        <w:t>5.</w:t>
      </w:r>
    </w:p>
    <w:p w:rsidR="00B05EE8" w:rsidRPr="00B05EE8" w:rsidRDefault="00B05EE8" w:rsidP="008A7B2A">
      <w:pPr>
        <w:pStyle w:val="References"/>
      </w:pPr>
      <w:r w:rsidRPr="00B05EE8">
        <w:t xml:space="preserve">Miller, M, </w:t>
      </w:r>
      <w:proofErr w:type="spellStart"/>
      <w:r w:rsidRPr="00B05EE8">
        <w:t>Siggins</w:t>
      </w:r>
      <w:proofErr w:type="spellEnd"/>
      <w:r w:rsidRPr="00B05EE8">
        <w:t xml:space="preserve">, I, Thomson, N, Fowler, G &amp; Bradshaw, S 2011, </w:t>
      </w:r>
      <w:r w:rsidRPr="000B2D2D">
        <w:rPr>
          <w:i/>
        </w:rPr>
        <w:t>The potential role of physician assistants in the Australian context,</w:t>
      </w:r>
      <w:r w:rsidRPr="00B05EE8">
        <w:t xml:space="preserve"> volume 1: final report, Health Workforce Australia, Adelaide, viewed 9</w:t>
      </w:r>
      <w:r w:rsidR="00AA6608">
        <w:t> September 2012, &lt;</w:t>
      </w:r>
      <w:r w:rsidR="00A60C15">
        <w:t>http://</w:t>
      </w:r>
      <w:r w:rsidRPr="00B05EE8">
        <w:t>www.hwa.gov.au/news-and-events/news/24-08-2012/physician-assistants-report-released&gt;.</w:t>
      </w:r>
    </w:p>
    <w:p w:rsidR="00AB756A" w:rsidRDefault="00AB756A" w:rsidP="008A7B2A">
      <w:pPr>
        <w:pStyle w:val="References"/>
      </w:pPr>
      <w:r w:rsidRPr="00AB756A">
        <w:t>Minerals Council of Australia</w:t>
      </w:r>
      <w:r w:rsidR="001E4268">
        <w:t xml:space="preserve"> </w:t>
      </w:r>
      <w:r w:rsidRPr="00AB756A">
        <w:t>2012</w:t>
      </w:r>
      <w:r w:rsidR="001E4268">
        <w:t>a,</w:t>
      </w:r>
      <w:r w:rsidRPr="00AB756A">
        <w:t xml:space="preserve"> </w:t>
      </w:r>
      <w:r w:rsidR="000B2D2D">
        <w:t>‘</w:t>
      </w:r>
      <w:r w:rsidRPr="00AB756A">
        <w:t>About the MCA</w:t>
      </w:r>
      <w:r w:rsidR="000B2D2D">
        <w:t>’</w:t>
      </w:r>
      <w:r w:rsidRPr="00AB756A">
        <w:t>, v</w:t>
      </w:r>
      <w:r w:rsidR="00AA6608">
        <w:t>iewed 20 December 2012, &lt;</w:t>
      </w:r>
      <w:r w:rsidR="00A60C15">
        <w:t>http://</w:t>
      </w:r>
      <w:r w:rsidRPr="00AB756A">
        <w:t>www.minerals.org.au/corporate/about_the_mca&gt;.</w:t>
      </w:r>
    </w:p>
    <w:p w:rsidR="007B6352" w:rsidRDefault="007B6352" w:rsidP="007B6352">
      <w:pPr>
        <w:pStyle w:val="References"/>
      </w:pPr>
      <w:r>
        <w:t>——</w:t>
      </w:r>
      <w:r w:rsidR="001E4268">
        <w:t xml:space="preserve">2012b, </w:t>
      </w:r>
      <w:r w:rsidR="000B2D2D">
        <w:t>‘</w:t>
      </w:r>
      <w:r w:rsidR="001E4268">
        <w:t>Position description, Minerals Industry National Associate Degree (MINAD) Project Coordinator</w:t>
      </w:r>
      <w:r w:rsidR="000B2D2D">
        <w:t>’</w:t>
      </w:r>
      <w:r w:rsidR="001E4268">
        <w:t xml:space="preserve">, viewed 20 December 2012, </w:t>
      </w:r>
      <w:hyperlink r:id="rId22" w:history="1">
        <w:r w:rsidR="00AA6608">
          <w:rPr>
            <w:rStyle w:val="Hyperlink"/>
            <w:sz w:val="18"/>
          </w:rPr>
          <w:t>&lt;</w:t>
        </w:r>
        <w:r w:rsidR="00A60C15">
          <w:t>http://</w:t>
        </w:r>
        <w:r w:rsidRPr="00EC088C">
          <w:rPr>
            <w:rStyle w:val="Hyperlink"/>
            <w:sz w:val="18"/>
          </w:rPr>
          <w:t>www.minerals.org.au/file_upload/files/employment/MINAD_</w:t>
        </w:r>
        <w:r w:rsidR="00A60C15">
          <w:rPr>
            <w:rStyle w:val="Hyperlink"/>
            <w:sz w:val="18"/>
          </w:rPr>
          <w:t xml:space="preserve"> </w:t>
        </w:r>
        <w:r w:rsidRPr="00EC088C">
          <w:rPr>
            <w:rStyle w:val="Hyperlink"/>
            <w:sz w:val="18"/>
          </w:rPr>
          <w:t>Project_Coordinator_March_2012.pdf</w:t>
        </w:r>
      </w:hyperlink>
      <w:r>
        <w:t>.</w:t>
      </w:r>
    </w:p>
    <w:p w:rsidR="007B6352" w:rsidRPr="00334674" w:rsidRDefault="007B6352" w:rsidP="007B6352">
      <w:pPr>
        <w:pStyle w:val="References"/>
      </w:pPr>
      <w:r w:rsidRPr="00334674">
        <w:t>Minerals Council of Australia Nationa</w:t>
      </w:r>
      <w:r>
        <w:t>l Tertiary Education Taskforce 1998,</w:t>
      </w:r>
      <w:r w:rsidRPr="00334674">
        <w:t xml:space="preserve"> </w:t>
      </w:r>
      <w:r w:rsidRPr="00334674">
        <w:rPr>
          <w:i/>
        </w:rPr>
        <w:t>Back from the brink: reshaping minerals tertiary education</w:t>
      </w:r>
      <w:r w:rsidRPr="00334674">
        <w:t>, discussion paper, Minera</w:t>
      </w:r>
      <w:r>
        <w:t>ls Council of Australia</w:t>
      </w:r>
      <w:r w:rsidRPr="00334674">
        <w:t>, Braddon, viewed 20</w:t>
      </w:r>
      <w:r w:rsidR="00AA6608">
        <w:t> December 2012, &lt;</w:t>
      </w:r>
      <w:r w:rsidR="00A60C15">
        <w:t>http://</w:t>
      </w:r>
      <w:r w:rsidRPr="00334674">
        <w:t>www.minerals.org.au/focus/mtec&gt;.</w:t>
      </w:r>
    </w:p>
    <w:p w:rsidR="00B05EE8" w:rsidRPr="00B05EE8" w:rsidRDefault="00B05EE8" w:rsidP="001E4268">
      <w:pPr>
        <w:pStyle w:val="References"/>
      </w:pPr>
      <w:proofErr w:type="spellStart"/>
      <w:r w:rsidRPr="00B05EE8">
        <w:t>Moodie</w:t>
      </w:r>
      <w:proofErr w:type="spellEnd"/>
      <w:r w:rsidRPr="00B05EE8">
        <w:t xml:space="preserve">, G 2012, </w:t>
      </w:r>
      <w:r w:rsidRPr="00B05EE8">
        <w:rPr>
          <w:i/>
        </w:rPr>
        <w:t>The role of educational institutions in fostering vocations</w:t>
      </w:r>
      <w:r w:rsidRPr="00B05EE8">
        <w:t xml:space="preserve">, </w:t>
      </w:r>
      <w:r w:rsidR="000B2D2D">
        <w:t>NCVER</w:t>
      </w:r>
      <w:r w:rsidRPr="00B05EE8">
        <w:t>, Adelaide, viewed 27</w:t>
      </w:r>
      <w:r w:rsidR="00AA6608">
        <w:t> October 2012, &lt;</w:t>
      </w:r>
      <w:r w:rsidR="00A60C15">
        <w:t>http://</w:t>
      </w:r>
      <w:r w:rsidRPr="00B05EE8">
        <w:t>www.ncver.edu.au/publications/2537.html&gt;.</w:t>
      </w:r>
    </w:p>
    <w:p w:rsidR="004164EB" w:rsidRDefault="00705F46" w:rsidP="008A7B2A">
      <w:pPr>
        <w:pStyle w:val="References"/>
      </w:pPr>
      <w:proofErr w:type="spellStart"/>
      <w:r>
        <w:t>Moodie</w:t>
      </w:r>
      <w:proofErr w:type="spellEnd"/>
      <w:r>
        <w:t xml:space="preserve">, G &amp; </w:t>
      </w:r>
      <w:proofErr w:type="spellStart"/>
      <w:r>
        <w:t>Fredman</w:t>
      </w:r>
      <w:proofErr w:type="spellEnd"/>
      <w:r>
        <w:t>, N 2013</w:t>
      </w:r>
      <w:r w:rsidR="004164EB">
        <w:t xml:space="preserve">, </w:t>
      </w:r>
      <w:r w:rsidR="00AB4BE7">
        <w:rPr>
          <w:i/>
        </w:rPr>
        <w:t>Student load and employment outcomes attached to mid-level qualifications</w:t>
      </w:r>
      <w:r w:rsidR="004164EB">
        <w:t>, NCVER, Adelaide</w:t>
      </w:r>
      <w:r w:rsidR="00AB4BE7">
        <w:t>, viewed 8 May 2013, &lt;http://www.ncver.edu.au/publications/2609.html&gt;</w:t>
      </w:r>
      <w:r w:rsidR="004164EB">
        <w:t>.</w:t>
      </w:r>
      <w:r w:rsidR="007B6352">
        <w:t xml:space="preserve"> </w:t>
      </w:r>
    </w:p>
    <w:p w:rsidR="00A60728" w:rsidRDefault="000B2D2D" w:rsidP="00A60728">
      <w:pPr>
        <w:pStyle w:val="References"/>
      </w:pPr>
      <w:r>
        <w:t>NCVER (</w:t>
      </w:r>
      <w:r w:rsidR="00A60728">
        <w:t>National Centre for Vocational Education Research</w:t>
      </w:r>
      <w:r>
        <w:t>)</w:t>
      </w:r>
      <w:r w:rsidR="00A60728">
        <w:t xml:space="preserve"> 2011, </w:t>
      </w:r>
      <w:r w:rsidR="00A60728">
        <w:rPr>
          <w:i/>
          <w:iCs/>
        </w:rPr>
        <w:t>Australian vocational education and training statistics: student outcomes 2011</w:t>
      </w:r>
      <w:r>
        <w:rPr>
          <w:i/>
          <w:iCs/>
        </w:rPr>
        <w:t xml:space="preserve">, </w:t>
      </w:r>
      <w:r w:rsidRPr="000B2D2D">
        <w:rPr>
          <w:iCs/>
        </w:rPr>
        <w:t>NCVER, Adelaide.</w:t>
      </w:r>
    </w:p>
    <w:p w:rsidR="009C7100" w:rsidRPr="00A60728" w:rsidRDefault="009C7100" w:rsidP="00A60728">
      <w:pPr>
        <w:pStyle w:val="References"/>
      </w:pPr>
      <w:r w:rsidRPr="00A60728">
        <w:t>Nat</w:t>
      </w:r>
      <w:r w:rsidR="00705F46" w:rsidRPr="00A60728">
        <w:t>ional Skills Standards Council 2012</w:t>
      </w:r>
      <w:r w:rsidR="000B2D2D">
        <w:t>,</w:t>
      </w:r>
      <w:r w:rsidRPr="00A60728">
        <w:t xml:space="preserve"> </w:t>
      </w:r>
      <w:r w:rsidRPr="000B2D2D">
        <w:rPr>
          <w:i/>
        </w:rPr>
        <w:t>Training package development and endorsement process</w:t>
      </w:r>
      <w:r w:rsidRPr="00A60728">
        <w:t>, viewed 3</w:t>
      </w:r>
      <w:r w:rsidR="00AA6608">
        <w:t> </w:t>
      </w:r>
      <w:r w:rsidRPr="00A60728">
        <w:t>March 2013, &lt;</w:t>
      </w:r>
      <w:r w:rsidR="00A60C15">
        <w:t>http://</w:t>
      </w:r>
      <w:hyperlink r:id="rId23" w:history="1">
        <w:r w:rsidR="00AA6608" w:rsidRPr="000723AD">
          <w:rPr>
            <w:rStyle w:val="Hyperlink"/>
            <w:sz w:val="18"/>
          </w:rPr>
          <w:t>www.nssc.natese.gov.au/training_packages/standards_and_policies</w:t>
        </w:r>
      </w:hyperlink>
      <w:r w:rsidRPr="00A60728">
        <w:t>&gt;.</w:t>
      </w:r>
    </w:p>
    <w:p w:rsidR="009A1285" w:rsidRDefault="009A1285" w:rsidP="008A7B2A">
      <w:pPr>
        <w:pStyle w:val="References"/>
      </w:pPr>
      <w:proofErr w:type="gramStart"/>
      <w:r w:rsidRPr="009A1285">
        <w:t xml:space="preserve">Swan, N &amp; Wilkinson, D 2011, </w:t>
      </w:r>
      <w:r w:rsidR="000B2D2D">
        <w:t>‘</w:t>
      </w:r>
      <w:r w:rsidRPr="009A1285">
        <w:t>Closure of the physician assistant program at the University of Queensland</w:t>
      </w:r>
      <w:r w:rsidR="000B2D2D">
        <w:t>’</w:t>
      </w:r>
      <w:r w:rsidRPr="009A1285">
        <w:t xml:space="preserve">, </w:t>
      </w:r>
      <w:r w:rsidR="000B2D2D" w:rsidRPr="009A1285">
        <w:t>National Health Report, 23 May</w:t>
      </w:r>
      <w:r w:rsidR="000B2D2D">
        <w:t>,</w:t>
      </w:r>
      <w:r w:rsidR="000B2D2D" w:rsidRPr="009A1285">
        <w:t xml:space="preserve"> </w:t>
      </w:r>
      <w:r w:rsidRPr="009A1285">
        <w:t>ABC Radio, v</w:t>
      </w:r>
      <w:r w:rsidR="00AA6608">
        <w:t>iewed 9 September 2012, &lt;</w:t>
      </w:r>
      <w:r w:rsidR="00A60C15">
        <w:t>http://</w:t>
      </w:r>
      <w:r w:rsidRPr="009A1285">
        <w:t>www.abc.net.au/radionational/programs/healthreport/closure-of-the-physician-assistant-program-at-the/2950238#transcript&gt;.</w:t>
      </w:r>
      <w:proofErr w:type="gramEnd"/>
    </w:p>
    <w:p w:rsidR="00B05EE8" w:rsidRDefault="00B05EE8" w:rsidP="008A7B2A">
      <w:pPr>
        <w:pStyle w:val="References"/>
      </w:pPr>
      <w:r w:rsidRPr="00B05EE8">
        <w:t xml:space="preserve">Sweet, M 2011a, </w:t>
      </w:r>
      <w:r w:rsidR="001E6A01">
        <w:t>‘</w:t>
      </w:r>
      <w:proofErr w:type="gramStart"/>
      <w:r w:rsidRPr="00B05EE8">
        <w:t>We’re</w:t>
      </w:r>
      <w:proofErr w:type="gramEnd"/>
      <w:r w:rsidRPr="00B05EE8">
        <w:t xml:space="preserve"> about to get our first crop of physician assistants. Bu</w:t>
      </w:r>
      <w:r w:rsidR="000B2D2D">
        <w:t>t what’s holding them back?</w:t>
      </w:r>
      <w:proofErr w:type="gramStart"/>
      <w:r w:rsidR="001E6A01">
        <w:t>’</w:t>
      </w:r>
      <w:r w:rsidR="00A60C15">
        <w:t>,</w:t>
      </w:r>
      <w:proofErr w:type="gramEnd"/>
      <w:r w:rsidR="000B2D2D">
        <w:t xml:space="preserve"> </w:t>
      </w:r>
      <w:r w:rsidR="000B2D2D" w:rsidRPr="000B2D2D">
        <w:rPr>
          <w:i/>
        </w:rPr>
        <w:t>Cr</w:t>
      </w:r>
      <w:r w:rsidR="0089447A">
        <w:rPr>
          <w:i/>
        </w:rPr>
        <w:t>i</w:t>
      </w:r>
      <w:r w:rsidRPr="000B2D2D">
        <w:rPr>
          <w:i/>
        </w:rPr>
        <w:t>key,</w:t>
      </w:r>
      <w:r w:rsidRPr="00B05EE8">
        <w:t xml:space="preserve"> 29 March, viewed 9 September 2012, &lt;http://blogs.crikey.com.au/croakey/2011/03/29/were-about-to-get-our-first-crop-of-physician-assistants-but-whats-holding-them-back/&gt;.</w:t>
      </w:r>
    </w:p>
    <w:p w:rsidR="00B05EE8" w:rsidRPr="00B05EE8" w:rsidRDefault="00A60C15" w:rsidP="008A7B2A">
      <w:pPr>
        <w:pStyle w:val="References"/>
      </w:pPr>
      <w:r>
        <w:t>——</w:t>
      </w:r>
      <w:r w:rsidR="00B05EE8" w:rsidRPr="00B05EE8">
        <w:t xml:space="preserve">2011b, </w:t>
      </w:r>
      <w:r w:rsidR="000B2D2D">
        <w:t>‘</w:t>
      </w:r>
      <w:r w:rsidR="00B05EE8" w:rsidRPr="00B05EE8">
        <w:t>Reaction to University of Queensland’s closure of physician assistant program: wha</w:t>
      </w:r>
      <w:r w:rsidR="000B2D2D">
        <w:t xml:space="preserve">t a shame for rural health’, </w:t>
      </w:r>
      <w:r w:rsidR="000B2D2D" w:rsidRPr="000B2D2D">
        <w:rPr>
          <w:i/>
        </w:rPr>
        <w:t>Cr</w:t>
      </w:r>
      <w:r w:rsidR="0089447A">
        <w:rPr>
          <w:i/>
        </w:rPr>
        <w:t>i</w:t>
      </w:r>
      <w:r w:rsidR="00B05EE8" w:rsidRPr="000B2D2D">
        <w:rPr>
          <w:i/>
        </w:rPr>
        <w:t>key</w:t>
      </w:r>
      <w:r w:rsidR="00B05EE8" w:rsidRPr="00B05EE8">
        <w:t>, 12 May, viewed 9 September 2012, &lt;http://blogs.crikey.com.au/croakey/</w:t>
      </w:r>
      <w:r>
        <w:t xml:space="preserve"> </w:t>
      </w:r>
      <w:r w:rsidR="00B05EE8" w:rsidRPr="00B05EE8">
        <w:t>2011/05/12/reaction-to-university-of-queenslands-closure-of-physician-assistant-program-what-a-shame-for-rural-health/&gt;.</w:t>
      </w:r>
    </w:p>
    <w:p w:rsidR="006C15D0" w:rsidRDefault="009A1285" w:rsidP="009A1285">
      <w:pPr>
        <w:pStyle w:val="References"/>
      </w:pPr>
      <w:proofErr w:type="gramStart"/>
      <w:r w:rsidRPr="009A1285">
        <w:t>University of Queensland</w:t>
      </w:r>
      <w:r>
        <w:t xml:space="preserve"> </w:t>
      </w:r>
      <w:r w:rsidRPr="009A1285">
        <w:t>2010</w:t>
      </w:r>
      <w:r>
        <w:t>,</w:t>
      </w:r>
      <w:r w:rsidRPr="009A1285">
        <w:t xml:space="preserve"> </w:t>
      </w:r>
      <w:r w:rsidR="0089447A">
        <w:t>‘</w:t>
      </w:r>
      <w:r w:rsidRPr="009A1285">
        <w:t>School of Medicine Academic Board review</w:t>
      </w:r>
      <w:r w:rsidR="0089447A">
        <w:t>’</w:t>
      </w:r>
      <w:r w:rsidRPr="009A1285">
        <w:t>, v</w:t>
      </w:r>
      <w:r w:rsidR="00AA6608">
        <w:t>iewed 9 September 2012, &lt;</w:t>
      </w:r>
      <w:r w:rsidR="00A60C15">
        <w:t>http://</w:t>
      </w:r>
      <w:r w:rsidRPr="009A1285">
        <w:t>www.som.uq.edu.au/media/27122/uq_school_review_2011_additional_information_v1.pdf&gt;.</w:t>
      </w:r>
      <w:proofErr w:type="gramEnd"/>
    </w:p>
    <w:p w:rsidR="006C15D0" w:rsidRPr="009A1285" w:rsidRDefault="007B6352" w:rsidP="009A1285">
      <w:pPr>
        <w:pStyle w:val="References"/>
      </w:pPr>
      <w:proofErr w:type="gramStart"/>
      <w:r>
        <w:t>——</w:t>
      </w:r>
      <w:r w:rsidR="009A1285" w:rsidRPr="009A1285">
        <w:t xml:space="preserve">2011, </w:t>
      </w:r>
      <w:r w:rsidR="0089447A">
        <w:t>‘</w:t>
      </w:r>
      <w:r w:rsidR="009A1285" w:rsidRPr="009A1285">
        <w:t>Closure of the physician assistant program at the University of Queensland</w:t>
      </w:r>
      <w:r w:rsidR="0089447A">
        <w:t>’</w:t>
      </w:r>
      <w:r w:rsidR="009A1285" w:rsidRPr="009A1285">
        <w:t>, media statement, 11</w:t>
      </w:r>
      <w:r w:rsidR="00AA6608">
        <w:t> </w:t>
      </w:r>
      <w:r w:rsidR="009A1285" w:rsidRPr="009A1285">
        <w:t>May, v</w:t>
      </w:r>
      <w:r w:rsidR="00AA6608">
        <w:t>iewed 9 September 2012, &lt;</w:t>
      </w:r>
      <w:r w:rsidR="00A60C15">
        <w:t>http://</w:t>
      </w:r>
      <w:r w:rsidR="009A1285" w:rsidRPr="009A1285">
        <w:t>www.uq.edu.au/news/?article=23118&gt;.</w:t>
      </w:r>
      <w:proofErr w:type="gramEnd"/>
    </w:p>
    <w:p w:rsidR="0089447A" w:rsidRDefault="0089447A" w:rsidP="0089447A">
      <w:pPr>
        <w:pStyle w:val="References"/>
      </w:pPr>
      <w:proofErr w:type="spellStart"/>
      <w:r w:rsidRPr="007A4186">
        <w:t>Wh</w:t>
      </w:r>
      <w:r>
        <w:t>eelahan</w:t>
      </w:r>
      <w:proofErr w:type="spellEnd"/>
      <w:r>
        <w:t xml:space="preserve">, L, </w:t>
      </w:r>
      <w:proofErr w:type="spellStart"/>
      <w:r>
        <w:t>Moodie</w:t>
      </w:r>
      <w:proofErr w:type="spellEnd"/>
      <w:r>
        <w:t>, G &amp; Buchanan, J 2012</w:t>
      </w:r>
      <w:r w:rsidRPr="007A4186">
        <w:t xml:space="preserve">, </w:t>
      </w:r>
      <w:r w:rsidRPr="007A4186">
        <w:rPr>
          <w:i/>
        </w:rPr>
        <w:t>Revitalising the vocational in flows of learning and labour</w:t>
      </w:r>
      <w:r w:rsidRPr="007A4186">
        <w:t xml:space="preserve">, Adelaide, </w:t>
      </w:r>
      <w:r>
        <w:t>NCVER,</w:t>
      </w:r>
      <w:r w:rsidRPr="007A4186">
        <w:t xml:space="preserve"> viewed 30 October 2012</w:t>
      </w:r>
      <w:r>
        <w:t xml:space="preserve">, </w:t>
      </w:r>
      <w:r w:rsidRPr="007A4186">
        <w:t>&lt;</w:t>
      </w:r>
      <w:r w:rsidR="00A60C15">
        <w:t>http://</w:t>
      </w:r>
      <w:hyperlink r:id="rId24" w:history="1">
        <w:r w:rsidR="00AA6608" w:rsidRPr="000723AD">
          <w:rPr>
            <w:rStyle w:val="Hyperlink"/>
            <w:sz w:val="18"/>
          </w:rPr>
          <w:t>www.ncver.edu.au/publications/2535</w:t>
        </w:r>
      </w:hyperlink>
      <w:r w:rsidRPr="007A4186">
        <w:t>&gt;.</w:t>
      </w:r>
    </w:p>
    <w:p w:rsidR="001A3A0C" w:rsidRPr="001A3A0C" w:rsidRDefault="001A3A0C" w:rsidP="007A4186">
      <w:pPr>
        <w:pStyle w:val="References"/>
      </w:pPr>
      <w:r>
        <w:lastRenderedPageBreak/>
        <w:t xml:space="preserve">Wheelahan, L, Leahy, M, </w:t>
      </w:r>
      <w:proofErr w:type="spellStart"/>
      <w:r>
        <w:t>Fredman</w:t>
      </w:r>
      <w:proofErr w:type="spellEnd"/>
      <w:r>
        <w:t xml:space="preserve">, N, </w:t>
      </w:r>
      <w:proofErr w:type="spellStart"/>
      <w:r>
        <w:t>Moodie</w:t>
      </w:r>
      <w:proofErr w:type="spellEnd"/>
      <w:r>
        <w:t xml:space="preserve">, G, </w:t>
      </w:r>
      <w:proofErr w:type="spellStart"/>
      <w:r>
        <w:t>Arkoudis</w:t>
      </w:r>
      <w:proofErr w:type="spellEnd"/>
      <w:r>
        <w:t xml:space="preserve">, S &amp; Bexley, </w:t>
      </w:r>
      <w:r w:rsidR="0089447A">
        <w:t>E 2012</w:t>
      </w:r>
      <w:r>
        <w:t xml:space="preserve">, </w:t>
      </w:r>
      <w:r>
        <w:rPr>
          <w:i/>
        </w:rPr>
        <w:t>Missing links: the fragmented relationship between tertiary education and jobs</w:t>
      </w:r>
      <w:r>
        <w:t xml:space="preserve">, </w:t>
      </w:r>
      <w:r w:rsidR="0089447A">
        <w:t>NCVER,</w:t>
      </w:r>
      <w:r>
        <w:t xml:space="preserve"> Adelaide</w:t>
      </w:r>
      <w:r w:rsidR="0089447A">
        <w:t>.</w:t>
      </w:r>
      <w:r>
        <w:t xml:space="preserve"> </w:t>
      </w:r>
    </w:p>
    <w:p w:rsidR="00705F46" w:rsidRDefault="00705F46" w:rsidP="007A4186">
      <w:pPr>
        <w:pStyle w:val="References"/>
      </w:pPr>
      <w:r>
        <w:t xml:space="preserve">Yu, S, </w:t>
      </w:r>
      <w:proofErr w:type="spellStart"/>
      <w:r>
        <w:t>Bretherton</w:t>
      </w:r>
      <w:proofErr w:type="spellEnd"/>
      <w:r>
        <w:t xml:space="preserve">, T </w:t>
      </w:r>
      <w:r w:rsidR="00AF1F07">
        <w:t>&amp;</w:t>
      </w:r>
      <w:r>
        <w:t xml:space="preserve"> Buchanan, J forthcoming, </w:t>
      </w:r>
      <w:proofErr w:type="gramStart"/>
      <w:r>
        <w:rPr>
          <w:i/>
        </w:rPr>
        <w:t>Defining</w:t>
      </w:r>
      <w:proofErr w:type="gramEnd"/>
      <w:r>
        <w:rPr>
          <w:i/>
        </w:rPr>
        <w:t xml:space="preserve"> vocational streams: insights from the engineering, finance, agriculture and care sectors</w:t>
      </w:r>
      <w:r w:rsidR="00466BA8">
        <w:t>, NCVER, Adelaide.</w:t>
      </w:r>
    </w:p>
    <w:p w:rsidR="007051BF" w:rsidRPr="00705F46" w:rsidRDefault="007051BF" w:rsidP="007A4186">
      <w:pPr>
        <w:pStyle w:val="References"/>
      </w:pPr>
      <w:r>
        <w:t xml:space="preserve">Yu, S, </w:t>
      </w:r>
      <w:proofErr w:type="spellStart"/>
      <w:r>
        <w:t>Bretherton</w:t>
      </w:r>
      <w:proofErr w:type="spellEnd"/>
      <w:r>
        <w:t>, T &amp;</w:t>
      </w:r>
      <w:r w:rsidR="001A30FC">
        <w:t xml:space="preserve"> </w:t>
      </w:r>
      <w:proofErr w:type="spellStart"/>
      <w:r w:rsidR="001A30FC">
        <w:t>Schut</w:t>
      </w:r>
      <w:r>
        <w:t>z</w:t>
      </w:r>
      <w:proofErr w:type="spellEnd"/>
      <w:r>
        <w:t xml:space="preserve">, H 2012, </w:t>
      </w:r>
      <w:r w:rsidRPr="007051BF">
        <w:rPr>
          <w:i/>
          <w:iCs/>
          <w:lang w:val="en-US"/>
        </w:rPr>
        <w:t xml:space="preserve">Vocational trajectories within the Australian </w:t>
      </w:r>
      <w:proofErr w:type="spellStart"/>
      <w:r w:rsidRPr="007051BF">
        <w:rPr>
          <w:i/>
          <w:iCs/>
          <w:lang w:val="en-US"/>
        </w:rPr>
        <w:t>labour</w:t>
      </w:r>
      <w:proofErr w:type="spellEnd"/>
      <w:r w:rsidRPr="007051BF">
        <w:rPr>
          <w:i/>
          <w:iCs/>
          <w:lang w:val="en-US"/>
        </w:rPr>
        <w:t xml:space="preserve"> market</w:t>
      </w:r>
      <w:r w:rsidRPr="007051BF">
        <w:rPr>
          <w:lang w:val="en-US"/>
        </w:rPr>
        <w:t xml:space="preserve">, </w:t>
      </w:r>
      <w:r>
        <w:rPr>
          <w:lang w:val="en-US"/>
        </w:rPr>
        <w:t>NCVER</w:t>
      </w:r>
      <w:r w:rsidRPr="007051BF">
        <w:rPr>
          <w:lang w:val="en-US"/>
        </w:rPr>
        <w:t xml:space="preserve">, Adelaide, viewed 12 September, </w:t>
      </w:r>
      <w:hyperlink r:id="rId25" w:history="1">
        <w:r w:rsidRPr="007051BF">
          <w:rPr>
            <w:rStyle w:val="Hyperlink"/>
            <w:sz w:val="18"/>
            <w:lang w:val="en-US"/>
          </w:rPr>
          <w:t>&lt;http://www.ncver.edu.au/publications/2557.html&gt;.</w:t>
        </w:r>
      </w:hyperlink>
    </w:p>
    <w:p w:rsidR="002920D9" w:rsidRDefault="002920D9" w:rsidP="002920D9">
      <w:pPr>
        <w:pStyle w:val="Text"/>
      </w:pPr>
    </w:p>
    <w:p w:rsidR="00E12B1F" w:rsidRDefault="00E12B1F" w:rsidP="009B0295">
      <w:pPr>
        <w:pStyle w:val="Heading1"/>
      </w:pPr>
      <w:r w:rsidRPr="002920D9">
        <w:rPr>
          <w:rStyle w:val="TextChar"/>
        </w:rPr>
        <w:br w:type="page"/>
      </w:r>
      <w:bookmarkStart w:id="60" w:name="_Toc188077644"/>
      <w:bookmarkStart w:id="61" w:name="_Toc370199909"/>
      <w:r>
        <w:lastRenderedPageBreak/>
        <w:t>Support document details</w:t>
      </w:r>
      <w:bookmarkEnd w:id="60"/>
      <w:bookmarkEnd w:id="61"/>
    </w:p>
    <w:p w:rsidR="00E12B1F" w:rsidRDefault="00E12B1F" w:rsidP="0048643A">
      <w:pPr>
        <w:pStyle w:val="Text"/>
      </w:pPr>
      <w:r>
        <w:t xml:space="preserve">Additional information relating to this research is available in </w:t>
      </w:r>
      <w:r w:rsidR="002920D9" w:rsidRPr="002920D9">
        <w:rPr>
          <w:i/>
        </w:rPr>
        <w:t>Vocational educat</w:t>
      </w:r>
      <w:r w:rsidR="002920D9">
        <w:rPr>
          <w:i/>
        </w:rPr>
        <w:t xml:space="preserve">ion’s </w:t>
      </w:r>
      <w:r w:rsidR="003A7622">
        <w:rPr>
          <w:i/>
        </w:rPr>
        <w:t>variable links to vocations</w:t>
      </w:r>
      <w:r w:rsidRPr="00D418CE">
        <w:rPr>
          <w:i/>
        </w:rPr>
        <w:t xml:space="preserve">: </w:t>
      </w:r>
      <w:r>
        <w:rPr>
          <w:i/>
        </w:rPr>
        <w:t>s</w:t>
      </w:r>
      <w:r w:rsidRPr="00D418CE">
        <w:rPr>
          <w:i/>
        </w:rPr>
        <w:t>upport document</w:t>
      </w:r>
      <w:r>
        <w:t xml:space="preserve">. It can be accessed from NCVER’s website </w:t>
      </w:r>
      <w:r w:rsidR="003A7622">
        <w:t>&lt;</w:t>
      </w:r>
      <w:hyperlink r:id="rId26" w:history="1">
        <w:r w:rsidR="003A7622" w:rsidRPr="00BB6D40">
          <w:rPr>
            <w:rStyle w:val="Hyperlink"/>
          </w:rPr>
          <w:t>http://www.ncver.edu.au/publications/2689.html</w:t>
        </w:r>
      </w:hyperlink>
      <w:r w:rsidR="003A7622">
        <w:t>&gt; and contains the following information:</w:t>
      </w:r>
    </w:p>
    <w:p w:rsidR="00E12B1F" w:rsidRDefault="003A7622" w:rsidP="003A7622">
      <w:pPr>
        <w:pStyle w:val="Dotpoint1"/>
      </w:pPr>
      <w:r>
        <w:t>Introduction</w:t>
      </w:r>
    </w:p>
    <w:p w:rsidR="003A7622" w:rsidRDefault="003A7622" w:rsidP="003A7622">
      <w:pPr>
        <w:pStyle w:val="Dotpoint1"/>
      </w:pPr>
      <w:r>
        <w:t>Employment, study and skills outcomes of mid-level qualifications</w:t>
      </w:r>
    </w:p>
    <w:p w:rsidR="003A7622" w:rsidRDefault="003A7622" w:rsidP="003A7622">
      <w:pPr>
        <w:pStyle w:val="Dotpoint1"/>
      </w:pPr>
      <w:r>
        <w:t>Appendix: employment and study outcome regression results</w:t>
      </w:r>
    </w:p>
    <w:p w:rsidR="003A7622" w:rsidRDefault="003A7622" w:rsidP="003A7622">
      <w:pPr>
        <w:pStyle w:val="Dotpoint1"/>
      </w:pPr>
      <w:r>
        <w:t>Are diploma graduates losing mid-level jobs to bachelor graduates?</w:t>
      </w:r>
    </w:p>
    <w:p w:rsidR="003A7622" w:rsidRDefault="003A7622" w:rsidP="003A7622">
      <w:pPr>
        <w:pStyle w:val="Dotpoint1"/>
      </w:pPr>
      <w:r>
        <w:t>Case study: associate degrees in engineering, mining and geoscience</w:t>
      </w:r>
    </w:p>
    <w:p w:rsidR="003A7622" w:rsidRDefault="003A7622" w:rsidP="003A7622">
      <w:pPr>
        <w:pStyle w:val="Dotpoint1"/>
      </w:pPr>
      <w:r>
        <w:t>Case study: financial planning</w:t>
      </w:r>
    </w:p>
    <w:p w:rsidR="003A7622" w:rsidRDefault="003A7622" w:rsidP="003A7622">
      <w:pPr>
        <w:pStyle w:val="Dotpoint1"/>
      </w:pPr>
      <w:r>
        <w:t>Case studies of physician assistants and veterinary technologists</w:t>
      </w:r>
    </w:p>
    <w:p w:rsidR="003A7622" w:rsidRDefault="003A7622" w:rsidP="003A7622">
      <w:pPr>
        <w:pStyle w:val="Dotpoint1"/>
      </w:pPr>
      <w:r>
        <w:t>References</w:t>
      </w:r>
    </w:p>
    <w:p w:rsidR="00E12B1F" w:rsidRDefault="00E12B1F" w:rsidP="0048643A">
      <w:pPr>
        <w:pStyle w:val="Text"/>
      </w:pPr>
    </w:p>
    <w:p w:rsidR="00E12B1F" w:rsidRDefault="00E12B1F" w:rsidP="0048643A">
      <w:pPr>
        <w:pStyle w:val="Text"/>
      </w:pPr>
    </w:p>
    <w:p w:rsidR="00E12B1F" w:rsidRDefault="00E12B1F" w:rsidP="0048643A">
      <w:pPr>
        <w:pStyle w:val="Text"/>
      </w:pPr>
    </w:p>
    <w:p w:rsidR="00E12B1F" w:rsidRDefault="00E12B1F" w:rsidP="0048643A">
      <w:pPr>
        <w:pStyle w:val="Text"/>
      </w:pPr>
    </w:p>
    <w:p w:rsidR="00E12B1F" w:rsidRDefault="00E12B1F" w:rsidP="0048643A">
      <w:pPr>
        <w:pStyle w:val="Text"/>
      </w:pPr>
    </w:p>
    <w:p w:rsidR="00E12B1F" w:rsidRDefault="00E12B1F" w:rsidP="00D14351">
      <w:pPr>
        <w:pStyle w:val="Heading1"/>
      </w:pPr>
      <w:r>
        <w:br w:type="page"/>
      </w:r>
      <w:bookmarkStart w:id="62" w:name="_Toc370199910"/>
      <w:r>
        <w:lastRenderedPageBreak/>
        <w:t>NVETR Program funding</w:t>
      </w:r>
      <w:bookmarkEnd w:id="62"/>
      <w:r>
        <w:t xml:space="preserve"> </w:t>
      </w:r>
    </w:p>
    <w:p w:rsidR="00E95F50" w:rsidRPr="00157690" w:rsidRDefault="00E95F50" w:rsidP="00E95F50">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t>.</w:t>
      </w:r>
    </w:p>
    <w:p w:rsidR="00E95F50" w:rsidRPr="00157690" w:rsidRDefault="00E95F50" w:rsidP="00E95F50">
      <w:pPr>
        <w:pStyle w:val="Text"/>
      </w:pPr>
      <w:r w:rsidRPr="00157690">
        <w:t xml:space="preserve">The NVETR Program is based on national research priorities approved by ministers with responsibility for vocational education and training. </w:t>
      </w:r>
    </w:p>
    <w:p w:rsidR="00E95F50" w:rsidRPr="00157690" w:rsidRDefault="00E95F50" w:rsidP="00E95F50">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E95F50" w:rsidRPr="00157690" w:rsidRDefault="00E95F50" w:rsidP="00E95F50">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w:t>
      </w:r>
      <w:proofErr w:type="gramStart"/>
      <w:r w:rsidRPr="00157690">
        <w:t>research,</w:t>
      </w:r>
      <w:proofErr w:type="gramEnd"/>
      <w:r w:rsidRPr="00157690">
        <w:t xml:space="preserve"> </w:t>
      </w:r>
      <w:r>
        <w:t xml:space="preserve">and </w:t>
      </w:r>
      <w:r w:rsidRPr="00157690">
        <w:t xml:space="preserve">using a variety of mechanisms such as project roundtables and forums. </w:t>
      </w:r>
    </w:p>
    <w:p w:rsidR="00E95F50" w:rsidRDefault="00E95F50" w:rsidP="00E95F50">
      <w:pPr>
        <w:pStyle w:val="Text"/>
      </w:pPr>
      <w:proofErr w:type="gramStart"/>
      <w:r w:rsidRPr="00157690">
        <w:t>For further information about the program go to the NCVER website &lt;</w:t>
      </w:r>
      <w:r>
        <w:t>http://</w:t>
      </w:r>
      <w:r w:rsidRPr="00157690">
        <w:t>www.ncver.edu.au&gt;.</w:t>
      </w:r>
      <w:proofErr w:type="gramEnd"/>
    </w:p>
    <w:p w:rsidR="00E12B1F" w:rsidRDefault="00E12B1F" w:rsidP="00E95F50">
      <w:pPr>
        <w:pStyle w:val="Text"/>
      </w:pPr>
    </w:p>
    <w:sectPr w:rsidR="00E12B1F" w:rsidSect="00F60BA5">
      <w:footerReference w:type="even" r:id="rId27"/>
      <w:footerReference w:type="default" r:id="rId28"/>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18" w:rsidRDefault="00220618">
      <w:r>
        <w:separator/>
      </w:r>
    </w:p>
  </w:endnote>
  <w:endnote w:type="continuationSeparator" w:id="0">
    <w:p w:rsidR="00220618" w:rsidRDefault="0022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18" w:rsidRPr="008C0A74" w:rsidRDefault="00BB7711" w:rsidP="00FF5931">
    <w:pPr>
      <w:pStyle w:val="Footer"/>
      <w:tabs>
        <w:tab w:val="clear" w:pos="8505"/>
        <w:tab w:val="right" w:pos="8789"/>
      </w:tabs>
      <w:rPr>
        <w:b/>
      </w:rPr>
    </w:pPr>
    <w:r>
      <w:rPr>
        <w:noProof/>
        <w:lang w:val="en-US"/>
      </w:rPr>
      <w:pict>
        <v:rect id="Rectangle 3" o:spid="_x0000_s2050" style="position:absolute;margin-left:-85pt;margin-top:-2.4pt;width:99pt;height:18.7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" fillcolor="black" stroked="f" strokecolor="#bfbfbf"/>
      </w:pict>
    </w:r>
    <w:r w:rsidR="00BE1F95" w:rsidRPr="008C0A74">
      <w:rPr>
        <w:b/>
        <w:color w:val="FFFFFF"/>
      </w:rPr>
      <w:fldChar w:fldCharType="begin"/>
    </w:r>
    <w:r w:rsidR="00220618" w:rsidRPr="008C0A74">
      <w:rPr>
        <w:b/>
        <w:color w:val="FFFFFF"/>
      </w:rPr>
      <w:instrText xml:space="preserve"> PAGE </w:instrText>
    </w:r>
    <w:r w:rsidR="00BE1F95" w:rsidRPr="008C0A74">
      <w:rPr>
        <w:b/>
        <w:color w:val="FFFFFF"/>
      </w:rPr>
      <w:fldChar w:fldCharType="separate"/>
    </w:r>
    <w:r>
      <w:rPr>
        <w:b/>
        <w:noProof/>
        <w:color w:val="FFFFFF"/>
      </w:rPr>
      <w:t>36</w:t>
    </w:r>
    <w:r w:rsidR="00BE1F95" w:rsidRPr="008C0A74">
      <w:rPr>
        <w:b/>
        <w:color w:val="FFFFFF"/>
      </w:rPr>
      <w:fldChar w:fldCharType="end"/>
    </w:r>
    <w:r w:rsidR="00220618" w:rsidRPr="008C0A74">
      <w:rPr>
        <w:b/>
        <w:color w:val="FFFFFF"/>
      </w:rPr>
      <w:tab/>
    </w:r>
    <w:r w:rsidR="00220618">
      <w:rPr>
        <w:b/>
      </w:rPr>
      <w:t>Vocational education’s variable links to vocations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18" w:rsidRPr="009775C7" w:rsidRDefault="00BB7711" w:rsidP="008C0A74">
    <w:pPr>
      <w:pStyle w:val="Footer"/>
      <w:tabs>
        <w:tab w:val="clear" w:pos="8505"/>
        <w:tab w:val="right" w:pos="8789"/>
      </w:tabs>
      <w:rPr>
        <w:color w:val="FFFFFF"/>
      </w:rPr>
    </w:pPr>
    <w:r>
      <w:rPr>
        <w:noProof/>
        <w:lang w:val="en-US"/>
      </w:rPr>
      <w:pict>
        <v:rect id="Rectangle 4" o:spid="_x0000_s2049" style="position:absolute;margin-left:425.6pt;margin-top:-2.4pt;width:99pt;height:18.7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" fillcolor="black" stroked="f" strokecolor="#bfbfbf"/>
      </w:pict>
    </w:r>
    <w:r w:rsidR="00220618" w:rsidRPr="009775C7">
      <w:rPr>
        <w:b/>
      </w:rPr>
      <w:t>NCVER</w:t>
    </w:r>
    <w:r w:rsidR="00220618" w:rsidRPr="009775C7">
      <w:tab/>
    </w:r>
    <w:r w:rsidR="00BE1F95" w:rsidRPr="009775C7">
      <w:rPr>
        <w:rStyle w:val="PageNumber"/>
        <w:rFonts w:cs="Tahoma"/>
        <w:b/>
        <w:color w:val="FFFFFF"/>
        <w:sz w:val="17"/>
      </w:rPr>
      <w:fldChar w:fldCharType="begin"/>
    </w:r>
    <w:r w:rsidR="00220618" w:rsidRPr="009775C7">
      <w:rPr>
        <w:rStyle w:val="PageNumber"/>
        <w:rFonts w:cs="Tahoma"/>
        <w:b/>
        <w:color w:val="FFFFFF"/>
        <w:sz w:val="17"/>
      </w:rPr>
      <w:instrText xml:space="preserve"> PAGE </w:instrText>
    </w:r>
    <w:r w:rsidR="00BE1F95" w:rsidRPr="009775C7">
      <w:rPr>
        <w:rStyle w:val="PageNumber"/>
        <w:rFonts w:cs="Tahoma"/>
        <w:b/>
        <w:color w:val="FFFFFF"/>
        <w:sz w:val="17"/>
      </w:rPr>
      <w:fldChar w:fldCharType="separate"/>
    </w:r>
    <w:r>
      <w:rPr>
        <w:rStyle w:val="PageNumber"/>
        <w:rFonts w:cs="Tahoma"/>
        <w:b/>
        <w:noProof/>
        <w:color w:val="FFFFFF"/>
        <w:sz w:val="17"/>
      </w:rPr>
      <w:t>37</w:t>
    </w:r>
    <w:r w:rsidR="00BE1F95" w:rsidRPr="009775C7">
      <w:rPr>
        <w:rStyle w:val="PageNumber"/>
        <w:rFonts w:cs="Tahoma"/>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18" w:rsidRDefault="00220618">
      <w:r>
        <w:separator/>
      </w:r>
    </w:p>
  </w:footnote>
  <w:footnote w:type="continuationSeparator" w:id="0">
    <w:p w:rsidR="00220618" w:rsidRDefault="00220618">
      <w:r>
        <w:continuationSeparator/>
      </w:r>
    </w:p>
  </w:footnote>
  <w:footnote w:id="1">
    <w:p w:rsidR="00220618" w:rsidRPr="00CA4814" w:rsidRDefault="00220618">
      <w:pPr>
        <w:pStyle w:val="FootnoteText"/>
        <w:rPr>
          <w:szCs w:val="16"/>
        </w:rPr>
      </w:pPr>
      <w:r w:rsidRPr="00CA4814">
        <w:rPr>
          <w:rStyle w:val="FootnoteReference"/>
          <w:szCs w:val="16"/>
        </w:rPr>
        <w:footnoteRef/>
      </w:r>
      <w:r w:rsidRPr="00CA4814">
        <w:rPr>
          <w:szCs w:val="16"/>
        </w:rPr>
        <w:t xml:space="preserve"> </w:t>
      </w:r>
      <w:r w:rsidRPr="00CA4814">
        <w:rPr>
          <w:szCs w:val="16"/>
        </w:rPr>
        <w:tab/>
        <w:t>Calculated from VOCSTATS (&lt;</w:t>
      </w:r>
      <w:hyperlink r:id="rId1" w:history="1">
        <w:r w:rsidRPr="00CA4814">
          <w:rPr>
            <w:rStyle w:val="Hyperlink"/>
            <w:sz w:val="16"/>
            <w:szCs w:val="16"/>
          </w:rPr>
          <w:t>www.ncver.edu.au/resources/vocstats/html</w:t>
        </w:r>
      </w:hyperlink>
      <w:r w:rsidRPr="00CA4814">
        <w:rPr>
          <w:szCs w:val="16"/>
        </w:rPr>
        <w:t>&gt;, viewed 13 August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4C9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D00B5E"/>
    <w:lvl w:ilvl="0">
      <w:start w:val="1"/>
      <w:numFmt w:val="decimal"/>
      <w:lvlText w:val="%1."/>
      <w:lvlJc w:val="left"/>
      <w:pPr>
        <w:tabs>
          <w:tab w:val="num" w:pos="1492"/>
        </w:tabs>
        <w:ind w:left="1492" w:hanging="360"/>
      </w:pPr>
    </w:lvl>
  </w:abstractNum>
  <w:abstractNum w:abstractNumId="2">
    <w:nsid w:val="FFFFFF7D"/>
    <w:multiLevelType w:val="singleLevel"/>
    <w:tmpl w:val="B8AAC876"/>
    <w:lvl w:ilvl="0">
      <w:start w:val="1"/>
      <w:numFmt w:val="decimal"/>
      <w:lvlText w:val="%1."/>
      <w:lvlJc w:val="left"/>
      <w:pPr>
        <w:tabs>
          <w:tab w:val="num" w:pos="1209"/>
        </w:tabs>
        <w:ind w:left="1209" w:hanging="360"/>
      </w:pPr>
    </w:lvl>
  </w:abstractNum>
  <w:abstractNum w:abstractNumId="3">
    <w:nsid w:val="FFFFFF7E"/>
    <w:multiLevelType w:val="singleLevel"/>
    <w:tmpl w:val="E50A5A58"/>
    <w:lvl w:ilvl="0">
      <w:start w:val="1"/>
      <w:numFmt w:val="decimal"/>
      <w:lvlText w:val="%1."/>
      <w:lvlJc w:val="left"/>
      <w:pPr>
        <w:tabs>
          <w:tab w:val="num" w:pos="926"/>
        </w:tabs>
        <w:ind w:left="926" w:hanging="360"/>
      </w:pPr>
    </w:lvl>
  </w:abstractNum>
  <w:abstractNum w:abstractNumId="4">
    <w:nsid w:val="FFFFFF7F"/>
    <w:multiLevelType w:val="singleLevel"/>
    <w:tmpl w:val="2A707190"/>
    <w:lvl w:ilvl="0">
      <w:start w:val="1"/>
      <w:numFmt w:val="decimal"/>
      <w:lvlText w:val="%1."/>
      <w:lvlJc w:val="left"/>
      <w:pPr>
        <w:tabs>
          <w:tab w:val="num" w:pos="643"/>
        </w:tabs>
        <w:ind w:left="643" w:hanging="360"/>
      </w:pPr>
    </w:lvl>
  </w:abstractNum>
  <w:abstractNum w:abstractNumId="5">
    <w:nsid w:val="FFFFFF80"/>
    <w:multiLevelType w:val="singleLevel"/>
    <w:tmpl w:val="44001FA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0BCF6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528F6B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E6B8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F2EB2F0"/>
    <w:lvl w:ilvl="0">
      <w:start w:val="1"/>
      <w:numFmt w:val="decimal"/>
      <w:lvlText w:val="%1."/>
      <w:lvlJc w:val="left"/>
      <w:pPr>
        <w:tabs>
          <w:tab w:val="num" w:pos="360"/>
        </w:tabs>
        <w:ind w:left="360" w:hanging="360"/>
      </w:pPr>
    </w:lvl>
  </w:abstractNum>
  <w:abstractNum w:abstractNumId="10">
    <w:nsid w:val="FFFFFF89"/>
    <w:multiLevelType w:val="singleLevel"/>
    <w:tmpl w:val="CC14AE20"/>
    <w:lvl w:ilvl="0">
      <w:start w:val="1"/>
      <w:numFmt w:val="bullet"/>
      <w:lvlText w:val=""/>
      <w:lvlJc w:val="left"/>
      <w:pPr>
        <w:tabs>
          <w:tab w:val="num" w:pos="360"/>
        </w:tabs>
        <w:ind w:left="360" w:hanging="360"/>
      </w:pPr>
      <w:rPr>
        <w:rFonts w:ascii="Symbol" w:hAnsi="Symbol" w:hint="default"/>
      </w:rPr>
    </w:lvl>
  </w:abstractNum>
  <w:abstractNum w:abstractNumId="11">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2835168"/>
    <w:multiLevelType w:val="hybridMultilevel"/>
    <w:tmpl w:val="79926C32"/>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91D1D2F"/>
    <w:multiLevelType w:val="hybridMultilevel"/>
    <w:tmpl w:val="BBB4A1D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1D377644"/>
    <w:multiLevelType w:val="hybridMultilevel"/>
    <w:tmpl w:val="C576F40E"/>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3647371"/>
    <w:multiLevelType w:val="hybridMultilevel"/>
    <w:tmpl w:val="BFDCE67A"/>
    <w:lvl w:ilvl="0" w:tplc="D3A622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3E25A6"/>
    <w:multiLevelType w:val="hybridMultilevel"/>
    <w:tmpl w:val="FE78D904"/>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E724E3C"/>
    <w:multiLevelType w:val="hybridMultilevel"/>
    <w:tmpl w:val="21E815D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5D0002AF"/>
    <w:multiLevelType w:val="hybridMultilevel"/>
    <w:tmpl w:val="6832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nsid w:val="634A5599"/>
    <w:multiLevelType w:val="hybridMultilevel"/>
    <w:tmpl w:val="212CEDFA"/>
    <w:lvl w:ilvl="0" w:tplc="0C090001">
      <w:start w:val="1"/>
      <w:numFmt w:val="bullet"/>
      <w:lvlText w:val=""/>
      <w:lvlJc w:val="left"/>
      <w:pPr>
        <w:tabs>
          <w:tab w:val="num" w:pos="284"/>
        </w:tabs>
        <w:ind w:left="0" w:firstLine="0"/>
      </w:pPr>
      <w:rPr>
        <w:rFonts w:ascii="Symbol" w:hAnsi="Symbol" w:hint="default"/>
      </w:rPr>
    </w:lvl>
    <w:lvl w:ilvl="1" w:tplc="0994B9E0">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3916CAC"/>
    <w:multiLevelType w:val="hybridMultilevel"/>
    <w:tmpl w:val="C68A4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2"/>
  </w:num>
  <w:num w:numId="4">
    <w:abstractNumId w:val="19"/>
  </w:num>
  <w:num w:numId="5">
    <w:abstractNumId w:val="11"/>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18"/>
  </w:num>
  <w:num w:numId="22">
    <w:abstractNumId w:val="16"/>
  </w:num>
  <w:num w:numId="23">
    <w:abstractNumId w:val="20"/>
  </w:num>
  <w:num w:numId="24">
    <w:abstractNumId w:val="21"/>
  </w:num>
  <w:num w:numId="25">
    <w:abstractNumId w:val="15"/>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5E92"/>
    <w:rsid w:val="000108B2"/>
    <w:rsid w:val="00011743"/>
    <w:rsid w:val="00012B64"/>
    <w:rsid w:val="00013265"/>
    <w:rsid w:val="00013AF5"/>
    <w:rsid w:val="00022290"/>
    <w:rsid w:val="00027123"/>
    <w:rsid w:val="000305D7"/>
    <w:rsid w:val="000315D7"/>
    <w:rsid w:val="000320B2"/>
    <w:rsid w:val="0003300C"/>
    <w:rsid w:val="00033FCA"/>
    <w:rsid w:val="000443CA"/>
    <w:rsid w:val="00054220"/>
    <w:rsid w:val="00054449"/>
    <w:rsid w:val="0005473A"/>
    <w:rsid w:val="00055403"/>
    <w:rsid w:val="000556C3"/>
    <w:rsid w:val="00055832"/>
    <w:rsid w:val="00057012"/>
    <w:rsid w:val="0006125F"/>
    <w:rsid w:val="0006586C"/>
    <w:rsid w:val="000660AF"/>
    <w:rsid w:val="00066ADA"/>
    <w:rsid w:val="00066C58"/>
    <w:rsid w:val="00071858"/>
    <w:rsid w:val="00072AC2"/>
    <w:rsid w:val="00074BD4"/>
    <w:rsid w:val="00077852"/>
    <w:rsid w:val="0008504C"/>
    <w:rsid w:val="000862E8"/>
    <w:rsid w:val="00087873"/>
    <w:rsid w:val="00090FB3"/>
    <w:rsid w:val="00092676"/>
    <w:rsid w:val="00096B5C"/>
    <w:rsid w:val="000A0745"/>
    <w:rsid w:val="000A2C1E"/>
    <w:rsid w:val="000A7711"/>
    <w:rsid w:val="000B2D2D"/>
    <w:rsid w:val="000C35AF"/>
    <w:rsid w:val="000C5DCC"/>
    <w:rsid w:val="000D039D"/>
    <w:rsid w:val="000D2A14"/>
    <w:rsid w:val="000D53F3"/>
    <w:rsid w:val="000D5E3C"/>
    <w:rsid w:val="000D63EF"/>
    <w:rsid w:val="000D708C"/>
    <w:rsid w:val="000E1D98"/>
    <w:rsid w:val="000E3F2C"/>
    <w:rsid w:val="000F641C"/>
    <w:rsid w:val="000F65F2"/>
    <w:rsid w:val="000F766B"/>
    <w:rsid w:val="00105636"/>
    <w:rsid w:val="0010761A"/>
    <w:rsid w:val="00112912"/>
    <w:rsid w:val="0011382A"/>
    <w:rsid w:val="00122D55"/>
    <w:rsid w:val="0012310F"/>
    <w:rsid w:val="00123B5C"/>
    <w:rsid w:val="00125503"/>
    <w:rsid w:val="00126B26"/>
    <w:rsid w:val="001314EA"/>
    <w:rsid w:val="00133F6A"/>
    <w:rsid w:val="00135C75"/>
    <w:rsid w:val="00136BED"/>
    <w:rsid w:val="00144C77"/>
    <w:rsid w:val="00150269"/>
    <w:rsid w:val="00150874"/>
    <w:rsid w:val="001509F3"/>
    <w:rsid w:val="0015382B"/>
    <w:rsid w:val="00153E14"/>
    <w:rsid w:val="00155839"/>
    <w:rsid w:val="00156E0B"/>
    <w:rsid w:val="00157434"/>
    <w:rsid w:val="00157690"/>
    <w:rsid w:val="0016133C"/>
    <w:rsid w:val="0016273B"/>
    <w:rsid w:val="001662DA"/>
    <w:rsid w:val="0016671D"/>
    <w:rsid w:val="00166EF6"/>
    <w:rsid w:val="00170452"/>
    <w:rsid w:val="00170ECF"/>
    <w:rsid w:val="0017588D"/>
    <w:rsid w:val="00177827"/>
    <w:rsid w:val="00184504"/>
    <w:rsid w:val="00185B7E"/>
    <w:rsid w:val="001875BD"/>
    <w:rsid w:val="001948C8"/>
    <w:rsid w:val="001A175D"/>
    <w:rsid w:val="001A30FC"/>
    <w:rsid w:val="001A327F"/>
    <w:rsid w:val="001A3A0C"/>
    <w:rsid w:val="001A3C1E"/>
    <w:rsid w:val="001A6630"/>
    <w:rsid w:val="001A712C"/>
    <w:rsid w:val="001B0340"/>
    <w:rsid w:val="001B43CF"/>
    <w:rsid w:val="001B7AD8"/>
    <w:rsid w:val="001C2CB5"/>
    <w:rsid w:val="001C39BD"/>
    <w:rsid w:val="001D260E"/>
    <w:rsid w:val="001D63C1"/>
    <w:rsid w:val="001E00D3"/>
    <w:rsid w:val="001E051E"/>
    <w:rsid w:val="001E2905"/>
    <w:rsid w:val="001E4268"/>
    <w:rsid w:val="001E447B"/>
    <w:rsid w:val="001E65C3"/>
    <w:rsid w:val="001E6A01"/>
    <w:rsid w:val="001F1955"/>
    <w:rsid w:val="001F3093"/>
    <w:rsid w:val="001F43DD"/>
    <w:rsid w:val="001F7D84"/>
    <w:rsid w:val="00220115"/>
    <w:rsid w:val="00220618"/>
    <w:rsid w:val="002218B7"/>
    <w:rsid w:val="002277A9"/>
    <w:rsid w:val="00233BFA"/>
    <w:rsid w:val="00235FFB"/>
    <w:rsid w:val="002419A4"/>
    <w:rsid w:val="002421EF"/>
    <w:rsid w:val="00246F95"/>
    <w:rsid w:val="00250C2A"/>
    <w:rsid w:val="00251C70"/>
    <w:rsid w:val="002523AB"/>
    <w:rsid w:val="002541CB"/>
    <w:rsid w:val="00266C83"/>
    <w:rsid w:val="00272435"/>
    <w:rsid w:val="00275EE1"/>
    <w:rsid w:val="00284FCB"/>
    <w:rsid w:val="002920D9"/>
    <w:rsid w:val="00292A3A"/>
    <w:rsid w:val="00292E57"/>
    <w:rsid w:val="00295EF0"/>
    <w:rsid w:val="00296882"/>
    <w:rsid w:val="002972A1"/>
    <w:rsid w:val="00297D81"/>
    <w:rsid w:val="002A0D6F"/>
    <w:rsid w:val="002A2AA8"/>
    <w:rsid w:val="002A5DF2"/>
    <w:rsid w:val="002A7E66"/>
    <w:rsid w:val="002B1074"/>
    <w:rsid w:val="002C17BA"/>
    <w:rsid w:val="002C1A5D"/>
    <w:rsid w:val="002D0C0B"/>
    <w:rsid w:val="002D14D0"/>
    <w:rsid w:val="002D1B7F"/>
    <w:rsid w:val="002E17BA"/>
    <w:rsid w:val="002E196B"/>
    <w:rsid w:val="002E3B10"/>
    <w:rsid w:val="002F5425"/>
    <w:rsid w:val="002F5916"/>
    <w:rsid w:val="002F5A66"/>
    <w:rsid w:val="002F7340"/>
    <w:rsid w:val="00300E4F"/>
    <w:rsid w:val="00301AA5"/>
    <w:rsid w:val="003030ED"/>
    <w:rsid w:val="003032C5"/>
    <w:rsid w:val="00311230"/>
    <w:rsid w:val="0031125E"/>
    <w:rsid w:val="00311EF6"/>
    <w:rsid w:val="00317EAF"/>
    <w:rsid w:val="00334674"/>
    <w:rsid w:val="00334CE3"/>
    <w:rsid w:val="00337DB3"/>
    <w:rsid w:val="00340B4D"/>
    <w:rsid w:val="00341603"/>
    <w:rsid w:val="00342A9F"/>
    <w:rsid w:val="00345754"/>
    <w:rsid w:val="00352C1F"/>
    <w:rsid w:val="003538C4"/>
    <w:rsid w:val="00354BB4"/>
    <w:rsid w:val="0035721C"/>
    <w:rsid w:val="003602B9"/>
    <w:rsid w:val="003640CD"/>
    <w:rsid w:val="00371B0D"/>
    <w:rsid w:val="00375E87"/>
    <w:rsid w:val="00385B68"/>
    <w:rsid w:val="00386BF9"/>
    <w:rsid w:val="00387F88"/>
    <w:rsid w:val="00390566"/>
    <w:rsid w:val="003925F2"/>
    <w:rsid w:val="00393FD5"/>
    <w:rsid w:val="0039696D"/>
    <w:rsid w:val="00397515"/>
    <w:rsid w:val="00397C94"/>
    <w:rsid w:val="003A1891"/>
    <w:rsid w:val="003A1993"/>
    <w:rsid w:val="003A73EC"/>
    <w:rsid w:val="003A7622"/>
    <w:rsid w:val="003B16DA"/>
    <w:rsid w:val="003B483E"/>
    <w:rsid w:val="003C02F0"/>
    <w:rsid w:val="003D19A3"/>
    <w:rsid w:val="003D1CEA"/>
    <w:rsid w:val="003D40B5"/>
    <w:rsid w:val="003D5CF0"/>
    <w:rsid w:val="003D5EB0"/>
    <w:rsid w:val="003D6251"/>
    <w:rsid w:val="003D65FE"/>
    <w:rsid w:val="003E02BE"/>
    <w:rsid w:val="003E2BA2"/>
    <w:rsid w:val="003E3474"/>
    <w:rsid w:val="003E34BF"/>
    <w:rsid w:val="003E46E9"/>
    <w:rsid w:val="003E67CB"/>
    <w:rsid w:val="003E69F8"/>
    <w:rsid w:val="003E6B63"/>
    <w:rsid w:val="00404960"/>
    <w:rsid w:val="0040571F"/>
    <w:rsid w:val="004119CA"/>
    <w:rsid w:val="00414032"/>
    <w:rsid w:val="00414175"/>
    <w:rsid w:val="004164EB"/>
    <w:rsid w:val="00417EEB"/>
    <w:rsid w:val="004201B0"/>
    <w:rsid w:val="004229BD"/>
    <w:rsid w:val="004255F3"/>
    <w:rsid w:val="00426966"/>
    <w:rsid w:val="00430FD7"/>
    <w:rsid w:val="004327AF"/>
    <w:rsid w:val="004353AA"/>
    <w:rsid w:val="00435FCE"/>
    <w:rsid w:val="00440D82"/>
    <w:rsid w:val="00440E2F"/>
    <w:rsid w:val="00441898"/>
    <w:rsid w:val="00444EB0"/>
    <w:rsid w:val="00452A3C"/>
    <w:rsid w:val="00456979"/>
    <w:rsid w:val="00460743"/>
    <w:rsid w:val="00461BC9"/>
    <w:rsid w:val="0046354F"/>
    <w:rsid w:val="004651B7"/>
    <w:rsid w:val="00466655"/>
    <w:rsid w:val="00466BA8"/>
    <w:rsid w:val="004673E2"/>
    <w:rsid w:val="00471EE2"/>
    <w:rsid w:val="00472622"/>
    <w:rsid w:val="00475027"/>
    <w:rsid w:val="00480283"/>
    <w:rsid w:val="00482330"/>
    <w:rsid w:val="0048642A"/>
    <w:rsid w:val="0048643A"/>
    <w:rsid w:val="0048663C"/>
    <w:rsid w:val="00490036"/>
    <w:rsid w:val="0049453B"/>
    <w:rsid w:val="00494E7C"/>
    <w:rsid w:val="004A500B"/>
    <w:rsid w:val="004B0CC0"/>
    <w:rsid w:val="004B0FC9"/>
    <w:rsid w:val="004B5B25"/>
    <w:rsid w:val="004B729A"/>
    <w:rsid w:val="004C4063"/>
    <w:rsid w:val="004D0637"/>
    <w:rsid w:val="004D4802"/>
    <w:rsid w:val="004E43FB"/>
    <w:rsid w:val="004E59B9"/>
    <w:rsid w:val="004E7227"/>
    <w:rsid w:val="004F3AE9"/>
    <w:rsid w:val="00507E09"/>
    <w:rsid w:val="00511373"/>
    <w:rsid w:val="005113FC"/>
    <w:rsid w:val="00513EB5"/>
    <w:rsid w:val="00515B50"/>
    <w:rsid w:val="00520315"/>
    <w:rsid w:val="005216E2"/>
    <w:rsid w:val="0052276C"/>
    <w:rsid w:val="00525F5F"/>
    <w:rsid w:val="00533372"/>
    <w:rsid w:val="00534231"/>
    <w:rsid w:val="0053583B"/>
    <w:rsid w:val="00536B2B"/>
    <w:rsid w:val="00540635"/>
    <w:rsid w:val="00540E1B"/>
    <w:rsid w:val="00541B94"/>
    <w:rsid w:val="00542A58"/>
    <w:rsid w:val="00545E3A"/>
    <w:rsid w:val="00553059"/>
    <w:rsid w:val="00557109"/>
    <w:rsid w:val="0055761B"/>
    <w:rsid w:val="00570337"/>
    <w:rsid w:val="00570758"/>
    <w:rsid w:val="00575724"/>
    <w:rsid w:val="00580968"/>
    <w:rsid w:val="005840AF"/>
    <w:rsid w:val="0058533F"/>
    <w:rsid w:val="00586A89"/>
    <w:rsid w:val="005953C6"/>
    <w:rsid w:val="0059585E"/>
    <w:rsid w:val="005A75BF"/>
    <w:rsid w:val="005B20DC"/>
    <w:rsid w:val="005B3638"/>
    <w:rsid w:val="005B37C8"/>
    <w:rsid w:val="005B5073"/>
    <w:rsid w:val="005B74F4"/>
    <w:rsid w:val="005C277E"/>
    <w:rsid w:val="005C2FCF"/>
    <w:rsid w:val="005C61F8"/>
    <w:rsid w:val="005C6291"/>
    <w:rsid w:val="005D13BC"/>
    <w:rsid w:val="005D1655"/>
    <w:rsid w:val="005D2FA7"/>
    <w:rsid w:val="005D3AF6"/>
    <w:rsid w:val="005D6B45"/>
    <w:rsid w:val="005E2025"/>
    <w:rsid w:val="005E3CB4"/>
    <w:rsid w:val="005E4764"/>
    <w:rsid w:val="005E491F"/>
    <w:rsid w:val="005F0459"/>
    <w:rsid w:val="005F16CF"/>
    <w:rsid w:val="005F1FBD"/>
    <w:rsid w:val="006041EB"/>
    <w:rsid w:val="006042BF"/>
    <w:rsid w:val="006079A2"/>
    <w:rsid w:val="00610C60"/>
    <w:rsid w:val="006142A3"/>
    <w:rsid w:val="00620763"/>
    <w:rsid w:val="006326B6"/>
    <w:rsid w:val="006379D1"/>
    <w:rsid w:val="00640C4C"/>
    <w:rsid w:val="00644021"/>
    <w:rsid w:val="006452AC"/>
    <w:rsid w:val="0064612C"/>
    <w:rsid w:val="00652973"/>
    <w:rsid w:val="00656651"/>
    <w:rsid w:val="00656679"/>
    <w:rsid w:val="00662FF6"/>
    <w:rsid w:val="00666451"/>
    <w:rsid w:val="006708BE"/>
    <w:rsid w:val="00671A70"/>
    <w:rsid w:val="00672D3A"/>
    <w:rsid w:val="00673657"/>
    <w:rsid w:val="0067712D"/>
    <w:rsid w:val="00677A50"/>
    <w:rsid w:val="00680710"/>
    <w:rsid w:val="00680EB1"/>
    <w:rsid w:val="00682A97"/>
    <w:rsid w:val="00683F38"/>
    <w:rsid w:val="00685A3B"/>
    <w:rsid w:val="006878B6"/>
    <w:rsid w:val="00696161"/>
    <w:rsid w:val="00696779"/>
    <w:rsid w:val="00696A48"/>
    <w:rsid w:val="006A1CE4"/>
    <w:rsid w:val="006A40FF"/>
    <w:rsid w:val="006A66FE"/>
    <w:rsid w:val="006B70F3"/>
    <w:rsid w:val="006C15D0"/>
    <w:rsid w:val="006C3EF4"/>
    <w:rsid w:val="006C4523"/>
    <w:rsid w:val="006C5DA9"/>
    <w:rsid w:val="006C6A61"/>
    <w:rsid w:val="006D42DE"/>
    <w:rsid w:val="006D5891"/>
    <w:rsid w:val="006D774C"/>
    <w:rsid w:val="006E3B1D"/>
    <w:rsid w:val="006E5A23"/>
    <w:rsid w:val="006F3384"/>
    <w:rsid w:val="00703154"/>
    <w:rsid w:val="007037A4"/>
    <w:rsid w:val="0070400D"/>
    <w:rsid w:val="007051BF"/>
    <w:rsid w:val="00705CA8"/>
    <w:rsid w:val="00705F46"/>
    <w:rsid w:val="00706E48"/>
    <w:rsid w:val="0071252D"/>
    <w:rsid w:val="00725AB2"/>
    <w:rsid w:val="00730F1A"/>
    <w:rsid w:val="00731EC8"/>
    <w:rsid w:val="0073588A"/>
    <w:rsid w:val="007362B2"/>
    <w:rsid w:val="00740DF7"/>
    <w:rsid w:val="007436BA"/>
    <w:rsid w:val="0074412C"/>
    <w:rsid w:val="0074421E"/>
    <w:rsid w:val="0075551B"/>
    <w:rsid w:val="00755ADE"/>
    <w:rsid w:val="00757E9C"/>
    <w:rsid w:val="00763561"/>
    <w:rsid w:val="00764EBA"/>
    <w:rsid w:val="00770E06"/>
    <w:rsid w:val="00771D45"/>
    <w:rsid w:val="00772C24"/>
    <w:rsid w:val="00773B4B"/>
    <w:rsid w:val="00783F44"/>
    <w:rsid w:val="00784F4E"/>
    <w:rsid w:val="00786ABE"/>
    <w:rsid w:val="00787494"/>
    <w:rsid w:val="0078750E"/>
    <w:rsid w:val="007932D2"/>
    <w:rsid w:val="007A2079"/>
    <w:rsid w:val="007A2300"/>
    <w:rsid w:val="007A3B82"/>
    <w:rsid w:val="007A4186"/>
    <w:rsid w:val="007A6554"/>
    <w:rsid w:val="007B4FA2"/>
    <w:rsid w:val="007B6352"/>
    <w:rsid w:val="007B67C5"/>
    <w:rsid w:val="007B6C4A"/>
    <w:rsid w:val="007C3281"/>
    <w:rsid w:val="007C41EA"/>
    <w:rsid w:val="007C4342"/>
    <w:rsid w:val="007C50A7"/>
    <w:rsid w:val="007C75D3"/>
    <w:rsid w:val="007C7E41"/>
    <w:rsid w:val="007D1D3A"/>
    <w:rsid w:val="007D3098"/>
    <w:rsid w:val="007D4410"/>
    <w:rsid w:val="007D4F0B"/>
    <w:rsid w:val="007D5ECA"/>
    <w:rsid w:val="007E2D8C"/>
    <w:rsid w:val="007E33DE"/>
    <w:rsid w:val="007E3EA1"/>
    <w:rsid w:val="007F0717"/>
    <w:rsid w:val="007F2D84"/>
    <w:rsid w:val="008008C8"/>
    <w:rsid w:val="00800A2B"/>
    <w:rsid w:val="00800C99"/>
    <w:rsid w:val="008056ED"/>
    <w:rsid w:val="00806C1C"/>
    <w:rsid w:val="00810FB2"/>
    <w:rsid w:val="00815BDE"/>
    <w:rsid w:val="008166A5"/>
    <w:rsid w:val="00824DB3"/>
    <w:rsid w:val="008260C0"/>
    <w:rsid w:val="00826757"/>
    <w:rsid w:val="0082675A"/>
    <w:rsid w:val="00831AFD"/>
    <w:rsid w:val="00832616"/>
    <w:rsid w:val="008378FD"/>
    <w:rsid w:val="00837E92"/>
    <w:rsid w:val="00837EEF"/>
    <w:rsid w:val="00842044"/>
    <w:rsid w:val="008428CD"/>
    <w:rsid w:val="008431EC"/>
    <w:rsid w:val="00845965"/>
    <w:rsid w:val="00845C7A"/>
    <w:rsid w:val="0084604B"/>
    <w:rsid w:val="00847247"/>
    <w:rsid w:val="00852661"/>
    <w:rsid w:val="00854D84"/>
    <w:rsid w:val="00855CE0"/>
    <w:rsid w:val="008576CF"/>
    <w:rsid w:val="0086053D"/>
    <w:rsid w:val="0086427E"/>
    <w:rsid w:val="00864C21"/>
    <w:rsid w:val="00874DA5"/>
    <w:rsid w:val="008814A2"/>
    <w:rsid w:val="00891CE0"/>
    <w:rsid w:val="008923B6"/>
    <w:rsid w:val="00894271"/>
    <w:rsid w:val="0089447A"/>
    <w:rsid w:val="00895B2E"/>
    <w:rsid w:val="008A3558"/>
    <w:rsid w:val="008A4EAC"/>
    <w:rsid w:val="008A7B2A"/>
    <w:rsid w:val="008B22E2"/>
    <w:rsid w:val="008B4B8A"/>
    <w:rsid w:val="008B565B"/>
    <w:rsid w:val="008C0A74"/>
    <w:rsid w:val="008C1865"/>
    <w:rsid w:val="008C1E3C"/>
    <w:rsid w:val="008C2283"/>
    <w:rsid w:val="008C2340"/>
    <w:rsid w:val="008C2F56"/>
    <w:rsid w:val="008D171B"/>
    <w:rsid w:val="008D1B6B"/>
    <w:rsid w:val="008D2816"/>
    <w:rsid w:val="008D5A7E"/>
    <w:rsid w:val="008E6574"/>
    <w:rsid w:val="008F20BA"/>
    <w:rsid w:val="008F3F23"/>
    <w:rsid w:val="008F663B"/>
    <w:rsid w:val="00900925"/>
    <w:rsid w:val="009058B5"/>
    <w:rsid w:val="009120B1"/>
    <w:rsid w:val="00913EBB"/>
    <w:rsid w:val="00925246"/>
    <w:rsid w:val="009254E2"/>
    <w:rsid w:val="00932F74"/>
    <w:rsid w:val="00933317"/>
    <w:rsid w:val="009372CA"/>
    <w:rsid w:val="00941446"/>
    <w:rsid w:val="009420A6"/>
    <w:rsid w:val="00946110"/>
    <w:rsid w:val="009461ED"/>
    <w:rsid w:val="009500F4"/>
    <w:rsid w:val="00951696"/>
    <w:rsid w:val="009538E6"/>
    <w:rsid w:val="009573B3"/>
    <w:rsid w:val="0096336E"/>
    <w:rsid w:val="009704E4"/>
    <w:rsid w:val="0097150D"/>
    <w:rsid w:val="00975076"/>
    <w:rsid w:val="009775C7"/>
    <w:rsid w:val="00981C36"/>
    <w:rsid w:val="009873E3"/>
    <w:rsid w:val="00990E89"/>
    <w:rsid w:val="00997BA9"/>
    <w:rsid w:val="009A1285"/>
    <w:rsid w:val="009A1E5A"/>
    <w:rsid w:val="009A4A32"/>
    <w:rsid w:val="009B0295"/>
    <w:rsid w:val="009B75F8"/>
    <w:rsid w:val="009C22BE"/>
    <w:rsid w:val="009C7100"/>
    <w:rsid w:val="009E231A"/>
    <w:rsid w:val="009E275A"/>
    <w:rsid w:val="009E2F64"/>
    <w:rsid w:val="009E33B1"/>
    <w:rsid w:val="009E4EDE"/>
    <w:rsid w:val="009E5339"/>
    <w:rsid w:val="009F1582"/>
    <w:rsid w:val="009F1DDE"/>
    <w:rsid w:val="009F21D6"/>
    <w:rsid w:val="009F427D"/>
    <w:rsid w:val="00A02120"/>
    <w:rsid w:val="00A10A6B"/>
    <w:rsid w:val="00A10E2B"/>
    <w:rsid w:val="00A15E92"/>
    <w:rsid w:val="00A16C3F"/>
    <w:rsid w:val="00A17C00"/>
    <w:rsid w:val="00A2250E"/>
    <w:rsid w:val="00A22876"/>
    <w:rsid w:val="00A253DE"/>
    <w:rsid w:val="00A30084"/>
    <w:rsid w:val="00A31485"/>
    <w:rsid w:val="00A31D97"/>
    <w:rsid w:val="00A42951"/>
    <w:rsid w:val="00A50895"/>
    <w:rsid w:val="00A51942"/>
    <w:rsid w:val="00A55245"/>
    <w:rsid w:val="00A5674C"/>
    <w:rsid w:val="00A567A3"/>
    <w:rsid w:val="00A56A4A"/>
    <w:rsid w:val="00A57991"/>
    <w:rsid w:val="00A60728"/>
    <w:rsid w:val="00A60C15"/>
    <w:rsid w:val="00A651C7"/>
    <w:rsid w:val="00A73318"/>
    <w:rsid w:val="00A74B76"/>
    <w:rsid w:val="00A81BD8"/>
    <w:rsid w:val="00A83AAF"/>
    <w:rsid w:val="00A847F0"/>
    <w:rsid w:val="00A905A4"/>
    <w:rsid w:val="00A90F15"/>
    <w:rsid w:val="00A93867"/>
    <w:rsid w:val="00A942DD"/>
    <w:rsid w:val="00A95206"/>
    <w:rsid w:val="00AA23C3"/>
    <w:rsid w:val="00AA44D4"/>
    <w:rsid w:val="00AA48A5"/>
    <w:rsid w:val="00AA4CD5"/>
    <w:rsid w:val="00AA6608"/>
    <w:rsid w:val="00AB0A8B"/>
    <w:rsid w:val="00AB4BE7"/>
    <w:rsid w:val="00AB5E85"/>
    <w:rsid w:val="00AB72CB"/>
    <w:rsid w:val="00AB756A"/>
    <w:rsid w:val="00AB76B4"/>
    <w:rsid w:val="00AB7C9D"/>
    <w:rsid w:val="00AC0001"/>
    <w:rsid w:val="00AC0747"/>
    <w:rsid w:val="00AC4C45"/>
    <w:rsid w:val="00AC5EDD"/>
    <w:rsid w:val="00AC688A"/>
    <w:rsid w:val="00AE1A61"/>
    <w:rsid w:val="00AE57C9"/>
    <w:rsid w:val="00AE5C28"/>
    <w:rsid w:val="00AE7AED"/>
    <w:rsid w:val="00AF0D69"/>
    <w:rsid w:val="00AF1005"/>
    <w:rsid w:val="00AF1F07"/>
    <w:rsid w:val="00AF5260"/>
    <w:rsid w:val="00AF7B6A"/>
    <w:rsid w:val="00B0557A"/>
    <w:rsid w:val="00B05EE8"/>
    <w:rsid w:val="00B05F5C"/>
    <w:rsid w:val="00B13AD9"/>
    <w:rsid w:val="00B16A95"/>
    <w:rsid w:val="00B211DF"/>
    <w:rsid w:val="00B23BC3"/>
    <w:rsid w:val="00B23C04"/>
    <w:rsid w:val="00B2608A"/>
    <w:rsid w:val="00B2687B"/>
    <w:rsid w:val="00B27366"/>
    <w:rsid w:val="00B32FC6"/>
    <w:rsid w:val="00B3451F"/>
    <w:rsid w:val="00B41272"/>
    <w:rsid w:val="00B41365"/>
    <w:rsid w:val="00B426FE"/>
    <w:rsid w:val="00B428B2"/>
    <w:rsid w:val="00B45F01"/>
    <w:rsid w:val="00B47F88"/>
    <w:rsid w:val="00B555DD"/>
    <w:rsid w:val="00B61285"/>
    <w:rsid w:val="00B65A93"/>
    <w:rsid w:val="00B7326A"/>
    <w:rsid w:val="00B77043"/>
    <w:rsid w:val="00B80059"/>
    <w:rsid w:val="00B84AC7"/>
    <w:rsid w:val="00B854D6"/>
    <w:rsid w:val="00B86D06"/>
    <w:rsid w:val="00B92FC1"/>
    <w:rsid w:val="00B977B6"/>
    <w:rsid w:val="00BA14B7"/>
    <w:rsid w:val="00BA3E31"/>
    <w:rsid w:val="00BA5D9F"/>
    <w:rsid w:val="00BA68B9"/>
    <w:rsid w:val="00BA770F"/>
    <w:rsid w:val="00BB09A3"/>
    <w:rsid w:val="00BB113D"/>
    <w:rsid w:val="00BB2297"/>
    <w:rsid w:val="00BB5825"/>
    <w:rsid w:val="00BB5B2F"/>
    <w:rsid w:val="00BB7711"/>
    <w:rsid w:val="00BC3CE4"/>
    <w:rsid w:val="00BC5EF8"/>
    <w:rsid w:val="00BC770A"/>
    <w:rsid w:val="00BC7C47"/>
    <w:rsid w:val="00BC7C6C"/>
    <w:rsid w:val="00BD2144"/>
    <w:rsid w:val="00BD3B79"/>
    <w:rsid w:val="00BD76E0"/>
    <w:rsid w:val="00BE1F95"/>
    <w:rsid w:val="00BE4967"/>
    <w:rsid w:val="00BE522C"/>
    <w:rsid w:val="00BE66A3"/>
    <w:rsid w:val="00BE7F60"/>
    <w:rsid w:val="00BF5C40"/>
    <w:rsid w:val="00BF690E"/>
    <w:rsid w:val="00BF6CB6"/>
    <w:rsid w:val="00C01BDB"/>
    <w:rsid w:val="00C053D5"/>
    <w:rsid w:val="00C1211F"/>
    <w:rsid w:val="00C12313"/>
    <w:rsid w:val="00C13801"/>
    <w:rsid w:val="00C22E57"/>
    <w:rsid w:val="00C2328F"/>
    <w:rsid w:val="00C24E0B"/>
    <w:rsid w:val="00C2662A"/>
    <w:rsid w:val="00C37003"/>
    <w:rsid w:val="00C4546E"/>
    <w:rsid w:val="00C5153D"/>
    <w:rsid w:val="00C51611"/>
    <w:rsid w:val="00C539F2"/>
    <w:rsid w:val="00C54125"/>
    <w:rsid w:val="00C559F5"/>
    <w:rsid w:val="00C608C9"/>
    <w:rsid w:val="00C60C90"/>
    <w:rsid w:val="00C6219E"/>
    <w:rsid w:val="00C63294"/>
    <w:rsid w:val="00C64A44"/>
    <w:rsid w:val="00C64CCA"/>
    <w:rsid w:val="00C710CB"/>
    <w:rsid w:val="00C76987"/>
    <w:rsid w:val="00C77DC6"/>
    <w:rsid w:val="00C801DA"/>
    <w:rsid w:val="00C91EEE"/>
    <w:rsid w:val="00C921D6"/>
    <w:rsid w:val="00C926F0"/>
    <w:rsid w:val="00C9327C"/>
    <w:rsid w:val="00C9656D"/>
    <w:rsid w:val="00CA35DC"/>
    <w:rsid w:val="00CA47E3"/>
    <w:rsid w:val="00CA4814"/>
    <w:rsid w:val="00CA4AFC"/>
    <w:rsid w:val="00CC0278"/>
    <w:rsid w:val="00CC3522"/>
    <w:rsid w:val="00CC41C1"/>
    <w:rsid w:val="00CD5F32"/>
    <w:rsid w:val="00CE4B64"/>
    <w:rsid w:val="00CE4DF5"/>
    <w:rsid w:val="00CF30BD"/>
    <w:rsid w:val="00CF38D2"/>
    <w:rsid w:val="00CF3CED"/>
    <w:rsid w:val="00CF4034"/>
    <w:rsid w:val="00CF44B1"/>
    <w:rsid w:val="00CF7C87"/>
    <w:rsid w:val="00D00224"/>
    <w:rsid w:val="00D01D06"/>
    <w:rsid w:val="00D046A4"/>
    <w:rsid w:val="00D14351"/>
    <w:rsid w:val="00D1506B"/>
    <w:rsid w:val="00D20330"/>
    <w:rsid w:val="00D20FA2"/>
    <w:rsid w:val="00D2704A"/>
    <w:rsid w:val="00D27A64"/>
    <w:rsid w:val="00D27EE7"/>
    <w:rsid w:val="00D418CE"/>
    <w:rsid w:val="00D424F5"/>
    <w:rsid w:val="00D43B5F"/>
    <w:rsid w:val="00D451B1"/>
    <w:rsid w:val="00D475B0"/>
    <w:rsid w:val="00D54B9D"/>
    <w:rsid w:val="00D7444D"/>
    <w:rsid w:val="00D75EC9"/>
    <w:rsid w:val="00D765F5"/>
    <w:rsid w:val="00D7798F"/>
    <w:rsid w:val="00D806B0"/>
    <w:rsid w:val="00D816AB"/>
    <w:rsid w:val="00D8319C"/>
    <w:rsid w:val="00D83919"/>
    <w:rsid w:val="00D83ECD"/>
    <w:rsid w:val="00D92B79"/>
    <w:rsid w:val="00D92F4C"/>
    <w:rsid w:val="00D937A7"/>
    <w:rsid w:val="00D9570E"/>
    <w:rsid w:val="00D96997"/>
    <w:rsid w:val="00D9779E"/>
    <w:rsid w:val="00DA239B"/>
    <w:rsid w:val="00DB4B59"/>
    <w:rsid w:val="00DB599C"/>
    <w:rsid w:val="00DC3526"/>
    <w:rsid w:val="00DC3904"/>
    <w:rsid w:val="00DC5A82"/>
    <w:rsid w:val="00DC5F5C"/>
    <w:rsid w:val="00DC74D4"/>
    <w:rsid w:val="00DE2C71"/>
    <w:rsid w:val="00DE74F9"/>
    <w:rsid w:val="00DE7F0A"/>
    <w:rsid w:val="00DF1F30"/>
    <w:rsid w:val="00DF64CC"/>
    <w:rsid w:val="00DF7D59"/>
    <w:rsid w:val="00E01103"/>
    <w:rsid w:val="00E0125A"/>
    <w:rsid w:val="00E02898"/>
    <w:rsid w:val="00E05AB2"/>
    <w:rsid w:val="00E0635B"/>
    <w:rsid w:val="00E06B95"/>
    <w:rsid w:val="00E1186D"/>
    <w:rsid w:val="00E123CB"/>
    <w:rsid w:val="00E124EF"/>
    <w:rsid w:val="00E12B1F"/>
    <w:rsid w:val="00E14FA9"/>
    <w:rsid w:val="00E236D0"/>
    <w:rsid w:val="00E31265"/>
    <w:rsid w:val="00E31957"/>
    <w:rsid w:val="00E365F8"/>
    <w:rsid w:val="00E40D97"/>
    <w:rsid w:val="00E42C44"/>
    <w:rsid w:val="00E45A10"/>
    <w:rsid w:val="00E4794D"/>
    <w:rsid w:val="00E52313"/>
    <w:rsid w:val="00E52E19"/>
    <w:rsid w:val="00E56EC1"/>
    <w:rsid w:val="00E57478"/>
    <w:rsid w:val="00E613A2"/>
    <w:rsid w:val="00E61682"/>
    <w:rsid w:val="00E63A74"/>
    <w:rsid w:val="00E63CD2"/>
    <w:rsid w:val="00E66E02"/>
    <w:rsid w:val="00E67A96"/>
    <w:rsid w:val="00E67BAA"/>
    <w:rsid w:val="00E73A54"/>
    <w:rsid w:val="00E75821"/>
    <w:rsid w:val="00E8064B"/>
    <w:rsid w:val="00E81A91"/>
    <w:rsid w:val="00E822AA"/>
    <w:rsid w:val="00E82B6E"/>
    <w:rsid w:val="00E82BCE"/>
    <w:rsid w:val="00E855D6"/>
    <w:rsid w:val="00E95812"/>
    <w:rsid w:val="00E95948"/>
    <w:rsid w:val="00E95F50"/>
    <w:rsid w:val="00E978F5"/>
    <w:rsid w:val="00EA2E7F"/>
    <w:rsid w:val="00EA6218"/>
    <w:rsid w:val="00EA67CB"/>
    <w:rsid w:val="00EB1879"/>
    <w:rsid w:val="00EB1C4B"/>
    <w:rsid w:val="00EB5977"/>
    <w:rsid w:val="00EC0B24"/>
    <w:rsid w:val="00EC0CAE"/>
    <w:rsid w:val="00EC2044"/>
    <w:rsid w:val="00EC29E3"/>
    <w:rsid w:val="00EC3B91"/>
    <w:rsid w:val="00EC4797"/>
    <w:rsid w:val="00ED24F6"/>
    <w:rsid w:val="00ED3053"/>
    <w:rsid w:val="00ED3EE0"/>
    <w:rsid w:val="00ED4D6D"/>
    <w:rsid w:val="00ED5DD0"/>
    <w:rsid w:val="00EE42D9"/>
    <w:rsid w:val="00EE67B3"/>
    <w:rsid w:val="00EF151D"/>
    <w:rsid w:val="00EF3BFC"/>
    <w:rsid w:val="00F0090C"/>
    <w:rsid w:val="00F02729"/>
    <w:rsid w:val="00F0362D"/>
    <w:rsid w:val="00F1271B"/>
    <w:rsid w:val="00F13BE3"/>
    <w:rsid w:val="00F143BB"/>
    <w:rsid w:val="00F207FB"/>
    <w:rsid w:val="00F26BE1"/>
    <w:rsid w:val="00F27DA7"/>
    <w:rsid w:val="00F400CF"/>
    <w:rsid w:val="00F42BEF"/>
    <w:rsid w:val="00F52A33"/>
    <w:rsid w:val="00F57984"/>
    <w:rsid w:val="00F57F04"/>
    <w:rsid w:val="00F601FC"/>
    <w:rsid w:val="00F60351"/>
    <w:rsid w:val="00F6043E"/>
    <w:rsid w:val="00F60BA5"/>
    <w:rsid w:val="00F62C4F"/>
    <w:rsid w:val="00F6375C"/>
    <w:rsid w:val="00F70471"/>
    <w:rsid w:val="00F74362"/>
    <w:rsid w:val="00F77186"/>
    <w:rsid w:val="00F77D73"/>
    <w:rsid w:val="00F831D2"/>
    <w:rsid w:val="00F8477E"/>
    <w:rsid w:val="00F8762F"/>
    <w:rsid w:val="00F90B43"/>
    <w:rsid w:val="00F93048"/>
    <w:rsid w:val="00F9630F"/>
    <w:rsid w:val="00F9675D"/>
    <w:rsid w:val="00FA356A"/>
    <w:rsid w:val="00FA4E2D"/>
    <w:rsid w:val="00FA584E"/>
    <w:rsid w:val="00FA79F7"/>
    <w:rsid w:val="00FB0C80"/>
    <w:rsid w:val="00FB4BAA"/>
    <w:rsid w:val="00FB6B28"/>
    <w:rsid w:val="00FC139E"/>
    <w:rsid w:val="00FC3FEE"/>
    <w:rsid w:val="00FC4DDA"/>
    <w:rsid w:val="00FC7F35"/>
    <w:rsid w:val="00FD1D3A"/>
    <w:rsid w:val="00FD4C43"/>
    <w:rsid w:val="00FD634C"/>
    <w:rsid w:val="00FE01A1"/>
    <w:rsid w:val="00FE04F0"/>
    <w:rsid w:val="00FE3F74"/>
    <w:rsid w:val="00FE4A2D"/>
    <w:rsid w:val="00FE607C"/>
    <w:rsid w:val="00FE7B94"/>
    <w:rsid w:val="00FF246B"/>
    <w:rsid w:val="00FF41C9"/>
    <w:rsid w:val="00FF5339"/>
    <w:rsid w:val="00FF5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uiPriority="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uiPriority="99"/>
    <w:lsdException w:name="footer" w:locked="1"/>
    <w:lsdException w:name="caption" w:locked="1" w:semiHidden="1" w:unhideWhenUsed="1" w:qFormat="1"/>
    <w:lsdException w:name="table of figures" w:locked="1" w:uiPriority="99"/>
    <w:lsdException w:name="page number" w:locked="1"/>
    <w:lsdException w:name="Title" w:locked="1" w:qFormat="1"/>
    <w:lsdException w:name="Default Paragraph Font" w:locked="1" w:uiPriority="1"/>
    <w:lsdException w:name="Body Text" w:locked="1"/>
    <w:lsdException w:name="Body Text Indent" w:locked="1"/>
    <w:lsdException w:name="Subtitle" w:locked="1" w:qFormat="1"/>
    <w:lsdException w:name="Body Text 2" w:locked="1"/>
    <w:lsdException w:name="Hyperlink" w:locked="1"/>
    <w:lsdException w:name="FollowedHyperlink" w:uiPriority="99"/>
    <w:lsdException w:name="Strong" w:locked="1" w:qFormat="1"/>
    <w:lsdException w:name="Emphasis" w:locked="1" w:qFormat="1"/>
    <w:lsdException w:name="HTML Top of Form" w:locked="1"/>
    <w:lsdException w:name="HTML Bottom of Form" w:locked="1"/>
    <w:lsdException w:name="Normal (Web)" w:locked="1" w:uiPriority="1"/>
    <w:lsdException w:name="Normal Table"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AB5E85"/>
    <w:pPr>
      <w:spacing w:before="160" w:line="260" w:lineRule="exact"/>
    </w:pPr>
    <w:rPr>
      <w:rFonts w:ascii="Trebuchet MS" w:hAnsi="Trebuchet MS"/>
      <w:sz w:val="19"/>
      <w:lang w:eastAsia="en-US"/>
    </w:rPr>
  </w:style>
  <w:style w:type="paragraph" w:styleId="Heading1">
    <w:name w:val="heading 1"/>
    <w:next w:val="Text"/>
    <w:qFormat/>
    <w:rsid w:val="00E31957"/>
    <w:pPr>
      <w:keepNext/>
      <w:spacing w:after="360"/>
      <w:outlineLvl w:val="0"/>
    </w:pPr>
    <w:rPr>
      <w:rFonts w:ascii="Tahoma" w:hAnsi="Tahoma" w:cs="Tahoma"/>
      <w:color w:val="000000"/>
      <w:kern w:val="28"/>
      <w:sz w:val="56"/>
      <w:szCs w:val="56"/>
      <w:lang w:eastAsia="en-US"/>
    </w:rPr>
  </w:style>
  <w:style w:type="paragraph" w:styleId="Heading2">
    <w:name w:val="heading 2"/>
    <w:next w:val="Text"/>
    <w:qFormat/>
    <w:rsid w:val="00E3195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E31957"/>
    <w:pPr>
      <w:spacing w:before="280" w:line="320" w:lineRule="exact"/>
      <w:outlineLvl w:val="2"/>
    </w:pPr>
    <w:rPr>
      <w:rFonts w:ascii="Tahoma" w:hAnsi="Tahoma"/>
      <w:color w:val="000000"/>
      <w:sz w:val="24"/>
      <w:lang w:eastAsia="en-US"/>
    </w:rPr>
  </w:style>
  <w:style w:type="paragraph" w:styleId="Heading4">
    <w:name w:val="heading 4"/>
    <w:next w:val="Text"/>
    <w:qFormat/>
    <w:rsid w:val="00E31957"/>
    <w:pPr>
      <w:spacing w:before="240"/>
      <w:outlineLvl w:val="3"/>
    </w:pPr>
    <w:rPr>
      <w:rFonts w:ascii="Tahoma" w:hAnsi="Tahoma"/>
      <w:i/>
      <w:sz w:val="24"/>
      <w:lang w:eastAsia="en-US"/>
    </w:rPr>
  </w:style>
  <w:style w:type="paragraph" w:styleId="Heading5">
    <w:name w:val="heading 5"/>
    <w:basedOn w:val="Normal"/>
    <w:next w:val="Normal"/>
    <w:qFormat/>
    <w:rsid w:val="00E31957"/>
    <w:pPr>
      <w:keepNext/>
      <w:outlineLvl w:val="4"/>
    </w:pPr>
    <w:rPr>
      <w:rFonts w:ascii="Tahoma" w:hAnsi="Tahoma"/>
      <w:b/>
    </w:rPr>
  </w:style>
  <w:style w:type="paragraph" w:styleId="Heading6">
    <w:name w:val="heading 6"/>
    <w:basedOn w:val="Normal"/>
    <w:next w:val="Normal"/>
    <w:qFormat/>
    <w:rsid w:val="00E31957"/>
    <w:pPr>
      <w:keepNext/>
      <w:ind w:left="2977"/>
      <w:outlineLvl w:val="5"/>
    </w:pPr>
    <w:rPr>
      <w:rFonts w:ascii="Tahoma" w:hAnsi="Tahoma"/>
      <w:sz w:val="20"/>
    </w:rPr>
  </w:style>
  <w:style w:type="paragraph" w:styleId="Heading7">
    <w:name w:val="heading 7"/>
    <w:basedOn w:val="Normal"/>
    <w:next w:val="Normal"/>
    <w:qFormat/>
    <w:rsid w:val="00E31957"/>
    <w:pPr>
      <w:keepNext/>
      <w:jc w:val="center"/>
      <w:outlineLvl w:val="6"/>
    </w:pPr>
    <w:rPr>
      <w:rFonts w:ascii="Tahoma" w:hAnsi="Tahoma"/>
      <w:spacing w:val="20"/>
      <w:sz w:val="20"/>
    </w:rPr>
  </w:style>
  <w:style w:type="paragraph" w:styleId="Heading8">
    <w:name w:val="heading 8"/>
    <w:basedOn w:val="Normal"/>
    <w:next w:val="Normal"/>
    <w:qFormat/>
    <w:rsid w:val="00E31957"/>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E31957"/>
    <w:pPr>
      <w:spacing w:before="160" w:line="300" w:lineRule="exact"/>
      <w:ind w:right="-1"/>
    </w:pPr>
    <w:rPr>
      <w:rFonts w:ascii="Trebuchet MS" w:hAnsi="Trebuchet MS"/>
      <w:sz w:val="19"/>
      <w:lang w:eastAsia="en-US"/>
    </w:rPr>
  </w:style>
  <w:style w:type="character" w:customStyle="1" w:styleId="TextChar">
    <w:name w:val="Text Char"/>
    <w:link w:val="Text"/>
    <w:locked/>
    <w:rsid w:val="0048643A"/>
    <w:rPr>
      <w:rFonts w:ascii="Trebuchet MS" w:hAnsi="Trebuchet MS"/>
      <w:sz w:val="19"/>
      <w:lang w:eastAsia="en-US" w:bidi="ar-SA"/>
    </w:rPr>
  </w:style>
  <w:style w:type="character" w:styleId="PageNumber">
    <w:name w:val="page number"/>
    <w:rsid w:val="00E31957"/>
    <w:rPr>
      <w:rFonts w:ascii="Tahoma" w:hAnsi="Tahoma"/>
      <w:sz w:val="18"/>
    </w:rPr>
  </w:style>
  <w:style w:type="paragraph" w:styleId="Footer">
    <w:name w:val="footer"/>
    <w:basedOn w:val="Normal"/>
    <w:rsid w:val="00E31957"/>
    <w:pPr>
      <w:tabs>
        <w:tab w:val="right" w:pos="8505"/>
      </w:tabs>
      <w:spacing w:before="0"/>
    </w:pPr>
    <w:rPr>
      <w:rFonts w:ascii="Tahoma" w:hAnsi="Tahoma"/>
      <w:sz w:val="17"/>
      <w:szCs w:val="17"/>
    </w:rPr>
  </w:style>
  <w:style w:type="paragraph" w:styleId="TOC1">
    <w:name w:val="toc 1"/>
    <w:uiPriority w:val="39"/>
    <w:rsid w:val="00E31957"/>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E3195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E31957"/>
    <w:pPr>
      <w:spacing w:before="360" w:after="80"/>
      <w:ind w:left="851" w:hanging="851"/>
    </w:pPr>
    <w:rPr>
      <w:rFonts w:ascii="Tahoma" w:hAnsi="Tahoma"/>
      <w:b/>
      <w:sz w:val="17"/>
      <w:lang w:eastAsia="en-US"/>
    </w:rPr>
  </w:style>
  <w:style w:type="paragraph" w:customStyle="1" w:styleId="Tabletext">
    <w:name w:val="Table text"/>
    <w:next w:val="Text"/>
    <w:rsid w:val="00E31957"/>
    <w:pPr>
      <w:spacing w:before="40" w:after="40"/>
    </w:pPr>
    <w:rPr>
      <w:rFonts w:ascii="Arial" w:hAnsi="Arial"/>
      <w:sz w:val="16"/>
      <w:lang w:eastAsia="en-US"/>
    </w:rPr>
  </w:style>
  <w:style w:type="paragraph" w:customStyle="1" w:styleId="Tablehead1">
    <w:name w:val="Tablehead1"/>
    <w:rsid w:val="00E31957"/>
    <w:pPr>
      <w:spacing w:before="80" w:after="80"/>
    </w:pPr>
    <w:rPr>
      <w:rFonts w:ascii="Arial" w:hAnsi="Arial"/>
      <w:b/>
      <w:sz w:val="17"/>
      <w:lang w:eastAsia="en-US"/>
    </w:rPr>
  </w:style>
  <w:style w:type="paragraph" w:customStyle="1" w:styleId="MediumShading1-Accent31">
    <w:name w:val="Medium Shading 1 - Accent 31"/>
    <w:basedOn w:val="Text"/>
    <w:qFormat/>
    <w:rsid w:val="009C22BE"/>
    <w:pPr>
      <w:tabs>
        <w:tab w:val="right" w:pos="7853"/>
      </w:tabs>
      <w:spacing w:before="80"/>
      <w:ind w:left="567" w:right="652"/>
    </w:pPr>
    <w:rPr>
      <w:sz w:val="17"/>
    </w:rPr>
  </w:style>
  <w:style w:type="paragraph" w:customStyle="1" w:styleId="References">
    <w:name w:val="References"/>
    <w:rsid w:val="0031125E"/>
    <w:pPr>
      <w:spacing w:before="80"/>
      <w:ind w:left="284" w:hanging="284"/>
    </w:pPr>
    <w:rPr>
      <w:rFonts w:ascii="Trebuchet MS" w:hAnsi="Trebuchet MS"/>
      <w:sz w:val="18"/>
      <w:lang w:eastAsia="en-US"/>
    </w:rPr>
  </w:style>
  <w:style w:type="paragraph" w:customStyle="1" w:styleId="Tablehead2">
    <w:name w:val="Tablehead2"/>
    <w:basedOn w:val="Tablehead1"/>
    <w:rsid w:val="00E31957"/>
    <w:pPr>
      <w:tabs>
        <w:tab w:val="left" w:pos="992"/>
      </w:tabs>
      <w:spacing w:before="20" w:after="20"/>
    </w:pPr>
    <w:rPr>
      <w:b w:val="0"/>
    </w:rPr>
  </w:style>
  <w:style w:type="paragraph" w:customStyle="1" w:styleId="Tablehead3">
    <w:name w:val="Tablehead3"/>
    <w:basedOn w:val="Tablehead2"/>
    <w:rsid w:val="00E31957"/>
    <w:rPr>
      <w:i/>
    </w:rPr>
  </w:style>
  <w:style w:type="paragraph" w:styleId="TableofFigures">
    <w:name w:val="table of figures"/>
    <w:basedOn w:val="TOC1"/>
    <w:next w:val="Normal"/>
    <w:uiPriority w:val="99"/>
    <w:rsid w:val="007B4FA2"/>
    <w:pPr>
      <w:spacing w:before="80"/>
      <w:ind w:left="425" w:right="1985" w:hanging="425"/>
    </w:pPr>
  </w:style>
  <w:style w:type="paragraph" w:customStyle="1" w:styleId="Imprint">
    <w:name w:val="Imprint"/>
    <w:basedOn w:val="Normal"/>
    <w:rsid w:val="00E31957"/>
    <w:pPr>
      <w:spacing w:line="260" w:lineRule="atLeast"/>
    </w:pPr>
    <w:rPr>
      <w:sz w:val="16"/>
    </w:rPr>
  </w:style>
  <w:style w:type="paragraph" w:customStyle="1" w:styleId="Figuretitle">
    <w:name w:val="Figuretitle"/>
    <w:basedOn w:val="tabletitle"/>
    <w:rsid w:val="00E31957"/>
  </w:style>
  <w:style w:type="paragraph" w:customStyle="1" w:styleId="Dotpoint1">
    <w:name w:val="Dotpoint1"/>
    <w:rsid w:val="00525F5F"/>
    <w:pPr>
      <w:numPr>
        <w:numId w:val="3"/>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E31957"/>
    <w:pPr>
      <w:numPr>
        <w:numId w:val="4"/>
      </w:numPr>
      <w:tabs>
        <w:tab w:val="clear" w:pos="284"/>
        <w:tab w:val="left" w:pos="567"/>
      </w:tabs>
    </w:pPr>
  </w:style>
  <w:style w:type="paragraph" w:customStyle="1" w:styleId="NumberedListContinuing">
    <w:name w:val="NumberedListContinuing"/>
    <w:rsid w:val="00E31957"/>
    <w:pPr>
      <w:numPr>
        <w:numId w:val="5"/>
      </w:numPr>
      <w:spacing w:before="120" w:line="300" w:lineRule="exact"/>
    </w:pPr>
    <w:rPr>
      <w:rFonts w:ascii="Trebuchet MS" w:hAnsi="Trebuchet MS"/>
      <w:sz w:val="19"/>
    </w:rPr>
  </w:style>
  <w:style w:type="paragraph" w:customStyle="1" w:styleId="Source">
    <w:name w:val="Source"/>
    <w:rsid w:val="00E31957"/>
    <w:pPr>
      <w:spacing w:before="40"/>
      <w:ind w:left="567" w:hanging="567"/>
    </w:pPr>
    <w:rPr>
      <w:rFonts w:ascii="Arial" w:hAnsi="Arial"/>
      <w:sz w:val="15"/>
      <w:lang w:eastAsia="en-US"/>
    </w:rPr>
  </w:style>
  <w:style w:type="paragraph" w:styleId="FootnoteText">
    <w:name w:val="footnote text"/>
    <w:basedOn w:val="Text"/>
    <w:rsid w:val="00E31957"/>
    <w:pPr>
      <w:tabs>
        <w:tab w:val="left" w:pos="170"/>
      </w:tabs>
      <w:spacing w:before="0" w:line="220" w:lineRule="exact"/>
      <w:ind w:left="170" w:right="0" w:hanging="170"/>
    </w:pPr>
    <w:rPr>
      <w:sz w:val="16"/>
    </w:rPr>
  </w:style>
  <w:style w:type="paragraph" w:styleId="NormalWeb">
    <w:name w:val="Normal (Web)"/>
    <w:basedOn w:val="Normal"/>
    <w:uiPriority w:val="1"/>
    <w:semiHidden/>
    <w:rsid w:val="00E31957"/>
    <w:pPr>
      <w:spacing w:before="100" w:beforeAutospacing="1" w:after="240"/>
    </w:pPr>
    <w:rPr>
      <w:sz w:val="18"/>
      <w:szCs w:val="18"/>
    </w:rPr>
  </w:style>
  <w:style w:type="paragraph" w:customStyle="1" w:styleId="PublicationTitle">
    <w:name w:val="Publication Title"/>
    <w:qFormat/>
    <w:rsid w:val="00E3195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semiHidden/>
    <w:unhideWhenUsed/>
    <w:rsid w:val="00E31957"/>
    <w:pPr>
      <w:ind w:left="440"/>
    </w:pPr>
  </w:style>
  <w:style w:type="paragraph" w:styleId="TOC4">
    <w:name w:val="toc 4"/>
    <w:basedOn w:val="TOC3"/>
    <w:next w:val="Normal"/>
    <w:autoRedefine/>
    <w:semiHidden/>
    <w:unhideWhenUsed/>
    <w:rsid w:val="00E31957"/>
    <w:pPr>
      <w:ind w:left="660"/>
    </w:pPr>
  </w:style>
  <w:style w:type="paragraph" w:styleId="BalloonText">
    <w:name w:val="Balloon Text"/>
    <w:basedOn w:val="Normal"/>
    <w:link w:val="BalloonTextChar"/>
    <w:uiPriority w:val="99"/>
    <w:semiHidden/>
    <w:rsid w:val="00E31957"/>
    <w:pPr>
      <w:spacing w:before="0" w:line="240" w:lineRule="auto"/>
    </w:pPr>
    <w:rPr>
      <w:rFonts w:ascii="Tahoma" w:hAnsi="Tahoma"/>
      <w:sz w:val="16"/>
      <w:szCs w:val="16"/>
    </w:rPr>
  </w:style>
  <w:style w:type="character" w:customStyle="1" w:styleId="BalloonTextChar">
    <w:name w:val="Balloon Text Char"/>
    <w:link w:val="BalloonText"/>
    <w:uiPriority w:val="99"/>
    <w:semiHidden/>
    <w:locked/>
    <w:rsid w:val="007037A4"/>
    <w:rPr>
      <w:rFonts w:ascii="Tahoma" w:hAnsi="Tahoma" w:cs="Tahoma"/>
      <w:sz w:val="16"/>
      <w:szCs w:val="16"/>
      <w:lang w:eastAsia="en-US"/>
    </w:rPr>
  </w:style>
  <w:style w:type="table" w:styleId="TableGrid">
    <w:name w:val="Table Grid"/>
    <w:basedOn w:val="TableNormal"/>
    <w:uiPriority w:val="59"/>
    <w:rsid w:val="00E3195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E31957"/>
    <w:pPr>
      <w:tabs>
        <w:tab w:val="center" w:pos="4513"/>
        <w:tab w:val="right" w:pos="9026"/>
      </w:tabs>
      <w:spacing w:before="0" w:line="240" w:lineRule="auto"/>
    </w:pPr>
  </w:style>
  <w:style w:type="character" w:customStyle="1" w:styleId="HeaderChar">
    <w:name w:val="Header Char"/>
    <w:link w:val="Header"/>
    <w:uiPriority w:val="99"/>
    <w:semiHidden/>
    <w:locked/>
    <w:rsid w:val="007037A4"/>
    <w:rPr>
      <w:rFonts w:ascii="Trebuchet MS" w:hAnsi="Trebuchet MS"/>
      <w:sz w:val="19"/>
      <w:lang w:eastAsia="en-US"/>
    </w:rPr>
  </w:style>
  <w:style w:type="character" w:customStyle="1" w:styleId="Heading3Char">
    <w:name w:val="Heading 3 Char"/>
    <w:link w:val="Heading3"/>
    <w:locked/>
    <w:rsid w:val="00800A2B"/>
    <w:rPr>
      <w:rFonts w:ascii="Tahoma" w:hAnsi="Tahoma"/>
      <w:color w:val="000000"/>
      <w:sz w:val="24"/>
      <w:lang w:eastAsia="en-US" w:bidi="ar-SA"/>
    </w:rPr>
  </w:style>
  <w:style w:type="character" w:styleId="Hyperlink">
    <w:name w:val="Hyperlink"/>
    <w:unhideWhenUsed/>
    <w:rsid w:val="00E31957"/>
    <w:rPr>
      <w:rFonts w:ascii="Trebuchet MS" w:hAnsi="Trebuchet MS"/>
      <w:color w:val="auto"/>
      <w:sz w:val="19"/>
      <w:u w:val="none"/>
    </w:rPr>
  </w:style>
  <w:style w:type="paragraph" w:customStyle="1" w:styleId="LightGrid-Accent31">
    <w:name w:val="Light Grid - Accent 31"/>
    <w:basedOn w:val="Normal"/>
    <w:qFormat/>
    <w:rsid w:val="007037A4"/>
    <w:pPr>
      <w:ind w:left="720"/>
      <w:contextualSpacing/>
    </w:pPr>
  </w:style>
  <w:style w:type="paragraph" w:styleId="BodyText">
    <w:name w:val="Body Text"/>
    <w:basedOn w:val="Normal"/>
    <w:link w:val="BodyTextChar"/>
    <w:rsid w:val="00E31957"/>
    <w:pPr>
      <w:spacing w:before="0" w:line="240" w:lineRule="auto"/>
    </w:pPr>
    <w:rPr>
      <w:rFonts w:ascii="Times New Roman" w:hAnsi="Times New Roman"/>
      <w:b/>
      <w:sz w:val="20"/>
      <w:lang w:val="en-US" w:eastAsia="ko-KR"/>
    </w:rPr>
  </w:style>
  <w:style w:type="character" w:customStyle="1" w:styleId="BodyTextChar">
    <w:name w:val="Body Text Char"/>
    <w:link w:val="BodyText"/>
    <w:locked/>
    <w:rsid w:val="00FE3F74"/>
    <w:rPr>
      <w:b/>
      <w:lang w:val="en-US" w:eastAsia="ko-KR"/>
    </w:rPr>
  </w:style>
  <w:style w:type="paragraph" w:styleId="BodyText2">
    <w:name w:val="Body Text 2"/>
    <w:basedOn w:val="Normal"/>
    <w:link w:val="BodyText2Char"/>
    <w:rsid w:val="00E31957"/>
    <w:pPr>
      <w:spacing w:before="0" w:line="240" w:lineRule="auto"/>
    </w:pPr>
    <w:rPr>
      <w:rFonts w:ascii="Times New Roman" w:hAnsi="Times New Roman"/>
      <w:sz w:val="22"/>
      <w:lang w:val="en-US" w:eastAsia="ko-KR"/>
    </w:rPr>
  </w:style>
  <w:style w:type="character" w:customStyle="1" w:styleId="BodyText2Char">
    <w:name w:val="Body Text 2 Char"/>
    <w:link w:val="BodyText2"/>
    <w:locked/>
    <w:rsid w:val="00FE3F74"/>
    <w:rPr>
      <w:sz w:val="22"/>
      <w:lang w:val="en-US" w:eastAsia="ko-KR"/>
    </w:rPr>
  </w:style>
  <w:style w:type="paragraph" w:styleId="BodyTextIndent">
    <w:name w:val="Body Text Indent"/>
    <w:basedOn w:val="Normal"/>
    <w:link w:val="BodyTextIndentChar"/>
    <w:rsid w:val="00E31957"/>
    <w:pPr>
      <w:spacing w:before="0" w:after="120" w:line="240" w:lineRule="auto"/>
      <w:ind w:left="283"/>
    </w:pPr>
    <w:rPr>
      <w:rFonts w:ascii="Times New Roman" w:hAnsi="Times New Roman"/>
      <w:sz w:val="22"/>
    </w:rPr>
  </w:style>
  <w:style w:type="character" w:customStyle="1" w:styleId="BodyTextIndentChar">
    <w:name w:val="Body Text Indent Char"/>
    <w:link w:val="BodyTextIndent"/>
    <w:locked/>
    <w:rsid w:val="00C77DC6"/>
    <w:rPr>
      <w:sz w:val="22"/>
    </w:rPr>
  </w:style>
  <w:style w:type="paragraph" w:customStyle="1" w:styleId="Authors">
    <w:name w:val="Authors"/>
    <w:qFormat/>
    <w:rsid w:val="00E31957"/>
    <w:pPr>
      <w:ind w:left="1701" w:right="-1"/>
    </w:pPr>
    <w:rPr>
      <w:rFonts w:ascii="Tahoma" w:hAnsi="Tahoma" w:cs="Tahoma"/>
      <w:sz w:val="28"/>
      <w:lang w:eastAsia="en-US"/>
    </w:rPr>
  </w:style>
  <w:style w:type="paragraph" w:customStyle="1" w:styleId="Contents">
    <w:name w:val="Contents"/>
    <w:qFormat/>
    <w:rsid w:val="00E3195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E31957"/>
    <w:pPr>
      <w:spacing w:before="360"/>
    </w:pPr>
    <w:rPr>
      <w:rFonts w:ascii="Tahoma" w:hAnsi="Tahoma" w:cs="Tahoma"/>
      <w:i/>
      <w:sz w:val="28"/>
      <w:lang w:eastAsia="en-US"/>
    </w:rPr>
  </w:style>
  <w:style w:type="paragraph" w:customStyle="1" w:styleId="Abouttheresearch">
    <w:name w:val="About the research"/>
    <w:uiPriority w:val="1"/>
    <w:qFormat/>
    <w:rsid w:val="00E31957"/>
    <w:rPr>
      <w:rFonts w:ascii="Tahoma" w:hAnsi="Tahoma" w:cs="Tahoma"/>
      <w:color w:val="000000"/>
      <w:kern w:val="28"/>
      <w:sz w:val="56"/>
      <w:szCs w:val="56"/>
      <w:lang w:eastAsia="en-US"/>
    </w:rPr>
  </w:style>
  <w:style w:type="paragraph" w:customStyle="1" w:styleId="Keymessages">
    <w:name w:val="Key messages"/>
    <w:uiPriority w:val="1"/>
    <w:qFormat/>
    <w:rsid w:val="00E31957"/>
    <w:pPr>
      <w:spacing w:before="360"/>
    </w:pPr>
    <w:rPr>
      <w:rFonts w:ascii="Tahoma" w:hAnsi="Tahoma" w:cs="Tahoma"/>
      <w:sz w:val="28"/>
      <w:lang w:eastAsia="en-US"/>
    </w:rPr>
  </w:style>
  <w:style w:type="paragraph" w:customStyle="1" w:styleId="Organisation">
    <w:name w:val="Organisation"/>
    <w:basedOn w:val="Authors"/>
    <w:uiPriority w:val="1"/>
    <w:qFormat/>
    <w:rsid w:val="00E31957"/>
    <w:pPr>
      <w:spacing w:before="120"/>
      <w:ind w:right="0"/>
    </w:pPr>
    <w:rPr>
      <w:sz w:val="24"/>
    </w:rPr>
  </w:style>
  <w:style w:type="character" w:styleId="FollowedHyperlink">
    <w:name w:val="FollowedHyperlink"/>
    <w:uiPriority w:val="99"/>
    <w:semiHidden/>
    <w:rsid w:val="00E31957"/>
    <w:rPr>
      <w:color w:val="800080"/>
      <w:u w:val="single"/>
    </w:rPr>
  </w:style>
  <w:style w:type="paragraph" w:customStyle="1" w:styleId="NumberedAlphaLevel2">
    <w:name w:val="NumberedAlphaLevel2"/>
    <w:basedOn w:val="NumberedListContinuing"/>
    <w:uiPriority w:val="1"/>
    <w:qFormat/>
    <w:rsid w:val="00E31957"/>
    <w:pPr>
      <w:numPr>
        <w:ilvl w:val="1"/>
      </w:numPr>
    </w:pPr>
  </w:style>
  <w:style w:type="character" w:styleId="CommentReference">
    <w:name w:val="annotation reference"/>
    <w:rsid w:val="00AE1A61"/>
    <w:rPr>
      <w:sz w:val="16"/>
      <w:szCs w:val="16"/>
    </w:rPr>
  </w:style>
  <w:style w:type="paragraph" w:styleId="CommentText">
    <w:name w:val="annotation text"/>
    <w:basedOn w:val="Normal"/>
    <w:link w:val="CommentTextChar"/>
    <w:rsid w:val="00AE1A61"/>
    <w:rPr>
      <w:sz w:val="20"/>
    </w:rPr>
  </w:style>
  <w:style w:type="character" w:customStyle="1" w:styleId="CommentTextChar">
    <w:name w:val="Comment Text Char"/>
    <w:link w:val="CommentText"/>
    <w:rsid w:val="00AE1A61"/>
    <w:rPr>
      <w:rFonts w:ascii="Trebuchet MS" w:hAnsi="Trebuchet MS"/>
      <w:lang w:eastAsia="en-US"/>
    </w:rPr>
  </w:style>
  <w:style w:type="paragraph" w:styleId="CommentSubject">
    <w:name w:val="annotation subject"/>
    <w:basedOn w:val="CommentText"/>
    <w:next w:val="CommentText"/>
    <w:link w:val="CommentSubjectChar"/>
    <w:rsid w:val="00AE1A61"/>
    <w:rPr>
      <w:b/>
      <w:bCs/>
    </w:rPr>
  </w:style>
  <w:style w:type="character" w:customStyle="1" w:styleId="CommentSubjectChar">
    <w:name w:val="Comment Subject Char"/>
    <w:link w:val="CommentSubject"/>
    <w:rsid w:val="00AE1A61"/>
    <w:rPr>
      <w:rFonts w:ascii="Trebuchet MS" w:hAnsi="Trebuchet MS"/>
      <w:b/>
      <w:bCs/>
      <w:lang w:eastAsia="en-US"/>
    </w:rPr>
  </w:style>
  <w:style w:type="character" w:customStyle="1" w:styleId="apple-converted-space">
    <w:name w:val="apple-converted-space"/>
    <w:basedOn w:val="DefaultParagraphFont"/>
    <w:rsid w:val="00BD2144"/>
  </w:style>
  <w:style w:type="paragraph" w:customStyle="1" w:styleId="MediumGrid1-Accent21">
    <w:name w:val="Medium Grid 1 - Accent 21"/>
    <w:basedOn w:val="Normal"/>
    <w:uiPriority w:val="34"/>
    <w:qFormat/>
    <w:rsid w:val="00E31957"/>
    <w:pPr>
      <w:ind w:left="720"/>
      <w:contextualSpacing/>
    </w:pPr>
  </w:style>
  <w:style w:type="paragraph" w:customStyle="1" w:styleId="MediumGrid2-Accent21">
    <w:name w:val="Medium Grid 2 - Accent 21"/>
    <w:basedOn w:val="Text"/>
    <w:link w:val="MediumGrid2-Accent2Char"/>
    <w:qFormat/>
    <w:rsid w:val="00E31957"/>
    <w:pPr>
      <w:tabs>
        <w:tab w:val="right" w:pos="7853"/>
      </w:tabs>
      <w:spacing w:before="80"/>
      <w:ind w:left="567" w:right="652"/>
    </w:pPr>
    <w:rPr>
      <w:sz w:val="17"/>
    </w:rPr>
  </w:style>
  <w:style w:type="character" w:customStyle="1" w:styleId="MediumGrid2-Accent2Char">
    <w:name w:val="Medium Grid 2 - Accent 2 Char"/>
    <w:link w:val="MediumGrid2-Accent21"/>
    <w:rsid w:val="00E31957"/>
    <w:rPr>
      <w:rFonts w:ascii="Trebuchet MS" w:hAnsi="Trebuchet MS"/>
      <w:sz w:val="17"/>
      <w:lang w:eastAsia="en-US"/>
    </w:rPr>
  </w:style>
  <w:style w:type="character" w:styleId="FootnoteReference">
    <w:name w:val="footnote reference"/>
    <w:basedOn w:val="DefaultParagraphFont"/>
    <w:rsid w:val="00DC5A82"/>
    <w:rPr>
      <w:vertAlign w:val="superscript"/>
    </w:rPr>
  </w:style>
  <w:style w:type="paragraph" w:customStyle="1" w:styleId="Textmorebefore">
    <w:name w:val="Text more # before"/>
    <w:basedOn w:val="Text"/>
    <w:uiPriority w:val="1"/>
    <w:qFormat/>
    <w:rsid w:val="00D75EC9"/>
    <w:pPr>
      <w:spacing w:before="360"/>
      <w:ind w:right="0"/>
    </w:pPr>
  </w:style>
  <w:style w:type="paragraph" w:styleId="Quote">
    <w:name w:val="Quote"/>
    <w:basedOn w:val="Text"/>
    <w:link w:val="QuoteChar"/>
    <w:qFormat/>
    <w:rsid w:val="002B1074"/>
    <w:pPr>
      <w:tabs>
        <w:tab w:val="right" w:pos="8136"/>
      </w:tabs>
      <w:spacing w:before="80"/>
      <w:ind w:left="567" w:right="652"/>
    </w:pPr>
    <w:rPr>
      <w:sz w:val="17"/>
    </w:rPr>
  </w:style>
  <w:style w:type="character" w:customStyle="1" w:styleId="QuoteChar">
    <w:name w:val="Quote Char"/>
    <w:basedOn w:val="DefaultParagraphFont"/>
    <w:link w:val="Quote"/>
    <w:rsid w:val="002B1074"/>
    <w:rPr>
      <w:rFonts w:ascii="Trebuchet MS" w:hAnsi="Trebuchet MS"/>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4921">
      <w:bodyDiv w:val="1"/>
      <w:marLeft w:val="0"/>
      <w:marRight w:val="0"/>
      <w:marTop w:val="0"/>
      <w:marBottom w:val="0"/>
      <w:divBdr>
        <w:top w:val="none" w:sz="0" w:space="0" w:color="auto"/>
        <w:left w:val="none" w:sz="0" w:space="0" w:color="auto"/>
        <w:bottom w:val="none" w:sz="0" w:space="0" w:color="auto"/>
        <w:right w:val="none" w:sz="0" w:space="0" w:color="auto"/>
      </w:divBdr>
    </w:div>
    <w:div w:id="773522292">
      <w:bodyDiv w:val="1"/>
      <w:marLeft w:val="0"/>
      <w:marRight w:val="0"/>
      <w:marTop w:val="0"/>
      <w:marBottom w:val="0"/>
      <w:divBdr>
        <w:top w:val="none" w:sz="0" w:space="0" w:color="auto"/>
        <w:left w:val="none" w:sz="0" w:space="0" w:color="auto"/>
        <w:bottom w:val="none" w:sz="0" w:space="0" w:color="auto"/>
        <w:right w:val="none" w:sz="0" w:space="0" w:color="auto"/>
      </w:divBdr>
      <w:divsChild>
        <w:div w:id="143083466">
          <w:marLeft w:val="0"/>
          <w:marRight w:val="0"/>
          <w:marTop w:val="0"/>
          <w:marBottom w:val="0"/>
          <w:divBdr>
            <w:top w:val="none" w:sz="0" w:space="0" w:color="auto"/>
            <w:left w:val="none" w:sz="0" w:space="0" w:color="auto"/>
            <w:bottom w:val="none" w:sz="0" w:space="0" w:color="auto"/>
            <w:right w:val="none" w:sz="0" w:space="0" w:color="auto"/>
          </w:divBdr>
        </w:div>
        <w:div w:id="478956479">
          <w:marLeft w:val="0"/>
          <w:marRight w:val="0"/>
          <w:marTop w:val="0"/>
          <w:marBottom w:val="0"/>
          <w:divBdr>
            <w:top w:val="none" w:sz="0" w:space="0" w:color="auto"/>
            <w:left w:val="none" w:sz="0" w:space="0" w:color="auto"/>
            <w:bottom w:val="none" w:sz="0" w:space="0" w:color="auto"/>
            <w:right w:val="none" w:sz="0" w:space="0" w:color="auto"/>
          </w:divBdr>
        </w:div>
        <w:div w:id="829559411">
          <w:marLeft w:val="0"/>
          <w:marRight w:val="0"/>
          <w:marTop w:val="0"/>
          <w:marBottom w:val="0"/>
          <w:divBdr>
            <w:top w:val="none" w:sz="0" w:space="0" w:color="auto"/>
            <w:left w:val="none" w:sz="0" w:space="0" w:color="auto"/>
            <w:bottom w:val="none" w:sz="0" w:space="0" w:color="auto"/>
            <w:right w:val="none" w:sz="0" w:space="0" w:color="auto"/>
          </w:divBdr>
        </w:div>
        <w:div w:id="1374769205">
          <w:marLeft w:val="0"/>
          <w:marRight w:val="0"/>
          <w:marTop w:val="0"/>
          <w:marBottom w:val="0"/>
          <w:divBdr>
            <w:top w:val="none" w:sz="0" w:space="0" w:color="auto"/>
            <w:left w:val="none" w:sz="0" w:space="0" w:color="auto"/>
            <w:bottom w:val="none" w:sz="0" w:space="0" w:color="auto"/>
            <w:right w:val="none" w:sz="0" w:space="0" w:color="auto"/>
          </w:divBdr>
        </w:div>
        <w:div w:id="1830099710">
          <w:marLeft w:val="0"/>
          <w:marRight w:val="0"/>
          <w:marTop w:val="0"/>
          <w:marBottom w:val="0"/>
          <w:divBdr>
            <w:top w:val="none" w:sz="0" w:space="0" w:color="auto"/>
            <w:left w:val="none" w:sz="0" w:space="0" w:color="auto"/>
            <w:bottom w:val="none" w:sz="0" w:space="0" w:color="auto"/>
            <w:right w:val="none" w:sz="0" w:space="0" w:color="auto"/>
          </w:divBdr>
        </w:div>
      </w:divsChild>
    </w:div>
    <w:div w:id="1067263984">
      <w:bodyDiv w:val="1"/>
      <w:marLeft w:val="0"/>
      <w:marRight w:val="0"/>
      <w:marTop w:val="0"/>
      <w:marBottom w:val="0"/>
      <w:divBdr>
        <w:top w:val="none" w:sz="0" w:space="0" w:color="auto"/>
        <w:left w:val="none" w:sz="0" w:space="0" w:color="auto"/>
        <w:bottom w:val="none" w:sz="0" w:space="0" w:color="auto"/>
        <w:right w:val="none" w:sz="0" w:space="0" w:color="auto"/>
      </w:divBdr>
    </w:div>
    <w:div w:id="150643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deakin.edu.au/future-students/courses/course.php?course=A200&amp;stutype=local&amp;keywords=%20associate%20degree" TargetMode="External"/><Relationship Id="rId26" Type="http://schemas.openxmlformats.org/officeDocument/2006/relationships/hyperlink" Target="http://www.ncver.edu.au/publications/2689.html" TargetMode="External"/><Relationship Id="rId3" Type="http://schemas.microsoft.com/office/2007/relationships/stylesWithEffects" Target="stylesWithEffects.xml"/><Relationship Id="rId21" Type="http://schemas.openxmlformats.org/officeDocument/2006/relationships/hyperlink" Target="http://www.education.monash.edu.au/centres/ceet/publications/conferencepapers/2008.html" TargetMode="Externa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http://www.asic.gov.au/asic/pdflib.nsf/LookupByFileName/rg146-published-2-July-2012.pdf/$file/rg146-published-2-July-2012.pdf" TargetMode="External"/><Relationship Id="rId25" Type="http://schemas.openxmlformats.org/officeDocument/2006/relationships/hyperlink" Target="http://www.ncver.edu.au/publications/2557.html%3E" TargetMode="External"/><Relationship Id="rId2" Type="http://schemas.openxmlformats.org/officeDocument/2006/relationships/styles" Target="styles.xml"/><Relationship Id="rId16" Type="http://schemas.openxmlformats.org/officeDocument/2006/relationships/hyperlink" Target="http://aqf.edu.au/Portals/0/Documents/AQF_%20Addendum.pdf" TargetMode="External"/><Relationship Id="rId20" Type="http://schemas.openxmlformats.org/officeDocument/2006/relationships/hyperlink" Target="http://www.ncver.edu.au/publications/1442.html%3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ww.ncver.edu.au/publications/2535" TargetMode="External"/><Relationship Id="rId5" Type="http://schemas.openxmlformats.org/officeDocument/2006/relationships/webSettings" Target="webSettings.xml"/><Relationship Id="rId15" Type="http://schemas.openxmlformats.org/officeDocument/2006/relationships/hyperlink" Target="http://www.aqf.edu.au/Portals/0/Documents/Australian%20Qualifications%20%20Framework%202011%20approved%20by%20MCTEE%2018%20March%202011.pdf" TargetMode="External"/><Relationship Id="rId23" Type="http://schemas.openxmlformats.org/officeDocument/2006/relationships/hyperlink" Target="http://www.nssc.natese.gov.au/training_packages/standards_and_policies" TargetMode="External"/><Relationship Id="rId28" Type="http://schemas.openxmlformats.org/officeDocument/2006/relationships/footer" Target="footer2.xml"/><Relationship Id="rId10" Type="http://schemas.openxmlformats.org/officeDocument/2006/relationships/hyperlink" Target="http://www.voced.edu.au" TargetMode="External"/><Relationship Id="rId19" Type="http://schemas.openxmlformats.org/officeDocument/2006/relationships/hyperlink" Target="http://www.ncver.edu.au/publications/2153.html%3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cver.edu.au/resources/vocstats/intro.html" TargetMode="External"/><Relationship Id="rId22" Type="http://schemas.openxmlformats.org/officeDocument/2006/relationships/hyperlink" Target="http://www.minerals.org.au/file_upload/files/employment/MINAD_Project_Coordinator_March_2012.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ver.edu.au/resources/vocsta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FC28F67F</Template>
  <TotalTime>200</TotalTime>
  <Pages>37</Pages>
  <Words>13443</Words>
  <Characters>81784</Characters>
  <Application>Microsoft Office Word</Application>
  <DocSecurity>0</DocSecurity>
  <Lines>681</Lines>
  <Paragraphs>190</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95037</CharactersWithSpaces>
  <SharedDoc>false</SharedDoc>
  <HLinks>
    <vt:vector size="66" baseType="variant">
      <vt:variant>
        <vt:i4>786496</vt:i4>
      </vt:variant>
      <vt:variant>
        <vt:i4>117</vt:i4>
      </vt:variant>
      <vt:variant>
        <vt:i4>0</vt:i4>
      </vt:variant>
      <vt:variant>
        <vt:i4>5</vt:i4>
      </vt:variant>
      <vt:variant>
        <vt:lpwstr>http://www.ncver.edu.au/publications/2535</vt:lpwstr>
      </vt:variant>
      <vt:variant>
        <vt:lpwstr/>
      </vt:variant>
      <vt:variant>
        <vt:i4>6684687</vt:i4>
      </vt:variant>
      <vt:variant>
        <vt:i4>114</vt:i4>
      </vt:variant>
      <vt:variant>
        <vt:i4>0</vt:i4>
      </vt:variant>
      <vt:variant>
        <vt:i4>5</vt:i4>
      </vt:variant>
      <vt:variant>
        <vt:lpwstr>http://www.nssc.natese.gov.au/training_packages/standards_and_policies</vt:lpwstr>
      </vt:variant>
      <vt:variant>
        <vt:lpwstr/>
      </vt:variant>
      <vt:variant>
        <vt:i4>3080270</vt:i4>
      </vt:variant>
      <vt:variant>
        <vt:i4>111</vt:i4>
      </vt:variant>
      <vt:variant>
        <vt:i4>0</vt:i4>
      </vt:variant>
      <vt:variant>
        <vt:i4>5</vt:i4>
      </vt:variant>
      <vt:variant>
        <vt:lpwstr>http://www.minerals.org.au/file_upload/files/employment/MINAD_Project_Coordinator_March_2012.pdf</vt:lpwstr>
      </vt:variant>
      <vt:variant>
        <vt:lpwstr/>
      </vt:variant>
      <vt:variant>
        <vt:i4>3473533</vt:i4>
      </vt:variant>
      <vt:variant>
        <vt:i4>108</vt:i4>
      </vt:variant>
      <vt:variant>
        <vt:i4>0</vt:i4>
      </vt:variant>
      <vt:variant>
        <vt:i4>5</vt:i4>
      </vt:variant>
      <vt:variant>
        <vt:lpwstr>http://www.education.monash.edu.au/centres/ceet/publications/conferencepapers/2008.html</vt:lpwstr>
      </vt:variant>
      <vt:variant>
        <vt:lpwstr/>
      </vt:variant>
      <vt:variant>
        <vt:i4>2293859</vt:i4>
      </vt:variant>
      <vt:variant>
        <vt:i4>105</vt:i4>
      </vt:variant>
      <vt:variant>
        <vt:i4>0</vt:i4>
      </vt:variant>
      <vt:variant>
        <vt:i4>5</vt:i4>
      </vt:variant>
      <vt:variant>
        <vt:lpwstr>http://deakin.edu.au/future-students/courses/course.php?course=A200&amp;stutype=local&amp;keywords= associate%20degree</vt:lpwstr>
      </vt:variant>
      <vt:variant>
        <vt:lpwstr/>
      </vt:variant>
      <vt:variant>
        <vt:i4>5963873</vt:i4>
      </vt:variant>
      <vt:variant>
        <vt:i4>102</vt:i4>
      </vt:variant>
      <vt:variant>
        <vt:i4>0</vt:i4>
      </vt:variant>
      <vt:variant>
        <vt:i4>5</vt:i4>
      </vt:variant>
      <vt:variant>
        <vt:lpwstr>http://aqf.edu.au/Portals/0/Documents/AQF_ Addendum.pdf</vt:lpwstr>
      </vt:variant>
      <vt:variant>
        <vt:lpwstr/>
      </vt:variant>
      <vt:variant>
        <vt:i4>4980821</vt:i4>
      </vt:variant>
      <vt:variant>
        <vt:i4>99</vt:i4>
      </vt:variant>
      <vt:variant>
        <vt:i4>0</vt:i4>
      </vt:variant>
      <vt:variant>
        <vt:i4>5</vt:i4>
      </vt:variant>
      <vt:variant>
        <vt:lpwstr>http://www.aqf.edu.au/Portals/0/Documents/Australian Qualifications Framework% 202011 approved by MCTEE 18 March 2011.pdf</vt:lpwstr>
      </vt:variant>
      <vt:variant>
        <vt:lpwstr/>
      </vt:variant>
      <vt:variant>
        <vt:i4>5505119</vt:i4>
      </vt:variant>
      <vt:variant>
        <vt:i4>96</vt:i4>
      </vt:variant>
      <vt:variant>
        <vt:i4>0</vt:i4>
      </vt:variant>
      <vt:variant>
        <vt:i4>5</vt:i4>
      </vt:variant>
      <vt:variant>
        <vt:lpwstr>http://www.ncver.edu.au/resources/vocstats/intro.html</vt:lpwstr>
      </vt:variant>
      <vt:variant>
        <vt:lpwstr/>
      </vt:variant>
      <vt:variant>
        <vt:i4>262219</vt:i4>
      </vt:variant>
      <vt:variant>
        <vt:i4>0</vt:i4>
      </vt:variant>
      <vt:variant>
        <vt:i4>0</vt:i4>
      </vt:variant>
      <vt:variant>
        <vt:i4>5</vt:i4>
      </vt:variant>
      <vt:variant>
        <vt:lpwstr>http://www.voced.edu.au/</vt:lpwstr>
      </vt:variant>
      <vt:variant>
        <vt:lpwstr/>
      </vt:variant>
      <vt:variant>
        <vt:i4>2490477</vt:i4>
      </vt:variant>
      <vt:variant>
        <vt:i4>0</vt:i4>
      </vt:variant>
      <vt:variant>
        <vt:i4>0</vt:i4>
      </vt:variant>
      <vt:variant>
        <vt:i4>5</vt:i4>
      </vt:variant>
      <vt:variant>
        <vt:lpwstr>http://www.ncver.edu.au/resources/vocstats/html</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Cook</dc:creator>
  <cp:keywords/>
  <cp:lastModifiedBy>Kaye McAdam</cp:lastModifiedBy>
  <cp:revision>22</cp:revision>
  <cp:lastPrinted>2013-12-18T03:28:00Z</cp:lastPrinted>
  <dcterms:created xsi:type="dcterms:W3CDTF">2013-10-21T23:31:00Z</dcterms:created>
  <dcterms:modified xsi:type="dcterms:W3CDTF">2014-03-14T02:12:00Z</dcterms:modified>
</cp:coreProperties>
</file>