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827" w:rsidRDefault="00E16176" w:rsidP="00177827">
      <w:pPr>
        <w:pStyle w:val="PublicationTitle"/>
        <w:spacing w:before="0"/>
      </w:pPr>
      <w:bookmarkStart w:id="0" w:name="_Toc296423677"/>
      <w:bookmarkStart w:id="1" w:name="_Toc296497508"/>
      <w:r>
        <w:rPr>
          <w:noProof/>
          <w:lang w:eastAsia="en-AU"/>
        </w:rPr>
        <w:drawing>
          <wp:anchor distT="0" distB="0" distL="114300" distR="114300" simplePos="0" relativeHeight="251658752" behindDoc="0" locked="0" layoutInCell="1" allowOverlap="1">
            <wp:simplePos x="0" y="0"/>
            <wp:positionH relativeFrom="column">
              <wp:posOffset>-901700</wp:posOffset>
            </wp:positionH>
            <wp:positionV relativeFrom="paragraph">
              <wp:posOffset>104140</wp:posOffset>
            </wp:positionV>
            <wp:extent cx="2459990" cy="548640"/>
            <wp:effectExtent l="19050" t="0" r="0" b="0"/>
            <wp:wrapSquare wrapText="bothSides"/>
            <wp:docPr id="24" name="Picture 5" descr="P:\PublicationComponents\logos\NCVER LOGOS\EPS - pagemaker_quark\ncver left tab_mon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ublicationComponents\logos\NCVER LOGOS\EPS - pagemaker_quark\ncver left tab_mono.eps"/>
                    <pic:cNvPicPr>
                      <a:picLocks noChangeAspect="1" noChangeArrowheads="1"/>
                    </pic:cNvPicPr>
                  </pic:nvPicPr>
                  <pic:blipFill>
                    <a:blip r:embed="rId7" cstate="print"/>
                    <a:srcRect/>
                    <a:stretch>
                      <a:fillRect/>
                    </a:stretch>
                  </pic:blipFill>
                  <pic:spPr bwMode="auto">
                    <a:xfrm>
                      <a:off x="0" y="0"/>
                      <a:ext cx="2459990" cy="548640"/>
                    </a:xfrm>
                    <a:prstGeom prst="rect">
                      <a:avLst/>
                    </a:prstGeom>
                    <a:noFill/>
                    <a:ln w="9525">
                      <a:noFill/>
                      <a:miter lim="800000"/>
                      <a:headEnd/>
                      <a:tailEnd/>
                    </a:ln>
                  </pic:spPr>
                </pic:pic>
              </a:graphicData>
            </a:graphic>
          </wp:anchor>
        </w:drawing>
      </w:r>
    </w:p>
    <w:p w:rsidR="00177827" w:rsidRDefault="00E16176" w:rsidP="00A56A4A">
      <w:pPr>
        <w:pStyle w:val="PublicationTitle"/>
        <w:spacing w:before="0" w:after="0"/>
      </w:pPr>
      <w:r>
        <w:rPr>
          <w:noProof/>
          <w:lang w:eastAsia="en-AU"/>
        </w:rPr>
        <w:drawing>
          <wp:anchor distT="0" distB="0" distL="114300" distR="114300" simplePos="0" relativeHeight="251659776" behindDoc="0" locked="0" layoutInCell="1" allowOverlap="1">
            <wp:simplePos x="0" y="0"/>
            <wp:positionH relativeFrom="column">
              <wp:posOffset>-468630</wp:posOffset>
            </wp:positionH>
            <wp:positionV relativeFrom="paragraph">
              <wp:posOffset>66040</wp:posOffset>
            </wp:positionV>
            <wp:extent cx="1949450" cy="659130"/>
            <wp:effectExtent l="19050" t="0" r="0" b="0"/>
            <wp:wrapNone/>
            <wp:docPr id="26" name="Picture 26" descr="NCVER_DMS-#59082-v2-LSAY_logo_B&amp;W_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CVER_DMS-#59082-v2-LSAY_logo_B&amp;W_jpeg"/>
                    <pic:cNvPicPr>
                      <a:picLocks noChangeAspect="1" noChangeArrowheads="1"/>
                    </pic:cNvPicPr>
                  </pic:nvPicPr>
                  <pic:blipFill>
                    <a:blip r:embed="rId8" cstate="print"/>
                    <a:srcRect/>
                    <a:stretch>
                      <a:fillRect/>
                    </a:stretch>
                  </pic:blipFill>
                  <pic:spPr bwMode="auto">
                    <a:xfrm>
                      <a:off x="0" y="0"/>
                      <a:ext cx="1949450" cy="659130"/>
                    </a:xfrm>
                    <a:prstGeom prst="rect">
                      <a:avLst/>
                    </a:prstGeom>
                    <a:noFill/>
                    <a:ln w="9525">
                      <a:noFill/>
                      <a:miter lim="800000"/>
                      <a:headEnd/>
                      <a:tailEnd/>
                    </a:ln>
                  </pic:spPr>
                </pic:pic>
              </a:graphicData>
            </a:graphic>
          </wp:anchor>
        </w:drawing>
      </w:r>
    </w:p>
    <w:p w:rsidR="00A56A4A" w:rsidRDefault="00A56A4A" w:rsidP="00A56A4A">
      <w:pPr>
        <w:pStyle w:val="PublicationTitle"/>
        <w:spacing w:before="0" w:after="0"/>
        <w:rPr>
          <w:noProof/>
          <w:lang w:eastAsia="en-AU"/>
        </w:rPr>
      </w:pPr>
    </w:p>
    <w:p w:rsidR="007C75D3" w:rsidRDefault="007C75D3" w:rsidP="00177827">
      <w:pPr>
        <w:pStyle w:val="PublicationTitle"/>
        <w:spacing w:before="0"/>
      </w:pPr>
    </w:p>
    <w:bookmarkEnd w:id="0"/>
    <w:bookmarkEnd w:id="1"/>
    <w:p w:rsidR="009E231A" w:rsidRPr="005C2FCF" w:rsidRDefault="004C15E4" w:rsidP="00177827">
      <w:pPr>
        <w:pStyle w:val="PublicationTitle"/>
        <w:spacing w:before="0"/>
      </w:pPr>
      <w:r>
        <w:t xml:space="preserve">Assessing the impact of research: a case study of the LSAY Research Innovation </w:t>
      </w:r>
      <w:r w:rsidR="00DB5637">
        <w:t xml:space="preserve">and </w:t>
      </w:r>
      <w:r>
        <w:t>Expansion Fund</w:t>
      </w:r>
    </w:p>
    <w:p w:rsidR="00177827" w:rsidRDefault="004C15E4" w:rsidP="00177827">
      <w:pPr>
        <w:pStyle w:val="Authors"/>
      </w:pPr>
      <w:bookmarkStart w:id="2" w:name="_Toc296423678"/>
      <w:bookmarkStart w:id="3" w:name="_Toc296497509"/>
      <w:r>
        <w:t>Jo Hargreaves</w:t>
      </w:r>
    </w:p>
    <w:bookmarkEnd w:id="2"/>
    <w:bookmarkEnd w:id="3"/>
    <w:p w:rsidR="009E231A" w:rsidRDefault="004C15E4" w:rsidP="00177827">
      <w:pPr>
        <w:pStyle w:val="Organisation"/>
      </w:pPr>
      <w:r>
        <w:t>N</w:t>
      </w:r>
      <w:r w:rsidR="008D0527">
        <w:t xml:space="preserve">ational </w:t>
      </w:r>
      <w:r>
        <w:t>C</w:t>
      </w:r>
      <w:r w:rsidR="008D0527">
        <w:t xml:space="preserve">entre for </w:t>
      </w:r>
      <w:r>
        <w:t>V</w:t>
      </w:r>
      <w:r w:rsidR="008D0527">
        <w:t xml:space="preserve">ocational </w:t>
      </w:r>
      <w:r>
        <w:t>E</w:t>
      </w:r>
      <w:r w:rsidR="008D0527">
        <w:t xml:space="preserve">ducation </w:t>
      </w:r>
      <w:r>
        <w:t>R</w:t>
      </w:r>
      <w:r w:rsidR="008D0527">
        <w:t>esearch</w:t>
      </w:r>
    </w:p>
    <w:p w:rsidR="00DB599C" w:rsidRDefault="00DA6447" w:rsidP="0006125F">
      <w:pPr>
        <w:pStyle w:val="Heading3"/>
        <w:ind w:right="-1"/>
      </w:pPr>
      <w:r>
        <w:rPr>
          <w:noProof/>
          <w:lang w:eastAsia="en-AU"/>
        </w:rPr>
        <w:pict>
          <v:shapetype id="_x0000_t202" coordsize="21600,21600" o:spt="202" path="m,l,21600r21600,l21600,xe">
            <v:stroke joinstyle="miter"/>
            <v:path gradientshapeok="t" o:connecttype="rect"/>
          </v:shapetype>
          <v:shape id="_x0000_s1036" type="#_x0000_t202" style="position:absolute;margin-left:79.95pt;margin-top:555.35pt;width:264.8pt;height:83pt;z-index:251656704;mso-position-vertical-relative:margin" filled="f" stroked="f">
            <v:textbox style="mso-next-textbox:#_x0000_s1036">
              <w:txbxContent>
                <w:p w:rsidR="003929D8" w:rsidRDefault="003929D8" w:rsidP="007A3811">
                  <w:pPr>
                    <w:pStyle w:val="Heading3"/>
                  </w:pPr>
                  <w:r>
                    <w:t xml:space="preserve">LONGITUNDINAL SURVEYS </w:t>
                  </w:r>
                  <w:r>
                    <w:br/>
                    <w:t>OF AUSTRALIAN YOUTH</w:t>
                  </w:r>
                </w:p>
                <w:p w:rsidR="003929D8" w:rsidRPr="007A3811" w:rsidRDefault="003929D8" w:rsidP="007A3811">
                  <w:pPr>
                    <w:pStyle w:val="Heading3"/>
                    <w:spacing w:before="120"/>
                    <w:rPr>
                      <w:b/>
                    </w:rPr>
                  </w:pPr>
                  <w:r>
                    <w:rPr>
                      <w:b/>
                    </w:rPr>
                    <w:t>OCCASIONAL PAPER</w:t>
                  </w:r>
                </w:p>
                <w:p w:rsidR="003929D8" w:rsidRDefault="003929D8" w:rsidP="009E2F64">
                  <w:pPr>
                    <w:pStyle w:val="Heading3"/>
                  </w:pPr>
                </w:p>
              </w:txbxContent>
            </v:textbox>
            <w10:wrap anchory="margin"/>
          </v:shape>
        </w:pict>
      </w:r>
      <w:r>
        <w:rPr>
          <w:noProof/>
          <w:lang w:eastAsia="en-AU"/>
        </w:rPr>
        <w:pict>
          <v:shape id="_x0000_s1034" type="#_x0000_t202" style="position:absolute;margin-left:73.1pt;margin-top:659.7pt;width:357pt;height:83pt;z-index:251655680;mso-position-vertical-relative:margin" filled="f" stroked="f">
            <v:textbox style="mso-next-textbox:#_x0000_s1034">
              <w:txbxContent>
                <w:p w:rsidR="003929D8" w:rsidRPr="002F2967" w:rsidRDefault="003929D8" w:rsidP="002F2967">
                  <w:pPr>
                    <w:pStyle w:val="Imprint"/>
                    <w:spacing w:before="0"/>
                    <w:ind w:left="142" w:right="10"/>
                    <w:rPr>
                      <w:color w:val="000000"/>
                    </w:rPr>
                  </w:pPr>
                  <w:r w:rsidRPr="005C2FCF">
                    <w:rPr>
                      <w:color w:val="000000"/>
                    </w:rPr>
                    <w:t>The views and opinions expressed in this document are those of the author/</w:t>
                  </w:r>
                  <w:r>
                    <w:rPr>
                      <w:color w:val="000000"/>
                    </w:rPr>
                    <w:br/>
                  </w:r>
                  <w:r w:rsidRPr="005C2FCF">
                    <w:rPr>
                      <w:color w:val="000000"/>
                    </w:rPr>
                    <w:t>project</w:t>
                  </w:r>
                  <w:r>
                    <w:rPr>
                      <w:color w:val="000000"/>
                    </w:rPr>
                    <w:t xml:space="preserve"> </w:t>
                  </w:r>
                  <w:r w:rsidRPr="005C2FCF">
                    <w:rPr>
                      <w:color w:val="000000"/>
                    </w:rPr>
                    <w:t>team and do not necessarily reflect the views of the Australian Government</w:t>
                  </w:r>
                  <w:r>
                    <w:rPr>
                      <w:color w:val="000000"/>
                    </w:rPr>
                    <w:t xml:space="preserve"> </w:t>
                  </w:r>
                  <w:r>
                    <w:rPr>
                      <w:color w:val="000000"/>
                    </w:rPr>
                    <w:br/>
                    <w:t xml:space="preserve">or </w:t>
                  </w:r>
                  <w:r w:rsidRPr="005C2FCF">
                    <w:rPr>
                      <w:color w:val="000000"/>
                    </w:rPr>
                    <w:t>state and territory governments.</w:t>
                  </w:r>
                </w:p>
              </w:txbxContent>
            </v:textbox>
            <w10:wrap anchory="margin"/>
          </v:shape>
        </w:pict>
      </w:r>
    </w:p>
    <w:p w:rsidR="009E231A" w:rsidRPr="005C2FCF" w:rsidRDefault="00FE4A2D" w:rsidP="002F2967">
      <w:pPr>
        <w:pStyle w:val="Heading3"/>
      </w:pPr>
      <w:r w:rsidRPr="005C2FCF">
        <w:br w:type="page"/>
      </w:r>
      <w:r w:rsidRPr="005C2FCF">
        <w:lastRenderedPageBreak/>
        <w:t>Publisher’s note</w:t>
      </w:r>
    </w:p>
    <w:p w:rsidR="00233BFA" w:rsidRPr="00FA4E2D" w:rsidRDefault="00233BFA" w:rsidP="002F2967">
      <w:pPr>
        <w:pStyle w:val="Imprint"/>
        <w:spacing w:before="80"/>
        <w:ind w:right="1275"/>
      </w:pPr>
      <w:r w:rsidRPr="00FA4E2D">
        <w:t xml:space="preserve">Additional information relating to this research is available in </w:t>
      </w:r>
      <w:r w:rsidR="007A3811" w:rsidRPr="007A3811">
        <w:rPr>
          <w:i/>
        </w:rPr>
        <w:t xml:space="preserve">Assessing the impact of research: a case study of the LSAY Research Innovation </w:t>
      </w:r>
      <w:r w:rsidR="00DB5637" w:rsidRPr="007A3811">
        <w:rPr>
          <w:i/>
        </w:rPr>
        <w:t xml:space="preserve">and </w:t>
      </w:r>
      <w:r w:rsidR="007A3811" w:rsidRPr="007A3811">
        <w:rPr>
          <w:i/>
        </w:rPr>
        <w:t>Expansion Fund</w:t>
      </w:r>
      <w:r w:rsidR="0073773B">
        <w:rPr>
          <w:i/>
        </w:rPr>
        <w:t xml:space="preserve"> —</w:t>
      </w:r>
      <w:r w:rsidRPr="00D418CE">
        <w:rPr>
          <w:i/>
        </w:rPr>
        <w:t xml:space="preserve"> </w:t>
      </w:r>
      <w:r w:rsidR="0049453B">
        <w:rPr>
          <w:i/>
        </w:rPr>
        <w:t>s</w:t>
      </w:r>
      <w:r w:rsidRPr="00D418CE">
        <w:rPr>
          <w:i/>
        </w:rPr>
        <w:t>upport document</w:t>
      </w:r>
      <w:r>
        <w:t>.</w:t>
      </w:r>
      <w:r w:rsidRPr="00FA4E2D">
        <w:t xml:space="preserve"> It can be accessed from NCVER’s website &lt;http://www.ncver.edu.au</w:t>
      </w:r>
      <w:r>
        <w:t>/publications/</w:t>
      </w:r>
      <w:r w:rsidR="007A3811" w:rsidRPr="007A3811">
        <w:t>2513</w:t>
      </w:r>
      <w:r w:rsidRPr="007A3811">
        <w:t>.</w:t>
      </w:r>
      <w:r>
        <w:t>html&gt;</w:t>
      </w:r>
      <w:r w:rsidRPr="00FA4E2D">
        <w:t>.</w:t>
      </w:r>
    </w:p>
    <w:p w:rsidR="00FF5931" w:rsidRDefault="00FF5931" w:rsidP="00233BFA">
      <w:pPr>
        <w:pStyle w:val="Imprint"/>
        <w:rPr>
          <w:sz w:val="19"/>
          <w:szCs w:val="19"/>
        </w:rPr>
      </w:pPr>
    </w:p>
    <w:p w:rsidR="009E231A" w:rsidRPr="00C77DC6" w:rsidRDefault="00DA6447" w:rsidP="0049453B">
      <w:pPr>
        <w:pStyle w:val="Abouttheresearch"/>
      </w:pPr>
      <w:r>
        <w:pict>
          <v:shape id="_x0000_s1038" type="#_x0000_t202" style="position:absolute;margin-left:0;margin-top:215.7pt;width:378.45pt;height:403.5pt;z-index:251657728;v-text-anchor:bottom" filled="f" stroked="f">
            <v:textbox style="mso-next-textbox:#_x0000_s1038" inset="0,,0">
              <w:txbxContent>
                <w:p w:rsidR="003929D8" w:rsidRPr="007A3811" w:rsidRDefault="003929D8" w:rsidP="007A3811">
                  <w:pPr>
                    <w:pStyle w:val="Imprint"/>
                    <w:rPr>
                      <w:b/>
                    </w:rPr>
                  </w:pPr>
                  <w:r w:rsidRPr="007A3811">
                    <w:rPr>
                      <w:b/>
                    </w:rPr>
                    <w:t>© Commonwealth of Australia, 2012</w:t>
                  </w:r>
                </w:p>
                <w:p w:rsidR="003929D8" w:rsidRPr="007A3811" w:rsidRDefault="003929D8" w:rsidP="007A3811">
                  <w:pPr>
                    <w:pStyle w:val="Imprint"/>
                  </w:pPr>
                  <w:r w:rsidRPr="007A3811">
                    <w:t xml:space="preserve"> </w:t>
                  </w:r>
                  <w:r w:rsidR="00E16176">
                    <w:rPr>
                      <w:noProof/>
                      <w:szCs w:val="16"/>
                      <w:lang w:eastAsia="en-AU"/>
                    </w:rPr>
                    <w:drawing>
                      <wp:inline distT="0" distB="0" distL="0" distR="0">
                        <wp:extent cx="838200" cy="295275"/>
                        <wp:effectExtent l="19050" t="0" r="0" b="0"/>
                        <wp:docPr id="1" name="licensebutton" descr="Creative Commons Licens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censebutton" descr="Creative Commons License">
                                  <a:hlinkClick r:id="rId9"/>
                                </pic:cNvPr>
                                <pic:cNvPicPr>
                                  <a:picLocks noChangeAspect="1" noChangeArrowheads="1"/>
                                </pic:cNvPicPr>
                              </pic:nvPicPr>
                              <pic:blipFill>
                                <a:blip r:embed="rId10"/>
                                <a:srcRect/>
                                <a:stretch>
                                  <a:fillRect/>
                                </a:stretch>
                              </pic:blipFill>
                              <pic:spPr bwMode="auto">
                                <a:xfrm>
                                  <a:off x="0" y="0"/>
                                  <a:ext cx="838200" cy="295275"/>
                                </a:xfrm>
                                <a:prstGeom prst="rect">
                                  <a:avLst/>
                                </a:prstGeom>
                                <a:noFill/>
                                <a:ln w="9525">
                                  <a:noFill/>
                                  <a:miter lim="800000"/>
                                  <a:headEnd/>
                                  <a:tailEnd/>
                                </a:ln>
                              </pic:spPr>
                            </pic:pic>
                          </a:graphicData>
                        </a:graphic>
                      </wp:inline>
                    </w:drawing>
                  </w:r>
                  <w:r w:rsidRPr="007A3811">
                    <w:t xml:space="preserve"> </w:t>
                  </w:r>
                </w:p>
                <w:p w:rsidR="003929D8" w:rsidRPr="007A3811" w:rsidRDefault="003929D8" w:rsidP="007A3811">
                  <w:pPr>
                    <w:pStyle w:val="Imprint"/>
                  </w:pPr>
                  <w:r w:rsidRPr="007A3811">
                    <w:t xml:space="preserve">With the exception of the Commonwealth Coat of Arms, the Department’s logo, any material protected by a trade mark and where otherwise noted all material presented in this document is provided under a Creative Commons Attribution 3.0 Australia &lt;http://creativecommons.org/licenses/by/3.0/au&gt; licence. </w:t>
                  </w:r>
                </w:p>
                <w:p w:rsidR="003929D8" w:rsidRPr="007A3811" w:rsidRDefault="003929D8" w:rsidP="002F2967">
                  <w:pPr>
                    <w:pStyle w:val="Imprint"/>
                    <w:spacing w:before="80"/>
                  </w:pPr>
                  <w:r w:rsidRPr="007A3811">
                    <w:t>The details of the relevant licence conditions are available on the Creative Commons website (accessible using the links provided) as is the full legal code for the CC BY 3.0 AU licence &lt;http://creativecommons.org/licenses/by/3.0/legalcode&gt;.</w:t>
                  </w:r>
                </w:p>
                <w:p w:rsidR="003929D8" w:rsidRPr="007A3811" w:rsidRDefault="003929D8" w:rsidP="002F2967">
                  <w:pPr>
                    <w:pStyle w:val="Imprint"/>
                    <w:spacing w:before="80"/>
                  </w:pPr>
                  <w:r w:rsidRPr="007A3811">
                    <w:t>The Creative Commons licence conditions do not apply to all logos, graphic design, artwork and photographs. Requests and enquiries concerning other reproduction and rights should be directed to the</w:t>
                  </w:r>
                  <w:r>
                    <w:t> </w:t>
                  </w:r>
                  <w:r w:rsidRPr="007A3811">
                    <w:t>National Centre for Vocational Education Research (NCVER).</w:t>
                  </w:r>
                </w:p>
                <w:p w:rsidR="003929D8" w:rsidRPr="007A3811" w:rsidRDefault="003929D8" w:rsidP="002F2967">
                  <w:pPr>
                    <w:pStyle w:val="Imprint"/>
                    <w:spacing w:before="80"/>
                  </w:pPr>
                  <w:r w:rsidRPr="007A3811">
                    <w:t xml:space="preserve">This document should be attributed as </w:t>
                  </w:r>
                  <w:r>
                    <w:t>Hargreaves, J 2012</w:t>
                  </w:r>
                  <w:r w:rsidRPr="007A3811">
                    <w:t xml:space="preserve">, </w:t>
                  </w:r>
                  <w:r w:rsidRPr="007A3811">
                    <w:rPr>
                      <w:i/>
                    </w:rPr>
                    <w:t xml:space="preserve">Assessing the impact of research: a case study of the LSAY Research Innovation </w:t>
                  </w:r>
                  <w:r>
                    <w:rPr>
                      <w:i/>
                    </w:rPr>
                    <w:t xml:space="preserve">and </w:t>
                  </w:r>
                  <w:r w:rsidRPr="007A3811">
                    <w:rPr>
                      <w:i/>
                    </w:rPr>
                    <w:t>Expansion Fund</w:t>
                  </w:r>
                  <w:r w:rsidRPr="007A3811">
                    <w:t>, NCVER, Adelaide.</w:t>
                  </w:r>
                </w:p>
                <w:p w:rsidR="003929D8" w:rsidRPr="007A3811" w:rsidRDefault="003929D8" w:rsidP="0073773B">
                  <w:pPr>
                    <w:pStyle w:val="Imprint"/>
                  </w:pPr>
                  <w:r w:rsidRPr="007A3811">
                    <w:t xml:space="preserve">This work has been produced by NCVER through the Longitudinal Surveys of Australian Youth (LSAY) Program, on behalf of the Australian Government and state and territory governments, with funding provided through the Australian Department of Education, Employment and Workplace Relations. </w:t>
                  </w:r>
                </w:p>
                <w:p w:rsidR="003929D8" w:rsidRPr="007A3811" w:rsidRDefault="003929D8" w:rsidP="002F2967">
                  <w:pPr>
                    <w:pStyle w:val="Imprint"/>
                    <w:spacing w:before="80"/>
                  </w:pPr>
                  <w:r w:rsidRPr="007A3811">
                    <w:t>The views and opinions expressed in this document are those of author and do not necessarily reflect the views of the Australian Government or state and territory governments.</w:t>
                  </w:r>
                </w:p>
                <w:p w:rsidR="003929D8" w:rsidRDefault="003929D8" w:rsidP="0073773B">
                  <w:pPr>
                    <w:pStyle w:val="Imprint"/>
                    <w:rPr>
                      <w:color w:val="000000"/>
                    </w:rPr>
                  </w:pPr>
                  <w:r w:rsidRPr="005C2FCF">
                    <w:rPr>
                      <w:color w:val="000000"/>
                    </w:rPr>
                    <w:t>ISBN</w:t>
                  </w:r>
                  <w:r w:rsidRPr="005C2FCF">
                    <w:rPr>
                      <w:color w:val="000000"/>
                    </w:rPr>
                    <w:tab/>
                  </w:r>
                  <w:r w:rsidRPr="007A3811">
                    <w:rPr>
                      <w:color w:val="000000"/>
                    </w:rPr>
                    <w:t>978 1 922056 16 0</w:t>
                  </w:r>
                  <w:r>
                    <w:rPr>
                      <w:color w:val="000000"/>
                    </w:rPr>
                    <w:t xml:space="preserve"> </w:t>
                  </w:r>
                </w:p>
                <w:p w:rsidR="003929D8" w:rsidRPr="005C2FCF" w:rsidRDefault="003929D8" w:rsidP="0073773B">
                  <w:pPr>
                    <w:pStyle w:val="Imprint"/>
                    <w:spacing w:before="0"/>
                    <w:rPr>
                      <w:color w:val="000000"/>
                    </w:rPr>
                  </w:pPr>
                  <w:r w:rsidRPr="005C2FCF">
                    <w:rPr>
                      <w:color w:val="000000"/>
                    </w:rPr>
                    <w:t>TD/TNC</w:t>
                  </w:r>
                  <w:r w:rsidRPr="005C2FCF">
                    <w:rPr>
                      <w:color w:val="000000"/>
                    </w:rPr>
                    <w:tab/>
                  </w:r>
                  <w:r>
                    <w:rPr>
                      <w:color w:val="000000"/>
                    </w:rPr>
                    <w:t>109.06</w:t>
                  </w:r>
                </w:p>
                <w:p w:rsidR="003929D8" w:rsidRPr="005C2FCF" w:rsidRDefault="003929D8" w:rsidP="002F2967">
                  <w:pPr>
                    <w:pStyle w:val="Imprint"/>
                    <w:spacing w:before="80"/>
                    <w:rPr>
                      <w:color w:val="000000"/>
                    </w:rPr>
                  </w:pPr>
                  <w:r w:rsidRPr="005C2FCF">
                    <w:rPr>
                      <w:color w:val="000000"/>
                    </w:rPr>
                    <w:t>Published by NCVER</w:t>
                  </w:r>
                  <w:r>
                    <w:rPr>
                      <w:color w:val="000000"/>
                    </w:rPr>
                    <w:t xml:space="preserve">, </w:t>
                  </w:r>
                  <w:r w:rsidRPr="005C2FCF">
                    <w:rPr>
                      <w:color w:val="000000"/>
                    </w:rPr>
                    <w:t>ABN 87 007 967 311</w:t>
                  </w:r>
                </w:p>
                <w:p w:rsidR="003929D8" w:rsidRPr="005C2FCF" w:rsidRDefault="003929D8" w:rsidP="002F2967">
                  <w:pPr>
                    <w:pStyle w:val="Imprint"/>
                    <w:spacing w:before="80"/>
                    <w:rPr>
                      <w:color w:val="000000"/>
                    </w:rPr>
                  </w:pPr>
                  <w:r w:rsidRPr="005C2FCF">
                    <w:rPr>
                      <w:color w:val="000000"/>
                    </w:rPr>
                    <w:t>Level 11, 33 King William Street, Adelaide SA 5000</w:t>
                  </w:r>
                  <w:r w:rsidRPr="005C2FCF">
                    <w:rPr>
                      <w:color w:val="000000"/>
                    </w:rPr>
                    <w:br/>
                    <w:t>PO Box 8288 Station Arcade, Adelaide SA 5000, Australia</w:t>
                  </w:r>
                </w:p>
                <w:p w:rsidR="003929D8" w:rsidRPr="00541B94" w:rsidRDefault="003929D8" w:rsidP="002F2967">
                  <w:pPr>
                    <w:pStyle w:val="Imprint"/>
                    <w:spacing w:before="80"/>
                    <w:rPr>
                      <w:color w:val="000000"/>
                    </w:rPr>
                  </w:pPr>
                  <w:r w:rsidRPr="002F2967">
                    <w:rPr>
                      <w:b/>
                      <w:color w:val="000000"/>
                    </w:rPr>
                    <w:t>P</w:t>
                  </w:r>
                  <w:r w:rsidRPr="005C2FCF">
                    <w:rPr>
                      <w:color w:val="000000"/>
                    </w:rPr>
                    <w:t xml:space="preserve"> +61 8 8230 8400 </w:t>
                  </w:r>
                  <w:r>
                    <w:rPr>
                      <w:color w:val="000000"/>
                    </w:rPr>
                    <w:t xml:space="preserve">  </w:t>
                  </w:r>
                  <w:r w:rsidRPr="002F2967">
                    <w:rPr>
                      <w:b/>
                      <w:color w:val="000000"/>
                    </w:rPr>
                    <w:t>F</w:t>
                  </w:r>
                  <w:r w:rsidRPr="005C2FCF">
                    <w:rPr>
                      <w:color w:val="000000"/>
                    </w:rPr>
                    <w:t xml:space="preserve"> +61 8 8212 3436</w:t>
                  </w:r>
                  <w:r>
                    <w:rPr>
                      <w:color w:val="000000"/>
                    </w:rPr>
                    <w:t xml:space="preserve">   </w:t>
                  </w:r>
                  <w:r w:rsidRPr="002F2967">
                    <w:rPr>
                      <w:b/>
                      <w:color w:val="000000"/>
                    </w:rPr>
                    <w:t>E</w:t>
                  </w:r>
                  <w:r w:rsidRPr="005C2FCF">
                    <w:rPr>
                      <w:color w:val="000000"/>
                    </w:rPr>
                    <w:t xml:space="preserve"> </w:t>
                  </w:r>
                  <w:hyperlink r:id="rId11" w:history="1">
                    <w:r w:rsidRPr="00441898">
                      <w:rPr>
                        <w:rStyle w:val="Hyperlink"/>
                        <w:sz w:val="16"/>
                      </w:rPr>
                      <w:t>ncver@ncver.edu.au</w:t>
                    </w:r>
                  </w:hyperlink>
                  <w:r>
                    <w:rPr>
                      <w:color w:val="000000"/>
                    </w:rPr>
                    <w:t xml:space="preserve">   </w:t>
                  </w:r>
                  <w:r w:rsidRPr="002F2967">
                    <w:rPr>
                      <w:b/>
                      <w:color w:val="000000"/>
                    </w:rPr>
                    <w:t>W</w:t>
                  </w:r>
                  <w:r>
                    <w:rPr>
                      <w:color w:val="000000"/>
                    </w:rPr>
                    <w:t xml:space="preserve"> </w:t>
                  </w:r>
                  <w:r w:rsidRPr="005C2FCF">
                    <w:rPr>
                      <w:color w:val="000000"/>
                    </w:rPr>
                    <w:t>&lt;http://www.ncver.edu.au&gt;</w:t>
                  </w:r>
                  <w:r>
                    <w:rPr>
                      <w:color w:val="000000"/>
                    </w:rPr>
                    <w:t xml:space="preserve"> </w:t>
                  </w:r>
                </w:p>
              </w:txbxContent>
            </v:textbox>
          </v:shape>
        </w:pict>
      </w:r>
      <w:r w:rsidR="00FE4A2D" w:rsidRPr="005C2FCF">
        <w:br w:type="page"/>
      </w:r>
      <w:bookmarkStart w:id="4" w:name="_Toc73766312"/>
      <w:bookmarkStart w:id="5" w:name="_Toc77937774"/>
      <w:bookmarkStart w:id="6" w:name="_Toc80174750"/>
      <w:bookmarkStart w:id="7" w:name="_Toc81560506"/>
      <w:bookmarkStart w:id="8" w:name="_Toc82071799"/>
      <w:bookmarkStart w:id="9" w:name="_Toc82151754"/>
      <w:bookmarkStart w:id="10" w:name="_Toc82498260"/>
      <w:bookmarkStart w:id="11" w:name="_Toc86829097"/>
      <w:bookmarkStart w:id="12" w:name="_Toc89226248"/>
      <w:bookmarkStart w:id="13" w:name="_Toc89240893"/>
      <w:bookmarkStart w:id="14" w:name="_Toc98394875"/>
      <w:bookmarkStart w:id="15" w:name="_Toc296423679"/>
      <w:bookmarkStart w:id="16" w:name="_Toc296497510"/>
      <w:r w:rsidR="00FE4A2D" w:rsidRPr="005C2FCF">
        <w:lastRenderedPageBreak/>
        <w:t>About the research</w:t>
      </w:r>
      <w:bookmarkEnd w:id="4"/>
      <w:bookmarkEnd w:id="5"/>
      <w:bookmarkEnd w:id="6"/>
      <w:bookmarkEnd w:id="7"/>
      <w:bookmarkEnd w:id="8"/>
      <w:bookmarkEnd w:id="9"/>
      <w:bookmarkEnd w:id="10"/>
      <w:bookmarkEnd w:id="11"/>
      <w:bookmarkEnd w:id="12"/>
      <w:bookmarkEnd w:id="13"/>
      <w:bookmarkEnd w:id="14"/>
      <w:bookmarkEnd w:id="15"/>
      <w:bookmarkEnd w:id="16"/>
    </w:p>
    <w:p w:rsidR="001B43CF" w:rsidRDefault="004C15E4" w:rsidP="00F93048">
      <w:pPr>
        <w:pStyle w:val="Abouttheresearchpubtitle"/>
      </w:pPr>
      <w:bookmarkStart w:id="17" w:name="_Toc98394877"/>
      <w:r>
        <w:t xml:space="preserve">Assessing the impact of research: a case study of the </w:t>
      </w:r>
      <w:r w:rsidR="006D7A72">
        <w:t xml:space="preserve">LSAY </w:t>
      </w:r>
      <w:r>
        <w:t>Research Innovation and Expansion Fund</w:t>
      </w:r>
    </w:p>
    <w:p w:rsidR="009E231A" w:rsidRPr="001B43CF" w:rsidRDefault="004C15E4" w:rsidP="00874DA5">
      <w:pPr>
        <w:pStyle w:val="Heading3"/>
      </w:pPr>
      <w:bookmarkStart w:id="18" w:name="_Toc296423681"/>
      <w:bookmarkStart w:id="19" w:name="_Toc296497512"/>
      <w:r>
        <w:t>Jo Hargreaves,</w:t>
      </w:r>
      <w:r w:rsidR="00FE4A2D" w:rsidRPr="005C2FCF">
        <w:t xml:space="preserve"> </w:t>
      </w:r>
      <w:bookmarkEnd w:id="17"/>
      <w:bookmarkEnd w:id="18"/>
      <w:bookmarkEnd w:id="19"/>
      <w:r>
        <w:t>N</w:t>
      </w:r>
      <w:r w:rsidR="0073773B">
        <w:t xml:space="preserve">ational </w:t>
      </w:r>
      <w:r>
        <w:t>C</w:t>
      </w:r>
      <w:r w:rsidR="0073773B">
        <w:t xml:space="preserve">entre for </w:t>
      </w:r>
      <w:r>
        <w:t>V</w:t>
      </w:r>
      <w:r w:rsidR="0073773B">
        <w:t xml:space="preserve">ocational </w:t>
      </w:r>
      <w:r>
        <w:t>E</w:t>
      </w:r>
      <w:r w:rsidR="0073773B">
        <w:t xml:space="preserve">ducation </w:t>
      </w:r>
      <w:r>
        <w:t>R</w:t>
      </w:r>
      <w:r w:rsidR="0073773B">
        <w:t>esearch</w:t>
      </w:r>
    </w:p>
    <w:p w:rsidR="009E231A" w:rsidRPr="00921FDF" w:rsidRDefault="00F527E1" w:rsidP="00921FDF">
      <w:pPr>
        <w:pStyle w:val="Text"/>
      </w:pPr>
      <w:r>
        <w:t xml:space="preserve">The purpose of this project is to apply the </w:t>
      </w:r>
      <w:r w:rsidR="00474563">
        <w:t>framework</w:t>
      </w:r>
      <w:r>
        <w:t xml:space="preserve"> </w:t>
      </w:r>
      <w:r w:rsidR="002F16D0">
        <w:t xml:space="preserve">developed by the </w:t>
      </w:r>
      <w:r w:rsidR="0073773B">
        <w:t>National Centre for Vocational Education Research (</w:t>
      </w:r>
      <w:r w:rsidR="00C036A7">
        <w:t>NCVER</w:t>
      </w:r>
      <w:r w:rsidR="0073773B">
        <w:t>)</w:t>
      </w:r>
      <w:r w:rsidR="00C036A7">
        <w:t xml:space="preserve"> </w:t>
      </w:r>
      <w:r>
        <w:t xml:space="preserve">for </w:t>
      </w:r>
      <w:r w:rsidR="007700A8">
        <w:t>measuring</w:t>
      </w:r>
      <w:r w:rsidR="00921FDF">
        <w:t xml:space="preserve"> research impact </w:t>
      </w:r>
      <w:r w:rsidR="007700A8">
        <w:t xml:space="preserve">to assess the outcomes </w:t>
      </w:r>
      <w:r w:rsidR="00316E0B">
        <w:t>of</w:t>
      </w:r>
      <w:r w:rsidR="00333C33">
        <w:t xml:space="preserve"> </w:t>
      </w:r>
      <w:r w:rsidR="00316E0B">
        <w:t xml:space="preserve">the </w:t>
      </w:r>
      <w:r w:rsidR="00333C33">
        <w:t xml:space="preserve">research and activities </w:t>
      </w:r>
      <w:r>
        <w:t>funded under the Longitudinal Surveys of Australian Youth (LSAY) Research Innovati</w:t>
      </w:r>
      <w:r w:rsidR="006C427E">
        <w:t xml:space="preserve">on and Expansion Fund (RIEF). </w:t>
      </w:r>
      <w:r w:rsidR="006D6F38" w:rsidRPr="006D6F38">
        <w:t xml:space="preserve">LSAY provides a rich source of information </w:t>
      </w:r>
      <w:r w:rsidR="00C560CF">
        <w:t>about</w:t>
      </w:r>
      <w:r w:rsidR="006D6F38" w:rsidRPr="006D6F38">
        <w:t xml:space="preserve"> young people and their transitions from sch</w:t>
      </w:r>
      <w:r w:rsidR="00126B95">
        <w:t>ool to post-school destinations</w:t>
      </w:r>
      <w:r w:rsidR="006D6F38">
        <w:t>.</w:t>
      </w:r>
      <w:r w:rsidR="006D6F38">
        <w:rPr>
          <w:rFonts w:ascii="Arial" w:hAnsi="Arial" w:cs="Arial"/>
          <w:color w:val="4D463E"/>
        </w:rPr>
        <w:t xml:space="preserve"> </w:t>
      </w:r>
      <w:r w:rsidR="002C65B1">
        <w:t xml:space="preserve">The purpose of the </w:t>
      </w:r>
      <w:r w:rsidR="006D7A72">
        <w:t>Research Innovation and Expansion Fund</w:t>
      </w:r>
      <w:r w:rsidR="002C65B1">
        <w:t xml:space="preserve"> was to </w:t>
      </w:r>
      <w:r w:rsidR="00316E0B">
        <w:t xml:space="preserve">facilitate an </w:t>
      </w:r>
      <w:r w:rsidR="002C65B1">
        <w:t xml:space="preserve">increase </w:t>
      </w:r>
      <w:r w:rsidR="00316E0B">
        <w:t xml:space="preserve">in </w:t>
      </w:r>
      <w:r w:rsidR="002C65B1">
        <w:t>the quantity, quality, distribution and accessibility of youth transitions research a</w:t>
      </w:r>
      <w:r w:rsidR="00A459B4">
        <w:t xml:space="preserve">nd analysis using LSAY data </w:t>
      </w:r>
      <w:r w:rsidR="002C65B1">
        <w:t>in the academic and public policy communities.</w:t>
      </w:r>
      <w:r w:rsidR="002C65B1" w:rsidRPr="00921FDF">
        <w:t xml:space="preserve"> </w:t>
      </w:r>
      <w:r w:rsidR="00316E0B">
        <w:t>The R</w:t>
      </w:r>
      <w:r w:rsidR="003929D8">
        <w:t>IE</w:t>
      </w:r>
      <w:r w:rsidR="00316E0B">
        <w:t>F</w:t>
      </w:r>
      <w:r w:rsidR="00D13B4F" w:rsidRPr="00921FDF">
        <w:t xml:space="preserve"> </w:t>
      </w:r>
      <w:r w:rsidR="002C65B1">
        <w:t>involved a variety of activities</w:t>
      </w:r>
      <w:r w:rsidR="00A459B4">
        <w:t>,</w:t>
      </w:r>
      <w:r w:rsidR="002C65B1">
        <w:t xml:space="preserve"> including </w:t>
      </w:r>
      <w:r w:rsidR="00333C33">
        <w:t>a</w:t>
      </w:r>
      <w:r w:rsidR="002C65B1">
        <w:t xml:space="preserve"> </w:t>
      </w:r>
      <w:r w:rsidR="00596960">
        <w:t>competitive</w:t>
      </w:r>
      <w:r w:rsidR="006C427E">
        <w:t xml:space="preserve"> research grants program and </w:t>
      </w:r>
      <w:r w:rsidR="002C65B1">
        <w:t>a fellowship</w:t>
      </w:r>
      <w:r w:rsidR="00316E0B">
        <w:t>, and</w:t>
      </w:r>
      <w:r w:rsidR="00482F98">
        <w:t xml:space="preserve"> has led to</w:t>
      </w:r>
      <w:r w:rsidR="006C427E">
        <w:t xml:space="preserve"> the publication of six research reports</w:t>
      </w:r>
      <w:r w:rsidR="002C65B1">
        <w:t xml:space="preserve">, a national youth policy forum and data workshops. </w:t>
      </w:r>
    </w:p>
    <w:p w:rsidR="009E231A" w:rsidRPr="005C2FCF" w:rsidRDefault="00FE4A2D" w:rsidP="0049453B">
      <w:pPr>
        <w:pStyle w:val="Keymessages"/>
      </w:pPr>
      <w:bookmarkStart w:id="20" w:name="_Toc98394878"/>
      <w:bookmarkStart w:id="21" w:name="_Toc296423682"/>
      <w:bookmarkStart w:id="22" w:name="_Toc296497513"/>
      <w:r w:rsidRPr="00CC3DB2">
        <w:t>Key messages</w:t>
      </w:r>
      <w:bookmarkEnd w:id="20"/>
      <w:bookmarkEnd w:id="21"/>
      <w:bookmarkEnd w:id="22"/>
    </w:p>
    <w:p w:rsidR="00CD6AAD" w:rsidRDefault="00A459B4" w:rsidP="002F2967">
      <w:pPr>
        <w:pStyle w:val="Dotpoint1"/>
      </w:pPr>
      <w:r>
        <w:t>The purpose of the fund —</w:t>
      </w:r>
      <w:r w:rsidR="00333C33">
        <w:t xml:space="preserve"> to </w:t>
      </w:r>
      <w:r w:rsidR="00C560CF">
        <w:t xml:space="preserve">expand </w:t>
      </w:r>
      <w:r>
        <w:t xml:space="preserve">the use of </w:t>
      </w:r>
      <w:r w:rsidRPr="002F2967">
        <w:t>LSAY</w:t>
      </w:r>
      <w:r>
        <w:t xml:space="preserve"> data —</w:t>
      </w:r>
      <w:r w:rsidR="00333C33">
        <w:t xml:space="preserve"> was </w:t>
      </w:r>
      <w:r w:rsidR="007700A8">
        <w:t>achieved through</w:t>
      </w:r>
      <w:r w:rsidR="00CD6AAD">
        <w:t>:</w:t>
      </w:r>
    </w:p>
    <w:p w:rsidR="00CD6AAD" w:rsidRPr="002F2967" w:rsidRDefault="00C9664D" w:rsidP="002F2967">
      <w:pPr>
        <w:pStyle w:val="Dotpoint2"/>
      </w:pPr>
      <w:r>
        <w:t>providing</w:t>
      </w:r>
      <w:r w:rsidR="00CC3DB2">
        <w:t xml:space="preserve"> a </w:t>
      </w:r>
      <w:r w:rsidR="00333C33">
        <w:t>number of</w:t>
      </w:r>
      <w:r w:rsidR="00CC3DB2">
        <w:t xml:space="preserve"> researchers with the opportunity to undertake projects using LSAY </w:t>
      </w:r>
      <w:r w:rsidR="007700A8">
        <w:t>data</w:t>
      </w:r>
      <w:r w:rsidR="00266B83">
        <w:t xml:space="preserve">, </w:t>
      </w:r>
      <w:r w:rsidR="007700A8">
        <w:t>many for the first time</w:t>
      </w:r>
      <w:r w:rsidR="00A459B4">
        <w:t>,</w:t>
      </w:r>
      <w:r w:rsidR="00650EA1">
        <w:t xml:space="preserve"> and </w:t>
      </w:r>
      <w:r w:rsidR="007700A8">
        <w:t>developing their</w:t>
      </w:r>
      <w:r>
        <w:t xml:space="preserve"> skills to </w:t>
      </w:r>
      <w:r w:rsidRPr="002F2967">
        <w:t>subsequently engage</w:t>
      </w:r>
      <w:r w:rsidR="00CD6AAD" w:rsidRPr="002F2967">
        <w:t xml:space="preserve"> in other</w:t>
      </w:r>
      <w:r w:rsidR="00B67DA1" w:rsidRPr="002F2967">
        <w:t xml:space="preserve"> projects </w:t>
      </w:r>
      <w:r w:rsidR="00126B95" w:rsidRPr="002F2967">
        <w:t>using LSAY data</w:t>
      </w:r>
    </w:p>
    <w:p w:rsidR="00C9664D" w:rsidRPr="002F2967" w:rsidRDefault="00C9664D" w:rsidP="002F2967">
      <w:pPr>
        <w:pStyle w:val="Dotpoint2"/>
      </w:pPr>
      <w:r w:rsidRPr="002F2967">
        <w:t xml:space="preserve">extending the awareness of LSAY data to </w:t>
      </w:r>
      <w:r w:rsidR="00CC3DB2" w:rsidRPr="002F2967">
        <w:t>national and international research communities</w:t>
      </w:r>
    </w:p>
    <w:p w:rsidR="00126B95" w:rsidRPr="002F2967" w:rsidRDefault="00333C33" w:rsidP="002F2967">
      <w:pPr>
        <w:pStyle w:val="Dotpoint2"/>
      </w:pPr>
      <w:r w:rsidRPr="002F2967">
        <w:t>imparting</w:t>
      </w:r>
      <w:r w:rsidR="00C9664D" w:rsidRPr="002F2967">
        <w:t xml:space="preserve"> end-users</w:t>
      </w:r>
      <w:r w:rsidR="00CC3DB2" w:rsidRPr="002F2967">
        <w:t xml:space="preserve"> with </w:t>
      </w:r>
      <w:r w:rsidRPr="002F2967">
        <w:t xml:space="preserve">the </w:t>
      </w:r>
      <w:r w:rsidR="00C9664D" w:rsidRPr="002F2967">
        <w:t>knowledge</w:t>
      </w:r>
      <w:r w:rsidR="00CC3DB2" w:rsidRPr="002F2967">
        <w:t xml:space="preserve"> </w:t>
      </w:r>
      <w:r w:rsidR="00C9664D" w:rsidRPr="002F2967">
        <w:t>and awarenes</w:t>
      </w:r>
      <w:r w:rsidR="00126B95" w:rsidRPr="002F2967">
        <w:t>s of how LSAY data can be used</w:t>
      </w:r>
    </w:p>
    <w:p w:rsidR="00C9664D" w:rsidRDefault="00A459B4" w:rsidP="002F2967">
      <w:pPr>
        <w:pStyle w:val="Dotpoint2"/>
      </w:pPr>
      <w:r w:rsidRPr="002F2967">
        <w:t>disseminating</w:t>
      </w:r>
      <w:r w:rsidR="00126B95" w:rsidRPr="002F2967">
        <w:t xml:space="preserve"> research </w:t>
      </w:r>
      <w:r w:rsidR="00C9664D" w:rsidRPr="002F2967">
        <w:t>to a wide range of policy and practi</w:t>
      </w:r>
      <w:r w:rsidR="00C9664D">
        <w:t>tioner networks</w:t>
      </w:r>
      <w:r w:rsidR="00C9664D" w:rsidRPr="00CC3DB2">
        <w:t xml:space="preserve">. </w:t>
      </w:r>
    </w:p>
    <w:p w:rsidR="00C9664D" w:rsidRPr="00FE01EA" w:rsidRDefault="00333C33" w:rsidP="00C9664D">
      <w:pPr>
        <w:pStyle w:val="Dotpoint1"/>
      </w:pPr>
      <w:r>
        <w:t xml:space="preserve">The results of the fund have proved useful to key stakeholders. </w:t>
      </w:r>
      <w:r w:rsidR="00BD426F">
        <w:t xml:space="preserve">In terms of direct evidence </w:t>
      </w:r>
      <w:r w:rsidR="007700A8">
        <w:t xml:space="preserve">of </w:t>
      </w:r>
      <w:r w:rsidR="00A459B4">
        <w:t xml:space="preserve">the </w:t>
      </w:r>
      <w:r w:rsidR="007700A8">
        <w:t xml:space="preserve">impact </w:t>
      </w:r>
      <w:r w:rsidR="00BD426F">
        <w:t>on policy</w:t>
      </w:r>
      <w:r w:rsidR="00A459B4">
        <w:t>,</w:t>
      </w:r>
      <w:r w:rsidR="00BD426F">
        <w:t xml:space="preserve"> one of the research reports</w:t>
      </w:r>
      <w:r w:rsidR="00C9664D">
        <w:t xml:space="preserve"> </w:t>
      </w:r>
      <w:r w:rsidR="00BD426F">
        <w:t xml:space="preserve">was cited </w:t>
      </w:r>
      <w:r w:rsidR="00C9664D">
        <w:t xml:space="preserve">in </w:t>
      </w:r>
      <w:r w:rsidR="00C560CF">
        <w:t xml:space="preserve">a </w:t>
      </w:r>
      <w:r w:rsidR="007700A8">
        <w:t>p</w:t>
      </w:r>
      <w:r w:rsidR="00C9664D">
        <w:t>arliamentary legislation</w:t>
      </w:r>
      <w:r w:rsidR="00C560CF">
        <w:t xml:space="preserve"> amendment bill</w:t>
      </w:r>
      <w:r w:rsidR="00BD426F">
        <w:t xml:space="preserve">. </w:t>
      </w:r>
      <w:r w:rsidR="00126B95">
        <w:t xml:space="preserve">Research was also used to validate </w:t>
      </w:r>
      <w:r w:rsidR="00BD426F">
        <w:t xml:space="preserve">initiatives already underway or </w:t>
      </w:r>
      <w:r w:rsidR="00126B95">
        <w:t>to inform</w:t>
      </w:r>
      <w:r w:rsidR="00BD426F">
        <w:t xml:space="preserve"> </w:t>
      </w:r>
      <w:r w:rsidR="007700A8">
        <w:t xml:space="preserve">the </w:t>
      </w:r>
      <w:r w:rsidR="00BD426F">
        <w:t xml:space="preserve">establishment of new </w:t>
      </w:r>
      <w:r>
        <w:t>programs</w:t>
      </w:r>
      <w:r w:rsidR="00C9664D">
        <w:t>.</w:t>
      </w:r>
    </w:p>
    <w:p w:rsidR="006C427E" w:rsidRDefault="00BD426F" w:rsidP="00482F98">
      <w:pPr>
        <w:pStyle w:val="Text"/>
      </w:pPr>
      <w:r>
        <w:t xml:space="preserve">This study reinforces </w:t>
      </w:r>
      <w:r w:rsidR="007700A8">
        <w:t xml:space="preserve">the point that the interplay between research and policy </w:t>
      </w:r>
      <w:r w:rsidR="00363DAF">
        <w:t xml:space="preserve">is </w:t>
      </w:r>
      <w:r w:rsidR="00C560CF">
        <w:t>complex</w:t>
      </w:r>
      <w:r w:rsidR="007700A8">
        <w:t>.</w:t>
      </w:r>
      <w:r>
        <w:t xml:space="preserve"> </w:t>
      </w:r>
      <w:r w:rsidR="007700A8">
        <w:t>Nevertheless</w:t>
      </w:r>
      <w:r w:rsidR="00482F98">
        <w:t>,</w:t>
      </w:r>
      <w:r>
        <w:t xml:space="preserve"> </w:t>
      </w:r>
      <w:r w:rsidR="007700A8">
        <w:t>in this case</w:t>
      </w:r>
      <w:r w:rsidR="00A459B4">
        <w:t>,</w:t>
      </w:r>
      <w:r w:rsidR="007700A8">
        <w:t xml:space="preserve"> </w:t>
      </w:r>
      <w:r w:rsidR="00126B95">
        <w:t xml:space="preserve">connections between policy, practice and research </w:t>
      </w:r>
      <w:r>
        <w:t xml:space="preserve">have been strengthened as a result of the </w:t>
      </w:r>
      <w:r w:rsidR="00A459B4">
        <w:t>Research Innovation and Expansion Fund</w:t>
      </w:r>
      <w:r>
        <w:t xml:space="preserve">. </w:t>
      </w:r>
      <w:r w:rsidR="00333C33">
        <w:t xml:space="preserve">This study </w:t>
      </w:r>
      <w:r w:rsidR="00482F98">
        <w:t xml:space="preserve">also </w:t>
      </w:r>
      <w:r w:rsidR="00333C33">
        <w:t>confirms</w:t>
      </w:r>
      <w:r w:rsidR="00C560CF">
        <w:t xml:space="preserve"> the effectiveness of </w:t>
      </w:r>
      <w:r>
        <w:t xml:space="preserve">NCVER </w:t>
      </w:r>
      <w:r w:rsidR="00316E0B">
        <w:t xml:space="preserve">processes for the </w:t>
      </w:r>
      <w:r w:rsidR="007700A8">
        <w:t>dissemination of research</w:t>
      </w:r>
      <w:r>
        <w:t xml:space="preserve">. We note the importance of a media release </w:t>
      </w:r>
      <w:r w:rsidR="00B70796" w:rsidRPr="00CC3DB2">
        <w:t>for immediate impact.</w:t>
      </w:r>
      <w:r>
        <w:t xml:space="preserve"> </w:t>
      </w:r>
      <w:r w:rsidR="00482F98">
        <w:t>Policy forums an</w:t>
      </w:r>
      <w:r w:rsidR="00A459B4">
        <w:t>d engaging directly with policy-</w:t>
      </w:r>
      <w:r w:rsidR="00482F98">
        <w:t xml:space="preserve">makers and other stakeholders can </w:t>
      </w:r>
      <w:r w:rsidR="00A459B4">
        <w:t>also play a very positive part</w:t>
      </w:r>
      <w:r w:rsidR="00482F98">
        <w:t>.</w:t>
      </w:r>
    </w:p>
    <w:p w:rsidR="00126B95" w:rsidRDefault="00126B95" w:rsidP="006C427E">
      <w:pPr>
        <w:pStyle w:val="Text"/>
      </w:pPr>
    </w:p>
    <w:p w:rsidR="009E231A" w:rsidRPr="005C2FCF" w:rsidRDefault="00FE4A2D" w:rsidP="006C427E">
      <w:pPr>
        <w:pStyle w:val="Text"/>
      </w:pPr>
      <w:r w:rsidRPr="005C2FCF">
        <w:t>Tom Karmel</w:t>
      </w:r>
      <w:r w:rsidRPr="005C2FCF">
        <w:br/>
        <w:t>Managing Director, NCVER</w:t>
      </w:r>
    </w:p>
    <w:p w:rsidR="00177827" w:rsidRDefault="00177827">
      <w:pPr>
        <w:spacing w:before="0" w:line="240" w:lineRule="auto"/>
      </w:pPr>
    </w:p>
    <w:p w:rsidR="002F2967" w:rsidRDefault="00126B95" w:rsidP="00874DA5">
      <w:pPr>
        <w:pStyle w:val="Contents"/>
        <w:sectPr w:rsidR="002F2967" w:rsidSect="00F60BA5">
          <w:footerReference w:type="even" r:id="rId12"/>
          <w:footerReference w:type="default" r:id="rId13"/>
          <w:pgSz w:w="11907" w:h="16840" w:code="9"/>
          <w:pgMar w:top="1276" w:right="1701" w:bottom="1276" w:left="1418" w:header="709" w:footer="556" w:gutter="0"/>
          <w:cols w:space="708"/>
          <w:docGrid w:linePitch="360"/>
        </w:sectPr>
      </w:pPr>
      <w:bookmarkStart w:id="23" w:name="_Toc98394880"/>
      <w:bookmarkStart w:id="24" w:name="_Toc296423683"/>
      <w:bookmarkStart w:id="25" w:name="_Toc296497514"/>
      <w:r>
        <w:br w:type="page"/>
      </w:r>
    </w:p>
    <w:p w:rsidR="009E231A" w:rsidRPr="00DC5F5C" w:rsidRDefault="00FE4A2D" w:rsidP="00874DA5">
      <w:pPr>
        <w:pStyle w:val="Contents"/>
      </w:pPr>
      <w:r w:rsidRPr="00DC5F5C">
        <w:lastRenderedPageBreak/>
        <w:t>Contents</w:t>
      </w:r>
      <w:bookmarkEnd w:id="23"/>
      <w:bookmarkEnd w:id="24"/>
      <w:bookmarkEnd w:id="25"/>
    </w:p>
    <w:p w:rsidR="000B27B7" w:rsidRDefault="00DA6447">
      <w:pPr>
        <w:pStyle w:val="TOC1"/>
        <w:rPr>
          <w:rFonts w:ascii="Calibri" w:hAnsi="Calibri"/>
          <w:color w:val="auto"/>
          <w:sz w:val="22"/>
          <w:szCs w:val="22"/>
          <w:lang w:eastAsia="en-AU"/>
        </w:rPr>
      </w:pPr>
      <w:r w:rsidRPr="00DA6447">
        <w:rPr>
          <w:rFonts w:ascii="Avant Garde" w:hAnsi="Avant Garde"/>
        </w:rPr>
        <w:fldChar w:fldCharType="begin"/>
      </w:r>
      <w:r w:rsidR="00FE4A2D" w:rsidRPr="009775C7">
        <w:rPr>
          <w:rFonts w:ascii="Avant Garde" w:hAnsi="Avant Garde"/>
        </w:rPr>
        <w:instrText xml:space="preserve"> TOC \o "1-2" </w:instrText>
      </w:r>
      <w:r w:rsidRPr="00DA6447">
        <w:rPr>
          <w:rFonts w:ascii="Avant Garde" w:hAnsi="Avant Garde"/>
        </w:rPr>
        <w:fldChar w:fldCharType="separate"/>
      </w:r>
      <w:r w:rsidR="000B27B7">
        <w:t>Tables</w:t>
      </w:r>
      <w:r w:rsidR="000B27B7">
        <w:tab/>
      </w:r>
      <w:r w:rsidR="000B27B7">
        <w:fldChar w:fldCharType="begin"/>
      </w:r>
      <w:r w:rsidR="000B27B7">
        <w:instrText xml:space="preserve"> PAGEREF _Toc329613246 \h </w:instrText>
      </w:r>
      <w:r w:rsidR="000B27B7">
        <w:fldChar w:fldCharType="separate"/>
      </w:r>
      <w:r w:rsidR="003604F3">
        <w:t>6</w:t>
      </w:r>
      <w:r w:rsidR="000B27B7">
        <w:fldChar w:fldCharType="end"/>
      </w:r>
    </w:p>
    <w:p w:rsidR="000B27B7" w:rsidRDefault="000B27B7">
      <w:pPr>
        <w:pStyle w:val="TOC1"/>
        <w:rPr>
          <w:rFonts w:ascii="Calibri" w:hAnsi="Calibri"/>
          <w:color w:val="auto"/>
          <w:sz w:val="22"/>
          <w:szCs w:val="22"/>
          <w:lang w:eastAsia="en-AU"/>
        </w:rPr>
      </w:pPr>
      <w:r>
        <w:t>Introduction</w:t>
      </w:r>
      <w:r>
        <w:tab/>
      </w:r>
      <w:r>
        <w:fldChar w:fldCharType="begin"/>
      </w:r>
      <w:r>
        <w:instrText xml:space="preserve"> PAGEREF _Toc329613247 \h </w:instrText>
      </w:r>
      <w:r>
        <w:fldChar w:fldCharType="separate"/>
      </w:r>
      <w:r w:rsidR="003604F3">
        <w:t>7</w:t>
      </w:r>
      <w:r>
        <w:fldChar w:fldCharType="end"/>
      </w:r>
    </w:p>
    <w:p w:rsidR="000B27B7" w:rsidRDefault="000B27B7">
      <w:pPr>
        <w:pStyle w:val="TOC1"/>
        <w:rPr>
          <w:rFonts w:ascii="Calibri" w:hAnsi="Calibri"/>
          <w:color w:val="auto"/>
          <w:sz w:val="22"/>
          <w:szCs w:val="22"/>
          <w:lang w:eastAsia="en-AU"/>
        </w:rPr>
      </w:pPr>
      <w:r>
        <w:t>About LSAY and the Research Innovation and Expansion Fund</w:t>
      </w:r>
      <w:r>
        <w:tab/>
      </w:r>
      <w:r>
        <w:fldChar w:fldCharType="begin"/>
      </w:r>
      <w:r>
        <w:instrText xml:space="preserve"> PAGEREF _Toc329613248 \h </w:instrText>
      </w:r>
      <w:r>
        <w:fldChar w:fldCharType="separate"/>
      </w:r>
      <w:r w:rsidR="003604F3">
        <w:t>8</w:t>
      </w:r>
      <w:r>
        <w:fldChar w:fldCharType="end"/>
      </w:r>
    </w:p>
    <w:p w:rsidR="000B27B7" w:rsidRDefault="000B27B7">
      <w:pPr>
        <w:pStyle w:val="TOC2"/>
        <w:rPr>
          <w:rFonts w:ascii="Calibri" w:hAnsi="Calibri"/>
          <w:color w:val="auto"/>
          <w:sz w:val="22"/>
          <w:szCs w:val="22"/>
          <w:lang w:eastAsia="en-AU"/>
        </w:rPr>
      </w:pPr>
      <w:r>
        <w:t>Competitive research analysis grants program</w:t>
      </w:r>
      <w:r>
        <w:tab/>
      </w:r>
      <w:r>
        <w:fldChar w:fldCharType="begin"/>
      </w:r>
      <w:r>
        <w:instrText xml:space="preserve"> PAGEREF _Toc329613249 \h </w:instrText>
      </w:r>
      <w:r>
        <w:fldChar w:fldCharType="separate"/>
      </w:r>
      <w:r w:rsidR="003604F3">
        <w:t>9</w:t>
      </w:r>
      <w:r>
        <w:fldChar w:fldCharType="end"/>
      </w:r>
    </w:p>
    <w:p w:rsidR="000B27B7" w:rsidRDefault="000B27B7">
      <w:pPr>
        <w:pStyle w:val="TOC2"/>
        <w:rPr>
          <w:rFonts w:ascii="Calibri" w:hAnsi="Calibri"/>
          <w:color w:val="auto"/>
          <w:sz w:val="22"/>
          <w:szCs w:val="22"/>
          <w:lang w:eastAsia="en-AU"/>
        </w:rPr>
      </w:pPr>
      <w:r>
        <w:t>Fellowship for a new career researcher</w:t>
      </w:r>
      <w:r>
        <w:tab/>
      </w:r>
      <w:r>
        <w:fldChar w:fldCharType="begin"/>
      </w:r>
      <w:r>
        <w:instrText xml:space="preserve"> PAGEREF _Toc329613250 \h </w:instrText>
      </w:r>
      <w:r>
        <w:fldChar w:fldCharType="separate"/>
      </w:r>
      <w:r w:rsidR="003604F3">
        <w:t>9</w:t>
      </w:r>
      <w:r>
        <w:fldChar w:fldCharType="end"/>
      </w:r>
    </w:p>
    <w:p w:rsidR="000B27B7" w:rsidRDefault="000B27B7">
      <w:pPr>
        <w:pStyle w:val="TOC2"/>
        <w:rPr>
          <w:rFonts w:ascii="Calibri" w:hAnsi="Calibri"/>
          <w:color w:val="auto"/>
          <w:sz w:val="22"/>
          <w:szCs w:val="22"/>
          <w:lang w:eastAsia="en-AU"/>
        </w:rPr>
      </w:pPr>
      <w:r>
        <w:t>Youth policy forum</w:t>
      </w:r>
      <w:r>
        <w:tab/>
      </w:r>
      <w:r>
        <w:fldChar w:fldCharType="begin"/>
      </w:r>
      <w:r>
        <w:instrText xml:space="preserve"> PAGEREF _Toc329613251 \h </w:instrText>
      </w:r>
      <w:r>
        <w:fldChar w:fldCharType="separate"/>
      </w:r>
      <w:r w:rsidR="003604F3">
        <w:t>9</w:t>
      </w:r>
      <w:r>
        <w:fldChar w:fldCharType="end"/>
      </w:r>
    </w:p>
    <w:p w:rsidR="000B27B7" w:rsidRDefault="000B27B7">
      <w:pPr>
        <w:pStyle w:val="TOC2"/>
        <w:rPr>
          <w:rFonts w:ascii="Calibri" w:hAnsi="Calibri"/>
          <w:color w:val="auto"/>
          <w:sz w:val="22"/>
          <w:szCs w:val="22"/>
          <w:lang w:eastAsia="en-AU"/>
        </w:rPr>
      </w:pPr>
      <w:r>
        <w:t>Longitudinal data workshops</w:t>
      </w:r>
      <w:r>
        <w:tab/>
      </w:r>
      <w:r>
        <w:fldChar w:fldCharType="begin"/>
      </w:r>
      <w:r>
        <w:instrText xml:space="preserve"> PAGEREF _Toc329613252 \h </w:instrText>
      </w:r>
      <w:r>
        <w:fldChar w:fldCharType="separate"/>
      </w:r>
      <w:r w:rsidR="003604F3">
        <w:t>10</w:t>
      </w:r>
      <w:r>
        <w:fldChar w:fldCharType="end"/>
      </w:r>
    </w:p>
    <w:p w:rsidR="000B27B7" w:rsidRDefault="000B27B7">
      <w:pPr>
        <w:pStyle w:val="TOC2"/>
        <w:rPr>
          <w:rFonts w:ascii="Calibri" w:hAnsi="Calibri"/>
          <w:color w:val="auto"/>
          <w:sz w:val="22"/>
          <w:szCs w:val="22"/>
          <w:lang w:eastAsia="en-AU"/>
        </w:rPr>
      </w:pPr>
      <w:r>
        <w:t>LSAY data access</w:t>
      </w:r>
      <w:r>
        <w:tab/>
      </w:r>
      <w:r>
        <w:fldChar w:fldCharType="begin"/>
      </w:r>
      <w:r>
        <w:instrText xml:space="preserve"> PAGEREF _Toc329613253 \h </w:instrText>
      </w:r>
      <w:r>
        <w:fldChar w:fldCharType="separate"/>
      </w:r>
      <w:r w:rsidR="003604F3">
        <w:t>10</w:t>
      </w:r>
      <w:r>
        <w:fldChar w:fldCharType="end"/>
      </w:r>
    </w:p>
    <w:p w:rsidR="000B27B7" w:rsidRDefault="000B27B7">
      <w:pPr>
        <w:pStyle w:val="TOC2"/>
        <w:rPr>
          <w:rFonts w:ascii="Calibri" w:hAnsi="Calibri"/>
          <w:color w:val="auto"/>
          <w:sz w:val="22"/>
          <w:szCs w:val="22"/>
          <w:lang w:eastAsia="en-AU"/>
        </w:rPr>
      </w:pPr>
      <w:r>
        <w:t>LSAY research reference guide</w:t>
      </w:r>
      <w:r>
        <w:tab/>
      </w:r>
      <w:r>
        <w:fldChar w:fldCharType="begin"/>
      </w:r>
      <w:r>
        <w:instrText xml:space="preserve"> PAGEREF _Toc329613254 \h </w:instrText>
      </w:r>
      <w:r>
        <w:fldChar w:fldCharType="separate"/>
      </w:r>
      <w:r w:rsidR="003604F3">
        <w:t>10</w:t>
      </w:r>
      <w:r>
        <w:fldChar w:fldCharType="end"/>
      </w:r>
    </w:p>
    <w:p w:rsidR="000B27B7" w:rsidRDefault="000B27B7">
      <w:pPr>
        <w:pStyle w:val="TOC1"/>
        <w:rPr>
          <w:rFonts w:ascii="Calibri" w:hAnsi="Calibri"/>
          <w:color w:val="auto"/>
          <w:sz w:val="22"/>
          <w:szCs w:val="22"/>
          <w:lang w:eastAsia="en-AU"/>
        </w:rPr>
      </w:pPr>
      <w:r>
        <w:t>Methodology</w:t>
      </w:r>
      <w:r>
        <w:tab/>
      </w:r>
      <w:r>
        <w:fldChar w:fldCharType="begin"/>
      </w:r>
      <w:r>
        <w:instrText xml:space="preserve"> PAGEREF _Toc329613255 \h </w:instrText>
      </w:r>
      <w:r>
        <w:fldChar w:fldCharType="separate"/>
      </w:r>
      <w:r w:rsidR="003604F3">
        <w:t>11</w:t>
      </w:r>
      <w:r>
        <w:fldChar w:fldCharType="end"/>
      </w:r>
    </w:p>
    <w:p w:rsidR="000B27B7" w:rsidRDefault="000B27B7">
      <w:pPr>
        <w:pStyle w:val="TOC2"/>
        <w:rPr>
          <w:rFonts w:ascii="Calibri" w:hAnsi="Calibri"/>
          <w:color w:val="auto"/>
          <w:sz w:val="22"/>
          <w:szCs w:val="22"/>
          <w:lang w:eastAsia="en-AU"/>
        </w:rPr>
      </w:pPr>
      <w:r>
        <w:t>Caveats</w:t>
      </w:r>
      <w:r>
        <w:tab/>
      </w:r>
      <w:r>
        <w:fldChar w:fldCharType="begin"/>
      </w:r>
      <w:r>
        <w:instrText xml:space="preserve"> PAGEREF _Toc329613256 \h </w:instrText>
      </w:r>
      <w:r>
        <w:fldChar w:fldCharType="separate"/>
      </w:r>
      <w:r w:rsidR="003604F3">
        <w:t>12</w:t>
      </w:r>
      <w:r>
        <w:fldChar w:fldCharType="end"/>
      </w:r>
    </w:p>
    <w:p w:rsidR="000B27B7" w:rsidRDefault="000B27B7">
      <w:pPr>
        <w:pStyle w:val="TOC1"/>
        <w:rPr>
          <w:rFonts w:ascii="Calibri" w:hAnsi="Calibri"/>
          <w:color w:val="auto"/>
          <w:sz w:val="22"/>
          <w:szCs w:val="22"/>
          <w:lang w:eastAsia="en-AU"/>
        </w:rPr>
      </w:pPr>
      <w:r>
        <w:t>Findings</w:t>
      </w:r>
      <w:r>
        <w:tab/>
      </w:r>
      <w:r>
        <w:fldChar w:fldCharType="begin"/>
      </w:r>
      <w:r>
        <w:instrText xml:space="preserve"> PAGEREF _Toc329613257 \h </w:instrText>
      </w:r>
      <w:r>
        <w:fldChar w:fldCharType="separate"/>
      </w:r>
      <w:r w:rsidR="003604F3">
        <w:t>13</w:t>
      </w:r>
      <w:r>
        <w:fldChar w:fldCharType="end"/>
      </w:r>
    </w:p>
    <w:p w:rsidR="000B27B7" w:rsidRDefault="000B27B7">
      <w:pPr>
        <w:pStyle w:val="TOC2"/>
        <w:rPr>
          <w:rFonts w:ascii="Calibri" w:hAnsi="Calibri"/>
          <w:color w:val="auto"/>
          <w:sz w:val="22"/>
          <w:szCs w:val="22"/>
          <w:lang w:eastAsia="en-AU"/>
        </w:rPr>
      </w:pPr>
      <w:r>
        <w:t>Knowledge production</w:t>
      </w:r>
      <w:r>
        <w:tab/>
      </w:r>
      <w:r>
        <w:fldChar w:fldCharType="begin"/>
      </w:r>
      <w:r>
        <w:instrText xml:space="preserve"> PAGEREF _Toc329613258 \h </w:instrText>
      </w:r>
      <w:r>
        <w:fldChar w:fldCharType="separate"/>
      </w:r>
      <w:r w:rsidR="003604F3">
        <w:t>14</w:t>
      </w:r>
      <w:r>
        <w:fldChar w:fldCharType="end"/>
      </w:r>
    </w:p>
    <w:p w:rsidR="000B27B7" w:rsidRDefault="000B27B7">
      <w:pPr>
        <w:pStyle w:val="TOC2"/>
        <w:rPr>
          <w:rFonts w:ascii="Calibri" w:hAnsi="Calibri"/>
          <w:color w:val="auto"/>
          <w:sz w:val="22"/>
          <w:szCs w:val="22"/>
          <w:lang w:eastAsia="en-AU"/>
        </w:rPr>
      </w:pPr>
      <w:r>
        <w:t>Capacity building</w:t>
      </w:r>
      <w:r>
        <w:tab/>
      </w:r>
      <w:r>
        <w:fldChar w:fldCharType="begin"/>
      </w:r>
      <w:r>
        <w:instrText xml:space="preserve"> PAGEREF _Toc329613259 \h </w:instrText>
      </w:r>
      <w:r>
        <w:fldChar w:fldCharType="separate"/>
      </w:r>
      <w:r w:rsidR="003604F3">
        <w:t>18</w:t>
      </w:r>
      <w:r>
        <w:fldChar w:fldCharType="end"/>
      </w:r>
    </w:p>
    <w:p w:rsidR="000B27B7" w:rsidRDefault="000B27B7">
      <w:pPr>
        <w:pStyle w:val="TOC2"/>
        <w:rPr>
          <w:rFonts w:ascii="Calibri" w:hAnsi="Calibri"/>
          <w:color w:val="auto"/>
          <w:sz w:val="22"/>
          <w:szCs w:val="22"/>
          <w:lang w:eastAsia="en-AU"/>
        </w:rPr>
      </w:pPr>
      <w:r>
        <w:t>Contributing to policy</w:t>
      </w:r>
      <w:r>
        <w:tab/>
      </w:r>
      <w:r>
        <w:fldChar w:fldCharType="begin"/>
      </w:r>
      <w:r>
        <w:instrText xml:space="preserve"> PAGEREF _Toc329613260 \h </w:instrText>
      </w:r>
      <w:r>
        <w:fldChar w:fldCharType="separate"/>
      </w:r>
      <w:r w:rsidR="003604F3">
        <w:t>19</w:t>
      </w:r>
      <w:r>
        <w:fldChar w:fldCharType="end"/>
      </w:r>
    </w:p>
    <w:p w:rsidR="000B27B7" w:rsidRDefault="000B27B7">
      <w:pPr>
        <w:pStyle w:val="TOC2"/>
        <w:rPr>
          <w:rFonts w:ascii="Calibri" w:hAnsi="Calibri"/>
          <w:color w:val="auto"/>
          <w:sz w:val="22"/>
          <w:szCs w:val="22"/>
          <w:lang w:eastAsia="en-AU"/>
        </w:rPr>
      </w:pPr>
      <w:r>
        <w:t>Contributing to practice</w:t>
      </w:r>
      <w:r>
        <w:tab/>
      </w:r>
      <w:r>
        <w:fldChar w:fldCharType="begin"/>
      </w:r>
      <w:r>
        <w:instrText xml:space="preserve"> PAGEREF _Toc329613261 \h </w:instrText>
      </w:r>
      <w:r>
        <w:fldChar w:fldCharType="separate"/>
      </w:r>
      <w:r w:rsidR="003604F3">
        <w:t>20</w:t>
      </w:r>
      <w:r>
        <w:fldChar w:fldCharType="end"/>
      </w:r>
    </w:p>
    <w:p w:rsidR="000B27B7" w:rsidRDefault="000B27B7">
      <w:pPr>
        <w:pStyle w:val="TOC1"/>
        <w:rPr>
          <w:rFonts w:ascii="Calibri" w:hAnsi="Calibri"/>
          <w:color w:val="auto"/>
          <w:sz w:val="22"/>
          <w:szCs w:val="22"/>
          <w:lang w:eastAsia="en-AU"/>
        </w:rPr>
      </w:pPr>
      <w:r>
        <w:t>Conclusion</w:t>
      </w:r>
      <w:r>
        <w:tab/>
      </w:r>
      <w:r>
        <w:fldChar w:fldCharType="begin"/>
      </w:r>
      <w:r>
        <w:instrText xml:space="preserve"> PAGEREF _Toc329613262 \h </w:instrText>
      </w:r>
      <w:r>
        <w:fldChar w:fldCharType="separate"/>
      </w:r>
      <w:r w:rsidR="003604F3">
        <w:t>22</w:t>
      </w:r>
      <w:r>
        <w:fldChar w:fldCharType="end"/>
      </w:r>
    </w:p>
    <w:p w:rsidR="000B27B7" w:rsidRDefault="000B27B7">
      <w:pPr>
        <w:pStyle w:val="TOC1"/>
        <w:rPr>
          <w:rFonts w:ascii="Calibri" w:hAnsi="Calibri"/>
          <w:color w:val="auto"/>
          <w:sz w:val="22"/>
          <w:szCs w:val="22"/>
          <w:lang w:eastAsia="en-AU"/>
        </w:rPr>
      </w:pPr>
      <w:r>
        <w:t>References</w:t>
      </w:r>
      <w:r>
        <w:tab/>
      </w:r>
      <w:r>
        <w:fldChar w:fldCharType="begin"/>
      </w:r>
      <w:r>
        <w:instrText xml:space="preserve"> PAGEREF _Toc329613263 \h </w:instrText>
      </w:r>
      <w:r>
        <w:fldChar w:fldCharType="separate"/>
      </w:r>
      <w:r w:rsidR="003604F3">
        <w:t>24</w:t>
      </w:r>
      <w:r>
        <w:fldChar w:fldCharType="end"/>
      </w:r>
    </w:p>
    <w:p w:rsidR="000B27B7" w:rsidRDefault="000B27B7">
      <w:pPr>
        <w:pStyle w:val="TOC1"/>
        <w:rPr>
          <w:rFonts w:ascii="Calibri" w:hAnsi="Calibri"/>
          <w:color w:val="auto"/>
          <w:sz w:val="22"/>
          <w:szCs w:val="22"/>
          <w:lang w:eastAsia="en-AU"/>
        </w:rPr>
      </w:pPr>
      <w:r>
        <w:t>Appendix A: data workshops</w:t>
      </w:r>
      <w:r>
        <w:tab/>
      </w:r>
      <w:r>
        <w:fldChar w:fldCharType="begin"/>
      </w:r>
      <w:r>
        <w:instrText xml:space="preserve"> PAGEREF _Toc329613264 \h </w:instrText>
      </w:r>
      <w:r>
        <w:fldChar w:fldCharType="separate"/>
      </w:r>
      <w:r w:rsidR="003604F3">
        <w:t>25</w:t>
      </w:r>
      <w:r>
        <w:fldChar w:fldCharType="end"/>
      </w:r>
    </w:p>
    <w:p w:rsidR="000B27B7" w:rsidRDefault="000B27B7">
      <w:pPr>
        <w:pStyle w:val="TOC1"/>
        <w:rPr>
          <w:rFonts w:ascii="Calibri" w:hAnsi="Calibri"/>
          <w:color w:val="auto"/>
          <w:sz w:val="22"/>
          <w:szCs w:val="22"/>
          <w:lang w:eastAsia="en-AU"/>
        </w:rPr>
      </w:pPr>
      <w:r>
        <w:t>Support document details</w:t>
      </w:r>
      <w:r>
        <w:tab/>
      </w:r>
      <w:r>
        <w:fldChar w:fldCharType="begin"/>
      </w:r>
      <w:r>
        <w:instrText xml:space="preserve"> PAGEREF _Toc329613265 \h </w:instrText>
      </w:r>
      <w:r>
        <w:fldChar w:fldCharType="separate"/>
      </w:r>
      <w:r w:rsidR="003604F3">
        <w:t>26</w:t>
      </w:r>
      <w:r>
        <w:fldChar w:fldCharType="end"/>
      </w:r>
    </w:p>
    <w:p w:rsidR="004E7227" w:rsidRDefault="00DA6447" w:rsidP="0048643A">
      <w:pPr>
        <w:pStyle w:val="Text"/>
      </w:pPr>
      <w:r w:rsidRPr="009775C7">
        <w:fldChar w:fldCharType="end"/>
      </w:r>
    </w:p>
    <w:p w:rsidR="004E7227" w:rsidRDefault="004E7227" w:rsidP="00146751">
      <w:pPr>
        <w:pStyle w:val="Heading1"/>
      </w:pPr>
      <w:r>
        <w:br w:type="page"/>
      </w:r>
      <w:bookmarkStart w:id="26" w:name="_Toc329613246"/>
      <w:r>
        <w:lastRenderedPageBreak/>
        <w:t>Tables</w:t>
      </w:r>
      <w:bookmarkEnd w:id="26"/>
      <w:r>
        <w:t xml:space="preserve"> </w:t>
      </w:r>
    </w:p>
    <w:p w:rsidR="000B27B7" w:rsidRDefault="00DA6447">
      <w:pPr>
        <w:pStyle w:val="TableofFigures"/>
        <w:tabs>
          <w:tab w:val="left" w:pos="880"/>
        </w:tabs>
        <w:rPr>
          <w:rFonts w:ascii="Calibri" w:hAnsi="Calibri"/>
          <w:color w:val="auto"/>
          <w:sz w:val="22"/>
          <w:szCs w:val="22"/>
          <w:lang w:eastAsia="en-AU"/>
        </w:rPr>
      </w:pPr>
      <w:r w:rsidRPr="00DA6447">
        <w:fldChar w:fldCharType="begin"/>
      </w:r>
      <w:r w:rsidR="004E7227">
        <w:instrText xml:space="preserve"> TOC \f F \t "tabletitle" \c </w:instrText>
      </w:r>
      <w:r w:rsidRPr="00DA6447">
        <w:fldChar w:fldCharType="separate"/>
      </w:r>
      <w:r w:rsidR="000B27B7">
        <w:t>1</w:t>
      </w:r>
      <w:r w:rsidR="000B27B7">
        <w:rPr>
          <w:rFonts w:ascii="Calibri" w:hAnsi="Calibri"/>
          <w:color w:val="auto"/>
          <w:sz w:val="22"/>
          <w:szCs w:val="22"/>
          <w:lang w:eastAsia="en-AU"/>
        </w:rPr>
        <w:tab/>
      </w:r>
      <w:r w:rsidR="000B27B7">
        <w:t>Researchers and end-users interviewed</w:t>
      </w:r>
      <w:r w:rsidR="000B27B7">
        <w:tab/>
      </w:r>
      <w:r w:rsidR="000B27B7">
        <w:fldChar w:fldCharType="begin"/>
      </w:r>
      <w:r w:rsidR="000B27B7">
        <w:instrText xml:space="preserve"> PAGEREF _Toc329613282 \h </w:instrText>
      </w:r>
      <w:r w:rsidR="000B27B7">
        <w:fldChar w:fldCharType="separate"/>
      </w:r>
      <w:r w:rsidR="003604F3">
        <w:t>12</w:t>
      </w:r>
      <w:r w:rsidR="000B27B7">
        <w:fldChar w:fldCharType="end"/>
      </w:r>
    </w:p>
    <w:p w:rsidR="000B27B7" w:rsidRDefault="000B27B7">
      <w:pPr>
        <w:pStyle w:val="TableofFigures"/>
        <w:tabs>
          <w:tab w:val="left" w:pos="880"/>
        </w:tabs>
        <w:rPr>
          <w:rFonts w:ascii="Calibri" w:hAnsi="Calibri"/>
          <w:color w:val="auto"/>
          <w:sz w:val="22"/>
          <w:szCs w:val="22"/>
          <w:lang w:eastAsia="en-AU"/>
        </w:rPr>
      </w:pPr>
      <w:r>
        <w:t>2</w:t>
      </w:r>
      <w:r>
        <w:rPr>
          <w:rFonts w:ascii="Calibri" w:hAnsi="Calibri"/>
          <w:color w:val="auto"/>
          <w:sz w:val="22"/>
          <w:szCs w:val="22"/>
          <w:lang w:eastAsia="en-AU"/>
        </w:rPr>
        <w:tab/>
      </w:r>
      <w:r>
        <w:t>Overall summary of impacts across the six research reports</w:t>
      </w:r>
      <w:r>
        <w:tab/>
      </w:r>
      <w:r>
        <w:fldChar w:fldCharType="begin"/>
      </w:r>
      <w:r>
        <w:instrText xml:space="preserve"> PAGEREF _Toc329613283 \h </w:instrText>
      </w:r>
      <w:r>
        <w:fldChar w:fldCharType="separate"/>
      </w:r>
      <w:r w:rsidR="003604F3">
        <w:t>13</w:t>
      </w:r>
      <w:r>
        <w:fldChar w:fldCharType="end"/>
      </w:r>
    </w:p>
    <w:p w:rsidR="000B27B7" w:rsidRDefault="000B27B7">
      <w:pPr>
        <w:pStyle w:val="TableofFigures"/>
        <w:tabs>
          <w:tab w:val="left" w:pos="880"/>
        </w:tabs>
        <w:rPr>
          <w:rFonts w:ascii="Calibri" w:hAnsi="Calibri"/>
          <w:color w:val="auto"/>
          <w:sz w:val="22"/>
          <w:szCs w:val="22"/>
          <w:lang w:eastAsia="en-AU"/>
        </w:rPr>
      </w:pPr>
      <w:r>
        <w:t>3</w:t>
      </w:r>
      <w:r>
        <w:rPr>
          <w:rFonts w:ascii="Calibri" w:hAnsi="Calibri"/>
          <w:color w:val="auto"/>
          <w:sz w:val="22"/>
          <w:szCs w:val="22"/>
          <w:lang w:eastAsia="en-AU"/>
        </w:rPr>
        <w:tab/>
      </w:r>
      <w:r>
        <w:t>Summary of citations across the RIEF research reports</w:t>
      </w:r>
      <w:r>
        <w:tab/>
      </w:r>
      <w:r>
        <w:fldChar w:fldCharType="begin"/>
      </w:r>
      <w:r>
        <w:instrText xml:space="preserve"> PAGEREF _Toc329613285 \h </w:instrText>
      </w:r>
      <w:r>
        <w:fldChar w:fldCharType="separate"/>
      </w:r>
      <w:r w:rsidR="003604F3">
        <w:t>15</w:t>
      </w:r>
      <w:r>
        <w:fldChar w:fldCharType="end"/>
      </w:r>
    </w:p>
    <w:p w:rsidR="000B27B7" w:rsidRDefault="000B27B7">
      <w:pPr>
        <w:pStyle w:val="TableofFigures"/>
        <w:tabs>
          <w:tab w:val="left" w:pos="880"/>
        </w:tabs>
        <w:rPr>
          <w:rFonts w:ascii="Calibri" w:hAnsi="Calibri"/>
          <w:color w:val="auto"/>
          <w:sz w:val="22"/>
          <w:szCs w:val="22"/>
          <w:lang w:eastAsia="en-AU"/>
        </w:rPr>
      </w:pPr>
      <w:r>
        <w:t>4</w:t>
      </w:r>
      <w:r>
        <w:rPr>
          <w:rFonts w:ascii="Calibri" w:hAnsi="Calibri"/>
          <w:color w:val="auto"/>
          <w:sz w:val="22"/>
          <w:szCs w:val="22"/>
          <w:lang w:eastAsia="en-AU"/>
        </w:rPr>
        <w:tab/>
      </w:r>
      <w:r>
        <w:t>Google Analytics top four RIEF publications</w:t>
      </w:r>
      <w:r>
        <w:tab/>
      </w:r>
      <w:r>
        <w:fldChar w:fldCharType="begin"/>
      </w:r>
      <w:r>
        <w:instrText xml:space="preserve"> PAGEREF _Toc329613286 \h </w:instrText>
      </w:r>
      <w:r>
        <w:fldChar w:fldCharType="separate"/>
      </w:r>
      <w:r w:rsidR="003604F3">
        <w:t>17</w:t>
      </w:r>
      <w:r>
        <w:fldChar w:fldCharType="end"/>
      </w:r>
    </w:p>
    <w:p w:rsidR="000B27B7" w:rsidRDefault="000B27B7">
      <w:pPr>
        <w:pStyle w:val="TableofFigures"/>
        <w:tabs>
          <w:tab w:val="left" w:pos="880"/>
        </w:tabs>
        <w:rPr>
          <w:rFonts w:ascii="Calibri" w:hAnsi="Calibri"/>
          <w:color w:val="auto"/>
          <w:sz w:val="22"/>
          <w:szCs w:val="22"/>
          <w:lang w:eastAsia="en-AU"/>
        </w:rPr>
      </w:pPr>
      <w:r>
        <w:t>5</w:t>
      </w:r>
      <w:r>
        <w:rPr>
          <w:rFonts w:ascii="Calibri" w:hAnsi="Calibri"/>
          <w:color w:val="auto"/>
          <w:sz w:val="22"/>
          <w:szCs w:val="22"/>
          <w:lang w:eastAsia="en-AU"/>
        </w:rPr>
        <w:tab/>
      </w:r>
      <w:r>
        <w:t>Importance to impact of various types of dissemination</w:t>
      </w:r>
      <w:r>
        <w:tab/>
      </w:r>
      <w:r>
        <w:fldChar w:fldCharType="begin"/>
      </w:r>
      <w:r>
        <w:instrText xml:space="preserve"> PAGEREF _Toc329613287 \h </w:instrText>
      </w:r>
      <w:r>
        <w:fldChar w:fldCharType="separate"/>
      </w:r>
      <w:r w:rsidR="003604F3">
        <w:t>17</w:t>
      </w:r>
      <w:r>
        <w:fldChar w:fldCharType="end"/>
      </w:r>
    </w:p>
    <w:p w:rsidR="004E7227" w:rsidRDefault="00DA6447" w:rsidP="002A285F">
      <w:pPr>
        <w:pStyle w:val="Heading2"/>
      </w:pPr>
      <w:r>
        <w:fldChar w:fldCharType="end"/>
      </w:r>
    </w:p>
    <w:p w:rsidR="009E231A" w:rsidRPr="005C2FCF" w:rsidRDefault="00A93867" w:rsidP="00146751">
      <w:pPr>
        <w:pStyle w:val="Heading1"/>
      </w:pPr>
      <w:r w:rsidRPr="00A93867">
        <w:rPr>
          <w:b/>
        </w:rPr>
        <w:br w:type="page"/>
      </w:r>
      <w:bookmarkStart w:id="27" w:name="_Toc329613247"/>
      <w:r w:rsidR="00423371">
        <w:lastRenderedPageBreak/>
        <w:t>Introduction</w:t>
      </w:r>
      <w:bookmarkEnd w:id="27"/>
    </w:p>
    <w:p w:rsidR="00883B0F" w:rsidRDefault="00824556" w:rsidP="0073773B">
      <w:pPr>
        <w:pStyle w:val="Text"/>
        <w:ind w:right="141"/>
      </w:pPr>
      <w:r>
        <w:t xml:space="preserve">The National Centre for Vocational Education Research (NCVER) is committed to ensuring </w:t>
      </w:r>
      <w:r w:rsidR="00946F3E">
        <w:t xml:space="preserve">that </w:t>
      </w:r>
      <w:r>
        <w:t>its research</w:t>
      </w:r>
      <w:r w:rsidR="00C560CF">
        <w:t xml:space="preserve"> informs</w:t>
      </w:r>
      <w:r w:rsidR="00946F3E">
        <w:t xml:space="preserve"> </w:t>
      </w:r>
      <w:r>
        <w:t>policy and practice in the tertiary education sector.</w:t>
      </w:r>
      <w:r w:rsidR="00333C33">
        <w:t xml:space="preserve"> </w:t>
      </w:r>
      <w:r w:rsidR="00883B0F">
        <w:t xml:space="preserve">In 2008 </w:t>
      </w:r>
      <w:r w:rsidR="00946F3E">
        <w:t>the organisation</w:t>
      </w:r>
      <w:r w:rsidR="00883B0F">
        <w:t xml:space="preserve"> undertook a study on </w:t>
      </w:r>
      <w:r w:rsidR="00316E0B">
        <w:t xml:space="preserve">the </w:t>
      </w:r>
      <w:r w:rsidR="00883B0F">
        <w:t>impact</w:t>
      </w:r>
      <w:r w:rsidR="00316E0B" w:rsidRPr="00316E0B">
        <w:t xml:space="preserve"> </w:t>
      </w:r>
      <w:r w:rsidR="00316E0B">
        <w:t>of its research</w:t>
      </w:r>
      <w:r w:rsidR="0073773B">
        <w:t xml:space="preserve"> (Stanwick, Hargreaves &amp; Beddie 2009)</w:t>
      </w:r>
      <w:r w:rsidR="00883B0F">
        <w:t>, which demonstrated that</w:t>
      </w:r>
      <w:r w:rsidR="00B63FB5">
        <w:t>,</w:t>
      </w:r>
      <w:r w:rsidR="00883B0F">
        <w:t xml:space="preserve"> with effort and some cost, it was possible to establish the extent to which NCVER research had been used</w:t>
      </w:r>
      <w:r w:rsidR="00946F3E">
        <w:t>.</w:t>
      </w:r>
      <w:r w:rsidR="00323241">
        <w:rPr>
          <w:rStyle w:val="FootnoteReference"/>
        </w:rPr>
        <w:footnoteReference w:id="1"/>
      </w:r>
      <w:r w:rsidR="00883B0F">
        <w:t xml:space="preserve"> </w:t>
      </w:r>
      <w:r w:rsidR="004D5988">
        <w:t>A</w:t>
      </w:r>
      <w:r w:rsidR="00883B0F">
        <w:t xml:space="preserve"> framework </w:t>
      </w:r>
      <w:r w:rsidR="004D5988">
        <w:t xml:space="preserve">was developed </w:t>
      </w:r>
      <w:r w:rsidR="00883B0F">
        <w:t>for measuring impact against four domains:</w:t>
      </w:r>
    </w:p>
    <w:p w:rsidR="00883B0F" w:rsidRPr="00146751" w:rsidRDefault="00700B5D" w:rsidP="00146751">
      <w:pPr>
        <w:pStyle w:val="Dotpoint1"/>
      </w:pPr>
      <w:r>
        <w:t xml:space="preserve">producing </w:t>
      </w:r>
      <w:r w:rsidR="00946F3E">
        <w:t>knowledge:</w:t>
      </w:r>
      <w:r w:rsidR="00883B0F">
        <w:t xml:space="preserve"> using citations in other </w:t>
      </w:r>
      <w:r w:rsidR="00883B0F" w:rsidRPr="00146751">
        <w:t xml:space="preserve">works and also media releases, web downloads and citations in parliament </w:t>
      </w:r>
    </w:p>
    <w:p w:rsidR="00883B0F" w:rsidRPr="00146751" w:rsidRDefault="00700B5D" w:rsidP="00146751">
      <w:pPr>
        <w:pStyle w:val="Dotpoint1"/>
      </w:pPr>
      <w:r w:rsidRPr="00146751">
        <w:t xml:space="preserve">building </w:t>
      </w:r>
      <w:r w:rsidR="00946F3E" w:rsidRPr="00146751">
        <w:t>capacity:</w:t>
      </w:r>
      <w:r w:rsidR="0073773B">
        <w:t xml:space="preserve"> </w:t>
      </w:r>
      <w:r w:rsidR="00883B0F" w:rsidRPr="00146751">
        <w:t>assessing the extent to which the research has improved the abilities of researchers and stakeholders to engage with the research</w:t>
      </w:r>
    </w:p>
    <w:p w:rsidR="00883B0F" w:rsidRPr="00146751" w:rsidRDefault="00946F3E" w:rsidP="00146751">
      <w:pPr>
        <w:pStyle w:val="Dotpoint1"/>
      </w:pPr>
      <w:r w:rsidRPr="00146751">
        <w:t>informing policy:</w:t>
      </w:r>
      <w:r w:rsidR="00883B0F" w:rsidRPr="00146751">
        <w:t xml:space="preserve"> judging if and how</w:t>
      </w:r>
      <w:r w:rsidR="0073773B">
        <w:t xml:space="preserve"> </w:t>
      </w:r>
      <w:r w:rsidR="00883B0F" w:rsidRPr="00146751">
        <w:t>research has been useful in informing or guiding policy, primar</w:t>
      </w:r>
      <w:r w:rsidRPr="00146751">
        <w:t>ily through interviews with end-</w:t>
      </w:r>
      <w:r w:rsidR="00883B0F" w:rsidRPr="00146751">
        <w:t>users</w:t>
      </w:r>
    </w:p>
    <w:p w:rsidR="00883B0F" w:rsidRDefault="00946F3E" w:rsidP="00146751">
      <w:pPr>
        <w:pStyle w:val="Dotpoint1"/>
      </w:pPr>
      <w:r w:rsidRPr="00146751">
        <w:t>informing practice:</w:t>
      </w:r>
      <w:r w:rsidR="00883B0F" w:rsidRPr="00146751">
        <w:t xml:space="preserve"> establishing </w:t>
      </w:r>
      <w:r w:rsidR="00DF5A33" w:rsidRPr="00146751">
        <w:t>how the</w:t>
      </w:r>
      <w:r w:rsidR="00883B0F" w:rsidRPr="00146751">
        <w:t xml:space="preserve"> research</w:t>
      </w:r>
      <w:r w:rsidR="00883B0F">
        <w:t xml:space="preserve"> has informed or guided practice, ag</w:t>
      </w:r>
      <w:r w:rsidR="0016090E">
        <w:t>ain through interviews with end-</w:t>
      </w:r>
      <w:r w:rsidR="00883B0F">
        <w:t>users.</w:t>
      </w:r>
    </w:p>
    <w:p w:rsidR="004D5988" w:rsidRDefault="00824556" w:rsidP="004D5988">
      <w:pPr>
        <w:pStyle w:val="Text"/>
      </w:pPr>
      <w:r>
        <w:t>There has been an increased focus on research impact</w:t>
      </w:r>
      <w:r w:rsidR="004D5988">
        <w:t xml:space="preserve"> since our original study</w:t>
      </w:r>
      <w:r>
        <w:t>. The Group of Eight and Australian Technology Network universities, for example, have been exploring how to measure the impact of research</w:t>
      </w:r>
      <w:r w:rsidR="00946F3E">
        <w:t>,</w:t>
      </w:r>
      <w:r w:rsidR="00A32CDD">
        <w:t xml:space="preserve"> with a large trial involving 12 participating universities</w:t>
      </w:r>
      <w:r w:rsidR="00B63FB5">
        <w:t xml:space="preserve"> (as at 2012</w:t>
      </w:r>
      <w:r w:rsidR="0016090E">
        <w:t>)</w:t>
      </w:r>
      <w:r w:rsidR="0016090E" w:rsidRPr="0016090E">
        <w:t xml:space="preserve"> </w:t>
      </w:r>
      <w:r w:rsidR="0016090E">
        <w:t>underway</w:t>
      </w:r>
      <w:r>
        <w:t xml:space="preserve">. </w:t>
      </w:r>
      <w:r w:rsidR="004D5988">
        <w:t xml:space="preserve">Understanding the different ways research can be used is fundamental to impact studies. Impact can be positive or negative, may or may not be recognised, can occur over short or long periods of time, and is highly dependent on context. In government it is shaped by </w:t>
      </w:r>
      <w:r w:rsidR="0016090E">
        <w:t xml:space="preserve">the </w:t>
      </w:r>
      <w:r w:rsidR="004D5988">
        <w:t>political considerations of the time and also public ac</w:t>
      </w:r>
      <w:r w:rsidR="00946F3E">
        <w:t>ceptability of new ideas (Levin</w:t>
      </w:r>
      <w:r w:rsidR="004D5988">
        <w:t xml:space="preserve"> 2003). Assessing research impact is good practice</w:t>
      </w:r>
      <w:r w:rsidR="00946F3E">
        <w:t>,</w:t>
      </w:r>
      <w:r w:rsidR="004D5988">
        <w:t xml:space="preserve"> however, particularly as it helps </w:t>
      </w:r>
      <w:r w:rsidR="00946F3E">
        <w:t xml:space="preserve">to </w:t>
      </w:r>
      <w:r w:rsidR="004D5988">
        <w:t xml:space="preserve">demonstrate that government investment in research </w:t>
      </w:r>
      <w:r w:rsidR="00C560CF">
        <w:t>is</w:t>
      </w:r>
      <w:r w:rsidR="004D5988">
        <w:t xml:space="preserve"> providing value for money. </w:t>
      </w:r>
    </w:p>
    <w:p w:rsidR="00345BDE" w:rsidRDefault="00345BDE" w:rsidP="00345BDE">
      <w:pPr>
        <w:pStyle w:val="Text"/>
      </w:pPr>
      <w:r>
        <w:t xml:space="preserve">The purpose of this project is to apply </w:t>
      </w:r>
      <w:r w:rsidR="00921FDF">
        <w:t>NCVER’s</w:t>
      </w:r>
      <w:r>
        <w:t xml:space="preserve"> framework </w:t>
      </w:r>
      <w:r w:rsidR="0016090E">
        <w:t>to</w:t>
      </w:r>
      <w:r>
        <w:t xml:space="preserve"> a case study</w:t>
      </w:r>
      <w:r w:rsidR="0016090E">
        <w:t>, whereby</w:t>
      </w:r>
      <w:r>
        <w:t xml:space="preserve"> the im</w:t>
      </w:r>
      <w:r w:rsidR="00C27F4B">
        <w:t xml:space="preserve">pact of research and activities </w:t>
      </w:r>
      <w:r>
        <w:t>funded under the Longitudinal Surveys of Australian Youth (LSAY) Research Innovat</w:t>
      </w:r>
      <w:r w:rsidR="00266B83">
        <w:t>ion and Expansion Fund (RIEF)</w:t>
      </w:r>
      <w:r w:rsidR="0016090E">
        <w:t xml:space="preserve"> is assessed</w:t>
      </w:r>
      <w:r>
        <w:t>.</w:t>
      </w:r>
    </w:p>
    <w:p w:rsidR="004C15E4" w:rsidRDefault="00266B83" w:rsidP="009A6347">
      <w:pPr>
        <w:pStyle w:val="Heading1"/>
      </w:pPr>
      <w:r>
        <w:br w:type="page"/>
      </w:r>
      <w:bookmarkStart w:id="28" w:name="_Toc329613248"/>
      <w:r w:rsidR="004C15E4">
        <w:lastRenderedPageBreak/>
        <w:t xml:space="preserve">About </w:t>
      </w:r>
      <w:r w:rsidR="00C27F4B">
        <w:t xml:space="preserve">LSAY and the </w:t>
      </w:r>
      <w:r w:rsidR="00C00D4D">
        <w:t>Research Innovation and Expansion Fund</w:t>
      </w:r>
      <w:bookmarkEnd w:id="28"/>
    </w:p>
    <w:p w:rsidR="00C27F4B" w:rsidRDefault="00C27F4B" w:rsidP="004C15E4">
      <w:pPr>
        <w:pStyle w:val="Text"/>
      </w:pPr>
      <w:r>
        <w:t>The key purpose of LSAY</w:t>
      </w:r>
      <w:r w:rsidR="00785D2C">
        <w:rPr>
          <w:rStyle w:val="FootnoteReference"/>
        </w:rPr>
        <w:footnoteReference w:id="2"/>
      </w:r>
      <w:r>
        <w:t xml:space="preserve"> is to increase understandings of </w:t>
      </w:r>
      <w:r w:rsidR="0016090E">
        <w:t xml:space="preserve">the </w:t>
      </w:r>
      <w:r>
        <w:t>pathways in the lives of young people, particularly the</w:t>
      </w:r>
      <w:r w:rsidR="009E1A4B">
        <w:t>ir</w:t>
      </w:r>
      <w:r>
        <w:t xml:space="preserve"> transitions from compulsory schooling to further education and trainin</w:t>
      </w:r>
      <w:r w:rsidR="009772E3">
        <w:t xml:space="preserve">g and the labour market. </w:t>
      </w:r>
      <w:r w:rsidR="009E1A4B">
        <w:t>The Department of Education, Employment and Workplace Relations (</w:t>
      </w:r>
      <w:r w:rsidR="009772E3">
        <w:t>DEEWR</w:t>
      </w:r>
      <w:r w:rsidR="009E1A4B">
        <w:t>)</w:t>
      </w:r>
      <w:r w:rsidR="009772E3">
        <w:t xml:space="preserve"> </w:t>
      </w:r>
      <w:r>
        <w:t>manages LSAY on behalf of the Australian Govern</w:t>
      </w:r>
      <w:r w:rsidR="009772E3">
        <w:t xml:space="preserve">ment and </w:t>
      </w:r>
      <w:r w:rsidR="009E1A4B">
        <w:t xml:space="preserve">states and </w:t>
      </w:r>
      <w:r w:rsidR="0016090E">
        <w:t xml:space="preserve">the </w:t>
      </w:r>
      <w:r w:rsidR="009E1A4B">
        <w:t>territories</w:t>
      </w:r>
      <w:r w:rsidR="007205E2">
        <w:t>.</w:t>
      </w:r>
    </w:p>
    <w:p w:rsidR="007205E2" w:rsidRDefault="007205E2" w:rsidP="004C15E4">
      <w:pPr>
        <w:pStyle w:val="Text"/>
      </w:pPr>
      <w:r>
        <w:t>LSAY is co</w:t>
      </w:r>
      <w:r w:rsidR="009772E3">
        <w:t xml:space="preserve">mprised of a series of surveys </w:t>
      </w:r>
      <w:r w:rsidR="009E1A4B">
        <w:t>focu</w:t>
      </w:r>
      <w:r>
        <w:t>sing on the progress of young Australians as they move from their mid-teens to their mid-twenties. The current surveys involve large nationally representative samples of young people</w:t>
      </w:r>
      <w:r w:rsidR="0016090E">
        <w:t>,</w:t>
      </w:r>
      <w:r>
        <w:t xml:space="preserve"> from whom data about education and training, work, financial matters, health, social activities and attitudes to these and related issues</w:t>
      </w:r>
      <w:r w:rsidR="0016090E" w:rsidRPr="0016090E">
        <w:t xml:space="preserve"> </w:t>
      </w:r>
      <w:r w:rsidR="0016090E">
        <w:t>are collected each year</w:t>
      </w:r>
      <w:r>
        <w:t>. The LSAY program consists of both the data collection and analysis.</w:t>
      </w:r>
    </w:p>
    <w:p w:rsidR="00785D2C" w:rsidRDefault="007205E2" w:rsidP="00785D2C">
      <w:pPr>
        <w:pStyle w:val="Text"/>
      </w:pPr>
      <w:r>
        <w:t>The Research Innovation and Expansio</w:t>
      </w:r>
      <w:r w:rsidR="00785D2C">
        <w:t xml:space="preserve">n Fund (RIEF) was an initiative </w:t>
      </w:r>
      <w:r>
        <w:t xml:space="preserve">of </w:t>
      </w:r>
      <w:r w:rsidR="009E1A4B">
        <w:t>the Department of Education, Employment and Workplace Relations intended</w:t>
      </w:r>
      <w:r>
        <w:t xml:space="preserve"> to complement the LSAY program</w:t>
      </w:r>
      <w:r w:rsidR="00BA5323">
        <w:t>.</w:t>
      </w:r>
      <w:r w:rsidR="00785D2C">
        <w:t xml:space="preserve"> </w:t>
      </w:r>
      <w:r w:rsidR="00696B1A">
        <w:t xml:space="preserve">NCVER </w:t>
      </w:r>
      <w:r w:rsidR="00BA5323">
        <w:t xml:space="preserve">was </w:t>
      </w:r>
      <w:r w:rsidR="00696B1A">
        <w:t xml:space="preserve">contracted by </w:t>
      </w:r>
      <w:r w:rsidR="009E1A4B">
        <w:t>the department</w:t>
      </w:r>
      <w:r w:rsidR="00696B1A">
        <w:t xml:space="preserve"> to manage and implement the </w:t>
      </w:r>
      <w:r w:rsidR="00BA5323">
        <w:t>LSAY</w:t>
      </w:r>
      <w:r w:rsidR="003F5D13">
        <w:t xml:space="preserve"> analysis</w:t>
      </w:r>
      <w:r w:rsidR="00BA5323">
        <w:t xml:space="preserve"> </w:t>
      </w:r>
      <w:r w:rsidR="00696B1A">
        <w:t xml:space="preserve">program. </w:t>
      </w:r>
      <w:r>
        <w:t xml:space="preserve">The </w:t>
      </w:r>
      <w:r w:rsidR="00785D2C">
        <w:t xml:space="preserve">overall </w:t>
      </w:r>
      <w:r>
        <w:t xml:space="preserve">purpose </w:t>
      </w:r>
      <w:r w:rsidR="00BA5323">
        <w:t xml:space="preserve">of the Research Innovation and Expansion Fund </w:t>
      </w:r>
      <w:r>
        <w:t xml:space="preserve">was to increase the quantity, quality, distribution and accessibility of </w:t>
      </w:r>
      <w:r w:rsidR="00785D2C">
        <w:t>independent</w:t>
      </w:r>
      <w:r>
        <w:t xml:space="preserve"> research</w:t>
      </w:r>
      <w:r w:rsidR="00785D2C">
        <w:t xml:space="preserve"> and analysis using LSAY data </w:t>
      </w:r>
      <w:r>
        <w:t>in the academic and public policy communities</w:t>
      </w:r>
      <w:r w:rsidR="00785D2C">
        <w:t xml:space="preserve">. </w:t>
      </w:r>
      <w:r w:rsidR="000643E2">
        <w:t>Fund</w:t>
      </w:r>
      <w:r w:rsidR="00785D2C">
        <w:t xml:space="preserve"> initiatives could reasonably be expected to:</w:t>
      </w:r>
    </w:p>
    <w:p w:rsidR="00785D2C" w:rsidRDefault="00785D2C" w:rsidP="00CC3E0A">
      <w:pPr>
        <w:pStyle w:val="Dotpoint1"/>
        <w:spacing w:before="80"/>
      </w:pPr>
      <w:r>
        <w:t>increase the number of researchers using LSAY data for youth transition research</w:t>
      </w:r>
    </w:p>
    <w:p w:rsidR="00785D2C" w:rsidRDefault="00696B1A" w:rsidP="00CC3E0A">
      <w:pPr>
        <w:pStyle w:val="Dotpoint1"/>
        <w:spacing w:before="80"/>
      </w:pPr>
      <w:r>
        <w:t>support</w:t>
      </w:r>
      <w:r w:rsidR="000643E2">
        <w:t xml:space="preserve"> the completion of high-quality</w:t>
      </w:r>
      <w:r w:rsidR="00785D2C">
        <w:t xml:space="preserve"> </w:t>
      </w:r>
      <w:r w:rsidR="00BA5323">
        <w:t>and independent policy-</w:t>
      </w:r>
      <w:r w:rsidR="00785D2C">
        <w:t>relevant research projects using LSAY data, including combining LSAY with other relevant sources</w:t>
      </w:r>
    </w:p>
    <w:p w:rsidR="00785D2C" w:rsidRDefault="00696B1A" w:rsidP="00CC3E0A">
      <w:pPr>
        <w:pStyle w:val="Dotpoint1"/>
        <w:spacing w:before="80"/>
      </w:pPr>
      <w:r>
        <w:t>assist</w:t>
      </w:r>
      <w:r w:rsidR="00785D2C">
        <w:t xml:space="preserve"> researchers to develop</w:t>
      </w:r>
      <w:r w:rsidR="000643E2">
        <w:t xml:space="preserve"> the</w:t>
      </w:r>
      <w:r w:rsidR="00785D2C">
        <w:t xml:space="preserve"> capabilities needed to make full use of the longitudinal nature of the data and </w:t>
      </w:r>
      <w:r w:rsidR="00BA5323">
        <w:t xml:space="preserve">to </w:t>
      </w:r>
      <w:r w:rsidR="00785D2C">
        <w:t>undertake more complex or innovative forms of analysis</w:t>
      </w:r>
    </w:p>
    <w:p w:rsidR="00785D2C" w:rsidRDefault="00696B1A" w:rsidP="00CC3E0A">
      <w:pPr>
        <w:pStyle w:val="Dotpoint1"/>
        <w:spacing w:before="80"/>
      </w:pPr>
      <w:r>
        <w:t>enable</w:t>
      </w:r>
      <w:r w:rsidR="000643E2">
        <w:t xml:space="preserve"> low-</w:t>
      </w:r>
      <w:r w:rsidR="00785D2C">
        <w:t>cost access to LSAY data by researchers (especially early career researchers) and n</w:t>
      </w:r>
      <w:r w:rsidR="000643E2">
        <w:t>ot-for-profit organisations</w:t>
      </w:r>
    </w:p>
    <w:p w:rsidR="00785D2C" w:rsidRDefault="00696B1A" w:rsidP="00CC3E0A">
      <w:pPr>
        <w:pStyle w:val="Dotpoint1"/>
        <w:spacing w:before="80"/>
      </w:pPr>
      <w:r>
        <w:t>strengthen</w:t>
      </w:r>
      <w:r w:rsidR="00785D2C">
        <w:t xml:space="preserve"> connections between p</w:t>
      </w:r>
      <w:r w:rsidR="000643E2">
        <w:t>olicy development and research —</w:t>
      </w:r>
      <w:r w:rsidR="00785D2C">
        <w:t xml:space="preserve"> or otherwise complement the LSAY Analytical Program objectives.</w:t>
      </w:r>
    </w:p>
    <w:p w:rsidR="004D5988" w:rsidRDefault="004D5988" w:rsidP="004D5988">
      <w:pPr>
        <w:pStyle w:val="Text"/>
      </w:pPr>
      <w:r>
        <w:t xml:space="preserve">The key target audience for LSAY research are </w:t>
      </w:r>
      <w:r w:rsidR="009772E3">
        <w:t>g</w:t>
      </w:r>
      <w:r>
        <w:t xml:space="preserve">overnment </w:t>
      </w:r>
      <w:r w:rsidR="009772E3">
        <w:t>m</w:t>
      </w:r>
      <w:r>
        <w:t>inisters and senior government officers with responsibility for policy development and implementation in education, employment, social affairs, youth and disadvantaged groups. Others with a strong interest in LSAY include providers of services to young people (especially in the areas of career advice and transition support), social policy research centres, community organisations and industry.</w:t>
      </w:r>
    </w:p>
    <w:p w:rsidR="004D5988" w:rsidRDefault="004D5988" w:rsidP="004C15E4">
      <w:pPr>
        <w:pStyle w:val="Text"/>
      </w:pPr>
      <w:r>
        <w:t xml:space="preserve">A particular target group of the </w:t>
      </w:r>
      <w:r w:rsidR="00BA5323">
        <w:t>Research Innovation and Expansion Fund</w:t>
      </w:r>
      <w:r>
        <w:t xml:space="preserve"> was the academic research community</w:t>
      </w:r>
      <w:r w:rsidR="000643E2">
        <w:t>,</w:t>
      </w:r>
      <w:r>
        <w:t xml:space="preserve"> with the aim of increasing their capabilities for, and interest in, using the LSAY data for research. </w:t>
      </w:r>
    </w:p>
    <w:p w:rsidR="006E2948" w:rsidRDefault="00696B1A" w:rsidP="004C15E4">
      <w:pPr>
        <w:pStyle w:val="Text"/>
      </w:pPr>
      <w:r w:rsidRPr="006E2948">
        <w:t xml:space="preserve">The </w:t>
      </w:r>
      <w:r w:rsidR="000643E2">
        <w:t>Research Innovation and Expansion Fund</w:t>
      </w:r>
      <w:r w:rsidRPr="006E2948">
        <w:t xml:space="preserve"> </w:t>
      </w:r>
      <w:r w:rsidR="000643E2">
        <w:t xml:space="preserve">comprised </w:t>
      </w:r>
      <w:r w:rsidRPr="006E2948">
        <w:t xml:space="preserve">five distinct </w:t>
      </w:r>
      <w:r>
        <w:t xml:space="preserve">research </w:t>
      </w:r>
      <w:r w:rsidRPr="006E2948">
        <w:t>projects</w:t>
      </w:r>
      <w:r w:rsidR="00BA5323">
        <w:t>, which were</w:t>
      </w:r>
      <w:r w:rsidR="009772E3">
        <w:t xml:space="preserve"> </w:t>
      </w:r>
      <w:r w:rsidR="00B722FF">
        <w:t xml:space="preserve">funded </w:t>
      </w:r>
      <w:r w:rsidR="00BA5323">
        <w:t>through</w:t>
      </w:r>
      <w:r w:rsidR="00B722FF">
        <w:t xml:space="preserve"> a competitive grants program</w:t>
      </w:r>
      <w:r w:rsidR="00BA5323">
        <w:t>,</w:t>
      </w:r>
      <w:r w:rsidR="00B722FF">
        <w:t xml:space="preserve"> </w:t>
      </w:r>
      <w:r w:rsidR="009772E3">
        <w:t>and a research fellowship</w:t>
      </w:r>
      <w:r w:rsidR="000643E2">
        <w:t>, as well as</w:t>
      </w:r>
      <w:r w:rsidRPr="006E2948">
        <w:t xml:space="preserve"> other activities such as </w:t>
      </w:r>
      <w:r w:rsidR="009A6347">
        <w:t xml:space="preserve">data </w:t>
      </w:r>
      <w:r w:rsidRPr="006E2948">
        <w:t>workshops</w:t>
      </w:r>
      <w:r w:rsidR="009A6347">
        <w:t>.</w:t>
      </w:r>
    </w:p>
    <w:p w:rsidR="00B722FF" w:rsidRPr="00712E5F" w:rsidRDefault="00B722FF" w:rsidP="00CC3E0A">
      <w:pPr>
        <w:pStyle w:val="Heading2"/>
      </w:pPr>
      <w:bookmarkStart w:id="29" w:name="_Toc329613249"/>
      <w:r w:rsidRPr="00712E5F">
        <w:lastRenderedPageBreak/>
        <w:t xml:space="preserve">Competitive </w:t>
      </w:r>
      <w:r w:rsidR="009A6347">
        <w:t xml:space="preserve">research analysis </w:t>
      </w:r>
      <w:r w:rsidRPr="00712E5F">
        <w:t>grants program</w:t>
      </w:r>
      <w:bookmarkEnd w:id="29"/>
    </w:p>
    <w:p w:rsidR="00B722FF" w:rsidRDefault="00B722FF" w:rsidP="00CC3E0A">
      <w:pPr>
        <w:pStyle w:val="Text"/>
        <w:ind w:right="-143"/>
      </w:pPr>
      <w:r>
        <w:t>The aim of this program was to</w:t>
      </w:r>
      <w:r w:rsidRPr="006E2948">
        <w:t xml:space="preserve"> increase the pool of researchers using LSAY data as well as to produce </w:t>
      </w:r>
      <w:r w:rsidR="009A6347">
        <w:t xml:space="preserve">independent </w:t>
      </w:r>
      <w:r w:rsidRPr="006E2948">
        <w:t>policy-relevant research</w:t>
      </w:r>
      <w:r>
        <w:t xml:space="preserve">. Research proposals were </w:t>
      </w:r>
      <w:r w:rsidR="000643E2">
        <w:t>elicited</w:t>
      </w:r>
      <w:r>
        <w:t xml:space="preserve"> by NCVER </w:t>
      </w:r>
      <w:r w:rsidR="00BA5323">
        <w:t xml:space="preserve">in 2008 through a public invitation </w:t>
      </w:r>
      <w:r>
        <w:t>for proposals, in a similar manner to the process undertaken for the Open Category of the National Vocational Education and Training Researc</w:t>
      </w:r>
      <w:r w:rsidR="000643E2">
        <w:t>h Evaluation Program (NVETRE). The p</w:t>
      </w:r>
      <w:r>
        <w:t xml:space="preserve">rojects funded were chosen on the advice of a selection panel comprising representatives of the LSAY Strategic Advisory Committee, </w:t>
      </w:r>
      <w:r w:rsidR="000643E2">
        <w:t>the Department of Education, Employment and Workplace Relations</w:t>
      </w:r>
      <w:r>
        <w:t xml:space="preserve"> and NCVER. NCVER adopted specific quality assurance procedures for </w:t>
      </w:r>
      <w:r w:rsidR="00E07BD1">
        <w:t xml:space="preserve">the </w:t>
      </w:r>
      <w:r>
        <w:t>management of the research projects</w:t>
      </w:r>
      <w:r w:rsidR="00BA5323">
        <w:t>,</w:t>
      </w:r>
      <w:r>
        <w:t xml:space="preserve"> including peer review. The dissemination treatment for research commissioned through the RIEF program was restricted by contractual arrangements to final reports</w:t>
      </w:r>
      <w:r w:rsidR="00E07BD1">
        <w:t>,</w:t>
      </w:r>
      <w:r>
        <w:t xml:space="preserve"> published by </w:t>
      </w:r>
      <w:r w:rsidR="00E07BD1">
        <w:t>NCVER and appearing on the LSAY web</w:t>
      </w:r>
      <w:r>
        <w:t xml:space="preserve">site, with stakeholder notifications and media releases subject to the approval of </w:t>
      </w:r>
      <w:r w:rsidR="00E07BD1">
        <w:t>the Department of Education, Employment and Workplace Relations</w:t>
      </w:r>
      <w:r>
        <w:t>. Five projects were funded:</w:t>
      </w:r>
    </w:p>
    <w:p w:rsidR="00B722FF" w:rsidRDefault="00B722FF" w:rsidP="00CC3E0A">
      <w:pPr>
        <w:pStyle w:val="Dotpoint1"/>
        <w:spacing w:before="80"/>
      </w:pPr>
      <w:r w:rsidRPr="00E07BD1">
        <w:rPr>
          <w:i/>
        </w:rPr>
        <w:t>Education and happiness in the school-to-work transition</w:t>
      </w:r>
      <w:r>
        <w:t>, Mike Dockery, Curtin University of Technology</w:t>
      </w:r>
    </w:p>
    <w:p w:rsidR="00B722FF" w:rsidRDefault="00B722FF" w:rsidP="00CC3E0A">
      <w:pPr>
        <w:pStyle w:val="Dotpoint1"/>
        <w:spacing w:before="80"/>
      </w:pPr>
      <w:r w:rsidRPr="00E07BD1">
        <w:rPr>
          <w:i/>
        </w:rPr>
        <w:t>Post-school education and labour force participation in Canada and Australia</w:t>
      </w:r>
      <w:r>
        <w:t xml:space="preserve">, Siobhan Austen and Fiona MacPhail, Curtin University </w:t>
      </w:r>
    </w:p>
    <w:p w:rsidR="00B722FF" w:rsidRDefault="00B722FF" w:rsidP="00CC3E0A">
      <w:pPr>
        <w:pStyle w:val="Dotpoint1"/>
        <w:spacing w:before="80"/>
      </w:pPr>
      <w:r w:rsidRPr="00E07BD1">
        <w:rPr>
          <w:i/>
        </w:rPr>
        <w:t>Lost talent? The occupational ambitions and attainments of young Australians</w:t>
      </w:r>
      <w:r>
        <w:t>, Joan</w:t>
      </w:r>
      <w:r w:rsidR="005012D8">
        <w:t>n</w:t>
      </w:r>
      <w:r>
        <w:t>a Sikora and Lawrence J. Saha, Australian National University</w:t>
      </w:r>
    </w:p>
    <w:p w:rsidR="00B722FF" w:rsidRDefault="00B722FF" w:rsidP="00CC3E0A">
      <w:pPr>
        <w:pStyle w:val="Dotpoint1"/>
        <w:spacing w:before="80"/>
      </w:pPr>
      <w:r w:rsidRPr="00E07BD1">
        <w:rPr>
          <w:i/>
        </w:rPr>
        <w:t>Against the odds: influences on the post-school success of ‘low performers’</w:t>
      </w:r>
      <w:r>
        <w:t>, Sue Thomson and Kylie Hillman, Australian Council for Education</w:t>
      </w:r>
      <w:r w:rsidR="00BA5323">
        <w:t>al</w:t>
      </w:r>
      <w:r>
        <w:t xml:space="preserve"> Research</w:t>
      </w:r>
    </w:p>
    <w:p w:rsidR="00B722FF" w:rsidRDefault="00B722FF" w:rsidP="00CC3E0A">
      <w:pPr>
        <w:pStyle w:val="Dotpoint1"/>
        <w:spacing w:before="80"/>
      </w:pPr>
      <w:r w:rsidRPr="00E07BD1">
        <w:rPr>
          <w:i/>
        </w:rPr>
        <w:t>From education to employment: how long does it take</w:t>
      </w:r>
      <w:r w:rsidRPr="00B56CB0">
        <w:t>?</w:t>
      </w:r>
      <w:r>
        <w:t>, Darcy Fitzpatrick, Laurence Lester, Kostas</w:t>
      </w:r>
      <w:r w:rsidR="00CC3E0A">
        <w:t> </w:t>
      </w:r>
      <w:r>
        <w:t>Mavromaras, Sue Richardson and Lulu Sun, National Institute of Labour Studies</w:t>
      </w:r>
      <w:r w:rsidR="00BA5323">
        <w:t>.</w:t>
      </w:r>
    </w:p>
    <w:p w:rsidR="00B722FF" w:rsidRDefault="00B722FF" w:rsidP="00CC3E0A">
      <w:pPr>
        <w:pStyle w:val="Heading2"/>
      </w:pPr>
      <w:bookmarkStart w:id="30" w:name="_Toc329613250"/>
      <w:r w:rsidRPr="00712E5F">
        <w:t>Fellowship for a new career researcher</w:t>
      </w:r>
      <w:bookmarkEnd w:id="30"/>
      <w:r>
        <w:t xml:space="preserve"> </w:t>
      </w:r>
    </w:p>
    <w:p w:rsidR="00B722FF" w:rsidRDefault="00B722FF" w:rsidP="00CC3E0A">
      <w:pPr>
        <w:pStyle w:val="Text"/>
        <w:ind w:right="141"/>
      </w:pPr>
      <w:r>
        <w:t>The primary purpose of the fellowship was to offer an early career researcher an opportunity to work with the LSAY data. One fellowship was funded:</w:t>
      </w:r>
    </w:p>
    <w:p w:rsidR="009A6347" w:rsidRDefault="00B722FF" w:rsidP="00CC3E0A">
      <w:pPr>
        <w:pStyle w:val="Dotpoint1"/>
        <w:spacing w:before="80"/>
      </w:pPr>
      <w:r w:rsidRPr="00E07BD1">
        <w:rPr>
          <w:i/>
        </w:rPr>
        <w:t>Returns from education: an occupational status approach</w:t>
      </w:r>
      <w:r>
        <w:t>, Jung-Sook Lee, University of New South</w:t>
      </w:r>
      <w:r w:rsidR="00CC3E0A">
        <w:t> </w:t>
      </w:r>
      <w:r>
        <w:t>Wales</w:t>
      </w:r>
      <w:r w:rsidR="00BA5323">
        <w:t>.</w:t>
      </w:r>
      <w:r>
        <w:t xml:space="preserve"> </w:t>
      </w:r>
    </w:p>
    <w:p w:rsidR="00122C76" w:rsidRDefault="00122C76" w:rsidP="00CC3E0A">
      <w:pPr>
        <w:pStyle w:val="Heading2"/>
      </w:pPr>
      <w:bookmarkStart w:id="31" w:name="_Toc329613251"/>
      <w:r>
        <w:t>Youth policy forum</w:t>
      </w:r>
      <w:bookmarkEnd w:id="31"/>
    </w:p>
    <w:p w:rsidR="00B722FF" w:rsidRDefault="00122C76" w:rsidP="00B722FF">
      <w:pPr>
        <w:pStyle w:val="Text"/>
      </w:pPr>
      <w:r w:rsidRPr="004E79AA">
        <w:t xml:space="preserve">The </w:t>
      </w:r>
      <w:r w:rsidR="00E07BD1">
        <w:t>p</w:t>
      </w:r>
      <w:r w:rsidR="00E07BD1" w:rsidRPr="004E79AA">
        <w:t xml:space="preserve">olicy </w:t>
      </w:r>
      <w:r w:rsidR="00E07BD1">
        <w:t>fo</w:t>
      </w:r>
      <w:r w:rsidR="00E07BD1" w:rsidRPr="004E79AA">
        <w:t>rum</w:t>
      </w:r>
      <w:r w:rsidR="00E07BD1">
        <w:t>,</w:t>
      </w:r>
      <w:r w:rsidR="00E07BD1" w:rsidRPr="004E79AA">
        <w:t xml:space="preserve"> </w:t>
      </w:r>
      <w:r w:rsidRPr="00E07BD1">
        <w:rPr>
          <w:i/>
        </w:rPr>
        <w:t xml:space="preserve">Young </w:t>
      </w:r>
      <w:r w:rsidR="00E07BD1" w:rsidRPr="00E07BD1">
        <w:rPr>
          <w:i/>
        </w:rPr>
        <w:t>people: f</w:t>
      </w:r>
      <w:r w:rsidRPr="00E07BD1">
        <w:rPr>
          <w:i/>
        </w:rPr>
        <w:t>inding their way in a new era</w:t>
      </w:r>
      <w:r w:rsidR="00E07BD1">
        <w:t>,</w:t>
      </w:r>
      <w:r w:rsidRPr="004E79AA">
        <w:t xml:space="preserve"> </w:t>
      </w:r>
      <w:r w:rsidR="00B722FF">
        <w:t xml:space="preserve">was held </w:t>
      </w:r>
      <w:r>
        <w:t xml:space="preserve">in </w:t>
      </w:r>
      <w:r w:rsidR="00B722FF">
        <w:t xml:space="preserve">Melbourne on 10 </w:t>
      </w:r>
      <w:r>
        <w:t>November 2009</w:t>
      </w:r>
      <w:r w:rsidR="00B722FF">
        <w:t>.</w:t>
      </w:r>
      <w:r w:rsidR="00B722FF" w:rsidRPr="00B722FF">
        <w:t xml:space="preserve"> </w:t>
      </w:r>
      <w:r w:rsidR="00B722FF" w:rsidRPr="000D1F3C">
        <w:t xml:space="preserve">The forum was designed </w:t>
      </w:r>
      <w:r w:rsidR="00B722FF">
        <w:t xml:space="preserve">to </w:t>
      </w:r>
      <w:r w:rsidR="009A6347">
        <w:t>showcase</w:t>
      </w:r>
      <w:r w:rsidR="00B722FF" w:rsidRPr="000D1F3C">
        <w:t xml:space="preserve"> how the </w:t>
      </w:r>
      <w:r w:rsidR="00B722FF">
        <w:t xml:space="preserve">LSAY </w:t>
      </w:r>
      <w:r w:rsidR="00B722FF" w:rsidRPr="000D1F3C">
        <w:t>survey data c</w:t>
      </w:r>
      <w:r w:rsidR="00E07BD1">
        <w:t>ould</w:t>
      </w:r>
      <w:r w:rsidR="00B722FF" w:rsidRPr="000D1F3C">
        <w:t xml:space="preserve"> be used in multiple ways to improve young people's transitions into life after schooling.</w:t>
      </w:r>
      <w:r w:rsidR="00B722FF">
        <w:t xml:space="preserve"> </w:t>
      </w:r>
    </w:p>
    <w:p w:rsidR="00122C76" w:rsidRDefault="00D32928" w:rsidP="00B722FF">
      <w:pPr>
        <w:pStyle w:val="Text"/>
      </w:pPr>
      <w:r>
        <w:t>As</w:t>
      </w:r>
      <w:r w:rsidR="00122C76" w:rsidRPr="004E79AA">
        <w:t xml:space="preserve"> an excellent platform to showcase three of</w:t>
      </w:r>
      <w:r w:rsidR="00122C76">
        <w:t xml:space="preserve"> the five commissioned projects</w:t>
      </w:r>
      <w:r w:rsidR="00B722FF">
        <w:t xml:space="preserve"> from the RIEF</w:t>
      </w:r>
      <w:r>
        <w:t>,</w:t>
      </w:r>
      <w:r w:rsidR="00122C76" w:rsidRPr="004E79AA">
        <w:t xml:space="preserve"> </w:t>
      </w:r>
      <w:r>
        <w:t>t</w:t>
      </w:r>
      <w:r w:rsidR="00122C76" w:rsidRPr="003917C5">
        <w:t xml:space="preserve">he </w:t>
      </w:r>
      <w:r w:rsidR="00122C76">
        <w:t>forum</w:t>
      </w:r>
      <w:r w:rsidR="00122C76" w:rsidRPr="003917C5">
        <w:t xml:space="preserve"> s</w:t>
      </w:r>
      <w:r w:rsidR="00122C76">
        <w:t>ought t</w:t>
      </w:r>
      <w:r>
        <w:t>o inform policy-</w:t>
      </w:r>
      <w:r w:rsidR="00122C76" w:rsidRPr="003917C5">
        <w:t xml:space="preserve">makers about </w:t>
      </w:r>
      <w:r w:rsidR="00BA5323">
        <w:t xml:space="preserve">the </w:t>
      </w:r>
      <w:r w:rsidR="00122C76" w:rsidRPr="003917C5">
        <w:t xml:space="preserve">education outcomes for young people, </w:t>
      </w:r>
      <w:r w:rsidR="004D5988">
        <w:t xml:space="preserve">the skills required </w:t>
      </w:r>
      <w:r>
        <w:t>by</w:t>
      </w:r>
      <w:r w:rsidR="004D5988">
        <w:t xml:space="preserve"> young people</w:t>
      </w:r>
      <w:r w:rsidR="00122C76" w:rsidRPr="003917C5">
        <w:t xml:space="preserve"> for the contemporary labour market, as well as ways to ensure that young people lead full and meaningful lives</w:t>
      </w:r>
      <w:r w:rsidR="00122C76">
        <w:t>.</w:t>
      </w:r>
      <w:r>
        <w:rPr>
          <w:rStyle w:val="FootnoteReference"/>
          <w:rFonts w:ascii="Verdana" w:hAnsi="Verdana"/>
        </w:rPr>
        <w:footnoteReference w:id="3"/>
      </w:r>
    </w:p>
    <w:p w:rsidR="00122C76" w:rsidRDefault="004D5988" w:rsidP="00803E3D">
      <w:pPr>
        <w:pStyle w:val="Text"/>
      </w:pPr>
      <w:r>
        <w:t>Highlighting the appetite for information on youth transitions, t</w:t>
      </w:r>
      <w:r w:rsidR="00122C76">
        <w:t xml:space="preserve">he event attracted 289 delegates. </w:t>
      </w:r>
      <w:r>
        <w:t>A</w:t>
      </w:r>
      <w:r w:rsidR="00122C76" w:rsidRPr="00D21D81">
        <w:t xml:space="preserve">pproximately 70% of those who submitted an evaluation rated their satisfaction with the event as </w:t>
      </w:r>
      <w:r w:rsidR="00D32928">
        <w:lastRenderedPageBreak/>
        <w:t>seven</w:t>
      </w:r>
      <w:r w:rsidR="00122C76" w:rsidRPr="00D21D81">
        <w:t xml:space="preserve"> or more out of ten. The format of the event was rated by 80% of attendees as </w:t>
      </w:r>
      <w:r w:rsidR="00D32928">
        <w:t>seven</w:t>
      </w:r>
      <w:r w:rsidR="00122C76" w:rsidRPr="00D21D81">
        <w:t xml:space="preserve"> or more out of ten, and a similar proportion indicated they woul</w:t>
      </w:r>
      <w:r w:rsidR="00803E3D">
        <w:t xml:space="preserve">d attend another policy forum. </w:t>
      </w:r>
      <w:r w:rsidR="00122C76" w:rsidRPr="00D21D81">
        <w:t xml:space="preserve">Some of the criticisms of the event related to the lack of discussion of </w:t>
      </w:r>
      <w:r w:rsidR="00803E3D">
        <w:t xml:space="preserve">research </w:t>
      </w:r>
      <w:r w:rsidR="00122C76" w:rsidRPr="00D21D81">
        <w:t xml:space="preserve">results </w:t>
      </w:r>
      <w:r w:rsidR="00803E3D">
        <w:t xml:space="preserve">and </w:t>
      </w:r>
      <w:r w:rsidR="00122C76" w:rsidRPr="00D21D81">
        <w:t xml:space="preserve">the implications for policy and practice. </w:t>
      </w:r>
      <w:r w:rsidR="00803E3D">
        <w:t xml:space="preserve">The </w:t>
      </w:r>
      <w:r w:rsidR="00122C76">
        <w:t>majority of people interviewed for this project</w:t>
      </w:r>
      <w:r w:rsidR="00D32928">
        <w:t>,</w:t>
      </w:r>
      <w:r w:rsidR="00122C76">
        <w:t xml:space="preserve"> </w:t>
      </w:r>
      <w:r w:rsidR="00803E3D">
        <w:t>however</w:t>
      </w:r>
      <w:r w:rsidR="00D32928">
        <w:t>,</w:t>
      </w:r>
      <w:r w:rsidR="00803E3D">
        <w:t xml:space="preserve"> suggested</w:t>
      </w:r>
      <w:r w:rsidR="00122C76">
        <w:t xml:space="preserve"> that the research is continuing to make an impact and </w:t>
      </w:r>
      <w:r w:rsidR="00BA5323">
        <w:t xml:space="preserve">that </w:t>
      </w:r>
      <w:r w:rsidR="00122C76">
        <w:t xml:space="preserve">the findings </w:t>
      </w:r>
      <w:r w:rsidR="00D32928">
        <w:t>will be of enduring relevance: ‘</w:t>
      </w:r>
      <w:r w:rsidR="00122C76">
        <w:t>when the forum was held some of the work presented was in developmental stages and since they have all been published it</w:t>
      </w:r>
      <w:r w:rsidR="00D32928">
        <w:t xml:space="preserve"> is just now coming to fruition’</w:t>
      </w:r>
      <w:r w:rsidR="00122C76">
        <w:t xml:space="preserve">. </w:t>
      </w:r>
    </w:p>
    <w:p w:rsidR="009A6347" w:rsidRDefault="00803E3D" w:rsidP="00122C76">
      <w:pPr>
        <w:pStyle w:val="Text"/>
      </w:pPr>
      <w:r>
        <w:t>The</w:t>
      </w:r>
      <w:r w:rsidR="00BB3D6F">
        <w:t xml:space="preserve"> forum was an important event in terms of bringing together the researchers working on LSAY data and providing an opportunity for a wide range of stakeholders to become aware of and familiar with both the LSAY dataset and </w:t>
      </w:r>
      <w:r w:rsidR="00D32928">
        <w:t xml:space="preserve">the </w:t>
      </w:r>
      <w:r w:rsidR="00BB3D6F">
        <w:t xml:space="preserve">research program. For many this was their first time engaging with the material and it appeared to lead to ongoing </w:t>
      </w:r>
      <w:r w:rsidR="002742EB">
        <w:t>use of the research</w:t>
      </w:r>
      <w:r w:rsidR="00BB3D6F">
        <w:t>.</w:t>
      </w:r>
    </w:p>
    <w:p w:rsidR="009A6347" w:rsidRPr="00712E5F" w:rsidRDefault="009A6347" w:rsidP="00CC3E0A">
      <w:pPr>
        <w:pStyle w:val="Heading2"/>
      </w:pPr>
      <w:bookmarkStart w:id="32" w:name="_Toc329613252"/>
      <w:r w:rsidRPr="00712E5F">
        <w:t>Longitudinal data workshops</w:t>
      </w:r>
      <w:bookmarkEnd w:id="32"/>
    </w:p>
    <w:p w:rsidR="009A6347" w:rsidRPr="009A6347" w:rsidRDefault="009A6347" w:rsidP="009A6347">
      <w:pPr>
        <w:pStyle w:val="Text"/>
      </w:pPr>
      <w:r w:rsidRPr="009A6347">
        <w:t>The data workshops were developed and conducted by NCVER. The primary aim was to explain to re</w:t>
      </w:r>
      <w:r w:rsidR="00D32928">
        <w:t>searchers and interested policy-</w:t>
      </w:r>
      <w:r w:rsidRPr="009A6347">
        <w:t>makers how to work with the LSAY data. Two workshops were held, one in Melbourne on 1 September 2009</w:t>
      </w:r>
      <w:r w:rsidR="00E7392B">
        <w:t>,</w:t>
      </w:r>
      <w:r w:rsidRPr="009A6347">
        <w:t xml:space="preserve"> and one in Brisbane on 2 July 2010. Further information on</w:t>
      </w:r>
      <w:r w:rsidR="00E7392B">
        <w:t xml:space="preserve"> the workshops can be found in a</w:t>
      </w:r>
      <w:r w:rsidRPr="009A6347">
        <w:t>ppendix A.</w:t>
      </w:r>
    </w:p>
    <w:p w:rsidR="00122C76" w:rsidRDefault="00122C76" w:rsidP="00CC3E0A">
      <w:pPr>
        <w:pStyle w:val="Heading2"/>
      </w:pPr>
      <w:bookmarkStart w:id="33" w:name="_Toc329613253"/>
      <w:r>
        <w:t xml:space="preserve">LSAY data </w:t>
      </w:r>
      <w:r w:rsidR="009A6347">
        <w:t>access</w:t>
      </w:r>
      <w:bookmarkEnd w:id="33"/>
      <w:r w:rsidR="009A6347">
        <w:t xml:space="preserve"> </w:t>
      </w:r>
    </w:p>
    <w:p w:rsidR="009A6347" w:rsidRDefault="00122C76" w:rsidP="00122C76">
      <w:pPr>
        <w:pStyle w:val="Text"/>
      </w:pPr>
      <w:r w:rsidRPr="00EA3CE7">
        <w:t xml:space="preserve">To assist researchers </w:t>
      </w:r>
      <w:r w:rsidR="00E7392B">
        <w:t>to</w:t>
      </w:r>
      <w:r w:rsidRPr="00EA3CE7">
        <w:t xml:space="preserve"> access LSAY data, </w:t>
      </w:r>
      <w:r w:rsidR="003A4061">
        <w:t>the Research Innovation and Expansion Fund</w:t>
      </w:r>
      <w:r w:rsidR="003A4061" w:rsidRPr="006E2948">
        <w:t xml:space="preserve"> </w:t>
      </w:r>
      <w:r w:rsidR="003A4061">
        <w:t xml:space="preserve">made funds available </w:t>
      </w:r>
      <w:r>
        <w:t xml:space="preserve">to </w:t>
      </w:r>
      <w:r w:rsidRPr="00EA3CE7">
        <w:t xml:space="preserve">cover the costs associated with accessing the data through the Australian </w:t>
      </w:r>
      <w:r w:rsidR="003A4061">
        <w:t>Data Archive. These funds were</w:t>
      </w:r>
      <w:r w:rsidR="009A6347">
        <w:t xml:space="preserve"> for researchers who were not already members of the </w:t>
      </w:r>
      <w:r w:rsidR="009A6347" w:rsidRPr="00D13B4F">
        <w:t>Australian Consortium for Social and Political Research Incorporated (ACSPRI</w:t>
      </w:r>
      <w:r w:rsidR="009A6347">
        <w:t>)</w:t>
      </w:r>
      <w:r w:rsidRPr="00EA3CE7">
        <w:t xml:space="preserve">. </w:t>
      </w:r>
      <w:r>
        <w:t xml:space="preserve">The initiative was advertised on </w:t>
      </w:r>
      <w:r w:rsidR="00803E3D">
        <w:t xml:space="preserve">both </w:t>
      </w:r>
      <w:r>
        <w:t xml:space="preserve">the </w:t>
      </w:r>
      <w:r w:rsidR="003A4061" w:rsidRPr="00EA3CE7">
        <w:t xml:space="preserve">Australian </w:t>
      </w:r>
      <w:r w:rsidR="003A4061">
        <w:t>Data Archive</w:t>
      </w:r>
      <w:r w:rsidRPr="00EA3CE7">
        <w:t xml:space="preserve"> </w:t>
      </w:r>
      <w:r w:rsidR="00803E3D">
        <w:t>and LSAY websites</w:t>
      </w:r>
      <w:r w:rsidRPr="00EA3CE7">
        <w:t xml:space="preserve">. </w:t>
      </w:r>
    </w:p>
    <w:p w:rsidR="00122C76" w:rsidRDefault="00122C76" w:rsidP="00122C76">
      <w:pPr>
        <w:pStyle w:val="Text"/>
      </w:pPr>
      <w:r>
        <w:t>During the period over which the RIEF ran there were</w:t>
      </w:r>
      <w:r w:rsidRPr="00862724">
        <w:t xml:space="preserve"> only a few</w:t>
      </w:r>
      <w:r>
        <w:t xml:space="preserve"> </w:t>
      </w:r>
      <w:r w:rsidRPr="00862724">
        <w:t xml:space="preserve">enquiries </w:t>
      </w:r>
      <w:r w:rsidR="003A4061">
        <w:t xml:space="preserve">about data access </w:t>
      </w:r>
      <w:r w:rsidRPr="00862724">
        <w:t xml:space="preserve">and all </w:t>
      </w:r>
      <w:r>
        <w:t>were</w:t>
      </w:r>
      <w:r w:rsidRPr="00862724">
        <w:t xml:space="preserve"> from researchers outside Australia</w:t>
      </w:r>
      <w:r>
        <w:t>. O</w:t>
      </w:r>
      <w:r w:rsidRPr="00862724">
        <w:t>ne</w:t>
      </w:r>
      <w:r>
        <w:t xml:space="preserve"> application </w:t>
      </w:r>
      <w:r w:rsidRPr="00862724">
        <w:t xml:space="preserve">for funding </w:t>
      </w:r>
      <w:r>
        <w:t xml:space="preserve">was </w:t>
      </w:r>
      <w:r w:rsidRPr="00862724">
        <w:t>processed. This was for a researcher with the</w:t>
      </w:r>
      <w:r>
        <w:t xml:space="preserve"> </w:t>
      </w:r>
      <w:r w:rsidR="003A4061">
        <w:t>Organisation for Economic Co-operation and Development (</w:t>
      </w:r>
      <w:r w:rsidRPr="00862724">
        <w:t>OECD</w:t>
      </w:r>
      <w:r w:rsidR="003A4061">
        <w:t>)</w:t>
      </w:r>
      <w:r w:rsidRPr="00862724">
        <w:t xml:space="preserve"> Public Governance and Territorial Development Directorate</w:t>
      </w:r>
      <w:r w:rsidR="00DE7A5A">
        <w:t xml:space="preserve">, who requested </w:t>
      </w:r>
      <w:r w:rsidRPr="00862724">
        <w:t>access to the Y98 LSAY data.</w:t>
      </w:r>
      <w:r>
        <w:t xml:space="preserve"> The </w:t>
      </w:r>
      <w:r w:rsidR="003A4061" w:rsidRPr="00EA3CE7">
        <w:t xml:space="preserve">Australian </w:t>
      </w:r>
      <w:r w:rsidR="003A4061">
        <w:t>Data Archive</w:t>
      </w:r>
      <w:r>
        <w:t xml:space="preserve"> Manager</w:t>
      </w:r>
      <w:r w:rsidRPr="00EA3CE7">
        <w:t xml:space="preserve"> indicated that the </w:t>
      </w:r>
      <w:r>
        <w:t xml:space="preserve">other enquiries were </w:t>
      </w:r>
      <w:r w:rsidRPr="00EA3CE7">
        <w:t xml:space="preserve">eligible to access the LSAY data free </w:t>
      </w:r>
      <w:r w:rsidR="00FF6018">
        <w:t xml:space="preserve">of charge since they were from staff of </w:t>
      </w:r>
      <w:r w:rsidRPr="00EA3CE7">
        <w:t>universit</w:t>
      </w:r>
      <w:r>
        <w:t xml:space="preserve">ies </w:t>
      </w:r>
      <w:r w:rsidR="00FF6018">
        <w:t>that are</w:t>
      </w:r>
      <w:r>
        <w:t xml:space="preserve"> </w:t>
      </w:r>
      <w:r w:rsidRPr="00EA3CE7">
        <w:t>member</w:t>
      </w:r>
      <w:r>
        <w:t>s</w:t>
      </w:r>
      <w:r w:rsidRPr="00EA3CE7">
        <w:t xml:space="preserve"> of the Inter-University Consortium for Political and Social Research.</w:t>
      </w:r>
      <w:r>
        <w:t xml:space="preserve"> </w:t>
      </w:r>
    </w:p>
    <w:p w:rsidR="00122C76" w:rsidRDefault="00122C76" w:rsidP="00122C76">
      <w:pPr>
        <w:pStyle w:val="Text"/>
      </w:pPr>
      <w:r w:rsidRPr="006E1D28">
        <w:t xml:space="preserve">NCVER </w:t>
      </w:r>
      <w:r>
        <w:t xml:space="preserve">also </w:t>
      </w:r>
      <w:r w:rsidRPr="006E1D28">
        <w:t xml:space="preserve">maintains records of requests for access to the LSAY unit record data. Since NCVER commenced providing the analytical and reporting services for </w:t>
      </w:r>
      <w:r>
        <w:t>the LSAY program, the numbers of requests have</w:t>
      </w:r>
      <w:r w:rsidRPr="006E1D28">
        <w:t xml:space="preserve"> steadily increased</w:t>
      </w:r>
      <w:r w:rsidR="00FF6018">
        <w:t>,</w:t>
      </w:r>
      <w:r w:rsidRPr="006E1D28">
        <w:t xml:space="preserve"> from about 20 in 2008 up to about 40 in 2011. And while there were a </w:t>
      </w:r>
      <w:r w:rsidR="00FF6018">
        <w:t>significant</w:t>
      </w:r>
      <w:r w:rsidRPr="006E1D28">
        <w:t xml:space="preserve"> number of requests following the data workshop</w:t>
      </w:r>
      <w:r>
        <w:t>s</w:t>
      </w:r>
      <w:r w:rsidRPr="006E1D28">
        <w:t xml:space="preserve"> (conducted in </w:t>
      </w:r>
      <w:r>
        <w:t>late 2009 and mid</w:t>
      </w:r>
      <w:r w:rsidR="00FF6018">
        <w:t>-</w:t>
      </w:r>
      <w:r w:rsidRPr="006E1D28">
        <w:t>2010) we cannot be sure if these were directly linked.</w:t>
      </w:r>
    </w:p>
    <w:p w:rsidR="009A6347" w:rsidRDefault="00DF1E4B" w:rsidP="00CC3E0A">
      <w:pPr>
        <w:pStyle w:val="Heading2"/>
      </w:pPr>
      <w:bookmarkStart w:id="34" w:name="_Toc329613254"/>
      <w:r>
        <w:t>LSAY research reference guide</w:t>
      </w:r>
      <w:bookmarkEnd w:id="34"/>
    </w:p>
    <w:p w:rsidR="009A6347" w:rsidRPr="009A6347" w:rsidRDefault="00631687" w:rsidP="00122C76">
      <w:pPr>
        <w:pStyle w:val="Text"/>
        <w:rPr>
          <w:rFonts w:ascii="Verdana" w:hAnsi="Verdana"/>
        </w:rPr>
      </w:pPr>
      <w:r>
        <w:t>In 2004 a reference guide to the LSAY research reports,</w:t>
      </w:r>
      <w:r w:rsidRPr="00631687">
        <w:rPr>
          <w:rFonts w:ascii="Verdana" w:hAnsi="Verdana"/>
          <w:i/>
        </w:rPr>
        <w:t xml:space="preserve"> </w:t>
      </w:r>
      <w:r w:rsidRPr="0073773B">
        <w:rPr>
          <w:i/>
        </w:rPr>
        <w:t>What do we know about the experiences of Australian youth? An easy reference guide to Longitudinal Surveys of Australian Youth research reports, 1996</w:t>
      </w:r>
      <w:r w:rsidR="0073773B">
        <w:rPr>
          <w:i/>
        </w:rPr>
        <w:t>—</w:t>
      </w:r>
      <w:r w:rsidRPr="0073773B">
        <w:rPr>
          <w:i/>
        </w:rPr>
        <w:t>2003</w:t>
      </w:r>
      <w:r>
        <w:t xml:space="preserve"> was published by the Australian Council </w:t>
      </w:r>
      <w:r w:rsidR="008130C3">
        <w:t>for Educational R</w:t>
      </w:r>
      <w:r>
        <w:t xml:space="preserve">esearch. </w:t>
      </w:r>
      <w:r w:rsidR="00700B5D">
        <w:t xml:space="preserve">An additional component of </w:t>
      </w:r>
      <w:r w:rsidR="008130C3">
        <w:t xml:space="preserve">the </w:t>
      </w:r>
      <w:r w:rsidR="00700B5D">
        <w:t>REIF</w:t>
      </w:r>
      <w:r w:rsidR="009A6347">
        <w:t xml:space="preserve"> was </w:t>
      </w:r>
      <w:r w:rsidR="00E432D8">
        <w:t>an</w:t>
      </w:r>
      <w:r w:rsidR="009A6347">
        <w:t xml:space="preserve"> update </w:t>
      </w:r>
      <w:r w:rsidR="00E432D8">
        <w:t xml:space="preserve">of </w:t>
      </w:r>
      <w:r w:rsidR="00700B5D">
        <w:t>this</w:t>
      </w:r>
      <w:r w:rsidR="009A6347">
        <w:t xml:space="preserve"> guide</w:t>
      </w:r>
      <w:r w:rsidR="00700B5D">
        <w:t>, such that</w:t>
      </w:r>
      <w:r w:rsidR="009A6347">
        <w:t xml:space="preserve"> a single</w:t>
      </w:r>
      <w:r w:rsidR="008130C3">
        <w:t>,</w:t>
      </w:r>
      <w:r w:rsidR="009A6347">
        <w:t xml:space="preserve"> updated and current compendium and reference guide for LSAY research reports </w:t>
      </w:r>
      <w:r w:rsidR="008130C3">
        <w:t xml:space="preserve">now </w:t>
      </w:r>
      <w:r w:rsidR="009A6347">
        <w:t>exists.</w:t>
      </w:r>
    </w:p>
    <w:p w:rsidR="004C15E4" w:rsidRDefault="00631687" w:rsidP="009A6347">
      <w:pPr>
        <w:pStyle w:val="Heading1"/>
      </w:pPr>
      <w:r>
        <w:br w:type="page"/>
      </w:r>
      <w:bookmarkStart w:id="35" w:name="_Toc329613255"/>
      <w:r w:rsidR="004C15E4">
        <w:lastRenderedPageBreak/>
        <w:t>Methodology</w:t>
      </w:r>
      <w:bookmarkEnd w:id="35"/>
    </w:p>
    <w:p w:rsidR="00130677" w:rsidRDefault="004C15E4" w:rsidP="004C15E4">
      <w:pPr>
        <w:pStyle w:val="Text"/>
      </w:pPr>
      <w:r>
        <w:t xml:space="preserve">This study </w:t>
      </w:r>
      <w:r w:rsidR="00C96CAC">
        <w:t>uses</w:t>
      </w:r>
      <w:r>
        <w:t xml:space="preserve"> the model for assessing </w:t>
      </w:r>
      <w:r w:rsidR="008130C3">
        <w:t xml:space="preserve">the </w:t>
      </w:r>
      <w:r>
        <w:t xml:space="preserve">impact </w:t>
      </w:r>
      <w:r w:rsidR="008130C3">
        <w:t xml:space="preserve">of research, </w:t>
      </w:r>
      <w:r>
        <w:t xml:space="preserve">developed </w:t>
      </w:r>
      <w:r w:rsidR="009C6DE1">
        <w:t xml:space="preserve">by NCVER </w:t>
      </w:r>
      <w:r>
        <w:t xml:space="preserve">in </w:t>
      </w:r>
      <w:r w:rsidR="00C96CAC">
        <w:t>2008</w:t>
      </w:r>
      <w:r w:rsidR="00700B5D">
        <w:t>,</w:t>
      </w:r>
      <w:r w:rsidR="009D7C4D">
        <w:rPr>
          <w:rStyle w:val="FootnoteReference"/>
        </w:rPr>
        <w:footnoteReference w:id="4"/>
      </w:r>
      <w:r w:rsidR="009C6DE1">
        <w:t xml:space="preserve"> </w:t>
      </w:r>
      <w:r w:rsidR="008130C3">
        <w:t xml:space="preserve">whereby </w:t>
      </w:r>
      <w:r>
        <w:t xml:space="preserve">impact </w:t>
      </w:r>
      <w:r w:rsidR="008130C3">
        <w:t xml:space="preserve">is evaluated </w:t>
      </w:r>
      <w:r>
        <w:t xml:space="preserve">across </w:t>
      </w:r>
      <w:r w:rsidR="009C6DE1">
        <w:t xml:space="preserve">the </w:t>
      </w:r>
      <w:r>
        <w:t>four do</w:t>
      </w:r>
      <w:r w:rsidR="009C6DE1">
        <w:t>mains of</w:t>
      </w:r>
      <w:r w:rsidR="008130C3">
        <w:t>:</w:t>
      </w:r>
      <w:r w:rsidR="009C6DE1">
        <w:t xml:space="preserve"> </w:t>
      </w:r>
      <w:r w:rsidR="008130C3">
        <w:t xml:space="preserve">producing </w:t>
      </w:r>
      <w:r w:rsidR="009C6DE1">
        <w:t xml:space="preserve">knowledge, </w:t>
      </w:r>
      <w:r w:rsidR="008130C3">
        <w:t xml:space="preserve">building </w:t>
      </w:r>
      <w:r w:rsidR="009C6DE1">
        <w:t>capacity, informing policy and informing practice</w:t>
      </w:r>
      <w:r>
        <w:t xml:space="preserve">. </w:t>
      </w:r>
      <w:r w:rsidR="00DF5A33">
        <w:t>Combinations of qualitative and quantitative impact indicators are</w:t>
      </w:r>
      <w:r w:rsidR="00A64364">
        <w:t xml:space="preserve"> used</w:t>
      </w:r>
      <w:r>
        <w:t xml:space="preserve">. </w:t>
      </w:r>
      <w:r w:rsidR="008130C3">
        <w:t>The approach is pragmatic:</w:t>
      </w:r>
      <w:r w:rsidR="00824556">
        <w:t xml:space="preserve"> using experts to provide informed opinion</w:t>
      </w:r>
      <w:r w:rsidR="008130C3">
        <w:t>, and</w:t>
      </w:r>
      <w:r w:rsidR="00824556">
        <w:t xml:space="preserve"> a broad range of citation indicators</w:t>
      </w:r>
      <w:r w:rsidR="008130C3">
        <w:t>, the latter acting</w:t>
      </w:r>
      <w:r w:rsidR="00824556">
        <w:t xml:space="preserve"> as proxy measures of impact.</w:t>
      </w:r>
    </w:p>
    <w:p w:rsidR="00824556" w:rsidRDefault="00824556" w:rsidP="00824556">
      <w:pPr>
        <w:pStyle w:val="Text"/>
      </w:pPr>
      <w:r>
        <w:t>The model also acknowledges a number of key elements on which NCVER places high importance and which have been successful</w:t>
      </w:r>
      <w:r w:rsidR="009C6DE1">
        <w:t xml:space="preserve">ly implemented over many years. All of these approaches are aimed at </w:t>
      </w:r>
      <w:r w:rsidR="00266B83">
        <w:t>maximising</w:t>
      </w:r>
      <w:r w:rsidR="009C6DE1">
        <w:t xml:space="preserve"> the impact of research. </w:t>
      </w:r>
      <w:r>
        <w:t>These include:</w:t>
      </w:r>
    </w:p>
    <w:p w:rsidR="00824556" w:rsidRDefault="00824556" w:rsidP="00824556">
      <w:pPr>
        <w:pStyle w:val="Dotpoint1"/>
      </w:pPr>
      <w:r>
        <w:t>establishing the priorities and purpose of the research with some involvement from end-users</w:t>
      </w:r>
      <w:r w:rsidR="008130C3">
        <w:t>,</w:t>
      </w:r>
      <w:r w:rsidR="009C6DE1">
        <w:t xml:space="preserve"> where appropriate</w:t>
      </w:r>
    </w:p>
    <w:p w:rsidR="00824556" w:rsidRDefault="00824556" w:rsidP="00824556">
      <w:pPr>
        <w:pStyle w:val="Dotpoint1"/>
      </w:pPr>
      <w:r>
        <w:t>adopting multiple dissemination strategies</w:t>
      </w:r>
      <w:r w:rsidR="00AF4B3C">
        <w:t>,</w:t>
      </w:r>
      <w:r>
        <w:t xml:space="preserve"> acknowledging the diverse needs of the sector</w:t>
      </w:r>
    </w:p>
    <w:p w:rsidR="009C6DE1" w:rsidRDefault="00824556" w:rsidP="00824556">
      <w:pPr>
        <w:pStyle w:val="Dotpoint1"/>
      </w:pPr>
      <w:r>
        <w:t>engaging with stakeholders throughout the research cycle</w:t>
      </w:r>
    </w:p>
    <w:p w:rsidR="00824556" w:rsidRDefault="009C6DE1" w:rsidP="00824556">
      <w:pPr>
        <w:pStyle w:val="Dotpoint1"/>
      </w:pPr>
      <w:r>
        <w:t>managing independent commissioned research through a competitive funding round process, ongoing quality assurance and advice on methodological and dissemination treatments, peer review, data checking and editing</w:t>
      </w:r>
      <w:r w:rsidR="00824556">
        <w:t>.</w:t>
      </w:r>
    </w:p>
    <w:p w:rsidR="004C15E4" w:rsidRDefault="004C15E4" w:rsidP="004C15E4">
      <w:pPr>
        <w:pStyle w:val="Text"/>
      </w:pPr>
      <w:r>
        <w:t xml:space="preserve">The primary sources of information </w:t>
      </w:r>
      <w:r w:rsidR="00C96CAC">
        <w:t xml:space="preserve">for </w:t>
      </w:r>
      <w:r w:rsidR="00130677">
        <w:t>this</w:t>
      </w:r>
      <w:r w:rsidR="00C96CAC">
        <w:t xml:space="preserve"> case study </w:t>
      </w:r>
      <w:r w:rsidR="00965CF8">
        <w:t>included</w:t>
      </w:r>
      <w:r>
        <w:t>:</w:t>
      </w:r>
    </w:p>
    <w:p w:rsidR="004C15E4" w:rsidRDefault="00130677" w:rsidP="00C96CAC">
      <w:pPr>
        <w:pStyle w:val="Dotpoint1"/>
      </w:pPr>
      <w:r>
        <w:t>a</w:t>
      </w:r>
      <w:r w:rsidR="004C15E4">
        <w:t>nalysis of project information and intended impacts</w:t>
      </w:r>
    </w:p>
    <w:p w:rsidR="004C15E4" w:rsidRDefault="00130677" w:rsidP="00E81087">
      <w:pPr>
        <w:pStyle w:val="Dotpoint1"/>
      </w:pPr>
      <w:r>
        <w:t>a</w:t>
      </w:r>
      <w:r w:rsidR="004C15E4">
        <w:t xml:space="preserve"> bibliometric analysis, undertaken by specialist information serv</w:t>
      </w:r>
      <w:r w:rsidR="00027822">
        <w:t>ices staff</w:t>
      </w:r>
      <w:r w:rsidR="00E81087">
        <w:t xml:space="preserve"> using Google, Google Scholar, Publish or Perish, Scopus, VO</w:t>
      </w:r>
      <w:r w:rsidR="0073773B">
        <w:t>C</w:t>
      </w:r>
      <w:r w:rsidR="00E81087">
        <w:t>EDplus full t</w:t>
      </w:r>
      <w:r w:rsidR="00612E84">
        <w:t>ext and parliamentary databases. These have been</w:t>
      </w:r>
      <w:r w:rsidR="00E81087">
        <w:t xml:space="preserve"> </w:t>
      </w:r>
      <w:r w:rsidR="004C15E4">
        <w:t xml:space="preserve">supplemented by records of </w:t>
      </w:r>
      <w:r w:rsidR="00625744">
        <w:t xml:space="preserve">media citations held by NCVER </w:t>
      </w:r>
      <w:r>
        <w:t>and Google Analytics data</w:t>
      </w:r>
    </w:p>
    <w:p w:rsidR="004C15E4" w:rsidRDefault="00130677" w:rsidP="00C96CAC">
      <w:pPr>
        <w:pStyle w:val="Dotpoint1"/>
      </w:pPr>
      <w:r>
        <w:t>i</w:t>
      </w:r>
      <w:r w:rsidR="004C15E4">
        <w:t>nterviews with six r</w:t>
      </w:r>
      <w:r w:rsidR="00612E84">
        <w:t>esearchers and eight end-users (</w:t>
      </w:r>
      <w:r w:rsidR="009E1E1D">
        <w:t xml:space="preserve">see table </w:t>
      </w:r>
      <w:r w:rsidR="00A564E1">
        <w:t>1</w:t>
      </w:r>
      <w:r w:rsidR="00612E84">
        <w:t>)</w:t>
      </w:r>
      <w:r w:rsidR="009E1E1D">
        <w:t xml:space="preserve">. </w:t>
      </w:r>
      <w:r w:rsidR="00873522">
        <w:t xml:space="preserve">End-users were identified either as a contact suggested by the researcher or </w:t>
      </w:r>
      <w:r w:rsidR="008130C3">
        <w:t xml:space="preserve">by </w:t>
      </w:r>
      <w:r w:rsidR="00873522">
        <w:t xml:space="preserve">random sampling from attendees at the youth policy forum or data workshops. </w:t>
      </w:r>
      <w:r w:rsidR="009E1E1D">
        <w:t>A</w:t>
      </w:r>
      <w:r w:rsidR="004C15E4">
        <w:t xml:space="preserve"> semi</w:t>
      </w:r>
      <w:r w:rsidR="00625744">
        <w:t>-structured interview approach</w:t>
      </w:r>
      <w:r w:rsidR="008130C3">
        <w:t>,</w:t>
      </w:r>
      <w:r w:rsidR="00625744">
        <w:t xml:space="preserve"> </w:t>
      </w:r>
      <w:r w:rsidR="00612E84">
        <w:t>designed to capture</w:t>
      </w:r>
      <w:r w:rsidR="004C15E4">
        <w:t xml:space="preserve"> the various categories of im</w:t>
      </w:r>
      <w:r w:rsidR="009E1E1D">
        <w:t>pact according to NCVER’s model</w:t>
      </w:r>
      <w:r w:rsidR="008130C3">
        <w:t>,</w:t>
      </w:r>
      <w:r w:rsidR="009E1E1D">
        <w:t xml:space="preserve"> was used</w:t>
      </w:r>
      <w:r w:rsidR="004C15E4">
        <w:t>. In addition</w:t>
      </w:r>
      <w:r w:rsidR="00612E84">
        <w:t>,</w:t>
      </w:r>
      <w:r w:rsidR="004C15E4">
        <w:t xml:space="preserve"> interviews were undertaken with two NCVER staff members responsible for management of the LSAY program and the LSAY RIEF research program. </w:t>
      </w:r>
    </w:p>
    <w:p w:rsidR="00873522" w:rsidRDefault="00873522" w:rsidP="00873522">
      <w:pPr>
        <w:pStyle w:val="Text"/>
      </w:pPr>
      <w:r>
        <w:t xml:space="preserve">The detailed findings from the bibliometric analysis of each research report and </w:t>
      </w:r>
      <w:r w:rsidR="008130C3">
        <w:t xml:space="preserve">the </w:t>
      </w:r>
      <w:r>
        <w:t>interviews are</w:t>
      </w:r>
      <w:r w:rsidR="00CC3E0A">
        <w:t> </w:t>
      </w:r>
      <w:r>
        <w:t xml:space="preserve">contained in the </w:t>
      </w:r>
      <w:r w:rsidRPr="008D0527">
        <w:t>support document</w:t>
      </w:r>
      <w:r>
        <w:t xml:space="preserve"> to this report</w:t>
      </w:r>
      <w:r w:rsidR="008D0527">
        <w:t xml:space="preserve"> available at &lt;http://www.ncver.edu.au/publications/2513.html&gt;</w:t>
      </w:r>
      <w:r>
        <w:t>.</w:t>
      </w:r>
    </w:p>
    <w:p w:rsidR="004C15E4" w:rsidRDefault="00A564E1" w:rsidP="00751C29">
      <w:pPr>
        <w:pStyle w:val="tabletitle"/>
      </w:pPr>
      <w:r>
        <w:br w:type="page"/>
      </w:r>
      <w:bookmarkStart w:id="36" w:name="_Toc329613282"/>
      <w:r w:rsidR="004C15E4">
        <w:lastRenderedPageBreak/>
        <w:t xml:space="preserve">Table </w:t>
      </w:r>
      <w:r>
        <w:t>1</w:t>
      </w:r>
      <w:r w:rsidR="00CC3E0A">
        <w:tab/>
      </w:r>
      <w:r w:rsidR="00625744">
        <w:t>Researchers and end-users interviewed</w:t>
      </w:r>
      <w:bookmarkEnd w:id="36"/>
    </w:p>
    <w:tbl>
      <w:tblPr>
        <w:tblW w:w="8789" w:type="dxa"/>
        <w:tblInd w:w="108" w:type="dxa"/>
        <w:tblLayout w:type="fixed"/>
        <w:tblLook w:val="04A0"/>
      </w:tblPr>
      <w:tblGrid>
        <w:gridCol w:w="5432"/>
        <w:gridCol w:w="3357"/>
      </w:tblGrid>
      <w:tr w:rsidR="00CD722C" w:rsidTr="00CC3E0A">
        <w:tc>
          <w:tcPr>
            <w:tcW w:w="5060" w:type="dxa"/>
            <w:tcBorders>
              <w:top w:val="single" w:sz="4" w:space="0" w:color="auto"/>
              <w:bottom w:val="single" w:sz="4" w:space="0" w:color="auto"/>
            </w:tcBorders>
          </w:tcPr>
          <w:p w:rsidR="00CD722C" w:rsidRDefault="00CD722C" w:rsidP="00E81087">
            <w:pPr>
              <w:pStyle w:val="Tablehead1"/>
            </w:pPr>
            <w:r>
              <w:t>Researcher or organisation</w:t>
            </w:r>
          </w:p>
        </w:tc>
        <w:tc>
          <w:tcPr>
            <w:tcW w:w="3127" w:type="dxa"/>
            <w:tcBorders>
              <w:top w:val="single" w:sz="4" w:space="0" w:color="auto"/>
              <w:bottom w:val="single" w:sz="4" w:space="0" w:color="auto"/>
            </w:tcBorders>
          </w:tcPr>
          <w:p w:rsidR="00CD722C" w:rsidRDefault="00CD722C" w:rsidP="00E81087">
            <w:pPr>
              <w:pStyle w:val="Tablehead1"/>
            </w:pPr>
            <w:r>
              <w:t>Link to LSAY RIEF program</w:t>
            </w:r>
          </w:p>
        </w:tc>
      </w:tr>
      <w:tr w:rsidR="00CD722C" w:rsidTr="00CC3E0A">
        <w:tc>
          <w:tcPr>
            <w:tcW w:w="5060" w:type="dxa"/>
            <w:tcBorders>
              <w:top w:val="single" w:sz="4" w:space="0" w:color="auto"/>
            </w:tcBorders>
          </w:tcPr>
          <w:p w:rsidR="00CD722C" w:rsidRPr="00CD722C" w:rsidRDefault="009D7C4D" w:rsidP="00CD722C">
            <w:pPr>
              <w:pStyle w:val="Tabletext"/>
            </w:pPr>
            <w:r>
              <w:t>Mike Dockery, Siobhan Austen, Joanna Sikora, Kylie H</w:t>
            </w:r>
            <w:r w:rsidR="00A32CDD">
              <w:t>illman, Darcy Fitzpatrick, Jung-</w:t>
            </w:r>
            <w:r>
              <w:t>Sook Lee</w:t>
            </w:r>
          </w:p>
        </w:tc>
        <w:tc>
          <w:tcPr>
            <w:tcW w:w="3127" w:type="dxa"/>
            <w:tcBorders>
              <w:top w:val="single" w:sz="4" w:space="0" w:color="auto"/>
            </w:tcBorders>
          </w:tcPr>
          <w:p w:rsidR="00CD722C" w:rsidRDefault="009D7C4D" w:rsidP="00E81087">
            <w:pPr>
              <w:pStyle w:val="Tabletext"/>
            </w:pPr>
            <w:r>
              <w:t>Researchers</w:t>
            </w:r>
          </w:p>
        </w:tc>
      </w:tr>
      <w:tr w:rsidR="00CD722C" w:rsidTr="00CC3E0A">
        <w:tc>
          <w:tcPr>
            <w:tcW w:w="5060" w:type="dxa"/>
          </w:tcPr>
          <w:p w:rsidR="00CD722C" w:rsidRDefault="00CD722C" w:rsidP="00DC6057">
            <w:pPr>
              <w:pStyle w:val="Tabletext"/>
              <w:spacing w:before="80"/>
            </w:pPr>
            <w:r>
              <w:t>Department of Education, Employment and Workplace Relations</w:t>
            </w:r>
          </w:p>
        </w:tc>
        <w:tc>
          <w:tcPr>
            <w:tcW w:w="3127" w:type="dxa"/>
          </w:tcPr>
          <w:p w:rsidR="00CD722C" w:rsidRDefault="00CD722C" w:rsidP="0073773B">
            <w:pPr>
              <w:pStyle w:val="Tabletext"/>
              <w:spacing w:before="80"/>
            </w:pPr>
            <w:r>
              <w:t>Suggest</w:t>
            </w:r>
            <w:r w:rsidR="009C6DE1">
              <w:t>ed by researcher (Fitzpatrick)</w:t>
            </w:r>
            <w:r>
              <w:t xml:space="preserve"> </w:t>
            </w:r>
          </w:p>
        </w:tc>
      </w:tr>
      <w:tr w:rsidR="00CD722C" w:rsidTr="00CC3E0A">
        <w:tc>
          <w:tcPr>
            <w:tcW w:w="5060" w:type="dxa"/>
          </w:tcPr>
          <w:p w:rsidR="00CD722C" w:rsidRDefault="00CD722C" w:rsidP="00DC6057">
            <w:pPr>
              <w:pStyle w:val="Tabletext"/>
              <w:spacing w:before="80"/>
            </w:pPr>
            <w:r>
              <w:t>Social Policy Evaluation</w:t>
            </w:r>
            <w:r w:rsidR="003F3C2A">
              <w:t>, Analysis</w:t>
            </w:r>
            <w:r>
              <w:t xml:space="preserve"> and Research Centre, ANU (contact now at University of Victoria, Canada)</w:t>
            </w:r>
          </w:p>
        </w:tc>
        <w:tc>
          <w:tcPr>
            <w:tcW w:w="3127" w:type="dxa"/>
          </w:tcPr>
          <w:p w:rsidR="00CD722C" w:rsidRDefault="009C6DE1" w:rsidP="00DC6057">
            <w:pPr>
              <w:pStyle w:val="Tabletext"/>
              <w:spacing w:before="80"/>
            </w:pPr>
            <w:r>
              <w:t xml:space="preserve">Attended the </w:t>
            </w:r>
            <w:r w:rsidR="00873522">
              <w:t xml:space="preserve">youth </w:t>
            </w:r>
            <w:r w:rsidR="00894F76">
              <w:t>policy forum</w:t>
            </w:r>
          </w:p>
        </w:tc>
      </w:tr>
      <w:tr w:rsidR="00CD722C" w:rsidTr="00CC3E0A">
        <w:tc>
          <w:tcPr>
            <w:tcW w:w="5060" w:type="dxa"/>
          </w:tcPr>
          <w:p w:rsidR="00CD722C" w:rsidRDefault="00CD722C" w:rsidP="00DC6057">
            <w:pPr>
              <w:pStyle w:val="Tabletext"/>
              <w:spacing w:before="80"/>
            </w:pPr>
            <w:r>
              <w:t>Trade Training Centre Project Manager, Polytechnic Tasmania</w:t>
            </w:r>
          </w:p>
        </w:tc>
        <w:tc>
          <w:tcPr>
            <w:tcW w:w="3127" w:type="dxa"/>
          </w:tcPr>
          <w:p w:rsidR="00CD722C" w:rsidRDefault="009C6DE1" w:rsidP="00DC6057">
            <w:pPr>
              <w:pStyle w:val="Tabletext"/>
              <w:spacing w:before="80"/>
            </w:pPr>
            <w:r>
              <w:t xml:space="preserve">Attended the </w:t>
            </w:r>
            <w:r w:rsidR="00873522">
              <w:t xml:space="preserve">youth </w:t>
            </w:r>
            <w:r w:rsidR="00894F76">
              <w:t>policy forum</w:t>
            </w:r>
          </w:p>
        </w:tc>
      </w:tr>
      <w:tr w:rsidR="00CD722C" w:rsidTr="00CC3E0A">
        <w:tc>
          <w:tcPr>
            <w:tcW w:w="5060" w:type="dxa"/>
          </w:tcPr>
          <w:p w:rsidR="00CD722C" w:rsidRDefault="00CD722C" w:rsidP="00DC6057">
            <w:pPr>
              <w:pStyle w:val="Tabletext"/>
              <w:spacing w:before="80"/>
            </w:pPr>
            <w:r>
              <w:t>Outcomes and Evaluation Division, Department of Education and Early Childhood Development</w:t>
            </w:r>
            <w:r w:rsidR="002A285F">
              <w:t>, Victoria</w:t>
            </w:r>
          </w:p>
        </w:tc>
        <w:tc>
          <w:tcPr>
            <w:tcW w:w="3127" w:type="dxa"/>
          </w:tcPr>
          <w:p w:rsidR="00CD722C" w:rsidRDefault="00873522" w:rsidP="00DC6057">
            <w:pPr>
              <w:pStyle w:val="Tabletext"/>
              <w:spacing w:before="80"/>
            </w:pPr>
            <w:r>
              <w:t xml:space="preserve">Attended the Melbourne data </w:t>
            </w:r>
            <w:r w:rsidR="00894F76">
              <w:t>workshop and youth policy forum</w:t>
            </w:r>
          </w:p>
        </w:tc>
      </w:tr>
      <w:tr w:rsidR="00CD722C" w:rsidTr="00CC3E0A">
        <w:tc>
          <w:tcPr>
            <w:tcW w:w="5060" w:type="dxa"/>
          </w:tcPr>
          <w:p w:rsidR="00CD722C" w:rsidRDefault="00CD722C" w:rsidP="00DC6057">
            <w:pPr>
              <w:pStyle w:val="Tabletext"/>
              <w:spacing w:before="80"/>
            </w:pPr>
            <w:r>
              <w:t>Polytechnic West</w:t>
            </w:r>
          </w:p>
        </w:tc>
        <w:tc>
          <w:tcPr>
            <w:tcW w:w="3127" w:type="dxa"/>
          </w:tcPr>
          <w:p w:rsidR="00CD722C" w:rsidRDefault="00873522" w:rsidP="00DC6057">
            <w:pPr>
              <w:pStyle w:val="Tabletext"/>
              <w:spacing w:before="80"/>
            </w:pPr>
            <w:r>
              <w:t>Attended the youth policy forum.</w:t>
            </w:r>
          </w:p>
        </w:tc>
      </w:tr>
      <w:tr w:rsidR="00CD722C" w:rsidTr="00CC3E0A">
        <w:tc>
          <w:tcPr>
            <w:tcW w:w="5060" w:type="dxa"/>
          </w:tcPr>
          <w:p w:rsidR="00CD722C" w:rsidRDefault="00CD722C" w:rsidP="00DC6057">
            <w:pPr>
              <w:pStyle w:val="Tabletext"/>
              <w:spacing w:before="80"/>
            </w:pPr>
            <w:r>
              <w:t>CareerLink; VETNetwork</w:t>
            </w:r>
          </w:p>
        </w:tc>
        <w:tc>
          <w:tcPr>
            <w:tcW w:w="3127" w:type="dxa"/>
          </w:tcPr>
          <w:p w:rsidR="00CD722C" w:rsidRDefault="00CD722C" w:rsidP="00DC6057">
            <w:pPr>
              <w:pStyle w:val="Tabletext"/>
              <w:spacing w:before="80"/>
            </w:pPr>
            <w:r>
              <w:t>Sug</w:t>
            </w:r>
            <w:r w:rsidR="00894F76">
              <w:t>gested by researcher (Dockery) ;</w:t>
            </w:r>
            <w:r>
              <w:t xml:space="preserve"> contact from VETnetwork and Career Development Association, who invited </w:t>
            </w:r>
            <w:r w:rsidR="00894F76">
              <w:t>Dockery to speak</w:t>
            </w:r>
          </w:p>
        </w:tc>
      </w:tr>
      <w:tr w:rsidR="00873522" w:rsidTr="00CC3E0A">
        <w:tc>
          <w:tcPr>
            <w:tcW w:w="5060" w:type="dxa"/>
          </w:tcPr>
          <w:p w:rsidR="00873522" w:rsidRDefault="00873522" w:rsidP="00DC6057">
            <w:pPr>
              <w:pStyle w:val="Tabletext"/>
              <w:spacing w:before="80"/>
            </w:pPr>
            <w:r>
              <w:t>Highlands Local Learning and Employment Network</w:t>
            </w:r>
            <w:r w:rsidR="003F3C2A">
              <w:t xml:space="preserve"> (Vic.)</w:t>
            </w:r>
          </w:p>
        </w:tc>
        <w:tc>
          <w:tcPr>
            <w:tcW w:w="3127" w:type="dxa"/>
          </w:tcPr>
          <w:p w:rsidR="00873522" w:rsidRDefault="00873522" w:rsidP="00DC6057">
            <w:pPr>
              <w:pStyle w:val="Tabletext"/>
              <w:spacing w:before="80"/>
            </w:pPr>
            <w:r>
              <w:t>Attended t</w:t>
            </w:r>
            <w:r w:rsidR="00894F76">
              <w:t>he youth policy forum</w:t>
            </w:r>
          </w:p>
        </w:tc>
      </w:tr>
      <w:tr w:rsidR="00873522" w:rsidTr="00CC3E0A">
        <w:tc>
          <w:tcPr>
            <w:tcW w:w="5060" w:type="dxa"/>
            <w:tcBorders>
              <w:bottom w:val="single" w:sz="4" w:space="0" w:color="auto"/>
            </w:tcBorders>
          </w:tcPr>
          <w:p w:rsidR="00873522" w:rsidRDefault="00873522" w:rsidP="00DC6057">
            <w:pPr>
              <w:pStyle w:val="Tabletext"/>
              <w:spacing w:before="80"/>
            </w:pPr>
            <w:r>
              <w:t>North Central Local Learning and Employment Network</w:t>
            </w:r>
            <w:r w:rsidR="003F3C2A">
              <w:t xml:space="preserve"> (Vic.)</w:t>
            </w:r>
          </w:p>
        </w:tc>
        <w:tc>
          <w:tcPr>
            <w:tcW w:w="3127" w:type="dxa"/>
            <w:tcBorders>
              <w:bottom w:val="single" w:sz="4" w:space="0" w:color="auto"/>
            </w:tcBorders>
          </w:tcPr>
          <w:p w:rsidR="00873522" w:rsidRDefault="00894F76" w:rsidP="00DC6057">
            <w:pPr>
              <w:pStyle w:val="Tabletext"/>
              <w:spacing w:before="80"/>
            </w:pPr>
            <w:r>
              <w:t>Attended the youth policy forum</w:t>
            </w:r>
          </w:p>
        </w:tc>
      </w:tr>
    </w:tbl>
    <w:p w:rsidR="00873522" w:rsidRDefault="00873522" w:rsidP="00DC6057">
      <w:pPr>
        <w:pStyle w:val="Heading2"/>
      </w:pPr>
      <w:bookmarkStart w:id="37" w:name="_Toc329613256"/>
      <w:r>
        <w:t>Caveats</w:t>
      </w:r>
      <w:bookmarkEnd w:id="37"/>
    </w:p>
    <w:p w:rsidR="00873522" w:rsidRDefault="00873522" w:rsidP="00873522">
      <w:pPr>
        <w:pStyle w:val="Text"/>
      </w:pPr>
      <w:r>
        <w:t xml:space="preserve">The interviews with the end-users </w:t>
      </w:r>
      <w:r w:rsidR="00894F76">
        <w:t>did not involve discussion</w:t>
      </w:r>
      <w:r>
        <w:t xml:space="preserve"> about </w:t>
      </w:r>
      <w:r w:rsidR="00894F76">
        <w:t xml:space="preserve">the </w:t>
      </w:r>
      <w:r>
        <w:t xml:space="preserve">individual research reports but about </w:t>
      </w:r>
      <w:r w:rsidR="003F3C2A">
        <w:t>interviewees’</w:t>
      </w:r>
      <w:r>
        <w:t xml:space="preserve"> engagement</w:t>
      </w:r>
      <w:r w:rsidR="009F466D">
        <w:t xml:space="preserve"> overall with the LSAY research or</w:t>
      </w:r>
      <w:r>
        <w:t xml:space="preserve"> </w:t>
      </w:r>
      <w:r w:rsidR="009F466D">
        <w:t xml:space="preserve">the </w:t>
      </w:r>
      <w:r>
        <w:t>forum or data workshop</w:t>
      </w:r>
      <w:r w:rsidR="003F3C2A">
        <w:t>s</w:t>
      </w:r>
      <w:r w:rsidR="009F466D">
        <w:t>,</w:t>
      </w:r>
      <w:r>
        <w:t xml:space="preserve"> depending on their links to the program. This is because the end-users interviewed varied in their knowledge and involvement with LSAY and their use </w:t>
      </w:r>
      <w:r w:rsidR="003F3C2A">
        <w:t xml:space="preserve">of </w:t>
      </w:r>
      <w:r>
        <w:t>and engagem</w:t>
      </w:r>
      <w:r w:rsidR="009F466D">
        <w:t>ent with the research projects: they were</w:t>
      </w:r>
      <w:r>
        <w:t xml:space="preserve"> either more familiar with one or two </w:t>
      </w:r>
      <w:r w:rsidR="00A548B1">
        <w:t xml:space="preserve">specific </w:t>
      </w:r>
      <w:r>
        <w:t xml:space="preserve">reports or </w:t>
      </w:r>
      <w:r w:rsidR="00A548B1">
        <w:t xml:space="preserve">had a </w:t>
      </w:r>
      <w:r>
        <w:t xml:space="preserve">general awareness of all the research reports. </w:t>
      </w:r>
      <w:r w:rsidR="003F3C2A">
        <w:t>Consequently</w:t>
      </w:r>
      <w:r>
        <w:t>, the outcomes from the end-user interviews are not reported against individual research reports.</w:t>
      </w:r>
    </w:p>
    <w:p w:rsidR="00873522" w:rsidRDefault="00873522" w:rsidP="00873522">
      <w:pPr>
        <w:pStyle w:val="Text"/>
      </w:pPr>
      <w:r>
        <w:t xml:space="preserve">NCVER acknowledges </w:t>
      </w:r>
      <w:r w:rsidR="00A548B1">
        <w:t xml:space="preserve">that </w:t>
      </w:r>
      <w:r>
        <w:t xml:space="preserve">the sources of information and </w:t>
      </w:r>
      <w:r w:rsidR="00A548B1">
        <w:t xml:space="preserve">the </w:t>
      </w:r>
      <w:r>
        <w:t>ways of capturing them in the bibliometric analysis are proxies for impact; they are not ‘measures of impact’. NCVER also applies fairly broad definitions across the categories of impact, indicators and sources of information. Our bibliometric analysis involving citation indexes and web searching does not apply a strict metrics or ranking criterion</w:t>
      </w:r>
      <w:r w:rsidR="00A548B1">
        <w:t>, which</w:t>
      </w:r>
      <w:r>
        <w:t xml:space="preserve"> is more suited to the hard sciences. Rather, for our purposes, citations involve references across a range of mediums</w:t>
      </w:r>
      <w:r w:rsidR="00A548B1">
        <w:t>,</w:t>
      </w:r>
      <w:r>
        <w:t xml:space="preserve"> including parliamentary databases. </w:t>
      </w:r>
    </w:p>
    <w:p w:rsidR="00873522" w:rsidRDefault="00873522" w:rsidP="00873522">
      <w:pPr>
        <w:pStyle w:val="Text"/>
      </w:pPr>
      <w:r>
        <w:t>Given the reference period for this case study is only one to two years from the publication date</w:t>
      </w:r>
      <w:r w:rsidR="00A548B1">
        <w:t>,</w:t>
      </w:r>
      <w:r>
        <w:t xml:space="preserve"> it is too early for the full effects of citation to be realised. It takes time for a research report to collect citations, and</w:t>
      </w:r>
      <w:r w:rsidR="004423DA">
        <w:t>,</w:t>
      </w:r>
      <w:r>
        <w:t xml:space="preserve"> as our previous study revealed</w:t>
      </w:r>
      <w:r w:rsidR="004423DA">
        <w:t>,</w:t>
      </w:r>
      <w:r>
        <w:t xml:space="preserve"> the ideal reference period for a citation analysis is three to five years fol</w:t>
      </w:r>
      <w:r w:rsidR="004423DA">
        <w:t>lowing publication</w:t>
      </w:r>
      <w:r>
        <w:t>. In the longer term</w:t>
      </w:r>
      <w:r w:rsidR="004423DA">
        <w:t>,</w:t>
      </w:r>
      <w:r>
        <w:t xml:space="preserve"> citations in other </w:t>
      </w:r>
      <w:r w:rsidR="004423DA">
        <w:t xml:space="preserve">research </w:t>
      </w:r>
      <w:r>
        <w:t>documents will be an important source of knowledge production.</w:t>
      </w:r>
    </w:p>
    <w:p w:rsidR="004C15E4" w:rsidRDefault="00F527E1" w:rsidP="007830D8">
      <w:pPr>
        <w:pStyle w:val="Heading1"/>
      </w:pPr>
      <w:r>
        <w:br w:type="page"/>
      </w:r>
      <w:bookmarkStart w:id="38" w:name="_Toc329613257"/>
      <w:r w:rsidR="004C15E4">
        <w:lastRenderedPageBreak/>
        <w:t>Findings</w:t>
      </w:r>
      <w:bookmarkEnd w:id="38"/>
    </w:p>
    <w:p w:rsidR="009F18E1" w:rsidRDefault="009F18E1" w:rsidP="009F18E1">
      <w:pPr>
        <w:pStyle w:val="Text"/>
      </w:pPr>
      <w:r>
        <w:t xml:space="preserve">Table </w:t>
      </w:r>
      <w:r w:rsidR="00E27BBE">
        <w:t>2</w:t>
      </w:r>
      <w:r>
        <w:t xml:space="preserve"> summarises the main impacts arising from the six primary LSAY RIEF reports across the four categories of </w:t>
      </w:r>
      <w:r w:rsidR="004423DA">
        <w:t xml:space="preserve">producing </w:t>
      </w:r>
      <w:r>
        <w:t xml:space="preserve">knowledge, </w:t>
      </w:r>
      <w:r w:rsidR="004423DA">
        <w:t xml:space="preserve">building </w:t>
      </w:r>
      <w:r>
        <w:t xml:space="preserve">capacity, informing policy and informing practice. </w:t>
      </w:r>
    </w:p>
    <w:p w:rsidR="009F18E1" w:rsidRDefault="009F18E1" w:rsidP="009F18E1">
      <w:pPr>
        <w:pStyle w:val="Text"/>
      </w:pPr>
      <w:r>
        <w:t xml:space="preserve">The results </w:t>
      </w:r>
      <w:r w:rsidR="00803E3D">
        <w:t xml:space="preserve">in this table </w:t>
      </w:r>
      <w:r>
        <w:t>are then discussed under each of the four main category headings</w:t>
      </w:r>
      <w:r w:rsidR="00266B83">
        <w:t>, with supporting data and details</w:t>
      </w:r>
      <w:r w:rsidR="006766E4">
        <w:t xml:space="preserve"> in the </w:t>
      </w:r>
      <w:r w:rsidR="006766E4" w:rsidRPr="008D0527">
        <w:t>support document</w:t>
      </w:r>
      <w:r w:rsidR="008D0527">
        <w:t xml:space="preserve"> available at &lt;http://www.ncver.edu.au/publications/2513.html&gt;</w:t>
      </w:r>
      <w:r w:rsidR="006766E4">
        <w:t>.</w:t>
      </w:r>
    </w:p>
    <w:p w:rsidR="004C15E4" w:rsidRDefault="004C15E4" w:rsidP="007830D8">
      <w:pPr>
        <w:pStyle w:val="tabletitle"/>
      </w:pPr>
      <w:bookmarkStart w:id="39" w:name="_Toc329613283"/>
      <w:r>
        <w:t xml:space="preserve">Table </w:t>
      </w:r>
      <w:r w:rsidR="00E27BBE">
        <w:t>2</w:t>
      </w:r>
      <w:r w:rsidR="00DC6057">
        <w:tab/>
      </w:r>
      <w:r>
        <w:t xml:space="preserve">Overall summary of impacts across the </w:t>
      </w:r>
      <w:r w:rsidR="007830D8">
        <w:t>six</w:t>
      </w:r>
      <w:r>
        <w:t xml:space="preserve"> research reports</w:t>
      </w:r>
      <w:bookmarkEnd w:id="39"/>
      <w:r w:rsidR="00BB3D6F">
        <w:t xml:space="preserve"> </w:t>
      </w:r>
    </w:p>
    <w:tbl>
      <w:tblPr>
        <w:tblW w:w="8789" w:type="dxa"/>
        <w:tblInd w:w="85" w:type="dxa"/>
        <w:tblBorders>
          <w:top w:val="single" w:sz="4" w:space="0" w:color="000000"/>
          <w:bottom w:val="single" w:sz="4" w:space="0" w:color="000000"/>
        </w:tblBorders>
        <w:tblLayout w:type="fixed"/>
        <w:tblCellMar>
          <w:left w:w="85" w:type="dxa"/>
          <w:right w:w="57" w:type="dxa"/>
        </w:tblCellMar>
        <w:tblLook w:val="01E0"/>
      </w:tblPr>
      <w:tblGrid>
        <w:gridCol w:w="993"/>
        <w:gridCol w:w="1299"/>
        <w:gridCol w:w="1299"/>
        <w:gridCol w:w="1300"/>
        <w:gridCol w:w="70"/>
        <w:gridCol w:w="1229"/>
        <w:gridCol w:w="47"/>
        <w:gridCol w:w="1252"/>
        <w:gridCol w:w="24"/>
        <w:gridCol w:w="1276"/>
      </w:tblGrid>
      <w:tr w:rsidR="007830D8" w:rsidRPr="002A285F" w:rsidTr="00DC6057">
        <w:tc>
          <w:tcPr>
            <w:tcW w:w="993" w:type="dxa"/>
            <w:tcBorders>
              <w:bottom w:val="single" w:sz="4" w:space="0" w:color="auto"/>
            </w:tcBorders>
          </w:tcPr>
          <w:p w:rsidR="007830D8" w:rsidRPr="002A285F" w:rsidRDefault="007830D8" w:rsidP="002A285F">
            <w:pPr>
              <w:pStyle w:val="Tablehead1"/>
            </w:pPr>
          </w:p>
        </w:tc>
        <w:tc>
          <w:tcPr>
            <w:tcW w:w="1299" w:type="dxa"/>
            <w:tcBorders>
              <w:bottom w:val="single" w:sz="4" w:space="0" w:color="auto"/>
            </w:tcBorders>
          </w:tcPr>
          <w:p w:rsidR="007830D8" w:rsidRPr="0073773B" w:rsidRDefault="007830D8" w:rsidP="0073773B">
            <w:pPr>
              <w:pStyle w:val="Tablehead1"/>
              <w:rPr>
                <w:i/>
              </w:rPr>
            </w:pPr>
            <w:r w:rsidRPr="0073773B">
              <w:rPr>
                <w:i/>
              </w:rPr>
              <w:t>Education and happiness in</w:t>
            </w:r>
            <w:r w:rsidR="0073773B">
              <w:rPr>
                <w:i/>
              </w:rPr>
              <w:t> </w:t>
            </w:r>
            <w:r w:rsidRPr="0073773B">
              <w:rPr>
                <w:i/>
              </w:rPr>
              <w:t>the school-</w:t>
            </w:r>
            <w:r w:rsidR="0073773B">
              <w:rPr>
                <w:i/>
              </w:rPr>
              <w:br/>
            </w:r>
            <w:r w:rsidRPr="0073773B">
              <w:rPr>
                <w:i/>
              </w:rPr>
              <w:t>to-work transition</w:t>
            </w:r>
          </w:p>
        </w:tc>
        <w:tc>
          <w:tcPr>
            <w:tcW w:w="1299" w:type="dxa"/>
            <w:tcBorders>
              <w:bottom w:val="single" w:sz="4" w:space="0" w:color="auto"/>
            </w:tcBorders>
          </w:tcPr>
          <w:p w:rsidR="007830D8" w:rsidRPr="0073773B" w:rsidRDefault="007830D8" w:rsidP="002A285F">
            <w:pPr>
              <w:pStyle w:val="Tablehead1"/>
              <w:rPr>
                <w:i/>
              </w:rPr>
            </w:pPr>
            <w:r w:rsidRPr="0073773B">
              <w:rPr>
                <w:i/>
              </w:rPr>
              <w:t>Post-school education and labour force participation in Canada and Australia</w:t>
            </w:r>
          </w:p>
        </w:tc>
        <w:tc>
          <w:tcPr>
            <w:tcW w:w="1300" w:type="dxa"/>
            <w:tcBorders>
              <w:bottom w:val="single" w:sz="4" w:space="0" w:color="auto"/>
            </w:tcBorders>
          </w:tcPr>
          <w:p w:rsidR="007830D8" w:rsidRPr="0073773B" w:rsidRDefault="007830D8" w:rsidP="002A285F">
            <w:pPr>
              <w:pStyle w:val="Tablehead1"/>
              <w:rPr>
                <w:i/>
              </w:rPr>
            </w:pPr>
            <w:r w:rsidRPr="0073773B">
              <w:rPr>
                <w:i/>
              </w:rPr>
              <w:t>Lost talent? The occupational ambitions and attainments of young Australians</w:t>
            </w:r>
          </w:p>
        </w:tc>
        <w:tc>
          <w:tcPr>
            <w:tcW w:w="1299" w:type="dxa"/>
            <w:gridSpan w:val="2"/>
            <w:tcBorders>
              <w:bottom w:val="single" w:sz="4" w:space="0" w:color="auto"/>
            </w:tcBorders>
          </w:tcPr>
          <w:p w:rsidR="007830D8" w:rsidRPr="0073773B" w:rsidRDefault="007830D8" w:rsidP="0073773B">
            <w:pPr>
              <w:pStyle w:val="Tablehead1"/>
              <w:rPr>
                <w:i/>
              </w:rPr>
            </w:pPr>
            <w:r w:rsidRPr="0073773B">
              <w:rPr>
                <w:i/>
              </w:rPr>
              <w:t>Against the odds: influences on</w:t>
            </w:r>
            <w:r w:rsidR="0073773B">
              <w:rPr>
                <w:i/>
              </w:rPr>
              <w:t> </w:t>
            </w:r>
            <w:r w:rsidRPr="0073773B">
              <w:rPr>
                <w:i/>
              </w:rPr>
              <w:t>the post-school success of ‘low performers’</w:t>
            </w:r>
          </w:p>
        </w:tc>
        <w:tc>
          <w:tcPr>
            <w:tcW w:w="1299" w:type="dxa"/>
            <w:gridSpan w:val="2"/>
            <w:tcBorders>
              <w:bottom w:val="single" w:sz="4" w:space="0" w:color="auto"/>
            </w:tcBorders>
          </w:tcPr>
          <w:p w:rsidR="007830D8" w:rsidRPr="0073773B" w:rsidRDefault="007830D8" w:rsidP="002A285F">
            <w:pPr>
              <w:pStyle w:val="Tablehead1"/>
              <w:rPr>
                <w:i/>
              </w:rPr>
            </w:pPr>
            <w:r w:rsidRPr="0073773B">
              <w:rPr>
                <w:i/>
              </w:rPr>
              <w:t>From education to employment: how long does it take?</w:t>
            </w:r>
          </w:p>
        </w:tc>
        <w:tc>
          <w:tcPr>
            <w:tcW w:w="1300" w:type="dxa"/>
            <w:gridSpan w:val="2"/>
            <w:tcBorders>
              <w:bottom w:val="single" w:sz="4" w:space="0" w:color="auto"/>
            </w:tcBorders>
          </w:tcPr>
          <w:p w:rsidR="007830D8" w:rsidRPr="0073773B" w:rsidRDefault="007830D8" w:rsidP="002A285F">
            <w:pPr>
              <w:pStyle w:val="Tablehead1"/>
              <w:rPr>
                <w:i/>
              </w:rPr>
            </w:pPr>
            <w:r w:rsidRPr="0073773B">
              <w:rPr>
                <w:i/>
              </w:rPr>
              <w:t xml:space="preserve">Returns from education: an occupational status approach </w:t>
            </w:r>
            <w:r w:rsidRPr="0073773B">
              <w:t>(fellowship)</w:t>
            </w:r>
          </w:p>
        </w:tc>
      </w:tr>
      <w:tr w:rsidR="002A285F" w:rsidTr="00DC6057">
        <w:tc>
          <w:tcPr>
            <w:tcW w:w="4961" w:type="dxa"/>
            <w:gridSpan w:val="5"/>
            <w:tcBorders>
              <w:top w:val="single" w:sz="4" w:space="0" w:color="auto"/>
              <w:bottom w:val="nil"/>
            </w:tcBorders>
          </w:tcPr>
          <w:p w:rsidR="002A285F" w:rsidRDefault="002A285F" w:rsidP="002A285F">
            <w:pPr>
              <w:pStyle w:val="Tablehead1"/>
            </w:pPr>
            <w:r>
              <w:t>Knowledge production</w:t>
            </w:r>
          </w:p>
        </w:tc>
        <w:tc>
          <w:tcPr>
            <w:tcW w:w="1276" w:type="dxa"/>
            <w:gridSpan w:val="2"/>
            <w:tcBorders>
              <w:top w:val="single" w:sz="4" w:space="0" w:color="auto"/>
              <w:bottom w:val="nil"/>
            </w:tcBorders>
          </w:tcPr>
          <w:p w:rsidR="002A285F" w:rsidRDefault="002A285F" w:rsidP="00975596">
            <w:pPr>
              <w:pStyle w:val="Tabletext"/>
            </w:pPr>
          </w:p>
        </w:tc>
        <w:tc>
          <w:tcPr>
            <w:tcW w:w="1276" w:type="dxa"/>
            <w:gridSpan w:val="2"/>
            <w:tcBorders>
              <w:top w:val="single" w:sz="4" w:space="0" w:color="auto"/>
              <w:bottom w:val="nil"/>
            </w:tcBorders>
          </w:tcPr>
          <w:p w:rsidR="002A285F" w:rsidRDefault="002A285F" w:rsidP="00975596">
            <w:pPr>
              <w:pStyle w:val="Tabletext"/>
            </w:pPr>
          </w:p>
        </w:tc>
        <w:tc>
          <w:tcPr>
            <w:tcW w:w="1276" w:type="dxa"/>
            <w:tcBorders>
              <w:top w:val="single" w:sz="4" w:space="0" w:color="auto"/>
              <w:bottom w:val="nil"/>
            </w:tcBorders>
          </w:tcPr>
          <w:p w:rsidR="002A285F" w:rsidRDefault="002A285F" w:rsidP="00975596">
            <w:pPr>
              <w:pStyle w:val="Tabletext"/>
            </w:pPr>
          </w:p>
        </w:tc>
      </w:tr>
      <w:tr w:rsidR="007830D8" w:rsidTr="00DC6057">
        <w:tc>
          <w:tcPr>
            <w:tcW w:w="993" w:type="dxa"/>
            <w:tcBorders>
              <w:bottom w:val="nil"/>
            </w:tcBorders>
          </w:tcPr>
          <w:p w:rsidR="007830D8" w:rsidRDefault="007830D8" w:rsidP="00975596">
            <w:pPr>
              <w:pStyle w:val="Tablehead2"/>
            </w:pPr>
            <w:r>
              <w:t>Outputs</w:t>
            </w:r>
          </w:p>
        </w:tc>
        <w:tc>
          <w:tcPr>
            <w:tcW w:w="1299" w:type="dxa"/>
            <w:tcBorders>
              <w:bottom w:val="nil"/>
            </w:tcBorders>
          </w:tcPr>
          <w:p w:rsidR="00975596" w:rsidRDefault="007830D8" w:rsidP="00975596">
            <w:pPr>
              <w:pStyle w:val="Tabletext"/>
            </w:pPr>
            <w:r>
              <w:t>One formal report, 2010</w:t>
            </w:r>
          </w:p>
          <w:p w:rsidR="007830D8" w:rsidRDefault="007830D8" w:rsidP="00975596">
            <w:pPr>
              <w:pStyle w:val="Tabletext"/>
            </w:pPr>
            <w:r>
              <w:t>Media release (x 2 NCVER and Curtin</w:t>
            </w:r>
            <w:r w:rsidR="004423DA">
              <w:t xml:space="preserve"> Univ.</w:t>
            </w:r>
            <w:r>
              <w:t>)</w:t>
            </w:r>
          </w:p>
          <w:p w:rsidR="007830D8" w:rsidRDefault="007830D8" w:rsidP="00975596">
            <w:pPr>
              <w:pStyle w:val="Tabletext"/>
            </w:pPr>
            <w:r>
              <w:t>Podcast</w:t>
            </w:r>
          </w:p>
          <w:p w:rsidR="007830D8" w:rsidRDefault="007830D8" w:rsidP="00975596">
            <w:pPr>
              <w:pStyle w:val="Tabletext"/>
            </w:pPr>
            <w:r w:rsidRPr="004423DA">
              <w:rPr>
                <w:i/>
              </w:rPr>
              <w:t xml:space="preserve">Insight </w:t>
            </w:r>
            <w:r>
              <w:t>article</w:t>
            </w:r>
          </w:p>
        </w:tc>
        <w:tc>
          <w:tcPr>
            <w:tcW w:w="1299" w:type="dxa"/>
            <w:tcBorders>
              <w:bottom w:val="nil"/>
            </w:tcBorders>
          </w:tcPr>
          <w:p w:rsidR="007830D8" w:rsidRDefault="007830D8" w:rsidP="00DC6057">
            <w:pPr>
              <w:pStyle w:val="Tabletext"/>
            </w:pPr>
            <w:r>
              <w:t>One formal report, 2010</w:t>
            </w:r>
          </w:p>
        </w:tc>
        <w:tc>
          <w:tcPr>
            <w:tcW w:w="1300" w:type="dxa"/>
            <w:tcBorders>
              <w:bottom w:val="nil"/>
            </w:tcBorders>
          </w:tcPr>
          <w:p w:rsidR="007830D8" w:rsidRDefault="007830D8" w:rsidP="00975596">
            <w:pPr>
              <w:pStyle w:val="Tabletext"/>
            </w:pPr>
            <w:r>
              <w:t>One formal report, 2011</w:t>
            </w:r>
          </w:p>
          <w:p w:rsidR="007830D8" w:rsidRDefault="007830D8" w:rsidP="00DC6057">
            <w:pPr>
              <w:pStyle w:val="Tabletext"/>
            </w:pPr>
            <w:r>
              <w:t xml:space="preserve">Joint media release with </w:t>
            </w:r>
            <w:r w:rsidR="004423DA" w:rsidRPr="004423DA">
              <w:rPr>
                <w:i/>
              </w:rPr>
              <w:t>Against the odds</w:t>
            </w:r>
          </w:p>
        </w:tc>
        <w:tc>
          <w:tcPr>
            <w:tcW w:w="1299" w:type="dxa"/>
            <w:gridSpan w:val="2"/>
            <w:tcBorders>
              <w:bottom w:val="nil"/>
            </w:tcBorders>
          </w:tcPr>
          <w:p w:rsidR="007830D8" w:rsidRDefault="007830D8" w:rsidP="00975596">
            <w:pPr>
              <w:pStyle w:val="Tabletext"/>
            </w:pPr>
            <w:r>
              <w:t>One formal report, 2010</w:t>
            </w:r>
          </w:p>
          <w:p w:rsidR="007830D8" w:rsidRDefault="007830D8" w:rsidP="00DC6057">
            <w:pPr>
              <w:pStyle w:val="Tabletext"/>
            </w:pPr>
            <w:r>
              <w:t xml:space="preserve">Joint media release with </w:t>
            </w:r>
            <w:r w:rsidR="00CA795A" w:rsidRPr="004423DA">
              <w:rPr>
                <w:i/>
              </w:rPr>
              <w:t>Lost ta</w:t>
            </w:r>
            <w:r w:rsidR="004423DA" w:rsidRPr="004423DA">
              <w:rPr>
                <w:i/>
              </w:rPr>
              <w:t>lent</w:t>
            </w:r>
          </w:p>
        </w:tc>
        <w:tc>
          <w:tcPr>
            <w:tcW w:w="1299" w:type="dxa"/>
            <w:gridSpan w:val="2"/>
            <w:tcBorders>
              <w:bottom w:val="nil"/>
            </w:tcBorders>
          </w:tcPr>
          <w:p w:rsidR="007830D8" w:rsidRDefault="007830D8" w:rsidP="00975596">
            <w:pPr>
              <w:pStyle w:val="Tabletext"/>
            </w:pPr>
            <w:r>
              <w:t>One formal report, 2011</w:t>
            </w:r>
          </w:p>
          <w:p w:rsidR="007830D8" w:rsidRDefault="007830D8" w:rsidP="00DC6057">
            <w:pPr>
              <w:pStyle w:val="Tabletext"/>
            </w:pPr>
            <w:r>
              <w:t>Media release</w:t>
            </w:r>
          </w:p>
        </w:tc>
        <w:tc>
          <w:tcPr>
            <w:tcW w:w="1300" w:type="dxa"/>
            <w:gridSpan w:val="2"/>
            <w:tcBorders>
              <w:bottom w:val="nil"/>
            </w:tcBorders>
          </w:tcPr>
          <w:p w:rsidR="007830D8" w:rsidRDefault="007830D8" w:rsidP="00DC6057">
            <w:pPr>
              <w:pStyle w:val="Tabletext"/>
            </w:pPr>
            <w:r>
              <w:t>One formal report, 2010</w:t>
            </w:r>
          </w:p>
        </w:tc>
      </w:tr>
      <w:tr w:rsidR="007830D8" w:rsidTr="00DC6057">
        <w:tc>
          <w:tcPr>
            <w:tcW w:w="993" w:type="dxa"/>
            <w:tcBorders>
              <w:top w:val="nil"/>
              <w:bottom w:val="single" w:sz="4" w:space="0" w:color="auto"/>
            </w:tcBorders>
          </w:tcPr>
          <w:p w:rsidR="007830D8" w:rsidRDefault="007830D8" w:rsidP="00AB436F">
            <w:pPr>
              <w:pStyle w:val="Tablehead2"/>
            </w:pPr>
            <w:r>
              <w:t>Citations</w:t>
            </w:r>
            <w:r w:rsidR="0040482E">
              <w:t xml:space="preserve"> </w:t>
            </w:r>
          </w:p>
        </w:tc>
        <w:tc>
          <w:tcPr>
            <w:tcW w:w="1299" w:type="dxa"/>
            <w:tcBorders>
              <w:top w:val="nil"/>
              <w:bottom w:val="single" w:sz="4" w:space="0" w:color="auto"/>
            </w:tcBorders>
          </w:tcPr>
          <w:p w:rsidR="007830D8" w:rsidRDefault="00A77992" w:rsidP="00975596">
            <w:pPr>
              <w:pStyle w:val="Tabletext"/>
            </w:pPr>
            <w:r>
              <w:t>45</w:t>
            </w:r>
          </w:p>
        </w:tc>
        <w:tc>
          <w:tcPr>
            <w:tcW w:w="1299" w:type="dxa"/>
            <w:tcBorders>
              <w:top w:val="nil"/>
              <w:bottom w:val="single" w:sz="4" w:space="0" w:color="auto"/>
            </w:tcBorders>
          </w:tcPr>
          <w:p w:rsidR="007830D8" w:rsidRDefault="00A77992" w:rsidP="00975596">
            <w:pPr>
              <w:pStyle w:val="Tabletext"/>
            </w:pPr>
            <w:r>
              <w:t>9</w:t>
            </w:r>
          </w:p>
        </w:tc>
        <w:tc>
          <w:tcPr>
            <w:tcW w:w="1300" w:type="dxa"/>
            <w:tcBorders>
              <w:top w:val="nil"/>
              <w:bottom w:val="single" w:sz="4" w:space="0" w:color="auto"/>
            </w:tcBorders>
          </w:tcPr>
          <w:p w:rsidR="007830D8" w:rsidRDefault="009D67F9" w:rsidP="00975596">
            <w:pPr>
              <w:pStyle w:val="Tabletext"/>
            </w:pPr>
            <w:r>
              <w:t>35</w:t>
            </w:r>
          </w:p>
        </w:tc>
        <w:tc>
          <w:tcPr>
            <w:tcW w:w="1299" w:type="dxa"/>
            <w:gridSpan w:val="2"/>
            <w:tcBorders>
              <w:top w:val="nil"/>
              <w:bottom w:val="single" w:sz="4" w:space="0" w:color="auto"/>
            </w:tcBorders>
          </w:tcPr>
          <w:p w:rsidR="007830D8" w:rsidRDefault="00A77992" w:rsidP="00975596">
            <w:pPr>
              <w:pStyle w:val="Tabletext"/>
            </w:pPr>
            <w:r>
              <w:t>20</w:t>
            </w:r>
          </w:p>
        </w:tc>
        <w:tc>
          <w:tcPr>
            <w:tcW w:w="1299" w:type="dxa"/>
            <w:gridSpan w:val="2"/>
            <w:tcBorders>
              <w:top w:val="nil"/>
              <w:bottom w:val="single" w:sz="4" w:space="0" w:color="auto"/>
            </w:tcBorders>
          </w:tcPr>
          <w:p w:rsidR="007830D8" w:rsidRDefault="00A77992" w:rsidP="00975596">
            <w:pPr>
              <w:pStyle w:val="Tabletext"/>
            </w:pPr>
            <w:r>
              <w:t>19</w:t>
            </w:r>
          </w:p>
        </w:tc>
        <w:tc>
          <w:tcPr>
            <w:tcW w:w="1300" w:type="dxa"/>
            <w:gridSpan w:val="2"/>
            <w:tcBorders>
              <w:top w:val="nil"/>
              <w:bottom w:val="single" w:sz="4" w:space="0" w:color="auto"/>
            </w:tcBorders>
          </w:tcPr>
          <w:p w:rsidR="007830D8" w:rsidRDefault="00A77992" w:rsidP="00975596">
            <w:pPr>
              <w:pStyle w:val="Tabletext"/>
            </w:pPr>
            <w:r>
              <w:t>11</w:t>
            </w:r>
          </w:p>
        </w:tc>
      </w:tr>
      <w:tr w:rsidR="002A285F" w:rsidTr="00DC6057">
        <w:tc>
          <w:tcPr>
            <w:tcW w:w="8789" w:type="dxa"/>
            <w:gridSpan w:val="10"/>
            <w:tcBorders>
              <w:top w:val="single" w:sz="4" w:space="0" w:color="auto"/>
              <w:bottom w:val="nil"/>
            </w:tcBorders>
          </w:tcPr>
          <w:p w:rsidR="002A285F" w:rsidRDefault="002A285F" w:rsidP="002A285F">
            <w:pPr>
              <w:pStyle w:val="Tablehead1"/>
            </w:pPr>
            <w:r>
              <w:t>Capacity building</w:t>
            </w:r>
          </w:p>
        </w:tc>
      </w:tr>
      <w:tr w:rsidR="007830D8" w:rsidTr="00DC6057">
        <w:tc>
          <w:tcPr>
            <w:tcW w:w="993" w:type="dxa"/>
            <w:tcBorders>
              <w:top w:val="nil"/>
              <w:bottom w:val="nil"/>
            </w:tcBorders>
            <w:tcMar>
              <w:right w:w="28" w:type="dxa"/>
            </w:tcMar>
          </w:tcPr>
          <w:p w:rsidR="007830D8" w:rsidRDefault="007830D8" w:rsidP="00AB436F">
            <w:pPr>
              <w:pStyle w:val="Tablehead2"/>
            </w:pPr>
            <w:r>
              <w:t>Researcher</w:t>
            </w:r>
            <w:r w:rsidR="0040482E">
              <w:t xml:space="preserve"> perspective</w:t>
            </w:r>
            <w:r w:rsidR="00AB436F">
              <w:t xml:space="preserve"> </w:t>
            </w:r>
          </w:p>
        </w:tc>
        <w:tc>
          <w:tcPr>
            <w:tcW w:w="1299" w:type="dxa"/>
            <w:tcBorders>
              <w:top w:val="nil"/>
              <w:bottom w:val="nil"/>
            </w:tcBorders>
          </w:tcPr>
          <w:p w:rsidR="007830D8" w:rsidRDefault="006766E4" w:rsidP="00DC6057">
            <w:pPr>
              <w:pStyle w:val="Tabletext"/>
            </w:pPr>
            <w:r>
              <w:t>A</w:t>
            </w:r>
            <w:r w:rsidR="007830D8">
              <w:t>nother team of researchers</w:t>
            </w:r>
            <w:r>
              <w:t xml:space="preserve"> from NATSEM</w:t>
            </w:r>
            <w:r w:rsidR="007830D8">
              <w:t xml:space="preserve"> </w:t>
            </w:r>
            <w:r>
              <w:t>built</w:t>
            </w:r>
            <w:r w:rsidR="007830D8">
              <w:t xml:space="preserve"> on this research</w:t>
            </w:r>
            <w:r w:rsidR="003F3C2A">
              <w:t>;</w:t>
            </w:r>
            <w:r>
              <w:t xml:space="preserve"> </w:t>
            </w:r>
            <w:r w:rsidR="003F3C2A">
              <w:t>r</w:t>
            </w:r>
            <w:r w:rsidR="007830D8">
              <w:t>esearcher gained further funding</w:t>
            </w:r>
            <w:r w:rsidR="003F3C2A">
              <w:t>;</w:t>
            </w:r>
            <w:r w:rsidR="00FB581B">
              <w:t xml:space="preserve"> </w:t>
            </w:r>
            <w:r w:rsidR="003F3C2A">
              <w:t>r</w:t>
            </w:r>
            <w:r w:rsidR="007830D8">
              <w:t>esearcher had discussion</w:t>
            </w:r>
            <w:r w:rsidR="0073773B">
              <w:t xml:space="preserve"> </w:t>
            </w:r>
            <w:r w:rsidR="007830D8">
              <w:t>about doing future papers on this work with visiting researchers from overseas</w:t>
            </w:r>
          </w:p>
        </w:tc>
        <w:tc>
          <w:tcPr>
            <w:tcW w:w="1299" w:type="dxa"/>
            <w:tcBorders>
              <w:top w:val="nil"/>
              <w:bottom w:val="nil"/>
            </w:tcBorders>
          </w:tcPr>
          <w:p w:rsidR="007830D8" w:rsidRDefault="007830D8" w:rsidP="00975596">
            <w:pPr>
              <w:pStyle w:val="Tabletext"/>
            </w:pPr>
            <w:r>
              <w:t xml:space="preserve">Led to </w:t>
            </w:r>
            <w:r w:rsidR="006766E4">
              <w:t xml:space="preserve">a </w:t>
            </w:r>
            <w:r>
              <w:t>successful International Research Link</w:t>
            </w:r>
            <w:r w:rsidR="0080254E">
              <w:t>age Grant through the Canadian G</w:t>
            </w:r>
            <w:r>
              <w:t>overnment</w:t>
            </w:r>
            <w:r w:rsidR="006766E4">
              <w:t>, extending the work to consider how post-school education choices translate into labour market participation</w:t>
            </w:r>
          </w:p>
        </w:tc>
        <w:tc>
          <w:tcPr>
            <w:tcW w:w="1300" w:type="dxa"/>
            <w:tcBorders>
              <w:top w:val="nil"/>
              <w:bottom w:val="nil"/>
            </w:tcBorders>
          </w:tcPr>
          <w:p w:rsidR="007830D8" w:rsidRDefault="007830D8" w:rsidP="00DC6057">
            <w:pPr>
              <w:pStyle w:val="Tabletext"/>
            </w:pPr>
            <w:r>
              <w:t>Led to subsequent work and proposed future work by the research team, both in terms of research grant applications and collaborations</w:t>
            </w:r>
            <w:r w:rsidR="00997FB1">
              <w:t>;</w:t>
            </w:r>
            <w:r w:rsidR="00DC6057">
              <w:t xml:space="preserve"> </w:t>
            </w:r>
            <w:r w:rsidR="00997FB1">
              <w:t>t</w:t>
            </w:r>
            <w:r>
              <w:t xml:space="preserve">he OECD applied for access to the LSAY data following a presentation by the researcher on the value of using the data </w:t>
            </w:r>
          </w:p>
        </w:tc>
        <w:tc>
          <w:tcPr>
            <w:tcW w:w="1299" w:type="dxa"/>
            <w:gridSpan w:val="2"/>
            <w:tcBorders>
              <w:top w:val="nil"/>
              <w:bottom w:val="nil"/>
            </w:tcBorders>
          </w:tcPr>
          <w:p w:rsidR="007830D8" w:rsidRDefault="007830D8" w:rsidP="00DC6057">
            <w:pPr>
              <w:pStyle w:val="Tabletext"/>
            </w:pPr>
            <w:r>
              <w:t>The research team has extended the work by running the same models on high performers</w:t>
            </w:r>
            <w:r w:rsidR="006766E4">
              <w:t xml:space="preserve"> (PISA forthcoming)</w:t>
            </w:r>
            <w:r w:rsidR="00997FB1">
              <w:t>;</w:t>
            </w:r>
            <w:r w:rsidR="00DC6057">
              <w:t xml:space="preserve"> </w:t>
            </w:r>
            <w:r w:rsidR="00997FB1">
              <w:t>h</w:t>
            </w:r>
            <w:r w:rsidR="0040482E">
              <w:t>ad the</w:t>
            </w:r>
            <w:r>
              <w:t xml:space="preserve"> opportunity to talk to other countries interested in the benefits of building on longitudinal surveys</w:t>
            </w:r>
          </w:p>
        </w:tc>
        <w:tc>
          <w:tcPr>
            <w:tcW w:w="1299" w:type="dxa"/>
            <w:gridSpan w:val="2"/>
            <w:tcBorders>
              <w:top w:val="nil"/>
              <w:bottom w:val="nil"/>
            </w:tcBorders>
          </w:tcPr>
          <w:p w:rsidR="007830D8" w:rsidRDefault="007830D8" w:rsidP="00DC6057">
            <w:pPr>
              <w:pStyle w:val="Tabletext"/>
            </w:pPr>
            <w:r>
              <w:t>Opportunity for the research te</w:t>
            </w:r>
            <w:r w:rsidR="0080254E">
              <w:t>am to engage with the LSAY data</w:t>
            </w:r>
            <w:r>
              <w:t>set for the first t</w:t>
            </w:r>
            <w:r w:rsidR="0080254E">
              <w:t>ime, and is now one of the data</w:t>
            </w:r>
            <w:r>
              <w:t>sets they will consider using to answer research questions in the future</w:t>
            </w:r>
          </w:p>
        </w:tc>
        <w:tc>
          <w:tcPr>
            <w:tcW w:w="1300" w:type="dxa"/>
            <w:gridSpan w:val="2"/>
            <w:tcBorders>
              <w:top w:val="nil"/>
              <w:bottom w:val="nil"/>
            </w:tcBorders>
          </w:tcPr>
          <w:p w:rsidR="007830D8" w:rsidRDefault="007830D8" w:rsidP="0040482E">
            <w:pPr>
              <w:pStyle w:val="Tabletext"/>
            </w:pPr>
            <w:r>
              <w:t xml:space="preserve">Having worked on predominantly qualitative research the fellowship gave the researcher the opportunity to engage with the LSAY data and gain knowledge </w:t>
            </w:r>
            <w:r w:rsidR="0040482E">
              <w:t xml:space="preserve">about quantitative research </w:t>
            </w:r>
            <w:r>
              <w:t xml:space="preserve">from NCVER researchers, which has led to subsequent </w:t>
            </w:r>
            <w:r w:rsidR="0040482E">
              <w:t>involvement in quantitative research projects</w:t>
            </w:r>
            <w:r>
              <w:t xml:space="preserve"> </w:t>
            </w:r>
          </w:p>
        </w:tc>
      </w:tr>
      <w:tr w:rsidR="0040482E" w:rsidTr="00DC6057">
        <w:tc>
          <w:tcPr>
            <w:tcW w:w="993" w:type="dxa"/>
            <w:tcBorders>
              <w:top w:val="nil"/>
              <w:bottom w:val="single" w:sz="4" w:space="0" w:color="auto"/>
            </w:tcBorders>
            <w:tcMar>
              <w:right w:w="28" w:type="dxa"/>
            </w:tcMar>
          </w:tcPr>
          <w:p w:rsidR="0040482E" w:rsidRDefault="0040482E" w:rsidP="0040482E">
            <w:pPr>
              <w:pStyle w:val="Tablehead2"/>
            </w:pPr>
            <w:r>
              <w:t>End-user perspective</w:t>
            </w:r>
          </w:p>
        </w:tc>
        <w:tc>
          <w:tcPr>
            <w:tcW w:w="7796" w:type="dxa"/>
            <w:gridSpan w:val="9"/>
            <w:tcBorders>
              <w:top w:val="nil"/>
              <w:bottom w:val="single" w:sz="4" w:space="0" w:color="auto"/>
            </w:tcBorders>
          </w:tcPr>
          <w:p w:rsidR="0040482E" w:rsidRPr="001F2194" w:rsidRDefault="001F2194" w:rsidP="001F2194">
            <w:pPr>
              <w:pStyle w:val="Tabletext"/>
            </w:pPr>
            <w:r>
              <w:t>Greater awareness of</w:t>
            </w:r>
            <w:r w:rsidRPr="001F2194">
              <w:t xml:space="preserve"> LSAY data and research</w:t>
            </w:r>
            <w:r>
              <w:t xml:space="preserve"> and how it could be applied in their own organisations</w:t>
            </w:r>
            <w:r w:rsidR="0073773B">
              <w:t>.</w:t>
            </w:r>
            <w:r>
              <w:br/>
              <w:t>Supported</w:t>
            </w:r>
            <w:r w:rsidRPr="001F2194">
              <w:t xml:space="preserve"> professi</w:t>
            </w:r>
            <w:r>
              <w:t>onal development activities</w:t>
            </w:r>
            <w:r w:rsidR="0073773B">
              <w:t>.</w:t>
            </w:r>
            <w:r>
              <w:br/>
              <w:t xml:space="preserve">Developed confidence in </w:t>
            </w:r>
            <w:r w:rsidRPr="001F2194">
              <w:t>their knowledge about LSAY research more broadly</w:t>
            </w:r>
            <w:r>
              <w:t>, and capacity to share this information amongst networks</w:t>
            </w:r>
            <w:r w:rsidR="0073773B">
              <w:t>.</w:t>
            </w:r>
          </w:p>
        </w:tc>
      </w:tr>
    </w:tbl>
    <w:p w:rsidR="00BB3D6F" w:rsidRDefault="00BB3D6F"/>
    <w:p w:rsidR="00BB3D6F" w:rsidRDefault="00BB3D6F" w:rsidP="00BB3D6F">
      <w:pPr>
        <w:pStyle w:val="tabletitle"/>
      </w:pPr>
      <w:r>
        <w:br w:type="page"/>
      </w:r>
      <w:bookmarkStart w:id="40" w:name="_Toc325116230"/>
      <w:bookmarkStart w:id="41" w:name="_Toc329613284"/>
      <w:r>
        <w:lastRenderedPageBreak/>
        <w:t xml:space="preserve">Table </w:t>
      </w:r>
      <w:r w:rsidR="00E27BBE">
        <w:t>2</w:t>
      </w:r>
      <w:r w:rsidR="001B6728">
        <w:tab/>
      </w:r>
      <w:r>
        <w:t>Overall summary of impacts across the six research reports (continued)</w:t>
      </w:r>
      <w:r>
        <w:rPr>
          <w:rStyle w:val="FootnoteReference"/>
        </w:rPr>
        <w:footnoteReference w:id="5"/>
      </w:r>
      <w:bookmarkEnd w:id="40"/>
      <w:bookmarkEnd w:id="41"/>
    </w:p>
    <w:tbl>
      <w:tblPr>
        <w:tblW w:w="8816" w:type="dxa"/>
        <w:tblInd w:w="85" w:type="dxa"/>
        <w:tblBorders>
          <w:top w:val="single" w:sz="4" w:space="0" w:color="000000"/>
          <w:bottom w:val="single" w:sz="4" w:space="0" w:color="000000"/>
        </w:tblBorders>
        <w:tblLayout w:type="fixed"/>
        <w:tblCellMar>
          <w:left w:w="85" w:type="dxa"/>
          <w:right w:w="57" w:type="dxa"/>
        </w:tblCellMar>
        <w:tblLook w:val="01E0"/>
      </w:tblPr>
      <w:tblGrid>
        <w:gridCol w:w="1020"/>
        <w:gridCol w:w="1299"/>
        <w:gridCol w:w="1299"/>
        <w:gridCol w:w="1300"/>
        <w:gridCol w:w="1299"/>
        <w:gridCol w:w="1299"/>
        <w:gridCol w:w="1273"/>
        <w:gridCol w:w="27"/>
      </w:tblGrid>
      <w:tr w:rsidR="00BB3D6F" w:rsidTr="001B6728">
        <w:tc>
          <w:tcPr>
            <w:tcW w:w="1020" w:type="dxa"/>
            <w:tcBorders>
              <w:bottom w:val="single" w:sz="4" w:space="0" w:color="auto"/>
            </w:tcBorders>
          </w:tcPr>
          <w:p w:rsidR="00BB3D6F" w:rsidRDefault="00BB3D6F" w:rsidP="002742EB">
            <w:pPr>
              <w:pStyle w:val="Tablehead1"/>
            </w:pPr>
          </w:p>
        </w:tc>
        <w:tc>
          <w:tcPr>
            <w:tcW w:w="1299" w:type="dxa"/>
            <w:tcBorders>
              <w:bottom w:val="single" w:sz="4" w:space="0" w:color="auto"/>
            </w:tcBorders>
          </w:tcPr>
          <w:p w:rsidR="00BB3D6F" w:rsidRPr="00997FB1" w:rsidRDefault="00BB3D6F" w:rsidP="0073773B">
            <w:pPr>
              <w:pStyle w:val="Tablehead1"/>
              <w:rPr>
                <w:i/>
              </w:rPr>
            </w:pPr>
            <w:r w:rsidRPr="00997FB1">
              <w:rPr>
                <w:i/>
              </w:rPr>
              <w:t>Education and happiness in</w:t>
            </w:r>
            <w:r w:rsidR="0073773B">
              <w:rPr>
                <w:i/>
              </w:rPr>
              <w:t> </w:t>
            </w:r>
            <w:r w:rsidRPr="00997FB1">
              <w:rPr>
                <w:i/>
              </w:rPr>
              <w:t>the school-to-work transition</w:t>
            </w:r>
          </w:p>
        </w:tc>
        <w:tc>
          <w:tcPr>
            <w:tcW w:w="1299" w:type="dxa"/>
            <w:tcBorders>
              <w:bottom w:val="single" w:sz="4" w:space="0" w:color="auto"/>
            </w:tcBorders>
          </w:tcPr>
          <w:p w:rsidR="00BB3D6F" w:rsidRPr="00997FB1" w:rsidRDefault="00BB3D6F" w:rsidP="002742EB">
            <w:pPr>
              <w:pStyle w:val="Tablehead1"/>
              <w:rPr>
                <w:i/>
              </w:rPr>
            </w:pPr>
            <w:r w:rsidRPr="00997FB1">
              <w:rPr>
                <w:i/>
              </w:rPr>
              <w:t>Post-school education and labour force participation in Canada and Australia</w:t>
            </w:r>
          </w:p>
        </w:tc>
        <w:tc>
          <w:tcPr>
            <w:tcW w:w="1300" w:type="dxa"/>
            <w:tcBorders>
              <w:bottom w:val="single" w:sz="4" w:space="0" w:color="auto"/>
            </w:tcBorders>
          </w:tcPr>
          <w:p w:rsidR="00BB3D6F" w:rsidRPr="00997FB1" w:rsidRDefault="00BB3D6F" w:rsidP="002742EB">
            <w:pPr>
              <w:pStyle w:val="Tablehead1"/>
              <w:rPr>
                <w:i/>
              </w:rPr>
            </w:pPr>
            <w:r w:rsidRPr="00997FB1">
              <w:rPr>
                <w:i/>
              </w:rPr>
              <w:t>Lost talent? The occupational ambitions and attainments of young Australians</w:t>
            </w:r>
          </w:p>
        </w:tc>
        <w:tc>
          <w:tcPr>
            <w:tcW w:w="1299" w:type="dxa"/>
            <w:tcBorders>
              <w:bottom w:val="single" w:sz="4" w:space="0" w:color="auto"/>
            </w:tcBorders>
          </w:tcPr>
          <w:p w:rsidR="00BB3D6F" w:rsidRPr="00997FB1" w:rsidRDefault="00BB3D6F" w:rsidP="0073773B">
            <w:pPr>
              <w:pStyle w:val="Tablehead1"/>
              <w:rPr>
                <w:i/>
              </w:rPr>
            </w:pPr>
            <w:r w:rsidRPr="00997FB1">
              <w:rPr>
                <w:i/>
              </w:rPr>
              <w:t>Against the odds: influences on</w:t>
            </w:r>
            <w:r w:rsidR="0073773B">
              <w:rPr>
                <w:i/>
              </w:rPr>
              <w:t> </w:t>
            </w:r>
            <w:r w:rsidRPr="00997FB1">
              <w:rPr>
                <w:i/>
              </w:rPr>
              <w:t>the post-school success of ‘low performers’</w:t>
            </w:r>
          </w:p>
        </w:tc>
        <w:tc>
          <w:tcPr>
            <w:tcW w:w="1299" w:type="dxa"/>
            <w:tcBorders>
              <w:bottom w:val="single" w:sz="4" w:space="0" w:color="auto"/>
            </w:tcBorders>
          </w:tcPr>
          <w:p w:rsidR="00BB3D6F" w:rsidRPr="00997FB1" w:rsidRDefault="00BB3D6F" w:rsidP="002742EB">
            <w:pPr>
              <w:pStyle w:val="Tablehead1"/>
              <w:rPr>
                <w:i/>
              </w:rPr>
            </w:pPr>
            <w:r w:rsidRPr="00997FB1">
              <w:rPr>
                <w:i/>
              </w:rPr>
              <w:t>From education to employment: how long does it take?</w:t>
            </w:r>
          </w:p>
        </w:tc>
        <w:tc>
          <w:tcPr>
            <w:tcW w:w="1300" w:type="dxa"/>
            <w:gridSpan w:val="2"/>
            <w:tcBorders>
              <w:bottom w:val="single" w:sz="4" w:space="0" w:color="auto"/>
            </w:tcBorders>
          </w:tcPr>
          <w:p w:rsidR="00BB3D6F" w:rsidRPr="00997FB1" w:rsidRDefault="00BB3D6F" w:rsidP="002742EB">
            <w:pPr>
              <w:pStyle w:val="Tablehead1"/>
              <w:rPr>
                <w:i/>
              </w:rPr>
            </w:pPr>
            <w:r w:rsidRPr="00997FB1">
              <w:rPr>
                <w:i/>
              </w:rPr>
              <w:t xml:space="preserve">Returns from education: an occupational status approach </w:t>
            </w:r>
            <w:r w:rsidRPr="00997FB1">
              <w:t>(fellowship)</w:t>
            </w:r>
          </w:p>
        </w:tc>
      </w:tr>
      <w:tr w:rsidR="002A285F" w:rsidTr="001B6728">
        <w:trPr>
          <w:gridAfter w:val="1"/>
          <w:wAfter w:w="27" w:type="dxa"/>
        </w:trPr>
        <w:tc>
          <w:tcPr>
            <w:tcW w:w="8789" w:type="dxa"/>
            <w:gridSpan w:val="7"/>
            <w:tcBorders>
              <w:top w:val="single" w:sz="4" w:space="0" w:color="auto"/>
              <w:bottom w:val="nil"/>
            </w:tcBorders>
          </w:tcPr>
          <w:p w:rsidR="002A285F" w:rsidRDefault="002A285F" w:rsidP="002A285F">
            <w:pPr>
              <w:pStyle w:val="Tablehead1"/>
            </w:pPr>
            <w:r>
              <w:t>Contribution to policy</w:t>
            </w:r>
          </w:p>
        </w:tc>
      </w:tr>
      <w:tr w:rsidR="007830D8" w:rsidTr="001B6728">
        <w:tc>
          <w:tcPr>
            <w:tcW w:w="1020" w:type="dxa"/>
            <w:tcBorders>
              <w:top w:val="nil"/>
              <w:bottom w:val="nil"/>
            </w:tcBorders>
            <w:tcMar>
              <w:right w:w="0" w:type="dxa"/>
            </w:tcMar>
          </w:tcPr>
          <w:p w:rsidR="007830D8" w:rsidRDefault="0040482E" w:rsidP="00CA795A">
            <w:pPr>
              <w:pStyle w:val="Tablehead2"/>
            </w:pPr>
            <w:r>
              <w:t>Researcher perspective</w:t>
            </w:r>
            <w:r w:rsidR="000507C4">
              <w:t>/ citation analysis</w:t>
            </w:r>
          </w:p>
        </w:tc>
        <w:tc>
          <w:tcPr>
            <w:tcW w:w="1299" w:type="dxa"/>
            <w:tcBorders>
              <w:top w:val="nil"/>
              <w:bottom w:val="nil"/>
            </w:tcBorders>
          </w:tcPr>
          <w:p w:rsidR="007830D8" w:rsidRDefault="007830D8" w:rsidP="00975596">
            <w:pPr>
              <w:pStyle w:val="Tabletext"/>
            </w:pPr>
            <w:r>
              <w:t>Not aware of direct impacts, but believes it has been used in forums within the VET and career development fields, and in DEEWR and Productivity Commission reports</w:t>
            </w:r>
          </w:p>
        </w:tc>
        <w:tc>
          <w:tcPr>
            <w:tcW w:w="1299" w:type="dxa"/>
            <w:tcBorders>
              <w:top w:val="nil"/>
              <w:bottom w:val="nil"/>
            </w:tcBorders>
          </w:tcPr>
          <w:p w:rsidR="007830D8" w:rsidRDefault="00997FB1" w:rsidP="00975596">
            <w:pPr>
              <w:pStyle w:val="Tabletext"/>
            </w:pPr>
            <w:r>
              <w:t>Not aware</w:t>
            </w:r>
            <w:r w:rsidR="006275D5">
              <w:t>/ n</w:t>
            </w:r>
            <w:r w:rsidR="007830D8">
              <w:t>one cited</w:t>
            </w:r>
          </w:p>
        </w:tc>
        <w:tc>
          <w:tcPr>
            <w:tcW w:w="1300" w:type="dxa"/>
            <w:tcBorders>
              <w:top w:val="nil"/>
              <w:bottom w:val="nil"/>
            </w:tcBorders>
          </w:tcPr>
          <w:p w:rsidR="007830D8" w:rsidRDefault="00997FB1" w:rsidP="00975596">
            <w:pPr>
              <w:pStyle w:val="Tabletext"/>
            </w:pPr>
            <w:r>
              <w:t>Not aware</w:t>
            </w:r>
            <w:r w:rsidR="006275D5">
              <w:t>/ n</w:t>
            </w:r>
            <w:r w:rsidR="007830D8">
              <w:t>one cited</w:t>
            </w:r>
          </w:p>
        </w:tc>
        <w:tc>
          <w:tcPr>
            <w:tcW w:w="1299" w:type="dxa"/>
            <w:tcBorders>
              <w:top w:val="nil"/>
              <w:bottom w:val="nil"/>
            </w:tcBorders>
          </w:tcPr>
          <w:p w:rsidR="007830D8" w:rsidRDefault="00997FB1" w:rsidP="006275D5">
            <w:pPr>
              <w:pStyle w:val="Tabletext"/>
            </w:pPr>
            <w:r>
              <w:t>Not aware</w:t>
            </w:r>
            <w:r w:rsidR="006275D5">
              <w:t>/ n</w:t>
            </w:r>
            <w:r w:rsidR="007830D8">
              <w:t>one cited</w:t>
            </w:r>
          </w:p>
        </w:tc>
        <w:tc>
          <w:tcPr>
            <w:tcW w:w="1299" w:type="dxa"/>
            <w:tcBorders>
              <w:top w:val="nil"/>
              <w:bottom w:val="nil"/>
            </w:tcBorders>
          </w:tcPr>
          <w:p w:rsidR="007830D8" w:rsidRDefault="000507C4" w:rsidP="00975596">
            <w:pPr>
              <w:pStyle w:val="Tabletext"/>
            </w:pPr>
            <w:r>
              <w:t>Cited in the Social Security Legislation Amendment Bill</w:t>
            </w:r>
            <w:r w:rsidR="006275D5">
              <w:t xml:space="preserve"> and media release (Senator Chris Evans 2011 ‘Research confirms a good education is the key to getting a job’)</w:t>
            </w:r>
          </w:p>
        </w:tc>
        <w:tc>
          <w:tcPr>
            <w:tcW w:w="1300" w:type="dxa"/>
            <w:gridSpan w:val="2"/>
            <w:tcBorders>
              <w:top w:val="nil"/>
              <w:bottom w:val="nil"/>
            </w:tcBorders>
          </w:tcPr>
          <w:p w:rsidR="007830D8" w:rsidRDefault="006275D5" w:rsidP="00975596">
            <w:pPr>
              <w:pStyle w:val="Tabletext"/>
            </w:pPr>
            <w:r>
              <w:t>Not aware/ n</w:t>
            </w:r>
            <w:r w:rsidR="007830D8">
              <w:t>one cited</w:t>
            </w:r>
          </w:p>
        </w:tc>
      </w:tr>
      <w:tr w:rsidR="007830D8" w:rsidTr="001B6728">
        <w:tc>
          <w:tcPr>
            <w:tcW w:w="1020" w:type="dxa"/>
            <w:tcBorders>
              <w:top w:val="nil"/>
              <w:bottom w:val="single" w:sz="4" w:space="0" w:color="auto"/>
            </w:tcBorders>
            <w:tcMar>
              <w:right w:w="28" w:type="dxa"/>
            </w:tcMar>
          </w:tcPr>
          <w:p w:rsidR="007830D8" w:rsidRDefault="0040482E" w:rsidP="00CA795A">
            <w:pPr>
              <w:pStyle w:val="Tablehead2"/>
            </w:pPr>
            <w:r>
              <w:t>End-user perspective</w:t>
            </w:r>
          </w:p>
        </w:tc>
        <w:tc>
          <w:tcPr>
            <w:tcW w:w="7796" w:type="dxa"/>
            <w:gridSpan w:val="7"/>
            <w:tcBorders>
              <w:top w:val="nil"/>
              <w:bottom w:val="single" w:sz="4" w:space="0" w:color="auto"/>
            </w:tcBorders>
          </w:tcPr>
          <w:p w:rsidR="00CA795A" w:rsidRDefault="007830D8" w:rsidP="00975596">
            <w:pPr>
              <w:pStyle w:val="Tabletext"/>
            </w:pPr>
            <w:r>
              <w:t xml:space="preserve">The research has informed policies on rural and remote education and the governance of the </w:t>
            </w:r>
            <w:r w:rsidR="0073773B">
              <w:t xml:space="preserve">Trade Training Centres </w:t>
            </w:r>
            <w:r>
              <w:t>in Tasmania (Polytechnic Tasmania) and in a policy framework around youth transitions (Department of Education and</w:t>
            </w:r>
            <w:r w:rsidR="00997FB1">
              <w:t xml:space="preserve"> Early Childhood Development</w:t>
            </w:r>
            <w:r w:rsidR="000F6C70">
              <w:t>).</w:t>
            </w:r>
          </w:p>
          <w:p w:rsidR="007830D8" w:rsidRDefault="007830D8" w:rsidP="00975596">
            <w:pPr>
              <w:pStyle w:val="Tabletext"/>
            </w:pPr>
            <w:r>
              <w:t xml:space="preserve">DEEWR used the research in a paper for APEC and </w:t>
            </w:r>
            <w:r w:rsidR="0080254E">
              <w:t xml:space="preserve">in </w:t>
            </w:r>
            <w:r>
              <w:t>a cabinet document</w:t>
            </w:r>
            <w:r w:rsidR="0080254E">
              <w:t xml:space="preserve"> looking at disadvantaged youth;</w:t>
            </w:r>
            <w:r>
              <w:t xml:space="preserve"> in both cases the findings from the research were used to set the sce</w:t>
            </w:r>
            <w:r w:rsidR="00997FB1">
              <w:t>ne about youth transitions.</w:t>
            </w:r>
            <w:r>
              <w:t xml:space="preserve"> </w:t>
            </w:r>
          </w:p>
        </w:tc>
      </w:tr>
      <w:tr w:rsidR="002A285F" w:rsidTr="001B6728">
        <w:trPr>
          <w:gridAfter w:val="1"/>
          <w:wAfter w:w="27" w:type="dxa"/>
        </w:trPr>
        <w:tc>
          <w:tcPr>
            <w:tcW w:w="8789" w:type="dxa"/>
            <w:gridSpan w:val="7"/>
            <w:tcBorders>
              <w:top w:val="single" w:sz="4" w:space="0" w:color="auto"/>
              <w:bottom w:val="nil"/>
            </w:tcBorders>
          </w:tcPr>
          <w:p w:rsidR="002A285F" w:rsidRDefault="002A285F" w:rsidP="002A285F">
            <w:pPr>
              <w:pStyle w:val="Tablehead1"/>
            </w:pPr>
            <w:r>
              <w:t>Contribution to practice</w:t>
            </w:r>
          </w:p>
        </w:tc>
      </w:tr>
      <w:tr w:rsidR="00BB2BB0" w:rsidTr="001B6728">
        <w:tc>
          <w:tcPr>
            <w:tcW w:w="1020" w:type="dxa"/>
            <w:tcBorders>
              <w:top w:val="nil"/>
            </w:tcBorders>
            <w:tcMar>
              <w:right w:w="28" w:type="dxa"/>
            </w:tcMar>
          </w:tcPr>
          <w:p w:rsidR="00BB2BB0" w:rsidRDefault="00BB2BB0" w:rsidP="00CA795A">
            <w:pPr>
              <w:pStyle w:val="Tablehead2"/>
            </w:pPr>
            <w:r>
              <w:t>Researcher perspective</w:t>
            </w:r>
          </w:p>
        </w:tc>
        <w:tc>
          <w:tcPr>
            <w:tcW w:w="7796" w:type="dxa"/>
            <w:gridSpan w:val="7"/>
            <w:tcBorders>
              <w:top w:val="nil"/>
            </w:tcBorders>
          </w:tcPr>
          <w:p w:rsidR="00BB2BB0" w:rsidRDefault="00BB2BB0" w:rsidP="002A285F">
            <w:pPr>
              <w:pStyle w:val="Tabletext"/>
            </w:pPr>
            <w:r>
              <w:t>While the researchers were unable to cite specific examples, they have all presented at conferences or practitioner networks, sometimes at the request of those networks</w:t>
            </w:r>
            <w:r w:rsidR="0080254E">
              <w:t>.</w:t>
            </w:r>
          </w:p>
        </w:tc>
      </w:tr>
      <w:tr w:rsidR="007830D8" w:rsidTr="001B6728">
        <w:tc>
          <w:tcPr>
            <w:tcW w:w="1020" w:type="dxa"/>
            <w:tcMar>
              <w:right w:w="28" w:type="dxa"/>
            </w:tcMar>
          </w:tcPr>
          <w:p w:rsidR="007830D8" w:rsidRDefault="0040482E" w:rsidP="00CA795A">
            <w:pPr>
              <w:pStyle w:val="Tablehead2"/>
            </w:pPr>
            <w:r>
              <w:t>End-user perspective</w:t>
            </w:r>
          </w:p>
        </w:tc>
        <w:tc>
          <w:tcPr>
            <w:tcW w:w="7796" w:type="dxa"/>
            <w:gridSpan w:val="7"/>
          </w:tcPr>
          <w:p w:rsidR="00CA795A" w:rsidRDefault="007830D8" w:rsidP="00975596">
            <w:pPr>
              <w:pStyle w:val="Tabletext"/>
            </w:pPr>
            <w:r>
              <w:t>Informed the way the Trade Training Centre</w:t>
            </w:r>
            <w:r w:rsidR="0073773B">
              <w:t>s</w:t>
            </w:r>
            <w:r>
              <w:t xml:space="preserve"> at Polytechnic Tasmania </w:t>
            </w:r>
            <w:r w:rsidR="00997FB1">
              <w:t>established</w:t>
            </w:r>
            <w:r>
              <w:t xml:space="preserve"> partnerships between training providers and regional schools. The research also had practical implications for supporting students and for how they set up v</w:t>
            </w:r>
            <w:r w:rsidR="00CA795A">
              <w:t>ocational education in schools.</w:t>
            </w:r>
          </w:p>
          <w:p w:rsidR="007830D8" w:rsidRDefault="007830D8" w:rsidP="00975596">
            <w:pPr>
              <w:pStyle w:val="Tabletext"/>
            </w:pPr>
            <w:r>
              <w:t xml:space="preserve">Informed the Youth Partnerships Initiative, of which the North Central Local Learning and Employment Network is one of eight trial sites. </w:t>
            </w:r>
          </w:p>
        </w:tc>
      </w:tr>
    </w:tbl>
    <w:p w:rsidR="00C00D4D" w:rsidRDefault="00C00D4D" w:rsidP="00C00D4D">
      <w:pPr>
        <w:pStyle w:val="Heading2"/>
      </w:pPr>
      <w:bookmarkStart w:id="42" w:name="_Toc329613258"/>
      <w:r>
        <w:t>Knowledge production</w:t>
      </w:r>
      <w:bookmarkEnd w:id="42"/>
    </w:p>
    <w:p w:rsidR="00C00D4D" w:rsidRDefault="00C00D4D" w:rsidP="00C00D4D">
      <w:pPr>
        <w:pStyle w:val="Text"/>
      </w:pPr>
      <w:r>
        <w:t>The most common forms of output from the research were formal repor</w:t>
      </w:r>
      <w:r w:rsidR="00AA4D59">
        <w:t xml:space="preserve">ts and presentations (table </w:t>
      </w:r>
      <w:r w:rsidR="00E27BBE">
        <w:t>2</w:t>
      </w:r>
      <w:r w:rsidR="00AA4D59">
        <w:t>)</w:t>
      </w:r>
      <w:r w:rsidR="002742EB">
        <w:t xml:space="preserve">, consistent with the outputs proposed as part of </w:t>
      </w:r>
      <w:r w:rsidR="00997FB1">
        <w:t xml:space="preserve">the </w:t>
      </w:r>
      <w:r w:rsidR="002742EB">
        <w:t>dissemination strategies</w:t>
      </w:r>
      <w:r w:rsidR="00AA4D59">
        <w:t xml:space="preserve">. </w:t>
      </w:r>
      <w:r w:rsidR="00997FB1">
        <w:t>Table 3 gives m</w:t>
      </w:r>
      <w:r w:rsidR="002742EB">
        <w:t>ore detailed results</w:t>
      </w:r>
      <w:r>
        <w:t xml:space="preserve"> o</w:t>
      </w:r>
      <w:r w:rsidR="00997FB1">
        <w:t>f the bibliometric analysis</w:t>
      </w:r>
      <w:r>
        <w:t xml:space="preserve">. </w:t>
      </w:r>
      <w:r w:rsidRPr="00780420">
        <w:rPr>
          <w:i/>
        </w:rPr>
        <w:t>Education and happiness in the school-to-work transition</w:t>
      </w:r>
      <w:r>
        <w:t xml:space="preserve"> had the most varied </w:t>
      </w:r>
      <w:r w:rsidR="00997FB1">
        <w:t>outputs from the research</w:t>
      </w:r>
      <w:r>
        <w:t xml:space="preserve"> and also had the greatest number of citations. </w:t>
      </w:r>
    </w:p>
    <w:p w:rsidR="00C00D4D" w:rsidRDefault="00060555" w:rsidP="00C00D4D">
      <w:pPr>
        <w:pStyle w:val="Text"/>
      </w:pPr>
      <w:r>
        <w:t xml:space="preserve">Captured in the ‘Other’ citations data (table </w:t>
      </w:r>
      <w:r w:rsidR="00E27BBE">
        <w:t>3</w:t>
      </w:r>
      <w:r>
        <w:t>) are a number of</w:t>
      </w:r>
      <w:r w:rsidR="00C00D4D">
        <w:t xml:space="preserve"> presentations the researchers </w:t>
      </w:r>
      <w:r w:rsidR="007A031D">
        <w:t>gave</w:t>
      </w:r>
      <w:r w:rsidR="00C00D4D">
        <w:t xml:space="preserve">. </w:t>
      </w:r>
      <w:r w:rsidR="002742EB">
        <w:t>Some of these presentations occurred as a direct result of</w:t>
      </w:r>
      <w:r>
        <w:t xml:space="preserve"> </w:t>
      </w:r>
      <w:r w:rsidR="002742EB">
        <w:t>requests from</w:t>
      </w:r>
      <w:r w:rsidR="00C00D4D">
        <w:t xml:space="preserve"> organisations working in the field </w:t>
      </w:r>
      <w:r w:rsidR="000507C4">
        <w:t>of youth transitions</w:t>
      </w:r>
      <w:r w:rsidR="007A031D">
        <w:t>,</w:t>
      </w:r>
      <w:r w:rsidR="000507C4">
        <w:t xml:space="preserve"> </w:t>
      </w:r>
      <w:r w:rsidR="00C00D4D">
        <w:t>such as the Career Develo</w:t>
      </w:r>
      <w:r>
        <w:t xml:space="preserve">pment Association of Australia. </w:t>
      </w:r>
      <w:r w:rsidR="000507C4">
        <w:t xml:space="preserve">There has also been extremely strong international interest in </w:t>
      </w:r>
      <w:r w:rsidR="00803E3D">
        <w:t>all of the research</w:t>
      </w:r>
      <w:r w:rsidR="007A031D">
        <w:t>,</w:t>
      </w:r>
      <w:r w:rsidR="000507C4">
        <w:t xml:space="preserve"> with presentations </w:t>
      </w:r>
      <w:r w:rsidR="004C24D1">
        <w:t>in</w:t>
      </w:r>
      <w:r w:rsidR="00C00D4D">
        <w:t xml:space="preserve"> Canada, </w:t>
      </w:r>
      <w:r w:rsidR="0073773B">
        <w:t>Ireland</w:t>
      </w:r>
      <w:r w:rsidR="00C00D4D">
        <w:t>, Sweden, France, Portugal, Germany and Hong Kong.</w:t>
      </w:r>
    </w:p>
    <w:p w:rsidR="00C00D4D" w:rsidRDefault="002742EB" w:rsidP="00C00D4D">
      <w:pPr>
        <w:pStyle w:val="Text"/>
      </w:pPr>
      <w:r>
        <w:t>It is particularly interesting to note</w:t>
      </w:r>
      <w:r w:rsidR="007A031D">
        <w:t xml:space="preserve"> that</w:t>
      </w:r>
      <w:r>
        <w:t xml:space="preserve"> </w:t>
      </w:r>
      <w:r w:rsidR="00C00D4D" w:rsidRPr="00E131AC">
        <w:rPr>
          <w:i/>
        </w:rPr>
        <w:t>From education to employment: how long does it take?</w:t>
      </w:r>
      <w:r w:rsidR="00C00D4D">
        <w:t xml:space="preserve"> was cited in the Social Security Legislation Amendment Bill in November 2011 and by Senator Chris Evans, the Minister for Tertiary Education, Skills, Job</w:t>
      </w:r>
      <w:r w:rsidR="00E322E9">
        <w:t>s</w:t>
      </w:r>
      <w:r w:rsidR="00C00D4D">
        <w:t xml:space="preserve"> and Workplace in a </w:t>
      </w:r>
      <w:r w:rsidR="007A031D">
        <w:t>parliamentary media release</w:t>
      </w:r>
      <w:r w:rsidR="00C00D4D">
        <w:t>.</w:t>
      </w:r>
    </w:p>
    <w:p w:rsidR="00DA1318" w:rsidRDefault="002A285F" w:rsidP="00DA1318">
      <w:pPr>
        <w:pStyle w:val="tabletitle"/>
      </w:pPr>
      <w:r>
        <w:br w:type="page"/>
      </w:r>
      <w:bookmarkStart w:id="43" w:name="_Toc329613285"/>
      <w:r w:rsidR="00DA1318">
        <w:lastRenderedPageBreak/>
        <w:t xml:space="preserve">Table </w:t>
      </w:r>
      <w:r w:rsidR="00E27BBE">
        <w:t>3</w:t>
      </w:r>
      <w:r w:rsidR="001B6728">
        <w:tab/>
      </w:r>
      <w:r w:rsidR="00DA1318">
        <w:t>Summary of citations across the RIEF research reports</w:t>
      </w:r>
      <w:r w:rsidR="00DA1318">
        <w:rPr>
          <w:rStyle w:val="FootnoteReference"/>
        </w:rPr>
        <w:footnoteReference w:id="6"/>
      </w:r>
      <w:bookmarkEnd w:id="43"/>
    </w:p>
    <w:tbl>
      <w:tblPr>
        <w:tblW w:w="8789" w:type="dxa"/>
        <w:tblInd w:w="108" w:type="dxa"/>
        <w:tblBorders>
          <w:top w:val="single" w:sz="4" w:space="0" w:color="000000"/>
          <w:bottom w:val="single" w:sz="4" w:space="0" w:color="000000"/>
        </w:tblBorders>
        <w:tblLayout w:type="fixed"/>
        <w:tblLook w:val="01E0"/>
      </w:tblPr>
      <w:tblGrid>
        <w:gridCol w:w="1285"/>
        <w:gridCol w:w="1183"/>
        <w:gridCol w:w="1188"/>
        <w:gridCol w:w="1265"/>
        <w:gridCol w:w="1305"/>
        <w:gridCol w:w="1269"/>
        <w:gridCol w:w="1294"/>
      </w:tblGrid>
      <w:tr w:rsidR="00DA1318" w:rsidTr="001B6728">
        <w:tc>
          <w:tcPr>
            <w:tcW w:w="1340" w:type="dxa"/>
            <w:tcBorders>
              <w:top w:val="single" w:sz="4" w:space="0" w:color="000000"/>
              <w:bottom w:val="nil"/>
            </w:tcBorders>
          </w:tcPr>
          <w:p w:rsidR="00DA1318" w:rsidRDefault="00DA1318" w:rsidP="00DA1318">
            <w:pPr>
              <w:pStyle w:val="Tablehead1"/>
            </w:pPr>
          </w:p>
        </w:tc>
        <w:tc>
          <w:tcPr>
            <w:tcW w:w="1232" w:type="dxa"/>
            <w:tcBorders>
              <w:top w:val="single" w:sz="4" w:space="0" w:color="000000"/>
              <w:bottom w:val="nil"/>
            </w:tcBorders>
            <w:tcMar>
              <w:left w:w="28" w:type="dxa"/>
              <w:right w:w="28" w:type="dxa"/>
            </w:tcMar>
          </w:tcPr>
          <w:p w:rsidR="00DA1318" w:rsidRPr="00997FB1" w:rsidRDefault="00DA1318" w:rsidP="0073773B">
            <w:pPr>
              <w:pStyle w:val="Tablehead1"/>
              <w:rPr>
                <w:i/>
              </w:rPr>
            </w:pPr>
            <w:r w:rsidRPr="00997FB1">
              <w:rPr>
                <w:i/>
              </w:rPr>
              <w:t>Education and happiness in</w:t>
            </w:r>
            <w:r w:rsidR="0073773B">
              <w:rPr>
                <w:i/>
              </w:rPr>
              <w:t> </w:t>
            </w:r>
            <w:r w:rsidRPr="00997FB1">
              <w:rPr>
                <w:i/>
              </w:rPr>
              <w:t>the school-</w:t>
            </w:r>
            <w:r w:rsidR="001B6728">
              <w:rPr>
                <w:i/>
              </w:rPr>
              <w:br/>
            </w:r>
            <w:r w:rsidRPr="00997FB1">
              <w:rPr>
                <w:i/>
              </w:rPr>
              <w:t>to-work transition</w:t>
            </w:r>
          </w:p>
        </w:tc>
        <w:tc>
          <w:tcPr>
            <w:tcW w:w="1237" w:type="dxa"/>
            <w:tcBorders>
              <w:top w:val="single" w:sz="4" w:space="0" w:color="000000"/>
              <w:bottom w:val="nil"/>
            </w:tcBorders>
            <w:tcMar>
              <w:left w:w="28" w:type="dxa"/>
              <w:right w:w="28" w:type="dxa"/>
            </w:tcMar>
          </w:tcPr>
          <w:p w:rsidR="00DA1318" w:rsidRPr="00997FB1" w:rsidRDefault="00DA1318" w:rsidP="00DA1318">
            <w:pPr>
              <w:pStyle w:val="Tablehead1"/>
              <w:rPr>
                <w:i/>
              </w:rPr>
            </w:pPr>
            <w:r w:rsidRPr="00997FB1">
              <w:rPr>
                <w:i/>
              </w:rPr>
              <w:t>Post-school education and labour force participation in Canada and Australia</w:t>
            </w:r>
          </w:p>
        </w:tc>
        <w:tc>
          <w:tcPr>
            <w:tcW w:w="1318" w:type="dxa"/>
            <w:tcBorders>
              <w:top w:val="single" w:sz="4" w:space="0" w:color="000000"/>
              <w:bottom w:val="nil"/>
            </w:tcBorders>
            <w:tcMar>
              <w:left w:w="28" w:type="dxa"/>
              <w:right w:w="28" w:type="dxa"/>
            </w:tcMar>
          </w:tcPr>
          <w:p w:rsidR="00DA1318" w:rsidRPr="00997FB1" w:rsidRDefault="00DA1318" w:rsidP="001B6728">
            <w:pPr>
              <w:pStyle w:val="Tablehead1"/>
              <w:rPr>
                <w:i/>
              </w:rPr>
            </w:pPr>
            <w:r w:rsidRPr="00997FB1">
              <w:rPr>
                <w:i/>
              </w:rPr>
              <w:t>Lost talent? The occupational ambitions and attainments of</w:t>
            </w:r>
            <w:r w:rsidR="001B6728">
              <w:rPr>
                <w:i/>
              </w:rPr>
              <w:t> </w:t>
            </w:r>
            <w:r w:rsidRPr="00997FB1">
              <w:rPr>
                <w:i/>
              </w:rPr>
              <w:t>young Australians</w:t>
            </w:r>
          </w:p>
        </w:tc>
        <w:tc>
          <w:tcPr>
            <w:tcW w:w="1360" w:type="dxa"/>
            <w:tcBorders>
              <w:top w:val="single" w:sz="4" w:space="0" w:color="000000"/>
              <w:bottom w:val="nil"/>
            </w:tcBorders>
            <w:tcMar>
              <w:left w:w="28" w:type="dxa"/>
              <w:right w:w="28" w:type="dxa"/>
            </w:tcMar>
          </w:tcPr>
          <w:p w:rsidR="00DA1318" w:rsidRPr="00997FB1" w:rsidRDefault="00DA1318" w:rsidP="0073773B">
            <w:pPr>
              <w:pStyle w:val="Tablehead1"/>
              <w:rPr>
                <w:i/>
              </w:rPr>
            </w:pPr>
            <w:r w:rsidRPr="00997FB1">
              <w:rPr>
                <w:i/>
              </w:rPr>
              <w:t>Against the odds: influences on</w:t>
            </w:r>
            <w:r w:rsidR="0073773B">
              <w:rPr>
                <w:i/>
              </w:rPr>
              <w:t> </w:t>
            </w:r>
            <w:r w:rsidRPr="00997FB1">
              <w:rPr>
                <w:i/>
              </w:rPr>
              <w:t>the post-school success of ‘low performers’</w:t>
            </w:r>
          </w:p>
        </w:tc>
        <w:tc>
          <w:tcPr>
            <w:tcW w:w="1323" w:type="dxa"/>
            <w:tcBorders>
              <w:top w:val="single" w:sz="4" w:space="0" w:color="000000"/>
              <w:bottom w:val="nil"/>
            </w:tcBorders>
            <w:tcMar>
              <w:left w:w="28" w:type="dxa"/>
              <w:right w:w="28" w:type="dxa"/>
            </w:tcMar>
          </w:tcPr>
          <w:p w:rsidR="00DA1318" w:rsidRPr="00997FB1" w:rsidRDefault="00DA1318" w:rsidP="00DA1318">
            <w:pPr>
              <w:pStyle w:val="Tablehead1"/>
              <w:rPr>
                <w:i/>
              </w:rPr>
            </w:pPr>
            <w:r w:rsidRPr="00997FB1">
              <w:rPr>
                <w:i/>
              </w:rPr>
              <w:t>From education to employment: how long does</w:t>
            </w:r>
            <w:r w:rsidR="0073773B">
              <w:rPr>
                <w:i/>
              </w:rPr>
              <w:t xml:space="preserve">  </w:t>
            </w:r>
            <w:r w:rsidRPr="00997FB1">
              <w:rPr>
                <w:i/>
              </w:rPr>
              <w:t>it take?</w:t>
            </w:r>
          </w:p>
        </w:tc>
        <w:tc>
          <w:tcPr>
            <w:tcW w:w="1349" w:type="dxa"/>
            <w:tcBorders>
              <w:top w:val="single" w:sz="4" w:space="0" w:color="000000"/>
              <w:bottom w:val="nil"/>
            </w:tcBorders>
            <w:tcMar>
              <w:left w:w="28" w:type="dxa"/>
              <w:right w:w="28" w:type="dxa"/>
            </w:tcMar>
          </w:tcPr>
          <w:p w:rsidR="00DA1318" w:rsidRPr="00997FB1" w:rsidRDefault="00DA1318" w:rsidP="00DA1318">
            <w:pPr>
              <w:pStyle w:val="Tablehead1"/>
              <w:rPr>
                <w:i/>
              </w:rPr>
            </w:pPr>
            <w:r w:rsidRPr="00997FB1">
              <w:rPr>
                <w:i/>
              </w:rPr>
              <w:t xml:space="preserve">Returns from education: an occupational status approach </w:t>
            </w:r>
            <w:r w:rsidRPr="00997FB1">
              <w:t>(fellowship)</w:t>
            </w:r>
          </w:p>
        </w:tc>
      </w:tr>
      <w:tr w:rsidR="00DA1318" w:rsidTr="0073773B">
        <w:tc>
          <w:tcPr>
            <w:tcW w:w="1340" w:type="dxa"/>
            <w:tcBorders>
              <w:top w:val="nil"/>
              <w:bottom w:val="single" w:sz="4" w:space="0" w:color="auto"/>
            </w:tcBorders>
          </w:tcPr>
          <w:p w:rsidR="00DA1318" w:rsidRDefault="00DA1318" w:rsidP="001B6728">
            <w:pPr>
              <w:pStyle w:val="Tablehead2"/>
            </w:pPr>
            <w:r>
              <w:t>Publication date</w:t>
            </w:r>
          </w:p>
        </w:tc>
        <w:tc>
          <w:tcPr>
            <w:tcW w:w="1232" w:type="dxa"/>
            <w:tcBorders>
              <w:top w:val="nil"/>
              <w:bottom w:val="single" w:sz="4" w:space="0" w:color="auto"/>
            </w:tcBorders>
            <w:tcMar>
              <w:left w:w="28" w:type="dxa"/>
              <w:right w:w="28" w:type="dxa"/>
            </w:tcMar>
          </w:tcPr>
          <w:p w:rsidR="00DA1318" w:rsidRDefault="00DA1318" w:rsidP="0073773B">
            <w:pPr>
              <w:pStyle w:val="Tablehead2"/>
            </w:pPr>
            <w:r>
              <w:t>19 April 2010</w:t>
            </w:r>
          </w:p>
        </w:tc>
        <w:tc>
          <w:tcPr>
            <w:tcW w:w="1237" w:type="dxa"/>
            <w:tcBorders>
              <w:top w:val="nil"/>
              <w:bottom w:val="single" w:sz="4" w:space="0" w:color="auto"/>
            </w:tcBorders>
            <w:tcMar>
              <w:left w:w="28" w:type="dxa"/>
              <w:right w:w="28" w:type="dxa"/>
            </w:tcMar>
          </w:tcPr>
          <w:p w:rsidR="00DA1318" w:rsidRDefault="00DA1318" w:rsidP="0073773B">
            <w:pPr>
              <w:pStyle w:val="Tablehead2"/>
            </w:pPr>
            <w:r>
              <w:t>21 September 2010</w:t>
            </w:r>
          </w:p>
        </w:tc>
        <w:tc>
          <w:tcPr>
            <w:tcW w:w="1318" w:type="dxa"/>
            <w:tcBorders>
              <w:top w:val="nil"/>
              <w:bottom w:val="single" w:sz="4" w:space="0" w:color="auto"/>
            </w:tcBorders>
            <w:tcMar>
              <w:left w:w="28" w:type="dxa"/>
              <w:right w:w="28" w:type="dxa"/>
            </w:tcMar>
          </w:tcPr>
          <w:p w:rsidR="00DA1318" w:rsidRDefault="00DA1318" w:rsidP="0073773B">
            <w:pPr>
              <w:pStyle w:val="Tablehead2"/>
            </w:pPr>
            <w:r>
              <w:t>12 January 2011</w:t>
            </w:r>
          </w:p>
        </w:tc>
        <w:tc>
          <w:tcPr>
            <w:tcW w:w="1360" w:type="dxa"/>
            <w:tcBorders>
              <w:top w:val="nil"/>
              <w:bottom w:val="single" w:sz="4" w:space="0" w:color="auto"/>
            </w:tcBorders>
            <w:tcMar>
              <w:left w:w="28" w:type="dxa"/>
              <w:right w:w="28" w:type="dxa"/>
            </w:tcMar>
          </w:tcPr>
          <w:p w:rsidR="00DA1318" w:rsidRDefault="00DA1318" w:rsidP="0073773B">
            <w:pPr>
              <w:pStyle w:val="Tablehead2"/>
            </w:pPr>
            <w:r>
              <w:t>21 September 2010</w:t>
            </w:r>
          </w:p>
        </w:tc>
        <w:tc>
          <w:tcPr>
            <w:tcW w:w="1323" w:type="dxa"/>
            <w:tcBorders>
              <w:top w:val="nil"/>
              <w:bottom w:val="single" w:sz="4" w:space="0" w:color="auto"/>
            </w:tcBorders>
            <w:tcMar>
              <w:left w:w="28" w:type="dxa"/>
              <w:right w:w="28" w:type="dxa"/>
            </w:tcMar>
          </w:tcPr>
          <w:p w:rsidR="00DA1318" w:rsidRDefault="00DA1318" w:rsidP="0073773B">
            <w:pPr>
              <w:pStyle w:val="Tablehead2"/>
            </w:pPr>
            <w:r>
              <w:t>29 June 2011</w:t>
            </w:r>
          </w:p>
        </w:tc>
        <w:tc>
          <w:tcPr>
            <w:tcW w:w="1349" w:type="dxa"/>
            <w:tcBorders>
              <w:top w:val="nil"/>
              <w:bottom w:val="single" w:sz="4" w:space="0" w:color="auto"/>
            </w:tcBorders>
            <w:tcMar>
              <w:left w:w="28" w:type="dxa"/>
              <w:right w:w="28" w:type="dxa"/>
            </w:tcMar>
          </w:tcPr>
          <w:p w:rsidR="00DA1318" w:rsidRDefault="00DA1318" w:rsidP="0073773B">
            <w:pPr>
              <w:pStyle w:val="Tablehead2"/>
            </w:pPr>
            <w:r>
              <w:t>16 December 2010</w:t>
            </w:r>
          </w:p>
        </w:tc>
      </w:tr>
      <w:tr w:rsidR="00DA1318" w:rsidTr="001B6728">
        <w:tc>
          <w:tcPr>
            <w:tcW w:w="9159" w:type="dxa"/>
            <w:gridSpan w:val="7"/>
            <w:tcBorders>
              <w:top w:val="single" w:sz="4" w:space="0" w:color="auto"/>
              <w:bottom w:val="nil"/>
            </w:tcBorders>
          </w:tcPr>
          <w:p w:rsidR="00DA1318" w:rsidRDefault="0073773B" w:rsidP="0073773B">
            <w:pPr>
              <w:pStyle w:val="Tablehead2"/>
            </w:pPr>
            <w:r>
              <w:t>Where c</w:t>
            </w:r>
            <w:r w:rsidR="00DA1318">
              <w:t xml:space="preserve">ited (as at </w:t>
            </w:r>
            <w:r w:rsidR="00474563">
              <w:t>31 March</w:t>
            </w:r>
            <w:r w:rsidR="00A77992">
              <w:t xml:space="preserve"> 2012</w:t>
            </w:r>
            <w:r w:rsidR="00DA1318">
              <w:t>)</w:t>
            </w:r>
          </w:p>
        </w:tc>
      </w:tr>
      <w:tr w:rsidR="00DA1318" w:rsidTr="001B6728">
        <w:tc>
          <w:tcPr>
            <w:tcW w:w="1340" w:type="dxa"/>
            <w:tcBorders>
              <w:top w:val="nil"/>
            </w:tcBorders>
          </w:tcPr>
          <w:p w:rsidR="00DA1318" w:rsidRDefault="00DA1318" w:rsidP="00DA1318">
            <w:pPr>
              <w:pStyle w:val="Tabletext"/>
            </w:pPr>
            <w:r>
              <w:t>Journal article</w:t>
            </w:r>
          </w:p>
        </w:tc>
        <w:tc>
          <w:tcPr>
            <w:tcW w:w="1232" w:type="dxa"/>
            <w:tcBorders>
              <w:top w:val="nil"/>
            </w:tcBorders>
          </w:tcPr>
          <w:p w:rsidR="00DA1318" w:rsidRDefault="00DA1318" w:rsidP="00F73740">
            <w:pPr>
              <w:pStyle w:val="Tabletext"/>
              <w:tabs>
                <w:tab w:val="decimal" w:pos="482"/>
              </w:tabs>
            </w:pPr>
            <w:r>
              <w:t>-</w:t>
            </w:r>
          </w:p>
        </w:tc>
        <w:tc>
          <w:tcPr>
            <w:tcW w:w="1237" w:type="dxa"/>
            <w:tcBorders>
              <w:top w:val="nil"/>
            </w:tcBorders>
          </w:tcPr>
          <w:p w:rsidR="00DA1318" w:rsidRDefault="00DA1318" w:rsidP="00F73740">
            <w:pPr>
              <w:pStyle w:val="Tabletext"/>
              <w:tabs>
                <w:tab w:val="decimal" w:pos="482"/>
              </w:tabs>
            </w:pPr>
            <w:r>
              <w:t>1</w:t>
            </w:r>
          </w:p>
        </w:tc>
        <w:tc>
          <w:tcPr>
            <w:tcW w:w="1318" w:type="dxa"/>
            <w:tcBorders>
              <w:top w:val="nil"/>
            </w:tcBorders>
          </w:tcPr>
          <w:p w:rsidR="00DA1318" w:rsidRDefault="00A77992" w:rsidP="00F73740">
            <w:pPr>
              <w:pStyle w:val="Tabletext"/>
              <w:tabs>
                <w:tab w:val="decimal" w:pos="482"/>
              </w:tabs>
            </w:pPr>
            <w:r>
              <w:t>1</w:t>
            </w:r>
          </w:p>
        </w:tc>
        <w:tc>
          <w:tcPr>
            <w:tcW w:w="1360" w:type="dxa"/>
            <w:tcBorders>
              <w:top w:val="nil"/>
            </w:tcBorders>
          </w:tcPr>
          <w:p w:rsidR="00DA1318" w:rsidRDefault="00DA1318" w:rsidP="00F73740">
            <w:pPr>
              <w:pStyle w:val="Tabletext"/>
              <w:tabs>
                <w:tab w:val="decimal" w:pos="482"/>
              </w:tabs>
            </w:pPr>
            <w:r>
              <w:t>1</w:t>
            </w:r>
          </w:p>
        </w:tc>
        <w:tc>
          <w:tcPr>
            <w:tcW w:w="1323" w:type="dxa"/>
            <w:tcBorders>
              <w:top w:val="nil"/>
            </w:tcBorders>
          </w:tcPr>
          <w:p w:rsidR="00DA1318" w:rsidRDefault="00DA1318" w:rsidP="00F73740">
            <w:pPr>
              <w:pStyle w:val="Tabletext"/>
              <w:tabs>
                <w:tab w:val="decimal" w:pos="482"/>
              </w:tabs>
            </w:pPr>
            <w:r>
              <w:t>-</w:t>
            </w:r>
          </w:p>
        </w:tc>
        <w:tc>
          <w:tcPr>
            <w:tcW w:w="1349" w:type="dxa"/>
            <w:tcBorders>
              <w:top w:val="nil"/>
            </w:tcBorders>
          </w:tcPr>
          <w:p w:rsidR="00DA1318" w:rsidRDefault="00DA1318" w:rsidP="00F73740">
            <w:pPr>
              <w:pStyle w:val="Tabletext"/>
              <w:tabs>
                <w:tab w:val="decimal" w:pos="482"/>
              </w:tabs>
            </w:pPr>
            <w:r>
              <w:t>-</w:t>
            </w:r>
          </w:p>
        </w:tc>
      </w:tr>
      <w:tr w:rsidR="00DA1318" w:rsidTr="001B6728">
        <w:tc>
          <w:tcPr>
            <w:tcW w:w="1340" w:type="dxa"/>
          </w:tcPr>
          <w:p w:rsidR="00DA1318" w:rsidRDefault="00DA1318" w:rsidP="007A031D">
            <w:pPr>
              <w:pStyle w:val="Tabletext"/>
            </w:pPr>
            <w:r>
              <w:t>Research reports</w:t>
            </w:r>
            <w:r w:rsidR="007A031D" w:rsidRPr="007A031D">
              <w:rPr>
                <w:sz w:val="12"/>
                <w:vertAlign w:val="superscript"/>
              </w:rPr>
              <w:t>1</w:t>
            </w:r>
          </w:p>
        </w:tc>
        <w:tc>
          <w:tcPr>
            <w:tcW w:w="1232" w:type="dxa"/>
          </w:tcPr>
          <w:p w:rsidR="00DA1318" w:rsidRDefault="00A77992" w:rsidP="00F73740">
            <w:pPr>
              <w:pStyle w:val="Tabletext"/>
              <w:tabs>
                <w:tab w:val="decimal" w:pos="482"/>
              </w:tabs>
            </w:pPr>
            <w:r>
              <w:t>4</w:t>
            </w:r>
          </w:p>
        </w:tc>
        <w:tc>
          <w:tcPr>
            <w:tcW w:w="1237" w:type="dxa"/>
          </w:tcPr>
          <w:p w:rsidR="00DA1318" w:rsidRDefault="00A77992" w:rsidP="00F73740">
            <w:pPr>
              <w:pStyle w:val="Tabletext"/>
              <w:tabs>
                <w:tab w:val="decimal" w:pos="482"/>
              </w:tabs>
            </w:pPr>
            <w:r>
              <w:t>3</w:t>
            </w:r>
          </w:p>
        </w:tc>
        <w:tc>
          <w:tcPr>
            <w:tcW w:w="1318" w:type="dxa"/>
          </w:tcPr>
          <w:p w:rsidR="00DA1318" w:rsidRDefault="00A77992" w:rsidP="00F73740">
            <w:pPr>
              <w:pStyle w:val="Tabletext"/>
              <w:tabs>
                <w:tab w:val="decimal" w:pos="482"/>
              </w:tabs>
            </w:pPr>
            <w:r>
              <w:t>4</w:t>
            </w:r>
          </w:p>
        </w:tc>
        <w:tc>
          <w:tcPr>
            <w:tcW w:w="1360" w:type="dxa"/>
          </w:tcPr>
          <w:p w:rsidR="00DA1318" w:rsidRDefault="00A77992" w:rsidP="00F73740">
            <w:pPr>
              <w:pStyle w:val="Tabletext"/>
              <w:tabs>
                <w:tab w:val="decimal" w:pos="482"/>
              </w:tabs>
            </w:pPr>
            <w:r>
              <w:t>4</w:t>
            </w:r>
          </w:p>
        </w:tc>
        <w:tc>
          <w:tcPr>
            <w:tcW w:w="1323" w:type="dxa"/>
          </w:tcPr>
          <w:p w:rsidR="00DA1318" w:rsidRDefault="00A77992" w:rsidP="00F73740">
            <w:pPr>
              <w:pStyle w:val="Tabletext"/>
              <w:tabs>
                <w:tab w:val="decimal" w:pos="482"/>
              </w:tabs>
            </w:pPr>
            <w:r>
              <w:t>3</w:t>
            </w:r>
          </w:p>
        </w:tc>
        <w:tc>
          <w:tcPr>
            <w:tcW w:w="1349" w:type="dxa"/>
          </w:tcPr>
          <w:p w:rsidR="00DA1318" w:rsidRDefault="00A77992" w:rsidP="00F73740">
            <w:pPr>
              <w:pStyle w:val="Tabletext"/>
              <w:tabs>
                <w:tab w:val="decimal" w:pos="482"/>
              </w:tabs>
            </w:pPr>
            <w:r>
              <w:t>2</w:t>
            </w:r>
          </w:p>
        </w:tc>
      </w:tr>
      <w:tr w:rsidR="00DA1318" w:rsidTr="001B6728">
        <w:tc>
          <w:tcPr>
            <w:tcW w:w="1340" w:type="dxa"/>
          </w:tcPr>
          <w:p w:rsidR="00DA1318" w:rsidRDefault="00DA1318" w:rsidP="00DA1318">
            <w:pPr>
              <w:pStyle w:val="Tabletext"/>
            </w:pPr>
            <w:r>
              <w:t>Book chapters</w:t>
            </w:r>
          </w:p>
        </w:tc>
        <w:tc>
          <w:tcPr>
            <w:tcW w:w="1232" w:type="dxa"/>
          </w:tcPr>
          <w:p w:rsidR="00DA1318" w:rsidRDefault="00DA1318" w:rsidP="00F73740">
            <w:pPr>
              <w:pStyle w:val="Tabletext"/>
              <w:tabs>
                <w:tab w:val="decimal" w:pos="482"/>
              </w:tabs>
            </w:pPr>
            <w:r>
              <w:t>-</w:t>
            </w:r>
          </w:p>
        </w:tc>
        <w:tc>
          <w:tcPr>
            <w:tcW w:w="1237" w:type="dxa"/>
          </w:tcPr>
          <w:p w:rsidR="00DA1318" w:rsidRDefault="00DA1318" w:rsidP="00F73740">
            <w:pPr>
              <w:pStyle w:val="Tabletext"/>
              <w:tabs>
                <w:tab w:val="decimal" w:pos="482"/>
              </w:tabs>
            </w:pPr>
            <w:r>
              <w:t>-</w:t>
            </w:r>
          </w:p>
        </w:tc>
        <w:tc>
          <w:tcPr>
            <w:tcW w:w="1318" w:type="dxa"/>
          </w:tcPr>
          <w:p w:rsidR="00DA1318" w:rsidRDefault="00DA1318" w:rsidP="00F73740">
            <w:pPr>
              <w:pStyle w:val="Tabletext"/>
              <w:tabs>
                <w:tab w:val="decimal" w:pos="482"/>
              </w:tabs>
            </w:pPr>
            <w:r>
              <w:t>-</w:t>
            </w:r>
          </w:p>
        </w:tc>
        <w:tc>
          <w:tcPr>
            <w:tcW w:w="1360" w:type="dxa"/>
          </w:tcPr>
          <w:p w:rsidR="00DA1318" w:rsidRDefault="00DA1318" w:rsidP="00F73740">
            <w:pPr>
              <w:pStyle w:val="Tabletext"/>
              <w:tabs>
                <w:tab w:val="decimal" w:pos="482"/>
              </w:tabs>
            </w:pPr>
            <w:r>
              <w:t>1</w:t>
            </w:r>
          </w:p>
        </w:tc>
        <w:tc>
          <w:tcPr>
            <w:tcW w:w="1323" w:type="dxa"/>
          </w:tcPr>
          <w:p w:rsidR="00DA1318" w:rsidRDefault="00DA1318" w:rsidP="00F73740">
            <w:pPr>
              <w:pStyle w:val="Tabletext"/>
              <w:tabs>
                <w:tab w:val="decimal" w:pos="482"/>
              </w:tabs>
            </w:pPr>
            <w:r>
              <w:t>-</w:t>
            </w:r>
          </w:p>
        </w:tc>
        <w:tc>
          <w:tcPr>
            <w:tcW w:w="1349" w:type="dxa"/>
          </w:tcPr>
          <w:p w:rsidR="00DA1318" w:rsidRDefault="00DA1318" w:rsidP="00F73740">
            <w:pPr>
              <w:pStyle w:val="Tabletext"/>
              <w:tabs>
                <w:tab w:val="decimal" w:pos="482"/>
              </w:tabs>
            </w:pPr>
            <w:r>
              <w:t>-</w:t>
            </w:r>
          </w:p>
        </w:tc>
      </w:tr>
      <w:tr w:rsidR="00DA1318" w:rsidTr="001B6728">
        <w:tc>
          <w:tcPr>
            <w:tcW w:w="1340" w:type="dxa"/>
          </w:tcPr>
          <w:p w:rsidR="00DA1318" w:rsidRDefault="00DA1318" w:rsidP="00DA1318">
            <w:pPr>
              <w:pStyle w:val="Tabletext"/>
            </w:pPr>
            <w:r>
              <w:t>Conference papers</w:t>
            </w:r>
          </w:p>
        </w:tc>
        <w:tc>
          <w:tcPr>
            <w:tcW w:w="1232" w:type="dxa"/>
          </w:tcPr>
          <w:p w:rsidR="00DA1318" w:rsidRDefault="00DA1318" w:rsidP="00F73740">
            <w:pPr>
              <w:pStyle w:val="Tabletext"/>
              <w:tabs>
                <w:tab w:val="decimal" w:pos="482"/>
              </w:tabs>
            </w:pPr>
            <w:r>
              <w:t>3</w:t>
            </w:r>
          </w:p>
        </w:tc>
        <w:tc>
          <w:tcPr>
            <w:tcW w:w="1237" w:type="dxa"/>
          </w:tcPr>
          <w:p w:rsidR="00DA1318" w:rsidRDefault="00DA1318" w:rsidP="00F73740">
            <w:pPr>
              <w:pStyle w:val="Tabletext"/>
              <w:tabs>
                <w:tab w:val="decimal" w:pos="482"/>
              </w:tabs>
            </w:pPr>
            <w:r>
              <w:t>-</w:t>
            </w:r>
          </w:p>
        </w:tc>
        <w:tc>
          <w:tcPr>
            <w:tcW w:w="1318" w:type="dxa"/>
          </w:tcPr>
          <w:p w:rsidR="00DA1318" w:rsidRDefault="00DA1318" w:rsidP="00F73740">
            <w:pPr>
              <w:pStyle w:val="Tabletext"/>
              <w:tabs>
                <w:tab w:val="decimal" w:pos="482"/>
              </w:tabs>
            </w:pPr>
            <w:r>
              <w:t>1</w:t>
            </w:r>
          </w:p>
        </w:tc>
        <w:tc>
          <w:tcPr>
            <w:tcW w:w="1360" w:type="dxa"/>
          </w:tcPr>
          <w:p w:rsidR="00DA1318" w:rsidRDefault="00A77992" w:rsidP="00F73740">
            <w:pPr>
              <w:pStyle w:val="Tabletext"/>
              <w:tabs>
                <w:tab w:val="decimal" w:pos="482"/>
              </w:tabs>
            </w:pPr>
            <w:r>
              <w:t>1</w:t>
            </w:r>
          </w:p>
        </w:tc>
        <w:tc>
          <w:tcPr>
            <w:tcW w:w="1323" w:type="dxa"/>
          </w:tcPr>
          <w:p w:rsidR="00DA1318" w:rsidRDefault="00DA1318" w:rsidP="00F73740">
            <w:pPr>
              <w:pStyle w:val="Tabletext"/>
              <w:tabs>
                <w:tab w:val="decimal" w:pos="482"/>
              </w:tabs>
            </w:pPr>
            <w:r>
              <w:t>-</w:t>
            </w:r>
          </w:p>
        </w:tc>
        <w:tc>
          <w:tcPr>
            <w:tcW w:w="1349" w:type="dxa"/>
          </w:tcPr>
          <w:p w:rsidR="00DA1318" w:rsidRDefault="00DA1318" w:rsidP="00F73740">
            <w:pPr>
              <w:pStyle w:val="Tabletext"/>
              <w:tabs>
                <w:tab w:val="decimal" w:pos="482"/>
              </w:tabs>
            </w:pPr>
            <w:r>
              <w:t>-</w:t>
            </w:r>
          </w:p>
        </w:tc>
      </w:tr>
      <w:tr w:rsidR="00DA1318" w:rsidTr="001B6728">
        <w:tc>
          <w:tcPr>
            <w:tcW w:w="1340" w:type="dxa"/>
          </w:tcPr>
          <w:p w:rsidR="00DA1318" w:rsidRDefault="00DA1318" w:rsidP="00DA1318">
            <w:pPr>
              <w:pStyle w:val="Tabletext"/>
            </w:pPr>
            <w:r>
              <w:t>Parliamentary databases</w:t>
            </w:r>
          </w:p>
        </w:tc>
        <w:tc>
          <w:tcPr>
            <w:tcW w:w="1232" w:type="dxa"/>
          </w:tcPr>
          <w:p w:rsidR="00DA1318" w:rsidRDefault="00DA1318" w:rsidP="00F73740">
            <w:pPr>
              <w:pStyle w:val="Tabletext"/>
              <w:tabs>
                <w:tab w:val="decimal" w:pos="482"/>
              </w:tabs>
            </w:pPr>
            <w:r>
              <w:t>-</w:t>
            </w:r>
          </w:p>
        </w:tc>
        <w:tc>
          <w:tcPr>
            <w:tcW w:w="1237" w:type="dxa"/>
          </w:tcPr>
          <w:p w:rsidR="00DA1318" w:rsidRDefault="00DA1318" w:rsidP="00F73740">
            <w:pPr>
              <w:pStyle w:val="Tabletext"/>
              <w:tabs>
                <w:tab w:val="decimal" w:pos="482"/>
              </w:tabs>
            </w:pPr>
            <w:r>
              <w:t>-</w:t>
            </w:r>
          </w:p>
        </w:tc>
        <w:tc>
          <w:tcPr>
            <w:tcW w:w="1318" w:type="dxa"/>
          </w:tcPr>
          <w:p w:rsidR="00DA1318" w:rsidRDefault="00DA1318" w:rsidP="00F73740">
            <w:pPr>
              <w:pStyle w:val="Tabletext"/>
              <w:tabs>
                <w:tab w:val="decimal" w:pos="482"/>
              </w:tabs>
            </w:pPr>
            <w:r>
              <w:t>-</w:t>
            </w:r>
          </w:p>
        </w:tc>
        <w:tc>
          <w:tcPr>
            <w:tcW w:w="1360" w:type="dxa"/>
          </w:tcPr>
          <w:p w:rsidR="00DA1318" w:rsidRDefault="00DA1318" w:rsidP="00F73740">
            <w:pPr>
              <w:pStyle w:val="Tabletext"/>
              <w:tabs>
                <w:tab w:val="decimal" w:pos="482"/>
              </w:tabs>
            </w:pPr>
            <w:r>
              <w:t>-</w:t>
            </w:r>
          </w:p>
        </w:tc>
        <w:tc>
          <w:tcPr>
            <w:tcW w:w="1323" w:type="dxa"/>
          </w:tcPr>
          <w:p w:rsidR="00DA1318" w:rsidRDefault="00DA1318" w:rsidP="00F73740">
            <w:pPr>
              <w:pStyle w:val="Tabletext"/>
              <w:tabs>
                <w:tab w:val="decimal" w:pos="482"/>
              </w:tabs>
            </w:pPr>
            <w:r>
              <w:t>2</w:t>
            </w:r>
          </w:p>
        </w:tc>
        <w:tc>
          <w:tcPr>
            <w:tcW w:w="1349" w:type="dxa"/>
          </w:tcPr>
          <w:p w:rsidR="00DA1318" w:rsidRDefault="00DA1318" w:rsidP="00F73740">
            <w:pPr>
              <w:pStyle w:val="Tabletext"/>
              <w:tabs>
                <w:tab w:val="decimal" w:pos="482"/>
              </w:tabs>
            </w:pPr>
            <w:r>
              <w:t>-</w:t>
            </w:r>
          </w:p>
        </w:tc>
      </w:tr>
      <w:tr w:rsidR="00DA1318" w:rsidTr="001B6728">
        <w:tc>
          <w:tcPr>
            <w:tcW w:w="1340" w:type="dxa"/>
          </w:tcPr>
          <w:p w:rsidR="00DA1318" w:rsidRDefault="00DA1318" w:rsidP="007A031D">
            <w:pPr>
              <w:pStyle w:val="Tabletext"/>
            </w:pPr>
            <w:r>
              <w:t>Other</w:t>
            </w:r>
            <w:r w:rsidR="007A031D" w:rsidRPr="007A031D">
              <w:rPr>
                <w:vertAlign w:val="superscript"/>
              </w:rPr>
              <w:t>2</w:t>
            </w:r>
          </w:p>
        </w:tc>
        <w:tc>
          <w:tcPr>
            <w:tcW w:w="1232" w:type="dxa"/>
          </w:tcPr>
          <w:p w:rsidR="00DA1318" w:rsidRDefault="00DA1318" w:rsidP="00F73740">
            <w:pPr>
              <w:pStyle w:val="Tabletext"/>
              <w:tabs>
                <w:tab w:val="decimal" w:pos="482"/>
              </w:tabs>
            </w:pPr>
            <w:r>
              <w:t>6</w:t>
            </w:r>
          </w:p>
        </w:tc>
        <w:tc>
          <w:tcPr>
            <w:tcW w:w="1237" w:type="dxa"/>
          </w:tcPr>
          <w:p w:rsidR="00DA1318" w:rsidRDefault="00DA1318" w:rsidP="00F73740">
            <w:pPr>
              <w:pStyle w:val="Tabletext"/>
              <w:tabs>
                <w:tab w:val="decimal" w:pos="482"/>
              </w:tabs>
            </w:pPr>
            <w:r>
              <w:t>3</w:t>
            </w:r>
          </w:p>
        </w:tc>
        <w:tc>
          <w:tcPr>
            <w:tcW w:w="1318" w:type="dxa"/>
          </w:tcPr>
          <w:p w:rsidR="00DA1318" w:rsidRDefault="00DA1318" w:rsidP="00F73740">
            <w:pPr>
              <w:pStyle w:val="Tabletext"/>
              <w:tabs>
                <w:tab w:val="decimal" w:pos="482"/>
              </w:tabs>
            </w:pPr>
            <w:r>
              <w:t>7</w:t>
            </w:r>
          </w:p>
        </w:tc>
        <w:tc>
          <w:tcPr>
            <w:tcW w:w="1360" w:type="dxa"/>
          </w:tcPr>
          <w:p w:rsidR="00DA1318" w:rsidRDefault="00DA1318" w:rsidP="00F73740">
            <w:pPr>
              <w:pStyle w:val="Tabletext"/>
              <w:tabs>
                <w:tab w:val="decimal" w:pos="482"/>
              </w:tabs>
            </w:pPr>
            <w:r>
              <w:t>4</w:t>
            </w:r>
          </w:p>
        </w:tc>
        <w:tc>
          <w:tcPr>
            <w:tcW w:w="1323" w:type="dxa"/>
          </w:tcPr>
          <w:p w:rsidR="00DA1318" w:rsidRDefault="00DA1318" w:rsidP="00F73740">
            <w:pPr>
              <w:pStyle w:val="Tabletext"/>
              <w:tabs>
                <w:tab w:val="decimal" w:pos="482"/>
              </w:tabs>
            </w:pPr>
            <w:r>
              <w:t>-</w:t>
            </w:r>
          </w:p>
        </w:tc>
        <w:tc>
          <w:tcPr>
            <w:tcW w:w="1349" w:type="dxa"/>
          </w:tcPr>
          <w:p w:rsidR="00DA1318" w:rsidRDefault="00DA1318" w:rsidP="00F73740">
            <w:pPr>
              <w:pStyle w:val="Tabletext"/>
              <w:tabs>
                <w:tab w:val="decimal" w:pos="482"/>
              </w:tabs>
            </w:pPr>
            <w:r>
              <w:t>3</w:t>
            </w:r>
          </w:p>
        </w:tc>
      </w:tr>
      <w:tr w:rsidR="00DA1318" w:rsidTr="00F73740">
        <w:tc>
          <w:tcPr>
            <w:tcW w:w="1340" w:type="dxa"/>
            <w:tcBorders>
              <w:bottom w:val="nil"/>
            </w:tcBorders>
          </w:tcPr>
          <w:p w:rsidR="00DA1318" w:rsidRDefault="00DA1318" w:rsidP="00DA1318">
            <w:pPr>
              <w:pStyle w:val="Tabletext"/>
            </w:pPr>
            <w:r>
              <w:t>Media</w:t>
            </w:r>
          </w:p>
        </w:tc>
        <w:tc>
          <w:tcPr>
            <w:tcW w:w="1232" w:type="dxa"/>
            <w:tcBorders>
              <w:bottom w:val="nil"/>
            </w:tcBorders>
          </w:tcPr>
          <w:p w:rsidR="00DA1318" w:rsidRDefault="00DA1318" w:rsidP="00F73740">
            <w:pPr>
              <w:pStyle w:val="Tabletext"/>
              <w:tabs>
                <w:tab w:val="decimal" w:pos="482"/>
              </w:tabs>
            </w:pPr>
            <w:r>
              <w:t>32</w:t>
            </w:r>
          </w:p>
        </w:tc>
        <w:tc>
          <w:tcPr>
            <w:tcW w:w="1237" w:type="dxa"/>
            <w:tcBorders>
              <w:bottom w:val="nil"/>
            </w:tcBorders>
          </w:tcPr>
          <w:p w:rsidR="00DA1318" w:rsidRDefault="00DA1318" w:rsidP="00F73740">
            <w:pPr>
              <w:pStyle w:val="Tabletext"/>
              <w:tabs>
                <w:tab w:val="decimal" w:pos="482"/>
              </w:tabs>
            </w:pPr>
            <w:r>
              <w:t>2</w:t>
            </w:r>
          </w:p>
        </w:tc>
        <w:tc>
          <w:tcPr>
            <w:tcW w:w="1318" w:type="dxa"/>
            <w:tcBorders>
              <w:bottom w:val="nil"/>
            </w:tcBorders>
          </w:tcPr>
          <w:p w:rsidR="00DA1318" w:rsidRDefault="00DA1318" w:rsidP="00F73740">
            <w:pPr>
              <w:pStyle w:val="Tabletext"/>
              <w:tabs>
                <w:tab w:val="decimal" w:pos="482"/>
              </w:tabs>
            </w:pPr>
            <w:r>
              <w:t>19</w:t>
            </w:r>
          </w:p>
        </w:tc>
        <w:tc>
          <w:tcPr>
            <w:tcW w:w="1360" w:type="dxa"/>
            <w:tcBorders>
              <w:bottom w:val="nil"/>
            </w:tcBorders>
          </w:tcPr>
          <w:p w:rsidR="00DA1318" w:rsidRDefault="00DA1318" w:rsidP="00F73740">
            <w:pPr>
              <w:pStyle w:val="Tabletext"/>
              <w:tabs>
                <w:tab w:val="decimal" w:pos="482"/>
              </w:tabs>
            </w:pPr>
            <w:r>
              <w:t>9</w:t>
            </w:r>
          </w:p>
        </w:tc>
        <w:tc>
          <w:tcPr>
            <w:tcW w:w="1323" w:type="dxa"/>
            <w:tcBorders>
              <w:bottom w:val="nil"/>
            </w:tcBorders>
          </w:tcPr>
          <w:p w:rsidR="00DA1318" w:rsidRDefault="00DA1318" w:rsidP="00F73740">
            <w:pPr>
              <w:pStyle w:val="Tabletext"/>
              <w:tabs>
                <w:tab w:val="decimal" w:pos="482"/>
              </w:tabs>
            </w:pPr>
            <w:r>
              <w:t>14</w:t>
            </w:r>
          </w:p>
        </w:tc>
        <w:tc>
          <w:tcPr>
            <w:tcW w:w="1349" w:type="dxa"/>
            <w:tcBorders>
              <w:bottom w:val="nil"/>
            </w:tcBorders>
          </w:tcPr>
          <w:p w:rsidR="00DA1318" w:rsidRDefault="00DA1318" w:rsidP="00F73740">
            <w:pPr>
              <w:pStyle w:val="Tabletext"/>
              <w:tabs>
                <w:tab w:val="decimal" w:pos="482"/>
              </w:tabs>
            </w:pPr>
            <w:r>
              <w:t>6</w:t>
            </w:r>
          </w:p>
        </w:tc>
      </w:tr>
      <w:tr w:rsidR="00DA1318" w:rsidRPr="00287C3E" w:rsidTr="00F73740">
        <w:tc>
          <w:tcPr>
            <w:tcW w:w="1340" w:type="dxa"/>
            <w:tcBorders>
              <w:top w:val="nil"/>
              <w:bottom w:val="dotDash" w:sz="4" w:space="0" w:color="auto"/>
            </w:tcBorders>
          </w:tcPr>
          <w:p w:rsidR="00DA1318" w:rsidRPr="00287C3E" w:rsidRDefault="00F73740" w:rsidP="00DA1318">
            <w:pPr>
              <w:pStyle w:val="Tabletext"/>
              <w:rPr>
                <w:b/>
              </w:rPr>
            </w:pPr>
            <w:r w:rsidRPr="00287C3E">
              <w:rPr>
                <w:b/>
              </w:rPr>
              <w:t>Total</w:t>
            </w:r>
          </w:p>
        </w:tc>
        <w:tc>
          <w:tcPr>
            <w:tcW w:w="1232" w:type="dxa"/>
            <w:tcBorders>
              <w:top w:val="nil"/>
              <w:bottom w:val="dotDash" w:sz="4" w:space="0" w:color="auto"/>
            </w:tcBorders>
          </w:tcPr>
          <w:p w:rsidR="00DA1318" w:rsidRPr="00287C3E" w:rsidRDefault="00DA1318" w:rsidP="00F73740">
            <w:pPr>
              <w:pStyle w:val="Tabletext"/>
              <w:tabs>
                <w:tab w:val="decimal" w:pos="482"/>
              </w:tabs>
              <w:rPr>
                <w:b/>
              </w:rPr>
            </w:pPr>
            <w:r w:rsidRPr="00287C3E">
              <w:rPr>
                <w:b/>
              </w:rPr>
              <w:t>4</w:t>
            </w:r>
            <w:r w:rsidR="00A77992">
              <w:rPr>
                <w:b/>
              </w:rPr>
              <w:t>5</w:t>
            </w:r>
          </w:p>
        </w:tc>
        <w:tc>
          <w:tcPr>
            <w:tcW w:w="1237" w:type="dxa"/>
            <w:tcBorders>
              <w:top w:val="nil"/>
              <w:bottom w:val="dotDash" w:sz="4" w:space="0" w:color="auto"/>
            </w:tcBorders>
          </w:tcPr>
          <w:p w:rsidR="00DA1318" w:rsidRPr="00287C3E" w:rsidRDefault="00A77992" w:rsidP="00F73740">
            <w:pPr>
              <w:pStyle w:val="Tabletext"/>
              <w:tabs>
                <w:tab w:val="decimal" w:pos="482"/>
              </w:tabs>
              <w:rPr>
                <w:b/>
              </w:rPr>
            </w:pPr>
            <w:r>
              <w:rPr>
                <w:b/>
              </w:rPr>
              <w:t>9</w:t>
            </w:r>
          </w:p>
        </w:tc>
        <w:tc>
          <w:tcPr>
            <w:tcW w:w="1318" w:type="dxa"/>
            <w:tcBorders>
              <w:top w:val="nil"/>
              <w:bottom w:val="dotDash" w:sz="4" w:space="0" w:color="auto"/>
            </w:tcBorders>
          </w:tcPr>
          <w:p w:rsidR="00DA1318" w:rsidRPr="00287C3E" w:rsidRDefault="00A77992" w:rsidP="00F73740">
            <w:pPr>
              <w:pStyle w:val="Tabletext"/>
              <w:tabs>
                <w:tab w:val="decimal" w:pos="482"/>
              </w:tabs>
              <w:rPr>
                <w:b/>
              </w:rPr>
            </w:pPr>
            <w:r>
              <w:rPr>
                <w:b/>
              </w:rPr>
              <w:t>32</w:t>
            </w:r>
          </w:p>
        </w:tc>
        <w:tc>
          <w:tcPr>
            <w:tcW w:w="1360" w:type="dxa"/>
            <w:tcBorders>
              <w:top w:val="nil"/>
              <w:bottom w:val="dotDash" w:sz="4" w:space="0" w:color="auto"/>
            </w:tcBorders>
          </w:tcPr>
          <w:p w:rsidR="00DA1318" w:rsidRPr="00287C3E" w:rsidRDefault="00A77992" w:rsidP="00F73740">
            <w:pPr>
              <w:pStyle w:val="Tabletext"/>
              <w:tabs>
                <w:tab w:val="decimal" w:pos="482"/>
              </w:tabs>
              <w:rPr>
                <w:b/>
              </w:rPr>
            </w:pPr>
            <w:r>
              <w:rPr>
                <w:b/>
              </w:rPr>
              <w:t>20</w:t>
            </w:r>
          </w:p>
        </w:tc>
        <w:tc>
          <w:tcPr>
            <w:tcW w:w="1323" w:type="dxa"/>
            <w:tcBorders>
              <w:top w:val="nil"/>
              <w:bottom w:val="dotDash" w:sz="4" w:space="0" w:color="auto"/>
            </w:tcBorders>
          </w:tcPr>
          <w:p w:rsidR="00DA1318" w:rsidRPr="00287C3E" w:rsidRDefault="00A77992" w:rsidP="00F73740">
            <w:pPr>
              <w:pStyle w:val="Tabletext"/>
              <w:tabs>
                <w:tab w:val="decimal" w:pos="482"/>
              </w:tabs>
              <w:rPr>
                <w:b/>
              </w:rPr>
            </w:pPr>
            <w:r>
              <w:rPr>
                <w:b/>
              </w:rPr>
              <w:t>19</w:t>
            </w:r>
          </w:p>
        </w:tc>
        <w:tc>
          <w:tcPr>
            <w:tcW w:w="1349" w:type="dxa"/>
            <w:tcBorders>
              <w:top w:val="nil"/>
              <w:bottom w:val="dotDash" w:sz="4" w:space="0" w:color="auto"/>
            </w:tcBorders>
          </w:tcPr>
          <w:p w:rsidR="00DA1318" w:rsidRPr="00287C3E" w:rsidRDefault="00A77992" w:rsidP="00F73740">
            <w:pPr>
              <w:pStyle w:val="Tabletext"/>
              <w:tabs>
                <w:tab w:val="decimal" w:pos="482"/>
              </w:tabs>
              <w:rPr>
                <w:b/>
              </w:rPr>
            </w:pPr>
            <w:r>
              <w:rPr>
                <w:b/>
              </w:rPr>
              <w:t>11</w:t>
            </w:r>
          </w:p>
        </w:tc>
      </w:tr>
      <w:tr w:rsidR="00DA1318" w:rsidTr="00F73740">
        <w:tc>
          <w:tcPr>
            <w:tcW w:w="9159" w:type="dxa"/>
            <w:gridSpan w:val="7"/>
            <w:tcBorders>
              <w:top w:val="dotDash" w:sz="4" w:space="0" w:color="auto"/>
              <w:bottom w:val="nil"/>
            </w:tcBorders>
          </w:tcPr>
          <w:p w:rsidR="00DA1318" w:rsidRDefault="00DA1318" w:rsidP="005A2C46">
            <w:pPr>
              <w:pStyle w:val="Tablehead2"/>
            </w:pPr>
            <w:r>
              <w:t xml:space="preserve">Google Analytics website data (from report publication date to </w:t>
            </w:r>
            <w:r w:rsidR="005A2C46">
              <w:t>31 March 2012</w:t>
            </w:r>
            <w:r>
              <w:t>)</w:t>
            </w:r>
          </w:p>
        </w:tc>
      </w:tr>
      <w:tr w:rsidR="00DA1318" w:rsidTr="00F73740">
        <w:tc>
          <w:tcPr>
            <w:tcW w:w="1340" w:type="dxa"/>
            <w:tcBorders>
              <w:top w:val="nil"/>
              <w:bottom w:val="nil"/>
            </w:tcBorders>
          </w:tcPr>
          <w:p w:rsidR="00DA1318" w:rsidRDefault="00DA1318" w:rsidP="00DA1318">
            <w:pPr>
              <w:pStyle w:val="Tabletext"/>
            </w:pPr>
            <w:r>
              <w:t>Total unique page views</w:t>
            </w:r>
            <w:r w:rsidR="007A031D" w:rsidRPr="007A031D">
              <w:rPr>
                <w:vertAlign w:val="superscript"/>
              </w:rPr>
              <w:t>3</w:t>
            </w:r>
          </w:p>
        </w:tc>
        <w:tc>
          <w:tcPr>
            <w:tcW w:w="1232" w:type="dxa"/>
            <w:tcBorders>
              <w:top w:val="nil"/>
              <w:bottom w:val="nil"/>
            </w:tcBorders>
          </w:tcPr>
          <w:p w:rsidR="00DA1318" w:rsidRDefault="00033C16" w:rsidP="00F73740">
            <w:pPr>
              <w:pStyle w:val="Tabletext"/>
              <w:tabs>
                <w:tab w:val="decimal" w:pos="482"/>
              </w:tabs>
            </w:pPr>
            <w:r>
              <w:t>2202</w:t>
            </w:r>
          </w:p>
        </w:tc>
        <w:tc>
          <w:tcPr>
            <w:tcW w:w="1237" w:type="dxa"/>
            <w:tcBorders>
              <w:top w:val="nil"/>
              <w:bottom w:val="nil"/>
            </w:tcBorders>
          </w:tcPr>
          <w:p w:rsidR="00DA1318" w:rsidRDefault="00033C16" w:rsidP="00F73740">
            <w:pPr>
              <w:pStyle w:val="Tabletext"/>
              <w:tabs>
                <w:tab w:val="decimal" w:pos="482"/>
              </w:tabs>
            </w:pPr>
            <w:r>
              <w:t>1138</w:t>
            </w:r>
          </w:p>
        </w:tc>
        <w:tc>
          <w:tcPr>
            <w:tcW w:w="1318" w:type="dxa"/>
            <w:tcBorders>
              <w:top w:val="nil"/>
              <w:bottom w:val="nil"/>
            </w:tcBorders>
          </w:tcPr>
          <w:p w:rsidR="00DA1318" w:rsidRDefault="00033C16" w:rsidP="00F73740">
            <w:pPr>
              <w:pStyle w:val="Tabletext"/>
              <w:tabs>
                <w:tab w:val="decimal" w:pos="482"/>
              </w:tabs>
            </w:pPr>
            <w:r>
              <w:t>2619</w:t>
            </w:r>
          </w:p>
        </w:tc>
        <w:tc>
          <w:tcPr>
            <w:tcW w:w="1360" w:type="dxa"/>
            <w:tcBorders>
              <w:top w:val="nil"/>
              <w:bottom w:val="nil"/>
            </w:tcBorders>
          </w:tcPr>
          <w:p w:rsidR="00DA1318" w:rsidRDefault="00033C16" w:rsidP="00F73740">
            <w:pPr>
              <w:pStyle w:val="Tabletext"/>
              <w:tabs>
                <w:tab w:val="decimal" w:pos="482"/>
              </w:tabs>
            </w:pPr>
            <w:r>
              <w:t>2727</w:t>
            </w:r>
          </w:p>
        </w:tc>
        <w:tc>
          <w:tcPr>
            <w:tcW w:w="1323" w:type="dxa"/>
            <w:tcBorders>
              <w:top w:val="nil"/>
              <w:bottom w:val="nil"/>
            </w:tcBorders>
          </w:tcPr>
          <w:p w:rsidR="00DA1318" w:rsidRDefault="00033C16" w:rsidP="00F73740">
            <w:pPr>
              <w:pStyle w:val="Tabletext"/>
              <w:tabs>
                <w:tab w:val="decimal" w:pos="482"/>
              </w:tabs>
            </w:pPr>
            <w:r>
              <w:t>2189</w:t>
            </w:r>
          </w:p>
        </w:tc>
        <w:tc>
          <w:tcPr>
            <w:tcW w:w="1349" w:type="dxa"/>
            <w:tcBorders>
              <w:top w:val="nil"/>
              <w:bottom w:val="nil"/>
            </w:tcBorders>
          </w:tcPr>
          <w:p w:rsidR="00DA1318" w:rsidRDefault="00033C16" w:rsidP="00F73740">
            <w:pPr>
              <w:pStyle w:val="Tabletext"/>
              <w:tabs>
                <w:tab w:val="decimal" w:pos="482"/>
              </w:tabs>
            </w:pPr>
            <w:r>
              <w:t>781</w:t>
            </w:r>
          </w:p>
        </w:tc>
      </w:tr>
      <w:tr w:rsidR="00DA1318" w:rsidTr="00F73740">
        <w:tc>
          <w:tcPr>
            <w:tcW w:w="1340" w:type="dxa"/>
            <w:tcBorders>
              <w:top w:val="nil"/>
              <w:bottom w:val="dotDash" w:sz="4" w:space="0" w:color="auto"/>
            </w:tcBorders>
          </w:tcPr>
          <w:p w:rsidR="00DA1318" w:rsidRDefault="00DA1318" w:rsidP="00DA1318">
            <w:pPr>
              <w:pStyle w:val="Tabletext"/>
            </w:pPr>
            <w:r>
              <w:t>Media release</w:t>
            </w:r>
          </w:p>
        </w:tc>
        <w:tc>
          <w:tcPr>
            <w:tcW w:w="1232" w:type="dxa"/>
            <w:tcBorders>
              <w:top w:val="nil"/>
              <w:bottom w:val="dotDash" w:sz="4" w:space="0" w:color="auto"/>
            </w:tcBorders>
          </w:tcPr>
          <w:p w:rsidR="00DA1318" w:rsidRDefault="00033C16" w:rsidP="00F73740">
            <w:pPr>
              <w:pStyle w:val="Tabletext"/>
              <w:tabs>
                <w:tab w:val="decimal" w:pos="482"/>
              </w:tabs>
            </w:pPr>
            <w:r>
              <w:t>386</w:t>
            </w:r>
          </w:p>
        </w:tc>
        <w:tc>
          <w:tcPr>
            <w:tcW w:w="1237" w:type="dxa"/>
            <w:tcBorders>
              <w:top w:val="nil"/>
              <w:bottom w:val="dotDash" w:sz="4" w:space="0" w:color="auto"/>
            </w:tcBorders>
          </w:tcPr>
          <w:p w:rsidR="00DA1318" w:rsidRDefault="00DA1318" w:rsidP="00F73740">
            <w:pPr>
              <w:pStyle w:val="Tabletext"/>
              <w:tabs>
                <w:tab w:val="decimal" w:pos="482"/>
              </w:tabs>
            </w:pPr>
            <w:r>
              <w:t>-</w:t>
            </w:r>
          </w:p>
        </w:tc>
        <w:tc>
          <w:tcPr>
            <w:tcW w:w="1318" w:type="dxa"/>
            <w:tcBorders>
              <w:top w:val="nil"/>
              <w:bottom w:val="dotDash" w:sz="4" w:space="0" w:color="auto"/>
            </w:tcBorders>
          </w:tcPr>
          <w:p w:rsidR="00DA1318" w:rsidRDefault="00033C16" w:rsidP="00F73740">
            <w:pPr>
              <w:pStyle w:val="Tabletext"/>
              <w:tabs>
                <w:tab w:val="decimal" w:pos="482"/>
              </w:tabs>
            </w:pPr>
            <w:r>
              <w:t>752</w:t>
            </w:r>
          </w:p>
        </w:tc>
        <w:tc>
          <w:tcPr>
            <w:tcW w:w="1360" w:type="dxa"/>
            <w:tcBorders>
              <w:top w:val="nil"/>
              <w:bottom w:val="dotDash" w:sz="4" w:space="0" w:color="auto"/>
            </w:tcBorders>
          </w:tcPr>
          <w:p w:rsidR="00DA1318" w:rsidRDefault="00033C16" w:rsidP="00F73740">
            <w:pPr>
              <w:pStyle w:val="Tabletext"/>
              <w:tabs>
                <w:tab w:val="decimal" w:pos="482"/>
              </w:tabs>
            </w:pPr>
            <w:r>
              <w:t>752</w:t>
            </w:r>
          </w:p>
        </w:tc>
        <w:tc>
          <w:tcPr>
            <w:tcW w:w="1323" w:type="dxa"/>
            <w:tcBorders>
              <w:top w:val="nil"/>
              <w:bottom w:val="dotDash" w:sz="4" w:space="0" w:color="auto"/>
            </w:tcBorders>
          </w:tcPr>
          <w:p w:rsidR="00DA1318" w:rsidRDefault="00033C16" w:rsidP="00F73740">
            <w:pPr>
              <w:pStyle w:val="Tabletext"/>
              <w:tabs>
                <w:tab w:val="decimal" w:pos="482"/>
              </w:tabs>
            </w:pPr>
            <w:r>
              <w:t>361</w:t>
            </w:r>
          </w:p>
        </w:tc>
        <w:tc>
          <w:tcPr>
            <w:tcW w:w="1349" w:type="dxa"/>
            <w:tcBorders>
              <w:top w:val="nil"/>
              <w:bottom w:val="dotDash" w:sz="4" w:space="0" w:color="auto"/>
            </w:tcBorders>
          </w:tcPr>
          <w:p w:rsidR="00DA1318" w:rsidRDefault="00DA1318" w:rsidP="00F73740">
            <w:pPr>
              <w:pStyle w:val="Tabletext"/>
              <w:tabs>
                <w:tab w:val="decimal" w:pos="482"/>
              </w:tabs>
            </w:pPr>
            <w:r>
              <w:t>-</w:t>
            </w:r>
          </w:p>
        </w:tc>
      </w:tr>
      <w:tr w:rsidR="00DA1318" w:rsidTr="00F73740">
        <w:tc>
          <w:tcPr>
            <w:tcW w:w="9159" w:type="dxa"/>
            <w:gridSpan w:val="7"/>
            <w:tcBorders>
              <w:top w:val="dotDash" w:sz="4" w:space="0" w:color="auto"/>
              <w:bottom w:val="nil"/>
            </w:tcBorders>
          </w:tcPr>
          <w:p w:rsidR="00DA1318" w:rsidRDefault="00DA1318" w:rsidP="00474563">
            <w:pPr>
              <w:pStyle w:val="Tablehead2"/>
            </w:pPr>
            <w:r>
              <w:t xml:space="preserve">Google Analytics VOCEDplus data (from report publication date to </w:t>
            </w:r>
            <w:r w:rsidR="00474563">
              <w:t>31 March</w:t>
            </w:r>
            <w:r>
              <w:t xml:space="preserve"> 2012)</w:t>
            </w:r>
          </w:p>
        </w:tc>
      </w:tr>
      <w:tr w:rsidR="00DA1318" w:rsidTr="001B6728">
        <w:tc>
          <w:tcPr>
            <w:tcW w:w="1340" w:type="dxa"/>
            <w:tcBorders>
              <w:top w:val="nil"/>
              <w:bottom w:val="single" w:sz="4" w:space="0" w:color="auto"/>
            </w:tcBorders>
          </w:tcPr>
          <w:p w:rsidR="00DA1318" w:rsidRDefault="00DA1318" w:rsidP="00DA1318">
            <w:pPr>
              <w:pStyle w:val="Tabletext"/>
            </w:pPr>
            <w:r>
              <w:t>Full record display unique page views</w:t>
            </w:r>
          </w:p>
        </w:tc>
        <w:tc>
          <w:tcPr>
            <w:tcW w:w="1232" w:type="dxa"/>
            <w:tcBorders>
              <w:top w:val="nil"/>
              <w:bottom w:val="single" w:sz="4" w:space="0" w:color="auto"/>
            </w:tcBorders>
          </w:tcPr>
          <w:p w:rsidR="00DA1318" w:rsidRDefault="00A77992" w:rsidP="00F73740">
            <w:pPr>
              <w:pStyle w:val="Tabletext"/>
              <w:tabs>
                <w:tab w:val="decimal" w:pos="482"/>
              </w:tabs>
            </w:pPr>
            <w:r>
              <w:t>10</w:t>
            </w:r>
          </w:p>
        </w:tc>
        <w:tc>
          <w:tcPr>
            <w:tcW w:w="1237" w:type="dxa"/>
            <w:tcBorders>
              <w:top w:val="nil"/>
              <w:bottom w:val="single" w:sz="4" w:space="0" w:color="auto"/>
            </w:tcBorders>
          </w:tcPr>
          <w:p w:rsidR="00DA1318" w:rsidRDefault="00A77992" w:rsidP="00F73740">
            <w:pPr>
              <w:pStyle w:val="Tabletext"/>
              <w:tabs>
                <w:tab w:val="decimal" w:pos="482"/>
              </w:tabs>
            </w:pPr>
            <w:r>
              <w:t>12</w:t>
            </w:r>
          </w:p>
        </w:tc>
        <w:tc>
          <w:tcPr>
            <w:tcW w:w="1318" w:type="dxa"/>
            <w:tcBorders>
              <w:top w:val="nil"/>
              <w:bottom w:val="single" w:sz="4" w:space="0" w:color="auto"/>
            </w:tcBorders>
          </w:tcPr>
          <w:p w:rsidR="00DA1318" w:rsidRDefault="00A77992" w:rsidP="00F73740">
            <w:pPr>
              <w:pStyle w:val="Tabletext"/>
              <w:tabs>
                <w:tab w:val="decimal" w:pos="482"/>
              </w:tabs>
            </w:pPr>
            <w:r>
              <w:t>10</w:t>
            </w:r>
          </w:p>
        </w:tc>
        <w:tc>
          <w:tcPr>
            <w:tcW w:w="1360" w:type="dxa"/>
            <w:tcBorders>
              <w:top w:val="nil"/>
              <w:bottom w:val="single" w:sz="4" w:space="0" w:color="auto"/>
            </w:tcBorders>
          </w:tcPr>
          <w:p w:rsidR="00DA1318" w:rsidRDefault="00A77992" w:rsidP="00F73740">
            <w:pPr>
              <w:pStyle w:val="Tabletext"/>
              <w:tabs>
                <w:tab w:val="decimal" w:pos="482"/>
              </w:tabs>
            </w:pPr>
            <w:r>
              <w:t>7</w:t>
            </w:r>
          </w:p>
        </w:tc>
        <w:tc>
          <w:tcPr>
            <w:tcW w:w="1323" w:type="dxa"/>
            <w:tcBorders>
              <w:top w:val="nil"/>
              <w:bottom w:val="single" w:sz="4" w:space="0" w:color="auto"/>
            </w:tcBorders>
          </w:tcPr>
          <w:p w:rsidR="00DA1318" w:rsidRDefault="00A77992" w:rsidP="00F73740">
            <w:pPr>
              <w:pStyle w:val="Tabletext"/>
              <w:tabs>
                <w:tab w:val="decimal" w:pos="482"/>
              </w:tabs>
            </w:pPr>
            <w:r>
              <w:t>8</w:t>
            </w:r>
          </w:p>
        </w:tc>
        <w:tc>
          <w:tcPr>
            <w:tcW w:w="1349" w:type="dxa"/>
            <w:tcBorders>
              <w:top w:val="nil"/>
              <w:bottom w:val="single" w:sz="4" w:space="0" w:color="auto"/>
            </w:tcBorders>
          </w:tcPr>
          <w:p w:rsidR="00DA1318" w:rsidRDefault="00A77992" w:rsidP="00F73740">
            <w:pPr>
              <w:pStyle w:val="Tabletext"/>
              <w:tabs>
                <w:tab w:val="decimal" w:pos="482"/>
              </w:tabs>
            </w:pPr>
            <w:r>
              <w:t>9</w:t>
            </w:r>
          </w:p>
        </w:tc>
      </w:tr>
    </w:tbl>
    <w:p w:rsidR="00F73740" w:rsidRDefault="00DA1318" w:rsidP="00F73740">
      <w:pPr>
        <w:pStyle w:val="Source"/>
        <w:tabs>
          <w:tab w:val="left" w:pos="567"/>
        </w:tabs>
        <w:ind w:left="851" w:hanging="851"/>
      </w:pPr>
      <w:r w:rsidRPr="00AA4D59">
        <w:t xml:space="preserve">Notes: </w:t>
      </w:r>
      <w:r w:rsidRPr="00AA4D59">
        <w:tab/>
      </w:r>
      <w:r w:rsidR="00C040E3">
        <w:t>(1)</w:t>
      </w:r>
      <w:r w:rsidR="00F73740">
        <w:tab/>
      </w:r>
      <w:r w:rsidRPr="00AA4D59">
        <w:t>Research reports include c</w:t>
      </w:r>
      <w:r w:rsidR="00AA4D59">
        <w:t>itations in NCVER publications.</w:t>
      </w:r>
    </w:p>
    <w:p w:rsidR="00F73740" w:rsidRDefault="00F73740" w:rsidP="00F73740">
      <w:pPr>
        <w:pStyle w:val="Source"/>
        <w:tabs>
          <w:tab w:val="left" w:pos="567"/>
        </w:tabs>
        <w:ind w:left="851" w:hanging="851"/>
      </w:pPr>
      <w:r>
        <w:tab/>
      </w:r>
      <w:r w:rsidR="00C040E3">
        <w:t>(2)</w:t>
      </w:r>
      <w:r>
        <w:tab/>
      </w:r>
      <w:r w:rsidR="00997FB1">
        <w:t>‘</w:t>
      </w:r>
      <w:r w:rsidR="00DA1318" w:rsidRPr="00AA4D59">
        <w:t>Other</w:t>
      </w:r>
      <w:r w:rsidR="00997FB1">
        <w:t>’</w:t>
      </w:r>
      <w:r w:rsidR="00DA1318" w:rsidRPr="00AA4D59">
        <w:t xml:space="preserve"> includes citations in a variety of outlets such as At a glances, research degree theses, edited volumes, resource mat</w:t>
      </w:r>
      <w:r w:rsidR="00AA4D59">
        <w:t>erials and other presentations.</w:t>
      </w:r>
    </w:p>
    <w:p w:rsidR="00AA4D59" w:rsidRPr="005A2C46" w:rsidRDefault="00F73740" w:rsidP="00F73740">
      <w:pPr>
        <w:pStyle w:val="Source"/>
        <w:tabs>
          <w:tab w:val="left" w:pos="567"/>
        </w:tabs>
        <w:ind w:left="851" w:hanging="851"/>
      </w:pPr>
      <w:r>
        <w:rPr>
          <w:szCs w:val="18"/>
        </w:rPr>
        <w:tab/>
      </w:r>
      <w:r w:rsidR="00C040E3" w:rsidRPr="005A2C46">
        <w:rPr>
          <w:szCs w:val="18"/>
        </w:rPr>
        <w:t>(3)</w:t>
      </w:r>
      <w:r>
        <w:rPr>
          <w:szCs w:val="18"/>
        </w:rPr>
        <w:tab/>
      </w:r>
      <w:r w:rsidR="005A2C46">
        <w:rPr>
          <w:iCs/>
        </w:rPr>
        <w:t xml:space="preserve">Unique page view: when a </w:t>
      </w:r>
      <w:r w:rsidR="005A2C46" w:rsidRPr="005A2C46">
        <w:rPr>
          <w:iCs/>
        </w:rPr>
        <w:t>visitor to the website views the same page more than once during the time they spend on the website, Google Analytics aggregates this number so that it is recorded as the one unique view of that page by that single user</w:t>
      </w:r>
      <w:r w:rsidR="00AA4D59" w:rsidRPr="005A2C46">
        <w:rPr>
          <w:szCs w:val="18"/>
        </w:rPr>
        <w:t>.</w:t>
      </w:r>
    </w:p>
    <w:p w:rsidR="004C15E4" w:rsidRDefault="004C15E4" w:rsidP="007830D8">
      <w:pPr>
        <w:pStyle w:val="Heading3"/>
      </w:pPr>
      <w:r>
        <w:t>Media</w:t>
      </w:r>
    </w:p>
    <w:p w:rsidR="00474563" w:rsidRDefault="00142408" w:rsidP="00474563">
      <w:pPr>
        <w:pStyle w:val="Text"/>
      </w:pPr>
      <w:r>
        <w:t xml:space="preserve">While media coverage is not a precise indicator of impact, it does provide a general indication of a topic resonating across a broader audience. We need to be mindful that there are a number of contributing factors </w:t>
      </w:r>
      <w:r w:rsidR="00FF3720">
        <w:t xml:space="preserve">that </w:t>
      </w:r>
      <w:r>
        <w:t>determin</w:t>
      </w:r>
      <w:r w:rsidR="00FF3720">
        <w:t>e</w:t>
      </w:r>
      <w:r>
        <w:t xml:space="preserve"> what may or may not ‘grab’ attention at any particular time, and </w:t>
      </w:r>
      <w:r w:rsidR="00FF3720">
        <w:t xml:space="preserve">which </w:t>
      </w:r>
      <w:r>
        <w:t>can also be affected by other events.</w:t>
      </w:r>
      <w:r w:rsidRPr="00142408">
        <w:t xml:space="preserve"> </w:t>
      </w:r>
      <w:r>
        <w:t>Nevertheless</w:t>
      </w:r>
      <w:r w:rsidR="00997FB1">
        <w:t>,</w:t>
      </w:r>
      <w:r>
        <w:t xml:space="preserve"> a media release does generate substantial additional immediate interest in a report, as the Google A</w:t>
      </w:r>
      <w:r w:rsidR="00FF3720">
        <w:t>nalytics data below demonstrate</w:t>
      </w:r>
      <w:r>
        <w:t xml:space="preserve"> (table </w:t>
      </w:r>
      <w:r w:rsidR="00266B83">
        <w:t>4</w:t>
      </w:r>
      <w:r>
        <w:t>).</w:t>
      </w:r>
    </w:p>
    <w:p w:rsidR="00173C9B" w:rsidRDefault="00F25365" w:rsidP="00173C9B">
      <w:pPr>
        <w:pStyle w:val="Text"/>
      </w:pPr>
      <w:r>
        <w:t>NCVER maintains it</w:t>
      </w:r>
      <w:r w:rsidR="00A32CDD">
        <w:t>s own records of media coverage</w:t>
      </w:r>
      <w:r w:rsidR="00142408">
        <w:t>.</w:t>
      </w:r>
      <w:r w:rsidR="000507C4">
        <w:t xml:space="preserve"> </w:t>
      </w:r>
      <w:r w:rsidR="00142408">
        <w:t xml:space="preserve">This </w:t>
      </w:r>
      <w:r>
        <w:t xml:space="preserve">primarily </w:t>
      </w:r>
      <w:r w:rsidR="00142408">
        <w:t>relates</w:t>
      </w:r>
      <w:r>
        <w:t xml:space="preserve"> to articles in national </w:t>
      </w:r>
      <w:r w:rsidR="00A32CDD">
        <w:t xml:space="preserve">and state/territory </w:t>
      </w:r>
      <w:r>
        <w:t xml:space="preserve">newspapers, radio and articles in national training or industry-related magazines or newsletters. Most coverage tends </w:t>
      </w:r>
      <w:r w:rsidR="00B70796">
        <w:t>to occur on publication release.</w:t>
      </w:r>
      <w:r>
        <w:t xml:space="preserve"> </w:t>
      </w:r>
      <w:r w:rsidR="00173C9B" w:rsidRPr="00780420">
        <w:rPr>
          <w:i/>
        </w:rPr>
        <w:t>Education and happiness in the school-to-work transition</w:t>
      </w:r>
      <w:r w:rsidR="00173C9B">
        <w:t xml:space="preserve"> generated the most media coverage, followed by </w:t>
      </w:r>
      <w:r w:rsidR="00173C9B" w:rsidRPr="00780420">
        <w:rPr>
          <w:i/>
        </w:rPr>
        <w:t>Lost talent? The occupational ambitions and attainments of young Australians</w:t>
      </w:r>
      <w:r w:rsidR="00173C9B">
        <w:t xml:space="preserve">. </w:t>
      </w:r>
    </w:p>
    <w:p w:rsidR="00E51340" w:rsidRDefault="00FF3720" w:rsidP="004C15E4">
      <w:pPr>
        <w:pStyle w:val="Text"/>
      </w:pPr>
      <w:r>
        <w:t>The</w:t>
      </w:r>
      <w:r w:rsidR="004C15E4">
        <w:t xml:space="preserve"> last impact study</w:t>
      </w:r>
      <w:r>
        <w:t xml:space="preserve"> was</w:t>
      </w:r>
      <w:r w:rsidR="004C15E4">
        <w:t xml:space="preserve"> undertaken by NCVER in </w:t>
      </w:r>
      <w:r w:rsidR="00780420">
        <w:t>2008</w:t>
      </w:r>
      <w:r>
        <w:t xml:space="preserve"> and it is interesting to note that since that time</w:t>
      </w:r>
      <w:r w:rsidR="00780420">
        <w:t xml:space="preserve"> the level of citations across all media outl</w:t>
      </w:r>
      <w:r w:rsidR="00CA4AD5">
        <w:t>ets has substantially increased.</w:t>
      </w:r>
      <w:r w:rsidR="00E51340">
        <w:t xml:space="preserve"> </w:t>
      </w:r>
      <w:r w:rsidR="00E51340" w:rsidRPr="00E51340">
        <w:t xml:space="preserve">This </w:t>
      </w:r>
      <w:r w:rsidR="00E51340">
        <w:t>may</w:t>
      </w:r>
      <w:r w:rsidR="00E51340" w:rsidRPr="00E51340">
        <w:t xml:space="preserve"> suggest that </w:t>
      </w:r>
      <w:r w:rsidR="00E51340" w:rsidRPr="00E51340">
        <w:lastRenderedPageBreak/>
        <w:t xml:space="preserve">general media interest in NCVER research is </w:t>
      </w:r>
      <w:r w:rsidR="000B223C">
        <w:t>rising</w:t>
      </w:r>
      <w:r w:rsidR="00E51340" w:rsidRPr="00E51340">
        <w:t>. However</w:t>
      </w:r>
      <w:r w:rsidR="00F623B8">
        <w:t>,</w:t>
      </w:r>
      <w:r w:rsidR="00E51340" w:rsidRPr="00E51340">
        <w:t xml:space="preserve"> the other </w:t>
      </w:r>
      <w:r w:rsidR="00856DFC">
        <w:t xml:space="preserve">contributing </w:t>
      </w:r>
      <w:r w:rsidR="00E51340" w:rsidRPr="00E51340">
        <w:t xml:space="preserve">factor </w:t>
      </w:r>
      <w:r w:rsidR="00E51340">
        <w:t xml:space="preserve">in this study </w:t>
      </w:r>
      <w:r w:rsidR="00E51340" w:rsidRPr="00E51340">
        <w:t xml:space="preserve">is that </w:t>
      </w:r>
      <w:r w:rsidR="00E51340">
        <w:t xml:space="preserve">the media </w:t>
      </w:r>
      <w:r w:rsidR="000B223C">
        <w:t>routinely</w:t>
      </w:r>
      <w:r w:rsidR="00E51340">
        <w:t xml:space="preserve"> </w:t>
      </w:r>
      <w:r w:rsidR="000B223C">
        <w:t>seizes</w:t>
      </w:r>
      <w:r w:rsidR="00E51340">
        <w:t xml:space="preserve"> </w:t>
      </w:r>
      <w:r w:rsidR="00E51340" w:rsidRPr="00E51340">
        <w:t xml:space="preserve">information on youth </w:t>
      </w:r>
      <w:r w:rsidR="000B223C">
        <w:t xml:space="preserve">issues </w:t>
      </w:r>
      <w:r w:rsidR="00E51340">
        <w:t xml:space="preserve">as a matter of course because </w:t>
      </w:r>
      <w:r w:rsidR="00F623B8">
        <w:t>th</w:t>
      </w:r>
      <w:r w:rsidR="00997FB1">
        <w:t>is area</w:t>
      </w:r>
      <w:r w:rsidR="00F623B8">
        <w:t xml:space="preserve"> generate</w:t>
      </w:r>
      <w:r w:rsidR="00997FB1">
        <w:t>s</w:t>
      </w:r>
      <w:r w:rsidR="00F623B8">
        <w:t xml:space="preserve"> a great deal of interest </w:t>
      </w:r>
      <w:r w:rsidR="00E51340">
        <w:t>with the general public</w:t>
      </w:r>
      <w:r w:rsidR="00E51340" w:rsidRPr="00E51340">
        <w:t>.</w:t>
      </w:r>
    </w:p>
    <w:p w:rsidR="004C15E4" w:rsidRDefault="004C15E4" w:rsidP="007830D8">
      <w:pPr>
        <w:pStyle w:val="Heading3"/>
      </w:pPr>
      <w:r>
        <w:t>Google Analytics</w:t>
      </w:r>
    </w:p>
    <w:p w:rsidR="004C15E4" w:rsidRDefault="00FB4F51" w:rsidP="00F73740">
      <w:pPr>
        <w:pStyle w:val="Text"/>
        <w:ind w:right="-143"/>
      </w:pPr>
      <w:r>
        <w:t>Since NCVER’s last impact study the organisation</w:t>
      </w:r>
      <w:r w:rsidR="00883B0F">
        <w:t xml:space="preserve"> has made improv</w:t>
      </w:r>
      <w:r>
        <w:t>ements to the collection of web</w:t>
      </w:r>
      <w:r w:rsidR="00883B0F">
        <w:t xml:space="preserve">site data using Google </w:t>
      </w:r>
      <w:r w:rsidR="00A32CDD">
        <w:t>A</w:t>
      </w:r>
      <w:r w:rsidR="00883B0F">
        <w:t xml:space="preserve">nalytics. </w:t>
      </w:r>
      <w:r w:rsidR="009B7510">
        <w:t xml:space="preserve">Google Analytics is </w:t>
      </w:r>
      <w:r w:rsidR="009B7510">
        <w:rPr>
          <w:lang/>
        </w:rPr>
        <w:t xml:space="preserve">a free web analytics tool </w:t>
      </w:r>
      <w:r w:rsidR="009B7510">
        <w:t xml:space="preserve">that </w:t>
      </w:r>
      <w:r>
        <w:t>NCVER has used to collect</w:t>
      </w:r>
      <w:r w:rsidR="00F73740">
        <w:t> </w:t>
      </w:r>
      <w:r>
        <w:t>and analyse</w:t>
      </w:r>
      <w:r w:rsidR="009B7510">
        <w:t xml:space="preserve"> usage statistics on the NCVER and LSAY websites. It tracks how visitors interact with</w:t>
      </w:r>
      <w:r w:rsidR="00F73740">
        <w:t> </w:t>
      </w:r>
      <w:r w:rsidR="009B7510">
        <w:t>the websites, including where they come from, how many visit the websites, who they are (user groups), how long they spend on the</w:t>
      </w:r>
      <w:r w:rsidR="001A536C">
        <w:t xml:space="preserve"> website, what pages they visit and what publications they view or</w:t>
      </w:r>
      <w:r w:rsidR="00F73740">
        <w:t> </w:t>
      </w:r>
      <w:r w:rsidR="001A536C">
        <w:t>download</w:t>
      </w:r>
      <w:r w:rsidR="009B7510">
        <w:rPr>
          <w:b/>
          <w:bCs/>
        </w:rPr>
        <w:t xml:space="preserve">. </w:t>
      </w:r>
      <w:r w:rsidR="004C15E4">
        <w:t xml:space="preserve">Users are able to access LSAY reports via the </w:t>
      </w:r>
      <w:r w:rsidR="00E51340">
        <w:t>LSAY and NCVER websites;</w:t>
      </w:r>
      <w:r w:rsidR="004C15E4">
        <w:t xml:space="preserve"> and data </w:t>
      </w:r>
      <w:r>
        <w:t>are</w:t>
      </w:r>
      <w:r w:rsidR="004C15E4">
        <w:t xml:space="preserve"> provided for both webs</w:t>
      </w:r>
      <w:r w:rsidR="000B223C">
        <w:t>ites</w:t>
      </w:r>
      <w:r w:rsidR="004C15E4">
        <w:t xml:space="preserve">. The </w:t>
      </w:r>
      <w:r w:rsidR="00997FB1">
        <w:t xml:space="preserve">date of the </w:t>
      </w:r>
      <w:r w:rsidR="004C15E4">
        <w:t xml:space="preserve">reporting period </w:t>
      </w:r>
      <w:r w:rsidR="00997FB1">
        <w:t xml:space="preserve">of this study </w:t>
      </w:r>
      <w:r>
        <w:t>extends</w:t>
      </w:r>
      <w:r w:rsidR="004C15E4">
        <w:t xml:space="preserve"> from publication of the </w:t>
      </w:r>
      <w:r w:rsidR="001A536C">
        <w:t xml:space="preserve">research </w:t>
      </w:r>
      <w:r w:rsidR="004C15E4">
        <w:t xml:space="preserve">report to </w:t>
      </w:r>
      <w:r w:rsidR="004C15E4" w:rsidRPr="005A2C46">
        <w:t xml:space="preserve">31 </w:t>
      </w:r>
      <w:r w:rsidR="00E51340" w:rsidRPr="005A2C46">
        <w:t>March 2012</w:t>
      </w:r>
      <w:r>
        <w:t>. The detailed data appear</w:t>
      </w:r>
      <w:r w:rsidR="004C15E4">
        <w:t xml:space="preserve"> in the support document to this report. </w:t>
      </w:r>
    </w:p>
    <w:p w:rsidR="001A536C" w:rsidRDefault="00FA253D" w:rsidP="00FA253D">
      <w:pPr>
        <w:pStyle w:val="Text"/>
      </w:pPr>
      <w:r>
        <w:t>O</w:t>
      </w:r>
      <w:r w:rsidR="00173C9B" w:rsidRPr="00173C9B">
        <w:t>f the groups we</w:t>
      </w:r>
      <w:r w:rsidR="001A536C">
        <w:t xml:space="preserve"> can identify, government users, </w:t>
      </w:r>
      <w:r w:rsidR="00173C9B" w:rsidRPr="00173C9B">
        <w:t xml:space="preserve">research organisations </w:t>
      </w:r>
      <w:r w:rsidR="001A536C">
        <w:t xml:space="preserve">and ‘other’ </w:t>
      </w:r>
      <w:r w:rsidR="00173C9B" w:rsidRPr="00173C9B">
        <w:t>are the most frequent visitors</w:t>
      </w:r>
      <w:r w:rsidR="001A536C">
        <w:rPr>
          <w:rStyle w:val="FootnoteReference"/>
        </w:rPr>
        <w:footnoteReference w:id="7"/>
      </w:r>
      <w:r w:rsidR="00173C9B" w:rsidRPr="00173C9B">
        <w:t xml:space="preserve"> to the </w:t>
      </w:r>
      <w:r w:rsidR="00173C9B">
        <w:t xml:space="preserve">LSAY RIEF </w:t>
      </w:r>
      <w:r w:rsidR="00173C9B" w:rsidRPr="00173C9B">
        <w:t xml:space="preserve">research reports </w:t>
      </w:r>
      <w:r w:rsidR="00FB4F51">
        <w:t>on the websites —</w:t>
      </w:r>
      <w:r w:rsidR="001A536C">
        <w:t xml:space="preserve"> in varying order across each of the reports</w:t>
      </w:r>
      <w:r>
        <w:t>.</w:t>
      </w:r>
      <w:r w:rsidR="00173C9B" w:rsidRPr="00173C9B">
        <w:t xml:space="preserve"> </w:t>
      </w:r>
      <w:r w:rsidR="001A536C">
        <w:t>The terms most used to clarify the ‘other’ category are:</w:t>
      </w:r>
    </w:p>
    <w:p w:rsidR="004B75E2" w:rsidRDefault="004B75E2" w:rsidP="004B75E2">
      <w:pPr>
        <w:pStyle w:val="Dotpoint1"/>
      </w:pPr>
      <w:r>
        <w:t>Most used, in order:</w:t>
      </w:r>
    </w:p>
    <w:p w:rsidR="004B75E2" w:rsidRDefault="00C02CDC" w:rsidP="004B75E2">
      <w:pPr>
        <w:pStyle w:val="Dotpoint2"/>
      </w:pPr>
      <w:r>
        <w:t>s</w:t>
      </w:r>
      <w:r w:rsidR="004B75E2">
        <w:t>tudent (+ teacher, TAFE, university)</w:t>
      </w:r>
    </w:p>
    <w:p w:rsidR="004B75E2" w:rsidRDefault="00C02CDC" w:rsidP="004B75E2">
      <w:pPr>
        <w:pStyle w:val="Dotpoint2"/>
      </w:pPr>
      <w:r>
        <w:t>u</w:t>
      </w:r>
      <w:r w:rsidR="004B75E2">
        <w:t>niversity (+ student)</w:t>
      </w:r>
    </w:p>
    <w:p w:rsidR="004B75E2" w:rsidRDefault="004B75E2" w:rsidP="004B75E2">
      <w:pPr>
        <w:pStyle w:val="Dotpoint2"/>
      </w:pPr>
      <w:r>
        <w:t>NGO</w:t>
      </w:r>
    </w:p>
    <w:p w:rsidR="004B75E2" w:rsidRDefault="00C02CDC" w:rsidP="004B75E2">
      <w:pPr>
        <w:pStyle w:val="Dotpoint2"/>
      </w:pPr>
      <w:r>
        <w:t>c</w:t>
      </w:r>
      <w:r w:rsidR="004B75E2">
        <w:t>onsultant (+ VET consultant)</w:t>
      </w:r>
    </w:p>
    <w:p w:rsidR="004B75E2" w:rsidRDefault="00C02CDC" w:rsidP="004B75E2">
      <w:pPr>
        <w:pStyle w:val="Dotpoint2"/>
      </w:pPr>
      <w:r>
        <w:t>c</w:t>
      </w:r>
      <w:r w:rsidR="004B75E2">
        <w:t>ommunity (+ sector, organisation)</w:t>
      </w:r>
    </w:p>
    <w:p w:rsidR="004B75E2" w:rsidRDefault="00C02CDC" w:rsidP="004B75E2">
      <w:pPr>
        <w:pStyle w:val="Dotpoint2"/>
      </w:pPr>
      <w:r>
        <w:t>o</w:t>
      </w:r>
      <w:r w:rsidR="004B75E2">
        <w:t>rganisation (+ community, international, non-government organisation)</w:t>
      </w:r>
      <w:r>
        <w:t>.</w:t>
      </w:r>
    </w:p>
    <w:p w:rsidR="004B75E2" w:rsidRDefault="004B75E2" w:rsidP="004B75E2">
      <w:pPr>
        <w:pStyle w:val="Dotpoint1"/>
      </w:pPr>
      <w:r>
        <w:t>Next most used, in no order:</w:t>
      </w:r>
    </w:p>
    <w:p w:rsidR="004B75E2" w:rsidRDefault="00D576B6" w:rsidP="004B75E2">
      <w:pPr>
        <w:pStyle w:val="Dotpoint2"/>
      </w:pPr>
      <w:r>
        <w:t>a</w:t>
      </w:r>
      <w:r w:rsidR="004B75E2">
        <w:t>pprenticeship centre</w:t>
      </w:r>
    </w:p>
    <w:p w:rsidR="004B75E2" w:rsidRDefault="00D576B6" w:rsidP="004B75E2">
      <w:pPr>
        <w:pStyle w:val="Dotpoint2"/>
      </w:pPr>
      <w:r>
        <w:t>g</w:t>
      </w:r>
      <w:r w:rsidR="004B75E2">
        <w:t>roup training</w:t>
      </w:r>
    </w:p>
    <w:p w:rsidR="004B75E2" w:rsidRDefault="00D576B6" w:rsidP="004B75E2">
      <w:pPr>
        <w:pStyle w:val="Dotpoint2"/>
      </w:pPr>
      <w:r>
        <w:t>n</w:t>
      </w:r>
      <w:r w:rsidR="004B75E2">
        <w:t>ot for profit</w:t>
      </w:r>
    </w:p>
    <w:p w:rsidR="004B75E2" w:rsidRDefault="00D576B6" w:rsidP="004B75E2">
      <w:pPr>
        <w:pStyle w:val="Dotpoint2"/>
      </w:pPr>
      <w:r>
        <w:t>p</w:t>
      </w:r>
      <w:r w:rsidR="004B75E2">
        <w:t>ersonal</w:t>
      </w:r>
    </w:p>
    <w:p w:rsidR="004B75E2" w:rsidRDefault="00D576B6" w:rsidP="004B75E2">
      <w:pPr>
        <w:pStyle w:val="Dotpoint2"/>
      </w:pPr>
      <w:r>
        <w:t>p</w:t>
      </w:r>
      <w:r w:rsidR="004B75E2">
        <w:t>rivate</w:t>
      </w:r>
    </w:p>
    <w:p w:rsidR="004B75E2" w:rsidRDefault="00D576B6" w:rsidP="004B75E2">
      <w:pPr>
        <w:pStyle w:val="Dotpoint2"/>
      </w:pPr>
      <w:r>
        <w:t>p</w:t>
      </w:r>
      <w:r w:rsidR="004B75E2">
        <w:t>rofessional (association, organisation, services)</w:t>
      </w:r>
    </w:p>
    <w:p w:rsidR="004B75E2" w:rsidRDefault="00C02CDC" w:rsidP="004B75E2">
      <w:pPr>
        <w:pStyle w:val="Dotpoint2"/>
      </w:pPr>
      <w:r>
        <w:t>RTO (</w:t>
      </w:r>
      <w:r w:rsidR="004B75E2">
        <w:t>registered training organisation</w:t>
      </w:r>
      <w:r>
        <w:t>)</w:t>
      </w:r>
    </w:p>
    <w:p w:rsidR="004B75E2" w:rsidRDefault="00D576B6" w:rsidP="004B75E2">
      <w:pPr>
        <w:pStyle w:val="Dotpoint2"/>
      </w:pPr>
      <w:r>
        <w:t>s</w:t>
      </w:r>
      <w:r w:rsidR="004B75E2">
        <w:t>oftware developer</w:t>
      </w:r>
    </w:p>
    <w:p w:rsidR="004B75E2" w:rsidRDefault="00D576B6" w:rsidP="004B75E2">
      <w:pPr>
        <w:pStyle w:val="Dotpoint2"/>
      </w:pPr>
      <w:r>
        <w:t>p</w:t>
      </w:r>
      <w:r w:rsidR="004B75E2">
        <w:t>rivate (company, research, study)</w:t>
      </w:r>
      <w:r>
        <w:t>.</w:t>
      </w:r>
    </w:p>
    <w:p w:rsidR="00173C9B" w:rsidRDefault="00B2284E" w:rsidP="00FA253D">
      <w:pPr>
        <w:pStyle w:val="Text"/>
      </w:pPr>
      <w:r>
        <w:t>T</w:t>
      </w:r>
      <w:r w:rsidR="00C33576">
        <w:t>he Google Analytics data reveal</w:t>
      </w:r>
      <w:r>
        <w:t xml:space="preserve"> that o</w:t>
      </w:r>
      <w:r w:rsidRPr="00173C9B">
        <w:t>ver half of those looking at the publication summary page go on to view the full report</w:t>
      </w:r>
      <w:r>
        <w:t>.</w:t>
      </w:r>
    </w:p>
    <w:p w:rsidR="00B2284E" w:rsidRDefault="00B2284E" w:rsidP="00B2284E">
      <w:pPr>
        <w:pStyle w:val="Text"/>
      </w:pPr>
      <w:r>
        <w:t>Most of the users accessing the publications have come fr</w:t>
      </w:r>
      <w:r w:rsidR="00C17487">
        <w:t>om Australia, but the data show</w:t>
      </w:r>
      <w:r>
        <w:t xml:space="preserve"> users from a wide range of countries, with </w:t>
      </w:r>
      <w:r w:rsidRPr="00FA253D">
        <w:rPr>
          <w:i/>
        </w:rPr>
        <w:t>From education to employment: how long does it take</w:t>
      </w:r>
      <w:r w:rsidR="0073773B">
        <w:rPr>
          <w:i/>
        </w:rPr>
        <w:t>?</w:t>
      </w:r>
      <w:r>
        <w:t xml:space="preserve"> generating </w:t>
      </w:r>
      <w:r>
        <w:lastRenderedPageBreak/>
        <w:t>interest across 31 countries. Not surprisingly</w:t>
      </w:r>
      <w:r w:rsidR="00C17487">
        <w:t>,</w:t>
      </w:r>
      <w:r>
        <w:t xml:space="preserve"> 7% of users accessing </w:t>
      </w:r>
      <w:r w:rsidRPr="00B2284E">
        <w:rPr>
          <w:i/>
        </w:rPr>
        <w:t>Post-school education and labour force participation in Canada and Australia</w:t>
      </w:r>
      <w:r>
        <w:t xml:space="preserve"> were from Canada.</w:t>
      </w:r>
    </w:p>
    <w:p w:rsidR="00173C9B" w:rsidRDefault="00FA253D" w:rsidP="00B2284E">
      <w:pPr>
        <w:pStyle w:val="Text"/>
      </w:pPr>
      <w:r>
        <w:t>M</w:t>
      </w:r>
      <w:r w:rsidR="00173C9B" w:rsidRPr="00173C9B">
        <w:t xml:space="preserve">ost </w:t>
      </w:r>
      <w:r>
        <w:t xml:space="preserve">user </w:t>
      </w:r>
      <w:r w:rsidR="00173C9B" w:rsidRPr="00173C9B">
        <w:t xml:space="preserve">activity occurs </w:t>
      </w:r>
      <w:r>
        <w:t>within the first one to two weeks</w:t>
      </w:r>
      <w:r w:rsidR="00173C9B" w:rsidRPr="00173C9B">
        <w:t xml:space="preserve"> of </w:t>
      </w:r>
      <w:r>
        <w:t>a report being published</w:t>
      </w:r>
      <w:r w:rsidR="00B2284E">
        <w:t>, but analysis o</w:t>
      </w:r>
      <w:r w:rsidR="00A32CDD">
        <w:t>f</w:t>
      </w:r>
      <w:r w:rsidR="00B2284E">
        <w:t xml:space="preserve"> </w:t>
      </w:r>
      <w:r w:rsidR="00173C9B" w:rsidRPr="00173C9B">
        <w:t xml:space="preserve">Google </w:t>
      </w:r>
      <w:r w:rsidR="00173C9B">
        <w:t xml:space="preserve">Analytics </w:t>
      </w:r>
      <w:r w:rsidR="002A285F">
        <w:t xml:space="preserve">data </w:t>
      </w:r>
      <w:r w:rsidR="00173C9B">
        <w:t xml:space="preserve">over time </w:t>
      </w:r>
      <w:r>
        <w:t>can</w:t>
      </w:r>
      <w:r w:rsidR="00173C9B">
        <w:t xml:space="preserve"> reveal:</w:t>
      </w:r>
    </w:p>
    <w:p w:rsidR="00173C9B" w:rsidRDefault="00173C9B" w:rsidP="00B2284E">
      <w:pPr>
        <w:pStyle w:val="Dotpoint1"/>
      </w:pPr>
      <w:r w:rsidRPr="00173C9B">
        <w:t xml:space="preserve">spikes </w:t>
      </w:r>
      <w:r w:rsidR="00FA253D">
        <w:t>or</w:t>
      </w:r>
      <w:r w:rsidRPr="00173C9B">
        <w:t xml:space="preserve"> renewed interest in </w:t>
      </w:r>
      <w:r w:rsidR="00FA253D">
        <w:t>a</w:t>
      </w:r>
      <w:r w:rsidR="0073773B">
        <w:t xml:space="preserve"> </w:t>
      </w:r>
      <w:r w:rsidR="00FA253D">
        <w:t>report</w:t>
      </w:r>
      <w:r>
        <w:t xml:space="preserve">, perhaps as a result of their </w:t>
      </w:r>
      <w:r w:rsidR="001B1FEE">
        <w:t>relevance</w:t>
      </w:r>
      <w:r>
        <w:t xml:space="preserve"> </w:t>
      </w:r>
      <w:r w:rsidR="00FA253D">
        <w:t xml:space="preserve">to specific external events </w:t>
      </w:r>
      <w:r>
        <w:t xml:space="preserve">or due to information about them being posted on other websites such as Australian Policy Online or in </w:t>
      </w:r>
      <w:r w:rsidRPr="00C33576">
        <w:rPr>
          <w:i/>
        </w:rPr>
        <w:t>NCVER News</w:t>
      </w:r>
      <w:r w:rsidR="004B75E2">
        <w:t>.</w:t>
      </w:r>
      <w:r w:rsidR="00FA253D">
        <w:t xml:space="preserve"> </w:t>
      </w:r>
      <w:r w:rsidR="004B75E2">
        <w:t>This</w:t>
      </w:r>
      <w:r w:rsidR="00AA6E75">
        <w:t xml:space="preserve"> was the case</w:t>
      </w:r>
      <w:r w:rsidR="00FA253D">
        <w:t xml:space="preserve"> with </w:t>
      </w:r>
      <w:r w:rsidR="00AA6E75" w:rsidRPr="00AA6E75">
        <w:rPr>
          <w:i/>
        </w:rPr>
        <w:t>Post-school education and labour force participation in Canada and Australia</w:t>
      </w:r>
      <w:r w:rsidR="00AA6E75">
        <w:rPr>
          <w:i/>
        </w:rPr>
        <w:t xml:space="preserve"> </w:t>
      </w:r>
      <w:r w:rsidR="00AA6E75">
        <w:t xml:space="preserve">and </w:t>
      </w:r>
      <w:r w:rsidR="00C17487">
        <w:rPr>
          <w:i/>
        </w:rPr>
        <w:t>Lost talent? T</w:t>
      </w:r>
      <w:r w:rsidR="00AA6E75">
        <w:rPr>
          <w:i/>
        </w:rPr>
        <w:t>he occupational ambitions and attainments of young Australians</w:t>
      </w:r>
    </w:p>
    <w:p w:rsidR="00173C9B" w:rsidRDefault="00FA253D" w:rsidP="00B2284E">
      <w:pPr>
        <w:pStyle w:val="Dotpoint1"/>
      </w:pPr>
      <w:r>
        <w:t xml:space="preserve">whether a report receives </w:t>
      </w:r>
      <w:r w:rsidR="00173C9B">
        <w:t xml:space="preserve">regular and relatively consistent viewing, as has been the case with </w:t>
      </w:r>
      <w:r w:rsidR="00173C9B" w:rsidRPr="00173C9B">
        <w:rPr>
          <w:i/>
        </w:rPr>
        <w:t>Education and happiness in the school-to-work transition</w:t>
      </w:r>
      <w:r w:rsidR="00173C9B">
        <w:t xml:space="preserve"> during the reporting period</w:t>
      </w:r>
      <w:r>
        <w:t>.</w:t>
      </w:r>
    </w:p>
    <w:p w:rsidR="00FA253D" w:rsidRDefault="004B75E2" w:rsidP="00B2284E">
      <w:pPr>
        <w:pStyle w:val="Text"/>
      </w:pPr>
      <w:r>
        <w:t>The data confirm</w:t>
      </w:r>
      <w:r w:rsidR="00173C9B">
        <w:t xml:space="preserve"> </w:t>
      </w:r>
      <w:r w:rsidR="00173C9B" w:rsidRPr="00173C9B">
        <w:t>the importance of media releases and email alerts to generate interest</w:t>
      </w:r>
      <w:r w:rsidR="000560F1">
        <w:t>, bringin</w:t>
      </w:r>
      <w:r w:rsidR="00C17487">
        <w:t>g the research to the attention of policy-</w:t>
      </w:r>
      <w:r w:rsidR="000560F1">
        <w:t>makers and practitioners</w:t>
      </w:r>
      <w:r w:rsidR="00173C9B" w:rsidRPr="00173C9B">
        <w:t xml:space="preserve">. </w:t>
      </w:r>
      <w:r w:rsidR="00FA253D">
        <w:t>Based on total number of page views</w:t>
      </w:r>
      <w:r w:rsidR="00A679DB">
        <w:t>,</w:t>
      </w:r>
      <w:r w:rsidR="00FA253D">
        <w:t xml:space="preserve"> the top four most popular RIEF reports (table </w:t>
      </w:r>
      <w:r w:rsidR="00EF28D4">
        <w:t>4</w:t>
      </w:r>
      <w:r w:rsidR="00FA253D">
        <w:t>) all had an associated media release when published, wh</w:t>
      </w:r>
      <w:r>
        <w:t>ereas the other reports did not</w:t>
      </w:r>
      <w:r w:rsidR="00CB2C59">
        <w:t xml:space="preserve"> (as agreed between </w:t>
      </w:r>
      <w:r w:rsidR="00A679DB">
        <w:t xml:space="preserve">the Department of Education, </w:t>
      </w:r>
      <w:r w:rsidR="0086355B">
        <w:t>Employment and Workplace Relations</w:t>
      </w:r>
      <w:r w:rsidR="00CB2C59">
        <w:t xml:space="preserve"> and NCVER</w:t>
      </w:r>
      <w:r w:rsidR="0086355B">
        <w:t>,</w:t>
      </w:r>
      <w:r w:rsidR="00CB2C59">
        <w:t xml:space="preserve"> based on dissemination plans and contractual requirements)</w:t>
      </w:r>
      <w:r w:rsidR="00FA253D">
        <w:t xml:space="preserve">. </w:t>
      </w:r>
    </w:p>
    <w:p w:rsidR="00FA253D" w:rsidRDefault="00596960" w:rsidP="00B2284E">
      <w:pPr>
        <w:pStyle w:val="tabletitle"/>
      </w:pPr>
      <w:bookmarkStart w:id="44" w:name="_Toc329613286"/>
      <w:r>
        <w:t xml:space="preserve">Table </w:t>
      </w:r>
      <w:r w:rsidR="00EF28D4">
        <w:t>4</w:t>
      </w:r>
      <w:r w:rsidR="00F73740">
        <w:tab/>
      </w:r>
      <w:r w:rsidR="00B2284E">
        <w:t>Google Analytics top four RIEF publications</w:t>
      </w:r>
      <w:bookmarkEnd w:id="44"/>
      <w:r w:rsidR="00B2284E">
        <w:t xml:space="preserve"> </w:t>
      </w:r>
    </w:p>
    <w:tbl>
      <w:tblPr>
        <w:tblW w:w="8789" w:type="dxa"/>
        <w:tblInd w:w="108" w:type="dxa"/>
        <w:tblBorders>
          <w:top w:val="single" w:sz="4" w:space="0" w:color="000000"/>
          <w:bottom w:val="single" w:sz="4" w:space="0" w:color="000000"/>
        </w:tblBorders>
        <w:tblLayout w:type="fixed"/>
        <w:tblLook w:val="04A0"/>
      </w:tblPr>
      <w:tblGrid>
        <w:gridCol w:w="4253"/>
        <w:gridCol w:w="1559"/>
        <w:gridCol w:w="1465"/>
        <w:gridCol w:w="1512"/>
      </w:tblGrid>
      <w:tr w:rsidR="00FA253D" w:rsidRPr="003B7FEF" w:rsidTr="001507DB">
        <w:tc>
          <w:tcPr>
            <w:tcW w:w="4253" w:type="dxa"/>
            <w:tcBorders>
              <w:top w:val="single" w:sz="4" w:space="0" w:color="000000"/>
              <w:bottom w:val="single" w:sz="4" w:space="0" w:color="auto"/>
            </w:tcBorders>
            <w:shd w:val="clear" w:color="auto" w:fill="auto"/>
          </w:tcPr>
          <w:p w:rsidR="00FA253D" w:rsidRPr="00FA253D" w:rsidRDefault="00FA253D" w:rsidP="00B2284E">
            <w:pPr>
              <w:pStyle w:val="Tablehead1"/>
            </w:pPr>
            <w:r w:rsidRPr="00FA253D">
              <w:t>RIEF publications</w:t>
            </w:r>
          </w:p>
        </w:tc>
        <w:tc>
          <w:tcPr>
            <w:tcW w:w="1559" w:type="dxa"/>
            <w:tcBorders>
              <w:top w:val="single" w:sz="4" w:space="0" w:color="000000"/>
              <w:bottom w:val="single" w:sz="4" w:space="0" w:color="auto"/>
            </w:tcBorders>
            <w:shd w:val="clear" w:color="auto" w:fill="auto"/>
          </w:tcPr>
          <w:p w:rsidR="00FA253D" w:rsidRPr="00FA253D" w:rsidRDefault="00FA253D" w:rsidP="00B2284E">
            <w:pPr>
              <w:pStyle w:val="Tablehead1"/>
            </w:pPr>
            <w:r w:rsidRPr="00FA253D">
              <w:t>Release date</w:t>
            </w:r>
          </w:p>
        </w:tc>
        <w:tc>
          <w:tcPr>
            <w:tcW w:w="1465" w:type="dxa"/>
            <w:tcBorders>
              <w:top w:val="single" w:sz="4" w:space="0" w:color="000000"/>
              <w:bottom w:val="single" w:sz="4" w:space="0" w:color="auto"/>
            </w:tcBorders>
            <w:shd w:val="clear" w:color="auto" w:fill="auto"/>
          </w:tcPr>
          <w:p w:rsidR="00FA253D" w:rsidRPr="00FA253D" w:rsidRDefault="00FA253D" w:rsidP="001507DB">
            <w:pPr>
              <w:pStyle w:val="Tablehead1"/>
              <w:ind w:left="113"/>
            </w:pPr>
            <w:r w:rsidRPr="00FA253D">
              <w:t xml:space="preserve">Total # of </w:t>
            </w:r>
            <w:r w:rsidR="00DF5A33" w:rsidRPr="00FA253D">
              <w:t>page</w:t>
            </w:r>
            <w:r w:rsidR="001507DB">
              <w:t> </w:t>
            </w:r>
            <w:r w:rsidR="00DF5A33" w:rsidRPr="00FA253D">
              <w:t>views</w:t>
            </w:r>
          </w:p>
        </w:tc>
        <w:tc>
          <w:tcPr>
            <w:tcW w:w="1512" w:type="dxa"/>
            <w:tcBorders>
              <w:top w:val="single" w:sz="4" w:space="0" w:color="000000"/>
              <w:bottom w:val="single" w:sz="4" w:space="0" w:color="auto"/>
            </w:tcBorders>
            <w:shd w:val="clear" w:color="auto" w:fill="auto"/>
          </w:tcPr>
          <w:p w:rsidR="00FA253D" w:rsidRPr="00FA253D" w:rsidRDefault="00FA253D" w:rsidP="001507DB">
            <w:pPr>
              <w:pStyle w:val="Tablehead1"/>
              <w:ind w:left="57"/>
            </w:pPr>
            <w:r w:rsidRPr="00FA253D">
              <w:t>Media release</w:t>
            </w:r>
          </w:p>
        </w:tc>
      </w:tr>
      <w:tr w:rsidR="00FA253D" w:rsidTr="001507DB">
        <w:tc>
          <w:tcPr>
            <w:tcW w:w="4253" w:type="dxa"/>
            <w:tcBorders>
              <w:top w:val="single" w:sz="4" w:space="0" w:color="auto"/>
            </w:tcBorders>
          </w:tcPr>
          <w:p w:rsidR="00FA253D" w:rsidRPr="00C33576" w:rsidRDefault="00FA253D" w:rsidP="00B2284E">
            <w:pPr>
              <w:pStyle w:val="Tabletext"/>
              <w:rPr>
                <w:i/>
              </w:rPr>
            </w:pPr>
            <w:r w:rsidRPr="00C33576">
              <w:rPr>
                <w:i/>
              </w:rPr>
              <w:t>Against the odds: influences on the post-school success of ‘low performers’</w:t>
            </w:r>
          </w:p>
        </w:tc>
        <w:tc>
          <w:tcPr>
            <w:tcW w:w="1559" w:type="dxa"/>
            <w:tcBorders>
              <w:top w:val="single" w:sz="4" w:space="0" w:color="auto"/>
            </w:tcBorders>
            <w:tcMar>
              <w:right w:w="0" w:type="dxa"/>
            </w:tcMar>
          </w:tcPr>
          <w:p w:rsidR="00FA253D" w:rsidRPr="00FA253D" w:rsidRDefault="00FA253D" w:rsidP="00B2284E">
            <w:pPr>
              <w:pStyle w:val="Tabletext"/>
            </w:pPr>
            <w:r w:rsidRPr="00FA253D">
              <w:t>21 September 2010</w:t>
            </w:r>
          </w:p>
        </w:tc>
        <w:tc>
          <w:tcPr>
            <w:tcW w:w="1465" w:type="dxa"/>
            <w:tcBorders>
              <w:top w:val="single" w:sz="4" w:space="0" w:color="auto"/>
            </w:tcBorders>
          </w:tcPr>
          <w:p w:rsidR="00FA253D" w:rsidRPr="00FA253D" w:rsidRDefault="00033C16" w:rsidP="001507DB">
            <w:pPr>
              <w:pStyle w:val="Tabletext"/>
              <w:ind w:right="510"/>
              <w:jc w:val="right"/>
            </w:pPr>
            <w:r>
              <w:t>2727</w:t>
            </w:r>
          </w:p>
        </w:tc>
        <w:tc>
          <w:tcPr>
            <w:tcW w:w="1512" w:type="dxa"/>
            <w:tcBorders>
              <w:top w:val="single" w:sz="4" w:space="0" w:color="auto"/>
            </w:tcBorders>
          </w:tcPr>
          <w:p w:rsidR="00FA253D" w:rsidRPr="00FA253D" w:rsidRDefault="00B2284E" w:rsidP="001507DB">
            <w:pPr>
              <w:pStyle w:val="Tabletext"/>
              <w:ind w:left="57"/>
            </w:pPr>
            <w:r>
              <w:t>R</w:t>
            </w:r>
            <w:r w:rsidR="0086355B">
              <w:t xml:space="preserve">eferenced in </w:t>
            </w:r>
            <w:r w:rsidR="0086355B" w:rsidRPr="00C33576">
              <w:rPr>
                <w:i/>
              </w:rPr>
              <w:t>Lost talent?</w:t>
            </w:r>
            <w:r w:rsidR="00FA253D" w:rsidRPr="00FA253D">
              <w:t xml:space="preserve"> media release</w:t>
            </w:r>
          </w:p>
        </w:tc>
      </w:tr>
      <w:tr w:rsidR="00FA253D" w:rsidTr="001507DB">
        <w:tc>
          <w:tcPr>
            <w:tcW w:w="4253" w:type="dxa"/>
          </w:tcPr>
          <w:p w:rsidR="00FA253D" w:rsidRPr="00C33576" w:rsidRDefault="00FA253D" w:rsidP="00B2284E">
            <w:pPr>
              <w:pStyle w:val="Tabletext"/>
              <w:rPr>
                <w:i/>
              </w:rPr>
            </w:pPr>
            <w:r w:rsidRPr="00C33576">
              <w:rPr>
                <w:i/>
              </w:rPr>
              <w:t>Lost talent? The occupational ambitions and attainments of young Australians</w:t>
            </w:r>
          </w:p>
        </w:tc>
        <w:tc>
          <w:tcPr>
            <w:tcW w:w="1559" w:type="dxa"/>
          </w:tcPr>
          <w:p w:rsidR="00FA253D" w:rsidRPr="00FA253D" w:rsidRDefault="00FA253D" w:rsidP="00B2284E">
            <w:pPr>
              <w:pStyle w:val="Tabletext"/>
            </w:pPr>
            <w:r w:rsidRPr="00FA253D">
              <w:t>12 January 2011</w:t>
            </w:r>
          </w:p>
        </w:tc>
        <w:tc>
          <w:tcPr>
            <w:tcW w:w="1465" w:type="dxa"/>
          </w:tcPr>
          <w:p w:rsidR="00FA253D" w:rsidRPr="00FA253D" w:rsidRDefault="00033C16" w:rsidP="001507DB">
            <w:pPr>
              <w:pStyle w:val="Tabletext"/>
              <w:ind w:right="510"/>
              <w:jc w:val="right"/>
            </w:pPr>
            <w:r>
              <w:t>2619</w:t>
            </w:r>
          </w:p>
        </w:tc>
        <w:tc>
          <w:tcPr>
            <w:tcW w:w="1512" w:type="dxa"/>
          </w:tcPr>
          <w:p w:rsidR="00FA253D" w:rsidRPr="00FA253D" w:rsidRDefault="00FA253D" w:rsidP="001507DB">
            <w:pPr>
              <w:pStyle w:val="Tabletext"/>
              <w:ind w:left="57"/>
            </w:pPr>
            <w:r w:rsidRPr="00FA253D">
              <w:t>Yes</w:t>
            </w:r>
          </w:p>
        </w:tc>
      </w:tr>
      <w:tr w:rsidR="00FA253D" w:rsidTr="001507DB">
        <w:tc>
          <w:tcPr>
            <w:tcW w:w="4253" w:type="dxa"/>
          </w:tcPr>
          <w:p w:rsidR="00FA253D" w:rsidRPr="00C33576" w:rsidRDefault="00FA253D" w:rsidP="00B2284E">
            <w:pPr>
              <w:pStyle w:val="Tabletext"/>
              <w:rPr>
                <w:i/>
              </w:rPr>
            </w:pPr>
            <w:r w:rsidRPr="00C33576">
              <w:rPr>
                <w:i/>
              </w:rPr>
              <w:t>Education and happiness in the school-to-work-transition</w:t>
            </w:r>
          </w:p>
        </w:tc>
        <w:tc>
          <w:tcPr>
            <w:tcW w:w="1559" w:type="dxa"/>
          </w:tcPr>
          <w:p w:rsidR="00FA253D" w:rsidRPr="00FA253D" w:rsidRDefault="00FA253D" w:rsidP="00B2284E">
            <w:pPr>
              <w:pStyle w:val="Tabletext"/>
            </w:pPr>
            <w:r w:rsidRPr="00FA253D">
              <w:t>19 April 2010</w:t>
            </w:r>
          </w:p>
        </w:tc>
        <w:tc>
          <w:tcPr>
            <w:tcW w:w="1465" w:type="dxa"/>
          </w:tcPr>
          <w:p w:rsidR="00FA253D" w:rsidRPr="00FA253D" w:rsidRDefault="00033C16" w:rsidP="001507DB">
            <w:pPr>
              <w:pStyle w:val="Tabletext"/>
              <w:ind w:right="510"/>
              <w:jc w:val="right"/>
            </w:pPr>
            <w:r>
              <w:t>2202</w:t>
            </w:r>
          </w:p>
        </w:tc>
        <w:tc>
          <w:tcPr>
            <w:tcW w:w="1512" w:type="dxa"/>
          </w:tcPr>
          <w:p w:rsidR="00FA253D" w:rsidRPr="00FA253D" w:rsidRDefault="00FA253D" w:rsidP="001507DB">
            <w:pPr>
              <w:pStyle w:val="Tabletext"/>
              <w:ind w:left="57"/>
            </w:pPr>
            <w:r w:rsidRPr="00FA253D">
              <w:t>Yes</w:t>
            </w:r>
          </w:p>
        </w:tc>
      </w:tr>
      <w:tr w:rsidR="00FA253D" w:rsidTr="001507DB">
        <w:tc>
          <w:tcPr>
            <w:tcW w:w="4253" w:type="dxa"/>
          </w:tcPr>
          <w:p w:rsidR="00FA253D" w:rsidRPr="00C33576" w:rsidRDefault="00FA253D" w:rsidP="00B2284E">
            <w:pPr>
              <w:pStyle w:val="Tabletext"/>
              <w:rPr>
                <w:i/>
              </w:rPr>
            </w:pPr>
            <w:r w:rsidRPr="00C33576">
              <w:rPr>
                <w:i/>
              </w:rPr>
              <w:t>From education to employment: how long does it take?</w:t>
            </w:r>
          </w:p>
        </w:tc>
        <w:tc>
          <w:tcPr>
            <w:tcW w:w="1559" w:type="dxa"/>
          </w:tcPr>
          <w:p w:rsidR="00FA253D" w:rsidRPr="00FA253D" w:rsidRDefault="00FA253D" w:rsidP="00B2284E">
            <w:pPr>
              <w:pStyle w:val="Tabletext"/>
            </w:pPr>
            <w:r w:rsidRPr="00FA253D">
              <w:t>29 June 2011</w:t>
            </w:r>
          </w:p>
        </w:tc>
        <w:tc>
          <w:tcPr>
            <w:tcW w:w="1465" w:type="dxa"/>
          </w:tcPr>
          <w:p w:rsidR="00FA253D" w:rsidRPr="00FA253D" w:rsidRDefault="00033C16" w:rsidP="001507DB">
            <w:pPr>
              <w:pStyle w:val="Tabletext"/>
              <w:ind w:right="510"/>
              <w:jc w:val="right"/>
            </w:pPr>
            <w:r>
              <w:t>2189</w:t>
            </w:r>
          </w:p>
        </w:tc>
        <w:tc>
          <w:tcPr>
            <w:tcW w:w="1512" w:type="dxa"/>
          </w:tcPr>
          <w:p w:rsidR="00FA253D" w:rsidRPr="00FA253D" w:rsidRDefault="00FA253D" w:rsidP="001507DB">
            <w:pPr>
              <w:pStyle w:val="Tabletext"/>
              <w:ind w:left="57"/>
            </w:pPr>
            <w:r w:rsidRPr="00FA253D">
              <w:t>Yes</w:t>
            </w:r>
          </w:p>
        </w:tc>
      </w:tr>
    </w:tbl>
    <w:p w:rsidR="002B07FD" w:rsidRDefault="002B07FD" w:rsidP="002B07FD">
      <w:pPr>
        <w:pStyle w:val="Heading3"/>
      </w:pPr>
      <w:r>
        <w:t>General observations about dissemination</w:t>
      </w:r>
    </w:p>
    <w:p w:rsidR="00EF49A6" w:rsidRDefault="002B07FD" w:rsidP="002B07FD">
      <w:pPr>
        <w:pStyle w:val="Text"/>
      </w:pPr>
      <w:r>
        <w:t>A wide range of dissemination strategies</w:t>
      </w:r>
      <w:r w:rsidR="00712E5F">
        <w:t>, both print and other,</w:t>
      </w:r>
      <w:r>
        <w:t xml:space="preserve"> are an important component of the </w:t>
      </w:r>
      <w:r w:rsidR="004B75E2">
        <w:t xml:space="preserve">applied </w:t>
      </w:r>
      <w:r>
        <w:t xml:space="preserve">research process </w:t>
      </w:r>
      <w:r w:rsidR="00712E5F">
        <w:t>adopted at NCVER</w:t>
      </w:r>
      <w:r>
        <w:t>. As part of the interviews</w:t>
      </w:r>
      <w:r w:rsidR="0086355B">
        <w:t>,</w:t>
      </w:r>
      <w:r>
        <w:t xml:space="preserve"> respondents were asked to rate how important particular forms of dissemination were to facilitating impact, on a five-point scale ranging from </w:t>
      </w:r>
      <w:r w:rsidR="00C33576">
        <w:t>one</w:t>
      </w:r>
      <w:r>
        <w:t xml:space="preserve"> (of no importance) to </w:t>
      </w:r>
      <w:r w:rsidR="00C33576">
        <w:t>five</w:t>
      </w:r>
      <w:r>
        <w:t xml:space="preserve"> (of great importance). </w:t>
      </w:r>
    </w:p>
    <w:p w:rsidR="002B07FD" w:rsidRDefault="002B07FD" w:rsidP="002B07FD">
      <w:pPr>
        <w:pStyle w:val="Text"/>
      </w:pPr>
      <w:r>
        <w:t xml:space="preserve">While some respondents qualified their answers, the average scores are fairly evenly distributed across the various avenues of dissemination (table </w:t>
      </w:r>
      <w:r w:rsidR="00EF28D4">
        <w:t>5</w:t>
      </w:r>
      <w:r>
        <w:t>). In the previous impact study</w:t>
      </w:r>
      <w:r w:rsidR="00C33576">
        <w:t>,</w:t>
      </w:r>
      <w:r>
        <w:t xml:space="preserve"> media coverage and academic publications stood out for not being rated as highly.</w:t>
      </w:r>
    </w:p>
    <w:p w:rsidR="002B07FD" w:rsidRDefault="002B07FD" w:rsidP="002B07FD">
      <w:pPr>
        <w:pStyle w:val="tabletitle"/>
      </w:pPr>
      <w:bookmarkStart w:id="45" w:name="_Toc329613287"/>
      <w:r>
        <w:t xml:space="preserve">Table </w:t>
      </w:r>
      <w:r w:rsidR="00EF28D4">
        <w:t>5</w:t>
      </w:r>
      <w:r w:rsidR="00CD793E">
        <w:tab/>
      </w:r>
      <w:r>
        <w:t>Importance to impact of various types of dissemination</w:t>
      </w:r>
      <w:bookmarkEnd w:id="45"/>
    </w:p>
    <w:tbl>
      <w:tblPr>
        <w:tblW w:w="5812" w:type="dxa"/>
        <w:tblInd w:w="108" w:type="dxa"/>
        <w:tblBorders>
          <w:top w:val="single" w:sz="4" w:space="0" w:color="000000"/>
          <w:bottom w:val="single" w:sz="4" w:space="0" w:color="000000"/>
        </w:tblBorders>
        <w:tblLayout w:type="fixed"/>
        <w:tblLook w:val="04A0"/>
      </w:tblPr>
      <w:tblGrid>
        <w:gridCol w:w="4395"/>
        <w:gridCol w:w="1417"/>
      </w:tblGrid>
      <w:tr w:rsidR="002B07FD" w:rsidTr="00CD793E">
        <w:tc>
          <w:tcPr>
            <w:tcW w:w="4395" w:type="dxa"/>
            <w:tcBorders>
              <w:top w:val="single" w:sz="4" w:space="0" w:color="000000"/>
              <w:bottom w:val="single" w:sz="4" w:space="0" w:color="auto"/>
            </w:tcBorders>
          </w:tcPr>
          <w:p w:rsidR="002B07FD" w:rsidRDefault="002B07FD" w:rsidP="005E4396">
            <w:pPr>
              <w:pStyle w:val="Tablehead1"/>
            </w:pPr>
            <w:r>
              <w:t>Type of dissemination</w:t>
            </w:r>
          </w:p>
        </w:tc>
        <w:tc>
          <w:tcPr>
            <w:tcW w:w="1417" w:type="dxa"/>
            <w:tcBorders>
              <w:top w:val="single" w:sz="4" w:space="0" w:color="000000"/>
              <w:bottom w:val="single" w:sz="4" w:space="0" w:color="auto"/>
            </w:tcBorders>
          </w:tcPr>
          <w:p w:rsidR="002B07FD" w:rsidRDefault="002B07FD" w:rsidP="00CD793E">
            <w:pPr>
              <w:pStyle w:val="Tablehead1"/>
              <w:jc w:val="center"/>
            </w:pPr>
            <w:r>
              <w:t>Score</w:t>
            </w:r>
          </w:p>
        </w:tc>
      </w:tr>
      <w:tr w:rsidR="002B07FD" w:rsidTr="00CD793E">
        <w:tc>
          <w:tcPr>
            <w:tcW w:w="4395" w:type="dxa"/>
            <w:tcBorders>
              <w:top w:val="single" w:sz="4" w:space="0" w:color="auto"/>
              <w:bottom w:val="nil"/>
            </w:tcBorders>
          </w:tcPr>
          <w:p w:rsidR="002B07FD" w:rsidRDefault="002B07FD" w:rsidP="005E4396">
            <w:pPr>
              <w:pStyle w:val="Tabletext"/>
            </w:pPr>
            <w:r>
              <w:t xml:space="preserve">Research reports </w:t>
            </w:r>
          </w:p>
        </w:tc>
        <w:tc>
          <w:tcPr>
            <w:tcW w:w="1417" w:type="dxa"/>
            <w:tcBorders>
              <w:top w:val="single" w:sz="4" w:space="0" w:color="auto"/>
              <w:bottom w:val="nil"/>
            </w:tcBorders>
          </w:tcPr>
          <w:p w:rsidR="002B07FD" w:rsidRDefault="002B07FD" w:rsidP="00CD793E">
            <w:pPr>
              <w:pStyle w:val="Tabletext"/>
              <w:tabs>
                <w:tab w:val="decimal" w:pos="539"/>
              </w:tabs>
            </w:pPr>
            <w:r>
              <w:t>3.94</w:t>
            </w:r>
          </w:p>
        </w:tc>
      </w:tr>
      <w:tr w:rsidR="002B07FD" w:rsidTr="00CD793E">
        <w:tc>
          <w:tcPr>
            <w:tcW w:w="4395" w:type="dxa"/>
            <w:tcBorders>
              <w:top w:val="nil"/>
              <w:bottom w:val="nil"/>
            </w:tcBorders>
          </w:tcPr>
          <w:p w:rsidR="002B07FD" w:rsidRDefault="002B07FD" w:rsidP="005E4396">
            <w:pPr>
              <w:pStyle w:val="Tabletext"/>
            </w:pPr>
            <w:r>
              <w:t>Seminars and conferences</w:t>
            </w:r>
          </w:p>
        </w:tc>
        <w:tc>
          <w:tcPr>
            <w:tcW w:w="1417" w:type="dxa"/>
            <w:tcBorders>
              <w:top w:val="nil"/>
              <w:bottom w:val="nil"/>
            </w:tcBorders>
          </w:tcPr>
          <w:p w:rsidR="002B07FD" w:rsidRDefault="002B07FD" w:rsidP="00CD793E">
            <w:pPr>
              <w:pStyle w:val="Tabletext"/>
              <w:tabs>
                <w:tab w:val="decimal" w:pos="539"/>
              </w:tabs>
            </w:pPr>
            <w:r>
              <w:t>3.88</w:t>
            </w:r>
          </w:p>
        </w:tc>
      </w:tr>
      <w:tr w:rsidR="002B07FD" w:rsidTr="00CD793E">
        <w:tc>
          <w:tcPr>
            <w:tcW w:w="4395" w:type="dxa"/>
            <w:tcBorders>
              <w:top w:val="nil"/>
              <w:bottom w:val="nil"/>
            </w:tcBorders>
          </w:tcPr>
          <w:p w:rsidR="002B07FD" w:rsidRDefault="002B07FD" w:rsidP="005E4396">
            <w:pPr>
              <w:pStyle w:val="Tabletext"/>
            </w:pPr>
            <w:r>
              <w:t>Briefing papers</w:t>
            </w:r>
          </w:p>
        </w:tc>
        <w:tc>
          <w:tcPr>
            <w:tcW w:w="1417" w:type="dxa"/>
            <w:tcBorders>
              <w:top w:val="nil"/>
              <w:bottom w:val="nil"/>
            </w:tcBorders>
          </w:tcPr>
          <w:p w:rsidR="002B07FD" w:rsidRDefault="002B07FD" w:rsidP="00CD793E">
            <w:pPr>
              <w:pStyle w:val="Tabletext"/>
              <w:tabs>
                <w:tab w:val="decimal" w:pos="539"/>
              </w:tabs>
            </w:pPr>
            <w:r>
              <w:t>3.91</w:t>
            </w:r>
          </w:p>
        </w:tc>
      </w:tr>
      <w:tr w:rsidR="002B07FD" w:rsidTr="00CD793E">
        <w:tc>
          <w:tcPr>
            <w:tcW w:w="4395" w:type="dxa"/>
            <w:tcBorders>
              <w:top w:val="nil"/>
              <w:bottom w:val="nil"/>
            </w:tcBorders>
          </w:tcPr>
          <w:p w:rsidR="002B07FD" w:rsidRPr="00614F6B" w:rsidRDefault="002B07FD" w:rsidP="005E4396">
            <w:pPr>
              <w:pStyle w:val="Tabletext"/>
            </w:pPr>
            <w:r>
              <w:t>Media coverage</w:t>
            </w:r>
          </w:p>
        </w:tc>
        <w:tc>
          <w:tcPr>
            <w:tcW w:w="1417" w:type="dxa"/>
            <w:tcBorders>
              <w:top w:val="nil"/>
              <w:bottom w:val="nil"/>
            </w:tcBorders>
          </w:tcPr>
          <w:p w:rsidR="002B07FD" w:rsidRDefault="002B07FD" w:rsidP="00CD793E">
            <w:pPr>
              <w:pStyle w:val="Tabletext"/>
              <w:tabs>
                <w:tab w:val="decimal" w:pos="539"/>
              </w:tabs>
            </w:pPr>
            <w:r>
              <w:t>3.44</w:t>
            </w:r>
          </w:p>
        </w:tc>
      </w:tr>
      <w:tr w:rsidR="002B07FD" w:rsidTr="00CD793E">
        <w:tc>
          <w:tcPr>
            <w:tcW w:w="4395" w:type="dxa"/>
            <w:tcBorders>
              <w:top w:val="nil"/>
              <w:bottom w:val="nil"/>
            </w:tcBorders>
          </w:tcPr>
          <w:p w:rsidR="002B07FD" w:rsidRDefault="002B07FD" w:rsidP="005E4396">
            <w:pPr>
              <w:pStyle w:val="Tabletext"/>
            </w:pPr>
            <w:r>
              <w:t>Academic publications</w:t>
            </w:r>
          </w:p>
        </w:tc>
        <w:tc>
          <w:tcPr>
            <w:tcW w:w="1417" w:type="dxa"/>
            <w:tcBorders>
              <w:top w:val="nil"/>
              <w:bottom w:val="nil"/>
            </w:tcBorders>
          </w:tcPr>
          <w:p w:rsidR="002B07FD" w:rsidRDefault="002B07FD" w:rsidP="00CD793E">
            <w:pPr>
              <w:pStyle w:val="Tabletext"/>
              <w:tabs>
                <w:tab w:val="decimal" w:pos="539"/>
              </w:tabs>
            </w:pPr>
            <w:r>
              <w:t>3.56</w:t>
            </w:r>
          </w:p>
        </w:tc>
      </w:tr>
      <w:tr w:rsidR="002B07FD" w:rsidTr="00CD793E">
        <w:tc>
          <w:tcPr>
            <w:tcW w:w="4395" w:type="dxa"/>
            <w:tcBorders>
              <w:top w:val="nil"/>
              <w:bottom w:val="single" w:sz="4" w:space="0" w:color="000000"/>
            </w:tcBorders>
          </w:tcPr>
          <w:p w:rsidR="002B07FD" w:rsidRDefault="00C33576" w:rsidP="005E4396">
            <w:pPr>
              <w:pStyle w:val="Tabletext"/>
            </w:pPr>
            <w:r>
              <w:t>Discussions with policy-</w:t>
            </w:r>
            <w:r w:rsidR="002B07FD">
              <w:t>makers</w:t>
            </w:r>
          </w:p>
        </w:tc>
        <w:tc>
          <w:tcPr>
            <w:tcW w:w="1417" w:type="dxa"/>
            <w:tcBorders>
              <w:top w:val="nil"/>
              <w:bottom w:val="single" w:sz="4" w:space="0" w:color="000000"/>
            </w:tcBorders>
          </w:tcPr>
          <w:p w:rsidR="002B07FD" w:rsidRDefault="002B07FD" w:rsidP="00CD793E">
            <w:pPr>
              <w:pStyle w:val="Tabletext"/>
              <w:tabs>
                <w:tab w:val="decimal" w:pos="539"/>
              </w:tabs>
            </w:pPr>
            <w:r>
              <w:t>3.69</w:t>
            </w:r>
          </w:p>
        </w:tc>
      </w:tr>
    </w:tbl>
    <w:p w:rsidR="002B07FD" w:rsidRDefault="002B07FD" w:rsidP="00CD793E">
      <w:pPr>
        <w:pStyle w:val="Text"/>
        <w:ind w:right="141"/>
      </w:pPr>
      <w:r>
        <w:lastRenderedPageBreak/>
        <w:t xml:space="preserve">In a comparison of ratings </w:t>
      </w:r>
      <w:r w:rsidR="00712E5F">
        <w:t>with</w:t>
      </w:r>
      <w:r>
        <w:t xml:space="preserve"> the end-users</w:t>
      </w:r>
      <w:r w:rsidR="00AE0C58">
        <w:t>,</w:t>
      </w:r>
      <w:r>
        <w:t xml:space="preserve"> most researchers in this study </w:t>
      </w:r>
      <w:r w:rsidR="00C33576">
        <w:t xml:space="preserve">not surprisingly </w:t>
      </w:r>
      <w:r>
        <w:t xml:space="preserve">tended to give a higher value </w:t>
      </w:r>
      <w:r w:rsidR="000B223C">
        <w:t xml:space="preserve">to </w:t>
      </w:r>
      <w:r>
        <w:t xml:space="preserve">the impact of academic publications. A few respondents concurred that media coverage is good for </w:t>
      </w:r>
      <w:r w:rsidR="00C33576">
        <w:t>prompting</w:t>
      </w:r>
      <w:r>
        <w:t xml:space="preserve"> people to take notice but</w:t>
      </w:r>
      <w:r w:rsidR="00C33576">
        <w:t xml:space="preserve"> that</w:t>
      </w:r>
      <w:r>
        <w:t xml:space="preserve"> it doesn’t actually mean they use the findings.</w:t>
      </w:r>
    </w:p>
    <w:p w:rsidR="002B07FD" w:rsidRDefault="002B07FD" w:rsidP="002B07FD">
      <w:pPr>
        <w:pStyle w:val="Text"/>
      </w:pPr>
      <w:r>
        <w:t xml:space="preserve">When asked what dissemination strategies end-users find particularly useful in raising awareness and leading </w:t>
      </w:r>
      <w:r w:rsidR="00AE0C58">
        <w:t>to use of the research findings — or data sources such as LSAY —</w:t>
      </w:r>
      <w:r>
        <w:t xml:space="preserve"> the following were the most commonly suggested: </w:t>
      </w:r>
    </w:p>
    <w:p w:rsidR="002B07FD" w:rsidRDefault="002B07FD" w:rsidP="002B07FD">
      <w:pPr>
        <w:pStyle w:val="Dotpoint1"/>
      </w:pPr>
      <w:r>
        <w:t xml:space="preserve">presentations and events </w:t>
      </w:r>
    </w:p>
    <w:p w:rsidR="002B07FD" w:rsidRDefault="00AE0C58" w:rsidP="002B07FD">
      <w:pPr>
        <w:pStyle w:val="Dotpoint1"/>
      </w:pPr>
      <w:r>
        <w:t>short (two-</w:t>
      </w:r>
      <w:r w:rsidR="002B07FD">
        <w:t xml:space="preserve">page) summaries, or briefing papers </w:t>
      </w:r>
    </w:p>
    <w:p w:rsidR="002B07FD" w:rsidRDefault="000F6C70" w:rsidP="00CD793E">
      <w:pPr>
        <w:pStyle w:val="Dotpoint1"/>
        <w:ind w:right="566"/>
      </w:pPr>
      <w:r>
        <w:t>e</w:t>
      </w:r>
      <w:r w:rsidR="002B07FD">
        <w:t xml:space="preserve">mail alerts, preferably with a brief summary about the research and </w:t>
      </w:r>
      <w:r w:rsidR="00C33576">
        <w:t>which</w:t>
      </w:r>
      <w:r w:rsidR="00AE0C58">
        <w:t xml:space="preserve"> </w:t>
      </w:r>
      <w:r w:rsidR="002B07FD">
        <w:t>link directly to the publication</w:t>
      </w:r>
      <w:r w:rsidR="00AE0C58">
        <w:t>.</w:t>
      </w:r>
    </w:p>
    <w:p w:rsidR="002B07FD" w:rsidRDefault="002B07FD" w:rsidP="002B07FD">
      <w:pPr>
        <w:pStyle w:val="Text"/>
      </w:pPr>
      <w:r>
        <w:t xml:space="preserve">The overall </w:t>
      </w:r>
      <w:r w:rsidR="00C33576">
        <w:t>consensus from</w:t>
      </w:r>
      <w:r w:rsidR="00AE0C58">
        <w:t xml:space="preserve"> the interviews </w:t>
      </w:r>
      <w:r>
        <w:t xml:space="preserve">was </w:t>
      </w:r>
      <w:r w:rsidR="00C33576">
        <w:t xml:space="preserve">that </w:t>
      </w:r>
      <w:r>
        <w:t>dissemination strategies that make the research easily accessible, in plain English and focusing on practical outcomes</w:t>
      </w:r>
      <w:r w:rsidR="00C33576">
        <w:t xml:space="preserve"> were the most favoured</w:t>
      </w:r>
      <w:r>
        <w:t xml:space="preserve">. A key challenge is ensuring </w:t>
      </w:r>
      <w:r w:rsidR="00AE0C58">
        <w:t xml:space="preserve">that </w:t>
      </w:r>
      <w:r>
        <w:t xml:space="preserve">briefing papers are </w:t>
      </w:r>
      <w:r w:rsidR="00AE0C58">
        <w:t xml:space="preserve">pitched to the right audience. </w:t>
      </w:r>
      <w:r>
        <w:t>Another critical element is whether the research answers the question that policy people are</w:t>
      </w:r>
      <w:r w:rsidR="00AE0C58">
        <w:t xml:space="preserve"> trying to answer at that time —</w:t>
      </w:r>
      <w:r>
        <w:t xml:space="preserve"> regardless of good dissemination the topic needs to be relevant and timely.</w:t>
      </w:r>
    </w:p>
    <w:p w:rsidR="004C15E4" w:rsidRDefault="004C15E4" w:rsidP="007830D8">
      <w:pPr>
        <w:pStyle w:val="Heading2"/>
      </w:pPr>
      <w:bookmarkStart w:id="46" w:name="_Toc329613259"/>
      <w:r>
        <w:t>Capacity building</w:t>
      </w:r>
      <w:bookmarkEnd w:id="46"/>
    </w:p>
    <w:p w:rsidR="00A64364" w:rsidRDefault="004C15E4" w:rsidP="004C15E4">
      <w:pPr>
        <w:pStyle w:val="Text"/>
      </w:pPr>
      <w:r>
        <w:t>In all cases the researchers were able to cite specific examples of capacity building, in terms of extending their research throug</w:t>
      </w:r>
      <w:r w:rsidR="00AE0C58">
        <w:t>h further research grants and/</w:t>
      </w:r>
      <w:r>
        <w:t>or collaborations</w:t>
      </w:r>
      <w:r w:rsidR="005038CE">
        <w:t>,</w:t>
      </w:r>
      <w:r>
        <w:t xml:space="preserve"> as well</w:t>
      </w:r>
      <w:r w:rsidR="00AE0C58">
        <w:t xml:space="preserve"> as engaging with the LSAY data</w:t>
      </w:r>
      <w:r>
        <w:t>set.</w:t>
      </w:r>
      <w:r w:rsidR="000560F1">
        <w:t xml:space="preserve"> </w:t>
      </w:r>
    </w:p>
    <w:p w:rsidR="00A564E1" w:rsidRDefault="00A564E1" w:rsidP="00A564E1">
      <w:pPr>
        <w:pStyle w:val="Text"/>
      </w:pPr>
      <w:r>
        <w:t xml:space="preserve">Three of the five research projects involved researchers who were new to working with LSAY data. In addition, the fellowship specifically targeted a researcher </w:t>
      </w:r>
      <w:r w:rsidR="005038CE">
        <w:t xml:space="preserve">new </w:t>
      </w:r>
      <w:r>
        <w:t>to LSAY</w:t>
      </w:r>
      <w:r w:rsidR="00A2304C">
        <w:t xml:space="preserve">. This </w:t>
      </w:r>
      <w:r w:rsidR="005038CE">
        <w:t>researcher experienced</w:t>
      </w:r>
      <w:r w:rsidR="00A2304C">
        <w:t xml:space="preserve"> a significant amo</w:t>
      </w:r>
      <w:r w:rsidR="005038CE">
        <w:t>unt of capacity building, since he had</w:t>
      </w:r>
      <w:r w:rsidR="00AE0C58">
        <w:t xml:space="preserve"> </w:t>
      </w:r>
      <w:r w:rsidR="00A2304C">
        <w:t>mov</w:t>
      </w:r>
      <w:r w:rsidR="00AE0C58">
        <w:t>ed</w:t>
      </w:r>
      <w:r w:rsidR="00A2304C">
        <w:t xml:space="preserve"> from a purely qualitative research background to engagement in quantitative methodologies</w:t>
      </w:r>
      <w:r>
        <w:t xml:space="preserve">. Some of these researchers commented that they found using the dataset challenging because of its complexity, but overall a worthwhile exercise. </w:t>
      </w:r>
    </w:p>
    <w:p w:rsidR="004C15E4" w:rsidRDefault="000560F1" w:rsidP="004C15E4">
      <w:pPr>
        <w:pStyle w:val="Text"/>
      </w:pPr>
      <w:r w:rsidRPr="006766E4">
        <w:t>One of the projects led to a successful application for an International Research Link</w:t>
      </w:r>
      <w:r w:rsidR="00AE0C58">
        <w:t>age Grant through the Canadian G</w:t>
      </w:r>
      <w:r w:rsidRPr="006766E4">
        <w:t>overnment</w:t>
      </w:r>
      <w:r w:rsidR="005038CE">
        <w:t>. The grant was awarded to enable them</w:t>
      </w:r>
      <w:r w:rsidR="00712E5F" w:rsidRPr="006766E4">
        <w:t xml:space="preserve"> </w:t>
      </w:r>
      <w:r w:rsidR="006766E4" w:rsidRPr="006766E4">
        <w:t xml:space="preserve">to extend their work </w:t>
      </w:r>
      <w:r w:rsidR="00712E5F" w:rsidRPr="006766E4">
        <w:t xml:space="preserve">on </w:t>
      </w:r>
      <w:r w:rsidR="00B37C26" w:rsidRPr="006766E4">
        <w:t>the post-school education choices of young women in Canada and Australia</w:t>
      </w:r>
      <w:r w:rsidR="006766E4" w:rsidRPr="006766E4">
        <w:t xml:space="preserve"> and to consider how those choices translated into the labour market</w:t>
      </w:r>
      <w:r w:rsidRPr="006766E4">
        <w:t>.</w:t>
      </w:r>
      <w:r>
        <w:t xml:space="preserve"> Another principal researcher used their research project to demonstrate </w:t>
      </w:r>
      <w:r w:rsidR="00B60139">
        <w:t>the value of using LSAY data</w:t>
      </w:r>
      <w:r w:rsidR="005038CE" w:rsidRPr="005038CE">
        <w:t xml:space="preserve"> </w:t>
      </w:r>
      <w:r w:rsidR="005038CE">
        <w:t>to the Directorate for Education at the OECD</w:t>
      </w:r>
      <w:r>
        <w:t xml:space="preserve">, and as a </w:t>
      </w:r>
      <w:r w:rsidR="005038CE">
        <w:t xml:space="preserve">consequence </w:t>
      </w:r>
      <w:r>
        <w:t xml:space="preserve">the OECD </w:t>
      </w:r>
      <w:r w:rsidR="001308BE">
        <w:t>applied</w:t>
      </w:r>
      <w:r>
        <w:t xml:space="preserve"> for access to </w:t>
      </w:r>
      <w:r w:rsidR="00A32CDD">
        <w:t>the</w:t>
      </w:r>
      <w:r>
        <w:t xml:space="preserve"> data. An unexpecte</w:t>
      </w:r>
      <w:r w:rsidR="00CB2D3E">
        <w:t>d impact for one research team wa</w:t>
      </w:r>
      <w:r>
        <w:t xml:space="preserve">s that </w:t>
      </w:r>
      <w:r w:rsidR="005038CE">
        <w:t>they were given</w:t>
      </w:r>
      <w:r>
        <w:t xml:space="preserve"> the opportunity to </w:t>
      </w:r>
      <w:r w:rsidR="005038CE">
        <w:t>begin discussions with</w:t>
      </w:r>
      <w:r>
        <w:t xml:space="preserve"> other </w:t>
      </w:r>
      <w:r w:rsidR="001308BE">
        <w:t xml:space="preserve">countries </w:t>
      </w:r>
      <w:r w:rsidR="00712E5F">
        <w:t>that</w:t>
      </w:r>
      <w:r w:rsidR="001308BE">
        <w:t xml:space="preserve"> want to explore research questions that can be address</w:t>
      </w:r>
      <w:r w:rsidR="00B60139">
        <w:t>ed by using a longitudinal data</w:t>
      </w:r>
      <w:r w:rsidR="001308BE">
        <w:t xml:space="preserve">set such as LSAY. </w:t>
      </w:r>
    </w:p>
    <w:p w:rsidR="00A32CDD" w:rsidRDefault="00CB2D3E" w:rsidP="00A32CDD">
      <w:pPr>
        <w:pStyle w:val="Text"/>
      </w:pPr>
      <w:r>
        <w:t>A</w:t>
      </w:r>
      <w:r w:rsidR="00712E5F">
        <w:t>n</w:t>
      </w:r>
      <w:r w:rsidR="00A32CDD">
        <w:t xml:space="preserve"> accumulated body of work</w:t>
      </w:r>
      <w:r w:rsidR="00712E5F">
        <w:t xml:space="preserve"> may generate greater impact, </w:t>
      </w:r>
      <w:r>
        <w:t xml:space="preserve">but, </w:t>
      </w:r>
      <w:r w:rsidR="00712E5F">
        <w:t xml:space="preserve">as one researcher noted, the capacity building aspects of single projects can be significant. </w:t>
      </w:r>
      <w:r w:rsidR="00A60A5F">
        <w:t>They generate ‘</w:t>
      </w:r>
      <w:r w:rsidR="00A32CDD">
        <w:t>further op</w:t>
      </w:r>
      <w:r w:rsidR="00A60A5F">
        <w:t>portunities for the researchers’</w:t>
      </w:r>
      <w:r w:rsidR="00A32CDD">
        <w:t xml:space="preserve"> and directly assist in building a body of work around specific topics. </w:t>
      </w:r>
      <w:r>
        <w:t>Moreover,</w:t>
      </w:r>
      <w:r w:rsidR="00A32CDD">
        <w:t xml:space="preserve"> some of the researchers were involved in the consultations to establish a new set of research priorities for the LSAY program</w:t>
      </w:r>
      <w:r w:rsidR="00A60A5F">
        <w:t>,</w:t>
      </w:r>
      <w:r w:rsidR="00A32CDD">
        <w:t xml:space="preserve"> which will lead to more targeted research in the future</w:t>
      </w:r>
      <w:r w:rsidR="00A60A5F">
        <w:t xml:space="preserve"> and </w:t>
      </w:r>
      <w:r w:rsidR="00A32CDD">
        <w:t>build on the work already done.</w:t>
      </w:r>
    </w:p>
    <w:p w:rsidR="004C15E4" w:rsidRDefault="00A32CDD" w:rsidP="004C15E4">
      <w:pPr>
        <w:pStyle w:val="Text"/>
      </w:pPr>
      <w:r>
        <w:t>There was also clear</w:t>
      </w:r>
      <w:r w:rsidR="004C15E4">
        <w:t xml:space="preserve"> evidence of capacity building amongst the end-users</w:t>
      </w:r>
      <w:r w:rsidR="009A3DDB">
        <w:t xml:space="preserve"> as a direct result of initiatives within the RIEF, particularly through access to the research reports, having the opportunity </w:t>
      </w:r>
      <w:r w:rsidR="009A3DDB">
        <w:lastRenderedPageBreak/>
        <w:t>to explore the data in a workshop</w:t>
      </w:r>
      <w:r w:rsidR="00A60A5F">
        <w:t>,</w:t>
      </w:r>
      <w:r w:rsidR="009A3DDB">
        <w:t xml:space="preserve"> or attending the youth policy forum</w:t>
      </w:r>
      <w:r w:rsidR="004C15E4">
        <w:t xml:space="preserve">. Many became much more aware of LSAY data and </w:t>
      </w:r>
      <w:r w:rsidR="00CB2D3E">
        <w:t xml:space="preserve">associated </w:t>
      </w:r>
      <w:r w:rsidR="004C15E4">
        <w:t xml:space="preserve">research </w:t>
      </w:r>
      <w:r w:rsidR="00CB2D3E">
        <w:t>after</w:t>
      </w:r>
      <w:r w:rsidR="009A3DDB">
        <w:t xml:space="preserve"> the forum</w:t>
      </w:r>
      <w:r w:rsidR="00C445D6">
        <w:t xml:space="preserve">. Their attendance at the forum </w:t>
      </w:r>
      <w:r w:rsidR="004C15E4">
        <w:t>support</w:t>
      </w:r>
      <w:r w:rsidR="00C445D6">
        <w:t>ed</w:t>
      </w:r>
      <w:r w:rsidR="004C15E4">
        <w:t xml:space="preserve"> their profess</w:t>
      </w:r>
      <w:r w:rsidR="00C445D6">
        <w:t>ional development activities, while</w:t>
      </w:r>
      <w:r w:rsidR="004C15E4">
        <w:t xml:space="preserve"> encouraging them to increase and share their knowledge </w:t>
      </w:r>
      <w:r w:rsidR="009A3DDB">
        <w:t>about LSAY research more broadly</w:t>
      </w:r>
      <w:r w:rsidR="004C15E4">
        <w:t xml:space="preserve">. Although some were already </w:t>
      </w:r>
      <w:r w:rsidR="00C445D6">
        <w:t>using</w:t>
      </w:r>
      <w:r w:rsidR="004C15E4">
        <w:t xml:space="preserve"> the research before </w:t>
      </w:r>
      <w:r w:rsidR="00712E5F">
        <w:t>attending the youth policy</w:t>
      </w:r>
      <w:r w:rsidR="004C15E4">
        <w:t xml:space="preserve"> forum, </w:t>
      </w:r>
      <w:r w:rsidR="00072F42">
        <w:t>the forum</w:t>
      </w:r>
      <w:r w:rsidR="004C15E4">
        <w:t xml:space="preserve"> made them more aware of the relevance of the research and increased their confidence in using it. Many end-users play a key role in increasing research impact, by filtering and helping to tailor findings to increase their relevance and accessibility to a particular audience. </w:t>
      </w:r>
      <w:r w:rsidR="009A3DDB">
        <w:t>One end-user</w:t>
      </w:r>
      <w:r w:rsidR="004C15E4">
        <w:t xml:space="preserve"> commented: </w:t>
      </w:r>
    </w:p>
    <w:p w:rsidR="004C15E4" w:rsidRDefault="004C15E4" w:rsidP="00862C69">
      <w:pPr>
        <w:pStyle w:val="Quote"/>
      </w:pPr>
      <w:r>
        <w:t>The forum gave us exposure to a range of approaches to conceptualising research into youth transitions, and some interdisciplinary perspectives. The forum also led to forming a range of connections with people who work with the LSAY data</w:t>
      </w:r>
      <w:r w:rsidR="00C445D6">
        <w:t>.</w:t>
      </w:r>
      <w:r w:rsidR="00C445D6">
        <w:tab/>
      </w:r>
      <w:r>
        <w:t>(University of Victoria</w:t>
      </w:r>
      <w:r w:rsidR="00CB2D3E">
        <w:t>,</w:t>
      </w:r>
      <w:r>
        <w:t xml:space="preserve"> Canada, end-user)</w:t>
      </w:r>
    </w:p>
    <w:p w:rsidR="004C15E4" w:rsidRDefault="00CB2D3E" w:rsidP="004C15E4">
      <w:pPr>
        <w:pStyle w:val="Text"/>
      </w:pPr>
      <w:r>
        <w:t>Following the forum a</w:t>
      </w:r>
      <w:r w:rsidR="009A3DDB">
        <w:t>nother</w:t>
      </w:r>
      <w:r w:rsidR="004C15E4">
        <w:t xml:space="preserve"> end-user </w:t>
      </w:r>
      <w:r>
        <w:t xml:space="preserve">offered </w:t>
      </w:r>
      <w:r w:rsidR="004C15E4">
        <w:t>support</w:t>
      </w:r>
      <w:r>
        <w:t xml:space="preserve"> to</w:t>
      </w:r>
      <w:r w:rsidR="004C15E4">
        <w:t xml:space="preserve"> an early career researcher in her organisation </w:t>
      </w:r>
      <w:r w:rsidR="00C445D6">
        <w:t>in applying</w:t>
      </w:r>
      <w:r w:rsidR="004C15E4">
        <w:t xml:space="preserve"> for an NCVER Community of Practice research scholarship to conduct specific research on youth transitions for their region</w:t>
      </w:r>
      <w:r w:rsidR="00C445D6">
        <w:t>.</w:t>
      </w:r>
      <w:r w:rsidR="009A3DDB">
        <w:rPr>
          <w:rStyle w:val="FootnoteReference"/>
        </w:rPr>
        <w:footnoteReference w:id="8"/>
      </w:r>
      <w:r w:rsidR="004C15E4">
        <w:t xml:space="preserve"> This </w:t>
      </w:r>
      <w:r>
        <w:t>project conferred</w:t>
      </w:r>
      <w:r w:rsidR="004C15E4">
        <w:t xml:space="preserve"> ongoing development benefits in terms of</w:t>
      </w:r>
      <w:r>
        <w:t xml:space="preserve"> the acquisition of</w:t>
      </w:r>
      <w:r w:rsidR="004C15E4">
        <w:t xml:space="preserve"> research skills in their organisation.</w:t>
      </w:r>
    </w:p>
    <w:p w:rsidR="004C15E4" w:rsidRDefault="004C15E4" w:rsidP="007830D8">
      <w:pPr>
        <w:pStyle w:val="Heading2"/>
      </w:pPr>
      <w:bookmarkStart w:id="47" w:name="_Toc329613260"/>
      <w:r>
        <w:t>Contributing to policy</w:t>
      </w:r>
      <w:bookmarkEnd w:id="47"/>
    </w:p>
    <w:p w:rsidR="006275D5" w:rsidRDefault="006275D5" w:rsidP="004C15E4">
      <w:pPr>
        <w:pStyle w:val="Text"/>
      </w:pPr>
      <w:r>
        <w:t>Many of the</w:t>
      </w:r>
      <w:r w:rsidR="004C15E4">
        <w:t xml:space="preserve"> researchers were </w:t>
      </w:r>
      <w:r>
        <w:t>unable</w:t>
      </w:r>
      <w:r w:rsidR="004C15E4">
        <w:t xml:space="preserve"> to </w:t>
      </w:r>
      <w:r w:rsidR="00D9169B">
        <w:t>confirm</w:t>
      </w:r>
      <w:r w:rsidR="00C445D6">
        <w:t xml:space="preserve"> whether the research had</w:t>
      </w:r>
      <w:r w:rsidR="004C15E4">
        <w:t xml:space="preserve"> inform</w:t>
      </w:r>
      <w:r w:rsidR="00D31CCD">
        <w:t>ed</w:t>
      </w:r>
      <w:r>
        <w:t xml:space="preserve"> policy. One of the </w:t>
      </w:r>
      <w:r w:rsidR="00A2304C">
        <w:t>challenges</w:t>
      </w:r>
      <w:r>
        <w:t xml:space="preserve"> this raises is </w:t>
      </w:r>
      <w:r w:rsidR="00A2304C">
        <w:t>how to encourage</w:t>
      </w:r>
      <w:r>
        <w:t xml:space="preserve"> </w:t>
      </w:r>
      <w:r w:rsidR="00A2304C">
        <w:t xml:space="preserve">and equip </w:t>
      </w:r>
      <w:r>
        <w:t xml:space="preserve">researchers to </w:t>
      </w:r>
      <w:r w:rsidR="00BB3D6F">
        <w:t xml:space="preserve">become more </w:t>
      </w:r>
      <w:r>
        <w:t>engage</w:t>
      </w:r>
      <w:r w:rsidR="00BB3D6F">
        <w:t>d</w:t>
      </w:r>
      <w:r>
        <w:t xml:space="preserve"> </w:t>
      </w:r>
      <w:r w:rsidR="00A2304C">
        <w:t xml:space="preserve">in tracking the influence of their work beyond academia </w:t>
      </w:r>
      <w:r>
        <w:t xml:space="preserve">and </w:t>
      </w:r>
      <w:r w:rsidR="00A2304C">
        <w:t xml:space="preserve">to </w:t>
      </w:r>
      <w:r>
        <w:t xml:space="preserve">report on the </w:t>
      </w:r>
      <w:r w:rsidR="00BB3D6F">
        <w:t xml:space="preserve">outcomes and </w:t>
      </w:r>
      <w:r>
        <w:t>ongoing influence of their research in policy and practice.</w:t>
      </w:r>
    </w:p>
    <w:p w:rsidR="00B14023" w:rsidRDefault="00A2304C" w:rsidP="00B14023">
      <w:pPr>
        <w:pStyle w:val="Text"/>
      </w:pPr>
      <w:r>
        <w:t xml:space="preserve">As noted in the </w:t>
      </w:r>
      <w:r w:rsidR="00D9169B">
        <w:t xml:space="preserve">section relating to </w:t>
      </w:r>
      <w:r>
        <w:t>citations</w:t>
      </w:r>
      <w:r w:rsidR="00C445D6">
        <w:t>,</w:t>
      </w:r>
      <w:r>
        <w:t xml:space="preserve"> this case study did find evidence of impact on policy.</w:t>
      </w:r>
      <w:r w:rsidR="00B14023">
        <w:t xml:space="preserve"> </w:t>
      </w:r>
      <w:r w:rsidR="006275D5" w:rsidRPr="00B14023">
        <w:rPr>
          <w:i/>
        </w:rPr>
        <w:t>From education to employment: how long does it take?</w:t>
      </w:r>
      <w:r w:rsidR="006275D5" w:rsidRPr="00B14023">
        <w:t xml:space="preserve"> was cited i</w:t>
      </w:r>
      <w:r w:rsidR="00B37C26" w:rsidRPr="00B14023">
        <w:t xml:space="preserve">n </w:t>
      </w:r>
      <w:r w:rsidR="00B37C26" w:rsidRPr="00645A05">
        <w:rPr>
          <w:i/>
        </w:rPr>
        <w:t xml:space="preserve">Social Security Legislation </w:t>
      </w:r>
      <w:r w:rsidR="00C560CF" w:rsidRPr="00645A05">
        <w:rPr>
          <w:i/>
        </w:rPr>
        <w:t xml:space="preserve">Amendment </w:t>
      </w:r>
      <w:r w:rsidR="00B37C26" w:rsidRPr="00645A05">
        <w:rPr>
          <w:i/>
        </w:rPr>
        <w:t>Bill</w:t>
      </w:r>
      <w:r w:rsidR="006275D5" w:rsidRPr="00645A05">
        <w:rPr>
          <w:i/>
        </w:rPr>
        <w:t xml:space="preserve"> </w:t>
      </w:r>
      <w:r w:rsidR="00C560CF">
        <w:t xml:space="preserve">(Second Reading of House of Representatives, Hansard, 23 November 2011) </w:t>
      </w:r>
      <w:r w:rsidR="006275D5" w:rsidRPr="00B14023">
        <w:t xml:space="preserve">and </w:t>
      </w:r>
      <w:r w:rsidR="00C445D6">
        <w:t xml:space="preserve">in the </w:t>
      </w:r>
      <w:r w:rsidR="00C560CF">
        <w:t xml:space="preserve">associated </w:t>
      </w:r>
      <w:r w:rsidR="006275D5" w:rsidRPr="00B14023">
        <w:t>media release: ‘Research confirms a good education is the key to getting a job’ (2011)</w:t>
      </w:r>
      <w:r w:rsidR="004C15E4" w:rsidRPr="00B14023">
        <w:t>.</w:t>
      </w:r>
      <w:r w:rsidR="006275D5" w:rsidRPr="00B14023">
        <w:t xml:space="preserve"> </w:t>
      </w:r>
      <w:r>
        <w:t xml:space="preserve">Citations in journals are often used in academia as an easy and popular measure of impact, but when looking for </w:t>
      </w:r>
      <w:r w:rsidR="00C445D6">
        <w:t>research’s</w:t>
      </w:r>
      <w:r>
        <w:t xml:space="preserve"> influence on policy we find </w:t>
      </w:r>
      <w:r w:rsidR="00D9169B">
        <w:t xml:space="preserve">that </w:t>
      </w:r>
      <w:r>
        <w:t>citations in parliamentary legislation such as Hansard have significance</w:t>
      </w:r>
      <w:r w:rsidR="00B14023">
        <w:t>.</w:t>
      </w:r>
    </w:p>
    <w:p w:rsidR="004C15E4" w:rsidRDefault="006275D5" w:rsidP="004C15E4">
      <w:pPr>
        <w:pStyle w:val="Text"/>
      </w:pPr>
      <w:r>
        <w:t>Several of the end-users were able to provide examples of where the research has been used in policy. It has</w:t>
      </w:r>
      <w:r w:rsidR="004C15E4">
        <w:t xml:space="preserve"> informed policies on rural and remote education and </w:t>
      </w:r>
      <w:r w:rsidR="00072F42">
        <w:t xml:space="preserve">on </w:t>
      </w:r>
      <w:r w:rsidR="004C15E4">
        <w:t xml:space="preserve">the governance of the </w:t>
      </w:r>
      <w:r w:rsidR="0073773B">
        <w:t xml:space="preserve">Trade Training Centres </w:t>
      </w:r>
      <w:r w:rsidR="004C15E4">
        <w:t xml:space="preserve">in Tasmania (Polytechnic Tasmania) and in a policy framework </w:t>
      </w:r>
      <w:r w:rsidR="00486AAE">
        <w:t>relating to</w:t>
      </w:r>
      <w:r w:rsidR="004C15E4">
        <w:t xml:space="preserve"> youth transitions (Department of Education and Early Childhood Development). </w:t>
      </w:r>
    </w:p>
    <w:p w:rsidR="004C15E4" w:rsidRDefault="00486AAE" w:rsidP="004C15E4">
      <w:pPr>
        <w:pStyle w:val="Text"/>
      </w:pPr>
      <w:r>
        <w:t>The Department of Education, Employment and Workplace Relations</w:t>
      </w:r>
      <w:r w:rsidR="004C15E4">
        <w:t xml:space="preserve"> used the </w:t>
      </w:r>
      <w:r>
        <w:t>research in</w:t>
      </w:r>
      <w:r w:rsidRPr="00B37C26">
        <w:rPr>
          <w:i/>
        </w:rPr>
        <w:t xml:space="preserve"> </w:t>
      </w:r>
      <w:r w:rsidR="00B37C26" w:rsidRPr="00B37C26">
        <w:rPr>
          <w:i/>
        </w:rPr>
        <w:t>From education to employment: how long does it take?</w:t>
      </w:r>
      <w:r w:rsidR="00D31CCD">
        <w:t xml:space="preserve"> </w:t>
      </w:r>
      <w:r>
        <w:t xml:space="preserve">in a paper for APEC and </w:t>
      </w:r>
      <w:r w:rsidR="00900B7F">
        <w:t xml:space="preserve">in </w:t>
      </w:r>
      <w:r>
        <w:t>a C</w:t>
      </w:r>
      <w:r w:rsidR="004C15E4">
        <w:t xml:space="preserve">abinet document </w:t>
      </w:r>
      <w:r>
        <w:t>addressing</w:t>
      </w:r>
      <w:r w:rsidR="00B37C26">
        <w:t xml:space="preserve"> disadvantaged youth. I</w:t>
      </w:r>
      <w:r w:rsidR="004C15E4">
        <w:t xml:space="preserve">n both cases the findings from the research were used to set the scene </w:t>
      </w:r>
      <w:r w:rsidR="00900B7F">
        <w:t>on</w:t>
      </w:r>
      <w:r w:rsidR="004C15E4">
        <w:t xml:space="preserve"> youth transitions. They noted that this kind of resear</w:t>
      </w:r>
      <w:r w:rsidR="00900B7F">
        <w:t xml:space="preserve">ch has an educational function, </w:t>
      </w:r>
      <w:r w:rsidR="00D9169B">
        <w:t xml:space="preserve">with </w:t>
      </w:r>
      <w:r w:rsidR="00900B7F">
        <w:t>the</w:t>
      </w:r>
      <w:r w:rsidR="0073773B">
        <w:t xml:space="preserve"> </w:t>
      </w:r>
      <w:r w:rsidR="00900B7F">
        <w:t xml:space="preserve">Department of Education, Employment and Workplace Relations </w:t>
      </w:r>
      <w:r w:rsidR="00D9169B">
        <w:t>commenting</w:t>
      </w:r>
      <w:r w:rsidR="00900B7F">
        <w:t xml:space="preserve"> about the Fitzpatrick et al. report that it ‘</w:t>
      </w:r>
      <w:r w:rsidR="004C15E4">
        <w:t>help</w:t>
      </w:r>
      <w:r w:rsidR="00900B7F">
        <w:t>[ed]</w:t>
      </w:r>
      <w:r w:rsidR="004C15E4">
        <w:t xml:space="preserve"> to keep people who make policy decisions better informed, but given the type of research question it may be unlikely to</w:t>
      </w:r>
      <w:r w:rsidR="00900B7F">
        <w:t xml:space="preserve"> lead directly to policy change’</w:t>
      </w:r>
      <w:r w:rsidR="004C15E4">
        <w:t>.</w:t>
      </w:r>
    </w:p>
    <w:p w:rsidR="00072F42" w:rsidRDefault="00A2304C" w:rsidP="004C15E4">
      <w:pPr>
        <w:pStyle w:val="Text"/>
      </w:pPr>
      <w:r>
        <w:lastRenderedPageBreak/>
        <w:t>All</w:t>
      </w:r>
      <w:r w:rsidR="004C15E4">
        <w:t xml:space="preserve"> people interviewed for this project recognised the difficulties inherent in </w:t>
      </w:r>
      <w:r w:rsidR="00D31CCD">
        <w:t xml:space="preserve">tracking </w:t>
      </w:r>
      <w:r w:rsidR="00D9169B">
        <w:t>the ways by which</w:t>
      </w:r>
      <w:r w:rsidR="00D31CCD">
        <w:t xml:space="preserve"> </w:t>
      </w:r>
      <w:r w:rsidR="004C15E4">
        <w:t xml:space="preserve">research directly or specifically </w:t>
      </w:r>
      <w:r w:rsidR="00E27BBE">
        <w:t>influences</w:t>
      </w:r>
      <w:r w:rsidR="00D31CCD">
        <w:t xml:space="preserve"> policy</w:t>
      </w:r>
      <w:r w:rsidR="00900B7F">
        <w:t>. One of the</w:t>
      </w:r>
      <w:r w:rsidR="004C15E4">
        <w:t xml:space="preserve"> NCVER staff member</w:t>
      </w:r>
      <w:r w:rsidR="00900B7F">
        <w:t>s</w:t>
      </w:r>
      <w:r w:rsidR="004C15E4">
        <w:t xml:space="preserve"> </w:t>
      </w:r>
      <w:r w:rsidR="00D9169B">
        <w:t>with oversight of the LSAY</w:t>
      </w:r>
      <w:r w:rsidR="004C15E4">
        <w:t xml:space="preserve"> program noted that the </w:t>
      </w:r>
      <w:r w:rsidR="00D31CCD">
        <w:t xml:space="preserve">primary stakeholder groups </w:t>
      </w:r>
      <w:r w:rsidR="00D31CCD" w:rsidRPr="00D9169B">
        <w:t>responsible</w:t>
      </w:r>
      <w:r w:rsidR="00D31CCD">
        <w:t xml:space="preserve"> for youth affairs are not a cohesive group</w:t>
      </w:r>
      <w:r w:rsidR="004C15E4">
        <w:t>. This presents additional challenges in terms of reaching the</w:t>
      </w:r>
      <w:r w:rsidR="00D31CCD">
        <w:t xml:space="preserve"> various</w:t>
      </w:r>
      <w:r w:rsidR="004C15E4">
        <w:t xml:space="preserve"> target audience</w:t>
      </w:r>
      <w:r w:rsidR="00D31CCD">
        <w:t>s</w:t>
      </w:r>
      <w:r w:rsidR="004C15E4">
        <w:t>. On the other hand</w:t>
      </w:r>
      <w:r w:rsidR="00D9169B">
        <w:t>,</w:t>
      </w:r>
      <w:r w:rsidR="004C15E4">
        <w:t xml:space="preserve"> </w:t>
      </w:r>
      <w:r w:rsidR="00072F42">
        <w:t xml:space="preserve">research </w:t>
      </w:r>
      <w:r w:rsidR="004C15E4">
        <w:t>finding</w:t>
      </w:r>
      <w:r w:rsidR="00072F42">
        <w:t>s</w:t>
      </w:r>
      <w:r w:rsidR="004C15E4">
        <w:t xml:space="preserve"> relating to youth issues resonate well </w:t>
      </w:r>
      <w:r w:rsidR="00E27BBE">
        <w:t>with the</w:t>
      </w:r>
      <w:r w:rsidR="004C15E4">
        <w:t xml:space="preserve"> media</w:t>
      </w:r>
      <w:r w:rsidR="00900B7F">
        <w:t>,</w:t>
      </w:r>
      <w:r w:rsidR="004C15E4">
        <w:t xml:space="preserve"> </w:t>
      </w:r>
      <w:r w:rsidR="00E27BBE">
        <w:t xml:space="preserve">which gave good </w:t>
      </w:r>
      <w:r w:rsidR="004C15E4">
        <w:t xml:space="preserve">coverage </w:t>
      </w:r>
      <w:r w:rsidR="00E27BBE">
        <w:t>to</w:t>
      </w:r>
      <w:r w:rsidR="004C15E4">
        <w:t xml:space="preserve"> </w:t>
      </w:r>
      <w:r w:rsidR="00072F42">
        <w:t>some</w:t>
      </w:r>
      <w:r w:rsidR="004C15E4">
        <w:t xml:space="preserve"> of the research reports. </w:t>
      </w:r>
    </w:p>
    <w:p w:rsidR="004C15E4" w:rsidRDefault="00D31CCD" w:rsidP="004C15E4">
      <w:pPr>
        <w:pStyle w:val="Text"/>
      </w:pPr>
      <w:r>
        <w:t>This</w:t>
      </w:r>
      <w:r w:rsidR="004C15E4">
        <w:t xml:space="preserve"> study was undertaken only 12 months after the final research report from the </w:t>
      </w:r>
      <w:r w:rsidR="00072F42">
        <w:t xml:space="preserve">LSAY RIEF suite was published. </w:t>
      </w:r>
      <w:r w:rsidR="00E27BBE">
        <w:t xml:space="preserve">It is possible its impact on policy is yet to </w:t>
      </w:r>
      <w:r w:rsidR="00D9169B">
        <w:t>eventuate</w:t>
      </w:r>
      <w:r w:rsidR="004C15E4">
        <w:t>.</w:t>
      </w:r>
    </w:p>
    <w:p w:rsidR="004C15E4" w:rsidRDefault="004C15E4" w:rsidP="004C15E4">
      <w:pPr>
        <w:pStyle w:val="Text"/>
      </w:pPr>
      <w:r>
        <w:t xml:space="preserve">Regardless, several </w:t>
      </w:r>
      <w:r w:rsidR="00D31CCD">
        <w:t xml:space="preserve">end-users </w:t>
      </w:r>
      <w:r>
        <w:t xml:space="preserve">commented on the key findings </w:t>
      </w:r>
      <w:r w:rsidR="00900B7F">
        <w:t xml:space="preserve">from the research </w:t>
      </w:r>
      <w:r w:rsidR="00D9169B">
        <w:t xml:space="preserve">as </w:t>
      </w:r>
      <w:r w:rsidR="00900B7F">
        <w:t>being useful —</w:t>
      </w:r>
      <w:r>
        <w:t xml:space="preserve"> </w:t>
      </w:r>
      <w:r w:rsidR="00D9169B">
        <w:t xml:space="preserve">in </w:t>
      </w:r>
      <w:r>
        <w:t xml:space="preserve">either </w:t>
      </w:r>
      <w:r w:rsidR="00900B7F">
        <w:t>providing</w:t>
      </w:r>
      <w:r>
        <w:t xml:space="preserve"> new information and concepts or strengthen</w:t>
      </w:r>
      <w:r w:rsidR="00900B7F">
        <w:t>ing and validating</w:t>
      </w:r>
      <w:r>
        <w:t xml:space="preserve"> the case for existing policies. They also noted that the forum was accessible to people from a policy background. One end-user stated:</w:t>
      </w:r>
    </w:p>
    <w:p w:rsidR="004C15E4" w:rsidRDefault="00900B7F" w:rsidP="00862C69">
      <w:pPr>
        <w:pStyle w:val="Quote"/>
      </w:pPr>
      <w:r>
        <w:t>T</w:t>
      </w:r>
      <w:r w:rsidR="004C15E4">
        <w:t>he more informed you are about the issues then the better you can influence policy, so rather than being able to provide specific examples it is more about the underpinning knowledge gained from the research that</w:t>
      </w:r>
      <w:r w:rsidR="00D31CCD">
        <w:t xml:space="preserve"> you take to the policy debate</w:t>
      </w:r>
      <w:r>
        <w:t>.</w:t>
      </w:r>
      <w:r w:rsidR="00CD793E">
        <w:br/>
      </w:r>
      <w:r>
        <w:tab/>
      </w:r>
      <w:r w:rsidR="004C15E4">
        <w:t>(Highlands Local L</w:t>
      </w:r>
      <w:r>
        <w:t>earning and Employment Network)</w:t>
      </w:r>
    </w:p>
    <w:p w:rsidR="004C15E4" w:rsidRDefault="004C15E4" w:rsidP="007830D8">
      <w:pPr>
        <w:pStyle w:val="Heading2"/>
      </w:pPr>
      <w:bookmarkStart w:id="48" w:name="_Toc329613261"/>
      <w:r>
        <w:t>Contributing to practice</w:t>
      </w:r>
      <w:bookmarkEnd w:id="48"/>
    </w:p>
    <w:p w:rsidR="004C15E4" w:rsidRDefault="004C15E4" w:rsidP="004C15E4">
      <w:pPr>
        <w:pStyle w:val="Text"/>
      </w:pPr>
      <w:r>
        <w:t xml:space="preserve">A couple of the end-users were able to </w:t>
      </w:r>
      <w:r w:rsidR="00D31CCD">
        <w:t>cite</w:t>
      </w:r>
      <w:r>
        <w:t xml:space="preserve"> examples of where the research has influenced or informed practice. </w:t>
      </w:r>
    </w:p>
    <w:p w:rsidR="004C15E4" w:rsidRDefault="004C15E4" w:rsidP="004C15E4">
      <w:pPr>
        <w:pStyle w:val="Text"/>
      </w:pPr>
      <w:r>
        <w:t>In one case it informed the way the Trade Training Centre</w:t>
      </w:r>
      <w:r w:rsidR="0073773B">
        <w:t>s</w:t>
      </w:r>
      <w:r>
        <w:t xml:space="preserve"> at Polytechnic Tasmania </w:t>
      </w:r>
      <w:r w:rsidR="00900B7F">
        <w:t>established</w:t>
      </w:r>
      <w:r>
        <w:t xml:space="preserve"> partnerships between training providers and regional schools. The research also had practical implications for supporting students and for how vocational education in schools</w:t>
      </w:r>
      <w:r w:rsidR="00546FC8">
        <w:t xml:space="preserve"> could be set up</w:t>
      </w:r>
      <w:r>
        <w:t>.</w:t>
      </w:r>
    </w:p>
    <w:p w:rsidR="004C15E4" w:rsidRDefault="004C15E4" w:rsidP="004C15E4">
      <w:pPr>
        <w:pStyle w:val="Text"/>
      </w:pPr>
      <w:r w:rsidRPr="00FB581B">
        <w:t>In another case</w:t>
      </w:r>
      <w:r w:rsidR="00D9169B">
        <w:t>,</w:t>
      </w:r>
      <w:r w:rsidRPr="00FB581B">
        <w:t xml:space="preserve"> </w:t>
      </w:r>
      <w:r w:rsidR="00546FC8">
        <w:t>an</w:t>
      </w:r>
      <w:r w:rsidR="00D9169B">
        <w:t xml:space="preserve"> end-user believed</w:t>
      </w:r>
      <w:r w:rsidR="00FB581B" w:rsidRPr="00FB581B">
        <w:t xml:space="preserve"> </w:t>
      </w:r>
      <w:r w:rsidR="00546FC8">
        <w:t xml:space="preserve">that </w:t>
      </w:r>
      <w:r w:rsidR="00FB581B" w:rsidRPr="00FB581B">
        <w:t>the research has</w:t>
      </w:r>
      <w:r w:rsidRPr="00FB581B">
        <w:t xml:space="preserve"> informed the Youth Partnerships Initiative, of which the North Central Local Learning and Employment Network is one of eight trial sites. </w:t>
      </w:r>
      <w:r w:rsidR="00FB581B" w:rsidRPr="00FB581B">
        <w:t>The Youth Partners</w:t>
      </w:r>
      <w:r w:rsidR="00546FC8">
        <w:t>hips Initiative is a Victorian G</w:t>
      </w:r>
      <w:r w:rsidR="00FB581B" w:rsidRPr="00FB581B">
        <w:t xml:space="preserve">overnment </w:t>
      </w:r>
      <w:r w:rsidR="00FB581B">
        <w:t xml:space="preserve">program aimed at </w:t>
      </w:r>
      <w:r w:rsidR="00FB581B" w:rsidRPr="00FB581B">
        <w:t>design</w:t>
      </w:r>
      <w:r w:rsidR="00FB581B">
        <w:t>ing</w:t>
      </w:r>
      <w:r w:rsidR="00FB581B" w:rsidRPr="00FB581B">
        <w:t xml:space="preserve"> and test</w:t>
      </w:r>
      <w:r w:rsidR="00FB581B">
        <w:t>ing</w:t>
      </w:r>
      <w:r w:rsidR="00FB581B" w:rsidRPr="00FB581B">
        <w:t xml:space="preserve"> new ways for the education, youth and family support, justice, homelessness and mental health sectors to work more collaboratively to support individual young people experiencing problems</w:t>
      </w:r>
      <w:r w:rsidR="00FB581B">
        <w:t>.</w:t>
      </w:r>
      <w:r w:rsidR="00FB581B" w:rsidRPr="00FB581B">
        <w:t xml:space="preserve"> </w:t>
      </w:r>
      <w:r w:rsidRPr="00FB581B">
        <w:t xml:space="preserve">In particular </w:t>
      </w:r>
      <w:r w:rsidR="00FB581B">
        <w:t>the LSAY research was</w:t>
      </w:r>
      <w:r w:rsidRPr="00FB581B">
        <w:t xml:space="preserve"> used to </w:t>
      </w:r>
      <w:r w:rsidR="00546FC8">
        <w:t>refine</w:t>
      </w:r>
      <w:r w:rsidRPr="00FB581B">
        <w:t xml:space="preserve"> the definition of vulnerability and to inform specific project development. This end-user also advised they are aware</w:t>
      </w:r>
      <w:r>
        <w:t xml:space="preserve"> generally of the LSAY research being referenced in numerous publications, for example</w:t>
      </w:r>
      <w:r w:rsidR="00546FC8">
        <w:t>,</w:t>
      </w:r>
      <w:r>
        <w:t xml:space="preserve"> those </w:t>
      </w:r>
      <w:r w:rsidR="00546FC8">
        <w:t>emerging from</w:t>
      </w:r>
      <w:r>
        <w:t xml:space="preserve"> the Youth Affairs Council of Victoria.</w:t>
      </w:r>
    </w:p>
    <w:p w:rsidR="007E69B3" w:rsidRDefault="007E69B3" w:rsidP="004C15E4">
      <w:pPr>
        <w:pStyle w:val="Text"/>
      </w:pPr>
      <w:r>
        <w:t xml:space="preserve">Following his presentation at the </w:t>
      </w:r>
      <w:r w:rsidR="00122C76">
        <w:t>y</w:t>
      </w:r>
      <w:r>
        <w:t xml:space="preserve">outh </w:t>
      </w:r>
      <w:r w:rsidR="00122C76">
        <w:t>p</w:t>
      </w:r>
      <w:r>
        <w:t xml:space="preserve">olicy </w:t>
      </w:r>
      <w:r w:rsidR="00122C76">
        <w:t>f</w:t>
      </w:r>
      <w:r>
        <w:t>orum</w:t>
      </w:r>
      <w:r w:rsidR="00D9169B">
        <w:t>,</w:t>
      </w:r>
      <w:r>
        <w:t xml:space="preserve"> Mike Dockery was asked to present </w:t>
      </w:r>
      <w:r w:rsidR="00546FC8">
        <w:t>at</w:t>
      </w:r>
      <w:r>
        <w:t xml:space="preserve"> several practitioner networks</w:t>
      </w:r>
      <w:r w:rsidR="00546FC8">
        <w:t>,</w:t>
      </w:r>
      <w:r>
        <w:t xml:space="preserve"> includin</w:t>
      </w:r>
      <w:r w:rsidR="00546FC8">
        <w:t>g VETn</w:t>
      </w:r>
      <w:r>
        <w:t>etwork and the Career Development Association of Australia.</w:t>
      </w:r>
      <w:r w:rsidR="00A32CDD">
        <w:t xml:space="preserve"> The VETnetwork professional development event</w:t>
      </w:r>
      <w:r w:rsidR="002A285F">
        <w:t>, ‘School to work transitions’ held</w:t>
      </w:r>
      <w:r w:rsidR="0073773B">
        <w:t xml:space="preserve"> </w:t>
      </w:r>
      <w:r w:rsidR="002A285F">
        <w:t>in Perth in August 2011,</w:t>
      </w:r>
      <w:r w:rsidR="00A32CDD">
        <w:t xml:space="preserve"> attracted 40 participants from TAFE</w:t>
      </w:r>
      <w:r w:rsidR="003654B4">
        <w:t xml:space="preserve"> institute</w:t>
      </w:r>
      <w:r w:rsidR="002A285F">
        <w:t xml:space="preserve">s, </w:t>
      </w:r>
      <w:r w:rsidR="00A32CDD">
        <w:t>government schools, education departments and group training organisations across metropolitan an</w:t>
      </w:r>
      <w:r w:rsidR="00122C76">
        <w:t xml:space="preserve">d regional areas. It is an </w:t>
      </w:r>
      <w:r w:rsidR="00A32CDD">
        <w:t xml:space="preserve">example of the ‘spin-offs’ generated from </w:t>
      </w:r>
      <w:r w:rsidR="00122C76">
        <w:t>a presentation at one</w:t>
      </w:r>
      <w:r w:rsidR="00A32CDD">
        <w:t xml:space="preserve"> event and </w:t>
      </w:r>
      <w:r w:rsidR="003654B4">
        <w:t xml:space="preserve">how </w:t>
      </w:r>
      <w:r w:rsidR="00A32CDD">
        <w:t>research finding</w:t>
      </w:r>
      <w:r w:rsidR="00122C76">
        <w:t>s</w:t>
      </w:r>
      <w:r w:rsidR="00A32CDD">
        <w:t xml:space="preserve"> </w:t>
      </w:r>
      <w:r w:rsidR="003654B4">
        <w:t xml:space="preserve">can be extended </w:t>
      </w:r>
      <w:r w:rsidR="00A32CDD">
        <w:t>to people ‘on the ground’.</w:t>
      </w:r>
    </w:p>
    <w:p w:rsidR="004C15E4" w:rsidRDefault="004C15E4" w:rsidP="004C15E4">
      <w:pPr>
        <w:pStyle w:val="Text"/>
      </w:pPr>
      <w:r>
        <w:t>Some of the end-users commented that</w:t>
      </w:r>
      <w:r w:rsidR="00D9169B">
        <w:t>,</w:t>
      </w:r>
      <w:r>
        <w:t xml:space="preserve"> rather than directly influencing </w:t>
      </w:r>
      <w:r w:rsidR="00072F42">
        <w:t xml:space="preserve">a change in </w:t>
      </w:r>
      <w:r>
        <w:t>practice</w:t>
      </w:r>
      <w:r w:rsidR="00D9169B">
        <w:t>,</w:t>
      </w:r>
      <w:r>
        <w:t xml:space="preserve"> the research may be used </w:t>
      </w:r>
      <w:r w:rsidR="00072F42">
        <w:t>primarily for information. In part</w:t>
      </w:r>
      <w:r w:rsidR="003654B4">
        <w:t>,</w:t>
      </w:r>
      <w:r w:rsidR="00072F42">
        <w:t xml:space="preserve"> this is a reflection on</w:t>
      </w:r>
      <w:r>
        <w:t xml:space="preserve"> the timeliness of the research</w:t>
      </w:r>
      <w:r w:rsidR="003654B4">
        <w:t>,</w:t>
      </w:r>
      <w:r>
        <w:t xml:space="preserve"> </w:t>
      </w:r>
      <w:r w:rsidR="00072F42">
        <w:t xml:space="preserve">with </w:t>
      </w:r>
      <w:r>
        <w:t xml:space="preserve">one end-user </w:t>
      </w:r>
      <w:r w:rsidR="003654B4">
        <w:t>commenting that,</w:t>
      </w:r>
      <w:r w:rsidR="00F60B28">
        <w:t xml:space="preserve"> ‘</w:t>
      </w:r>
      <w:r>
        <w:t>while the research is interesting we are already aware of the issues an</w:t>
      </w:r>
      <w:r w:rsidR="003654B4">
        <w:t>d taking measures to address it’</w:t>
      </w:r>
      <w:r>
        <w:t>.</w:t>
      </w:r>
    </w:p>
    <w:p w:rsidR="00DD6FE3" w:rsidRDefault="00DD6FE3" w:rsidP="00DD6FE3">
      <w:pPr>
        <w:pStyle w:val="Text"/>
      </w:pPr>
      <w:r>
        <w:lastRenderedPageBreak/>
        <w:t xml:space="preserve">Many continue to engage with the research and share that knowledge by drawing other people’s attention to the research findings, either via informal processes or specific </w:t>
      </w:r>
      <w:r w:rsidR="003654B4">
        <w:t>references in papers and policy-</w:t>
      </w:r>
      <w:r>
        <w:t xml:space="preserve">related documents. Several were able to cite specific examples of how they have subsequently used the knowledge gained from the </w:t>
      </w:r>
      <w:r w:rsidR="002A285F">
        <w:t>youth policy forum</w:t>
      </w:r>
      <w:r w:rsidR="006D6F38">
        <w:t xml:space="preserve"> and the research, for example</w:t>
      </w:r>
      <w:r w:rsidR="003654B4">
        <w:t>, to</w:t>
      </w:r>
      <w:r w:rsidR="006D6F38">
        <w:t xml:space="preserve"> promot</w:t>
      </w:r>
      <w:r w:rsidR="003654B4">
        <w:t>e</w:t>
      </w:r>
      <w:r w:rsidR="006D6F38">
        <w:t xml:space="preserve"> </w:t>
      </w:r>
      <w:r>
        <w:t xml:space="preserve">the research findings to the principals and deputy principals of the schools they work with. </w:t>
      </w:r>
    </w:p>
    <w:p w:rsidR="00DD6FE3" w:rsidRDefault="00DD6FE3" w:rsidP="004C15E4">
      <w:pPr>
        <w:pStyle w:val="Text"/>
      </w:pPr>
    </w:p>
    <w:p w:rsidR="00DA4D95" w:rsidRDefault="00DA4D95" w:rsidP="00DA4D95">
      <w:pPr>
        <w:pStyle w:val="Heading1"/>
      </w:pPr>
      <w:r>
        <w:br w:type="page"/>
      </w:r>
      <w:bookmarkStart w:id="49" w:name="_Toc329613262"/>
      <w:r w:rsidRPr="00DD6FE3">
        <w:lastRenderedPageBreak/>
        <w:t>Conclusion</w:t>
      </w:r>
      <w:bookmarkEnd w:id="49"/>
    </w:p>
    <w:p w:rsidR="00DA4D95" w:rsidRDefault="00DA4D95" w:rsidP="00CD793E">
      <w:pPr>
        <w:pStyle w:val="Text"/>
        <w:ind w:right="-143"/>
      </w:pPr>
      <w:r>
        <w:t xml:space="preserve">The overall purpose of the </w:t>
      </w:r>
      <w:r w:rsidR="003654B4">
        <w:t>program of activities associated with the Research Innovation and Expansion</w:t>
      </w:r>
      <w:r w:rsidR="00CD793E">
        <w:t> </w:t>
      </w:r>
      <w:r w:rsidR="003654B4">
        <w:t>Fund</w:t>
      </w:r>
      <w:r>
        <w:t xml:space="preserve"> </w:t>
      </w:r>
      <w:r w:rsidR="003654B4">
        <w:t xml:space="preserve">was to increase </w:t>
      </w:r>
      <w:r>
        <w:t xml:space="preserve">the quantity, quality, distribution and accessibility of independent research and analysis </w:t>
      </w:r>
      <w:r w:rsidR="0031283C">
        <w:t>using</w:t>
      </w:r>
      <w:r w:rsidR="003654B4">
        <w:t xml:space="preserve"> the</w:t>
      </w:r>
      <w:r>
        <w:t xml:space="preserve"> LSAY data</w:t>
      </w:r>
      <w:r w:rsidR="00F00F1D">
        <w:t>, particularly in</w:t>
      </w:r>
      <w:r w:rsidR="003654B4" w:rsidRPr="003654B4">
        <w:t xml:space="preserve"> </w:t>
      </w:r>
      <w:r w:rsidR="003654B4">
        <w:t>the academic and public policy communities</w:t>
      </w:r>
      <w:r>
        <w:t xml:space="preserve">. </w:t>
      </w:r>
    </w:p>
    <w:p w:rsidR="00DD6FE3" w:rsidRDefault="00862C69" w:rsidP="00DD6FE3">
      <w:pPr>
        <w:pStyle w:val="Text"/>
      </w:pPr>
      <w:r>
        <w:t>This study has shown</w:t>
      </w:r>
      <w:r w:rsidR="00F00F1D">
        <w:t xml:space="preserve"> that</w:t>
      </w:r>
      <w:r>
        <w:t xml:space="preserve"> the RIEF has provided the opportunity to create a more self-sustaining critical mass of researchers </w:t>
      </w:r>
      <w:r w:rsidR="0031283C">
        <w:t>with</w:t>
      </w:r>
      <w:r w:rsidR="00F00F1D">
        <w:t xml:space="preserve"> a relationship </w:t>
      </w:r>
      <w:r w:rsidR="0031283C">
        <w:t>to</w:t>
      </w:r>
      <w:r w:rsidR="00F00F1D">
        <w:t xml:space="preserve"> LSAY,</w:t>
      </w:r>
      <w:r w:rsidR="00D13B4F">
        <w:t xml:space="preserve"> </w:t>
      </w:r>
      <w:r w:rsidR="0031283C">
        <w:t>with</w:t>
      </w:r>
      <w:r w:rsidR="00DA4D95">
        <w:t xml:space="preserve"> the majority of researchers funded in the analysis grants program </w:t>
      </w:r>
      <w:r w:rsidR="00F00F1D">
        <w:t>being</w:t>
      </w:r>
      <w:r w:rsidR="00DA4D95">
        <w:t xml:space="preserve"> new to </w:t>
      </w:r>
      <w:r w:rsidR="00F00F1D">
        <w:t xml:space="preserve">research </w:t>
      </w:r>
      <w:r w:rsidR="0031283C">
        <w:t>making use of</w:t>
      </w:r>
      <w:r w:rsidR="00DA4D95">
        <w:t xml:space="preserve"> LSAY data. </w:t>
      </w:r>
      <w:r w:rsidR="00F00F1D">
        <w:t>Six high-quality</w:t>
      </w:r>
      <w:r w:rsidR="00DD6FE3">
        <w:t xml:space="preserve"> independent research reports </w:t>
      </w:r>
      <w:r w:rsidR="00F00F1D">
        <w:t>that made use of</w:t>
      </w:r>
      <w:r w:rsidR="00DD6FE3">
        <w:t xml:space="preserve"> LSAY data were published as a direct result. </w:t>
      </w:r>
    </w:p>
    <w:p w:rsidR="00DD6FE3" w:rsidRDefault="00DD6FE3" w:rsidP="00DD6FE3">
      <w:pPr>
        <w:pStyle w:val="Text"/>
      </w:pPr>
      <w:r>
        <w:t xml:space="preserve">The published reports subsequently led to researchers from other organisations, nationally and internationally, exploring </w:t>
      </w:r>
      <w:r w:rsidR="003F0933">
        <w:t>the ways by which</w:t>
      </w:r>
      <w:r>
        <w:t xml:space="preserve"> LSAY data could be used. The citation analysis and interviews with researchers revealed several examples of other research teams or the researchers themselves continuing their work on LSAY data. Some of these research projects combine LSAY with other relevant sources such as </w:t>
      </w:r>
      <w:r w:rsidR="003F0933">
        <w:t>the Household, Income and Labour Dynamics in Australia (</w:t>
      </w:r>
      <w:r>
        <w:t>HILDA</w:t>
      </w:r>
      <w:r w:rsidR="003F0933">
        <w:t>) Survey</w:t>
      </w:r>
      <w:r>
        <w:t xml:space="preserve"> and NCVER data.</w:t>
      </w:r>
    </w:p>
    <w:p w:rsidR="00DD6FE3" w:rsidRDefault="00DA4D95" w:rsidP="00DA4D95">
      <w:pPr>
        <w:pStyle w:val="Text"/>
      </w:pPr>
      <w:r>
        <w:t xml:space="preserve">The </w:t>
      </w:r>
      <w:r w:rsidR="0031283C" w:rsidRPr="0031283C">
        <w:t>youth policy forum</w:t>
      </w:r>
      <w:r w:rsidR="0031283C">
        <w:t xml:space="preserve"> </w:t>
      </w:r>
      <w:r>
        <w:t xml:space="preserve">and data workshops reached a wide range of academic, public policy and practitioner communities. The end-users interviewed for this project varied in their knowledge about LSAY and the research reports. One had been involved </w:t>
      </w:r>
      <w:r w:rsidR="003F0933">
        <w:t>with LSAY for over ten years, while</w:t>
      </w:r>
      <w:r>
        <w:t xml:space="preserve"> others were exposed to LSAY and the research for the first time through </w:t>
      </w:r>
      <w:r w:rsidR="003F0933">
        <w:t xml:space="preserve">their </w:t>
      </w:r>
      <w:r>
        <w:t>attend</w:t>
      </w:r>
      <w:r w:rsidR="003F0933">
        <w:t>ance at</w:t>
      </w:r>
      <w:r>
        <w:t xml:space="preserve"> the forum. All commented that the forum was a great opportunity to engage directly with the researchers, explore additional questions and other work</w:t>
      </w:r>
      <w:r w:rsidR="003F0933">
        <w:t>,</w:t>
      </w:r>
      <w:r>
        <w:t xml:space="preserve"> as well as establish networks and collaborations. </w:t>
      </w:r>
    </w:p>
    <w:p w:rsidR="00DA4D95" w:rsidRDefault="0031283C" w:rsidP="00DA4D95">
      <w:pPr>
        <w:pStyle w:val="Text"/>
      </w:pPr>
      <w:r>
        <w:t>The e</w:t>
      </w:r>
      <w:r w:rsidR="00DA4D95">
        <w:t xml:space="preserve">nd-users of the research in this study identified examples of </w:t>
      </w:r>
      <w:r w:rsidR="00E01D75">
        <w:t xml:space="preserve">how the research findings have been </w:t>
      </w:r>
      <w:r w:rsidR="00DA4D95">
        <w:t>promot</w:t>
      </w:r>
      <w:r w:rsidR="00E01D75">
        <w:t>ed</w:t>
      </w:r>
      <w:r w:rsidR="00DA4D95">
        <w:t xml:space="preserve"> </w:t>
      </w:r>
      <w:r w:rsidR="00DD6FE3">
        <w:t xml:space="preserve">to broader networks and </w:t>
      </w:r>
      <w:r w:rsidR="00E01D75">
        <w:t xml:space="preserve">how </w:t>
      </w:r>
      <w:r w:rsidR="00DA4D95">
        <w:t xml:space="preserve">the LSAY data </w:t>
      </w:r>
      <w:r w:rsidR="00E01D75">
        <w:t xml:space="preserve">have been used </w:t>
      </w:r>
      <w:r w:rsidR="00DA4D95">
        <w:t>for youth transition researc</w:t>
      </w:r>
      <w:r w:rsidR="00E01D75">
        <w:t xml:space="preserve">h </w:t>
      </w:r>
      <w:r w:rsidR="00DD6FE3">
        <w:t xml:space="preserve">in </w:t>
      </w:r>
      <w:r w:rsidR="00DA4D95">
        <w:t>their own practice.</w:t>
      </w:r>
      <w:r w:rsidR="0073773B">
        <w:t xml:space="preserve"> </w:t>
      </w:r>
    </w:p>
    <w:p w:rsidR="00D13B4F" w:rsidRPr="000B223C" w:rsidRDefault="00A32CDD" w:rsidP="000B223C">
      <w:pPr>
        <w:pStyle w:val="Text"/>
      </w:pPr>
      <w:r w:rsidRPr="000B223C">
        <w:t xml:space="preserve">The </w:t>
      </w:r>
      <w:r w:rsidR="00E01D75">
        <w:t>Research Innovation and Expansion Fund</w:t>
      </w:r>
      <w:r w:rsidRPr="000B223C">
        <w:t xml:space="preserve"> </w:t>
      </w:r>
      <w:r w:rsidR="0031283C">
        <w:t>deliberately</w:t>
      </w:r>
      <w:r w:rsidRPr="000B223C">
        <w:t xml:space="preserve"> adopted a </w:t>
      </w:r>
      <w:r w:rsidR="0031283C">
        <w:t xml:space="preserve">research </w:t>
      </w:r>
      <w:r w:rsidRPr="000B223C">
        <w:t>model similar to that of</w:t>
      </w:r>
      <w:r w:rsidR="00CD793E">
        <w:t> </w:t>
      </w:r>
      <w:r w:rsidRPr="000B223C">
        <w:t xml:space="preserve">the National Vocational Education and Training Research </w:t>
      </w:r>
      <w:r w:rsidR="00E27BBE" w:rsidRPr="000B223C">
        <w:t xml:space="preserve">and Evaluation </w:t>
      </w:r>
      <w:r w:rsidR="0031283C">
        <w:t>P</w:t>
      </w:r>
      <w:r w:rsidRPr="000B223C">
        <w:t>rogram</w:t>
      </w:r>
      <w:r w:rsidR="0031283C">
        <w:t>; that is, the external</w:t>
      </w:r>
      <w:r w:rsidR="0031283C" w:rsidRPr="000B223C">
        <w:t xml:space="preserve"> commissioning </w:t>
      </w:r>
      <w:r w:rsidR="0031283C">
        <w:t xml:space="preserve">of </w:t>
      </w:r>
      <w:r w:rsidR="0031283C" w:rsidRPr="000B223C">
        <w:t>research</w:t>
      </w:r>
      <w:r w:rsidR="00E01D75">
        <w:t>.</w:t>
      </w:r>
      <w:r w:rsidR="004749AC" w:rsidRPr="00E01D75">
        <w:rPr>
          <w:rStyle w:val="FootnoteReference"/>
        </w:rPr>
        <w:footnoteReference w:id="9"/>
      </w:r>
      <w:r w:rsidRPr="000B223C">
        <w:t xml:space="preserve"> This </w:t>
      </w:r>
      <w:r w:rsidR="0031283C">
        <w:t>was seen as a positive model, with</w:t>
      </w:r>
      <w:r w:rsidRPr="000B223C">
        <w:t xml:space="preserve"> one </w:t>
      </w:r>
      <w:r w:rsidR="00F07919">
        <w:t xml:space="preserve">person from the </w:t>
      </w:r>
      <w:r w:rsidR="00E01D75">
        <w:t>Department</w:t>
      </w:r>
      <w:r w:rsidR="00F07919">
        <w:t xml:space="preserve"> of Education, Employment and Workplace Relations</w:t>
      </w:r>
      <w:r w:rsidR="00E01D75">
        <w:t xml:space="preserve"> </w:t>
      </w:r>
      <w:r w:rsidRPr="000B223C">
        <w:t>express</w:t>
      </w:r>
      <w:r w:rsidR="0031283C">
        <w:t>ing</w:t>
      </w:r>
      <w:r w:rsidRPr="000B223C">
        <w:t xml:space="preserve"> the view that</w:t>
      </w:r>
      <w:r w:rsidR="00F07919">
        <w:t>,</w:t>
      </w:r>
      <w:r w:rsidRPr="000B223C">
        <w:t xml:space="preserve"> given </w:t>
      </w:r>
      <w:r w:rsidR="0031283C">
        <w:t xml:space="preserve">that </w:t>
      </w:r>
      <w:r w:rsidRPr="000B223C">
        <w:t>the RIEF resulted in a broader range of academic res</w:t>
      </w:r>
      <w:r w:rsidR="00F07919">
        <w:t>earchers engaging with LSAY,</w:t>
      </w:r>
      <w:r w:rsidRPr="000B223C">
        <w:t xml:space="preserve"> this model could </w:t>
      </w:r>
      <w:r w:rsidR="00E27BBE" w:rsidRPr="000B223C">
        <w:t>be</w:t>
      </w:r>
      <w:r w:rsidR="00CD793E">
        <w:t> </w:t>
      </w:r>
      <w:r w:rsidR="00E27BBE" w:rsidRPr="000B223C">
        <w:t>replicated</w:t>
      </w:r>
      <w:r w:rsidRPr="000B223C">
        <w:t xml:space="preserve">. </w:t>
      </w:r>
      <w:r w:rsidR="00DF5A33" w:rsidRPr="000B223C">
        <w:t xml:space="preserve">Independent evaluations of the LSAY program </w:t>
      </w:r>
      <w:r w:rsidR="0031283C">
        <w:t xml:space="preserve">conducted </w:t>
      </w:r>
      <w:r w:rsidR="00DF5A33" w:rsidRPr="000B223C">
        <w:t xml:space="preserve">for </w:t>
      </w:r>
      <w:r w:rsidR="00F07919">
        <w:t>the department</w:t>
      </w:r>
      <w:r w:rsidR="00DF5A33" w:rsidRPr="000B223C">
        <w:t xml:space="preserve"> also highlighted the success of the RIEF in enabling a wider range of researchers to access and use</w:t>
      </w:r>
      <w:r w:rsidR="00D13B4F" w:rsidRPr="000B223C">
        <w:t xml:space="preserve"> the LSAY data.</w:t>
      </w:r>
    </w:p>
    <w:p w:rsidR="00DA4D95" w:rsidRDefault="00DA4D95" w:rsidP="00DA4D95">
      <w:pPr>
        <w:pStyle w:val="Text"/>
      </w:pPr>
      <w:r>
        <w:t>The data wor</w:t>
      </w:r>
      <w:r w:rsidR="00F07919">
        <w:t>kshops and the concomitant</w:t>
      </w:r>
      <w:r>
        <w:t xml:space="preserve"> ability to work closely with NCVER staff enabled researchers to develop capabilities in terms of </w:t>
      </w:r>
      <w:r w:rsidR="00F07919">
        <w:t>both research</w:t>
      </w:r>
      <w:r>
        <w:t xml:space="preserve"> with longitudinal data and </w:t>
      </w:r>
      <w:r w:rsidR="00F07919">
        <w:t>the adoption</w:t>
      </w:r>
      <w:r>
        <w:t xml:space="preserve"> of more complex or innovative forms of analysis. </w:t>
      </w:r>
      <w:r w:rsidR="00F07919">
        <w:t xml:space="preserve">The fellowship recipient, who moved </w:t>
      </w:r>
      <w:r>
        <w:t>from a purely qualitative research background to quantitative methodologies</w:t>
      </w:r>
      <w:r w:rsidR="00F07919">
        <w:t>, is a case in point</w:t>
      </w:r>
      <w:r>
        <w:t>.</w:t>
      </w:r>
    </w:p>
    <w:p w:rsidR="00E93297" w:rsidRDefault="004C15E4" w:rsidP="004C15E4">
      <w:pPr>
        <w:pStyle w:val="Text"/>
      </w:pPr>
      <w:r>
        <w:t xml:space="preserve">Several researchers and end-users commented </w:t>
      </w:r>
      <w:r w:rsidR="00F07919">
        <w:t xml:space="preserve">that </w:t>
      </w:r>
      <w:r>
        <w:t xml:space="preserve">the LSAY data </w:t>
      </w:r>
      <w:r w:rsidR="0031283C">
        <w:t>require</w:t>
      </w:r>
      <w:r>
        <w:t xml:space="preserve"> a </w:t>
      </w:r>
      <w:r w:rsidR="00F07919">
        <w:t>substantial amount</w:t>
      </w:r>
      <w:r>
        <w:t xml:space="preserve"> of promotional work</w:t>
      </w:r>
      <w:r w:rsidR="00F07919">
        <w:t>,</w:t>
      </w:r>
      <w:r>
        <w:t xml:space="preserve"> as </w:t>
      </w:r>
      <w:r w:rsidR="0031283C">
        <w:t>the dataset</w:t>
      </w:r>
      <w:r>
        <w:t xml:space="preserve"> is not well known. Some were surprised that it is not used more often. </w:t>
      </w:r>
      <w:r w:rsidR="00F07919">
        <w:t>Another</w:t>
      </w:r>
      <w:r>
        <w:t xml:space="preserve"> stated that social science students are not oriented towards the use of survey data as </w:t>
      </w:r>
      <w:r>
        <w:lastRenderedPageBreak/>
        <w:t>part of their research training, so there is a need to specifically promote the use of LSAY as a good source of information (for example</w:t>
      </w:r>
      <w:r w:rsidR="00C85283">
        <w:t>,</w:t>
      </w:r>
      <w:r>
        <w:t xml:space="preserve"> to researchers beyond the economics or social policy disciplines</w:t>
      </w:r>
      <w:r w:rsidR="0031283C">
        <w:t>,</w:t>
      </w:r>
      <w:r>
        <w:t xml:space="preserve"> </w:t>
      </w:r>
      <w:r w:rsidR="00C85283">
        <w:t>such as</w:t>
      </w:r>
      <w:r w:rsidR="000F6C70">
        <w:t xml:space="preserve"> to</w:t>
      </w:r>
      <w:r>
        <w:t xml:space="preserve"> the Australian Psychological Society and other professional bodies). One end-user mentioned </w:t>
      </w:r>
      <w:r w:rsidR="00EE6FBE">
        <w:t xml:space="preserve">the Economic and Social Outlook </w:t>
      </w:r>
      <w:r>
        <w:t>conferences</w:t>
      </w:r>
      <w:r w:rsidR="00EE6FBE">
        <w:t xml:space="preserve"> </w:t>
      </w:r>
      <w:r w:rsidR="00C91E2E">
        <w:t>run by the Melbourne Institute</w:t>
      </w:r>
      <w:r w:rsidR="00C85283">
        <w:t>,</w:t>
      </w:r>
      <w:r w:rsidR="00C91E2E">
        <w:t xml:space="preserve"> </w:t>
      </w:r>
      <w:r w:rsidR="00EE6FBE">
        <w:t>which showcase the HILDA data</w:t>
      </w:r>
      <w:r w:rsidR="00C91E2E">
        <w:t xml:space="preserve">, </w:t>
      </w:r>
      <w:r w:rsidR="00E27BBE">
        <w:t xml:space="preserve">suggesting this might be one way to consider </w:t>
      </w:r>
      <w:r>
        <w:t>bring</w:t>
      </w:r>
      <w:r w:rsidR="00E27BBE">
        <w:t>ing</w:t>
      </w:r>
      <w:r>
        <w:t xml:space="preserve"> the LSAY data to the notice of more people. </w:t>
      </w:r>
    </w:p>
    <w:p w:rsidR="004C15E4" w:rsidRDefault="004C15E4" w:rsidP="004C15E4">
      <w:pPr>
        <w:pStyle w:val="Text"/>
      </w:pPr>
      <w:r>
        <w:t>Another suggested iden</w:t>
      </w:r>
      <w:r w:rsidR="000F6C70">
        <w:t xml:space="preserve">tifying research institutes </w:t>
      </w:r>
      <w:r>
        <w:t xml:space="preserve">in universities and government departments aligned to topics </w:t>
      </w:r>
      <w:r w:rsidR="00C85283">
        <w:t>to which</w:t>
      </w:r>
      <w:r>
        <w:t xml:space="preserve"> LSAY might be relevant and contacting them directly. Another end-user specifically commented that the workshops</w:t>
      </w:r>
      <w:r w:rsidR="00C85283">
        <w:t>, which</w:t>
      </w:r>
      <w:r>
        <w:t xml:space="preserve"> allow</w:t>
      </w:r>
      <w:r w:rsidR="00C85283">
        <w:t>ed</w:t>
      </w:r>
      <w:r>
        <w:t xml:space="preserve"> people to work through the data </w:t>
      </w:r>
      <w:r w:rsidR="00C91E2E">
        <w:t xml:space="preserve">and </w:t>
      </w:r>
      <w:r w:rsidR="00C85283">
        <w:t xml:space="preserve">showed them </w:t>
      </w:r>
      <w:r>
        <w:t xml:space="preserve">how </w:t>
      </w:r>
      <w:r w:rsidR="00C85283">
        <w:t>it could be used,</w:t>
      </w:r>
      <w:r>
        <w:t xml:space="preserve"> </w:t>
      </w:r>
      <w:r w:rsidR="00C85283">
        <w:t>offered the best solution to its promotion</w:t>
      </w:r>
      <w:r>
        <w:t>.</w:t>
      </w:r>
    </w:p>
    <w:p w:rsidR="004C15E4" w:rsidRDefault="004C15E4" w:rsidP="004C15E4">
      <w:pPr>
        <w:pStyle w:val="Text"/>
      </w:pPr>
      <w:r>
        <w:t xml:space="preserve">One researcher remarked that a </w:t>
      </w:r>
      <w:r w:rsidR="000F6C70">
        <w:t>great deal</w:t>
      </w:r>
      <w:r>
        <w:t xml:space="preserve"> of work on education and young people ‘falls between the cracks’. Her suggestion was </w:t>
      </w:r>
      <w:r w:rsidR="00C85283">
        <w:t xml:space="preserve">to promote </w:t>
      </w:r>
      <w:r>
        <w:t>the messages to teachers in schools rath</w:t>
      </w:r>
      <w:r w:rsidR="00C85283">
        <w:t>er than to a policy audience: ‘</w:t>
      </w:r>
      <w:r>
        <w:t>focus on tailoring the outcomes of the research to things teachers can actually do and have control over</w:t>
      </w:r>
      <w:r w:rsidR="000F6C70">
        <w:t>,</w:t>
      </w:r>
      <w:r>
        <w:t xml:space="preserve"> which will not be </w:t>
      </w:r>
      <w:r w:rsidR="00C85283">
        <w:t>the same thing as policy-makers’</w:t>
      </w:r>
      <w:r>
        <w:t>.</w:t>
      </w:r>
    </w:p>
    <w:p w:rsidR="004C15E4" w:rsidRDefault="004C15E4" w:rsidP="004C15E4">
      <w:pPr>
        <w:pStyle w:val="Text"/>
      </w:pPr>
      <w:r>
        <w:t xml:space="preserve">Another researcher </w:t>
      </w:r>
      <w:r w:rsidR="00C85283">
        <w:t>highlighted the importance</w:t>
      </w:r>
      <w:r w:rsidR="000F6C70">
        <w:t>,</w:t>
      </w:r>
      <w:r w:rsidR="00C85283">
        <w:t xml:space="preserve"> </w:t>
      </w:r>
      <w:r w:rsidR="000F6C70">
        <w:t>to</w:t>
      </w:r>
      <w:r w:rsidR="00B70CBA">
        <w:t xml:space="preserve"> ensur</w:t>
      </w:r>
      <w:r w:rsidR="000F6C70">
        <w:t>e</w:t>
      </w:r>
      <w:r w:rsidR="00B70CBA">
        <w:t xml:space="preserve"> maximum impact</w:t>
      </w:r>
      <w:r w:rsidR="000F6C70">
        <w:t xml:space="preserve"> from the research,</w:t>
      </w:r>
      <w:r w:rsidR="00B70CBA">
        <w:t xml:space="preserve"> </w:t>
      </w:r>
      <w:r w:rsidR="00C85283">
        <w:t>of getting</w:t>
      </w:r>
      <w:r>
        <w:t xml:space="preserve"> policy people engaged in the research. It is not only NCVER’s role to promote research to</w:t>
      </w:r>
      <w:r w:rsidR="000F6C70">
        <w:t xml:space="preserve"> the</w:t>
      </w:r>
      <w:r>
        <w:t xml:space="preserve"> government but </w:t>
      </w:r>
      <w:r w:rsidR="000F6C70">
        <w:t xml:space="preserve">also </w:t>
      </w:r>
      <w:r>
        <w:t xml:space="preserve">for the researchers themselves to </w:t>
      </w:r>
      <w:r w:rsidR="000F6C70">
        <w:t>maintain</w:t>
      </w:r>
      <w:r>
        <w:t xml:space="preserve"> ties with policy circles. </w:t>
      </w:r>
    </w:p>
    <w:p w:rsidR="00D11058" w:rsidRDefault="00E27BBE" w:rsidP="00DA4D95">
      <w:pPr>
        <w:pStyle w:val="Text"/>
      </w:pPr>
      <w:r>
        <w:t>This study reinforces the point that the interplay between research and policy is not straightforward. Nevertheless</w:t>
      </w:r>
      <w:r w:rsidR="00B70CBA">
        <w:t>,</w:t>
      </w:r>
      <w:r>
        <w:t xml:space="preserve"> connections between policy, practice and research do occur, and in this case have been strengthened as a result of the </w:t>
      </w:r>
      <w:r w:rsidR="00B70CBA">
        <w:t>Research Innovation and Expansion Fund</w:t>
      </w:r>
      <w:r w:rsidR="000F6C70">
        <w:t>, with</w:t>
      </w:r>
      <w:r w:rsidR="00DD6FE3">
        <w:t xml:space="preserve"> researchers being invited to speak at practitioner events, citations in a </w:t>
      </w:r>
      <w:r>
        <w:t>p</w:t>
      </w:r>
      <w:r w:rsidR="00DD6FE3">
        <w:t>arliamentary legislation and end-user examples of engagement with and use of the research.</w:t>
      </w:r>
    </w:p>
    <w:p w:rsidR="00650EA1" w:rsidRDefault="00650EA1" w:rsidP="00DA4D95">
      <w:pPr>
        <w:pStyle w:val="Text"/>
      </w:pPr>
      <w:r>
        <w:t>In addition</w:t>
      </w:r>
      <w:r w:rsidR="00B70CBA">
        <w:t>,</w:t>
      </w:r>
      <w:r>
        <w:t xml:space="preserve"> the research has contributed m</w:t>
      </w:r>
      <w:r w:rsidR="000F6C70">
        <w:t>ore broadly to the three higher-</w:t>
      </w:r>
      <w:r>
        <w:t>level research priorities of the LSAY program. These are aimed at</w:t>
      </w:r>
      <w:r w:rsidR="00B70CBA">
        <w:t>:</w:t>
      </w:r>
      <w:r>
        <w:t xml:space="preserve"> understanding the factors that impact on participation and completion in education and training; investigating whether the skills from, and pathways through, </w:t>
      </w:r>
      <w:r w:rsidR="00B70CBA">
        <w:t xml:space="preserve">education and training are well </w:t>
      </w:r>
      <w:r>
        <w:t>matched with labour market demands</w:t>
      </w:r>
      <w:r w:rsidR="00B70CBA">
        <w:t>;</w:t>
      </w:r>
      <w:r>
        <w:t xml:space="preserve"> and gaining</w:t>
      </w:r>
      <w:r w:rsidR="00B70CBA">
        <w:t xml:space="preserve"> better insights into</w:t>
      </w:r>
      <w:r w:rsidR="0073773B">
        <w:t xml:space="preserve"> </w:t>
      </w:r>
      <w:r w:rsidR="00B70CBA">
        <w:t>the well</w:t>
      </w:r>
      <w:r>
        <w:t>being and social activities of young people.</w:t>
      </w:r>
    </w:p>
    <w:p w:rsidR="00D11058" w:rsidRDefault="00B70796" w:rsidP="004C15E4">
      <w:pPr>
        <w:pStyle w:val="Text"/>
      </w:pPr>
      <w:r>
        <w:t xml:space="preserve">The primary purpose of the </w:t>
      </w:r>
      <w:r w:rsidR="00B70CBA">
        <w:t>Research Innovation and Expansion Fund</w:t>
      </w:r>
      <w:r>
        <w:t xml:space="preserve"> was to increase the capacity of researchers and end-users working with LSAY data, and this study has shown clear examples of where this has occurred. </w:t>
      </w:r>
      <w:r w:rsidR="00D11058">
        <w:t>As a model</w:t>
      </w:r>
      <w:r w:rsidR="00B70CBA">
        <w:t>,</w:t>
      </w:r>
      <w:r w:rsidR="00D11058">
        <w:t xml:space="preserve"> the RIEF combined a number of </w:t>
      </w:r>
      <w:r w:rsidR="00DD6FE3">
        <w:t>initiatives</w:t>
      </w:r>
      <w:r w:rsidR="00B70CBA">
        <w:t>,</w:t>
      </w:r>
      <w:r w:rsidR="00D11058">
        <w:t xml:space="preserve"> which collectively </w:t>
      </w:r>
      <w:r w:rsidR="00DA4D95">
        <w:t>had impact in terms of</w:t>
      </w:r>
      <w:r w:rsidR="00D11058">
        <w:t xml:space="preserve"> raising the profile of LSAY and </w:t>
      </w:r>
      <w:r>
        <w:t xml:space="preserve">increasing the </w:t>
      </w:r>
      <w:r w:rsidR="00DD6FE3">
        <w:t>quantity</w:t>
      </w:r>
      <w:r>
        <w:t xml:space="preserve"> and quality of research. </w:t>
      </w:r>
    </w:p>
    <w:p w:rsidR="004C15E4" w:rsidRDefault="001666C7" w:rsidP="004C15E4">
      <w:pPr>
        <w:pStyle w:val="Text"/>
      </w:pPr>
      <w:r>
        <w:t xml:space="preserve">This study has </w:t>
      </w:r>
      <w:r w:rsidR="00B70796">
        <w:t xml:space="preserve">also </w:t>
      </w:r>
      <w:r>
        <w:t xml:space="preserve">confirmed that </w:t>
      </w:r>
      <w:r w:rsidR="00B70796">
        <w:t>NCVER is</w:t>
      </w:r>
      <w:r>
        <w:t xml:space="preserve"> on the right track with </w:t>
      </w:r>
      <w:r w:rsidR="003255C2">
        <w:t>its</w:t>
      </w:r>
      <w:r>
        <w:t xml:space="preserve"> </w:t>
      </w:r>
      <w:r w:rsidR="00E27BBE">
        <w:t>dissemination of research</w:t>
      </w:r>
      <w:r>
        <w:t xml:space="preserve">. </w:t>
      </w:r>
      <w:r w:rsidR="00B70796">
        <w:t>The</w:t>
      </w:r>
      <w:r w:rsidR="00D11058">
        <w:t xml:space="preserve"> capacity of researchers to </w:t>
      </w:r>
      <w:r w:rsidR="000B223C">
        <w:t xml:space="preserve">purposefully </w:t>
      </w:r>
      <w:r w:rsidR="000F6C70">
        <w:t xml:space="preserve">engage in the end </w:t>
      </w:r>
      <w:r w:rsidR="00D11058">
        <w:t>use of their work</w:t>
      </w:r>
      <w:r w:rsidR="00B70796">
        <w:t xml:space="preserve"> was highlighted</w:t>
      </w:r>
      <w:r w:rsidR="00D11058">
        <w:t xml:space="preserve">, and NCVER will continue to </w:t>
      </w:r>
      <w:r w:rsidR="000F6C70">
        <w:t>promote</w:t>
      </w:r>
      <w:r w:rsidR="00D11058">
        <w:t xml:space="preserve"> this </w:t>
      </w:r>
      <w:r w:rsidR="000F6C70">
        <w:t>objective</w:t>
      </w:r>
      <w:r w:rsidR="00D11058">
        <w:t xml:space="preserve">. </w:t>
      </w:r>
      <w:r w:rsidR="004C15E4">
        <w:t xml:space="preserve">NCVER will </w:t>
      </w:r>
      <w:r w:rsidR="003D6237">
        <w:t xml:space="preserve">also </w:t>
      </w:r>
      <w:r w:rsidR="004C15E4">
        <w:t>continue to periodic</w:t>
      </w:r>
      <w:r w:rsidR="000F6C70">
        <w:t>ally select themes of research for</w:t>
      </w:r>
      <w:r w:rsidR="004C15E4">
        <w:t xml:space="preserve"> impact studies, thereby </w:t>
      </w:r>
      <w:r w:rsidR="00371694">
        <w:t>continuing to build</w:t>
      </w:r>
      <w:r w:rsidR="004C15E4">
        <w:t xml:space="preserve"> </w:t>
      </w:r>
      <w:r w:rsidR="00371694">
        <w:t>more robust examples</w:t>
      </w:r>
      <w:r w:rsidR="00B70796">
        <w:t xml:space="preserve"> of where research is influencing policy and practice</w:t>
      </w:r>
      <w:r w:rsidR="00371694">
        <w:t>.</w:t>
      </w:r>
      <w:r w:rsidR="004C15E4">
        <w:t xml:space="preserve"> </w:t>
      </w:r>
    </w:p>
    <w:p w:rsidR="004C15E4" w:rsidRDefault="004C15E4" w:rsidP="004C15E4">
      <w:pPr>
        <w:pStyle w:val="Text"/>
      </w:pPr>
    </w:p>
    <w:p w:rsidR="00A50895" w:rsidRDefault="00DA4D95" w:rsidP="00A50895">
      <w:pPr>
        <w:pStyle w:val="Heading1"/>
      </w:pPr>
      <w:bookmarkStart w:id="50" w:name="_Toc456000800"/>
      <w:bookmarkStart w:id="51" w:name="_Toc457122465"/>
      <w:bookmarkStart w:id="52" w:name="_Toc188077643"/>
      <w:r>
        <w:br w:type="page"/>
      </w:r>
      <w:bookmarkStart w:id="53" w:name="_Toc329613263"/>
      <w:r w:rsidR="00A50895">
        <w:lastRenderedPageBreak/>
        <w:t>References</w:t>
      </w:r>
      <w:bookmarkEnd w:id="50"/>
      <w:bookmarkEnd w:id="51"/>
      <w:bookmarkEnd w:id="52"/>
      <w:bookmarkEnd w:id="53"/>
    </w:p>
    <w:p w:rsidR="00C00D4D" w:rsidRPr="00CD793E" w:rsidRDefault="00C00D4D" w:rsidP="00CD793E">
      <w:pPr>
        <w:pStyle w:val="References"/>
      </w:pPr>
      <w:r>
        <w:t>Levin</w:t>
      </w:r>
      <w:r w:rsidR="00A50895">
        <w:t xml:space="preserve">, </w:t>
      </w:r>
      <w:r>
        <w:t>B</w:t>
      </w:r>
      <w:r w:rsidR="00A50895">
        <w:t xml:space="preserve"> </w:t>
      </w:r>
      <w:r>
        <w:t>2003</w:t>
      </w:r>
      <w:r w:rsidR="00A50895">
        <w:t>, ‘</w:t>
      </w:r>
      <w:r>
        <w:t>Helping research in education to matter more</w:t>
      </w:r>
      <w:r w:rsidR="00A50895">
        <w:t xml:space="preserve">’, </w:t>
      </w:r>
      <w:r>
        <w:t>discussion paper</w:t>
      </w:r>
      <w:r w:rsidR="00A50895">
        <w:rPr>
          <w:i/>
        </w:rPr>
        <w:t>,</w:t>
      </w:r>
      <w:r w:rsidR="00A50895">
        <w:t xml:space="preserve"> </w:t>
      </w:r>
      <w:r>
        <w:t xml:space="preserve">Social Science and Humanities Research </w:t>
      </w:r>
      <w:r w:rsidRPr="00CD793E">
        <w:t>Council, Canada</w:t>
      </w:r>
      <w:r w:rsidR="00946F3E" w:rsidRPr="00CD793E">
        <w:t>.</w:t>
      </w:r>
    </w:p>
    <w:p w:rsidR="00C00D4D" w:rsidRDefault="00C00D4D" w:rsidP="00CD793E">
      <w:pPr>
        <w:pStyle w:val="References"/>
      </w:pPr>
      <w:r w:rsidRPr="00CD793E">
        <w:t>Stanwick, J, Hargre</w:t>
      </w:r>
      <w:r>
        <w:t>aves, J &amp; Beddie, F 2009</w:t>
      </w:r>
      <w:r w:rsidR="00B60139">
        <w:t>,</w:t>
      </w:r>
      <w:r>
        <w:t xml:space="preserve"> </w:t>
      </w:r>
      <w:r w:rsidRPr="00C00D4D">
        <w:rPr>
          <w:i/>
        </w:rPr>
        <w:t>A</w:t>
      </w:r>
      <w:r w:rsidR="00676120">
        <w:rPr>
          <w:i/>
        </w:rPr>
        <w:t>ssessing the impact of NCVER’s r</w:t>
      </w:r>
      <w:r w:rsidRPr="00C00D4D">
        <w:rPr>
          <w:i/>
        </w:rPr>
        <w:t>esearch</w:t>
      </w:r>
      <w:r>
        <w:t>, NCVER, Adelaide</w:t>
      </w:r>
      <w:r w:rsidR="00946F3E">
        <w:t>.</w:t>
      </w:r>
    </w:p>
    <w:p w:rsidR="00C00D4D" w:rsidRDefault="00C00D4D" w:rsidP="00A50895">
      <w:pPr>
        <w:pStyle w:val="References"/>
        <w:spacing w:before="440"/>
      </w:pPr>
    </w:p>
    <w:p w:rsidR="00122C76" w:rsidRDefault="00A50895" w:rsidP="00122C76">
      <w:pPr>
        <w:pStyle w:val="Heading1"/>
      </w:pPr>
      <w:r>
        <w:br w:type="page"/>
      </w:r>
      <w:bookmarkStart w:id="54" w:name="_Toc188077644"/>
      <w:bookmarkStart w:id="55" w:name="_Toc329613264"/>
      <w:r w:rsidR="00B60139">
        <w:lastRenderedPageBreak/>
        <w:t>Appendix A:</w:t>
      </w:r>
      <w:r w:rsidR="00122C76">
        <w:t xml:space="preserve"> </w:t>
      </w:r>
      <w:r w:rsidR="002774EA">
        <w:t>d</w:t>
      </w:r>
      <w:r w:rsidR="00122C76">
        <w:t>ata workshops</w:t>
      </w:r>
      <w:bookmarkEnd w:id="55"/>
    </w:p>
    <w:p w:rsidR="00122C76" w:rsidRDefault="00122C76" w:rsidP="00122C76">
      <w:pPr>
        <w:pStyle w:val="Text"/>
      </w:pPr>
      <w:r>
        <w:t>A number of data wo</w:t>
      </w:r>
      <w:r w:rsidR="00B60139">
        <w:t>rkshops were held during 2008—</w:t>
      </w:r>
      <w:r>
        <w:t>10:</w:t>
      </w:r>
    </w:p>
    <w:p w:rsidR="00122C76" w:rsidRPr="00726499" w:rsidRDefault="00122C76" w:rsidP="00122C76">
      <w:pPr>
        <w:pStyle w:val="Dotpoint1"/>
      </w:pPr>
      <w:r>
        <w:t>In late February 2009, NCVER</w:t>
      </w:r>
      <w:r w:rsidRPr="00726499">
        <w:t xml:space="preserve"> staff facilitat</w:t>
      </w:r>
      <w:r>
        <w:t>ed</w:t>
      </w:r>
      <w:r w:rsidRPr="00726499">
        <w:t xml:space="preserve"> a data workshop for members of the National Institute of Labour Studies research team</w:t>
      </w:r>
      <w:r>
        <w:t xml:space="preserve"> with the aim of helping them interpret the LSAY data for their research project</w:t>
      </w:r>
      <w:r w:rsidRPr="00726499">
        <w:t>.</w:t>
      </w:r>
    </w:p>
    <w:p w:rsidR="00122C76" w:rsidRDefault="00122C76" w:rsidP="00122C76">
      <w:pPr>
        <w:pStyle w:val="Dotpoint1"/>
      </w:pPr>
      <w:r w:rsidRPr="006B016A">
        <w:t xml:space="preserve">In early September 2009, four NCVER staff, together with Pam Millwood from Wallis Consulting Group, facilitated a workshop </w:t>
      </w:r>
      <w:r w:rsidR="00B60139" w:rsidRPr="006B016A">
        <w:t xml:space="preserve">for researchers </w:t>
      </w:r>
      <w:r w:rsidRPr="006B016A">
        <w:t xml:space="preserve">on the LSAY data. The purpose of the workshop was </w:t>
      </w:r>
      <w:r w:rsidR="00B60139">
        <w:t>to broaden the use of LSAY data</w:t>
      </w:r>
      <w:r w:rsidRPr="006B016A">
        <w:t xml:space="preserve"> and to increase awareness of </w:t>
      </w:r>
      <w:r w:rsidR="00B60139">
        <w:t xml:space="preserve">the </w:t>
      </w:r>
      <w:r w:rsidRPr="006B016A">
        <w:t>LSAY program more broadly as a source of empirical evidence for inf</w:t>
      </w:r>
      <w:r w:rsidR="00B60139">
        <w:t>ormed policy-</w:t>
      </w:r>
      <w:r w:rsidRPr="006B016A">
        <w:t>making. The workshop also provided an opportunity for NCVER to showcase the new LSAY cohort report structure and format, as well as the revised LSAY technical documentation. There was a high level of interest in the workshop</w:t>
      </w:r>
      <w:r w:rsidR="00B60139">
        <w:t>,</w:t>
      </w:r>
      <w:r w:rsidRPr="006B016A">
        <w:t xml:space="preserve"> with </w:t>
      </w:r>
      <w:r>
        <w:t xml:space="preserve">the </w:t>
      </w:r>
      <w:r w:rsidRPr="006B016A">
        <w:t xml:space="preserve">maximum number of </w:t>
      </w:r>
      <w:r>
        <w:t xml:space="preserve">30 </w:t>
      </w:r>
      <w:r w:rsidRPr="006B016A">
        <w:t xml:space="preserve">places filled. Workshop participants were current and potential users of the LSAY data from the academic community, government departments, </w:t>
      </w:r>
      <w:r>
        <w:t>non-government organisations</w:t>
      </w:r>
      <w:r w:rsidRPr="006B016A">
        <w:t xml:space="preserve"> and other research organisations. The event was very successful</w:t>
      </w:r>
      <w:r w:rsidR="00B60139">
        <w:t>,</w:t>
      </w:r>
      <w:r w:rsidRPr="006B016A">
        <w:t xml:space="preserve"> with positive feedback on the day from participants. </w:t>
      </w:r>
    </w:p>
    <w:p w:rsidR="00122C76" w:rsidRDefault="00122C76" w:rsidP="00122C76">
      <w:pPr>
        <w:pStyle w:val="Dotpoint1"/>
      </w:pPr>
      <w:r>
        <w:t xml:space="preserve">In response to a request from the </w:t>
      </w:r>
      <w:r w:rsidR="00B60139">
        <w:t>National Senior Officials Committee (</w:t>
      </w:r>
      <w:r>
        <w:t>NSOC</w:t>
      </w:r>
      <w:r w:rsidR="00B60139">
        <w:t>)</w:t>
      </w:r>
      <w:r>
        <w:t xml:space="preserve"> representative on the LSAY Strategic Advisory Committee (SAC) and </w:t>
      </w:r>
      <w:r w:rsidR="00B60139">
        <w:t xml:space="preserve">the </w:t>
      </w:r>
      <w:r>
        <w:t>Executive Director</w:t>
      </w:r>
      <w:r w:rsidR="00B60139">
        <w:t>,</w:t>
      </w:r>
      <w:r>
        <w:t xml:space="preserve"> VET Policy Development, Q</w:t>
      </w:r>
      <w:r w:rsidR="00B60139">
        <w:t>ueensland</w:t>
      </w:r>
      <w:r>
        <w:t xml:space="preserve"> Department of Education and Training, at the November 2009 SA</w:t>
      </w:r>
      <w:r w:rsidR="00B60139">
        <w:t>C meeting</w:t>
      </w:r>
      <w:r w:rsidR="0073773B">
        <w:t>,</w:t>
      </w:r>
      <w:r>
        <w:t xml:space="preserve"> two LSAY data workshops we</w:t>
      </w:r>
      <w:r w:rsidRPr="006B016A">
        <w:t xml:space="preserve">re held in Brisbane on </w:t>
      </w:r>
      <w:r w:rsidR="00B60139" w:rsidRPr="006B016A">
        <w:t>2</w:t>
      </w:r>
      <w:r w:rsidR="00B60139">
        <w:t xml:space="preserve"> </w:t>
      </w:r>
      <w:r w:rsidRPr="006B016A">
        <w:t>July</w:t>
      </w:r>
      <w:r w:rsidR="0073773B">
        <w:t xml:space="preserve"> </w:t>
      </w:r>
      <w:r w:rsidRPr="006B016A">
        <w:t>2010</w:t>
      </w:r>
      <w:r>
        <w:t>. The first,</w:t>
      </w:r>
      <w:r w:rsidRPr="006B016A">
        <w:t xml:space="preserve"> 'Getting to know LSAY'</w:t>
      </w:r>
      <w:r>
        <w:t>, was</w:t>
      </w:r>
      <w:r w:rsidRPr="006B016A">
        <w:t xml:space="preserve"> aimed at</w:t>
      </w:r>
      <w:r w:rsidRPr="00956074">
        <w:t xml:space="preserve"> </w:t>
      </w:r>
      <w:r>
        <w:t xml:space="preserve">individuals with an </w:t>
      </w:r>
      <w:r w:rsidRPr="00956074">
        <w:t>i</w:t>
      </w:r>
      <w:r w:rsidR="00B60139">
        <w:t>nterest in youth transitions</w:t>
      </w:r>
      <w:r w:rsidRPr="00956074">
        <w:t xml:space="preserve"> </w:t>
      </w:r>
      <w:r>
        <w:t xml:space="preserve">who </w:t>
      </w:r>
      <w:r w:rsidRPr="00956074">
        <w:t>want</w:t>
      </w:r>
      <w:r>
        <w:t>ed</w:t>
      </w:r>
      <w:r w:rsidRPr="00956074">
        <w:t xml:space="preserve"> to learn more about what LSAY has to offer</w:t>
      </w:r>
      <w:r>
        <w:t>. The other workshop, 'The Ins and Outs of LSAY Data', was directed at res</w:t>
      </w:r>
      <w:r w:rsidRPr="00956074">
        <w:t>earchers with a quantitative background who</w:t>
      </w:r>
      <w:r>
        <w:t xml:space="preserve"> we</w:t>
      </w:r>
      <w:r w:rsidRPr="00956074">
        <w:t xml:space="preserve">re interested in youth transitions and </w:t>
      </w:r>
      <w:r w:rsidR="00F60B28">
        <w:t xml:space="preserve">in </w:t>
      </w:r>
      <w:r w:rsidRPr="00956074">
        <w:t xml:space="preserve">using longitudinal data to </w:t>
      </w:r>
      <w:r>
        <w:t xml:space="preserve">investigate this subject matter. </w:t>
      </w:r>
      <w:r w:rsidRPr="006E1D28">
        <w:t>The responses however were mixed, with some of the attendees attending the wrong workshop</w:t>
      </w:r>
      <w:r w:rsidR="00F60B28">
        <w:t>,</w:t>
      </w:r>
      <w:r w:rsidRPr="006E1D28">
        <w:t xml:space="preserve"> based on their skills and backgrounds.</w:t>
      </w:r>
      <w:r>
        <w:t xml:space="preserve"> </w:t>
      </w:r>
    </w:p>
    <w:p w:rsidR="00122C76" w:rsidRDefault="00122C76" w:rsidP="00122C76">
      <w:pPr>
        <w:pStyle w:val="Dotpoint1"/>
      </w:pPr>
      <w:r>
        <w:t xml:space="preserve">In response to another request from a representative on the </w:t>
      </w:r>
      <w:r w:rsidR="00F60B28">
        <w:t>LSAY Strategic Advisory Committee</w:t>
      </w:r>
      <w:r>
        <w:t xml:space="preserve">, </w:t>
      </w:r>
      <w:r w:rsidR="00F60B28">
        <w:t xml:space="preserve">in July 2010 </w:t>
      </w:r>
      <w:r>
        <w:t>NCVER hosted a seminar at the Department of Education and Training, NSW on how to access and use LSAY statistics and resources.</w:t>
      </w:r>
    </w:p>
    <w:p w:rsidR="00A50895" w:rsidRDefault="00122C76" w:rsidP="00A50895">
      <w:pPr>
        <w:pStyle w:val="Heading1"/>
      </w:pPr>
      <w:r>
        <w:br w:type="page"/>
      </w:r>
      <w:bookmarkStart w:id="56" w:name="_Toc329613265"/>
      <w:r w:rsidR="00A50895">
        <w:lastRenderedPageBreak/>
        <w:t>Support document details</w:t>
      </w:r>
      <w:bookmarkEnd w:id="54"/>
      <w:bookmarkEnd w:id="56"/>
    </w:p>
    <w:p w:rsidR="008D0527" w:rsidRDefault="00A50895" w:rsidP="0048643A">
      <w:pPr>
        <w:pStyle w:val="Text"/>
      </w:pPr>
      <w:r>
        <w:t>Additional information relating t</w:t>
      </w:r>
      <w:r w:rsidR="008D0527">
        <w:t xml:space="preserve">o this research is available in </w:t>
      </w:r>
      <w:r w:rsidR="008D0527" w:rsidRPr="008D0527">
        <w:rPr>
          <w:i/>
        </w:rPr>
        <w:t xml:space="preserve">Assessing the impact of research: a case study of the LSAY Research Innovation </w:t>
      </w:r>
      <w:r w:rsidR="003F5D13">
        <w:rPr>
          <w:i/>
        </w:rPr>
        <w:t xml:space="preserve">and </w:t>
      </w:r>
      <w:r w:rsidR="008D0527" w:rsidRPr="008D0527">
        <w:rPr>
          <w:i/>
        </w:rPr>
        <w:t>Expansion Fund</w:t>
      </w:r>
      <w:r w:rsidR="00A83F6A">
        <w:rPr>
          <w:i/>
        </w:rPr>
        <w:t xml:space="preserve"> —</w:t>
      </w:r>
      <w:r w:rsidRPr="00D418CE">
        <w:rPr>
          <w:i/>
        </w:rPr>
        <w:t xml:space="preserve"> </w:t>
      </w:r>
      <w:r w:rsidR="0049453B">
        <w:rPr>
          <w:i/>
        </w:rPr>
        <w:t>s</w:t>
      </w:r>
      <w:r w:rsidRPr="00D418CE">
        <w:rPr>
          <w:i/>
        </w:rPr>
        <w:t>upport document</w:t>
      </w:r>
      <w:r>
        <w:t>. It can be accessed from NCVER’s website &lt;http://www.ncver.edu.au/publications/</w:t>
      </w:r>
      <w:r w:rsidR="008D0527" w:rsidRPr="008D0527">
        <w:t>2513</w:t>
      </w:r>
      <w:r w:rsidRPr="008D0527">
        <w:t>.</w:t>
      </w:r>
      <w:r>
        <w:t>html&gt;.</w:t>
      </w:r>
      <w:r w:rsidR="002774EA">
        <w:t xml:space="preserve"> </w:t>
      </w:r>
      <w:r w:rsidR="008D0527">
        <w:t xml:space="preserve">It contains detailed findings from the bibliometric analysis </w:t>
      </w:r>
      <w:r w:rsidR="002774EA">
        <w:t xml:space="preserve">of each research report and </w:t>
      </w:r>
      <w:r w:rsidR="0073773B">
        <w:t xml:space="preserve">the </w:t>
      </w:r>
      <w:r w:rsidR="002774EA">
        <w:t>interviews.</w:t>
      </w:r>
    </w:p>
    <w:p w:rsidR="00FF41C9" w:rsidRPr="00FF41C9" w:rsidRDefault="00FF41C9" w:rsidP="0025008C">
      <w:pPr>
        <w:spacing w:before="0" w:line="240" w:lineRule="auto"/>
      </w:pPr>
    </w:p>
    <w:sectPr w:rsidR="00FF41C9" w:rsidRPr="00FF41C9" w:rsidSect="00F60BA5">
      <w:footerReference w:type="even" r:id="rId14"/>
      <w:footerReference w:type="default" r:id="rId15"/>
      <w:pgSz w:w="11907" w:h="16840" w:code="9"/>
      <w:pgMar w:top="1276" w:right="1701" w:bottom="1276" w:left="1418" w:header="709" w:footer="5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0D0" w:rsidRDefault="00D360D0">
      <w:r>
        <w:separator/>
      </w:r>
    </w:p>
  </w:endnote>
  <w:endnote w:type="continuationSeparator" w:id="0">
    <w:p w:rsidR="00D360D0" w:rsidRDefault="00D360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vant Garde">
    <w:altName w:val="Century Gothic"/>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9D8" w:rsidRPr="008C0A74" w:rsidRDefault="003929D8" w:rsidP="0095525C">
    <w:pPr>
      <w:pStyle w:val="Footer"/>
      <w:tabs>
        <w:tab w:val="clear" w:pos="8505"/>
        <w:tab w:val="right" w:pos="8789"/>
      </w:tabs>
      <w:jc w:val="right"/>
      <w:rPr>
        <w: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9D8" w:rsidRPr="009775C7" w:rsidRDefault="003929D8" w:rsidP="008C0A74">
    <w:pPr>
      <w:pStyle w:val="Footer"/>
      <w:tabs>
        <w:tab w:val="clear" w:pos="8505"/>
        <w:tab w:val="right" w:pos="8789"/>
      </w:tabs>
      <w:rPr>
        <w:color w:val="FFFFFF"/>
      </w:rPr>
    </w:pPr>
    <w:r w:rsidRPr="009775C7">
      <w:rPr>
        <w:color w:val="FFFFFF"/>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9D8" w:rsidRPr="008C0A74" w:rsidRDefault="003929D8" w:rsidP="0095525C">
    <w:pPr>
      <w:pStyle w:val="Footer"/>
      <w:tabs>
        <w:tab w:val="clear" w:pos="8505"/>
        <w:tab w:val="right" w:pos="8789"/>
      </w:tabs>
      <w:jc w:val="right"/>
      <w:rPr>
        <w:b/>
      </w:rPr>
    </w:pPr>
    <w:r w:rsidRPr="00DA6447">
      <w:rPr>
        <w:b/>
        <w:noProof/>
        <w:color w:val="FFFFFF"/>
        <w:lang w:eastAsia="en-AU"/>
      </w:rPr>
      <w:pict>
        <v:rect id="_x0000_s2057" style="position:absolute;left:0;text-align:left;margin-left:-85.05pt;margin-top:-2.45pt;width:99pt;height:18.75pt;z-index:-251658240" fillcolor="black" stroked="f" strokecolor="#bfbfbf"/>
      </w:pict>
    </w:r>
    <w:r w:rsidRPr="008C0A74">
      <w:rPr>
        <w:b/>
        <w:color w:val="FFFFFF"/>
      </w:rPr>
      <w:fldChar w:fldCharType="begin"/>
    </w:r>
    <w:r w:rsidRPr="008C0A74">
      <w:rPr>
        <w:b/>
        <w:color w:val="FFFFFF"/>
      </w:rPr>
      <w:instrText xml:space="preserve"> PAGE </w:instrText>
    </w:r>
    <w:r w:rsidRPr="008C0A74">
      <w:rPr>
        <w:b/>
        <w:color w:val="FFFFFF"/>
      </w:rPr>
      <w:fldChar w:fldCharType="separate"/>
    </w:r>
    <w:r w:rsidR="00E16176">
      <w:rPr>
        <w:b/>
        <w:noProof/>
        <w:color w:val="FFFFFF"/>
      </w:rPr>
      <w:t>26</w:t>
    </w:r>
    <w:r w:rsidRPr="008C0A74">
      <w:rPr>
        <w:b/>
        <w:color w:val="FFFFFF"/>
      </w:rPr>
      <w:fldChar w:fldCharType="end"/>
    </w:r>
    <w:r w:rsidRPr="008C0A74">
      <w:rPr>
        <w:b/>
        <w:color w:val="FFFFFF"/>
      </w:rPr>
      <w:tab/>
    </w:r>
    <w:r>
      <w:rPr>
        <w:b/>
      </w:rPr>
      <w:t>Assessing the impact of research</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9D8" w:rsidRDefault="003929D8" w:rsidP="008C0A74">
    <w:pPr>
      <w:pStyle w:val="Footer"/>
      <w:tabs>
        <w:tab w:val="clear" w:pos="8505"/>
        <w:tab w:val="right" w:pos="8789"/>
      </w:tabs>
      <w:rPr>
        <w:rStyle w:val="PageNumber"/>
        <w:rFonts w:cs="Tahoma"/>
        <w:b/>
        <w:color w:val="FFFFFF"/>
        <w:sz w:val="17"/>
      </w:rPr>
    </w:pPr>
    <w:r w:rsidRPr="00DA6447">
      <w:rPr>
        <w:b/>
        <w:noProof/>
        <w:lang w:eastAsia="en-AU"/>
      </w:rPr>
      <w:pict>
        <v:rect id="_x0000_s2056" style="position:absolute;margin-left:425.6pt;margin-top:-2.45pt;width:99pt;height:18.75pt;z-index:-251659264" fillcolor="black" stroked="f" strokecolor="#bfbfbf"/>
      </w:pict>
    </w:r>
    <w:r w:rsidRPr="009775C7">
      <w:rPr>
        <w:b/>
      </w:rPr>
      <w:t>NCVER</w:t>
    </w:r>
    <w:r w:rsidRPr="009775C7">
      <w:tab/>
    </w:r>
    <w:r w:rsidRPr="009775C7">
      <w:rPr>
        <w:rStyle w:val="PageNumber"/>
        <w:rFonts w:cs="Tahoma"/>
        <w:b/>
        <w:color w:val="FFFFFF"/>
        <w:sz w:val="17"/>
      </w:rPr>
      <w:fldChar w:fldCharType="begin"/>
    </w:r>
    <w:r w:rsidRPr="009775C7">
      <w:rPr>
        <w:rStyle w:val="PageNumber"/>
        <w:rFonts w:cs="Tahoma"/>
        <w:b/>
        <w:color w:val="FFFFFF"/>
        <w:sz w:val="17"/>
      </w:rPr>
      <w:instrText xml:space="preserve"> PAGE </w:instrText>
    </w:r>
    <w:r w:rsidRPr="009775C7">
      <w:rPr>
        <w:rStyle w:val="PageNumber"/>
        <w:rFonts w:cs="Tahoma"/>
        <w:b/>
        <w:color w:val="FFFFFF"/>
        <w:sz w:val="17"/>
      </w:rPr>
      <w:fldChar w:fldCharType="separate"/>
    </w:r>
    <w:r w:rsidR="00E16176">
      <w:rPr>
        <w:rStyle w:val="PageNumber"/>
        <w:rFonts w:cs="Tahoma"/>
        <w:b/>
        <w:noProof/>
        <w:color w:val="FFFFFF"/>
        <w:sz w:val="17"/>
      </w:rPr>
      <w:t>25</w:t>
    </w:r>
    <w:r w:rsidRPr="009775C7">
      <w:rPr>
        <w:rStyle w:val="PageNumber"/>
        <w:rFonts w:cs="Tahoma"/>
        <w:b/>
        <w:color w:val="FFFFFF"/>
        <w:sz w:val="17"/>
      </w:rPr>
      <w:fldChar w:fldCharType="end"/>
    </w:r>
  </w:p>
  <w:p w:rsidR="003929D8" w:rsidRPr="009775C7" w:rsidRDefault="003929D8" w:rsidP="008C0A74">
    <w:pPr>
      <w:pStyle w:val="Footer"/>
      <w:tabs>
        <w:tab w:val="clear" w:pos="8505"/>
        <w:tab w:val="right" w:pos="8789"/>
      </w:tabs>
      <w:rPr>
        <w:color w:val="FFFFFF"/>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0D0" w:rsidRDefault="00D360D0">
      <w:r>
        <w:separator/>
      </w:r>
    </w:p>
  </w:footnote>
  <w:footnote w:type="continuationSeparator" w:id="0">
    <w:p w:rsidR="00D360D0" w:rsidRDefault="00D360D0">
      <w:r>
        <w:continuationSeparator/>
      </w:r>
    </w:p>
  </w:footnote>
  <w:footnote w:id="1">
    <w:p w:rsidR="003929D8" w:rsidRDefault="003929D8" w:rsidP="00146751">
      <w:pPr>
        <w:pStyle w:val="FootnoteText"/>
        <w:ind w:right="141"/>
      </w:pPr>
      <w:r>
        <w:rPr>
          <w:rStyle w:val="FootnoteReference"/>
        </w:rPr>
        <w:footnoteRef/>
      </w:r>
      <w:r>
        <w:tab/>
        <w:t>For the purposes of this project, research is defined as work undertaken that increases knowledge or applies existing knowledge in new ways. Research impact is defined as the application, use and influence of research across various categories.</w:t>
      </w:r>
    </w:p>
    <w:p w:rsidR="003929D8" w:rsidRDefault="003929D8" w:rsidP="00146751">
      <w:pPr>
        <w:pStyle w:val="FootnoteText"/>
        <w:ind w:right="141"/>
      </w:pPr>
    </w:p>
  </w:footnote>
  <w:footnote w:id="2">
    <w:p w:rsidR="003929D8" w:rsidRDefault="003929D8" w:rsidP="00785D2C">
      <w:pPr>
        <w:pStyle w:val="FootnoteText"/>
      </w:pPr>
      <w:r>
        <w:rPr>
          <w:rStyle w:val="FootnoteReference"/>
        </w:rPr>
        <w:footnoteRef/>
      </w:r>
      <w:r>
        <w:tab/>
        <w:t>&lt;</w:t>
      </w:r>
      <w:hyperlink r:id="rId1" w:history="1">
        <w:r w:rsidRPr="00703FE5">
          <w:rPr>
            <w:rStyle w:val="Hyperlink"/>
            <w:sz w:val="16"/>
          </w:rPr>
          <w:t>http://www.lsay.edu.au</w:t>
        </w:r>
      </w:hyperlink>
      <w:r>
        <w:t>&gt;.</w:t>
      </w:r>
    </w:p>
    <w:p w:rsidR="003929D8" w:rsidRDefault="003929D8" w:rsidP="00785D2C">
      <w:pPr>
        <w:pStyle w:val="FootnoteText"/>
      </w:pPr>
    </w:p>
  </w:footnote>
  <w:footnote w:id="3">
    <w:p w:rsidR="003929D8" w:rsidRPr="00BC2A96" w:rsidRDefault="003929D8" w:rsidP="00CD793E">
      <w:pPr>
        <w:pStyle w:val="FootnoteText"/>
        <w:spacing w:after="160"/>
        <w:ind w:right="0"/>
      </w:pPr>
      <w:r w:rsidRPr="00CC3E0A">
        <w:rPr>
          <w:rStyle w:val="FootnoteReference"/>
          <w:szCs w:val="16"/>
        </w:rPr>
        <w:footnoteRef/>
      </w:r>
      <w:r>
        <w:tab/>
      </w:r>
      <w:r w:rsidRPr="00BC2A96">
        <w:t xml:space="preserve">Unfortunately </w:t>
      </w:r>
      <w:r>
        <w:t xml:space="preserve">a member of the National Institute of Labour Studies team </w:t>
      </w:r>
      <w:r w:rsidRPr="00BC2A96">
        <w:t>was not able to attend due to ill health</w:t>
      </w:r>
      <w:r>
        <w:t>,</w:t>
      </w:r>
      <w:r w:rsidRPr="00BC2A96">
        <w:t xml:space="preserve"> while Siobhan Austen </w:t>
      </w:r>
      <w:r>
        <w:t>was</w:t>
      </w:r>
      <w:r w:rsidRPr="00BC2A96">
        <w:t xml:space="preserve"> not able to attend due to work commitments.</w:t>
      </w:r>
    </w:p>
  </w:footnote>
  <w:footnote w:id="4">
    <w:p w:rsidR="003929D8" w:rsidRDefault="003929D8">
      <w:pPr>
        <w:pStyle w:val="FootnoteText"/>
      </w:pPr>
      <w:r>
        <w:rPr>
          <w:rStyle w:val="FootnoteReference"/>
        </w:rPr>
        <w:footnoteRef/>
      </w:r>
      <w:r>
        <w:tab/>
      </w:r>
      <w:r w:rsidRPr="00C96CAC">
        <w:rPr>
          <w:i/>
        </w:rPr>
        <w:t>Assessing the impact of NCVER’s research</w:t>
      </w:r>
      <w:r w:rsidRPr="00C96CAC">
        <w:t xml:space="preserve"> </w:t>
      </w:r>
      <w:r>
        <w:t>&lt;</w:t>
      </w:r>
      <w:r w:rsidRPr="00C96CAC">
        <w:t>http://www.ncver.edu.au/publications/2152.html</w:t>
      </w:r>
      <w:r>
        <w:t>&gt;.</w:t>
      </w:r>
    </w:p>
    <w:p w:rsidR="003929D8" w:rsidRDefault="003929D8">
      <w:pPr>
        <w:pStyle w:val="FootnoteText"/>
      </w:pPr>
    </w:p>
  </w:footnote>
  <w:footnote w:id="5">
    <w:p w:rsidR="003929D8" w:rsidRDefault="003929D8" w:rsidP="00BB3D6F">
      <w:pPr>
        <w:pStyle w:val="FootnoteText"/>
      </w:pPr>
      <w:r>
        <w:rPr>
          <w:rStyle w:val="FootnoteReference"/>
        </w:rPr>
        <w:footnoteRef/>
      </w:r>
      <w:r>
        <w:tab/>
        <w:t>Note that details are expanded further in the sections below and also in the support document.</w:t>
      </w:r>
    </w:p>
    <w:p w:rsidR="003929D8" w:rsidRDefault="003929D8" w:rsidP="00BB3D6F">
      <w:pPr>
        <w:pStyle w:val="FootnoteText"/>
      </w:pPr>
    </w:p>
  </w:footnote>
  <w:footnote w:id="6">
    <w:p w:rsidR="003929D8" w:rsidRDefault="003929D8" w:rsidP="00DA1318">
      <w:pPr>
        <w:pStyle w:val="FootnoteText"/>
      </w:pPr>
      <w:r>
        <w:rPr>
          <w:rStyle w:val="FootnoteReference"/>
        </w:rPr>
        <w:footnoteRef/>
      </w:r>
      <w:r>
        <w:tab/>
        <w:t>The detailed citations for each of the LSAY RIEF research reports are provided in the accompanying support document.</w:t>
      </w:r>
    </w:p>
    <w:p w:rsidR="003929D8" w:rsidRDefault="003929D8" w:rsidP="00DA1318">
      <w:pPr>
        <w:pStyle w:val="FootnoteText"/>
      </w:pPr>
    </w:p>
  </w:footnote>
  <w:footnote w:id="7">
    <w:p w:rsidR="003929D8" w:rsidRDefault="003929D8">
      <w:pPr>
        <w:pStyle w:val="FootnoteText"/>
      </w:pPr>
      <w:r>
        <w:rPr>
          <w:rStyle w:val="FootnoteReference"/>
        </w:rPr>
        <w:footnoteRef/>
      </w:r>
      <w:r>
        <w:tab/>
        <w:t>A</w:t>
      </w:r>
      <w:r w:rsidRPr="00173C9B">
        <w:t xml:space="preserve">part from </w:t>
      </w:r>
      <w:r>
        <w:t>the category</w:t>
      </w:r>
      <w:r w:rsidRPr="00173C9B">
        <w:t xml:space="preserve"> ‘guest’</w:t>
      </w:r>
      <w:r>
        <w:t>,</w:t>
      </w:r>
      <w:r w:rsidRPr="00173C9B">
        <w:t xml:space="preserve"> which can be defined as a user who has come to the website for the very first time, or whose previous visit(s) have not been remembered by the website, or they are yet to log in</w:t>
      </w:r>
      <w:r>
        <w:t>.</w:t>
      </w:r>
    </w:p>
    <w:p w:rsidR="003929D8" w:rsidRDefault="003929D8">
      <w:pPr>
        <w:pStyle w:val="FootnoteText"/>
      </w:pPr>
    </w:p>
  </w:footnote>
  <w:footnote w:id="8">
    <w:p w:rsidR="003929D8" w:rsidRDefault="003929D8">
      <w:pPr>
        <w:pStyle w:val="FootnoteText"/>
      </w:pPr>
      <w:r>
        <w:rPr>
          <w:rStyle w:val="FootnoteReference"/>
        </w:rPr>
        <w:footnoteRef/>
      </w:r>
      <w:r>
        <w:tab/>
        <w:t xml:space="preserve">Hegol, L 2012, </w:t>
      </w:r>
      <w:r>
        <w:rPr>
          <w:i/>
        </w:rPr>
        <w:t>Transition to post-Y</w:t>
      </w:r>
      <w:r w:rsidRPr="009A3DDB">
        <w:rPr>
          <w:i/>
        </w:rPr>
        <w:t>ear 10 education in regional Tasmania</w:t>
      </w:r>
      <w:r>
        <w:t>, NCVER, Adelaide.</w:t>
      </w:r>
    </w:p>
    <w:p w:rsidR="003929D8" w:rsidRDefault="003929D8">
      <w:pPr>
        <w:pStyle w:val="FootnoteText"/>
      </w:pPr>
    </w:p>
  </w:footnote>
  <w:footnote w:id="9">
    <w:p w:rsidR="003929D8" w:rsidRDefault="003929D8">
      <w:pPr>
        <w:pStyle w:val="FootnoteText"/>
      </w:pPr>
      <w:r>
        <w:rPr>
          <w:rStyle w:val="FootnoteReference"/>
        </w:rPr>
        <w:footnoteRef/>
      </w:r>
      <w:r>
        <w:tab/>
        <w:t>&lt;</w:t>
      </w:r>
      <w:r w:rsidRPr="004749AC">
        <w:t>http://www.ncver.edu.au/research/about.html#National_VET_Research_and_Evaluation_(NVETRE)_program</w:t>
      </w:r>
      <w:r>
        <w:t>&gt;.</w:t>
      </w:r>
    </w:p>
    <w:p w:rsidR="003929D8" w:rsidRDefault="003929D8">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03ACBF8"/>
    <w:lvl w:ilvl="0">
      <w:start w:val="1"/>
      <w:numFmt w:val="decimal"/>
      <w:lvlText w:val="%1."/>
      <w:lvlJc w:val="left"/>
      <w:pPr>
        <w:tabs>
          <w:tab w:val="num" w:pos="1492"/>
        </w:tabs>
        <w:ind w:left="1492" w:hanging="360"/>
      </w:pPr>
    </w:lvl>
  </w:abstractNum>
  <w:abstractNum w:abstractNumId="1">
    <w:nsid w:val="FFFFFF7D"/>
    <w:multiLevelType w:val="singleLevel"/>
    <w:tmpl w:val="0A5CEE0A"/>
    <w:lvl w:ilvl="0">
      <w:start w:val="1"/>
      <w:numFmt w:val="decimal"/>
      <w:lvlText w:val="%1."/>
      <w:lvlJc w:val="left"/>
      <w:pPr>
        <w:tabs>
          <w:tab w:val="num" w:pos="1209"/>
        </w:tabs>
        <w:ind w:left="1209" w:hanging="360"/>
      </w:pPr>
    </w:lvl>
  </w:abstractNum>
  <w:abstractNum w:abstractNumId="2">
    <w:nsid w:val="FFFFFF7E"/>
    <w:multiLevelType w:val="singleLevel"/>
    <w:tmpl w:val="6B122C5C"/>
    <w:lvl w:ilvl="0">
      <w:start w:val="1"/>
      <w:numFmt w:val="decimal"/>
      <w:lvlText w:val="%1."/>
      <w:lvlJc w:val="left"/>
      <w:pPr>
        <w:tabs>
          <w:tab w:val="num" w:pos="926"/>
        </w:tabs>
        <w:ind w:left="926" w:hanging="360"/>
      </w:pPr>
    </w:lvl>
  </w:abstractNum>
  <w:abstractNum w:abstractNumId="3">
    <w:nsid w:val="FFFFFF7F"/>
    <w:multiLevelType w:val="singleLevel"/>
    <w:tmpl w:val="CF569A70"/>
    <w:lvl w:ilvl="0">
      <w:start w:val="1"/>
      <w:numFmt w:val="decimal"/>
      <w:lvlText w:val="%1."/>
      <w:lvlJc w:val="left"/>
      <w:pPr>
        <w:tabs>
          <w:tab w:val="num" w:pos="643"/>
        </w:tabs>
        <w:ind w:left="643" w:hanging="360"/>
      </w:pPr>
    </w:lvl>
  </w:abstractNum>
  <w:abstractNum w:abstractNumId="4">
    <w:nsid w:val="FFFFFF80"/>
    <w:multiLevelType w:val="singleLevel"/>
    <w:tmpl w:val="35CAF2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55C40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08E39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9A2F3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BDAEC32"/>
    <w:lvl w:ilvl="0">
      <w:start w:val="1"/>
      <w:numFmt w:val="decimal"/>
      <w:lvlText w:val="%1."/>
      <w:lvlJc w:val="left"/>
      <w:pPr>
        <w:tabs>
          <w:tab w:val="num" w:pos="360"/>
        </w:tabs>
        <w:ind w:left="360" w:hanging="360"/>
      </w:pPr>
    </w:lvl>
  </w:abstractNum>
  <w:abstractNum w:abstractNumId="9">
    <w:nsid w:val="FFFFFF89"/>
    <w:multiLevelType w:val="singleLevel"/>
    <w:tmpl w:val="E354C31E"/>
    <w:lvl w:ilvl="0">
      <w:start w:val="1"/>
      <w:numFmt w:val="bullet"/>
      <w:lvlText w:val=""/>
      <w:lvlJc w:val="left"/>
      <w:pPr>
        <w:tabs>
          <w:tab w:val="num" w:pos="360"/>
        </w:tabs>
        <w:ind w:left="360" w:hanging="360"/>
      </w:pPr>
      <w:rPr>
        <w:rFonts w:ascii="Symbol" w:hAnsi="Symbol" w:hint="default"/>
      </w:rPr>
    </w:lvl>
  </w:abstractNum>
  <w:abstractNum w:abstractNumId="10">
    <w:nsid w:val="01F410EF"/>
    <w:multiLevelType w:val="hybridMultilevel"/>
    <w:tmpl w:val="04C080C2"/>
    <w:lvl w:ilvl="0" w:tplc="24BA3DD4">
      <w:start w:val="1"/>
      <w:numFmt w:val="decimal"/>
      <w:pStyle w:val="NumberedListContinuing"/>
      <w:lvlText w:val="%1"/>
      <w:lvlJc w:val="left"/>
      <w:pPr>
        <w:tabs>
          <w:tab w:val="num" w:pos="284"/>
        </w:tabs>
        <w:ind w:left="0" w:firstLine="0"/>
      </w:pPr>
      <w:rPr>
        <w:rFonts w:hint="default"/>
      </w:rPr>
    </w:lvl>
    <w:lvl w:ilvl="1" w:tplc="0994B9E0">
      <w:start w:val="1"/>
      <w:numFmt w:val="lowerLetter"/>
      <w:pStyle w:val="NumberedAlphaLevel2"/>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06FF05DF"/>
    <w:multiLevelType w:val="singleLevel"/>
    <w:tmpl w:val="00000000"/>
    <w:lvl w:ilvl="0">
      <w:numFmt w:val="bullet"/>
      <w:lvlText w:val=""/>
      <w:lvlJc w:val="left"/>
      <w:pPr>
        <w:tabs>
          <w:tab w:val="num" w:pos="360"/>
        </w:tabs>
        <w:ind w:left="360" w:hanging="360"/>
      </w:pPr>
      <w:rPr>
        <w:rFonts w:ascii="Wingdings" w:hAnsi="Wingdings" w:hint="default"/>
      </w:rPr>
    </w:lvl>
  </w:abstractNum>
  <w:abstractNum w:abstractNumId="12">
    <w:nsid w:val="074D4D76"/>
    <w:multiLevelType w:val="hybridMultilevel"/>
    <w:tmpl w:val="EB62C9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74A2C71"/>
    <w:multiLevelType w:val="singleLevel"/>
    <w:tmpl w:val="00000000"/>
    <w:lvl w:ilvl="0">
      <w:start w:val="1"/>
      <w:numFmt w:val="bullet"/>
      <w:lvlText w:val=""/>
      <w:lvlJc w:val="left"/>
      <w:pPr>
        <w:tabs>
          <w:tab w:val="num" w:pos="0"/>
        </w:tabs>
        <w:ind w:left="360" w:hanging="360"/>
      </w:pPr>
      <w:rPr>
        <w:rFonts w:ascii="Wingdings" w:hAnsi="Wingdings" w:hint="default"/>
      </w:rPr>
    </w:lvl>
  </w:abstractNum>
  <w:abstractNum w:abstractNumId="14">
    <w:nsid w:val="17CA47E5"/>
    <w:multiLevelType w:val="multilevel"/>
    <w:tmpl w:val="B58AE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74249A8"/>
    <w:multiLevelType w:val="hybridMultilevel"/>
    <w:tmpl w:val="01CA13C2"/>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6">
    <w:nsid w:val="2D595EBC"/>
    <w:multiLevelType w:val="hybridMultilevel"/>
    <w:tmpl w:val="5C325A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2FAD4BE2"/>
    <w:multiLevelType w:val="hybridMultilevel"/>
    <w:tmpl w:val="D9E4B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81650D4"/>
    <w:multiLevelType w:val="hybridMultilevel"/>
    <w:tmpl w:val="553EC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FA27D39"/>
    <w:multiLevelType w:val="hybridMultilevel"/>
    <w:tmpl w:val="D5A4838C"/>
    <w:lvl w:ilvl="0" w:tplc="B9FEC91C">
      <w:start w:val="1"/>
      <w:numFmt w:val="bullet"/>
      <w:lvlText w:val=""/>
      <w:lvlJc w:val="left"/>
      <w:pPr>
        <w:tabs>
          <w:tab w:val="num" w:pos="720"/>
        </w:tabs>
        <w:ind w:left="720" w:hanging="360"/>
      </w:pPr>
      <w:rPr>
        <w:rFonts w:ascii="Wingdings" w:hAnsi="Wingdings"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43B465D"/>
    <w:multiLevelType w:val="multilevel"/>
    <w:tmpl w:val="54AA5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57F61D8"/>
    <w:multiLevelType w:val="hybridMultilevel"/>
    <w:tmpl w:val="04D6F4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2">
    <w:nsid w:val="45D124CA"/>
    <w:multiLevelType w:val="hybridMultilevel"/>
    <w:tmpl w:val="22928A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46C40325"/>
    <w:multiLevelType w:val="hybridMultilevel"/>
    <w:tmpl w:val="BB0A1B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49CA7F2B"/>
    <w:multiLevelType w:val="hybridMultilevel"/>
    <w:tmpl w:val="22440D78"/>
    <w:lvl w:ilvl="0" w:tplc="FFFFFFFF">
      <w:start w:val="1"/>
      <w:numFmt w:val="bullet"/>
      <w:pStyle w:val="MtgPaperdotpoin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3"/>
        </w:tabs>
        <w:ind w:left="1083" w:hanging="363"/>
      </w:pPr>
      <w:rPr>
        <w:rFonts w:ascii="Symbol" w:hAnsi="Symbol" w:hint="default"/>
        <w:b w:val="0"/>
        <w:i w:val="0"/>
        <w:color w:val="auto"/>
        <w:sz w:val="20"/>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nsid w:val="4A850269"/>
    <w:multiLevelType w:val="hybridMultilevel"/>
    <w:tmpl w:val="3B06D1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50BD2CE1"/>
    <w:multiLevelType w:val="hybridMultilevel"/>
    <w:tmpl w:val="D534D29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51A57208"/>
    <w:multiLevelType w:val="hybridMultilevel"/>
    <w:tmpl w:val="DB82ABE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8">
    <w:nsid w:val="5BEC3DBD"/>
    <w:multiLevelType w:val="hybridMultilevel"/>
    <w:tmpl w:val="85A462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5E104700"/>
    <w:multiLevelType w:val="hybridMultilevel"/>
    <w:tmpl w:val="FBCE9C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5F8C3D05"/>
    <w:multiLevelType w:val="hybridMultilevel"/>
    <w:tmpl w:val="58C05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10A02C5"/>
    <w:multiLevelType w:val="hybridMultilevel"/>
    <w:tmpl w:val="B84CC4F0"/>
    <w:lvl w:ilvl="0" w:tplc="A0D0ED80">
      <w:start w:val="1"/>
      <w:numFmt w:val="bullet"/>
      <w:pStyle w:val="Dotpoin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2">
    <w:nsid w:val="64B12BA4"/>
    <w:multiLevelType w:val="hybridMultilevel"/>
    <w:tmpl w:val="C818E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BBA0B85"/>
    <w:multiLevelType w:val="hybridMultilevel"/>
    <w:tmpl w:val="44608D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6E6568BB"/>
    <w:multiLevelType w:val="hybridMultilevel"/>
    <w:tmpl w:val="7D744170"/>
    <w:lvl w:ilvl="0" w:tplc="E8267DE4">
      <w:start w:val="1"/>
      <w:numFmt w:val="bullet"/>
      <w:pStyle w:val="Dotpoint1"/>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81521E0"/>
    <w:multiLevelType w:val="hybridMultilevel"/>
    <w:tmpl w:val="AFD2B0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13"/>
  </w:num>
  <w:num w:numId="3">
    <w:abstractNumId w:val="10"/>
  </w:num>
  <w:num w:numId="4">
    <w:abstractNumId w:val="22"/>
  </w:num>
  <w:num w:numId="5">
    <w:abstractNumId w:val="12"/>
  </w:num>
  <w:num w:numId="6">
    <w:abstractNumId w:val="27"/>
  </w:num>
  <w:num w:numId="7">
    <w:abstractNumId w:val="29"/>
  </w:num>
  <w:num w:numId="8">
    <w:abstractNumId w:val="28"/>
  </w:num>
  <w:num w:numId="9">
    <w:abstractNumId w:val="33"/>
  </w:num>
  <w:num w:numId="10">
    <w:abstractNumId w:val="23"/>
  </w:num>
  <w:num w:numId="11">
    <w:abstractNumId w:val="18"/>
  </w:num>
  <w:num w:numId="12">
    <w:abstractNumId w:val="25"/>
  </w:num>
  <w:num w:numId="13">
    <w:abstractNumId w:val="26"/>
  </w:num>
  <w:num w:numId="14">
    <w:abstractNumId w:val="15"/>
  </w:num>
  <w:num w:numId="15">
    <w:abstractNumId w:val="19"/>
  </w:num>
  <w:num w:numId="16">
    <w:abstractNumId w:val="16"/>
  </w:num>
  <w:num w:numId="17">
    <w:abstractNumId w:val="9"/>
  </w:num>
  <w:num w:numId="18">
    <w:abstractNumId w:val="7"/>
  </w:num>
  <w:num w:numId="19">
    <w:abstractNumId w:val="6"/>
  </w:num>
  <w:num w:numId="20">
    <w:abstractNumId w:val="5"/>
  </w:num>
  <w:num w:numId="21">
    <w:abstractNumId w:val="4"/>
  </w:num>
  <w:num w:numId="22">
    <w:abstractNumId w:val="11"/>
  </w:num>
  <w:num w:numId="23">
    <w:abstractNumId w:val="13"/>
  </w:num>
  <w:num w:numId="24">
    <w:abstractNumId w:val="11"/>
  </w:num>
  <w:num w:numId="25">
    <w:abstractNumId w:val="13"/>
  </w:num>
  <w:num w:numId="26">
    <w:abstractNumId w:val="34"/>
  </w:num>
  <w:num w:numId="27">
    <w:abstractNumId w:val="31"/>
  </w:num>
  <w:num w:numId="28">
    <w:abstractNumId w:val="8"/>
  </w:num>
  <w:num w:numId="29">
    <w:abstractNumId w:val="3"/>
  </w:num>
  <w:num w:numId="30">
    <w:abstractNumId w:val="2"/>
  </w:num>
  <w:num w:numId="31">
    <w:abstractNumId w:val="1"/>
  </w:num>
  <w:num w:numId="32">
    <w:abstractNumId w:val="0"/>
  </w:num>
  <w:num w:numId="33">
    <w:abstractNumId w:val="10"/>
  </w:num>
  <w:num w:numId="34">
    <w:abstractNumId w:val="30"/>
  </w:num>
  <w:num w:numId="35">
    <w:abstractNumId w:val="35"/>
  </w:num>
  <w:num w:numId="36">
    <w:abstractNumId w:val="17"/>
  </w:num>
  <w:num w:numId="37">
    <w:abstractNumId w:val="24"/>
  </w:num>
  <w:num w:numId="38">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14"/>
  </w:num>
  <w:num w:numId="4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activeWritingStyle w:appName="MSWord" w:lang="en-US" w:vendorID="8" w:dllVersion="513" w:checkStyle="1"/>
  <w:activeWritingStyle w:appName="MSWord" w:lang="en-AU" w:vendorID="8" w:dllVersion="513" w:checkStyle="1"/>
  <w:activeWritingStyle w:appName="MSWord" w:lang="en-GB" w:vendorID="8" w:dllVersion="513" w:checkStyle="1"/>
  <w:attachedTemplate r:id="rId1"/>
  <w:stylePaneFormatFilter w:val="9F08"/>
  <w:stylePaneSortMethod w:val="0000"/>
  <w:defaultTabStop w:val="720"/>
  <w:doNotHyphenateCaps/>
  <w:clickAndTypeStyle w:val="Text"/>
  <w:evenAndOddHeaders/>
  <w:drawingGridHorizontalSpacing w:val="95"/>
  <w:displayHorizontalDrawingGridEvery w:val="0"/>
  <w:displayVerticalDrawingGridEvery w:val="2"/>
  <w:noPunctuationKerning/>
  <w:characterSpacingControl w:val="doNotCompress"/>
  <w:hdrShapeDefaults>
    <o:shapedefaults v:ext="edit" spidmax="53250"/>
    <o:shapelayout v:ext="edit">
      <o:idmap v:ext="edit" data="2"/>
    </o:shapelayout>
  </w:hdrShapeDefaults>
  <w:footnotePr>
    <w:footnote w:id="-1"/>
    <w:footnote w:id="0"/>
  </w:footnotePr>
  <w:endnotePr>
    <w:endnote w:id="-1"/>
    <w:endnote w:id="0"/>
  </w:endnotePr>
  <w:compat/>
  <w:rsids>
    <w:rsidRoot w:val="003F2DBB"/>
    <w:rsid w:val="000108B2"/>
    <w:rsid w:val="00012B64"/>
    <w:rsid w:val="00013265"/>
    <w:rsid w:val="00013AF5"/>
    <w:rsid w:val="00013D64"/>
    <w:rsid w:val="00022290"/>
    <w:rsid w:val="00027822"/>
    <w:rsid w:val="000315D7"/>
    <w:rsid w:val="00033C16"/>
    <w:rsid w:val="000369B0"/>
    <w:rsid w:val="00036BC8"/>
    <w:rsid w:val="000507C4"/>
    <w:rsid w:val="000560F1"/>
    <w:rsid w:val="00060555"/>
    <w:rsid w:val="0006125F"/>
    <w:rsid w:val="000643E2"/>
    <w:rsid w:val="000672C1"/>
    <w:rsid w:val="00072F42"/>
    <w:rsid w:val="00074629"/>
    <w:rsid w:val="00074BD4"/>
    <w:rsid w:val="000A0745"/>
    <w:rsid w:val="000B223C"/>
    <w:rsid w:val="000B27B7"/>
    <w:rsid w:val="000B4135"/>
    <w:rsid w:val="000B668B"/>
    <w:rsid w:val="000C6E0F"/>
    <w:rsid w:val="000D18BF"/>
    <w:rsid w:val="000D1F3C"/>
    <w:rsid w:val="000F103A"/>
    <w:rsid w:val="000F641C"/>
    <w:rsid w:val="000F6C70"/>
    <w:rsid w:val="0010761A"/>
    <w:rsid w:val="00115865"/>
    <w:rsid w:val="00122C76"/>
    <w:rsid w:val="00123B5C"/>
    <w:rsid w:val="00126B95"/>
    <w:rsid w:val="00130677"/>
    <w:rsid w:val="001308BE"/>
    <w:rsid w:val="00132836"/>
    <w:rsid w:val="00135C75"/>
    <w:rsid w:val="00142408"/>
    <w:rsid w:val="00146751"/>
    <w:rsid w:val="001507DB"/>
    <w:rsid w:val="00150874"/>
    <w:rsid w:val="001509F3"/>
    <w:rsid w:val="001520A6"/>
    <w:rsid w:val="00155839"/>
    <w:rsid w:val="0016090E"/>
    <w:rsid w:val="0016133C"/>
    <w:rsid w:val="001666C7"/>
    <w:rsid w:val="00166EF6"/>
    <w:rsid w:val="00170452"/>
    <w:rsid w:val="00173C9B"/>
    <w:rsid w:val="00177827"/>
    <w:rsid w:val="00184504"/>
    <w:rsid w:val="001A536C"/>
    <w:rsid w:val="001B09F3"/>
    <w:rsid w:val="001B1E72"/>
    <w:rsid w:val="001B1FEE"/>
    <w:rsid w:val="001B43CF"/>
    <w:rsid w:val="001B6728"/>
    <w:rsid w:val="001C2C41"/>
    <w:rsid w:val="001F2194"/>
    <w:rsid w:val="001F37BD"/>
    <w:rsid w:val="001F7D84"/>
    <w:rsid w:val="002064A2"/>
    <w:rsid w:val="0020661D"/>
    <w:rsid w:val="00214CB2"/>
    <w:rsid w:val="002277A9"/>
    <w:rsid w:val="00233BFA"/>
    <w:rsid w:val="00247257"/>
    <w:rsid w:val="0025008C"/>
    <w:rsid w:val="00251785"/>
    <w:rsid w:val="00251992"/>
    <w:rsid w:val="002525E1"/>
    <w:rsid w:val="00261B7C"/>
    <w:rsid w:val="00266B83"/>
    <w:rsid w:val="002742EB"/>
    <w:rsid w:val="002774EA"/>
    <w:rsid w:val="00284FCB"/>
    <w:rsid w:val="00287C3E"/>
    <w:rsid w:val="002A285F"/>
    <w:rsid w:val="002B07FD"/>
    <w:rsid w:val="002C65B1"/>
    <w:rsid w:val="002C76BD"/>
    <w:rsid w:val="002D4338"/>
    <w:rsid w:val="002E196B"/>
    <w:rsid w:val="002F16D0"/>
    <w:rsid w:val="002F2967"/>
    <w:rsid w:val="003030ED"/>
    <w:rsid w:val="0031283C"/>
    <w:rsid w:val="00316E0B"/>
    <w:rsid w:val="00323241"/>
    <w:rsid w:val="003255C2"/>
    <w:rsid w:val="0033348A"/>
    <w:rsid w:val="00333C33"/>
    <w:rsid w:val="00334CE3"/>
    <w:rsid w:val="00340B4D"/>
    <w:rsid w:val="00342A9F"/>
    <w:rsid w:val="00343613"/>
    <w:rsid w:val="00345BDE"/>
    <w:rsid w:val="003604F3"/>
    <w:rsid w:val="00363DAF"/>
    <w:rsid w:val="003654B4"/>
    <w:rsid w:val="00371694"/>
    <w:rsid w:val="003745FF"/>
    <w:rsid w:val="003929D8"/>
    <w:rsid w:val="00397C94"/>
    <w:rsid w:val="003A4061"/>
    <w:rsid w:val="003B16DA"/>
    <w:rsid w:val="003B483E"/>
    <w:rsid w:val="003D5EB0"/>
    <w:rsid w:val="003D6237"/>
    <w:rsid w:val="003E67CB"/>
    <w:rsid w:val="003F0933"/>
    <w:rsid w:val="003F2DBB"/>
    <w:rsid w:val="003F3C2A"/>
    <w:rsid w:val="003F5D13"/>
    <w:rsid w:val="0040482E"/>
    <w:rsid w:val="0040763F"/>
    <w:rsid w:val="004123F1"/>
    <w:rsid w:val="00423371"/>
    <w:rsid w:val="00424C14"/>
    <w:rsid w:val="00430FD7"/>
    <w:rsid w:val="00436EA9"/>
    <w:rsid w:val="004423DA"/>
    <w:rsid w:val="00471E2A"/>
    <w:rsid w:val="00474563"/>
    <w:rsid w:val="004749AC"/>
    <w:rsid w:val="004824B2"/>
    <w:rsid w:val="00482F98"/>
    <w:rsid w:val="0048482F"/>
    <w:rsid w:val="0048643A"/>
    <w:rsid w:val="0048663C"/>
    <w:rsid w:val="00486AAE"/>
    <w:rsid w:val="0049453B"/>
    <w:rsid w:val="00494E7C"/>
    <w:rsid w:val="004B0F63"/>
    <w:rsid w:val="004B75E2"/>
    <w:rsid w:val="004C15E4"/>
    <w:rsid w:val="004C24D1"/>
    <w:rsid w:val="004C3082"/>
    <w:rsid w:val="004C4063"/>
    <w:rsid w:val="004D0878"/>
    <w:rsid w:val="004D4802"/>
    <w:rsid w:val="004D5988"/>
    <w:rsid w:val="004E7227"/>
    <w:rsid w:val="005012D8"/>
    <w:rsid w:val="005038CE"/>
    <w:rsid w:val="00513D4A"/>
    <w:rsid w:val="00520315"/>
    <w:rsid w:val="0052276C"/>
    <w:rsid w:val="00531450"/>
    <w:rsid w:val="00541B94"/>
    <w:rsid w:val="00543678"/>
    <w:rsid w:val="00546FC8"/>
    <w:rsid w:val="00570758"/>
    <w:rsid w:val="00596960"/>
    <w:rsid w:val="005A2C46"/>
    <w:rsid w:val="005B5A35"/>
    <w:rsid w:val="005C277E"/>
    <w:rsid w:val="005C61F8"/>
    <w:rsid w:val="005E4396"/>
    <w:rsid w:val="005E4764"/>
    <w:rsid w:val="0060463A"/>
    <w:rsid w:val="00604F22"/>
    <w:rsid w:val="00612E84"/>
    <w:rsid w:val="00614F6B"/>
    <w:rsid w:val="00625744"/>
    <w:rsid w:val="006275D5"/>
    <w:rsid w:val="00631687"/>
    <w:rsid w:val="00645A05"/>
    <w:rsid w:val="00650EA1"/>
    <w:rsid w:val="00652973"/>
    <w:rsid w:val="00656679"/>
    <w:rsid w:val="00676120"/>
    <w:rsid w:val="006766E4"/>
    <w:rsid w:val="0067712D"/>
    <w:rsid w:val="00682A97"/>
    <w:rsid w:val="00696A48"/>
    <w:rsid w:val="00696B1A"/>
    <w:rsid w:val="006A1CE4"/>
    <w:rsid w:val="006C427E"/>
    <w:rsid w:val="006C5DA9"/>
    <w:rsid w:val="006D6F38"/>
    <w:rsid w:val="006D7A72"/>
    <w:rsid w:val="006E1D28"/>
    <w:rsid w:val="006E2948"/>
    <w:rsid w:val="006E4D70"/>
    <w:rsid w:val="00700B5D"/>
    <w:rsid w:val="007037A4"/>
    <w:rsid w:val="00712E5F"/>
    <w:rsid w:val="007205E2"/>
    <w:rsid w:val="00731EC8"/>
    <w:rsid w:val="0073773B"/>
    <w:rsid w:val="00751C29"/>
    <w:rsid w:val="00763F28"/>
    <w:rsid w:val="007700A8"/>
    <w:rsid w:val="00780420"/>
    <w:rsid w:val="007830D8"/>
    <w:rsid w:val="00783F44"/>
    <w:rsid w:val="00784F4E"/>
    <w:rsid w:val="00785D2C"/>
    <w:rsid w:val="00787494"/>
    <w:rsid w:val="007A031D"/>
    <w:rsid w:val="007A2079"/>
    <w:rsid w:val="007A3811"/>
    <w:rsid w:val="007B6C4A"/>
    <w:rsid w:val="007C3281"/>
    <w:rsid w:val="007C50A7"/>
    <w:rsid w:val="007C75D3"/>
    <w:rsid w:val="007E2D8C"/>
    <w:rsid w:val="007E69B3"/>
    <w:rsid w:val="007F3270"/>
    <w:rsid w:val="007F6344"/>
    <w:rsid w:val="00800A2B"/>
    <w:rsid w:val="0080254E"/>
    <w:rsid w:val="00803E3D"/>
    <w:rsid w:val="008056ED"/>
    <w:rsid w:val="00806C1C"/>
    <w:rsid w:val="008130C3"/>
    <w:rsid w:val="00824556"/>
    <w:rsid w:val="00826757"/>
    <w:rsid w:val="00842044"/>
    <w:rsid w:val="00852661"/>
    <w:rsid w:val="00856488"/>
    <w:rsid w:val="00856DFC"/>
    <w:rsid w:val="00862B0E"/>
    <w:rsid w:val="00862C69"/>
    <w:rsid w:val="0086355B"/>
    <w:rsid w:val="008700C5"/>
    <w:rsid w:val="00873522"/>
    <w:rsid w:val="00874DA5"/>
    <w:rsid w:val="00883B0F"/>
    <w:rsid w:val="00891625"/>
    <w:rsid w:val="008923B6"/>
    <w:rsid w:val="00894271"/>
    <w:rsid w:val="00894F76"/>
    <w:rsid w:val="008B22E2"/>
    <w:rsid w:val="008B4B8A"/>
    <w:rsid w:val="008C0A74"/>
    <w:rsid w:val="008C2283"/>
    <w:rsid w:val="008C5927"/>
    <w:rsid w:val="008D0527"/>
    <w:rsid w:val="008D41C9"/>
    <w:rsid w:val="008F02E0"/>
    <w:rsid w:val="008F20BA"/>
    <w:rsid w:val="008F4F5F"/>
    <w:rsid w:val="00900B7F"/>
    <w:rsid w:val="00903A2A"/>
    <w:rsid w:val="009058B5"/>
    <w:rsid w:val="009074FA"/>
    <w:rsid w:val="009148FA"/>
    <w:rsid w:val="00921FDF"/>
    <w:rsid w:val="00933317"/>
    <w:rsid w:val="009358E4"/>
    <w:rsid w:val="00940FF3"/>
    <w:rsid w:val="009461ED"/>
    <w:rsid w:val="00946F3E"/>
    <w:rsid w:val="009538E6"/>
    <w:rsid w:val="0095525C"/>
    <w:rsid w:val="00965CF8"/>
    <w:rsid w:val="00966689"/>
    <w:rsid w:val="009704E4"/>
    <w:rsid w:val="00975596"/>
    <w:rsid w:val="009772E3"/>
    <w:rsid w:val="009775C7"/>
    <w:rsid w:val="0098689E"/>
    <w:rsid w:val="00987EDC"/>
    <w:rsid w:val="00997FB1"/>
    <w:rsid w:val="009A3DDB"/>
    <w:rsid w:val="009A6347"/>
    <w:rsid w:val="009B7510"/>
    <w:rsid w:val="009C22BE"/>
    <w:rsid w:val="009C3FF7"/>
    <w:rsid w:val="009C6DE1"/>
    <w:rsid w:val="009D67F9"/>
    <w:rsid w:val="009D7C4D"/>
    <w:rsid w:val="009E1A4B"/>
    <w:rsid w:val="009E1E1D"/>
    <w:rsid w:val="009E231A"/>
    <w:rsid w:val="009E2F64"/>
    <w:rsid w:val="009F18E1"/>
    <w:rsid w:val="009F466D"/>
    <w:rsid w:val="00A10A6B"/>
    <w:rsid w:val="00A10E2B"/>
    <w:rsid w:val="00A2304C"/>
    <w:rsid w:val="00A30084"/>
    <w:rsid w:val="00A32CDD"/>
    <w:rsid w:val="00A41607"/>
    <w:rsid w:val="00A459B4"/>
    <w:rsid w:val="00A50895"/>
    <w:rsid w:val="00A5296D"/>
    <w:rsid w:val="00A548B1"/>
    <w:rsid w:val="00A564E1"/>
    <w:rsid w:val="00A567A3"/>
    <w:rsid w:val="00A56A4A"/>
    <w:rsid w:val="00A60A5F"/>
    <w:rsid w:val="00A64364"/>
    <w:rsid w:val="00A679DB"/>
    <w:rsid w:val="00A7278C"/>
    <w:rsid w:val="00A73318"/>
    <w:rsid w:val="00A77992"/>
    <w:rsid w:val="00A83F6A"/>
    <w:rsid w:val="00A93867"/>
    <w:rsid w:val="00AA44D4"/>
    <w:rsid w:val="00AA4D59"/>
    <w:rsid w:val="00AA626C"/>
    <w:rsid w:val="00AA6E75"/>
    <w:rsid w:val="00AB436F"/>
    <w:rsid w:val="00AB7C9D"/>
    <w:rsid w:val="00AC688A"/>
    <w:rsid w:val="00AE0C58"/>
    <w:rsid w:val="00AE1E81"/>
    <w:rsid w:val="00AE729D"/>
    <w:rsid w:val="00AF1005"/>
    <w:rsid w:val="00AF4B3C"/>
    <w:rsid w:val="00B01DA4"/>
    <w:rsid w:val="00B05F5C"/>
    <w:rsid w:val="00B14023"/>
    <w:rsid w:val="00B2284E"/>
    <w:rsid w:val="00B37C26"/>
    <w:rsid w:val="00B41272"/>
    <w:rsid w:val="00B426FE"/>
    <w:rsid w:val="00B505F7"/>
    <w:rsid w:val="00B56CB0"/>
    <w:rsid w:val="00B60139"/>
    <w:rsid w:val="00B63FB5"/>
    <w:rsid w:val="00B64B58"/>
    <w:rsid w:val="00B67DA1"/>
    <w:rsid w:val="00B70796"/>
    <w:rsid w:val="00B70CBA"/>
    <w:rsid w:val="00B722FF"/>
    <w:rsid w:val="00B77043"/>
    <w:rsid w:val="00B7773B"/>
    <w:rsid w:val="00B86D06"/>
    <w:rsid w:val="00B979A5"/>
    <w:rsid w:val="00BA5323"/>
    <w:rsid w:val="00BB113D"/>
    <w:rsid w:val="00BB1700"/>
    <w:rsid w:val="00BB2BB0"/>
    <w:rsid w:val="00BB3D6F"/>
    <w:rsid w:val="00BC2A96"/>
    <w:rsid w:val="00BC770A"/>
    <w:rsid w:val="00BC7C47"/>
    <w:rsid w:val="00BD41AF"/>
    <w:rsid w:val="00BD426F"/>
    <w:rsid w:val="00BD6998"/>
    <w:rsid w:val="00BF690E"/>
    <w:rsid w:val="00C00D4D"/>
    <w:rsid w:val="00C02CDC"/>
    <w:rsid w:val="00C036A7"/>
    <w:rsid w:val="00C040E3"/>
    <w:rsid w:val="00C053D5"/>
    <w:rsid w:val="00C17487"/>
    <w:rsid w:val="00C27F4B"/>
    <w:rsid w:val="00C33576"/>
    <w:rsid w:val="00C37003"/>
    <w:rsid w:val="00C445D6"/>
    <w:rsid w:val="00C54125"/>
    <w:rsid w:val="00C560CF"/>
    <w:rsid w:val="00C63294"/>
    <w:rsid w:val="00C77DC6"/>
    <w:rsid w:val="00C801DA"/>
    <w:rsid w:val="00C85283"/>
    <w:rsid w:val="00C91E2E"/>
    <w:rsid w:val="00C926F0"/>
    <w:rsid w:val="00C9656D"/>
    <w:rsid w:val="00C9664D"/>
    <w:rsid w:val="00C96CAC"/>
    <w:rsid w:val="00C9758B"/>
    <w:rsid w:val="00CA4AD5"/>
    <w:rsid w:val="00CA4AFC"/>
    <w:rsid w:val="00CA795A"/>
    <w:rsid w:val="00CB2C59"/>
    <w:rsid w:val="00CB2D3E"/>
    <w:rsid w:val="00CC3DB2"/>
    <w:rsid w:val="00CC3E0A"/>
    <w:rsid w:val="00CC6E17"/>
    <w:rsid w:val="00CD5F32"/>
    <w:rsid w:val="00CD6AAD"/>
    <w:rsid w:val="00CD722C"/>
    <w:rsid w:val="00CD793E"/>
    <w:rsid w:val="00CE332A"/>
    <w:rsid w:val="00CF3CED"/>
    <w:rsid w:val="00D11058"/>
    <w:rsid w:val="00D11198"/>
    <w:rsid w:val="00D13B4F"/>
    <w:rsid w:val="00D31CCD"/>
    <w:rsid w:val="00D32928"/>
    <w:rsid w:val="00D360D0"/>
    <w:rsid w:val="00D43B5F"/>
    <w:rsid w:val="00D576B6"/>
    <w:rsid w:val="00D70F79"/>
    <w:rsid w:val="00D75797"/>
    <w:rsid w:val="00D806B0"/>
    <w:rsid w:val="00D9169B"/>
    <w:rsid w:val="00DA1318"/>
    <w:rsid w:val="00DA4D95"/>
    <w:rsid w:val="00DA6447"/>
    <w:rsid w:val="00DA65F0"/>
    <w:rsid w:val="00DB2B1B"/>
    <w:rsid w:val="00DB5637"/>
    <w:rsid w:val="00DB599C"/>
    <w:rsid w:val="00DC5F5C"/>
    <w:rsid w:val="00DC6057"/>
    <w:rsid w:val="00DC6923"/>
    <w:rsid w:val="00DC7B68"/>
    <w:rsid w:val="00DD6FE3"/>
    <w:rsid w:val="00DD76FC"/>
    <w:rsid w:val="00DE2C71"/>
    <w:rsid w:val="00DE7A5A"/>
    <w:rsid w:val="00DF057C"/>
    <w:rsid w:val="00DF1935"/>
    <w:rsid w:val="00DF1E4B"/>
    <w:rsid w:val="00DF5A33"/>
    <w:rsid w:val="00E01D75"/>
    <w:rsid w:val="00E06B95"/>
    <w:rsid w:val="00E07BD1"/>
    <w:rsid w:val="00E123CB"/>
    <w:rsid w:val="00E131AC"/>
    <w:rsid w:val="00E14FA9"/>
    <w:rsid w:val="00E16176"/>
    <w:rsid w:val="00E16831"/>
    <w:rsid w:val="00E236D0"/>
    <w:rsid w:val="00E27BBE"/>
    <w:rsid w:val="00E322E9"/>
    <w:rsid w:val="00E365F8"/>
    <w:rsid w:val="00E432D8"/>
    <w:rsid w:val="00E45A10"/>
    <w:rsid w:val="00E51340"/>
    <w:rsid w:val="00E52313"/>
    <w:rsid w:val="00E56EC1"/>
    <w:rsid w:val="00E57478"/>
    <w:rsid w:val="00E63334"/>
    <w:rsid w:val="00E652DC"/>
    <w:rsid w:val="00E7318A"/>
    <w:rsid w:val="00E73375"/>
    <w:rsid w:val="00E7392B"/>
    <w:rsid w:val="00E81087"/>
    <w:rsid w:val="00E81A91"/>
    <w:rsid w:val="00E93297"/>
    <w:rsid w:val="00E95812"/>
    <w:rsid w:val="00E95948"/>
    <w:rsid w:val="00EC0CAE"/>
    <w:rsid w:val="00EC29E3"/>
    <w:rsid w:val="00EC3B91"/>
    <w:rsid w:val="00EC6774"/>
    <w:rsid w:val="00ED2073"/>
    <w:rsid w:val="00ED24F6"/>
    <w:rsid w:val="00ED4D6D"/>
    <w:rsid w:val="00ED5DD0"/>
    <w:rsid w:val="00EE42D9"/>
    <w:rsid w:val="00EE67B3"/>
    <w:rsid w:val="00EE6FBE"/>
    <w:rsid w:val="00EF28D4"/>
    <w:rsid w:val="00EF49A6"/>
    <w:rsid w:val="00F00F1D"/>
    <w:rsid w:val="00F07919"/>
    <w:rsid w:val="00F115E0"/>
    <w:rsid w:val="00F25365"/>
    <w:rsid w:val="00F47E47"/>
    <w:rsid w:val="00F527E1"/>
    <w:rsid w:val="00F60B28"/>
    <w:rsid w:val="00F60BA5"/>
    <w:rsid w:val="00F623B8"/>
    <w:rsid w:val="00F73740"/>
    <w:rsid w:val="00F76C95"/>
    <w:rsid w:val="00F8762F"/>
    <w:rsid w:val="00F93048"/>
    <w:rsid w:val="00FA253D"/>
    <w:rsid w:val="00FA5C70"/>
    <w:rsid w:val="00FA79F7"/>
    <w:rsid w:val="00FB4F51"/>
    <w:rsid w:val="00FB581B"/>
    <w:rsid w:val="00FB585D"/>
    <w:rsid w:val="00FE01EA"/>
    <w:rsid w:val="00FE3F74"/>
    <w:rsid w:val="00FE4A2D"/>
    <w:rsid w:val="00FF3720"/>
    <w:rsid w:val="00FF41C9"/>
    <w:rsid w:val="00FF5931"/>
    <w:rsid w:val="00FF6018"/>
  </w:rsids>
  <m:mathPr>
    <m:mathFont m:val="Cambria Math"/>
    <m:brkBin m:val="before"/>
    <m:brkBinSub m:val="--"/>
    <m:smallFrac m:val="off"/>
    <m:dispDef m:val="of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0"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uiPriority="9"/>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header" w:unhideWhenUsed="1"/>
    <w:lsdException w:name="footer" w:unhideWhenUsed="1"/>
    <w:lsdException w:name="caption" w:uiPriority="35" w:qFormat="1"/>
    <w:lsdException w:name="table of figures" w:unhideWhenUsed="1"/>
    <w:lsdException w:name="page number" w:unhideWhenUsed="1"/>
    <w:lsdException w:name="Title" w:uiPriority="10" w:qFormat="1"/>
    <w:lsdException w:name="Default Paragraph Font" w:uiPriority="1" w:unhideWhenUsed="1"/>
    <w:lsdException w:name="Body Text" w:uiPriority="0"/>
    <w:lsdException w:name="Body Text Indent" w:uiPriority="0"/>
    <w:lsdException w:name="Subtitle" w:uiPriority="11" w:qFormat="1"/>
    <w:lsdException w:name="Body Text 2" w:uiPriority="0"/>
    <w:lsdException w:name="Hyperlink" w:uiPriority="0" w:unhideWhenUsed="1"/>
    <w:lsdException w:name="Strong" w:uiPriority="22" w:qFormat="1"/>
    <w:lsdException w:name="Emphasis" w:uiPriority="20" w:qFormat="1"/>
    <w:lsdException w:name="HTML Top of Form" w:unhideWhenUsed="1"/>
    <w:lsdException w:name="HTML Bottom of Form" w:unhideWhenUsed="1"/>
    <w:lsdException w:name="Normal (Web)"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1"/>
    <w:semiHidden/>
    <w:qFormat/>
    <w:rsid w:val="008923B6"/>
    <w:pPr>
      <w:spacing w:before="160" w:line="260" w:lineRule="exact"/>
    </w:pPr>
    <w:rPr>
      <w:rFonts w:ascii="Trebuchet MS" w:hAnsi="Trebuchet MS"/>
      <w:sz w:val="19"/>
      <w:lang w:eastAsia="en-US"/>
    </w:rPr>
  </w:style>
  <w:style w:type="paragraph" w:styleId="Heading1">
    <w:name w:val="heading 1"/>
    <w:next w:val="Text"/>
    <w:qFormat/>
    <w:rsid w:val="009775C7"/>
    <w:pPr>
      <w:keepNext/>
      <w:spacing w:after="360"/>
      <w:outlineLvl w:val="0"/>
    </w:pPr>
    <w:rPr>
      <w:rFonts w:ascii="Tahoma" w:hAnsi="Tahoma" w:cs="Tahoma"/>
      <w:color w:val="000000"/>
      <w:kern w:val="28"/>
      <w:sz w:val="56"/>
      <w:szCs w:val="56"/>
      <w:lang w:eastAsia="en-US"/>
    </w:rPr>
  </w:style>
  <w:style w:type="paragraph" w:styleId="Heading2">
    <w:name w:val="heading 2"/>
    <w:next w:val="Text"/>
    <w:qFormat/>
    <w:rsid w:val="009775C7"/>
    <w:pPr>
      <w:keepNext/>
      <w:spacing w:before="360"/>
      <w:ind w:right="-369"/>
      <w:outlineLvl w:val="1"/>
    </w:pPr>
    <w:rPr>
      <w:rFonts w:ascii="Tahoma" w:hAnsi="Tahoma" w:cs="Tahoma"/>
      <w:sz w:val="28"/>
      <w:lang w:eastAsia="en-US"/>
    </w:rPr>
  </w:style>
  <w:style w:type="paragraph" w:styleId="Heading3">
    <w:name w:val="heading 3"/>
    <w:next w:val="Text"/>
    <w:link w:val="Heading3Char"/>
    <w:qFormat/>
    <w:rsid w:val="00800A2B"/>
    <w:pPr>
      <w:spacing w:before="280" w:line="320" w:lineRule="exact"/>
      <w:outlineLvl w:val="2"/>
    </w:pPr>
    <w:rPr>
      <w:rFonts w:ascii="Tahoma" w:hAnsi="Tahoma" w:cs="Tahoma"/>
      <w:color w:val="000000"/>
      <w:sz w:val="24"/>
      <w:lang w:eastAsia="en-US"/>
    </w:rPr>
  </w:style>
  <w:style w:type="paragraph" w:styleId="Heading4">
    <w:name w:val="heading 4"/>
    <w:next w:val="Text"/>
    <w:qFormat/>
    <w:rsid w:val="007037A4"/>
    <w:pPr>
      <w:spacing w:before="240"/>
      <w:outlineLvl w:val="3"/>
    </w:pPr>
    <w:rPr>
      <w:rFonts w:ascii="Tahoma" w:hAnsi="Tahoma"/>
      <w:i/>
      <w:sz w:val="24"/>
      <w:lang w:eastAsia="en-US"/>
    </w:rPr>
  </w:style>
  <w:style w:type="paragraph" w:styleId="Heading5">
    <w:name w:val="heading 5"/>
    <w:basedOn w:val="Normal"/>
    <w:next w:val="Normal"/>
    <w:qFormat/>
    <w:rsid w:val="007037A4"/>
    <w:pPr>
      <w:keepNext/>
      <w:outlineLvl w:val="4"/>
    </w:pPr>
    <w:rPr>
      <w:rFonts w:ascii="Tahoma" w:hAnsi="Tahoma"/>
      <w:b/>
    </w:rPr>
  </w:style>
  <w:style w:type="paragraph" w:styleId="Heading6">
    <w:name w:val="heading 6"/>
    <w:basedOn w:val="Normal"/>
    <w:next w:val="Normal"/>
    <w:qFormat/>
    <w:rsid w:val="007037A4"/>
    <w:pPr>
      <w:keepNext/>
      <w:ind w:left="2977"/>
      <w:outlineLvl w:val="5"/>
    </w:pPr>
    <w:rPr>
      <w:rFonts w:ascii="Tahoma" w:hAnsi="Tahoma"/>
      <w:sz w:val="20"/>
    </w:rPr>
  </w:style>
  <w:style w:type="paragraph" w:styleId="Heading7">
    <w:name w:val="heading 7"/>
    <w:basedOn w:val="Normal"/>
    <w:next w:val="Normal"/>
    <w:qFormat/>
    <w:rsid w:val="007037A4"/>
    <w:pPr>
      <w:keepNext/>
      <w:jc w:val="center"/>
      <w:outlineLvl w:val="6"/>
    </w:pPr>
    <w:rPr>
      <w:rFonts w:ascii="Tahoma" w:hAnsi="Tahoma"/>
      <w:spacing w:val="20"/>
      <w:sz w:val="20"/>
    </w:rPr>
  </w:style>
  <w:style w:type="paragraph" w:styleId="Heading8">
    <w:name w:val="heading 8"/>
    <w:basedOn w:val="Normal"/>
    <w:next w:val="Normal"/>
    <w:qFormat/>
    <w:rsid w:val="007037A4"/>
    <w:pPr>
      <w:keepNext/>
      <w:jc w:val="center"/>
      <w:outlineLvl w:val="7"/>
    </w:pPr>
    <w:rPr>
      <w:rFonts w:ascii="Tahoma" w:hAnsi="Tahoma"/>
      <w:color w:val="C0C0C0"/>
      <w:spacing w:val="60"/>
      <w:sz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48643A"/>
    <w:pPr>
      <w:spacing w:before="160" w:line="300" w:lineRule="exact"/>
      <w:ind w:right="-1"/>
    </w:pPr>
    <w:rPr>
      <w:rFonts w:ascii="Trebuchet MS" w:hAnsi="Trebuchet MS"/>
      <w:sz w:val="19"/>
      <w:lang w:eastAsia="en-US"/>
    </w:rPr>
  </w:style>
  <w:style w:type="character" w:customStyle="1" w:styleId="TextChar">
    <w:name w:val="Text Char"/>
    <w:basedOn w:val="DefaultParagraphFont"/>
    <w:link w:val="Text"/>
    <w:rsid w:val="0048643A"/>
    <w:rPr>
      <w:rFonts w:ascii="Trebuchet MS" w:hAnsi="Trebuchet MS"/>
      <w:sz w:val="19"/>
      <w:lang w:val="en-AU" w:eastAsia="en-US" w:bidi="ar-SA"/>
    </w:rPr>
  </w:style>
  <w:style w:type="character" w:styleId="PageNumber">
    <w:name w:val="page number"/>
    <w:basedOn w:val="DefaultParagraphFont"/>
    <w:rsid w:val="007037A4"/>
    <w:rPr>
      <w:rFonts w:ascii="Tahoma" w:hAnsi="Tahoma"/>
      <w:sz w:val="18"/>
    </w:rPr>
  </w:style>
  <w:style w:type="paragraph" w:styleId="Footer">
    <w:name w:val="footer"/>
    <w:basedOn w:val="Normal"/>
    <w:rsid w:val="00AA44D4"/>
    <w:pPr>
      <w:tabs>
        <w:tab w:val="right" w:pos="8505"/>
      </w:tabs>
      <w:spacing w:before="0"/>
    </w:pPr>
    <w:rPr>
      <w:rFonts w:ascii="Tahoma" w:hAnsi="Tahoma"/>
      <w:sz w:val="17"/>
      <w:szCs w:val="17"/>
    </w:rPr>
  </w:style>
  <w:style w:type="paragraph" w:styleId="TOC1">
    <w:name w:val="toc 1"/>
    <w:uiPriority w:val="39"/>
    <w:rsid w:val="00C053D5"/>
    <w:pPr>
      <w:tabs>
        <w:tab w:val="right" w:pos="6804"/>
      </w:tabs>
      <w:spacing w:before="120" w:line="300" w:lineRule="exact"/>
      <w:ind w:right="1984"/>
    </w:pPr>
    <w:rPr>
      <w:rFonts w:ascii="Trebuchet MS" w:hAnsi="Trebuchet MS"/>
      <w:noProof/>
      <w:color w:val="000000"/>
      <w:sz w:val="19"/>
      <w:szCs w:val="19"/>
      <w:lang w:eastAsia="en-US"/>
    </w:rPr>
  </w:style>
  <w:style w:type="paragraph" w:styleId="TOC2">
    <w:name w:val="toc 2"/>
    <w:basedOn w:val="Normal"/>
    <w:next w:val="Normal"/>
    <w:uiPriority w:val="39"/>
    <w:rsid w:val="004E7227"/>
    <w:pPr>
      <w:tabs>
        <w:tab w:val="right" w:pos="6804"/>
      </w:tabs>
      <w:spacing w:before="20" w:after="20" w:line="300" w:lineRule="exact"/>
      <w:ind w:left="284"/>
    </w:pPr>
    <w:rPr>
      <w:noProof/>
      <w:color w:val="000000"/>
      <w:sz w:val="18"/>
      <w:szCs w:val="18"/>
    </w:rPr>
  </w:style>
  <w:style w:type="paragraph" w:customStyle="1" w:styleId="tabletitle">
    <w:name w:val="tabletitle"/>
    <w:next w:val="Text"/>
    <w:rsid w:val="00150874"/>
    <w:pPr>
      <w:spacing w:before="360" w:after="80"/>
      <w:ind w:left="851" w:hanging="851"/>
    </w:pPr>
    <w:rPr>
      <w:rFonts w:ascii="Tahoma" w:hAnsi="Tahoma"/>
      <w:b/>
      <w:sz w:val="17"/>
      <w:lang w:eastAsia="en-US"/>
    </w:rPr>
  </w:style>
  <w:style w:type="paragraph" w:customStyle="1" w:styleId="Tabletext">
    <w:name w:val="Table text"/>
    <w:next w:val="Text"/>
    <w:rsid w:val="00A10A6B"/>
    <w:pPr>
      <w:spacing w:before="40" w:after="40"/>
    </w:pPr>
    <w:rPr>
      <w:rFonts w:ascii="Arial" w:hAnsi="Arial"/>
      <w:sz w:val="16"/>
      <w:lang w:eastAsia="en-US"/>
    </w:rPr>
  </w:style>
  <w:style w:type="paragraph" w:customStyle="1" w:styleId="Tablehead1">
    <w:name w:val="Tablehead1"/>
    <w:rsid w:val="005C2FCF"/>
    <w:pPr>
      <w:spacing w:before="80" w:after="80"/>
    </w:pPr>
    <w:rPr>
      <w:rFonts w:ascii="Arial" w:hAnsi="Arial"/>
      <w:b/>
      <w:sz w:val="17"/>
      <w:lang w:eastAsia="en-US"/>
    </w:rPr>
  </w:style>
  <w:style w:type="paragraph" w:styleId="Quote">
    <w:name w:val="Quote"/>
    <w:basedOn w:val="Text"/>
    <w:qFormat/>
    <w:rsid w:val="00CD793E"/>
    <w:pPr>
      <w:tabs>
        <w:tab w:val="right" w:pos="8136"/>
      </w:tabs>
      <w:spacing w:before="80"/>
      <w:ind w:left="567" w:right="652"/>
    </w:pPr>
    <w:rPr>
      <w:sz w:val="17"/>
    </w:rPr>
  </w:style>
  <w:style w:type="paragraph" w:customStyle="1" w:styleId="References">
    <w:name w:val="References"/>
    <w:rsid w:val="00123B5C"/>
    <w:pPr>
      <w:spacing w:before="80"/>
      <w:ind w:left="284" w:right="-369" w:hanging="284"/>
    </w:pPr>
    <w:rPr>
      <w:rFonts w:ascii="Trebuchet MS" w:hAnsi="Trebuchet MS"/>
      <w:sz w:val="18"/>
      <w:lang w:eastAsia="en-US"/>
    </w:rPr>
  </w:style>
  <w:style w:type="paragraph" w:customStyle="1" w:styleId="Tablehead2">
    <w:name w:val="Tablehead2"/>
    <w:basedOn w:val="Tablehead1"/>
    <w:rsid w:val="00A10A6B"/>
    <w:pPr>
      <w:tabs>
        <w:tab w:val="left" w:pos="992"/>
      </w:tabs>
      <w:spacing w:before="20" w:after="20"/>
    </w:pPr>
    <w:rPr>
      <w:b w:val="0"/>
    </w:rPr>
  </w:style>
  <w:style w:type="paragraph" w:customStyle="1" w:styleId="Tablehead3">
    <w:name w:val="Tablehead3"/>
    <w:basedOn w:val="Tablehead2"/>
    <w:rsid w:val="005C2FCF"/>
    <w:rPr>
      <w:i/>
    </w:rPr>
  </w:style>
  <w:style w:type="paragraph" w:styleId="TableofFigures">
    <w:name w:val="table of figures"/>
    <w:basedOn w:val="TOC1"/>
    <w:next w:val="Normal"/>
    <w:uiPriority w:val="99"/>
    <w:rsid w:val="008923B6"/>
    <w:pPr>
      <w:tabs>
        <w:tab w:val="left" w:pos="284"/>
      </w:tabs>
      <w:spacing w:before="80"/>
      <w:ind w:left="425" w:right="1985" w:hanging="425"/>
    </w:pPr>
  </w:style>
  <w:style w:type="paragraph" w:customStyle="1" w:styleId="Imprint">
    <w:name w:val="Imprint"/>
    <w:basedOn w:val="Normal"/>
    <w:rsid w:val="009E231A"/>
    <w:pPr>
      <w:spacing w:line="260" w:lineRule="atLeast"/>
    </w:pPr>
    <w:rPr>
      <w:sz w:val="16"/>
    </w:rPr>
  </w:style>
  <w:style w:type="paragraph" w:customStyle="1" w:styleId="Figuretitle">
    <w:name w:val="Figuretitle"/>
    <w:basedOn w:val="tabletitle"/>
    <w:rsid w:val="005C2FCF"/>
  </w:style>
  <w:style w:type="paragraph" w:customStyle="1" w:styleId="Dotpoint1">
    <w:name w:val="Dotpoint1"/>
    <w:link w:val="Dotpoint1Char1"/>
    <w:rsid w:val="00146751"/>
    <w:pPr>
      <w:numPr>
        <w:numId w:val="26"/>
      </w:numPr>
      <w:tabs>
        <w:tab w:val="left" w:pos="284"/>
      </w:tabs>
      <w:spacing w:before="120" w:line="300" w:lineRule="exact"/>
      <w:ind w:left="284" w:hanging="284"/>
    </w:pPr>
    <w:rPr>
      <w:rFonts w:ascii="Trebuchet MS" w:hAnsi="Trebuchet MS"/>
      <w:color w:val="000000"/>
      <w:sz w:val="19"/>
      <w:lang w:eastAsia="en-US"/>
    </w:rPr>
  </w:style>
  <w:style w:type="paragraph" w:customStyle="1" w:styleId="Dotpoint2">
    <w:name w:val="Dotpoint2"/>
    <w:basedOn w:val="Dotpoint1"/>
    <w:rsid w:val="00F73740"/>
    <w:pPr>
      <w:numPr>
        <w:numId w:val="27"/>
      </w:numPr>
      <w:tabs>
        <w:tab w:val="clear" w:pos="284"/>
        <w:tab w:val="left" w:pos="567"/>
      </w:tabs>
      <w:spacing w:before="80"/>
      <w:ind w:left="568" w:hanging="284"/>
    </w:pPr>
  </w:style>
  <w:style w:type="paragraph" w:customStyle="1" w:styleId="NumberedListContinuing">
    <w:name w:val="NumberedListContinuing"/>
    <w:rsid w:val="00520315"/>
    <w:pPr>
      <w:numPr>
        <w:numId w:val="33"/>
      </w:numPr>
      <w:spacing w:before="120" w:line="300" w:lineRule="exact"/>
    </w:pPr>
    <w:rPr>
      <w:rFonts w:ascii="Trebuchet MS" w:hAnsi="Trebuchet MS"/>
      <w:sz w:val="19"/>
    </w:rPr>
  </w:style>
  <w:style w:type="paragraph" w:customStyle="1" w:styleId="Source">
    <w:name w:val="Source"/>
    <w:rsid w:val="00AC688A"/>
    <w:pPr>
      <w:spacing w:before="40"/>
      <w:ind w:left="567" w:hanging="567"/>
    </w:pPr>
    <w:rPr>
      <w:rFonts w:ascii="Arial" w:hAnsi="Arial"/>
      <w:sz w:val="15"/>
      <w:lang w:eastAsia="en-US"/>
    </w:rPr>
  </w:style>
  <w:style w:type="paragraph" w:styleId="FootnoteText">
    <w:name w:val="footnote text"/>
    <w:aliases w:val="Footnote Text Char"/>
    <w:basedOn w:val="Text"/>
    <w:uiPriority w:val="99"/>
    <w:rsid w:val="00A50895"/>
    <w:pPr>
      <w:tabs>
        <w:tab w:val="left" w:pos="1418"/>
      </w:tabs>
      <w:spacing w:before="0" w:line="220" w:lineRule="exact"/>
      <w:ind w:left="170" w:hanging="170"/>
    </w:pPr>
    <w:rPr>
      <w:sz w:val="16"/>
    </w:rPr>
  </w:style>
  <w:style w:type="paragraph" w:styleId="NormalWeb">
    <w:name w:val="Normal (Web)"/>
    <w:basedOn w:val="Normal"/>
    <w:uiPriority w:val="1"/>
    <w:semiHidden/>
    <w:rsid w:val="009058B5"/>
    <w:pPr>
      <w:spacing w:before="100" w:beforeAutospacing="1" w:after="240"/>
    </w:pPr>
    <w:rPr>
      <w:sz w:val="18"/>
      <w:szCs w:val="18"/>
    </w:rPr>
  </w:style>
  <w:style w:type="paragraph" w:customStyle="1" w:styleId="PublicationTitle">
    <w:name w:val="Publication Title"/>
    <w:qFormat/>
    <w:rsid w:val="0049453B"/>
    <w:pPr>
      <w:spacing w:before="3200" w:after="840"/>
      <w:ind w:left="1701"/>
    </w:pPr>
    <w:rPr>
      <w:rFonts w:ascii="Tahoma" w:hAnsi="Tahoma" w:cs="Tahoma"/>
      <w:color w:val="000000"/>
      <w:kern w:val="28"/>
      <w:sz w:val="56"/>
      <w:szCs w:val="56"/>
      <w:lang w:eastAsia="en-US"/>
    </w:rPr>
  </w:style>
  <w:style w:type="paragraph" w:styleId="TOC3">
    <w:name w:val="toc 3"/>
    <w:basedOn w:val="TOC2"/>
    <w:next w:val="Normal"/>
    <w:autoRedefine/>
    <w:semiHidden/>
    <w:unhideWhenUsed/>
    <w:rsid w:val="00FA79F7"/>
    <w:pPr>
      <w:ind w:left="440"/>
    </w:pPr>
  </w:style>
  <w:style w:type="paragraph" w:styleId="TOC4">
    <w:name w:val="toc 4"/>
    <w:basedOn w:val="TOC3"/>
    <w:next w:val="Normal"/>
    <w:autoRedefine/>
    <w:semiHidden/>
    <w:unhideWhenUsed/>
    <w:rsid w:val="005C2FCF"/>
    <w:pPr>
      <w:ind w:left="660"/>
    </w:pPr>
  </w:style>
  <w:style w:type="paragraph" w:styleId="BalloonText">
    <w:name w:val="Balloon Text"/>
    <w:basedOn w:val="Normal"/>
    <w:link w:val="BalloonTextChar"/>
    <w:uiPriority w:val="99"/>
    <w:semiHidden/>
    <w:rsid w:val="00A7331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7A4"/>
    <w:rPr>
      <w:rFonts w:ascii="Tahoma" w:hAnsi="Tahoma" w:cs="Tahoma"/>
      <w:sz w:val="16"/>
      <w:szCs w:val="16"/>
      <w:lang w:val="en-AU"/>
    </w:rPr>
  </w:style>
  <w:style w:type="table" w:styleId="TableGrid">
    <w:name w:val="Table Grid"/>
    <w:basedOn w:val="TableNormal"/>
    <w:uiPriority w:val="59"/>
    <w:rsid w:val="0015087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7037A4"/>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7037A4"/>
    <w:rPr>
      <w:rFonts w:ascii="Trebuchet MS" w:hAnsi="Trebuchet MS"/>
      <w:sz w:val="19"/>
      <w:lang w:val="en-AU"/>
    </w:rPr>
  </w:style>
  <w:style w:type="character" w:customStyle="1" w:styleId="Heading3Char">
    <w:name w:val="Heading 3 Char"/>
    <w:basedOn w:val="DefaultParagraphFont"/>
    <w:link w:val="Heading3"/>
    <w:rsid w:val="00800A2B"/>
    <w:rPr>
      <w:rFonts w:ascii="Tahoma" w:hAnsi="Tahoma" w:cs="Tahoma"/>
      <w:color w:val="000000"/>
      <w:sz w:val="24"/>
      <w:lang w:val="en-AU" w:eastAsia="en-US" w:bidi="ar-SA"/>
    </w:rPr>
  </w:style>
  <w:style w:type="character" w:styleId="Hyperlink">
    <w:name w:val="Hyperlink"/>
    <w:basedOn w:val="DefaultParagraphFont"/>
    <w:unhideWhenUsed/>
    <w:rsid w:val="007037A4"/>
    <w:rPr>
      <w:rFonts w:ascii="Trebuchet MS" w:hAnsi="Trebuchet MS"/>
      <w:color w:val="auto"/>
      <w:sz w:val="19"/>
      <w:u w:val="none"/>
    </w:rPr>
  </w:style>
  <w:style w:type="paragraph" w:styleId="ListParagraph">
    <w:name w:val="List Paragraph"/>
    <w:basedOn w:val="Normal"/>
    <w:uiPriority w:val="34"/>
    <w:qFormat/>
    <w:rsid w:val="007037A4"/>
    <w:pPr>
      <w:ind w:left="720"/>
      <w:contextualSpacing/>
    </w:pPr>
  </w:style>
  <w:style w:type="paragraph" w:styleId="BodyText">
    <w:name w:val="Body Text"/>
    <w:basedOn w:val="Normal"/>
    <w:link w:val="BodyTextChar"/>
    <w:rsid w:val="00FE3F74"/>
    <w:pPr>
      <w:spacing w:before="0" w:line="240" w:lineRule="auto"/>
    </w:pPr>
    <w:rPr>
      <w:rFonts w:ascii="Times New Roman" w:hAnsi="Times New Roman"/>
      <w:b/>
      <w:sz w:val="20"/>
      <w:lang w:val="en-US" w:eastAsia="ko-KR"/>
    </w:rPr>
  </w:style>
  <w:style w:type="character" w:customStyle="1" w:styleId="BodyTextChar">
    <w:name w:val="Body Text Char"/>
    <w:basedOn w:val="DefaultParagraphFont"/>
    <w:link w:val="BodyText"/>
    <w:rsid w:val="00FE3F74"/>
    <w:rPr>
      <w:b/>
      <w:lang w:eastAsia="ko-KR"/>
    </w:rPr>
  </w:style>
  <w:style w:type="paragraph" w:styleId="BodyText2">
    <w:name w:val="Body Text 2"/>
    <w:basedOn w:val="Normal"/>
    <w:link w:val="BodyText2Char"/>
    <w:rsid w:val="00FE3F74"/>
    <w:pPr>
      <w:spacing w:before="0" w:line="240" w:lineRule="auto"/>
    </w:pPr>
    <w:rPr>
      <w:rFonts w:ascii="Times New Roman" w:hAnsi="Times New Roman"/>
      <w:sz w:val="22"/>
      <w:lang w:val="en-US" w:eastAsia="ko-KR"/>
    </w:rPr>
  </w:style>
  <w:style w:type="character" w:customStyle="1" w:styleId="BodyText2Char">
    <w:name w:val="Body Text 2 Char"/>
    <w:basedOn w:val="DefaultParagraphFont"/>
    <w:link w:val="BodyText2"/>
    <w:rsid w:val="00FE3F74"/>
    <w:rPr>
      <w:sz w:val="22"/>
      <w:lang w:eastAsia="ko-KR"/>
    </w:rPr>
  </w:style>
  <w:style w:type="paragraph" w:styleId="BodyTextIndent">
    <w:name w:val="Body Text Indent"/>
    <w:basedOn w:val="Normal"/>
    <w:link w:val="BodyTextIndentChar"/>
    <w:rsid w:val="00C77DC6"/>
    <w:pPr>
      <w:spacing w:before="0" w:after="120" w:line="240" w:lineRule="auto"/>
      <w:ind w:left="283"/>
    </w:pPr>
    <w:rPr>
      <w:rFonts w:ascii="Times New Roman" w:hAnsi="Times New Roman"/>
      <w:sz w:val="22"/>
      <w:lang w:eastAsia="en-AU"/>
    </w:rPr>
  </w:style>
  <w:style w:type="character" w:customStyle="1" w:styleId="BodyTextIndentChar">
    <w:name w:val="Body Text Indent Char"/>
    <w:basedOn w:val="DefaultParagraphFont"/>
    <w:link w:val="BodyTextIndent"/>
    <w:rsid w:val="00C77DC6"/>
    <w:rPr>
      <w:sz w:val="22"/>
      <w:lang w:val="en-AU" w:eastAsia="en-AU"/>
    </w:rPr>
  </w:style>
  <w:style w:type="paragraph" w:customStyle="1" w:styleId="Authors">
    <w:name w:val="Authors"/>
    <w:qFormat/>
    <w:rsid w:val="0049453B"/>
    <w:pPr>
      <w:ind w:left="1701" w:right="-1"/>
    </w:pPr>
    <w:rPr>
      <w:rFonts w:ascii="Tahoma" w:hAnsi="Tahoma" w:cs="Tahoma"/>
      <w:sz w:val="28"/>
      <w:lang w:eastAsia="en-US"/>
    </w:rPr>
  </w:style>
  <w:style w:type="paragraph" w:customStyle="1" w:styleId="Contents">
    <w:name w:val="Contents"/>
    <w:qFormat/>
    <w:rsid w:val="00F93048"/>
    <w:pPr>
      <w:spacing w:after="360"/>
    </w:pPr>
    <w:rPr>
      <w:rFonts w:ascii="Tahoma" w:hAnsi="Tahoma" w:cs="Tahoma"/>
      <w:color w:val="000000"/>
      <w:kern w:val="28"/>
      <w:sz w:val="56"/>
      <w:szCs w:val="56"/>
      <w:lang w:eastAsia="en-US"/>
    </w:rPr>
  </w:style>
  <w:style w:type="paragraph" w:customStyle="1" w:styleId="Abouttheresearchpubtitle">
    <w:name w:val="About the research pub title"/>
    <w:qFormat/>
    <w:rsid w:val="00F93048"/>
    <w:pPr>
      <w:spacing w:before="360"/>
    </w:pPr>
    <w:rPr>
      <w:rFonts w:ascii="Tahoma" w:hAnsi="Tahoma" w:cs="Tahoma"/>
      <w:i/>
      <w:sz w:val="28"/>
      <w:lang w:eastAsia="en-US"/>
    </w:rPr>
  </w:style>
  <w:style w:type="paragraph" w:customStyle="1" w:styleId="Abouttheresearch">
    <w:name w:val="About the research"/>
    <w:uiPriority w:val="1"/>
    <w:qFormat/>
    <w:rsid w:val="0049453B"/>
    <w:rPr>
      <w:rFonts w:ascii="Tahoma" w:hAnsi="Tahoma" w:cs="Tahoma"/>
      <w:color w:val="000000"/>
      <w:kern w:val="28"/>
      <w:sz w:val="56"/>
      <w:szCs w:val="56"/>
      <w:lang w:eastAsia="en-US"/>
    </w:rPr>
  </w:style>
  <w:style w:type="paragraph" w:customStyle="1" w:styleId="Keymessages">
    <w:name w:val="Key messages"/>
    <w:uiPriority w:val="1"/>
    <w:qFormat/>
    <w:rsid w:val="0049453B"/>
    <w:pPr>
      <w:spacing w:before="360"/>
    </w:pPr>
    <w:rPr>
      <w:rFonts w:ascii="Tahoma" w:hAnsi="Tahoma" w:cs="Tahoma"/>
      <w:sz w:val="28"/>
      <w:lang w:eastAsia="en-US"/>
    </w:rPr>
  </w:style>
  <w:style w:type="paragraph" w:customStyle="1" w:styleId="Organisation">
    <w:name w:val="Organisation"/>
    <w:basedOn w:val="Authors"/>
    <w:uiPriority w:val="1"/>
    <w:qFormat/>
    <w:rsid w:val="00177827"/>
    <w:pPr>
      <w:spacing w:before="120"/>
      <w:ind w:right="0"/>
    </w:pPr>
    <w:rPr>
      <w:sz w:val="24"/>
    </w:rPr>
  </w:style>
  <w:style w:type="character" w:styleId="FollowedHyperlink">
    <w:name w:val="FollowedHyperlink"/>
    <w:basedOn w:val="DefaultParagraphFont"/>
    <w:uiPriority w:val="99"/>
    <w:semiHidden/>
    <w:rsid w:val="00E95812"/>
    <w:rPr>
      <w:color w:val="800080"/>
      <w:u w:val="single"/>
    </w:rPr>
  </w:style>
  <w:style w:type="paragraph" w:customStyle="1" w:styleId="NumberedAlphaLevel2">
    <w:name w:val="NumberedAlphaLevel2"/>
    <w:basedOn w:val="NumberedListContinuing"/>
    <w:uiPriority w:val="1"/>
    <w:qFormat/>
    <w:rsid w:val="00ED24F6"/>
    <w:pPr>
      <w:numPr>
        <w:ilvl w:val="1"/>
      </w:numPr>
      <w:tabs>
        <w:tab w:val="clear" w:pos="1440"/>
        <w:tab w:val="num" w:pos="567"/>
      </w:tabs>
      <w:ind w:left="567" w:hanging="283"/>
    </w:pPr>
  </w:style>
  <w:style w:type="character" w:styleId="FootnoteReference">
    <w:name w:val="footnote reference"/>
    <w:basedOn w:val="DefaultParagraphFont"/>
    <w:uiPriority w:val="99"/>
    <w:rsid w:val="009D7C4D"/>
    <w:rPr>
      <w:vertAlign w:val="superscript"/>
    </w:rPr>
  </w:style>
  <w:style w:type="paragraph" w:customStyle="1" w:styleId="Well-HdrEvenPg">
    <w:name w:val="Well-HdrEvenPg"/>
    <w:basedOn w:val="Header"/>
    <w:semiHidden/>
    <w:rsid w:val="002D4338"/>
    <w:pPr>
      <w:tabs>
        <w:tab w:val="clear" w:pos="4513"/>
        <w:tab w:val="clear" w:pos="9026"/>
        <w:tab w:val="center" w:pos="4153"/>
        <w:tab w:val="right" w:pos="8306"/>
      </w:tabs>
    </w:pPr>
    <w:rPr>
      <w:rFonts w:ascii="Arial" w:hAnsi="Arial" w:cs="Arial"/>
      <w:i/>
      <w:sz w:val="20"/>
      <w:lang w:val="en-US" w:eastAsia="en-AU"/>
    </w:rPr>
  </w:style>
  <w:style w:type="paragraph" w:customStyle="1" w:styleId="MtgPaperdotpoint">
    <w:name w:val="Mtg Paper dotpoint"/>
    <w:basedOn w:val="Normal"/>
    <w:rsid w:val="002D4338"/>
    <w:pPr>
      <w:numPr>
        <w:numId w:val="37"/>
      </w:numPr>
      <w:spacing w:before="0" w:after="80" w:line="240" w:lineRule="auto"/>
    </w:pPr>
    <w:rPr>
      <w:rFonts w:ascii="Verdana" w:hAnsi="Verdana"/>
      <w:sz w:val="20"/>
      <w:lang w:eastAsia="en-AU"/>
    </w:rPr>
  </w:style>
  <w:style w:type="paragraph" w:customStyle="1" w:styleId="Style1073741826">
    <w:name w:val="Style1073741826"/>
    <w:rsid w:val="00074629"/>
    <w:pPr>
      <w:autoSpaceDE w:val="0"/>
      <w:autoSpaceDN w:val="0"/>
      <w:adjustRightInd w:val="0"/>
    </w:pPr>
    <w:rPr>
      <w:rFonts w:ascii="Arial" w:hAnsi="Arial" w:cs="Arial"/>
      <w:b/>
      <w:bCs/>
      <w:sz w:val="24"/>
      <w:szCs w:val="24"/>
    </w:rPr>
  </w:style>
  <w:style w:type="character" w:customStyle="1" w:styleId="Dotpoint1Char1">
    <w:name w:val="Dotpoint1 Char1"/>
    <w:basedOn w:val="DefaultParagraphFont"/>
    <w:link w:val="Dotpoint1"/>
    <w:rsid w:val="00146751"/>
    <w:rPr>
      <w:rFonts w:ascii="Trebuchet MS" w:hAnsi="Trebuchet MS"/>
      <w:color w:val="000000"/>
      <w:sz w:val="19"/>
      <w:lang w:val="en-AU" w:eastAsia="en-US" w:bidi="ar-SA"/>
    </w:rPr>
  </w:style>
  <w:style w:type="character" w:styleId="Emphasis">
    <w:name w:val="Emphasis"/>
    <w:basedOn w:val="DefaultParagraphFont"/>
    <w:uiPriority w:val="20"/>
    <w:qFormat/>
    <w:rsid w:val="00AA4D59"/>
    <w:rPr>
      <w:i/>
      <w:iCs/>
    </w:rPr>
  </w:style>
  <w:style w:type="character" w:styleId="CommentReference">
    <w:name w:val="annotation reference"/>
    <w:basedOn w:val="DefaultParagraphFont"/>
    <w:uiPriority w:val="99"/>
    <w:semiHidden/>
    <w:rsid w:val="00A459B4"/>
    <w:rPr>
      <w:sz w:val="16"/>
      <w:szCs w:val="16"/>
    </w:rPr>
  </w:style>
  <w:style w:type="paragraph" w:styleId="CommentText">
    <w:name w:val="annotation text"/>
    <w:basedOn w:val="Normal"/>
    <w:link w:val="CommentTextChar"/>
    <w:uiPriority w:val="99"/>
    <w:semiHidden/>
    <w:rsid w:val="00A459B4"/>
    <w:rPr>
      <w:sz w:val="20"/>
    </w:rPr>
  </w:style>
  <w:style w:type="character" w:customStyle="1" w:styleId="CommentTextChar">
    <w:name w:val="Comment Text Char"/>
    <w:basedOn w:val="DefaultParagraphFont"/>
    <w:link w:val="CommentText"/>
    <w:uiPriority w:val="99"/>
    <w:semiHidden/>
    <w:rsid w:val="00A459B4"/>
    <w:rPr>
      <w:rFonts w:ascii="Trebuchet MS" w:hAnsi="Trebuchet MS"/>
      <w:lang w:eastAsia="en-US"/>
    </w:rPr>
  </w:style>
  <w:style w:type="paragraph" w:styleId="CommentSubject">
    <w:name w:val="annotation subject"/>
    <w:basedOn w:val="CommentText"/>
    <w:next w:val="CommentText"/>
    <w:link w:val="CommentSubjectChar"/>
    <w:uiPriority w:val="99"/>
    <w:semiHidden/>
    <w:rsid w:val="00A459B4"/>
    <w:rPr>
      <w:b/>
      <w:bCs/>
    </w:rPr>
  </w:style>
  <w:style w:type="character" w:customStyle="1" w:styleId="CommentSubjectChar">
    <w:name w:val="Comment Subject Char"/>
    <w:basedOn w:val="CommentTextChar"/>
    <w:link w:val="CommentSubject"/>
    <w:uiPriority w:val="99"/>
    <w:semiHidden/>
    <w:rsid w:val="00A459B4"/>
    <w:rPr>
      <w:b/>
      <w:bCs/>
    </w:rPr>
  </w:style>
</w:styles>
</file>

<file path=word/webSettings.xml><?xml version="1.0" encoding="utf-8"?>
<w:webSettings xmlns:r="http://schemas.openxmlformats.org/officeDocument/2006/relationships" xmlns:w="http://schemas.openxmlformats.org/wordprocessingml/2006/main">
  <w:divs>
    <w:div w:id="60829621">
      <w:bodyDiv w:val="1"/>
      <w:marLeft w:val="0"/>
      <w:marRight w:val="0"/>
      <w:marTop w:val="0"/>
      <w:marBottom w:val="0"/>
      <w:divBdr>
        <w:top w:val="none" w:sz="0" w:space="0" w:color="auto"/>
        <w:left w:val="none" w:sz="0" w:space="0" w:color="auto"/>
        <w:bottom w:val="none" w:sz="0" w:space="0" w:color="auto"/>
        <w:right w:val="none" w:sz="0" w:space="0" w:color="auto"/>
      </w:divBdr>
    </w:div>
    <w:div w:id="181435121">
      <w:bodyDiv w:val="1"/>
      <w:marLeft w:val="0"/>
      <w:marRight w:val="0"/>
      <w:marTop w:val="0"/>
      <w:marBottom w:val="0"/>
      <w:divBdr>
        <w:top w:val="none" w:sz="0" w:space="0" w:color="auto"/>
        <w:left w:val="none" w:sz="0" w:space="0" w:color="auto"/>
        <w:bottom w:val="none" w:sz="0" w:space="0" w:color="auto"/>
        <w:right w:val="none" w:sz="0" w:space="0" w:color="auto"/>
      </w:divBdr>
    </w:div>
    <w:div w:id="245117104">
      <w:bodyDiv w:val="1"/>
      <w:marLeft w:val="0"/>
      <w:marRight w:val="0"/>
      <w:marTop w:val="0"/>
      <w:marBottom w:val="0"/>
      <w:divBdr>
        <w:top w:val="none" w:sz="0" w:space="0" w:color="auto"/>
        <w:left w:val="none" w:sz="0" w:space="0" w:color="auto"/>
        <w:bottom w:val="none" w:sz="0" w:space="0" w:color="auto"/>
        <w:right w:val="none" w:sz="0" w:space="0" w:color="auto"/>
      </w:divBdr>
      <w:divsChild>
        <w:div w:id="1904755176">
          <w:marLeft w:val="0"/>
          <w:marRight w:val="0"/>
          <w:marTop w:val="0"/>
          <w:marBottom w:val="0"/>
          <w:divBdr>
            <w:top w:val="single" w:sz="2" w:space="8" w:color="FF0000"/>
            <w:left w:val="single" w:sz="2" w:space="11" w:color="FF0000"/>
            <w:bottom w:val="single" w:sz="2" w:space="4" w:color="FF0000"/>
            <w:right w:val="single" w:sz="2" w:space="4" w:color="FF0000"/>
          </w:divBdr>
        </w:div>
      </w:divsChild>
    </w:div>
    <w:div w:id="393626349">
      <w:bodyDiv w:val="1"/>
      <w:marLeft w:val="0"/>
      <w:marRight w:val="0"/>
      <w:marTop w:val="0"/>
      <w:marBottom w:val="0"/>
      <w:divBdr>
        <w:top w:val="none" w:sz="0" w:space="0" w:color="auto"/>
        <w:left w:val="none" w:sz="0" w:space="0" w:color="auto"/>
        <w:bottom w:val="none" w:sz="0" w:space="0" w:color="auto"/>
        <w:right w:val="none" w:sz="0" w:space="0" w:color="auto"/>
      </w:divBdr>
    </w:div>
    <w:div w:id="721059277">
      <w:bodyDiv w:val="1"/>
      <w:marLeft w:val="0"/>
      <w:marRight w:val="0"/>
      <w:marTop w:val="0"/>
      <w:marBottom w:val="0"/>
      <w:divBdr>
        <w:top w:val="none" w:sz="0" w:space="0" w:color="auto"/>
        <w:left w:val="none" w:sz="0" w:space="0" w:color="auto"/>
        <w:bottom w:val="none" w:sz="0" w:space="0" w:color="auto"/>
        <w:right w:val="none" w:sz="0" w:space="0" w:color="auto"/>
      </w:divBdr>
    </w:div>
    <w:div w:id="867647168">
      <w:bodyDiv w:val="1"/>
      <w:marLeft w:val="0"/>
      <w:marRight w:val="0"/>
      <w:marTop w:val="0"/>
      <w:marBottom w:val="0"/>
      <w:divBdr>
        <w:top w:val="none" w:sz="0" w:space="0" w:color="auto"/>
        <w:left w:val="none" w:sz="0" w:space="0" w:color="auto"/>
        <w:bottom w:val="none" w:sz="0" w:space="0" w:color="auto"/>
        <w:right w:val="none" w:sz="0" w:space="0" w:color="auto"/>
      </w:divBdr>
      <w:divsChild>
        <w:div w:id="1061099086">
          <w:marLeft w:val="0"/>
          <w:marRight w:val="0"/>
          <w:marTop w:val="0"/>
          <w:marBottom w:val="0"/>
          <w:divBdr>
            <w:top w:val="single" w:sz="2" w:space="8" w:color="FF0000"/>
            <w:left w:val="single" w:sz="2" w:space="11" w:color="FF0000"/>
            <w:bottom w:val="single" w:sz="2" w:space="4" w:color="FF0000"/>
            <w:right w:val="single" w:sz="2" w:space="4" w:color="FF0000"/>
          </w:divBdr>
        </w:div>
      </w:divsChild>
    </w:div>
    <w:div w:id="885944676">
      <w:bodyDiv w:val="1"/>
      <w:marLeft w:val="0"/>
      <w:marRight w:val="0"/>
      <w:marTop w:val="0"/>
      <w:marBottom w:val="0"/>
      <w:divBdr>
        <w:top w:val="none" w:sz="0" w:space="0" w:color="auto"/>
        <w:left w:val="none" w:sz="0" w:space="0" w:color="auto"/>
        <w:bottom w:val="none" w:sz="0" w:space="0" w:color="auto"/>
        <w:right w:val="none" w:sz="0" w:space="0" w:color="auto"/>
      </w:divBdr>
    </w:div>
    <w:div w:id="926302292">
      <w:bodyDiv w:val="1"/>
      <w:marLeft w:val="0"/>
      <w:marRight w:val="0"/>
      <w:marTop w:val="0"/>
      <w:marBottom w:val="0"/>
      <w:divBdr>
        <w:top w:val="none" w:sz="0" w:space="0" w:color="auto"/>
        <w:left w:val="none" w:sz="0" w:space="0" w:color="auto"/>
        <w:bottom w:val="none" w:sz="0" w:space="0" w:color="auto"/>
        <w:right w:val="none" w:sz="0" w:space="0" w:color="auto"/>
      </w:divBdr>
    </w:div>
    <w:div w:id="1028291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cver@ncver.edu.au"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creativecommons.org/licenses/by/3.0/au/"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lsay.edu.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NCVER\Templates\NCVER_Papers&amp;Reports\Publicatio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PublicationTemplate.dotx</Template>
  <TotalTime>0</TotalTime>
  <Pages>26</Pages>
  <Words>8267</Words>
  <Characters>47126</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lpstr>
    </vt:vector>
  </TitlesOfParts>
  <Company>UQ</Company>
  <LinksUpToDate>false</LinksUpToDate>
  <CharactersWithSpaces>55283</CharactersWithSpaces>
  <SharedDoc>false</SharedDoc>
  <HLinks>
    <vt:vector size="24" baseType="variant">
      <vt:variant>
        <vt:i4>3604523</vt:i4>
      </vt:variant>
      <vt:variant>
        <vt:i4>0</vt:i4>
      </vt:variant>
      <vt:variant>
        <vt:i4>0</vt:i4>
      </vt:variant>
      <vt:variant>
        <vt:i4>5</vt:i4>
      </vt:variant>
      <vt:variant>
        <vt:lpwstr>http://www.lsay.edu.au/</vt:lpwstr>
      </vt:variant>
      <vt:variant>
        <vt:lpwstr/>
      </vt:variant>
      <vt:variant>
        <vt:i4>1245294</vt:i4>
      </vt:variant>
      <vt:variant>
        <vt:i4>3</vt:i4>
      </vt:variant>
      <vt:variant>
        <vt:i4>0</vt:i4>
      </vt:variant>
      <vt:variant>
        <vt:i4>5</vt:i4>
      </vt:variant>
      <vt:variant>
        <vt:lpwstr>mailto:ncver@ncver.edu.au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ariant>
        <vt:i4>2752572</vt:i4>
      </vt:variant>
      <vt:variant>
        <vt:i4>59110</vt:i4>
      </vt:variant>
      <vt:variant>
        <vt:i4>1025</vt:i4>
      </vt:variant>
      <vt:variant>
        <vt:i4>4</vt:i4>
      </vt:variant>
      <vt:variant>
        <vt:lpwstr>http://creativecommons.org/licenses/by/3.0/au/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joannehargreaves</dc:creator>
  <cp:keywords/>
  <cp:lastModifiedBy>AmyMellow</cp:lastModifiedBy>
  <cp:revision>2</cp:revision>
  <cp:lastPrinted>2012-09-06T01:41:00Z</cp:lastPrinted>
  <dcterms:created xsi:type="dcterms:W3CDTF">2012-09-10T01:15:00Z</dcterms:created>
  <dcterms:modified xsi:type="dcterms:W3CDTF">2012-09-10T01:15:00Z</dcterms:modified>
</cp:coreProperties>
</file>