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48663C" w:rsidP="00177827">
      <w:pPr>
        <w:pStyle w:val="PublicationTitle"/>
        <w:spacing w:before="0"/>
      </w:pPr>
      <w:bookmarkStart w:id="0" w:name="_Toc296423677"/>
      <w:bookmarkStart w:id="1" w:name="_Toc296497508"/>
      <w:r>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A56A4A" w:rsidRDefault="00A56A4A" w:rsidP="00A56A4A">
      <w:pPr>
        <w:pStyle w:val="PublicationTitle"/>
        <w:spacing w:before="0" w:after="0"/>
        <w:rPr>
          <w:noProof/>
          <w:lang w:eastAsia="en-AU"/>
        </w:rPr>
      </w:pPr>
    </w:p>
    <w:p w:rsidR="00B96C39" w:rsidRDefault="00B96C39" w:rsidP="00A56A4A">
      <w:pPr>
        <w:pStyle w:val="PublicationTitle"/>
        <w:spacing w:before="0" w:after="0"/>
        <w:rPr>
          <w:noProof/>
          <w:lang w:eastAsia="en-AU"/>
        </w:rPr>
      </w:pPr>
    </w:p>
    <w:p w:rsidR="002B2D8E" w:rsidRDefault="002B2D8E" w:rsidP="002B2D8E">
      <w:pPr>
        <w:pStyle w:val="PublicationTitle"/>
        <w:spacing w:before="0"/>
      </w:pPr>
      <w:bookmarkStart w:id="2" w:name="_Toc296423678"/>
      <w:bookmarkStart w:id="3" w:name="_Toc296497509"/>
      <w:bookmarkEnd w:id="0"/>
      <w:bookmarkEnd w:id="1"/>
      <w:r>
        <w:t xml:space="preserve">VET research </w:t>
      </w:r>
      <w:r w:rsidR="006F2FD4">
        <w:br/>
      </w:r>
      <w:r>
        <w:t xml:space="preserve">for industry </w:t>
      </w:r>
    </w:p>
    <w:p w:rsidR="002B2D8E" w:rsidRDefault="002B2D8E" w:rsidP="002B2D8E">
      <w:pPr>
        <w:pStyle w:val="Authors"/>
      </w:pPr>
      <w:bookmarkStart w:id="4" w:name="_Toc98394874"/>
      <w:r>
        <w:t>Tom Karmel</w:t>
      </w:r>
      <w:bookmarkEnd w:id="4"/>
    </w:p>
    <w:p w:rsidR="00825D0E" w:rsidRDefault="00825D0E" w:rsidP="002B2D8E">
      <w:pPr>
        <w:pStyle w:val="Authors"/>
        <w:rPr>
          <w:sz w:val="24"/>
          <w:szCs w:val="24"/>
        </w:rPr>
      </w:pPr>
    </w:p>
    <w:p w:rsidR="00825D0E" w:rsidRDefault="00825D0E" w:rsidP="002B2D8E">
      <w:pPr>
        <w:pStyle w:val="Authors"/>
        <w:rPr>
          <w:i/>
          <w:sz w:val="24"/>
          <w:szCs w:val="24"/>
        </w:rPr>
      </w:pPr>
    </w:p>
    <w:p w:rsidR="00825D0E" w:rsidRPr="00825D0E" w:rsidRDefault="00825D0E" w:rsidP="002B2D8E">
      <w:pPr>
        <w:pStyle w:val="Authors"/>
        <w:rPr>
          <w:i/>
          <w:sz w:val="24"/>
          <w:szCs w:val="24"/>
        </w:rPr>
      </w:pPr>
      <w:r w:rsidRPr="00825D0E">
        <w:rPr>
          <w:i/>
          <w:sz w:val="24"/>
          <w:szCs w:val="24"/>
        </w:rPr>
        <w:t xml:space="preserve">Presented at the AVETRA conference, Canberra, </w:t>
      </w:r>
      <w:r>
        <w:rPr>
          <w:i/>
          <w:sz w:val="24"/>
          <w:szCs w:val="24"/>
        </w:rPr>
        <w:br/>
      </w:r>
      <w:r w:rsidRPr="00825D0E">
        <w:rPr>
          <w:i/>
          <w:sz w:val="24"/>
          <w:szCs w:val="24"/>
        </w:rPr>
        <w:t>April 2012</w:t>
      </w:r>
    </w:p>
    <w:bookmarkEnd w:id="2"/>
    <w:bookmarkEnd w:id="3"/>
    <w:p w:rsidR="009E231A" w:rsidRDefault="009E231A" w:rsidP="00177827">
      <w:pPr>
        <w:pStyle w:val="Organisation"/>
      </w:pPr>
    </w:p>
    <w:p w:rsidR="000315D7" w:rsidRDefault="000315D7" w:rsidP="00177827">
      <w:pPr>
        <w:pStyle w:val="Organisation"/>
      </w:pPr>
    </w:p>
    <w:p w:rsidR="001B43CF" w:rsidRDefault="001B43CF" w:rsidP="0048643A">
      <w:pPr>
        <w:pStyle w:val="Text"/>
      </w:pPr>
    </w:p>
    <w:p w:rsidR="001B43CF" w:rsidRDefault="001B43CF" w:rsidP="0048643A">
      <w:pPr>
        <w:pStyle w:val="Text"/>
      </w:pPr>
    </w:p>
    <w:p w:rsidR="001B43CF" w:rsidRDefault="001B43CF" w:rsidP="0048643A">
      <w:pPr>
        <w:pStyle w:val="Text"/>
      </w:pPr>
    </w:p>
    <w:p w:rsidR="00DB599C" w:rsidRDefault="00DB599C" w:rsidP="0048643A">
      <w:pPr>
        <w:pStyle w:val="Text"/>
      </w:pPr>
    </w:p>
    <w:p w:rsidR="00DB599C" w:rsidRDefault="00DB599C" w:rsidP="0048643A">
      <w:pPr>
        <w:pStyle w:val="Text"/>
      </w:pPr>
    </w:p>
    <w:p w:rsidR="00DB599C" w:rsidRDefault="00494C06"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3067E1" w:rsidRDefault="003067E1" w:rsidP="00B96C39">
                  <w:pPr>
                    <w:pStyle w:val="Heading3"/>
                    <w:rPr>
                      <w:rFonts w:ascii="Trebuchet MS" w:hAnsi="Trebuchet MS"/>
                      <w:sz w:val="20"/>
                    </w:rPr>
                  </w:pPr>
                  <w:r>
                    <w:rPr>
                      <w:rFonts w:ascii="Trebuchet MS" w:hAnsi="Trebuchet MS"/>
                      <w:sz w:val="20"/>
                    </w:rPr>
                    <w:t>NATIONAL CENTRE FOR VOCATIONAL</w:t>
                  </w:r>
                  <w:r>
                    <w:rPr>
                      <w:rFonts w:ascii="Trebuchet MS" w:hAnsi="Trebuchet MS"/>
                      <w:sz w:val="20"/>
                    </w:rPr>
                    <w:br/>
                    <w:t>EDUCATION RESEARCH</w:t>
                  </w:r>
                </w:p>
                <w:p w:rsidR="003067E1" w:rsidRPr="003716FE" w:rsidRDefault="003067E1" w:rsidP="00B96C39">
                  <w:pPr>
                    <w:pStyle w:val="Heading3"/>
                    <w:spacing w:before="80"/>
                    <w:rPr>
                      <w:rFonts w:ascii="Trebuchet MS" w:hAnsi="Trebuchet MS"/>
                      <w:sz w:val="20"/>
                    </w:rPr>
                  </w:pPr>
                  <w:r>
                    <w:rPr>
                      <w:rFonts w:ascii="Trebuchet MS" w:hAnsi="Trebuchet MS"/>
                      <w:b/>
                      <w:sz w:val="20"/>
                    </w:rPr>
                    <w:t>CONFERENCE</w:t>
                  </w:r>
                  <w:r w:rsidRPr="003716FE">
                    <w:rPr>
                      <w:rFonts w:ascii="Trebuchet MS" w:hAnsi="Trebuchet MS"/>
                      <w:b/>
                      <w:sz w:val="20"/>
                    </w:rPr>
                    <w:t xml:space="preserve"> PAPER</w:t>
                  </w:r>
                </w:p>
                <w:p w:rsidR="003067E1" w:rsidRDefault="003067E1" w:rsidP="009E2F64">
                  <w:pPr>
                    <w:pStyle w:val="Heading3"/>
                  </w:pPr>
                </w:p>
              </w:txbxContent>
            </v:textbox>
            <w10:wrap anchory="margin"/>
          </v:shape>
        </w:pict>
      </w:r>
      <w:r w:rsidR="00DB599C">
        <w:softHyphen/>
      </w:r>
    </w:p>
    <w:p w:rsidR="008B22E2" w:rsidRDefault="00494C06" w:rsidP="00E57478">
      <w:pPr>
        <w:pStyle w:val="Heading3"/>
        <w:ind w:right="-1"/>
      </w:pPr>
      <w:r>
        <w:rPr>
          <w:noProof/>
          <w:lang w:eastAsia="en-AU"/>
        </w:rPr>
        <w:pict>
          <v:shape id="_x0000_s1034" type="#_x0000_t202" style="position:absolute;margin-left:73.1pt;margin-top:659.7pt;width:256.5pt;height:83pt;z-index:251658240;mso-position-vertical-relative:margin" filled="f" stroked="f">
            <v:textbox style="mso-next-textbox:#_x0000_s1034">
              <w:txbxContent>
                <w:p w:rsidR="003067E1" w:rsidRPr="00B96C39" w:rsidRDefault="003067E1" w:rsidP="00B96C39">
                  <w:pPr>
                    <w:pStyle w:val="Imprint"/>
                    <w:spacing w:before="0"/>
                    <w:ind w:left="142" w:right="10"/>
                    <w:rPr>
                      <w:color w:val="000000"/>
                    </w:rPr>
                  </w:pPr>
                  <w:r w:rsidRPr="005C2FCF">
                    <w:rPr>
                      <w:color w:val="000000"/>
                    </w:rPr>
                    <w:t>The views and opinions expressed in this document are those of the author</w:t>
                  </w:r>
                  <w:r w:rsidRPr="00B96C39">
                    <w:rPr>
                      <w:color w:val="000000"/>
                    </w:rPr>
                    <w:t xml:space="preserve"> and do not necessarily reflect the vie</w:t>
                  </w:r>
                  <w:r>
                    <w:rPr>
                      <w:color w:val="000000"/>
                    </w:rPr>
                    <w:t>ws of the Australian Government or</w:t>
                  </w:r>
                  <w:r w:rsidRPr="00B96C39">
                    <w:rPr>
                      <w:color w:val="000000"/>
                    </w:rPr>
                    <w:t xml:space="preserve"> state and territory governments.</w:t>
                  </w:r>
                </w:p>
                <w:p w:rsidR="003067E1" w:rsidRPr="00861CE5" w:rsidRDefault="003067E1" w:rsidP="00861CE5">
                  <w:pPr>
                    <w:pStyle w:val="Imprint"/>
                    <w:spacing w:before="0"/>
                    <w:ind w:left="142" w:right="10"/>
                    <w:rPr>
                      <w:color w:val="000000"/>
                    </w:rPr>
                  </w:pPr>
                </w:p>
              </w:txbxContent>
            </v:textbox>
            <w10:wrap anchory="margin"/>
          </v:shape>
        </w:pict>
      </w:r>
      <w:r w:rsidR="00FE4A2D" w:rsidRPr="005C2FCF">
        <w:br w:type="page"/>
      </w:r>
    </w:p>
    <w:p w:rsidR="00FF5931" w:rsidRDefault="00FF5931" w:rsidP="00233BFA">
      <w:pPr>
        <w:pStyle w:val="Imprint"/>
        <w:rPr>
          <w:sz w:val="19"/>
          <w:szCs w:val="19"/>
        </w:rPr>
      </w:pPr>
    </w:p>
    <w:p w:rsidR="009E231A" w:rsidRPr="00C77DC6" w:rsidRDefault="00494C06" w:rsidP="0049453B">
      <w:pPr>
        <w:pStyle w:val="Abouttheresearch"/>
      </w:pPr>
      <w:r>
        <w:pict>
          <v:shape id="_x0000_s1038" type="#_x0000_t202" style="position:absolute;margin-left:-14.25pt;margin-top:302.45pt;width:440.7pt;height:411.4pt;z-index:251661312;v-text-anchor:bottom" filled="f" stroked="f">
            <v:textbox style="mso-next-textbox:#_x0000_s1038" inset="0,,0">
              <w:txbxContent>
                <w:p w:rsidR="003067E1" w:rsidRPr="00D60265" w:rsidRDefault="003067E1" w:rsidP="00D60265">
                  <w:pPr>
                    <w:pStyle w:val="Imprint"/>
                    <w:rPr>
                      <w:b/>
                    </w:rPr>
                  </w:pPr>
                  <w:r w:rsidRPr="00D60265">
                    <w:rPr>
                      <w:b/>
                    </w:rPr>
                    <w:t>© National Centre for Vocational Education Research, 2012</w:t>
                  </w:r>
                </w:p>
                <w:p w:rsidR="003067E1" w:rsidRPr="00D60265" w:rsidRDefault="003067E1" w:rsidP="00D60265">
                  <w:pPr>
                    <w:pStyle w:val="Imprint"/>
                  </w:pPr>
                  <w:r w:rsidRPr="00D60265">
                    <w:rPr>
                      <w:noProof/>
                      <w:lang w:eastAsia="en-AU"/>
                    </w:rPr>
                    <w:drawing>
                      <wp:inline distT="0" distB="0" distL="0" distR="0">
                        <wp:extent cx="850265" cy="302895"/>
                        <wp:effectExtent l="19050" t="0" r="6985" b="0"/>
                        <wp:docPr id="1"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3067E1" w:rsidRPr="00D60265" w:rsidRDefault="003067E1" w:rsidP="00D60265">
                  <w:pPr>
                    <w:pStyle w:val="Imprint"/>
                  </w:pPr>
                  <w:r w:rsidRPr="00D60265">
                    <w:t xml:space="preserve">With the exception of cover design, artwork, photographs, all logos, and any other material where copyright is owned by a third party, all material presented in this document is provided under a Creative Commons Attribution 3.0 Australia &lt;http://creativecommons.org/licenses/by/3.0/au&gt;. </w:t>
                  </w:r>
                </w:p>
                <w:p w:rsidR="003067E1" w:rsidRPr="00D60265" w:rsidRDefault="003067E1" w:rsidP="00D60265">
                  <w:pPr>
                    <w:pStyle w:val="Imprint"/>
                  </w:pPr>
                  <w:r w:rsidRPr="00D60265">
                    <w:t>This document should be attributed as</w:t>
                  </w:r>
                  <w:r>
                    <w:t xml:space="preserve"> Karmel, T 2012, </w:t>
                  </w:r>
                  <w:r>
                    <w:rPr>
                      <w:i/>
                    </w:rPr>
                    <w:t>VET research for industry</w:t>
                  </w:r>
                  <w:r w:rsidRPr="00D60265">
                    <w:t>, NCVER, Adelaide.</w:t>
                  </w:r>
                </w:p>
                <w:p w:rsidR="003067E1" w:rsidRPr="00D60265" w:rsidRDefault="003067E1" w:rsidP="00D60265">
                  <w:pPr>
                    <w:pStyle w:val="Imprint"/>
                  </w:pPr>
                </w:p>
                <w:p w:rsidR="003067E1" w:rsidRPr="00D60265" w:rsidRDefault="003067E1" w:rsidP="00D60265">
                  <w:pPr>
                    <w:pStyle w:val="Imprint"/>
                  </w:pPr>
                  <w:r w:rsidRPr="00D60265">
                    <w:t>The National Centre for Vocational Education Research (NCVER) is an independent body responsible for collecting, managing and analysing, evaluating and communicating research and statistics about vocational education and training (VET).</w:t>
                  </w:r>
                </w:p>
                <w:p w:rsidR="003067E1" w:rsidRPr="00D60265" w:rsidRDefault="003067E1" w:rsidP="00D60265">
                  <w:pPr>
                    <w:pStyle w:val="Imprint"/>
                  </w:pPr>
                  <w:r w:rsidRPr="00D60265">
                    <w:t xml:space="preserve">NCVER’s in-house research and evaluation program undertakes projects which are strategic to the VET sector. These projects are developed and conducted by NCVER’s research staff and are funded by NCVER. This research aims to improve policy and practice in the VET sector. </w:t>
                  </w:r>
                </w:p>
                <w:p w:rsidR="003067E1" w:rsidRPr="00D60265" w:rsidRDefault="003067E1" w:rsidP="00D60265">
                  <w:pPr>
                    <w:pStyle w:val="Imprint"/>
                  </w:pPr>
                  <w:r w:rsidRPr="00D60265">
                    <w:t>The views and opinions expressed in this document are those of NCVER and do not necessarily reflect the views of the Australian Government or state and territory governments.</w:t>
                  </w:r>
                </w:p>
                <w:p w:rsidR="003067E1" w:rsidRPr="00EC29E3" w:rsidRDefault="003067E1" w:rsidP="00541B94">
                  <w:pPr>
                    <w:pStyle w:val="Imprint"/>
                    <w:ind w:right="1700"/>
                    <w:rPr>
                      <w:smallCaps/>
                      <w:color w:val="000000"/>
                    </w:rPr>
                  </w:pPr>
                </w:p>
                <w:p w:rsidR="003067E1" w:rsidRPr="005C2FCF" w:rsidRDefault="003067E1" w:rsidP="00A30084">
                  <w:pPr>
                    <w:pStyle w:val="Imprint"/>
                    <w:rPr>
                      <w:color w:val="000000"/>
                    </w:rPr>
                  </w:pPr>
                  <w:r>
                    <w:rPr>
                      <w:color w:val="000000"/>
                    </w:rPr>
                    <w:t>TD/TNC</w:t>
                  </w:r>
                  <w:r w:rsidRPr="005C2FCF">
                    <w:rPr>
                      <w:color w:val="000000"/>
                    </w:rPr>
                    <w:tab/>
                  </w:r>
                  <w:r>
                    <w:rPr>
                      <w:color w:val="000000"/>
                    </w:rPr>
                    <w:t>108.01</w:t>
                  </w:r>
                </w:p>
                <w:p w:rsidR="003067E1" w:rsidRPr="005C2FCF" w:rsidRDefault="003067E1" w:rsidP="0067712D">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3067E1" w:rsidRPr="005C2FCF" w:rsidRDefault="003067E1" w:rsidP="0067712D">
                  <w:pPr>
                    <w:pStyle w:val="Imprint"/>
                    <w:ind w:right="1700"/>
                    <w:rPr>
                      <w:color w:val="000000"/>
                    </w:rPr>
                  </w:pPr>
                  <w:r w:rsidRPr="005C2FCF">
                    <w:rPr>
                      <w:color w:val="000000"/>
                    </w:rPr>
                    <w:t>Level 11, 33 King William Street, Adelaide, SA 5000</w:t>
                  </w:r>
                  <w:r w:rsidRPr="005C2FCF">
                    <w:rPr>
                      <w:color w:val="000000"/>
                    </w:rPr>
                    <w:br/>
                    <w:t>PO Box 8288 Station Arcade, Adelaide SA 5000, Australia</w:t>
                  </w:r>
                </w:p>
                <w:p w:rsidR="003067E1" w:rsidRPr="00541B94" w:rsidRDefault="003067E1" w:rsidP="00541B94">
                  <w:pPr>
                    <w:pStyle w:val="Imprint"/>
                    <w:ind w:right="1700"/>
                    <w:rPr>
                      <w:color w:val="000000"/>
                    </w:rPr>
                  </w:pPr>
                  <w:r>
                    <w:rPr>
                      <w:color w:val="000000"/>
                    </w:rPr>
                    <w:t>P</w:t>
                  </w:r>
                  <w:r w:rsidRPr="005C2FCF">
                    <w:rPr>
                      <w:color w:val="000000"/>
                    </w:rPr>
                    <w:t xml:space="preserve"> +61 8 8230 8400 </w:t>
                  </w:r>
                  <w:r>
                    <w:rPr>
                      <w:color w:val="000000"/>
                    </w:rPr>
                    <w:t xml:space="preserve">  F</w:t>
                  </w:r>
                  <w:r w:rsidRPr="005C2FCF">
                    <w:rPr>
                      <w:color w:val="000000"/>
                    </w:rPr>
                    <w:t xml:space="preserve"> +61 8 8212 3436</w:t>
                  </w:r>
                  <w:r>
                    <w:rPr>
                      <w:color w:val="000000"/>
                    </w:rPr>
                    <w:t xml:space="preserve">   E</w:t>
                  </w:r>
                  <w:r w:rsidRPr="005C2FCF">
                    <w:rPr>
                      <w:color w:val="000000"/>
                    </w:rPr>
                    <w:t xml:space="preserve"> </w:t>
                  </w:r>
                  <w:hyperlink r:id="rId10" w:history="1">
                    <w:r w:rsidRPr="00441898">
                      <w:rPr>
                        <w:rStyle w:val="Hyperlink"/>
                        <w:sz w:val="16"/>
                      </w:rPr>
                      <w:t>ncver@ncver.edu.au</w:t>
                    </w:r>
                  </w:hyperlink>
                  <w:r>
                    <w:rPr>
                      <w:color w:val="000000"/>
                    </w:rPr>
                    <w:t xml:space="preserve">   W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2F7A91" w:rsidP="00F93048">
      <w:pPr>
        <w:pStyle w:val="Abouttheresearchpubtitle"/>
      </w:pPr>
      <w:bookmarkStart w:id="18" w:name="_Toc296423680"/>
      <w:bookmarkStart w:id="19" w:name="_Toc296497511"/>
      <w:bookmarkStart w:id="20" w:name="_Toc98394877"/>
      <w:r>
        <w:t xml:space="preserve">VET research for </w:t>
      </w:r>
      <w:bookmarkEnd w:id="18"/>
      <w:bookmarkEnd w:id="19"/>
      <w:r w:rsidR="0052450B">
        <w:t>i</w:t>
      </w:r>
      <w:r w:rsidR="00016479">
        <w:t>ndustry</w:t>
      </w:r>
    </w:p>
    <w:p w:rsidR="009E231A" w:rsidRPr="001B43CF" w:rsidRDefault="002F7A91" w:rsidP="00874DA5">
      <w:pPr>
        <w:pStyle w:val="Heading3"/>
      </w:pPr>
      <w:bookmarkStart w:id="21" w:name="_Toc296423681"/>
      <w:bookmarkStart w:id="22" w:name="_Toc296497512"/>
      <w:r>
        <w:t xml:space="preserve">Tom </w:t>
      </w:r>
      <w:bookmarkEnd w:id="20"/>
      <w:bookmarkEnd w:id="21"/>
      <w:bookmarkEnd w:id="22"/>
      <w:r>
        <w:t>Karmel</w:t>
      </w:r>
      <w:r w:rsidR="00ED07D0">
        <w:t>, National Centre for Vocational Education Research</w:t>
      </w:r>
    </w:p>
    <w:p w:rsidR="002F7A91" w:rsidRDefault="002F7A91" w:rsidP="0048643A">
      <w:pPr>
        <w:pStyle w:val="Text"/>
      </w:pPr>
      <w:r>
        <w:t xml:space="preserve">This paper was a keynote address at the </w:t>
      </w:r>
      <w:r w:rsidR="003C38F6">
        <w:t>Australian Vocational Education and Training Research Association (</w:t>
      </w:r>
      <w:r>
        <w:t>AVETRA</w:t>
      </w:r>
      <w:r w:rsidR="003C38F6">
        <w:t>)</w:t>
      </w:r>
      <w:r>
        <w:t xml:space="preserve"> conference held in Canberra</w:t>
      </w:r>
      <w:r w:rsidR="0052450B">
        <w:t xml:space="preserve"> i</w:t>
      </w:r>
      <w:r w:rsidR="00FD167B">
        <w:t>n</w:t>
      </w:r>
      <w:r>
        <w:t xml:space="preserve"> April 2012. Karmel notes that industry is arguably the key stakeholder in the Australian </w:t>
      </w:r>
      <w:r w:rsidR="00FD167B">
        <w:t>v</w:t>
      </w:r>
      <w:r>
        <w:t xml:space="preserve">ocational </w:t>
      </w:r>
      <w:r w:rsidR="00FD167B">
        <w:t>e</w:t>
      </w:r>
      <w:r>
        <w:t xml:space="preserve">ducation </w:t>
      </w:r>
      <w:r w:rsidR="00FD167B">
        <w:t>a</w:t>
      </w:r>
      <w:r>
        <w:t xml:space="preserve">nd </w:t>
      </w:r>
      <w:r w:rsidR="00FD167B">
        <w:t>t</w:t>
      </w:r>
      <w:r>
        <w:t xml:space="preserve">raining </w:t>
      </w:r>
      <w:r w:rsidR="00FD167B">
        <w:t xml:space="preserve">(VET) </w:t>
      </w:r>
      <w:r>
        <w:t xml:space="preserve">sector, but is not a single </w:t>
      </w:r>
      <w:r w:rsidRPr="005F7589">
        <w:t>actor</w:t>
      </w:r>
      <w:r>
        <w:t xml:space="preserve"> nor a disinterested consumer of training. Rather, industry consists of a range of bodies, all of whom are active players in the sector. </w:t>
      </w:r>
    </w:p>
    <w:p w:rsidR="002F7A91" w:rsidRDefault="002F7A91" w:rsidP="0048643A">
      <w:pPr>
        <w:pStyle w:val="Text"/>
      </w:pPr>
      <w:r>
        <w:t>The paper discusses six areas of research which are pertinent to industry. These areas are:</w:t>
      </w:r>
    </w:p>
    <w:p w:rsidR="002F7A91" w:rsidRDefault="00FD167B" w:rsidP="002F7A91">
      <w:pPr>
        <w:pStyle w:val="Dotpoint1"/>
      </w:pPr>
      <w:r>
        <w:t>t</w:t>
      </w:r>
      <w:r w:rsidR="002F7A91">
        <w:t>he value of completing an apprenticeship or traineeship</w:t>
      </w:r>
    </w:p>
    <w:p w:rsidR="002F7A91" w:rsidRDefault="00FD167B" w:rsidP="002F7A91">
      <w:pPr>
        <w:pStyle w:val="Dotpoint1"/>
      </w:pPr>
      <w:r>
        <w:t>t</w:t>
      </w:r>
      <w:r w:rsidR="002F7A91">
        <w:t>he role of wages in completion rates for apprenticeships and traineeship</w:t>
      </w:r>
      <w:r w:rsidR="0052450B">
        <w:t>s</w:t>
      </w:r>
    </w:p>
    <w:p w:rsidR="002F7A91" w:rsidRDefault="00FD167B" w:rsidP="002F7A91">
      <w:pPr>
        <w:pStyle w:val="Dotpoint1"/>
      </w:pPr>
      <w:r>
        <w:t>t</w:t>
      </w:r>
      <w:r w:rsidR="002F7A91">
        <w:t>he value of completion of VET qualifications</w:t>
      </w:r>
    </w:p>
    <w:p w:rsidR="002F7A91" w:rsidRDefault="00FD167B" w:rsidP="002F7A91">
      <w:pPr>
        <w:pStyle w:val="Dotpoint1"/>
      </w:pPr>
      <w:r>
        <w:t>t</w:t>
      </w:r>
      <w:r w:rsidR="002F7A91">
        <w:t>he level of matching between what people are training in and the jobs they get</w:t>
      </w:r>
    </w:p>
    <w:p w:rsidR="002F7A91" w:rsidRDefault="00FD167B" w:rsidP="002F7A91">
      <w:pPr>
        <w:pStyle w:val="Dotpoint1"/>
      </w:pPr>
      <w:r>
        <w:t>t</w:t>
      </w:r>
      <w:r w:rsidR="002F7A91">
        <w:t>he role of VET in innovation</w:t>
      </w:r>
    </w:p>
    <w:p w:rsidR="002F7A91" w:rsidRDefault="002F7A91" w:rsidP="002F7A91">
      <w:pPr>
        <w:pStyle w:val="Dotpoint1"/>
      </w:pPr>
      <w:r>
        <w:t>VET and workforce development</w:t>
      </w:r>
      <w:r w:rsidR="00FD167B">
        <w:t>.</w:t>
      </w:r>
    </w:p>
    <w:p w:rsidR="009E231A" w:rsidRPr="005C2FCF" w:rsidRDefault="002F7A91" w:rsidP="0048643A">
      <w:pPr>
        <w:pStyle w:val="Text"/>
        <w:rPr>
          <w:color w:val="000000"/>
        </w:rPr>
      </w:pPr>
      <w:r>
        <w:t xml:space="preserve">All of this research raises questions about VET and industry, either in terms of how public training funds are allocated or the educational principles on which VET is based. In particular, the major points made are that the value of training is quite variable and this should be a consideration in </w:t>
      </w:r>
      <w:r w:rsidR="001C181A">
        <w:t xml:space="preserve">its </w:t>
      </w:r>
      <w:r>
        <w:t xml:space="preserve">public funding, and the </w:t>
      </w:r>
      <w:r w:rsidR="00817009">
        <w:t xml:space="preserve">narrow </w:t>
      </w:r>
      <w:r>
        <w:t xml:space="preserve">industry focus of VET needs to be </w:t>
      </w:r>
      <w:r w:rsidRPr="005F7589">
        <w:t>leavened</w:t>
      </w:r>
      <w:r>
        <w:t xml:space="preserve"> with</w:t>
      </w:r>
      <w:r w:rsidR="00817009">
        <w:t xml:space="preserve"> more general education.</w:t>
      </w:r>
      <w:r w:rsidR="001C181A">
        <w:t xml:space="preserve"> </w:t>
      </w:r>
    </w:p>
    <w:p w:rsidR="009E231A" w:rsidRPr="005C2FCF" w:rsidRDefault="00FE4A2D" w:rsidP="00CE4D54">
      <w:pPr>
        <w:pStyle w:val="Text"/>
        <w:spacing w:before="400"/>
        <w:ind w:right="0"/>
      </w:pPr>
      <w:r w:rsidRPr="005C2FCF">
        <w:t>Tom Karmel</w:t>
      </w:r>
      <w:r w:rsidRPr="005C2FCF">
        <w:br/>
        <w:t>Managing Director, NCVER</w:t>
      </w:r>
    </w:p>
    <w:p w:rsidR="00177827" w:rsidRDefault="00177827">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3" w:name="_Toc98394880"/>
      <w:bookmarkStart w:id="24" w:name="_Toc296423683"/>
      <w:bookmarkStart w:id="25" w:name="_Toc296497514"/>
      <w:r w:rsidRPr="00DC5F5C">
        <w:lastRenderedPageBreak/>
        <w:t>Contents</w:t>
      </w:r>
      <w:bookmarkEnd w:id="23"/>
      <w:bookmarkEnd w:id="24"/>
      <w:bookmarkEnd w:id="25"/>
      <w:r w:rsidR="00FD167B">
        <w:t xml:space="preserve"> </w:t>
      </w:r>
    </w:p>
    <w:p w:rsidR="005F7589" w:rsidRDefault="00494C06">
      <w:pPr>
        <w:pStyle w:val="TOC1"/>
        <w:rPr>
          <w:rFonts w:asciiTheme="minorHAnsi" w:eastAsiaTheme="minorEastAsia" w:hAnsiTheme="minorHAnsi" w:cstheme="minorBidi"/>
          <w:color w:val="auto"/>
          <w:sz w:val="22"/>
          <w:szCs w:val="22"/>
          <w:lang w:eastAsia="en-AU"/>
        </w:rPr>
      </w:pPr>
      <w:r w:rsidRPr="00494C06">
        <w:rPr>
          <w:rFonts w:ascii="Avant Garde" w:hAnsi="Avant Garde"/>
        </w:rPr>
        <w:fldChar w:fldCharType="begin"/>
      </w:r>
      <w:r w:rsidR="00FE4A2D" w:rsidRPr="009775C7">
        <w:rPr>
          <w:rFonts w:ascii="Avant Garde" w:hAnsi="Avant Garde"/>
        </w:rPr>
        <w:instrText xml:space="preserve"> TOC \o "1-2" </w:instrText>
      </w:r>
      <w:r w:rsidRPr="00494C06">
        <w:rPr>
          <w:rFonts w:ascii="Avant Garde" w:hAnsi="Avant Garde"/>
        </w:rPr>
        <w:fldChar w:fldCharType="separate"/>
      </w:r>
      <w:r w:rsidR="005F7589">
        <w:t>Tables and figures</w:t>
      </w:r>
      <w:r w:rsidR="005F7589">
        <w:tab/>
      </w:r>
      <w:r>
        <w:fldChar w:fldCharType="begin"/>
      </w:r>
      <w:r w:rsidR="005F7589">
        <w:instrText xml:space="preserve"> PAGEREF _Toc322958587 \h </w:instrText>
      </w:r>
      <w:r>
        <w:fldChar w:fldCharType="separate"/>
      </w:r>
      <w:r w:rsidR="00905C3A">
        <w:t>6</w:t>
      </w:r>
      <w:r>
        <w:fldChar w:fldCharType="end"/>
      </w:r>
    </w:p>
    <w:p w:rsidR="005F7589" w:rsidRDefault="005F7589">
      <w:pPr>
        <w:pStyle w:val="TOC1"/>
        <w:rPr>
          <w:rFonts w:asciiTheme="minorHAnsi" w:eastAsiaTheme="minorEastAsia" w:hAnsiTheme="minorHAnsi" w:cstheme="minorBidi"/>
          <w:color w:val="auto"/>
          <w:sz w:val="22"/>
          <w:szCs w:val="22"/>
          <w:lang w:eastAsia="en-AU"/>
        </w:rPr>
      </w:pPr>
      <w:r>
        <w:t>Introduction</w:t>
      </w:r>
      <w:r>
        <w:tab/>
      </w:r>
      <w:r w:rsidR="00494C06">
        <w:fldChar w:fldCharType="begin"/>
      </w:r>
      <w:r>
        <w:instrText xml:space="preserve"> PAGEREF _Toc322958590 \h </w:instrText>
      </w:r>
      <w:r w:rsidR="00494C06">
        <w:fldChar w:fldCharType="separate"/>
      </w:r>
      <w:r w:rsidR="00905C3A">
        <w:t>7</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The value of completing an apprenticeship or traineeship</w:t>
      </w:r>
      <w:r>
        <w:tab/>
      </w:r>
      <w:r w:rsidR="00494C06">
        <w:fldChar w:fldCharType="begin"/>
      </w:r>
      <w:r>
        <w:instrText xml:space="preserve"> PAGEREF _Toc322958591 \h </w:instrText>
      </w:r>
      <w:r w:rsidR="00494C06">
        <w:fldChar w:fldCharType="separate"/>
      </w:r>
      <w:r w:rsidR="00905C3A">
        <w:t>8</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The role of wages in completion rates for apprenticeships  and traineeships</w:t>
      </w:r>
      <w:r>
        <w:tab/>
      </w:r>
      <w:r w:rsidR="00494C06">
        <w:fldChar w:fldCharType="begin"/>
      </w:r>
      <w:r>
        <w:instrText xml:space="preserve"> PAGEREF _Toc322958592 \h </w:instrText>
      </w:r>
      <w:r w:rsidR="00494C06">
        <w:fldChar w:fldCharType="separate"/>
      </w:r>
      <w:r w:rsidR="00905C3A">
        <w:t>11</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The value of completion of VET qualifications</w:t>
      </w:r>
      <w:r>
        <w:tab/>
      </w:r>
      <w:r w:rsidR="00494C06">
        <w:fldChar w:fldCharType="begin"/>
      </w:r>
      <w:r>
        <w:instrText xml:space="preserve"> PAGEREF _Toc322958593 \h </w:instrText>
      </w:r>
      <w:r w:rsidR="00494C06">
        <w:fldChar w:fldCharType="separate"/>
      </w:r>
      <w:r w:rsidR="00905C3A">
        <w:t>12</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 xml:space="preserve">The level of matching between what people are training in and the jobs </w:t>
      </w:r>
      <w:r>
        <w:br/>
        <w:t>they get</w:t>
      </w:r>
      <w:r>
        <w:tab/>
      </w:r>
      <w:r w:rsidR="00494C06">
        <w:fldChar w:fldCharType="begin"/>
      </w:r>
      <w:r>
        <w:instrText xml:space="preserve"> PAGEREF _Toc322958594 \h </w:instrText>
      </w:r>
      <w:r w:rsidR="00494C06">
        <w:fldChar w:fldCharType="separate"/>
      </w:r>
      <w:r w:rsidR="00905C3A">
        <w:t>17</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The role of VET in innovation</w:t>
      </w:r>
      <w:r>
        <w:tab/>
      </w:r>
      <w:r w:rsidR="00494C06">
        <w:fldChar w:fldCharType="begin"/>
      </w:r>
      <w:r>
        <w:instrText xml:space="preserve"> PAGEREF _Toc322958595 \h </w:instrText>
      </w:r>
      <w:r w:rsidR="00494C06">
        <w:fldChar w:fldCharType="separate"/>
      </w:r>
      <w:r w:rsidR="00905C3A">
        <w:t>21</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VET and workforce development</w:t>
      </w:r>
      <w:r>
        <w:tab/>
      </w:r>
      <w:r w:rsidR="00494C06">
        <w:fldChar w:fldCharType="begin"/>
      </w:r>
      <w:r>
        <w:instrText xml:space="preserve"> PAGEREF _Toc322958596 \h </w:instrText>
      </w:r>
      <w:r w:rsidR="00494C06">
        <w:fldChar w:fldCharType="separate"/>
      </w:r>
      <w:r w:rsidR="00905C3A">
        <w:t>21</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Final comment</w:t>
      </w:r>
      <w:r>
        <w:tab/>
      </w:r>
      <w:r w:rsidR="00494C06">
        <w:fldChar w:fldCharType="begin"/>
      </w:r>
      <w:r>
        <w:instrText xml:space="preserve"> PAGEREF _Toc322958597 \h </w:instrText>
      </w:r>
      <w:r w:rsidR="00494C06">
        <w:fldChar w:fldCharType="separate"/>
      </w:r>
      <w:r w:rsidR="00905C3A">
        <w:t>22</w:t>
      </w:r>
      <w:r w:rsidR="00494C06">
        <w:fldChar w:fldCharType="end"/>
      </w:r>
    </w:p>
    <w:p w:rsidR="005F7589" w:rsidRDefault="005F7589">
      <w:pPr>
        <w:pStyle w:val="TOC2"/>
        <w:rPr>
          <w:rFonts w:asciiTheme="minorHAnsi" w:eastAsiaTheme="minorEastAsia" w:hAnsiTheme="minorHAnsi" w:cstheme="minorBidi"/>
          <w:color w:val="auto"/>
          <w:sz w:val="22"/>
          <w:szCs w:val="22"/>
          <w:lang w:eastAsia="en-AU"/>
        </w:rPr>
      </w:pPr>
      <w:r>
        <w:t>References</w:t>
      </w:r>
      <w:r>
        <w:tab/>
      </w:r>
      <w:r w:rsidR="00494C06">
        <w:fldChar w:fldCharType="begin"/>
      </w:r>
      <w:r>
        <w:instrText xml:space="preserve"> PAGEREF _Toc322958598 \h </w:instrText>
      </w:r>
      <w:r w:rsidR="00494C06">
        <w:fldChar w:fldCharType="separate"/>
      </w:r>
      <w:r w:rsidR="00905C3A">
        <w:t>23</w:t>
      </w:r>
      <w:r w:rsidR="00494C06">
        <w:fldChar w:fldCharType="end"/>
      </w:r>
    </w:p>
    <w:p w:rsidR="004E7227" w:rsidRDefault="00494C06"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6" w:name="_Toc322958587"/>
      <w:r>
        <w:lastRenderedPageBreak/>
        <w:t>Tables and figures</w:t>
      </w:r>
      <w:bookmarkEnd w:id="26"/>
    </w:p>
    <w:p w:rsidR="004E7227" w:rsidRDefault="004E7227" w:rsidP="004E7227">
      <w:pPr>
        <w:pStyle w:val="Heading2"/>
      </w:pPr>
      <w:bookmarkStart w:id="27" w:name="_Toc296497516"/>
      <w:bookmarkStart w:id="28" w:name="_Toc298162801"/>
      <w:bookmarkStart w:id="29" w:name="_Toc322958588"/>
      <w:r>
        <w:t>Tables</w:t>
      </w:r>
      <w:bookmarkEnd w:id="27"/>
      <w:bookmarkEnd w:id="28"/>
      <w:bookmarkEnd w:id="29"/>
    </w:p>
    <w:p w:rsidR="005F7589" w:rsidRDefault="00494C06" w:rsidP="005F7589">
      <w:pPr>
        <w:pStyle w:val="TableofFigures"/>
        <w:tabs>
          <w:tab w:val="clear" w:pos="284"/>
          <w:tab w:val="left" w:pos="426"/>
          <w:tab w:val="left" w:pos="880"/>
        </w:tabs>
        <w:rPr>
          <w:rFonts w:asciiTheme="minorHAnsi" w:eastAsiaTheme="minorEastAsia" w:hAnsiTheme="minorHAnsi" w:cstheme="minorBidi"/>
          <w:color w:val="auto"/>
          <w:sz w:val="22"/>
          <w:szCs w:val="22"/>
          <w:lang w:eastAsia="en-AU"/>
        </w:rPr>
      </w:pPr>
      <w:r w:rsidRPr="00494C06">
        <w:fldChar w:fldCharType="begin"/>
      </w:r>
      <w:r w:rsidR="004E7227">
        <w:instrText xml:space="preserve"> TOC \f F \t "tabletitle" \c </w:instrText>
      </w:r>
      <w:r w:rsidRPr="00494C06">
        <w:fldChar w:fldCharType="separate"/>
      </w:r>
      <w:r w:rsidR="005F7589">
        <w:t>1</w:t>
      </w:r>
      <w:r w:rsidR="005F7589">
        <w:rPr>
          <w:rFonts w:asciiTheme="minorHAnsi" w:eastAsiaTheme="minorEastAsia" w:hAnsiTheme="minorHAnsi" w:cstheme="minorBidi"/>
          <w:color w:val="auto"/>
          <w:sz w:val="22"/>
          <w:szCs w:val="22"/>
          <w:lang w:eastAsia="en-AU"/>
        </w:rPr>
        <w:tab/>
      </w:r>
      <w:r w:rsidR="005F7589">
        <w:t>Mean, and proportion above zero, of wage premium on completion of an apprenticeship or traineeship, trades and non-trades (male/female) — excluding part-timers and existing workers</w:t>
      </w:r>
      <w:r w:rsidR="005F7589">
        <w:tab/>
      </w:r>
      <w:r>
        <w:fldChar w:fldCharType="begin"/>
      </w:r>
      <w:r w:rsidR="005F7589">
        <w:instrText xml:space="preserve"> PAGEREF _Toc322958607 \h </w:instrText>
      </w:r>
      <w:r>
        <w:fldChar w:fldCharType="separate"/>
      </w:r>
      <w:r w:rsidR="00905C3A">
        <w:t>10</w:t>
      </w:r>
      <w:r>
        <w:fldChar w:fldCharType="end"/>
      </w:r>
    </w:p>
    <w:p w:rsidR="005F7589" w:rsidRDefault="005F7589" w:rsidP="005F7589">
      <w:pPr>
        <w:pStyle w:val="TableofFigures"/>
        <w:tabs>
          <w:tab w:val="clear" w:pos="284"/>
          <w:tab w:val="left" w:pos="426"/>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 xml:space="preserve">Summary of regression of probability of completing an apprenticeship </w:t>
      </w:r>
      <w:r>
        <w:br/>
        <w:t>or traineeship, trades and non-trades (male/female), 2008 and 2010 combined</w:t>
      </w:r>
      <w:r>
        <w:tab/>
      </w:r>
      <w:r w:rsidR="00494C06">
        <w:fldChar w:fldCharType="begin"/>
      </w:r>
      <w:r>
        <w:instrText xml:space="preserve"> PAGEREF _Toc322958608 \h </w:instrText>
      </w:r>
      <w:r w:rsidR="00494C06">
        <w:fldChar w:fldCharType="separate"/>
      </w:r>
      <w:r w:rsidR="00905C3A">
        <w:t>12</w:t>
      </w:r>
      <w:r w:rsidR="00494C06">
        <w:fldChar w:fldCharType="end"/>
      </w:r>
    </w:p>
    <w:p w:rsidR="005F7589" w:rsidRDefault="005F7589" w:rsidP="005F7589">
      <w:pPr>
        <w:pStyle w:val="TableofFigures"/>
        <w:tabs>
          <w:tab w:val="clear" w:pos="284"/>
          <w:tab w:val="left" w:pos="426"/>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Summary characteristics of pay-off, by outcome variable</w:t>
      </w:r>
      <w:r>
        <w:tab/>
      </w:r>
      <w:r w:rsidR="00494C06">
        <w:fldChar w:fldCharType="begin"/>
      </w:r>
      <w:r>
        <w:instrText xml:space="preserve"> PAGEREF _Toc322958609 \h </w:instrText>
      </w:r>
      <w:r w:rsidR="00494C06">
        <w:fldChar w:fldCharType="separate"/>
      </w:r>
      <w:r w:rsidR="00905C3A">
        <w:t>14</w:t>
      </w:r>
      <w:r w:rsidR="00494C06">
        <w:fldChar w:fldCharType="end"/>
      </w:r>
    </w:p>
    <w:p w:rsidR="005F7589" w:rsidRDefault="005F7589" w:rsidP="005F7589">
      <w:pPr>
        <w:pStyle w:val="TableofFigures"/>
        <w:tabs>
          <w:tab w:val="clear" w:pos="284"/>
          <w:tab w:val="left" w:pos="426"/>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Matches between intended and destination occupations for graduates </w:t>
      </w:r>
      <w:r>
        <w:br/>
        <w:t>who are employed, by selected Australian and New Zealand Standard Classification of Occupations (ANZSCO), 2007</w:t>
      </w:r>
      <w:r>
        <w:tab/>
      </w:r>
      <w:r w:rsidR="00494C06">
        <w:fldChar w:fldCharType="begin"/>
      </w:r>
      <w:r>
        <w:instrText xml:space="preserve"> PAGEREF _Toc322958610 \h </w:instrText>
      </w:r>
      <w:r w:rsidR="00494C06">
        <w:fldChar w:fldCharType="separate"/>
      </w:r>
      <w:r w:rsidR="00905C3A">
        <w:t>17</w:t>
      </w:r>
      <w:r w:rsidR="00494C06">
        <w:fldChar w:fldCharType="end"/>
      </w:r>
    </w:p>
    <w:p w:rsidR="005F7589" w:rsidRDefault="005F7589" w:rsidP="005F7589">
      <w:pPr>
        <w:pStyle w:val="TableofFigures"/>
        <w:tabs>
          <w:tab w:val="clear" w:pos="284"/>
          <w:tab w:val="left" w:pos="426"/>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Courses sorted by the proportion of graduates reporting that the training is of little or no relevance to their destination occupation: graduates for whom intended and destination occupations do not match at the sub-major group level, by selected ANZSCO, 2007</w:t>
      </w:r>
      <w:r>
        <w:tab/>
      </w:r>
      <w:r w:rsidR="00494C06">
        <w:fldChar w:fldCharType="begin"/>
      </w:r>
      <w:r>
        <w:instrText xml:space="preserve"> PAGEREF _Toc322958611 \h </w:instrText>
      </w:r>
      <w:r w:rsidR="00494C06">
        <w:fldChar w:fldCharType="separate"/>
      </w:r>
      <w:r w:rsidR="00905C3A">
        <w:t>19</w:t>
      </w:r>
      <w:r w:rsidR="00494C06">
        <w:fldChar w:fldCharType="end"/>
      </w:r>
    </w:p>
    <w:p w:rsidR="005F7589" w:rsidRDefault="00494C06" w:rsidP="004E7227">
      <w:pPr>
        <w:pStyle w:val="Heading2"/>
        <w:rPr>
          <w:noProof/>
        </w:rPr>
      </w:pPr>
      <w:r>
        <w:fldChar w:fldCharType="end"/>
      </w:r>
      <w:bookmarkStart w:id="30" w:name="_Toc296497517"/>
      <w:bookmarkStart w:id="31" w:name="_Toc298162802"/>
      <w:bookmarkStart w:id="32" w:name="_Toc322958589"/>
      <w:r w:rsidR="004E7227">
        <w:t>Figures</w:t>
      </w:r>
      <w:bookmarkEnd w:id="30"/>
      <w:bookmarkEnd w:id="31"/>
      <w:bookmarkEnd w:id="32"/>
      <w:r w:rsidRPr="00494C06">
        <w:rPr>
          <w:rFonts w:ascii="Garamond" w:hAnsi="Garamond"/>
          <w:sz w:val="22"/>
        </w:rPr>
        <w:fldChar w:fldCharType="begin"/>
      </w:r>
      <w:r w:rsidR="004E7227">
        <w:instrText xml:space="preserve"> TOC \t "Figuretitle" \c </w:instrText>
      </w:r>
      <w:r w:rsidRPr="00494C06">
        <w:rPr>
          <w:rFonts w:ascii="Garamond" w:hAnsi="Garamond"/>
          <w:sz w:val="22"/>
        </w:rPr>
        <w:fldChar w:fldCharType="separate"/>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Difference between expected wage on completion and expected wage in alternative employment, trades and non-trades (male/female)</w:t>
      </w:r>
      <w:r>
        <w:tab/>
      </w:r>
      <w:r w:rsidR="00494C06">
        <w:fldChar w:fldCharType="begin"/>
      </w:r>
      <w:r>
        <w:instrText xml:space="preserve"> PAGEREF _Toc322958638 \h </w:instrText>
      </w:r>
      <w:r w:rsidR="00494C06">
        <w:fldChar w:fldCharType="separate"/>
      </w:r>
      <w:r w:rsidR="00905C3A">
        <w:t>9</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Pay-off to completion in respect of employment after training</w:t>
      </w:r>
      <w:r>
        <w:tab/>
      </w:r>
      <w:r w:rsidR="00494C06">
        <w:fldChar w:fldCharType="begin"/>
      </w:r>
      <w:r>
        <w:instrText xml:space="preserve"> PAGEREF _Toc322958639 \h </w:instrText>
      </w:r>
      <w:r w:rsidR="00494C06">
        <w:fldChar w:fldCharType="separate"/>
      </w:r>
      <w:r w:rsidR="00905C3A">
        <w:t>13</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Pay-off to completion in respect of salary for full-time workers after training</w:t>
      </w:r>
      <w:r>
        <w:tab/>
      </w:r>
      <w:r w:rsidR="001D1E05">
        <w:tab/>
      </w:r>
      <w:r w:rsidR="00494C06">
        <w:fldChar w:fldCharType="begin"/>
      </w:r>
      <w:r>
        <w:instrText xml:space="preserve"> PAGEREF _Toc322958640 \h </w:instrText>
      </w:r>
      <w:r w:rsidR="00494C06">
        <w:fldChar w:fldCharType="separate"/>
      </w:r>
      <w:r w:rsidR="00905C3A">
        <w:t>13</w:t>
      </w:r>
      <w:r w:rsidR="00494C06">
        <w:fldChar w:fldCharType="end"/>
      </w:r>
    </w:p>
    <w:p w:rsidR="005F7589" w:rsidRDefault="005F7589" w:rsidP="005354C3">
      <w:pPr>
        <w:pStyle w:val="TableofFigures"/>
        <w:tabs>
          <w:tab w:val="clear" w:pos="284"/>
          <w:tab w:val="left" w:pos="426"/>
        </w:tabs>
        <w:rPr>
          <w:rFonts w:asciiTheme="minorHAnsi" w:eastAsiaTheme="minorEastAsia" w:hAnsiTheme="minorHAnsi" w:cstheme="minorBidi"/>
          <w:color w:val="auto"/>
          <w:sz w:val="22"/>
          <w:szCs w:val="22"/>
          <w:lang w:eastAsia="en-AU"/>
        </w:rPr>
      </w:pPr>
      <w:r>
        <w:t xml:space="preserve">4 </w:t>
      </w:r>
      <w:r w:rsidR="001D1E05">
        <w:tab/>
      </w:r>
      <w:r>
        <w:t>Pay-off to completion in respect of being in further study after training</w:t>
      </w:r>
      <w:r>
        <w:tab/>
      </w:r>
      <w:r w:rsidR="00494C06">
        <w:fldChar w:fldCharType="begin"/>
      </w:r>
      <w:r>
        <w:instrText xml:space="preserve"> PAGEREF _Toc322958641 \h </w:instrText>
      </w:r>
      <w:r w:rsidR="00494C06">
        <w:fldChar w:fldCharType="separate"/>
      </w:r>
      <w:r w:rsidR="00905C3A">
        <w:t>14</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Groups with above average pay-off to completion, employed after </w:t>
      </w:r>
      <w:r w:rsidR="005354C3">
        <w:br/>
      </w:r>
      <w:r>
        <w:t>training (overall average pay-off = 21.7%)</w:t>
      </w:r>
      <w:r>
        <w:tab/>
      </w:r>
      <w:r w:rsidR="00494C06">
        <w:fldChar w:fldCharType="begin"/>
      </w:r>
      <w:r>
        <w:instrText xml:space="preserve"> PAGEREF _Toc322958642 \h </w:instrText>
      </w:r>
      <w:r w:rsidR="00494C06">
        <w:fldChar w:fldCharType="separate"/>
      </w:r>
      <w:r w:rsidR="00905C3A">
        <w:t>15</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 xml:space="preserve">Groups with above average pay-off to </w:t>
      </w:r>
      <w:r w:rsidRPr="005354C3">
        <w:t>completion, further</w:t>
      </w:r>
      <w:r>
        <w:t xml:space="preserve"> study after training (overall average pay-off = 122.7%)</w:t>
      </w:r>
      <w:r>
        <w:tab/>
      </w:r>
      <w:r w:rsidR="00494C06">
        <w:fldChar w:fldCharType="begin"/>
      </w:r>
      <w:r>
        <w:instrText xml:space="preserve"> PAGEREF _Toc322958643 \h </w:instrText>
      </w:r>
      <w:r w:rsidR="00494C06">
        <w:fldChar w:fldCharType="separate"/>
      </w:r>
      <w:r w:rsidR="00905C3A">
        <w:t>15</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Groups with above average pay-off to </w:t>
      </w:r>
      <w:r w:rsidRPr="005354C3">
        <w:t>completion, salary</w:t>
      </w:r>
      <w:r>
        <w:t xml:space="preserve"> of full-time workers after training (overall average pay-off = 0.3%)</w:t>
      </w:r>
      <w:r>
        <w:tab/>
      </w:r>
      <w:r w:rsidR="00494C06">
        <w:fldChar w:fldCharType="begin"/>
      </w:r>
      <w:r>
        <w:instrText xml:space="preserve"> PAGEREF _Toc322958644 \h </w:instrText>
      </w:r>
      <w:r w:rsidR="00494C06">
        <w:fldChar w:fldCharType="separate"/>
      </w:r>
      <w:r w:rsidR="00905C3A">
        <w:t>16</w:t>
      </w:r>
      <w:r w:rsidR="00494C06">
        <w:fldChar w:fldCharType="end"/>
      </w:r>
    </w:p>
    <w:p w:rsidR="005F7589" w:rsidRDefault="005F7589" w:rsidP="005354C3">
      <w:pPr>
        <w:pStyle w:val="TableofFigures"/>
        <w:tabs>
          <w:tab w:val="clear" w:pos="284"/>
          <w:tab w:val="left" w:pos="426"/>
          <w:tab w:val="left" w:pos="110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 xml:space="preserve">Courses ranked from most specific to most generic, by selected </w:t>
      </w:r>
      <w:r w:rsidR="005354C3">
        <w:br/>
      </w:r>
      <w:r>
        <w:t>ANZSCO, 2007</w:t>
      </w:r>
      <w:r>
        <w:tab/>
      </w:r>
      <w:r w:rsidR="00494C06">
        <w:fldChar w:fldCharType="begin"/>
      </w:r>
      <w:r>
        <w:instrText xml:space="preserve"> PAGEREF _Toc322958645 \h </w:instrText>
      </w:r>
      <w:r w:rsidR="00494C06">
        <w:fldChar w:fldCharType="separate"/>
      </w:r>
      <w:r w:rsidR="00905C3A">
        <w:t>20</w:t>
      </w:r>
      <w:r w:rsidR="00494C06">
        <w:fldChar w:fldCharType="end"/>
      </w:r>
    </w:p>
    <w:p w:rsidR="004E7227" w:rsidRDefault="00494C06" w:rsidP="004E7227">
      <w:pPr>
        <w:pStyle w:val="TableofFigures"/>
      </w:pPr>
      <w:r>
        <w:fldChar w:fldCharType="end"/>
      </w:r>
    </w:p>
    <w:p w:rsidR="002B2D8E" w:rsidRPr="005C2FCF" w:rsidRDefault="00A93867" w:rsidP="00302EFD">
      <w:pPr>
        <w:pStyle w:val="Heading2"/>
      </w:pPr>
      <w:r w:rsidRPr="00A93867">
        <w:rPr>
          <w:b/>
        </w:rPr>
        <w:br w:type="page"/>
      </w:r>
      <w:bookmarkStart w:id="33" w:name="_Toc321239965"/>
      <w:bookmarkStart w:id="34" w:name="_Toc322958590"/>
      <w:r w:rsidR="002B2D8E">
        <w:lastRenderedPageBreak/>
        <w:t>Introduction</w:t>
      </w:r>
      <w:bookmarkEnd w:id="33"/>
      <w:bookmarkEnd w:id="34"/>
    </w:p>
    <w:p w:rsidR="002B2D8E" w:rsidRDefault="002B2D8E" w:rsidP="002B2D8E">
      <w:pPr>
        <w:pStyle w:val="Text"/>
      </w:pPr>
      <w:r>
        <w:t xml:space="preserve">One of the distinctive features of the Australian </w:t>
      </w:r>
      <w:r w:rsidR="00FD167B">
        <w:t>v</w:t>
      </w:r>
      <w:r>
        <w:t xml:space="preserve">ocational </w:t>
      </w:r>
      <w:r w:rsidR="00FD167B">
        <w:t>e</w:t>
      </w:r>
      <w:r>
        <w:t xml:space="preserve">ducation and training </w:t>
      </w:r>
      <w:r w:rsidR="00FD167B">
        <w:t xml:space="preserve">(VET) </w:t>
      </w:r>
      <w:r>
        <w:t>system is that it is ‘industry’ led. This description can be traced back to the reforms of the early 1990s</w:t>
      </w:r>
      <w:r w:rsidR="0052450B">
        <w:t>,</w:t>
      </w:r>
      <w:r>
        <w:t xml:space="preserve"> marked by the creation of the Australian National Training Authority. These reforms fundamentally changed the way the VET sector was construed. It was to be a national system rather than an aggregation of the systems of the individual states and it was to be led by industry, not educationalists. This was largely to be achieved through</w:t>
      </w:r>
      <w:r w:rsidR="00FD167B">
        <w:t xml:space="preserve"> the introduction of competency-</w:t>
      </w:r>
      <w:r>
        <w:t>based training through national training packages.</w:t>
      </w:r>
      <w:r w:rsidR="00687878">
        <w:t xml:space="preserve"> This shift can be seen, f</w:t>
      </w:r>
      <w:r>
        <w:t>or example</w:t>
      </w:r>
      <w:r w:rsidR="009D036C">
        <w:t>,</w:t>
      </w:r>
      <w:r>
        <w:t xml:space="preserve"> in the policy document </w:t>
      </w:r>
      <w:r w:rsidRPr="00FD167B">
        <w:rPr>
          <w:i/>
        </w:rPr>
        <w:t>Towards a skilled Australia: a national strategy for vocational education and training (1994</w:t>
      </w:r>
      <w:r w:rsidR="00FD167B">
        <w:rPr>
          <w:i/>
        </w:rPr>
        <w:t>—</w:t>
      </w:r>
      <w:r w:rsidRPr="00FD167B">
        <w:rPr>
          <w:i/>
        </w:rPr>
        <w:t>1998)</w:t>
      </w:r>
      <w:r w:rsidR="00FD167B" w:rsidRPr="00FD167B">
        <w:t xml:space="preserve"> </w:t>
      </w:r>
      <w:r w:rsidR="00FD167B">
        <w:t>(Australian National Training Authority 1994)</w:t>
      </w:r>
      <w:r w:rsidR="00FD167B">
        <w:rPr>
          <w:i/>
        </w:rPr>
        <w:t xml:space="preserve">. </w:t>
      </w:r>
      <w:r w:rsidR="00FD167B" w:rsidRPr="00FD167B">
        <w:t>T</w:t>
      </w:r>
      <w:r>
        <w:t xml:space="preserve">he first dot point of the strategy was to </w:t>
      </w:r>
      <w:r w:rsidR="00FD167B">
        <w:t>‘</w:t>
      </w:r>
      <w:r w:rsidRPr="00FD167B">
        <w:t>ensure that future vocational education is more flexible, to accommodate the needs of industry as the principal client</w:t>
      </w:r>
      <w:r w:rsidR="00FD167B">
        <w:t>’</w:t>
      </w:r>
      <w:r>
        <w:t>. Training packages played an important role in this by taking the content of the courses out of the hands of teachers and giving it to industry bodies, the forerunners of the cur</w:t>
      </w:r>
      <w:r w:rsidR="00687878">
        <w:t xml:space="preserve">rent </w:t>
      </w:r>
      <w:r w:rsidR="00FD167B">
        <w:t>i</w:t>
      </w:r>
      <w:r w:rsidR="00687878">
        <w:t xml:space="preserve">ndustry </w:t>
      </w:r>
      <w:r w:rsidR="00FD167B">
        <w:t>s</w:t>
      </w:r>
      <w:r w:rsidR="00687878">
        <w:t xml:space="preserve">kills </w:t>
      </w:r>
      <w:r w:rsidR="00FD167B">
        <w:t>c</w:t>
      </w:r>
      <w:r w:rsidR="00687878">
        <w:t>ouncils. T</w:t>
      </w:r>
      <w:r>
        <w:t>he rhetoric revolved about VET</w:t>
      </w:r>
      <w:r w:rsidR="00FD167B">
        <w:t xml:space="preserve"> meeting the needs of industry</w:t>
      </w:r>
      <w:r w:rsidR="005F7589">
        <w:t xml:space="preserve">; </w:t>
      </w:r>
      <w:r>
        <w:t xml:space="preserve">skilled labour was seen as an input into the industrial production process. </w:t>
      </w:r>
    </w:p>
    <w:p w:rsidR="002B2D8E" w:rsidRPr="00A50895" w:rsidRDefault="002B2D8E" w:rsidP="002B2D8E">
      <w:pPr>
        <w:pStyle w:val="Text"/>
      </w:pPr>
      <w:r>
        <w:t xml:space="preserve">This change in the identity of the sector did not go without challenge. While no one would deny the importance of skilled labour in the economy, one could make the point that skills are embodied in individuals, not employers (at least in the absence of </w:t>
      </w:r>
      <w:r w:rsidR="00430D0A">
        <w:t>indentured labour</w:t>
      </w:r>
      <w:r>
        <w:t xml:space="preserve">). Thus there was some broadening in the rhetoric so that ‘industry and individuals’ were </w:t>
      </w:r>
      <w:r w:rsidR="0052450B">
        <w:t xml:space="preserve">both </w:t>
      </w:r>
      <w:r>
        <w:t xml:space="preserve">seen to be at the centre of the VET sector. So in </w:t>
      </w:r>
      <w:r w:rsidRPr="005F7589">
        <w:rPr>
          <w:i/>
        </w:rPr>
        <w:t>Shaping our future,</w:t>
      </w:r>
      <w:r w:rsidRPr="004A6B60">
        <w:rPr>
          <w:i/>
        </w:rPr>
        <w:t xml:space="preserve"> Australia’s national strategy for vocatio</w:t>
      </w:r>
      <w:r w:rsidR="00FD167B">
        <w:rPr>
          <w:i/>
        </w:rPr>
        <w:t>nal education and training 2004—</w:t>
      </w:r>
      <w:r w:rsidRPr="004A6B60">
        <w:rPr>
          <w:i/>
        </w:rPr>
        <w:t>2010</w:t>
      </w:r>
      <w:r>
        <w:t xml:space="preserve"> </w:t>
      </w:r>
      <w:r w:rsidRPr="00BB3DDB">
        <w:t>we</w:t>
      </w:r>
      <w:r>
        <w:t xml:space="preserve"> see the objectives including: </w:t>
      </w:r>
      <w:r w:rsidR="000E6C27">
        <w:t>‘</w:t>
      </w:r>
      <w:r w:rsidRPr="000E6C27">
        <w:t>Industry will have a highly skilled workforce to support strong performance in the global economy</w:t>
      </w:r>
      <w:r w:rsidR="000E6C27">
        <w:t>’</w:t>
      </w:r>
      <w:r w:rsidRPr="000E6C27">
        <w:t xml:space="preserve"> and </w:t>
      </w:r>
      <w:r w:rsidR="000E6C27">
        <w:t>‘</w:t>
      </w:r>
      <w:r w:rsidRPr="000E6C27">
        <w:t>Employers and individuals will be at the centre of vocational education and training</w:t>
      </w:r>
      <w:r w:rsidR="000E6C27">
        <w:t>’</w:t>
      </w:r>
      <w:r w:rsidRPr="000E6C27">
        <w:t xml:space="preserve"> </w:t>
      </w:r>
      <w:r w:rsidRPr="005F7589">
        <w:t>(Australian National Training Authority 2005</w:t>
      </w:r>
      <w:r w:rsidR="00FD167B" w:rsidRPr="005F7589">
        <w:t>, p.</w:t>
      </w:r>
      <w:r w:rsidRPr="005F7589">
        <w:t>10).</w:t>
      </w:r>
      <w:r>
        <w:t xml:space="preserve"> This dichotomy is </w:t>
      </w:r>
      <w:r w:rsidR="000E6C27">
        <w:t xml:space="preserve">currently </w:t>
      </w:r>
      <w:r>
        <w:t xml:space="preserve">being seen quite clearly. On one hand, we see the Commonwealth’s </w:t>
      </w:r>
      <w:r w:rsidR="00EC2FE4">
        <w:t>National Workforce Development Fund (with funding of over $500</w:t>
      </w:r>
      <w:r w:rsidR="000E6C27">
        <w:t xml:space="preserve"> </w:t>
      </w:r>
      <w:r w:rsidR="00EC2FE4">
        <w:t>m</w:t>
      </w:r>
      <w:r w:rsidR="000E6C27">
        <w:t xml:space="preserve">illion </w:t>
      </w:r>
      <w:r w:rsidR="005F7589">
        <w:t>from</w:t>
      </w:r>
      <w:r w:rsidR="0052450B">
        <w:t xml:space="preserve"> 2011—</w:t>
      </w:r>
      <w:r w:rsidR="000E6C27">
        <w:t>1</w:t>
      </w:r>
      <w:r w:rsidR="0052450B">
        <w:t>2 to 2014—</w:t>
      </w:r>
      <w:r w:rsidR="00EC2FE4">
        <w:t>15)</w:t>
      </w:r>
      <w:r>
        <w:t xml:space="preserve"> which sets up </w:t>
      </w:r>
      <w:r w:rsidR="000E6C27">
        <w:t>i</w:t>
      </w:r>
      <w:r>
        <w:t xml:space="preserve">ndustry </w:t>
      </w:r>
      <w:r w:rsidR="000E6C27">
        <w:t>s</w:t>
      </w:r>
      <w:r>
        <w:t xml:space="preserve">kills </w:t>
      </w:r>
      <w:r w:rsidR="000E6C27">
        <w:t>c</w:t>
      </w:r>
      <w:r>
        <w:t xml:space="preserve">ouncils </w:t>
      </w:r>
      <w:r w:rsidR="00EC2FE4">
        <w:t>to approve applications from</w:t>
      </w:r>
      <w:r>
        <w:t xml:space="preserve"> employers</w:t>
      </w:r>
      <w:r w:rsidR="00EC2FE4">
        <w:t>, professional associations and other industry bodies</w:t>
      </w:r>
      <w:r>
        <w:t xml:space="preserve"> </w:t>
      </w:r>
      <w:r w:rsidR="00EC2FE4">
        <w:t>to purchase training for existing and new workers</w:t>
      </w:r>
      <w:r w:rsidR="00EC2FE4">
        <w:rPr>
          <w:rStyle w:val="FootnoteReference"/>
        </w:rPr>
        <w:footnoteReference w:id="1"/>
      </w:r>
      <w:r w:rsidR="00EC2FE4">
        <w:t>.</w:t>
      </w:r>
      <w:r>
        <w:t xml:space="preserve"> On the other hand, we see the move to entitlement funding (notably in Victoria) which allow</w:t>
      </w:r>
      <w:r w:rsidR="00EC2FE4">
        <w:t>s</w:t>
      </w:r>
      <w:r>
        <w:t xml:space="preserve"> individuals to choose the education and training that best suits them</w:t>
      </w:r>
      <w:r w:rsidR="00EC2FE4">
        <w:t>, within certain boundaries</w:t>
      </w:r>
      <w:r>
        <w:t>.</w:t>
      </w:r>
    </w:p>
    <w:p w:rsidR="00CE4D54" w:rsidRDefault="002B2D8E" w:rsidP="002B2D8E">
      <w:pPr>
        <w:pStyle w:val="Text"/>
      </w:pPr>
      <w:r>
        <w:t xml:space="preserve">Thus industry has and </w:t>
      </w:r>
      <w:r w:rsidR="000E6C27">
        <w:t xml:space="preserve">will </w:t>
      </w:r>
      <w:r>
        <w:t>continue to have a key role in vocational education and training. However, its role is quite diverse and to think about VET research for industry we need to understand the role of the various industry players. While I have, perhaps facetiously, argued there is no such thing as industry, in the same sense Margaret Thatcher argued there is no such thing as society</w:t>
      </w:r>
      <w:r w:rsidR="00532943">
        <w:rPr>
          <w:rStyle w:val="FootnoteReference"/>
        </w:rPr>
        <w:footnoteReference w:id="2"/>
      </w:r>
      <w:r w:rsidR="00430D0A">
        <w:t>,</w:t>
      </w:r>
      <w:r w:rsidR="00BB3DDB">
        <w:t xml:space="preserve"> industry </w:t>
      </w:r>
    </w:p>
    <w:p w:rsidR="00CE4D54" w:rsidRDefault="00CE4D54">
      <w:pPr>
        <w:rPr>
          <w:rFonts w:ascii="Trebuchet MS" w:eastAsia="Times New Roman" w:hAnsi="Trebuchet MS"/>
          <w:sz w:val="19"/>
          <w:szCs w:val="20"/>
          <w:lang w:eastAsia="en-US"/>
        </w:rPr>
      </w:pPr>
      <w:r>
        <w:br w:type="page"/>
      </w:r>
    </w:p>
    <w:p w:rsidR="002B2D8E" w:rsidRDefault="00BB3DDB" w:rsidP="002B2D8E">
      <w:pPr>
        <w:pStyle w:val="Text"/>
      </w:pPr>
      <w:r>
        <w:lastRenderedPageBreak/>
        <w:t>needs to be defined in terms of actual organisations</w:t>
      </w:r>
      <w:r w:rsidR="00532943">
        <w:t xml:space="preserve"> rather </w:t>
      </w:r>
      <w:r w:rsidR="000E6C27">
        <w:t xml:space="preserve">than </w:t>
      </w:r>
      <w:r w:rsidR="00430D0A">
        <w:t>in the</w:t>
      </w:r>
      <w:r w:rsidR="00532943">
        <w:t xml:space="preserve"> abstract.</w:t>
      </w:r>
      <w:r w:rsidR="002B2D8E">
        <w:t xml:space="preserve"> I think of industry as comprising:</w:t>
      </w:r>
    </w:p>
    <w:p w:rsidR="002B2D8E" w:rsidRDefault="00430D0A" w:rsidP="002B2D8E">
      <w:pPr>
        <w:pStyle w:val="Dotpoint1"/>
      </w:pPr>
      <w:r>
        <w:t>i</w:t>
      </w:r>
      <w:r w:rsidR="002B2D8E">
        <w:t>ndividual enterprises/employers that are after skilled labour at the cheapest cost and</w:t>
      </w:r>
      <w:r w:rsidR="0052450B">
        <w:t>,</w:t>
      </w:r>
      <w:r w:rsidR="002B2D8E">
        <w:t xml:space="preserve"> in some cases</w:t>
      </w:r>
      <w:r w:rsidR="0052450B">
        <w:t>,</w:t>
      </w:r>
      <w:r w:rsidR="002B2D8E">
        <w:t xml:space="preserve"> deliver training on a commercial basis. Some are employers of apprentices and trainees, and receive incentive payments for </w:t>
      </w:r>
      <w:r w:rsidR="000E6C27">
        <w:t>employing them</w:t>
      </w:r>
      <w:r w:rsidR="002B2D8E">
        <w:t>.</w:t>
      </w:r>
    </w:p>
    <w:p w:rsidR="002B2D8E" w:rsidRDefault="00430D0A" w:rsidP="002B2D8E">
      <w:pPr>
        <w:pStyle w:val="Dotpoint1"/>
      </w:pPr>
      <w:r>
        <w:t>i</w:t>
      </w:r>
      <w:r w:rsidR="002B2D8E">
        <w:t xml:space="preserve">ndustry skills councils who are responsible </w:t>
      </w:r>
      <w:r w:rsidR="000E6C27">
        <w:t xml:space="preserve">for </w:t>
      </w:r>
      <w:r w:rsidR="002B2D8E">
        <w:t>developing the training packages and</w:t>
      </w:r>
      <w:r w:rsidR="000E6C27">
        <w:t>,</w:t>
      </w:r>
      <w:r w:rsidR="002B2D8E">
        <w:t xml:space="preserve"> more recently</w:t>
      </w:r>
      <w:r w:rsidR="000E6C27">
        <w:t>,</w:t>
      </w:r>
      <w:r w:rsidR="002B2D8E">
        <w:t xml:space="preserve"> play a role in the delivery of training through the </w:t>
      </w:r>
      <w:r w:rsidR="00EC2FE4">
        <w:t>Nati</w:t>
      </w:r>
      <w:r w:rsidR="000E6C27">
        <w:t>onal Workforce Development Fund</w:t>
      </w:r>
    </w:p>
    <w:p w:rsidR="002B2D8E" w:rsidRDefault="00430D0A" w:rsidP="002B2D8E">
      <w:pPr>
        <w:pStyle w:val="Dotpoint1"/>
      </w:pPr>
      <w:r>
        <w:t>i</w:t>
      </w:r>
      <w:r w:rsidR="002B2D8E">
        <w:t>ndustry peak bodies who typically wish to advance</w:t>
      </w:r>
      <w:r w:rsidR="000E6C27">
        <w:t xml:space="preserve"> the interests of their members</w:t>
      </w:r>
    </w:p>
    <w:p w:rsidR="002B2D8E" w:rsidRDefault="00430D0A" w:rsidP="002B2D8E">
      <w:pPr>
        <w:pStyle w:val="Dotpoint1"/>
      </w:pPr>
      <w:r>
        <w:t>g</w:t>
      </w:r>
      <w:r w:rsidR="002B2D8E">
        <w:t>roup training organisations that broker apprenticeships and traineeships a</w:t>
      </w:r>
      <w:r w:rsidR="000E6C27">
        <w:t>nd</w:t>
      </w:r>
      <w:r w:rsidR="0052450B">
        <w:t>,</w:t>
      </w:r>
      <w:r w:rsidR="000E6C27">
        <w:t xml:space="preserve"> in some cases</w:t>
      </w:r>
      <w:r w:rsidR="0052450B">
        <w:t>,</w:t>
      </w:r>
      <w:r w:rsidR="000E6C27">
        <w:t xml:space="preserve"> offer training</w:t>
      </w:r>
    </w:p>
    <w:p w:rsidR="002B2D8E" w:rsidRDefault="00430D0A" w:rsidP="002B2D8E">
      <w:pPr>
        <w:pStyle w:val="Dotpoint1"/>
      </w:pPr>
      <w:r>
        <w:t>u</w:t>
      </w:r>
      <w:r w:rsidR="002B2D8E">
        <w:t xml:space="preserve">nions who have an interest in qualifications, particularly as they relate to awards and pay and conditions (and obviously education unions are interested in protecting their members who work for </w:t>
      </w:r>
      <w:r w:rsidR="000E6C27">
        <w:t>registered training organisations</w:t>
      </w:r>
      <w:r w:rsidR="002B2D8E">
        <w:t>).</w:t>
      </w:r>
    </w:p>
    <w:p w:rsidR="002B2D8E" w:rsidRDefault="002B2D8E" w:rsidP="002B2D8E">
      <w:pPr>
        <w:pStyle w:val="Text"/>
      </w:pPr>
      <w:r>
        <w:t>Thus industry is made up of a wide range of stakeholders, all of whom have a direct interest in what training is delivered and how it is paid for. The level of public funding of VET is very high, and the industry stakeholders have a direct interest in the level of these funds and how they are disbursed. Therefore</w:t>
      </w:r>
      <w:r w:rsidR="000E6C27">
        <w:t>,</w:t>
      </w:r>
      <w:r>
        <w:t xml:space="preserve"> when I think about the value of VET research for industry</w:t>
      </w:r>
      <w:r w:rsidR="000E6C27">
        <w:t>,</w:t>
      </w:r>
      <w:r>
        <w:t xml:space="preserve"> I tend to concentrate on research into issues that go to the institutions that provide the structure for VET, and the efficiency and effectiveness of public funding.</w:t>
      </w:r>
    </w:p>
    <w:p w:rsidR="002B2D8E" w:rsidRDefault="002B2D8E" w:rsidP="002B2D8E">
      <w:pPr>
        <w:pStyle w:val="Text"/>
      </w:pPr>
      <w:r>
        <w:t xml:space="preserve">For the remainder of the presentation I want to present some examples of research which, at least in my view, </w:t>
      </w:r>
      <w:r w:rsidR="00CE1AF1">
        <w:t>go to the links between VET and industry and pose questions about h</w:t>
      </w:r>
      <w:r w:rsidR="0048449E">
        <w:t>ow VET should be conceptualised and funded.</w:t>
      </w:r>
      <w:r>
        <w:t xml:space="preserve"> </w:t>
      </w:r>
      <w:r w:rsidR="0048449E">
        <w:t xml:space="preserve">They all raise public policy issues and all the issues affect industry. </w:t>
      </w:r>
      <w:r>
        <w:t>My examples are:</w:t>
      </w:r>
    </w:p>
    <w:p w:rsidR="002B2D8E" w:rsidRDefault="00430D0A" w:rsidP="005354C3">
      <w:pPr>
        <w:pStyle w:val="Dotpoint1"/>
      </w:pPr>
      <w:r>
        <w:t>t</w:t>
      </w:r>
      <w:r w:rsidR="002B2D8E">
        <w:t>he value of completing an apprenticeship or traineeship</w:t>
      </w:r>
    </w:p>
    <w:p w:rsidR="002B2D8E" w:rsidRDefault="00430D0A" w:rsidP="005354C3">
      <w:pPr>
        <w:pStyle w:val="Dotpoint1"/>
      </w:pPr>
      <w:r>
        <w:t>t</w:t>
      </w:r>
      <w:r w:rsidR="002B2D8E">
        <w:t>he role of wages in completion rates for apprenticeships and traineeship</w:t>
      </w:r>
      <w:r w:rsidR="000E6C27">
        <w:t>s</w:t>
      </w:r>
    </w:p>
    <w:p w:rsidR="002B2D8E" w:rsidRDefault="00430D0A" w:rsidP="005354C3">
      <w:pPr>
        <w:pStyle w:val="Dotpoint1"/>
      </w:pPr>
      <w:r>
        <w:t>t</w:t>
      </w:r>
      <w:r w:rsidR="002B2D8E">
        <w:t>he value of completion of VET qualifications</w:t>
      </w:r>
    </w:p>
    <w:p w:rsidR="002B2D8E" w:rsidRDefault="00430D0A" w:rsidP="005354C3">
      <w:pPr>
        <w:pStyle w:val="Dotpoint1"/>
      </w:pPr>
      <w:r>
        <w:t>t</w:t>
      </w:r>
      <w:r w:rsidR="002B2D8E">
        <w:t xml:space="preserve">he level of matching between what people are training in and the jobs they </w:t>
      </w:r>
      <w:r w:rsidR="002B2D8E" w:rsidRPr="000E6C27">
        <w:t>get</w:t>
      </w:r>
    </w:p>
    <w:p w:rsidR="002B2D8E" w:rsidRDefault="00430D0A" w:rsidP="005354C3">
      <w:pPr>
        <w:pStyle w:val="Dotpoint1"/>
      </w:pPr>
      <w:r>
        <w:t>t</w:t>
      </w:r>
      <w:r w:rsidR="002B2D8E">
        <w:t>he role of VET in innovation</w:t>
      </w:r>
    </w:p>
    <w:p w:rsidR="002B2D8E" w:rsidRDefault="002B2D8E" w:rsidP="005354C3">
      <w:pPr>
        <w:pStyle w:val="Dotpoint1"/>
      </w:pPr>
      <w:r>
        <w:t>VET and workforce development</w:t>
      </w:r>
      <w:r w:rsidR="00430D0A">
        <w:t>.</w:t>
      </w:r>
    </w:p>
    <w:p w:rsidR="002B2D8E" w:rsidRPr="00A50895" w:rsidRDefault="002B2D8E" w:rsidP="002B2D8E">
      <w:pPr>
        <w:pStyle w:val="Text"/>
      </w:pPr>
      <w:r>
        <w:t>I confess there is a bias toward work I have been involved with (for the simple reason that I am familiar with it),</w:t>
      </w:r>
      <w:r w:rsidR="000E6C27">
        <w:t xml:space="preserve"> </w:t>
      </w:r>
      <w:r>
        <w:t xml:space="preserve">although I have featured some work done outside </w:t>
      </w:r>
      <w:r w:rsidR="000E6C27">
        <w:t xml:space="preserve">the National Centre for Vocational Education </w:t>
      </w:r>
      <w:r w:rsidR="001D1E05">
        <w:t>Research</w:t>
      </w:r>
      <w:r w:rsidR="000E6C27">
        <w:t xml:space="preserve"> (</w:t>
      </w:r>
      <w:r>
        <w:t>NCVER</w:t>
      </w:r>
      <w:r w:rsidR="000E6C27">
        <w:t>)</w:t>
      </w:r>
      <w:r w:rsidR="00430D0A">
        <w:t>.</w:t>
      </w:r>
    </w:p>
    <w:p w:rsidR="002B2D8E" w:rsidRDefault="002B2D8E" w:rsidP="002B2D8E">
      <w:pPr>
        <w:pStyle w:val="Heading2"/>
      </w:pPr>
      <w:bookmarkStart w:id="35" w:name="_Toc321239966"/>
      <w:bookmarkStart w:id="36" w:name="_Toc322958591"/>
      <w:r>
        <w:t>The value of completing an apprenticeship or traineeship</w:t>
      </w:r>
      <w:bookmarkEnd w:id="35"/>
      <w:bookmarkEnd w:id="36"/>
    </w:p>
    <w:p w:rsidR="002B2D8E" w:rsidRDefault="002B2D8E" w:rsidP="0048449E">
      <w:pPr>
        <w:pStyle w:val="Text"/>
      </w:pPr>
      <w:r>
        <w:t xml:space="preserve">This work (Karmel </w:t>
      </w:r>
      <w:r w:rsidR="000E6C27">
        <w:t>&amp;</w:t>
      </w:r>
      <w:r w:rsidR="00C8559F">
        <w:t xml:space="preserve"> Mlotkowski 2010, </w:t>
      </w:r>
      <w:r>
        <w:t xml:space="preserve">2011) is based on data from the </w:t>
      </w:r>
      <w:r w:rsidR="00C8559F">
        <w:t>A</w:t>
      </w:r>
      <w:r>
        <w:t xml:space="preserve">pprentice and </w:t>
      </w:r>
      <w:r w:rsidR="00C8559F">
        <w:t>T</w:t>
      </w:r>
      <w:r>
        <w:t xml:space="preserve">rainee </w:t>
      </w:r>
      <w:r w:rsidR="00C8559F">
        <w:t>D</w:t>
      </w:r>
      <w:r>
        <w:t xml:space="preserve">estination </w:t>
      </w:r>
      <w:r w:rsidR="00C8559F">
        <w:t>S</w:t>
      </w:r>
      <w:r>
        <w:t>urvey. A sample of those exiting from an apprenticeship or traineeship was followed up and data obtained on training wages and the wages of current employment. This enables us to look at wages of those who did and did not complete an apprenticeship or traineeship. Statistical modelling based on background characteristics enable</w:t>
      </w:r>
      <w:r w:rsidR="00430D0A">
        <w:t>s</w:t>
      </w:r>
      <w:r>
        <w:t xml:space="preserve"> us to look at the opportunity cost of training (the difference between wages in an alternative job and the training wage) and the premium to </w:t>
      </w:r>
      <w:r>
        <w:lastRenderedPageBreak/>
        <w:t xml:space="preserve">completion (the difference between wages on completion and wages in an alternative job). The first of these is relevant to the cost of undertaking an apprenticeship or traineeship and the second to the value of completion. The </w:t>
      </w:r>
      <w:r w:rsidR="0048449E">
        <w:t>latter</w:t>
      </w:r>
      <w:r>
        <w:t xml:space="preserve"> </w:t>
      </w:r>
      <w:r w:rsidR="0048449E">
        <w:t>measures</w:t>
      </w:r>
      <w:r>
        <w:t xml:space="preserve"> the skills acquisition in the apprenticeship or traineeship, or at least the market value of the skills</w:t>
      </w:r>
      <w:r w:rsidR="0048449E">
        <w:t>. Figure 1</w:t>
      </w:r>
      <w:r w:rsidR="00C8559F">
        <w:t xml:space="preserve"> shows the value of completion —</w:t>
      </w:r>
      <w:r w:rsidR="0048449E">
        <w:t xml:space="preserve"> the difference between the expected wage on completion of an apprenticeship or traineeship and the expected wage the individuals could expect if they did not complete but took alternative employment. These differences are calculated for each of the individuals in the sample and then plotted</w:t>
      </w:r>
      <w:r w:rsidR="00430D0A">
        <w:t>, beginning</w:t>
      </w:r>
      <w:r w:rsidR="0048449E">
        <w:t xml:space="preserve"> with the individual with the greatest premium to completion</w:t>
      </w:r>
      <w:r w:rsidR="00430D0A">
        <w:t>.</w:t>
      </w:r>
    </w:p>
    <w:p w:rsidR="002B2D8E" w:rsidRDefault="002B2D8E" w:rsidP="002B2D8E">
      <w:pPr>
        <w:pStyle w:val="Figuretitle"/>
        <w:ind w:left="993" w:hanging="993"/>
      </w:pPr>
      <w:bookmarkStart w:id="37" w:name="_Toc252459564"/>
      <w:bookmarkStart w:id="38" w:name="_Toc322958638"/>
      <w:r>
        <w:t xml:space="preserve">Figure </w:t>
      </w:r>
      <w:r w:rsidR="0048449E">
        <w:t>1</w:t>
      </w:r>
      <w:r>
        <w:tab/>
      </w:r>
      <w:r w:rsidR="0048449E">
        <w:t>Difference</w:t>
      </w:r>
      <w:r>
        <w:t xml:space="preserve"> between expected wage on completion and expected wage in alternative employment, trades and non-trades </w:t>
      </w:r>
      <w:r w:rsidRPr="0052450B">
        <w:t>(male/female)</w:t>
      </w:r>
      <w:bookmarkEnd w:id="37"/>
      <w:bookmarkEnd w:id="38"/>
      <w:r w:rsidR="00C8559F">
        <w:t xml:space="preserve"> </w:t>
      </w:r>
    </w:p>
    <w:p w:rsidR="002B2D8E" w:rsidRDefault="005354C3" w:rsidP="002B2D8E">
      <w:pPr>
        <w:pStyle w:val="Source"/>
      </w:pPr>
      <w:r>
        <w:rPr>
          <w:noProof/>
          <w:lang w:eastAsia="en-AU"/>
        </w:rPr>
        <w:drawing>
          <wp:anchor distT="0" distB="0" distL="114300" distR="114300" simplePos="0" relativeHeight="251682816" behindDoc="0" locked="0" layoutInCell="1" allowOverlap="1">
            <wp:simplePos x="0" y="0"/>
            <wp:positionH relativeFrom="column">
              <wp:posOffset>3175</wp:posOffset>
            </wp:positionH>
            <wp:positionV relativeFrom="paragraph">
              <wp:posOffset>3108960</wp:posOffset>
            </wp:positionV>
            <wp:extent cx="5241290" cy="2912745"/>
            <wp:effectExtent l="0" t="0" r="0" b="0"/>
            <wp:wrapTopAndBottom/>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241290" cy="2912745"/>
                    </a:xfrm>
                    <a:prstGeom prst="rect">
                      <a:avLst/>
                    </a:prstGeom>
                    <a:noFill/>
                    <a:ln w="9525">
                      <a:noFill/>
                      <a:miter lim="800000"/>
                      <a:headEnd/>
                      <a:tailEnd/>
                    </a:ln>
                  </pic:spPr>
                </pic:pic>
              </a:graphicData>
            </a:graphic>
          </wp:anchor>
        </w:drawing>
      </w:r>
      <w:r w:rsidR="002B2D8E">
        <w:rPr>
          <w:noProof/>
          <w:lang w:eastAsia="en-AU"/>
        </w:rPr>
        <w:drawing>
          <wp:anchor distT="0" distB="0" distL="114300" distR="114300" simplePos="0" relativeHeight="251681792" behindDoc="0" locked="0" layoutInCell="1" allowOverlap="1">
            <wp:simplePos x="0" y="0"/>
            <wp:positionH relativeFrom="column">
              <wp:posOffset>3337</wp:posOffset>
            </wp:positionH>
            <wp:positionV relativeFrom="paragraph">
              <wp:posOffset>4755</wp:posOffset>
            </wp:positionV>
            <wp:extent cx="5199321" cy="2934586"/>
            <wp:effectExtent l="0" t="0" r="0" b="0"/>
            <wp:wrapTopAndBottom/>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199321" cy="2934586"/>
                    </a:xfrm>
                    <a:prstGeom prst="rect">
                      <a:avLst/>
                    </a:prstGeom>
                    <a:noFill/>
                    <a:ln w="9525">
                      <a:noFill/>
                      <a:miter lim="800000"/>
                      <a:headEnd/>
                      <a:tailEnd/>
                    </a:ln>
                  </pic:spPr>
                </pic:pic>
              </a:graphicData>
            </a:graphic>
          </wp:anchor>
        </w:drawing>
      </w:r>
    </w:p>
    <w:p w:rsidR="002B2D8E" w:rsidRDefault="002B2D8E" w:rsidP="002B2D8E">
      <w:pPr>
        <w:pStyle w:val="Source"/>
      </w:pPr>
    </w:p>
    <w:p w:rsidR="005354C3" w:rsidRDefault="005354C3" w:rsidP="002B2D8E">
      <w:pPr>
        <w:pStyle w:val="Text"/>
      </w:pPr>
    </w:p>
    <w:p w:rsidR="005354C3" w:rsidRDefault="005354C3" w:rsidP="002B2D8E">
      <w:pPr>
        <w:pStyle w:val="Text"/>
      </w:pPr>
    </w:p>
    <w:p w:rsidR="005354C3" w:rsidRPr="005354C3" w:rsidRDefault="005354C3" w:rsidP="005354C3">
      <w:pPr>
        <w:pStyle w:val="Source"/>
      </w:pPr>
      <w:bookmarkStart w:id="39" w:name="_Toc263767126"/>
      <w:bookmarkStart w:id="40" w:name="_Toc322958607"/>
      <w:r>
        <w:rPr>
          <w:noProof/>
          <w:lang w:eastAsia="en-AU"/>
        </w:rPr>
        <w:lastRenderedPageBreak/>
        <w:drawing>
          <wp:anchor distT="0" distB="0" distL="114300" distR="114300" simplePos="0" relativeHeight="251683840" behindDoc="0" locked="0" layoutInCell="1" allowOverlap="1">
            <wp:simplePos x="0" y="0"/>
            <wp:positionH relativeFrom="column">
              <wp:posOffset>25400</wp:posOffset>
            </wp:positionH>
            <wp:positionV relativeFrom="paragraph">
              <wp:posOffset>19050</wp:posOffset>
            </wp:positionV>
            <wp:extent cx="5135245" cy="2934335"/>
            <wp:effectExtent l="0" t="0" r="0" b="0"/>
            <wp:wrapTopAndBottom/>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135245" cy="2934335"/>
                    </a:xfrm>
                    <a:prstGeom prst="rect">
                      <a:avLst/>
                    </a:prstGeom>
                    <a:noFill/>
                    <a:ln w="9525">
                      <a:noFill/>
                      <a:miter lim="800000"/>
                      <a:headEnd/>
                      <a:tailEnd/>
                    </a:ln>
                  </pic:spPr>
                </pic:pic>
              </a:graphicData>
            </a:graphic>
          </wp:anchor>
        </w:drawing>
      </w:r>
      <w:r w:rsidRPr="005354C3">
        <w:t>Note:</w:t>
      </w:r>
      <w:r w:rsidRPr="005354C3">
        <w:tab/>
        <w:t xml:space="preserve">A positive difference implies that expected wages on completion are greater than expected wages in alternative employment. </w:t>
      </w:r>
    </w:p>
    <w:p w:rsidR="005354C3" w:rsidRPr="005354C3" w:rsidRDefault="005354C3" w:rsidP="005354C3">
      <w:pPr>
        <w:pStyle w:val="Text"/>
        <w:spacing w:before="300"/>
        <w:ind w:right="0"/>
      </w:pPr>
      <w:r w:rsidRPr="005354C3">
        <w:t>We see that for the vast majority of apprenticeships there is a premium to completion and</w:t>
      </w:r>
      <w:r w:rsidR="001D1E05">
        <w:t>,</w:t>
      </w:r>
      <w:r w:rsidRPr="005354C3">
        <w:t xml:space="preserve"> in some cases, a very handsome one. On the other hand, for a sizable proportion of trainees there is no premium to completion.</w:t>
      </w:r>
    </w:p>
    <w:p w:rsidR="005354C3" w:rsidRPr="005354C3" w:rsidRDefault="005354C3" w:rsidP="005354C3">
      <w:pPr>
        <w:pStyle w:val="Text"/>
      </w:pPr>
      <w:r w:rsidRPr="005354C3">
        <w:t>Table 1 presents the data for the various occupations.</w:t>
      </w:r>
    </w:p>
    <w:p w:rsidR="002B2D8E" w:rsidRPr="006E576F" w:rsidRDefault="002B2D8E" w:rsidP="002B2D8E">
      <w:pPr>
        <w:pStyle w:val="tabletitle"/>
        <w:ind w:left="993" w:hanging="993"/>
      </w:pPr>
      <w:r w:rsidRPr="006E576F">
        <w:t>Table 1</w:t>
      </w:r>
      <w:r w:rsidRPr="006E576F">
        <w:tab/>
        <w:t>Mean, and proportion above zero, of wage premium on completion of an apprenticeship or traineeship, trades</w:t>
      </w:r>
      <w:r>
        <w:t xml:space="preserve"> and non-trades </w:t>
      </w:r>
      <w:r w:rsidRPr="0052450B">
        <w:t>(male/female)</w:t>
      </w:r>
      <w:r w:rsidR="00C8559F">
        <w:t xml:space="preserve"> </w:t>
      </w:r>
      <w:r>
        <w:t>—</w:t>
      </w:r>
      <w:r w:rsidR="00C8559F">
        <w:t xml:space="preserve"> </w:t>
      </w:r>
      <w:r w:rsidRPr="006E576F">
        <w:t>excluding part-timers and existing workers</w:t>
      </w:r>
      <w:bookmarkEnd w:id="39"/>
      <w:bookmarkEnd w:id="40"/>
    </w:p>
    <w:tbl>
      <w:tblPr>
        <w:tblW w:w="8621" w:type="dxa"/>
        <w:tblLayout w:type="fixed"/>
        <w:tblLook w:val="01E0"/>
      </w:tblPr>
      <w:tblGrid>
        <w:gridCol w:w="3102"/>
        <w:gridCol w:w="919"/>
        <w:gridCol w:w="920"/>
        <w:gridCol w:w="920"/>
        <w:gridCol w:w="920"/>
        <w:gridCol w:w="920"/>
        <w:gridCol w:w="920"/>
      </w:tblGrid>
      <w:tr w:rsidR="002B2D8E" w:rsidRPr="006E576F" w:rsidTr="000A3AC6">
        <w:tc>
          <w:tcPr>
            <w:tcW w:w="3102" w:type="dxa"/>
            <w:tcBorders>
              <w:top w:val="single" w:sz="4" w:space="0" w:color="auto"/>
            </w:tcBorders>
            <w:vAlign w:val="bottom"/>
          </w:tcPr>
          <w:p w:rsidR="002B2D8E" w:rsidRPr="006E576F" w:rsidRDefault="002B2D8E" w:rsidP="002B2D8E">
            <w:pPr>
              <w:pStyle w:val="Tablehead1"/>
              <w:tabs>
                <w:tab w:val="left" w:pos="510"/>
              </w:tabs>
              <w:jc w:val="center"/>
            </w:pPr>
          </w:p>
        </w:tc>
        <w:tc>
          <w:tcPr>
            <w:tcW w:w="1839" w:type="dxa"/>
            <w:gridSpan w:val="2"/>
            <w:tcBorders>
              <w:top w:val="single" w:sz="4" w:space="0" w:color="auto"/>
              <w:right w:val="single" w:sz="4" w:space="0" w:color="auto"/>
            </w:tcBorders>
            <w:vAlign w:val="bottom"/>
          </w:tcPr>
          <w:p w:rsidR="002B2D8E" w:rsidRPr="006E576F" w:rsidRDefault="002B2D8E" w:rsidP="002B2D8E">
            <w:pPr>
              <w:pStyle w:val="Tablehead1"/>
              <w:jc w:val="center"/>
            </w:pPr>
            <w:r w:rsidRPr="006E576F">
              <w:t>Trades</w:t>
            </w:r>
          </w:p>
        </w:tc>
        <w:tc>
          <w:tcPr>
            <w:tcW w:w="1840" w:type="dxa"/>
            <w:gridSpan w:val="2"/>
            <w:tcBorders>
              <w:top w:val="single" w:sz="4" w:space="0" w:color="auto"/>
              <w:left w:val="single" w:sz="4" w:space="0" w:color="auto"/>
              <w:right w:val="single" w:sz="4" w:space="0" w:color="auto"/>
            </w:tcBorders>
            <w:vAlign w:val="bottom"/>
          </w:tcPr>
          <w:p w:rsidR="002B2D8E" w:rsidRPr="006E576F" w:rsidRDefault="002B2D8E" w:rsidP="002B2D8E">
            <w:pPr>
              <w:pStyle w:val="Tablehead1"/>
              <w:jc w:val="center"/>
            </w:pPr>
            <w:r w:rsidRPr="006E576F">
              <w:t>Non-trades (male)</w:t>
            </w:r>
          </w:p>
        </w:tc>
        <w:tc>
          <w:tcPr>
            <w:tcW w:w="1840" w:type="dxa"/>
            <w:gridSpan w:val="2"/>
            <w:tcBorders>
              <w:top w:val="single" w:sz="4" w:space="0" w:color="auto"/>
              <w:left w:val="single" w:sz="4" w:space="0" w:color="auto"/>
            </w:tcBorders>
            <w:vAlign w:val="bottom"/>
          </w:tcPr>
          <w:p w:rsidR="002B2D8E" w:rsidRPr="006E576F" w:rsidRDefault="002B2D8E" w:rsidP="002B2D8E">
            <w:pPr>
              <w:pStyle w:val="Tablehead1"/>
              <w:jc w:val="center"/>
            </w:pPr>
            <w:r w:rsidRPr="006E576F">
              <w:t>Non-trades (female)</w:t>
            </w:r>
          </w:p>
        </w:tc>
      </w:tr>
      <w:tr w:rsidR="002B2D8E" w:rsidRPr="006E576F" w:rsidTr="000A3AC6">
        <w:tc>
          <w:tcPr>
            <w:tcW w:w="3102" w:type="dxa"/>
            <w:tcBorders>
              <w:bottom w:val="single" w:sz="4" w:space="0" w:color="auto"/>
            </w:tcBorders>
            <w:vAlign w:val="bottom"/>
          </w:tcPr>
          <w:p w:rsidR="002B2D8E" w:rsidRPr="006E576F" w:rsidRDefault="002B2D8E" w:rsidP="002B2D8E">
            <w:pPr>
              <w:pStyle w:val="Tablehead2"/>
              <w:tabs>
                <w:tab w:val="left" w:pos="510"/>
              </w:tabs>
            </w:pPr>
          </w:p>
        </w:tc>
        <w:tc>
          <w:tcPr>
            <w:tcW w:w="919" w:type="dxa"/>
            <w:tcBorders>
              <w:bottom w:val="single" w:sz="4" w:space="0" w:color="auto"/>
            </w:tcBorders>
            <w:vAlign w:val="bottom"/>
          </w:tcPr>
          <w:p w:rsidR="002B2D8E" w:rsidRPr="006E576F" w:rsidRDefault="002B2D8E" w:rsidP="002B2D8E">
            <w:pPr>
              <w:pStyle w:val="Tablehead2"/>
              <w:jc w:val="right"/>
            </w:pPr>
            <w:r w:rsidRPr="006E576F">
              <w:t>Mean ($)</w:t>
            </w:r>
          </w:p>
        </w:tc>
        <w:tc>
          <w:tcPr>
            <w:tcW w:w="920" w:type="dxa"/>
            <w:tcBorders>
              <w:bottom w:val="single" w:sz="4" w:space="0" w:color="auto"/>
              <w:right w:val="single" w:sz="4" w:space="0" w:color="auto"/>
            </w:tcBorders>
            <w:vAlign w:val="bottom"/>
          </w:tcPr>
          <w:p w:rsidR="002B2D8E" w:rsidRPr="006E576F" w:rsidRDefault="002B2D8E" w:rsidP="002B2D8E">
            <w:pPr>
              <w:pStyle w:val="Tablehead2"/>
              <w:jc w:val="right"/>
            </w:pPr>
            <w:r w:rsidRPr="006E576F">
              <w:t>% above zero</w:t>
            </w:r>
          </w:p>
        </w:tc>
        <w:tc>
          <w:tcPr>
            <w:tcW w:w="920" w:type="dxa"/>
            <w:tcBorders>
              <w:left w:val="single" w:sz="4" w:space="0" w:color="auto"/>
              <w:bottom w:val="single" w:sz="4" w:space="0" w:color="auto"/>
            </w:tcBorders>
            <w:vAlign w:val="bottom"/>
          </w:tcPr>
          <w:p w:rsidR="002B2D8E" w:rsidRPr="006E576F" w:rsidRDefault="002B2D8E" w:rsidP="002B2D8E">
            <w:pPr>
              <w:pStyle w:val="Tablehead2"/>
              <w:jc w:val="right"/>
            </w:pPr>
            <w:r w:rsidRPr="006E576F">
              <w:t>Mean ($)</w:t>
            </w:r>
          </w:p>
        </w:tc>
        <w:tc>
          <w:tcPr>
            <w:tcW w:w="920" w:type="dxa"/>
            <w:tcBorders>
              <w:bottom w:val="single" w:sz="4" w:space="0" w:color="auto"/>
              <w:right w:val="single" w:sz="4" w:space="0" w:color="auto"/>
            </w:tcBorders>
            <w:vAlign w:val="bottom"/>
          </w:tcPr>
          <w:p w:rsidR="002B2D8E" w:rsidRPr="006E576F" w:rsidRDefault="002B2D8E" w:rsidP="002B2D8E">
            <w:pPr>
              <w:pStyle w:val="Tablehead2"/>
              <w:jc w:val="right"/>
            </w:pPr>
            <w:r w:rsidRPr="006E576F">
              <w:t>% above zero</w:t>
            </w:r>
          </w:p>
        </w:tc>
        <w:tc>
          <w:tcPr>
            <w:tcW w:w="920" w:type="dxa"/>
            <w:tcBorders>
              <w:left w:val="single" w:sz="4" w:space="0" w:color="auto"/>
              <w:bottom w:val="single" w:sz="4" w:space="0" w:color="auto"/>
            </w:tcBorders>
            <w:vAlign w:val="bottom"/>
          </w:tcPr>
          <w:p w:rsidR="002B2D8E" w:rsidRPr="006E576F" w:rsidRDefault="002B2D8E" w:rsidP="002B2D8E">
            <w:pPr>
              <w:pStyle w:val="Tablehead2"/>
              <w:jc w:val="right"/>
            </w:pPr>
            <w:r w:rsidRPr="006E576F">
              <w:t>Mean ($)</w:t>
            </w:r>
          </w:p>
        </w:tc>
        <w:tc>
          <w:tcPr>
            <w:tcW w:w="920" w:type="dxa"/>
            <w:tcBorders>
              <w:bottom w:val="single" w:sz="4" w:space="0" w:color="auto"/>
            </w:tcBorders>
            <w:vAlign w:val="bottom"/>
          </w:tcPr>
          <w:p w:rsidR="002B2D8E" w:rsidRPr="006E576F" w:rsidRDefault="002B2D8E" w:rsidP="002B2D8E">
            <w:pPr>
              <w:pStyle w:val="Tablehead2"/>
              <w:jc w:val="right"/>
            </w:pPr>
            <w:r w:rsidRPr="006E576F">
              <w:t>% above zero</w:t>
            </w:r>
          </w:p>
        </w:tc>
      </w:tr>
      <w:tr w:rsidR="002B2D8E" w:rsidRPr="006E576F" w:rsidTr="000A3AC6">
        <w:tc>
          <w:tcPr>
            <w:tcW w:w="3102" w:type="dxa"/>
            <w:vAlign w:val="bottom"/>
          </w:tcPr>
          <w:p w:rsidR="002B2D8E" w:rsidRPr="006E576F" w:rsidRDefault="002B2D8E" w:rsidP="002B2D8E">
            <w:pPr>
              <w:pStyle w:val="Tabletext"/>
              <w:tabs>
                <w:tab w:val="left" w:pos="510"/>
              </w:tabs>
            </w:pPr>
            <w:r w:rsidRPr="006E576F">
              <w:t>Trades:</w:t>
            </w:r>
          </w:p>
        </w:tc>
        <w:tc>
          <w:tcPr>
            <w:tcW w:w="919" w:type="dxa"/>
            <w:vAlign w:val="bottom"/>
          </w:tcPr>
          <w:p w:rsidR="002B2D8E" w:rsidRPr="006E576F" w:rsidRDefault="002B2D8E" w:rsidP="002B2D8E">
            <w:pPr>
              <w:pStyle w:val="Tabletext"/>
              <w:jc w:val="right"/>
            </w:pPr>
          </w:p>
        </w:tc>
        <w:tc>
          <w:tcPr>
            <w:tcW w:w="920" w:type="dxa"/>
            <w:tcBorders>
              <w:right w:val="single" w:sz="4" w:space="0" w:color="auto"/>
            </w:tcBorders>
            <w:vAlign w:val="bottom"/>
          </w:tcPr>
          <w:p w:rsidR="002B2D8E" w:rsidRPr="006E576F" w:rsidRDefault="002B2D8E" w:rsidP="002B2D8E">
            <w:pPr>
              <w:pStyle w:val="Tabletext"/>
              <w:jc w:val="right"/>
            </w:pPr>
          </w:p>
        </w:tc>
        <w:tc>
          <w:tcPr>
            <w:tcW w:w="920" w:type="dxa"/>
            <w:tcBorders>
              <w:left w:val="single" w:sz="4" w:space="0" w:color="auto"/>
            </w:tcBorders>
            <w:vAlign w:val="bottom"/>
          </w:tcPr>
          <w:p w:rsidR="002B2D8E" w:rsidRPr="006E576F" w:rsidRDefault="002B2D8E" w:rsidP="002B2D8E">
            <w:pPr>
              <w:pStyle w:val="Tabletext"/>
              <w:jc w:val="right"/>
            </w:pPr>
          </w:p>
        </w:tc>
        <w:tc>
          <w:tcPr>
            <w:tcW w:w="920" w:type="dxa"/>
            <w:tcBorders>
              <w:right w:val="single" w:sz="4" w:space="0" w:color="auto"/>
            </w:tcBorders>
            <w:vAlign w:val="bottom"/>
          </w:tcPr>
          <w:p w:rsidR="002B2D8E" w:rsidRPr="006E576F" w:rsidRDefault="002B2D8E" w:rsidP="002B2D8E">
            <w:pPr>
              <w:pStyle w:val="Tabletext"/>
              <w:jc w:val="right"/>
            </w:pPr>
          </w:p>
        </w:tc>
        <w:tc>
          <w:tcPr>
            <w:tcW w:w="920" w:type="dxa"/>
            <w:tcBorders>
              <w:left w:val="single" w:sz="4" w:space="0" w:color="auto"/>
            </w:tcBorders>
            <w:vAlign w:val="bottom"/>
          </w:tcPr>
          <w:p w:rsidR="002B2D8E" w:rsidRPr="006E576F" w:rsidRDefault="002B2D8E" w:rsidP="002B2D8E">
            <w:pPr>
              <w:pStyle w:val="Tabletext"/>
              <w:jc w:val="right"/>
            </w:pPr>
          </w:p>
        </w:tc>
        <w:tc>
          <w:tcPr>
            <w:tcW w:w="920" w:type="dxa"/>
            <w:vAlign w:val="bottom"/>
          </w:tcPr>
          <w:p w:rsidR="002B2D8E" w:rsidRPr="006E576F" w:rsidRDefault="002B2D8E" w:rsidP="002B2D8E">
            <w:pPr>
              <w:pStyle w:val="Tabletext"/>
              <w:jc w:val="right"/>
            </w:pPr>
          </w:p>
        </w:tc>
      </w:tr>
      <w:tr w:rsidR="002B2D8E" w:rsidRPr="006E576F" w:rsidTr="000A3AC6">
        <w:tc>
          <w:tcPr>
            <w:tcW w:w="3102" w:type="dxa"/>
            <w:vAlign w:val="bottom"/>
          </w:tcPr>
          <w:p w:rsidR="002B2D8E" w:rsidRPr="006E576F" w:rsidRDefault="002B2D8E" w:rsidP="002B2D8E">
            <w:pPr>
              <w:pStyle w:val="Tabletext"/>
              <w:tabs>
                <w:tab w:val="left" w:pos="510"/>
              </w:tabs>
              <w:ind w:left="511" w:hanging="369"/>
            </w:pPr>
            <w:r w:rsidRPr="006E576F">
              <w:t xml:space="preserve">31 </w:t>
            </w:r>
            <w:r>
              <w:tab/>
            </w:r>
            <w:r w:rsidRPr="006E576F">
              <w:t xml:space="preserve">Engineering, </w:t>
            </w:r>
            <w:r>
              <w:t>ICT and science</w:t>
            </w:r>
            <w:r w:rsidRPr="006E576F">
              <w:t xml:space="preserve"> technicians</w:t>
            </w:r>
          </w:p>
        </w:tc>
        <w:tc>
          <w:tcPr>
            <w:tcW w:w="919" w:type="dxa"/>
            <w:vAlign w:val="bottom"/>
          </w:tcPr>
          <w:p w:rsidR="002B2D8E" w:rsidRPr="006E576F" w:rsidRDefault="002B2D8E" w:rsidP="002B2D8E">
            <w:pPr>
              <w:pStyle w:val="Tabletext"/>
              <w:jc w:val="right"/>
            </w:pPr>
            <w:r w:rsidRPr="006E576F">
              <w:t>6 329.1</w:t>
            </w:r>
          </w:p>
        </w:tc>
        <w:tc>
          <w:tcPr>
            <w:tcW w:w="920" w:type="dxa"/>
            <w:tcBorders>
              <w:right w:val="single" w:sz="4" w:space="0" w:color="auto"/>
            </w:tcBorders>
            <w:vAlign w:val="bottom"/>
          </w:tcPr>
          <w:p w:rsidR="002B2D8E" w:rsidRPr="006E576F" w:rsidRDefault="002B2D8E" w:rsidP="002B2D8E">
            <w:pPr>
              <w:pStyle w:val="Tabletext"/>
              <w:jc w:val="right"/>
            </w:pPr>
            <w:r w:rsidRPr="006E576F">
              <w:t>100.0</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32 </w:t>
            </w:r>
            <w:r>
              <w:tab/>
            </w:r>
            <w:r w:rsidRPr="006E576F">
              <w:t>Automotive and engineering</w:t>
            </w:r>
          </w:p>
        </w:tc>
        <w:tc>
          <w:tcPr>
            <w:tcW w:w="919" w:type="dxa"/>
            <w:vAlign w:val="bottom"/>
          </w:tcPr>
          <w:p w:rsidR="002B2D8E" w:rsidRPr="006E576F" w:rsidRDefault="002B2D8E" w:rsidP="002B2D8E">
            <w:pPr>
              <w:pStyle w:val="Tabletext"/>
              <w:jc w:val="right"/>
            </w:pPr>
            <w:r w:rsidRPr="006E576F">
              <w:t>13 724.4</w:t>
            </w:r>
          </w:p>
        </w:tc>
        <w:tc>
          <w:tcPr>
            <w:tcW w:w="920" w:type="dxa"/>
            <w:tcBorders>
              <w:right w:val="single" w:sz="4" w:space="0" w:color="auto"/>
            </w:tcBorders>
            <w:vAlign w:val="bottom"/>
          </w:tcPr>
          <w:p w:rsidR="002B2D8E" w:rsidRPr="006E576F" w:rsidRDefault="002B2D8E" w:rsidP="002B2D8E">
            <w:pPr>
              <w:pStyle w:val="Tabletext"/>
              <w:jc w:val="right"/>
            </w:pPr>
            <w:r w:rsidRPr="006E576F">
              <w:t>100.0</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33 </w:t>
            </w:r>
            <w:r>
              <w:tab/>
            </w:r>
            <w:r w:rsidRPr="006E576F">
              <w:t>Construction trades workers</w:t>
            </w:r>
          </w:p>
        </w:tc>
        <w:tc>
          <w:tcPr>
            <w:tcW w:w="919" w:type="dxa"/>
            <w:vAlign w:val="bottom"/>
          </w:tcPr>
          <w:p w:rsidR="002B2D8E" w:rsidRPr="006E576F" w:rsidRDefault="002B2D8E" w:rsidP="002B2D8E">
            <w:pPr>
              <w:pStyle w:val="Tabletext"/>
              <w:jc w:val="right"/>
            </w:pPr>
            <w:r w:rsidRPr="006E576F">
              <w:t>16 867.8</w:t>
            </w:r>
          </w:p>
        </w:tc>
        <w:tc>
          <w:tcPr>
            <w:tcW w:w="920" w:type="dxa"/>
            <w:tcBorders>
              <w:right w:val="single" w:sz="4" w:space="0" w:color="auto"/>
            </w:tcBorders>
            <w:vAlign w:val="bottom"/>
          </w:tcPr>
          <w:p w:rsidR="002B2D8E" w:rsidRPr="006E576F" w:rsidRDefault="002B2D8E" w:rsidP="002B2D8E">
            <w:pPr>
              <w:pStyle w:val="Tabletext"/>
              <w:jc w:val="right"/>
            </w:pPr>
            <w:r w:rsidRPr="006E576F">
              <w:t>100.0</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510" w:hanging="368"/>
            </w:pPr>
            <w:r w:rsidRPr="006E576F">
              <w:t xml:space="preserve">34 </w:t>
            </w:r>
            <w:r>
              <w:tab/>
            </w:r>
            <w:r w:rsidRPr="006E576F">
              <w:t xml:space="preserve">Electrotechnology and telecommunications trades workers </w:t>
            </w:r>
          </w:p>
        </w:tc>
        <w:tc>
          <w:tcPr>
            <w:tcW w:w="919" w:type="dxa"/>
            <w:vAlign w:val="bottom"/>
          </w:tcPr>
          <w:p w:rsidR="002B2D8E" w:rsidRPr="006E576F" w:rsidRDefault="002B2D8E" w:rsidP="002B2D8E">
            <w:pPr>
              <w:pStyle w:val="Tabletext"/>
              <w:jc w:val="right"/>
            </w:pPr>
            <w:r w:rsidRPr="006E576F">
              <w:t>23 232.1</w:t>
            </w:r>
          </w:p>
        </w:tc>
        <w:tc>
          <w:tcPr>
            <w:tcW w:w="920" w:type="dxa"/>
            <w:tcBorders>
              <w:right w:val="single" w:sz="4" w:space="0" w:color="auto"/>
            </w:tcBorders>
            <w:vAlign w:val="bottom"/>
          </w:tcPr>
          <w:p w:rsidR="002B2D8E" w:rsidRPr="006E576F" w:rsidRDefault="002B2D8E" w:rsidP="002B2D8E">
            <w:pPr>
              <w:pStyle w:val="Tabletext"/>
              <w:jc w:val="right"/>
            </w:pPr>
            <w:r w:rsidRPr="006E576F">
              <w:t>100.0</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35 </w:t>
            </w:r>
            <w:r>
              <w:tab/>
            </w:r>
            <w:r w:rsidRPr="006E576F">
              <w:t>Food trades workers</w:t>
            </w:r>
          </w:p>
        </w:tc>
        <w:tc>
          <w:tcPr>
            <w:tcW w:w="919" w:type="dxa"/>
            <w:vAlign w:val="bottom"/>
          </w:tcPr>
          <w:p w:rsidR="002B2D8E" w:rsidRPr="006E576F" w:rsidRDefault="002B2D8E" w:rsidP="002B2D8E">
            <w:pPr>
              <w:pStyle w:val="Tabletext"/>
              <w:jc w:val="right"/>
            </w:pPr>
            <w:r w:rsidRPr="006E576F">
              <w:t>6 228.8</w:t>
            </w:r>
          </w:p>
        </w:tc>
        <w:tc>
          <w:tcPr>
            <w:tcW w:w="920" w:type="dxa"/>
            <w:tcBorders>
              <w:right w:val="single" w:sz="4" w:space="0" w:color="auto"/>
            </w:tcBorders>
            <w:vAlign w:val="bottom"/>
          </w:tcPr>
          <w:p w:rsidR="002B2D8E" w:rsidRPr="006E576F" w:rsidRDefault="002B2D8E" w:rsidP="002B2D8E">
            <w:pPr>
              <w:pStyle w:val="Tabletext"/>
              <w:jc w:val="right"/>
            </w:pPr>
            <w:r w:rsidRPr="006E576F">
              <w:t>94.5</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391 </w:t>
            </w:r>
            <w:r>
              <w:tab/>
            </w:r>
            <w:r w:rsidRPr="006E576F">
              <w:t>Hairdressers</w:t>
            </w:r>
          </w:p>
        </w:tc>
        <w:tc>
          <w:tcPr>
            <w:tcW w:w="919" w:type="dxa"/>
            <w:vAlign w:val="bottom"/>
          </w:tcPr>
          <w:p w:rsidR="002B2D8E" w:rsidRPr="006E576F" w:rsidRDefault="002B2D8E" w:rsidP="002B2D8E">
            <w:pPr>
              <w:pStyle w:val="Tabletext"/>
              <w:jc w:val="right"/>
            </w:pPr>
            <w:r w:rsidRPr="006E576F">
              <w:t>631.7</w:t>
            </w:r>
          </w:p>
        </w:tc>
        <w:tc>
          <w:tcPr>
            <w:tcW w:w="920" w:type="dxa"/>
            <w:tcBorders>
              <w:right w:val="single" w:sz="4" w:space="0" w:color="auto"/>
            </w:tcBorders>
            <w:vAlign w:val="bottom"/>
          </w:tcPr>
          <w:p w:rsidR="002B2D8E" w:rsidRPr="006E576F" w:rsidRDefault="002B2D8E" w:rsidP="002B2D8E">
            <w:pPr>
              <w:pStyle w:val="Tabletext"/>
              <w:jc w:val="right"/>
            </w:pPr>
            <w:r w:rsidRPr="006E576F">
              <w:t>73.4</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All other trade occupations</w:t>
            </w:r>
          </w:p>
        </w:tc>
        <w:tc>
          <w:tcPr>
            <w:tcW w:w="919" w:type="dxa"/>
            <w:vAlign w:val="bottom"/>
          </w:tcPr>
          <w:p w:rsidR="002B2D8E" w:rsidRPr="006E576F" w:rsidRDefault="002B2D8E" w:rsidP="002B2D8E">
            <w:pPr>
              <w:pStyle w:val="Tabletext"/>
              <w:jc w:val="right"/>
            </w:pPr>
            <w:r w:rsidRPr="006E576F">
              <w:t>6 158.7</w:t>
            </w:r>
          </w:p>
        </w:tc>
        <w:tc>
          <w:tcPr>
            <w:tcW w:w="920" w:type="dxa"/>
            <w:tcBorders>
              <w:left w:val="nil"/>
              <w:right w:val="single" w:sz="4" w:space="0" w:color="auto"/>
            </w:tcBorders>
            <w:vAlign w:val="bottom"/>
          </w:tcPr>
          <w:p w:rsidR="002B2D8E" w:rsidRPr="006E576F" w:rsidRDefault="002B2D8E" w:rsidP="002B2D8E">
            <w:pPr>
              <w:pStyle w:val="Tabletext"/>
              <w:jc w:val="right"/>
            </w:pPr>
            <w:r w:rsidRPr="006E576F">
              <w:t>100.0</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w:t>
            </w:r>
          </w:p>
        </w:tc>
        <w:tc>
          <w:tcPr>
            <w:tcW w:w="920" w:type="dxa"/>
            <w:vAlign w:val="bottom"/>
          </w:tcPr>
          <w:p w:rsidR="002B2D8E" w:rsidRPr="006E576F" w:rsidRDefault="002B2D8E" w:rsidP="002B2D8E">
            <w:pPr>
              <w:pStyle w:val="Tabletext"/>
              <w:jc w:val="right"/>
            </w:pPr>
            <w:r w:rsidRPr="006E576F">
              <w:t>-</w:t>
            </w:r>
          </w:p>
        </w:tc>
      </w:tr>
      <w:tr w:rsidR="002B2D8E" w:rsidRPr="00C8559F" w:rsidTr="000A3AC6">
        <w:tc>
          <w:tcPr>
            <w:tcW w:w="3102" w:type="dxa"/>
            <w:vAlign w:val="bottom"/>
          </w:tcPr>
          <w:p w:rsidR="002B2D8E" w:rsidRPr="00C8559F" w:rsidRDefault="002B2D8E" w:rsidP="002B2D8E">
            <w:pPr>
              <w:pStyle w:val="Tabletext"/>
              <w:tabs>
                <w:tab w:val="left" w:pos="510"/>
              </w:tabs>
              <w:ind w:left="142"/>
              <w:rPr>
                <w:b/>
              </w:rPr>
            </w:pPr>
            <w:r w:rsidRPr="00C8559F">
              <w:rPr>
                <w:b/>
              </w:rPr>
              <w:t>Total</w:t>
            </w:r>
          </w:p>
        </w:tc>
        <w:tc>
          <w:tcPr>
            <w:tcW w:w="919" w:type="dxa"/>
            <w:vAlign w:val="bottom"/>
          </w:tcPr>
          <w:p w:rsidR="002B2D8E" w:rsidRPr="00C8559F" w:rsidRDefault="002B2D8E" w:rsidP="002B2D8E">
            <w:pPr>
              <w:pStyle w:val="Tabletext"/>
              <w:jc w:val="right"/>
              <w:rPr>
                <w:b/>
              </w:rPr>
            </w:pPr>
            <w:r w:rsidRPr="00C8559F">
              <w:rPr>
                <w:b/>
              </w:rPr>
              <w:t>12 105.0</w:t>
            </w:r>
          </w:p>
        </w:tc>
        <w:tc>
          <w:tcPr>
            <w:tcW w:w="920" w:type="dxa"/>
            <w:tcBorders>
              <w:right w:val="single" w:sz="4" w:space="0" w:color="auto"/>
            </w:tcBorders>
            <w:vAlign w:val="bottom"/>
          </w:tcPr>
          <w:p w:rsidR="002B2D8E" w:rsidRPr="00C8559F" w:rsidRDefault="002B2D8E" w:rsidP="002B2D8E">
            <w:pPr>
              <w:pStyle w:val="Tabletext"/>
              <w:jc w:val="right"/>
              <w:rPr>
                <w:b/>
              </w:rPr>
            </w:pPr>
            <w:r w:rsidRPr="00C8559F">
              <w:rPr>
                <w:b/>
              </w:rPr>
              <w:t>96.4</w:t>
            </w:r>
          </w:p>
        </w:tc>
        <w:tc>
          <w:tcPr>
            <w:tcW w:w="920" w:type="dxa"/>
            <w:tcBorders>
              <w:left w:val="single" w:sz="4" w:space="0" w:color="auto"/>
            </w:tcBorders>
            <w:vAlign w:val="bottom"/>
          </w:tcPr>
          <w:p w:rsidR="002B2D8E" w:rsidRPr="00C8559F" w:rsidRDefault="002B2D8E" w:rsidP="002B2D8E">
            <w:pPr>
              <w:pStyle w:val="Tabletext"/>
              <w:jc w:val="right"/>
              <w:rPr>
                <w:b/>
              </w:rPr>
            </w:pPr>
            <w:r w:rsidRPr="00C8559F">
              <w:rPr>
                <w:b/>
              </w:rPr>
              <w:t>-</w:t>
            </w:r>
          </w:p>
        </w:tc>
        <w:tc>
          <w:tcPr>
            <w:tcW w:w="920" w:type="dxa"/>
            <w:tcBorders>
              <w:right w:val="single" w:sz="4" w:space="0" w:color="auto"/>
            </w:tcBorders>
            <w:vAlign w:val="bottom"/>
          </w:tcPr>
          <w:p w:rsidR="002B2D8E" w:rsidRPr="00C8559F" w:rsidRDefault="002B2D8E" w:rsidP="002B2D8E">
            <w:pPr>
              <w:pStyle w:val="Tabletext"/>
              <w:jc w:val="right"/>
              <w:rPr>
                <w:b/>
              </w:rPr>
            </w:pPr>
            <w:r w:rsidRPr="00C8559F">
              <w:rPr>
                <w:b/>
              </w:rPr>
              <w:t>-</w:t>
            </w:r>
          </w:p>
        </w:tc>
        <w:tc>
          <w:tcPr>
            <w:tcW w:w="920" w:type="dxa"/>
            <w:tcBorders>
              <w:left w:val="single" w:sz="4" w:space="0" w:color="auto"/>
            </w:tcBorders>
            <w:vAlign w:val="bottom"/>
          </w:tcPr>
          <w:p w:rsidR="002B2D8E" w:rsidRPr="00C8559F" w:rsidRDefault="002B2D8E" w:rsidP="002B2D8E">
            <w:pPr>
              <w:pStyle w:val="Tabletext"/>
              <w:jc w:val="right"/>
              <w:rPr>
                <w:b/>
              </w:rPr>
            </w:pPr>
            <w:r w:rsidRPr="00C8559F">
              <w:rPr>
                <w:b/>
              </w:rPr>
              <w:t>-</w:t>
            </w:r>
          </w:p>
        </w:tc>
        <w:tc>
          <w:tcPr>
            <w:tcW w:w="920" w:type="dxa"/>
            <w:vAlign w:val="bottom"/>
          </w:tcPr>
          <w:p w:rsidR="002B2D8E" w:rsidRPr="00C8559F" w:rsidRDefault="002B2D8E" w:rsidP="002B2D8E">
            <w:pPr>
              <w:pStyle w:val="Tabletext"/>
              <w:jc w:val="right"/>
              <w:rPr>
                <w:b/>
              </w:rPr>
            </w:pPr>
            <w:r w:rsidRPr="00C8559F">
              <w:rPr>
                <w:b/>
              </w:rPr>
              <w:t>-</w:t>
            </w:r>
          </w:p>
        </w:tc>
      </w:tr>
      <w:tr w:rsidR="002B2D8E" w:rsidRPr="006E576F" w:rsidTr="000A3AC6">
        <w:tc>
          <w:tcPr>
            <w:tcW w:w="3102" w:type="dxa"/>
            <w:vAlign w:val="bottom"/>
          </w:tcPr>
          <w:p w:rsidR="002B2D8E" w:rsidRPr="006E576F" w:rsidRDefault="002B2D8E" w:rsidP="002B2D8E">
            <w:pPr>
              <w:pStyle w:val="Tabletext"/>
              <w:tabs>
                <w:tab w:val="left" w:pos="510"/>
              </w:tabs>
            </w:pPr>
            <w:r w:rsidRPr="006E576F">
              <w:t>Non-trades:</w:t>
            </w:r>
          </w:p>
        </w:tc>
        <w:tc>
          <w:tcPr>
            <w:tcW w:w="919" w:type="dxa"/>
            <w:vAlign w:val="bottom"/>
          </w:tcPr>
          <w:p w:rsidR="002B2D8E" w:rsidRPr="006E576F" w:rsidRDefault="002B2D8E" w:rsidP="002B2D8E">
            <w:pPr>
              <w:pStyle w:val="Tabletext"/>
              <w:jc w:val="right"/>
            </w:pPr>
          </w:p>
        </w:tc>
        <w:tc>
          <w:tcPr>
            <w:tcW w:w="920" w:type="dxa"/>
            <w:tcBorders>
              <w:right w:val="single" w:sz="4" w:space="0" w:color="auto"/>
            </w:tcBorders>
            <w:vAlign w:val="bottom"/>
          </w:tcPr>
          <w:p w:rsidR="002B2D8E" w:rsidRPr="006E576F" w:rsidRDefault="002B2D8E" w:rsidP="002B2D8E">
            <w:pPr>
              <w:pStyle w:val="Tabletext"/>
              <w:jc w:val="right"/>
            </w:pPr>
          </w:p>
        </w:tc>
        <w:tc>
          <w:tcPr>
            <w:tcW w:w="920" w:type="dxa"/>
            <w:tcBorders>
              <w:left w:val="single" w:sz="4" w:space="0" w:color="auto"/>
            </w:tcBorders>
            <w:vAlign w:val="bottom"/>
          </w:tcPr>
          <w:p w:rsidR="002B2D8E" w:rsidRPr="006E576F" w:rsidRDefault="002B2D8E" w:rsidP="002B2D8E">
            <w:pPr>
              <w:pStyle w:val="Tabletext"/>
              <w:jc w:val="right"/>
            </w:pPr>
          </w:p>
        </w:tc>
        <w:tc>
          <w:tcPr>
            <w:tcW w:w="920" w:type="dxa"/>
            <w:tcBorders>
              <w:right w:val="single" w:sz="4" w:space="0" w:color="auto"/>
            </w:tcBorders>
            <w:vAlign w:val="bottom"/>
          </w:tcPr>
          <w:p w:rsidR="002B2D8E" w:rsidRPr="006E576F" w:rsidRDefault="002B2D8E" w:rsidP="002B2D8E">
            <w:pPr>
              <w:pStyle w:val="Tabletext"/>
              <w:jc w:val="right"/>
            </w:pPr>
          </w:p>
        </w:tc>
        <w:tc>
          <w:tcPr>
            <w:tcW w:w="920" w:type="dxa"/>
            <w:tcBorders>
              <w:left w:val="single" w:sz="4" w:space="0" w:color="auto"/>
            </w:tcBorders>
            <w:vAlign w:val="bottom"/>
          </w:tcPr>
          <w:p w:rsidR="002B2D8E" w:rsidRPr="006E576F" w:rsidRDefault="002B2D8E" w:rsidP="002B2D8E">
            <w:pPr>
              <w:pStyle w:val="Tabletext"/>
              <w:jc w:val="right"/>
            </w:pPr>
          </w:p>
        </w:tc>
        <w:tc>
          <w:tcPr>
            <w:tcW w:w="920" w:type="dxa"/>
            <w:vAlign w:val="bottom"/>
          </w:tcPr>
          <w:p w:rsidR="002B2D8E" w:rsidRPr="006E576F" w:rsidRDefault="002B2D8E" w:rsidP="002B2D8E">
            <w:pPr>
              <w:pStyle w:val="Tabletext"/>
              <w:jc w:val="right"/>
            </w:pP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1+2 </w:t>
            </w:r>
            <w:r>
              <w:tab/>
            </w:r>
            <w:r w:rsidRPr="006E576F">
              <w:t>Managers and professionals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7 937.6</w:t>
            </w:r>
          </w:p>
        </w:tc>
        <w:tc>
          <w:tcPr>
            <w:tcW w:w="920" w:type="dxa"/>
            <w:tcBorders>
              <w:left w:val="nil"/>
              <w:right w:val="single" w:sz="4" w:space="0" w:color="auto"/>
            </w:tcBorders>
            <w:vAlign w:val="bottom"/>
          </w:tcPr>
          <w:p w:rsidR="002B2D8E" w:rsidRPr="006E576F" w:rsidRDefault="002B2D8E" w:rsidP="002B2D8E">
            <w:pPr>
              <w:pStyle w:val="Tabletext"/>
              <w:jc w:val="right"/>
            </w:pPr>
            <w:r w:rsidRPr="006E576F">
              <w:t>91.7</w:t>
            </w:r>
          </w:p>
        </w:tc>
        <w:tc>
          <w:tcPr>
            <w:tcW w:w="920" w:type="dxa"/>
            <w:tcBorders>
              <w:left w:val="single" w:sz="4" w:space="0" w:color="auto"/>
            </w:tcBorders>
            <w:vAlign w:val="bottom"/>
          </w:tcPr>
          <w:p w:rsidR="002B2D8E" w:rsidRPr="006E576F" w:rsidRDefault="002B2D8E" w:rsidP="002B2D8E">
            <w:pPr>
              <w:pStyle w:val="Tabletext"/>
              <w:jc w:val="right"/>
            </w:pPr>
            <w:r w:rsidRPr="006E576F">
              <w:t xml:space="preserve">5 363.9 </w:t>
            </w:r>
          </w:p>
        </w:tc>
        <w:tc>
          <w:tcPr>
            <w:tcW w:w="920" w:type="dxa"/>
            <w:vAlign w:val="bottom"/>
          </w:tcPr>
          <w:p w:rsidR="002B2D8E" w:rsidRPr="006E576F" w:rsidRDefault="002B2D8E" w:rsidP="002B2D8E">
            <w:pPr>
              <w:pStyle w:val="Tabletext"/>
              <w:jc w:val="right"/>
            </w:pPr>
            <w:r w:rsidRPr="006E576F">
              <w:t>93.3</w:t>
            </w:r>
          </w:p>
        </w:tc>
      </w:tr>
      <w:tr w:rsidR="002B2D8E" w:rsidRPr="006E576F" w:rsidTr="000A3AC6">
        <w:tc>
          <w:tcPr>
            <w:tcW w:w="3102" w:type="dxa"/>
            <w:vAlign w:val="bottom"/>
          </w:tcPr>
          <w:p w:rsidR="002B2D8E" w:rsidRPr="006E576F" w:rsidRDefault="002B2D8E" w:rsidP="002B2D8E">
            <w:pPr>
              <w:pStyle w:val="Tabletext"/>
              <w:tabs>
                <w:tab w:val="left" w:pos="510"/>
              </w:tabs>
              <w:ind w:left="510" w:hanging="368"/>
            </w:pPr>
            <w:r w:rsidRPr="006E576F">
              <w:t xml:space="preserve">4 </w:t>
            </w:r>
            <w:r>
              <w:tab/>
            </w:r>
            <w:r w:rsidRPr="006E576F">
              <w:t>Community and personal service workers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-832.7</w:t>
            </w:r>
          </w:p>
        </w:tc>
        <w:tc>
          <w:tcPr>
            <w:tcW w:w="920" w:type="dxa"/>
            <w:tcBorders>
              <w:right w:val="single" w:sz="4" w:space="0" w:color="auto"/>
            </w:tcBorders>
            <w:vAlign w:val="bottom"/>
          </w:tcPr>
          <w:p w:rsidR="002B2D8E" w:rsidRPr="006E576F" w:rsidRDefault="002B2D8E" w:rsidP="002B2D8E">
            <w:pPr>
              <w:pStyle w:val="Tabletext"/>
              <w:jc w:val="right"/>
            </w:pPr>
            <w:r w:rsidRPr="006E576F">
              <w:t>46.4</w:t>
            </w:r>
          </w:p>
        </w:tc>
        <w:tc>
          <w:tcPr>
            <w:tcW w:w="920" w:type="dxa"/>
            <w:tcBorders>
              <w:left w:val="single" w:sz="4" w:space="0" w:color="auto"/>
            </w:tcBorders>
            <w:vAlign w:val="bottom"/>
          </w:tcPr>
          <w:p w:rsidR="002B2D8E" w:rsidRPr="006E576F" w:rsidRDefault="002B2D8E" w:rsidP="002B2D8E">
            <w:pPr>
              <w:pStyle w:val="Tabletext"/>
              <w:jc w:val="right"/>
            </w:pPr>
            <w:r w:rsidRPr="006E576F">
              <w:t>6 428.1</w:t>
            </w:r>
          </w:p>
        </w:tc>
        <w:tc>
          <w:tcPr>
            <w:tcW w:w="920" w:type="dxa"/>
            <w:vAlign w:val="bottom"/>
          </w:tcPr>
          <w:p w:rsidR="002B2D8E" w:rsidRPr="006E576F" w:rsidRDefault="002B2D8E" w:rsidP="002B2D8E">
            <w:pPr>
              <w:pStyle w:val="Tabletext"/>
              <w:jc w:val="right"/>
            </w:pPr>
            <w:r w:rsidRPr="006E576F">
              <w:t>92.7</w:t>
            </w:r>
          </w:p>
        </w:tc>
      </w:tr>
      <w:tr w:rsidR="002B2D8E" w:rsidRPr="006E576F" w:rsidTr="000A3AC6">
        <w:tc>
          <w:tcPr>
            <w:tcW w:w="3102" w:type="dxa"/>
            <w:vAlign w:val="bottom"/>
          </w:tcPr>
          <w:p w:rsidR="002B2D8E" w:rsidRPr="006E576F" w:rsidRDefault="002B2D8E" w:rsidP="00C8559F">
            <w:pPr>
              <w:pStyle w:val="Tabletext"/>
              <w:tabs>
                <w:tab w:val="left" w:pos="510"/>
              </w:tabs>
              <w:ind w:left="510" w:hanging="368"/>
            </w:pPr>
            <w:r w:rsidRPr="006E576F">
              <w:t xml:space="preserve">5 </w:t>
            </w:r>
            <w:r>
              <w:tab/>
            </w:r>
            <w:r w:rsidRPr="006E576F">
              <w:t>Clerical and administrative workers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4 911.2</w:t>
            </w:r>
          </w:p>
        </w:tc>
        <w:tc>
          <w:tcPr>
            <w:tcW w:w="920" w:type="dxa"/>
            <w:tcBorders>
              <w:right w:val="single" w:sz="4" w:space="0" w:color="auto"/>
            </w:tcBorders>
            <w:vAlign w:val="bottom"/>
          </w:tcPr>
          <w:p w:rsidR="002B2D8E" w:rsidRPr="006E576F" w:rsidRDefault="002B2D8E" w:rsidP="002B2D8E">
            <w:pPr>
              <w:pStyle w:val="Tabletext"/>
              <w:jc w:val="right"/>
            </w:pPr>
            <w:r w:rsidRPr="006E576F">
              <w:t>82.9</w:t>
            </w:r>
          </w:p>
        </w:tc>
        <w:tc>
          <w:tcPr>
            <w:tcW w:w="920" w:type="dxa"/>
            <w:tcBorders>
              <w:left w:val="single" w:sz="4" w:space="0" w:color="auto"/>
            </w:tcBorders>
            <w:vAlign w:val="bottom"/>
          </w:tcPr>
          <w:p w:rsidR="002B2D8E" w:rsidRPr="006E576F" w:rsidRDefault="002B2D8E" w:rsidP="002B2D8E">
            <w:pPr>
              <w:pStyle w:val="Tabletext"/>
              <w:jc w:val="right"/>
            </w:pPr>
            <w:r w:rsidRPr="006E576F">
              <w:t>6 007.1</w:t>
            </w:r>
          </w:p>
        </w:tc>
        <w:tc>
          <w:tcPr>
            <w:tcW w:w="920" w:type="dxa"/>
            <w:vAlign w:val="bottom"/>
          </w:tcPr>
          <w:p w:rsidR="002B2D8E" w:rsidRPr="006E576F" w:rsidRDefault="002B2D8E" w:rsidP="002B2D8E">
            <w:pPr>
              <w:pStyle w:val="Tabletext"/>
              <w:jc w:val="right"/>
            </w:pPr>
            <w:r w:rsidRPr="006E576F">
              <w:t>95.9</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6 </w:t>
            </w:r>
            <w:r>
              <w:tab/>
            </w:r>
            <w:r w:rsidRPr="006E576F">
              <w:t>Sales workers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-5 088.3</w:t>
            </w:r>
          </w:p>
        </w:tc>
        <w:tc>
          <w:tcPr>
            <w:tcW w:w="920" w:type="dxa"/>
            <w:tcBorders>
              <w:right w:val="single" w:sz="4" w:space="0" w:color="auto"/>
            </w:tcBorders>
            <w:vAlign w:val="bottom"/>
          </w:tcPr>
          <w:p w:rsidR="002B2D8E" w:rsidRPr="006E576F" w:rsidRDefault="002B2D8E" w:rsidP="002B2D8E">
            <w:pPr>
              <w:pStyle w:val="Tabletext"/>
              <w:jc w:val="right"/>
            </w:pPr>
            <w:r w:rsidRPr="006E576F">
              <w:t>8.6</w:t>
            </w:r>
          </w:p>
        </w:tc>
        <w:tc>
          <w:tcPr>
            <w:tcW w:w="920" w:type="dxa"/>
            <w:tcBorders>
              <w:left w:val="single" w:sz="4" w:space="0" w:color="auto"/>
            </w:tcBorders>
            <w:vAlign w:val="bottom"/>
          </w:tcPr>
          <w:p w:rsidR="002B2D8E" w:rsidRPr="006E576F" w:rsidRDefault="002B2D8E" w:rsidP="002B2D8E">
            <w:pPr>
              <w:pStyle w:val="Tabletext"/>
              <w:jc w:val="right"/>
            </w:pPr>
            <w:r w:rsidRPr="006E576F">
              <w:t>-4 426.5</w:t>
            </w:r>
          </w:p>
        </w:tc>
        <w:tc>
          <w:tcPr>
            <w:tcW w:w="920" w:type="dxa"/>
            <w:vAlign w:val="bottom"/>
          </w:tcPr>
          <w:p w:rsidR="002B2D8E" w:rsidRPr="006E576F" w:rsidRDefault="002B2D8E" w:rsidP="002B2D8E">
            <w:pPr>
              <w:pStyle w:val="Tabletext"/>
              <w:jc w:val="right"/>
            </w:pPr>
            <w:r w:rsidRPr="006E576F">
              <w:t>6.5</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7 </w:t>
            </w:r>
            <w:r>
              <w:tab/>
            </w:r>
            <w:r w:rsidRPr="006E576F">
              <w:t>Machinery operators and drivers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1 319.0</w:t>
            </w:r>
          </w:p>
        </w:tc>
        <w:tc>
          <w:tcPr>
            <w:tcW w:w="920" w:type="dxa"/>
            <w:tcBorders>
              <w:right w:val="single" w:sz="4" w:space="0" w:color="auto"/>
            </w:tcBorders>
            <w:vAlign w:val="bottom"/>
          </w:tcPr>
          <w:p w:rsidR="002B2D8E" w:rsidRPr="006E576F" w:rsidRDefault="002B2D8E" w:rsidP="002B2D8E">
            <w:pPr>
              <w:pStyle w:val="Tabletext"/>
              <w:jc w:val="right"/>
            </w:pPr>
            <w:r w:rsidRPr="006E576F">
              <w:t>54.6</w:t>
            </w:r>
          </w:p>
        </w:tc>
        <w:tc>
          <w:tcPr>
            <w:tcW w:w="920" w:type="dxa"/>
            <w:tcBorders>
              <w:left w:val="single" w:sz="4" w:space="0" w:color="auto"/>
            </w:tcBorders>
            <w:vAlign w:val="bottom"/>
          </w:tcPr>
          <w:p w:rsidR="002B2D8E" w:rsidRPr="006E576F" w:rsidRDefault="002B2D8E" w:rsidP="002B2D8E">
            <w:pPr>
              <w:pStyle w:val="Tabletext"/>
              <w:jc w:val="right"/>
            </w:pPr>
            <w:r w:rsidRPr="006E576F">
              <w:t>6 452.7</w:t>
            </w:r>
          </w:p>
        </w:tc>
        <w:tc>
          <w:tcPr>
            <w:tcW w:w="920" w:type="dxa"/>
            <w:vAlign w:val="bottom"/>
          </w:tcPr>
          <w:p w:rsidR="002B2D8E" w:rsidRPr="006E576F" w:rsidRDefault="002B2D8E" w:rsidP="002B2D8E">
            <w:pPr>
              <w:pStyle w:val="Tabletext"/>
              <w:jc w:val="right"/>
            </w:pPr>
            <w:r w:rsidRPr="006E576F">
              <w:t>100.0</w:t>
            </w:r>
          </w:p>
        </w:tc>
      </w:tr>
      <w:tr w:rsidR="002B2D8E" w:rsidRPr="006E576F" w:rsidTr="000A3AC6">
        <w:tc>
          <w:tcPr>
            <w:tcW w:w="3102" w:type="dxa"/>
            <w:vAlign w:val="bottom"/>
          </w:tcPr>
          <w:p w:rsidR="002B2D8E" w:rsidRPr="006E576F" w:rsidRDefault="002B2D8E" w:rsidP="002B2D8E">
            <w:pPr>
              <w:pStyle w:val="Tabletext"/>
              <w:tabs>
                <w:tab w:val="left" w:pos="510"/>
              </w:tabs>
              <w:ind w:left="142"/>
            </w:pPr>
            <w:r w:rsidRPr="006E576F">
              <w:t xml:space="preserve">8 </w:t>
            </w:r>
            <w:r>
              <w:tab/>
            </w:r>
            <w:r w:rsidRPr="006E576F">
              <w:t>Labourers</w:t>
            </w:r>
          </w:p>
        </w:tc>
        <w:tc>
          <w:tcPr>
            <w:tcW w:w="919" w:type="dxa"/>
            <w:vAlign w:val="bottom"/>
          </w:tcPr>
          <w:p w:rsidR="002B2D8E" w:rsidRPr="006E576F" w:rsidRDefault="002B2D8E" w:rsidP="002B2D8E">
            <w:pPr>
              <w:pStyle w:val="Tabletext"/>
              <w:jc w:val="right"/>
            </w:pPr>
            <w:r w:rsidRPr="006E576F">
              <w:t>-</w:t>
            </w:r>
          </w:p>
        </w:tc>
        <w:tc>
          <w:tcPr>
            <w:tcW w:w="920" w:type="dxa"/>
            <w:tcBorders>
              <w:right w:val="single" w:sz="4" w:space="0" w:color="auto"/>
            </w:tcBorders>
            <w:vAlign w:val="bottom"/>
          </w:tcPr>
          <w:p w:rsidR="002B2D8E" w:rsidRPr="006E576F" w:rsidRDefault="002B2D8E" w:rsidP="002B2D8E">
            <w:pPr>
              <w:pStyle w:val="Tabletext"/>
              <w:jc w:val="right"/>
            </w:pPr>
            <w:r w:rsidRPr="006E576F">
              <w:t>-</w:t>
            </w:r>
          </w:p>
        </w:tc>
        <w:tc>
          <w:tcPr>
            <w:tcW w:w="920" w:type="dxa"/>
            <w:tcBorders>
              <w:left w:val="single" w:sz="4" w:space="0" w:color="auto"/>
            </w:tcBorders>
            <w:vAlign w:val="bottom"/>
          </w:tcPr>
          <w:p w:rsidR="002B2D8E" w:rsidRPr="006E576F" w:rsidRDefault="002B2D8E" w:rsidP="002B2D8E">
            <w:pPr>
              <w:pStyle w:val="Tabletext"/>
              <w:jc w:val="right"/>
            </w:pPr>
            <w:r w:rsidRPr="006E576F">
              <w:t>2 551.9</w:t>
            </w:r>
          </w:p>
        </w:tc>
        <w:tc>
          <w:tcPr>
            <w:tcW w:w="920" w:type="dxa"/>
            <w:tcBorders>
              <w:right w:val="single" w:sz="4" w:space="0" w:color="auto"/>
            </w:tcBorders>
            <w:vAlign w:val="bottom"/>
          </w:tcPr>
          <w:p w:rsidR="002B2D8E" w:rsidRPr="006E576F" w:rsidRDefault="002B2D8E" w:rsidP="002B2D8E">
            <w:pPr>
              <w:pStyle w:val="Tabletext"/>
              <w:jc w:val="right"/>
            </w:pPr>
            <w:r w:rsidRPr="006E576F">
              <w:t>70.2</w:t>
            </w:r>
          </w:p>
        </w:tc>
        <w:tc>
          <w:tcPr>
            <w:tcW w:w="920" w:type="dxa"/>
            <w:tcBorders>
              <w:left w:val="single" w:sz="4" w:space="0" w:color="auto"/>
            </w:tcBorders>
            <w:vAlign w:val="bottom"/>
          </w:tcPr>
          <w:p w:rsidR="002B2D8E" w:rsidRPr="006E576F" w:rsidRDefault="002B2D8E" w:rsidP="002B2D8E">
            <w:pPr>
              <w:pStyle w:val="Tabletext"/>
              <w:jc w:val="right"/>
            </w:pPr>
            <w:r w:rsidRPr="006E576F">
              <w:t xml:space="preserve">-12 667.2 </w:t>
            </w:r>
          </w:p>
        </w:tc>
        <w:tc>
          <w:tcPr>
            <w:tcW w:w="920" w:type="dxa"/>
            <w:vAlign w:val="bottom"/>
          </w:tcPr>
          <w:p w:rsidR="002B2D8E" w:rsidRPr="006E576F" w:rsidRDefault="002B2D8E" w:rsidP="002B2D8E">
            <w:pPr>
              <w:pStyle w:val="Tabletext"/>
              <w:jc w:val="right"/>
            </w:pPr>
            <w:r w:rsidRPr="006E576F">
              <w:t>0.0</w:t>
            </w:r>
          </w:p>
        </w:tc>
      </w:tr>
      <w:tr w:rsidR="002B2D8E" w:rsidRPr="00C8559F" w:rsidTr="000A3AC6">
        <w:tc>
          <w:tcPr>
            <w:tcW w:w="3102" w:type="dxa"/>
            <w:tcBorders>
              <w:bottom w:val="single" w:sz="4" w:space="0" w:color="auto"/>
            </w:tcBorders>
            <w:vAlign w:val="bottom"/>
          </w:tcPr>
          <w:p w:rsidR="002B2D8E" w:rsidRPr="00C8559F" w:rsidRDefault="002B2D8E" w:rsidP="002B2D8E">
            <w:pPr>
              <w:pStyle w:val="Tabletext"/>
              <w:tabs>
                <w:tab w:val="left" w:pos="510"/>
              </w:tabs>
              <w:ind w:left="142"/>
              <w:rPr>
                <w:b/>
              </w:rPr>
            </w:pPr>
            <w:r w:rsidRPr="00C8559F">
              <w:rPr>
                <w:b/>
              </w:rPr>
              <w:t>Total</w:t>
            </w:r>
          </w:p>
        </w:tc>
        <w:tc>
          <w:tcPr>
            <w:tcW w:w="919" w:type="dxa"/>
            <w:tcBorders>
              <w:bottom w:val="single" w:sz="4" w:space="0" w:color="auto"/>
            </w:tcBorders>
            <w:vAlign w:val="bottom"/>
          </w:tcPr>
          <w:p w:rsidR="002B2D8E" w:rsidRPr="00C8559F" w:rsidRDefault="002B2D8E" w:rsidP="002B2D8E">
            <w:pPr>
              <w:pStyle w:val="Tabletext"/>
              <w:jc w:val="right"/>
              <w:rPr>
                <w:b/>
              </w:rPr>
            </w:pPr>
            <w:r w:rsidRPr="00C8559F">
              <w:rPr>
                <w:b/>
              </w:rPr>
              <w:t>-</w:t>
            </w:r>
          </w:p>
        </w:tc>
        <w:tc>
          <w:tcPr>
            <w:tcW w:w="920" w:type="dxa"/>
            <w:tcBorders>
              <w:bottom w:val="single" w:sz="4" w:space="0" w:color="auto"/>
              <w:right w:val="single" w:sz="4" w:space="0" w:color="auto"/>
            </w:tcBorders>
            <w:vAlign w:val="bottom"/>
          </w:tcPr>
          <w:p w:rsidR="002B2D8E" w:rsidRPr="00C8559F" w:rsidRDefault="002B2D8E" w:rsidP="002B2D8E">
            <w:pPr>
              <w:pStyle w:val="Tabletext"/>
              <w:jc w:val="right"/>
              <w:rPr>
                <w:b/>
              </w:rPr>
            </w:pPr>
            <w:r w:rsidRPr="00C8559F">
              <w:rPr>
                <w:b/>
              </w:rPr>
              <w:t>-</w:t>
            </w:r>
          </w:p>
        </w:tc>
        <w:tc>
          <w:tcPr>
            <w:tcW w:w="920" w:type="dxa"/>
            <w:tcBorders>
              <w:left w:val="single" w:sz="4" w:space="0" w:color="auto"/>
              <w:bottom w:val="single" w:sz="4" w:space="0" w:color="auto"/>
            </w:tcBorders>
            <w:vAlign w:val="bottom"/>
          </w:tcPr>
          <w:p w:rsidR="002B2D8E" w:rsidRPr="00C8559F" w:rsidRDefault="002B2D8E" w:rsidP="002B2D8E">
            <w:pPr>
              <w:pStyle w:val="Tabletext"/>
              <w:jc w:val="right"/>
              <w:rPr>
                <w:b/>
              </w:rPr>
            </w:pPr>
            <w:r w:rsidRPr="00C8559F">
              <w:rPr>
                <w:b/>
              </w:rPr>
              <w:t>1 624.1</w:t>
            </w:r>
          </w:p>
        </w:tc>
        <w:tc>
          <w:tcPr>
            <w:tcW w:w="920" w:type="dxa"/>
            <w:tcBorders>
              <w:bottom w:val="single" w:sz="4" w:space="0" w:color="auto"/>
              <w:right w:val="single" w:sz="4" w:space="0" w:color="auto"/>
            </w:tcBorders>
            <w:vAlign w:val="bottom"/>
          </w:tcPr>
          <w:p w:rsidR="002B2D8E" w:rsidRPr="00C8559F" w:rsidRDefault="002B2D8E" w:rsidP="002B2D8E">
            <w:pPr>
              <w:pStyle w:val="Tabletext"/>
              <w:jc w:val="right"/>
              <w:rPr>
                <w:b/>
              </w:rPr>
            </w:pPr>
            <w:r w:rsidRPr="00C8559F">
              <w:rPr>
                <w:b/>
              </w:rPr>
              <w:t>59.8</w:t>
            </w:r>
          </w:p>
        </w:tc>
        <w:tc>
          <w:tcPr>
            <w:tcW w:w="920" w:type="dxa"/>
            <w:tcBorders>
              <w:left w:val="single" w:sz="4" w:space="0" w:color="auto"/>
              <w:bottom w:val="single" w:sz="4" w:space="0" w:color="auto"/>
            </w:tcBorders>
            <w:vAlign w:val="bottom"/>
          </w:tcPr>
          <w:p w:rsidR="002B2D8E" w:rsidRPr="00C8559F" w:rsidRDefault="002B2D8E" w:rsidP="002B2D8E">
            <w:pPr>
              <w:pStyle w:val="Tabletext"/>
              <w:jc w:val="right"/>
              <w:rPr>
                <w:b/>
              </w:rPr>
            </w:pPr>
            <w:r w:rsidRPr="00C8559F">
              <w:rPr>
                <w:b/>
              </w:rPr>
              <w:t>2 403.9</w:t>
            </w:r>
          </w:p>
        </w:tc>
        <w:tc>
          <w:tcPr>
            <w:tcW w:w="920" w:type="dxa"/>
            <w:tcBorders>
              <w:bottom w:val="single" w:sz="4" w:space="0" w:color="auto"/>
            </w:tcBorders>
            <w:vAlign w:val="bottom"/>
          </w:tcPr>
          <w:p w:rsidR="002B2D8E" w:rsidRPr="00C8559F" w:rsidRDefault="002B2D8E" w:rsidP="002B2D8E">
            <w:pPr>
              <w:pStyle w:val="Tabletext"/>
              <w:jc w:val="right"/>
              <w:rPr>
                <w:b/>
              </w:rPr>
            </w:pPr>
            <w:r w:rsidRPr="00C8559F">
              <w:rPr>
                <w:b/>
              </w:rPr>
              <w:t>68.2</w:t>
            </w:r>
          </w:p>
        </w:tc>
      </w:tr>
    </w:tbl>
    <w:p w:rsidR="002B2D8E" w:rsidRPr="006E576F" w:rsidRDefault="002B2D8E" w:rsidP="002B2D8E">
      <w:pPr>
        <w:pStyle w:val="Text"/>
        <w:spacing w:before="300"/>
      </w:pPr>
      <w:r w:rsidRPr="006E576F">
        <w:lastRenderedPageBreak/>
        <w:t>For the trades, the wage premiums are quite handsome, except for hairdressers. Of the other trade occupations, premiums range from around $6000 for food an</w:t>
      </w:r>
      <w:r w:rsidR="001D1E05">
        <w:t>d ‘all other</w:t>
      </w:r>
      <w:r>
        <w:t>’ trades</w:t>
      </w:r>
      <w:r w:rsidR="0052450B">
        <w:t xml:space="preserve">, </w:t>
      </w:r>
      <w:r>
        <w:t>up to $23 </w:t>
      </w:r>
      <w:r w:rsidRPr="006E576F">
        <w:t xml:space="preserve">000 for electrotechnology and telecommunications. </w:t>
      </w:r>
    </w:p>
    <w:p w:rsidR="002B2D8E" w:rsidRDefault="002B2D8E" w:rsidP="002B2D8E">
      <w:pPr>
        <w:pStyle w:val="Text"/>
      </w:pPr>
      <w:r>
        <w:t>Among the non-trade occupations the picture is rather mixed. No occupation group commands the same sort of premium as the trade occupations with the highest premium. Both males and females who complete manager and professional traineeships command a healthy premium, as do clerical and administrative workers, machinery operators and drivers, and females in community and personal service workers.</w:t>
      </w:r>
    </w:p>
    <w:p w:rsidR="002B2D8E" w:rsidRDefault="002B2D8E" w:rsidP="002B2D8E">
      <w:pPr>
        <w:pStyle w:val="Text"/>
      </w:pPr>
      <w:r>
        <w:t>What stands out from the table is the number of the non-trades occupations for which there is a negative premium attached to completion. This means that those who complete on average get paid less than those who do not complete, at least at nine months after training. Occupations in this category are sales (both males and females), community and personal service workers (males), and labourers (females). These negative premiums suggest that there is a range of traineeships for which there is apparently little skills acquisition during the traineeship, or if there is skill acquisition the skills are not valued by the labour market over the general work experience obtained during the traineeship. This research is important because it shows that the apprenticeship and traineeship system is uneven in delivering skills of value. It raises questions about why public money is going to traineeships in some occupations. Among the apprenticeships, hairdressing emerges with a low premium and this raises issues about the efficacy of the apprenticeship model for this occupation.</w:t>
      </w:r>
    </w:p>
    <w:p w:rsidR="002B2D8E" w:rsidRDefault="002B2D8E" w:rsidP="002B2D8E">
      <w:pPr>
        <w:pStyle w:val="Heading2"/>
      </w:pPr>
      <w:bookmarkStart w:id="41" w:name="_Toc321239967"/>
      <w:bookmarkStart w:id="42" w:name="_Toc322958592"/>
      <w:r>
        <w:t xml:space="preserve">The role of wages in completion rates for apprenticeships </w:t>
      </w:r>
      <w:r w:rsidR="0052450B">
        <w:br/>
      </w:r>
      <w:r>
        <w:t>and traineeship</w:t>
      </w:r>
      <w:bookmarkEnd w:id="41"/>
      <w:r w:rsidR="0052450B">
        <w:t>s</w:t>
      </w:r>
      <w:bookmarkEnd w:id="42"/>
    </w:p>
    <w:p w:rsidR="002B2D8E" w:rsidRDefault="002B2D8E" w:rsidP="002B2D8E">
      <w:pPr>
        <w:pStyle w:val="Text"/>
      </w:pPr>
      <w:r>
        <w:t>The main aim of the research described above was actually to establish the role of wages in completion rates, an issue of direct relevance to the debate about whether apprentices</w:t>
      </w:r>
      <w:r w:rsidR="0052450B">
        <w:t>’</w:t>
      </w:r>
      <w:r>
        <w:t xml:space="preserve"> and trainees</w:t>
      </w:r>
      <w:r w:rsidR="0052450B">
        <w:t>’</w:t>
      </w:r>
      <w:r>
        <w:t xml:space="preserve"> wages are adequate. Having derived the differences between the alternative wage and the training wage, and the premium to completion</w:t>
      </w:r>
      <w:r w:rsidR="00C8559F">
        <w:t>,</w:t>
      </w:r>
      <w:r>
        <w:t xml:space="preserve"> we modelled the probability of completion to see whether these wage differences affected completion rates. We quote the results from K</w:t>
      </w:r>
      <w:r w:rsidR="0048449E">
        <w:t>armel</w:t>
      </w:r>
      <w:r>
        <w:t xml:space="preserve"> and M</w:t>
      </w:r>
      <w:r w:rsidR="0048449E">
        <w:t>lotkowski (</w:t>
      </w:r>
      <w:r>
        <w:t>2011</w:t>
      </w:r>
      <w:r w:rsidR="0048449E">
        <w:t>)</w:t>
      </w:r>
      <w:r>
        <w:t xml:space="preserve"> which combined data from </w:t>
      </w:r>
      <w:r w:rsidRPr="00A04648">
        <w:t>two apprentice and trainee destination surveys.</w:t>
      </w:r>
      <w:r>
        <w:t xml:space="preserve"> The model also includes the premium to completion in terms of improved employment prospects (typically those who complete have a higher probability of being in employment relative to those who do not complete).</w:t>
      </w:r>
    </w:p>
    <w:p w:rsidR="001D21C1" w:rsidRPr="001D21C1" w:rsidRDefault="001D21C1" w:rsidP="001D21C1">
      <w:pPr>
        <w:pStyle w:val="Text"/>
      </w:pPr>
      <w:r w:rsidRPr="001D21C1">
        <w:t>The bold entries are significant and show that, for apprentices, it is the premium to completion that counts not the level of training wages. However, for trainees, training wages do matter. This is not to say that increasing wages for apprentices would have no affect — increased wages could attract a different cohort of apprentices — but it does seem that training wages are not central, despite popular opinion. This makes sense when seen against the very sizeable premiums to completion presented earlier.</w:t>
      </w:r>
    </w:p>
    <w:p w:rsidR="001D21C1" w:rsidRDefault="001D21C1" w:rsidP="002B2D8E">
      <w:pPr>
        <w:pStyle w:val="Text"/>
      </w:pPr>
    </w:p>
    <w:p w:rsidR="001D21C1" w:rsidRDefault="001D21C1">
      <w:pPr>
        <w:rPr>
          <w:rFonts w:ascii="Tahoma" w:eastAsia="Times New Roman" w:hAnsi="Tahoma"/>
          <w:b/>
          <w:sz w:val="17"/>
          <w:szCs w:val="20"/>
          <w:lang w:eastAsia="en-US"/>
        </w:rPr>
      </w:pPr>
      <w:bookmarkStart w:id="43" w:name="_Toc290473468"/>
      <w:bookmarkStart w:id="44" w:name="_Toc322958608"/>
      <w:r>
        <w:br w:type="page"/>
      </w:r>
    </w:p>
    <w:p w:rsidR="002B2D8E" w:rsidRPr="00692A14" w:rsidRDefault="002B2D8E" w:rsidP="002B2D8E">
      <w:pPr>
        <w:pStyle w:val="tabletitle"/>
        <w:ind w:left="993" w:hanging="993"/>
      </w:pPr>
      <w:r w:rsidRPr="007D125A">
        <w:lastRenderedPageBreak/>
        <w:t xml:space="preserve">Table </w:t>
      </w:r>
      <w:r w:rsidR="0048449E">
        <w:t>2</w:t>
      </w:r>
      <w:r w:rsidRPr="007D125A">
        <w:tab/>
        <w:t>Summary of regression of probability of completing an apprenticeship or traineeship, trades and non-trades (male/female)</w:t>
      </w:r>
      <w:r>
        <w:t>,</w:t>
      </w:r>
      <w:r w:rsidRPr="007D125A">
        <w:t xml:space="preserve"> 2008 and 2010 combined</w:t>
      </w:r>
      <w:bookmarkEnd w:id="43"/>
      <w:bookmarkEnd w:id="44"/>
      <w:r>
        <w:t xml:space="preserve"> </w:t>
      </w:r>
    </w:p>
    <w:tbl>
      <w:tblPr>
        <w:tblW w:w="8505" w:type="dxa"/>
        <w:tblInd w:w="57" w:type="dxa"/>
        <w:tblLayout w:type="fixed"/>
        <w:tblCellMar>
          <w:left w:w="57" w:type="dxa"/>
          <w:right w:w="57" w:type="dxa"/>
        </w:tblCellMar>
        <w:tblLook w:val="01E0"/>
      </w:tblPr>
      <w:tblGrid>
        <w:gridCol w:w="2520"/>
        <w:gridCol w:w="840"/>
        <w:gridCol w:w="857"/>
        <w:gridCol w:w="858"/>
        <w:gridCol w:w="857"/>
        <w:gridCol w:w="858"/>
        <w:gridCol w:w="857"/>
        <w:gridCol w:w="858"/>
      </w:tblGrid>
      <w:tr w:rsidR="002B2D8E" w:rsidRPr="00817316" w:rsidTr="000A3AC6">
        <w:tc>
          <w:tcPr>
            <w:tcW w:w="2520" w:type="dxa"/>
            <w:tcBorders>
              <w:top w:val="single" w:sz="4" w:space="0" w:color="auto"/>
            </w:tcBorders>
          </w:tcPr>
          <w:p w:rsidR="002B2D8E" w:rsidRPr="0078592A" w:rsidRDefault="002B2D8E" w:rsidP="002B2D8E">
            <w:pPr>
              <w:pStyle w:val="Tablehead1"/>
              <w:jc w:val="center"/>
            </w:pPr>
          </w:p>
        </w:tc>
        <w:tc>
          <w:tcPr>
            <w:tcW w:w="840" w:type="dxa"/>
            <w:tcBorders>
              <w:top w:val="single" w:sz="4" w:space="0" w:color="auto"/>
              <w:right w:val="single" w:sz="4" w:space="0" w:color="auto"/>
            </w:tcBorders>
            <w:tcMar>
              <w:left w:w="0" w:type="dxa"/>
              <w:right w:w="0" w:type="dxa"/>
            </w:tcMar>
          </w:tcPr>
          <w:p w:rsidR="002B2D8E" w:rsidRPr="00DE7CC8" w:rsidRDefault="001D21C1" w:rsidP="002B2D8E">
            <w:pPr>
              <w:pStyle w:val="Tablehead1"/>
              <w:jc w:val="center"/>
            </w:pPr>
            <w:r w:rsidRPr="00CB28D9">
              <w:t>Expected sign</w:t>
            </w:r>
          </w:p>
        </w:tc>
        <w:tc>
          <w:tcPr>
            <w:tcW w:w="1715" w:type="dxa"/>
            <w:gridSpan w:val="2"/>
            <w:tcBorders>
              <w:top w:val="single" w:sz="4" w:space="0" w:color="auto"/>
              <w:left w:val="single" w:sz="4" w:space="0" w:color="auto"/>
              <w:right w:val="single" w:sz="4" w:space="0" w:color="auto"/>
            </w:tcBorders>
            <w:tcMar>
              <w:left w:w="0" w:type="dxa"/>
              <w:right w:w="0" w:type="dxa"/>
            </w:tcMar>
          </w:tcPr>
          <w:p w:rsidR="002B2D8E" w:rsidRPr="00817316" w:rsidRDefault="002B2D8E" w:rsidP="002B2D8E">
            <w:pPr>
              <w:pStyle w:val="Tablehead1"/>
              <w:jc w:val="center"/>
            </w:pPr>
            <w:r w:rsidRPr="00817316">
              <w:t>Trades</w:t>
            </w:r>
          </w:p>
        </w:tc>
        <w:tc>
          <w:tcPr>
            <w:tcW w:w="1715" w:type="dxa"/>
            <w:gridSpan w:val="2"/>
            <w:tcBorders>
              <w:top w:val="single" w:sz="4" w:space="0" w:color="auto"/>
              <w:left w:val="single" w:sz="4" w:space="0" w:color="auto"/>
              <w:right w:val="single" w:sz="4" w:space="0" w:color="auto"/>
            </w:tcBorders>
            <w:tcMar>
              <w:left w:w="0" w:type="dxa"/>
              <w:right w:w="0" w:type="dxa"/>
            </w:tcMar>
          </w:tcPr>
          <w:p w:rsidR="002B2D8E" w:rsidRPr="00817316" w:rsidRDefault="002B2D8E" w:rsidP="002B2D8E">
            <w:pPr>
              <w:pStyle w:val="Tablehead1"/>
              <w:jc w:val="center"/>
            </w:pPr>
            <w:r w:rsidRPr="00817316">
              <w:t xml:space="preserve">Non-trades </w:t>
            </w:r>
            <w:r>
              <w:br/>
            </w:r>
            <w:r w:rsidRPr="00817316">
              <w:t>(male)</w:t>
            </w:r>
          </w:p>
        </w:tc>
        <w:tc>
          <w:tcPr>
            <w:tcW w:w="1715" w:type="dxa"/>
            <w:gridSpan w:val="2"/>
            <w:tcBorders>
              <w:top w:val="single" w:sz="4" w:space="0" w:color="auto"/>
              <w:left w:val="single" w:sz="4" w:space="0" w:color="auto"/>
            </w:tcBorders>
            <w:tcMar>
              <w:left w:w="0" w:type="dxa"/>
              <w:right w:w="0" w:type="dxa"/>
            </w:tcMar>
          </w:tcPr>
          <w:p w:rsidR="002B2D8E" w:rsidRPr="00817316" w:rsidRDefault="002B2D8E" w:rsidP="002B2D8E">
            <w:pPr>
              <w:pStyle w:val="Tablehead1"/>
              <w:jc w:val="center"/>
            </w:pPr>
            <w:r w:rsidRPr="00817316">
              <w:t xml:space="preserve">Non-trades </w:t>
            </w:r>
            <w:r>
              <w:br/>
            </w:r>
            <w:r w:rsidRPr="00817316">
              <w:t>(female)</w:t>
            </w:r>
          </w:p>
        </w:tc>
      </w:tr>
      <w:tr w:rsidR="002B2D8E" w:rsidRPr="00CB28D9" w:rsidTr="000A3AC6">
        <w:tc>
          <w:tcPr>
            <w:tcW w:w="2520" w:type="dxa"/>
            <w:tcBorders>
              <w:bottom w:val="single" w:sz="4" w:space="0" w:color="auto"/>
            </w:tcBorders>
          </w:tcPr>
          <w:p w:rsidR="002B2D8E" w:rsidRPr="00CB28D9" w:rsidRDefault="002B2D8E" w:rsidP="002B2D8E">
            <w:pPr>
              <w:pStyle w:val="Tablehead2"/>
              <w:jc w:val="center"/>
            </w:pPr>
          </w:p>
        </w:tc>
        <w:tc>
          <w:tcPr>
            <w:tcW w:w="840" w:type="dxa"/>
            <w:tcBorders>
              <w:bottom w:val="single" w:sz="4" w:space="0" w:color="auto"/>
              <w:right w:val="single" w:sz="4" w:space="0" w:color="auto"/>
            </w:tcBorders>
            <w:tcMar>
              <w:left w:w="0" w:type="dxa"/>
              <w:right w:w="0" w:type="dxa"/>
            </w:tcMar>
          </w:tcPr>
          <w:p w:rsidR="002B2D8E" w:rsidRPr="00CB28D9" w:rsidRDefault="002B2D8E" w:rsidP="002B2D8E">
            <w:pPr>
              <w:pStyle w:val="Tablehead2"/>
              <w:jc w:val="center"/>
            </w:pPr>
          </w:p>
        </w:tc>
        <w:tc>
          <w:tcPr>
            <w:tcW w:w="857" w:type="dxa"/>
            <w:tcBorders>
              <w:left w:val="single" w:sz="4" w:space="0" w:color="auto"/>
              <w:bottom w:val="single" w:sz="4" w:space="0" w:color="auto"/>
            </w:tcBorders>
            <w:tcMar>
              <w:left w:w="0" w:type="dxa"/>
              <w:right w:w="0" w:type="dxa"/>
            </w:tcMar>
          </w:tcPr>
          <w:p w:rsidR="002B2D8E" w:rsidRPr="00CB28D9" w:rsidRDefault="002B2D8E" w:rsidP="001D21C1">
            <w:pPr>
              <w:pStyle w:val="Tablehead2"/>
              <w:jc w:val="right"/>
            </w:pPr>
            <w:r w:rsidRPr="00CB28D9">
              <w:t>Estimate</w:t>
            </w:r>
          </w:p>
        </w:tc>
        <w:tc>
          <w:tcPr>
            <w:tcW w:w="858" w:type="dxa"/>
            <w:tcBorders>
              <w:bottom w:val="single" w:sz="4" w:space="0" w:color="auto"/>
              <w:right w:val="single" w:sz="4" w:space="0" w:color="auto"/>
            </w:tcBorders>
            <w:tcMar>
              <w:left w:w="0" w:type="dxa"/>
              <w:right w:w="0" w:type="dxa"/>
            </w:tcMar>
          </w:tcPr>
          <w:p w:rsidR="002B2D8E" w:rsidRPr="00CB28D9" w:rsidRDefault="002B2D8E" w:rsidP="001D21C1">
            <w:pPr>
              <w:pStyle w:val="Tablehead2"/>
              <w:jc w:val="right"/>
            </w:pPr>
            <w:r w:rsidRPr="00CB28D9">
              <w:t>Chi-</w:t>
            </w:r>
            <w:r>
              <w:br/>
            </w:r>
            <w:r w:rsidRPr="00CB28D9">
              <w:t>square</w:t>
            </w:r>
          </w:p>
        </w:tc>
        <w:tc>
          <w:tcPr>
            <w:tcW w:w="857" w:type="dxa"/>
            <w:tcBorders>
              <w:left w:val="single" w:sz="4" w:space="0" w:color="auto"/>
              <w:bottom w:val="single" w:sz="4" w:space="0" w:color="auto"/>
            </w:tcBorders>
            <w:tcMar>
              <w:left w:w="0" w:type="dxa"/>
              <w:right w:w="0" w:type="dxa"/>
            </w:tcMar>
          </w:tcPr>
          <w:p w:rsidR="002B2D8E" w:rsidRPr="00CB28D9" w:rsidRDefault="002B2D8E" w:rsidP="001D21C1">
            <w:pPr>
              <w:pStyle w:val="Tablehead2"/>
              <w:jc w:val="right"/>
            </w:pPr>
            <w:r w:rsidRPr="00CB28D9">
              <w:t>Estimate</w:t>
            </w:r>
          </w:p>
        </w:tc>
        <w:tc>
          <w:tcPr>
            <w:tcW w:w="858" w:type="dxa"/>
            <w:tcBorders>
              <w:bottom w:val="single" w:sz="4" w:space="0" w:color="auto"/>
              <w:right w:val="single" w:sz="4" w:space="0" w:color="auto"/>
            </w:tcBorders>
            <w:tcMar>
              <w:left w:w="0" w:type="dxa"/>
              <w:right w:w="0" w:type="dxa"/>
            </w:tcMar>
          </w:tcPr>
          <w:p w:rsidR="002B2D8E" w:rsidRPr="00CB28D9" w:rsidRDefault="002B2D8E" w:rsidP="001D21C1">
            <w:pPr>
              <w:pStyle w:val="Tablehead2"/>
              <w:jc w:val="right"/>
            </w:pPr>
            <w:r w:rsidRPr="00CB28D9">
              <w:t>Chi-</w:t>
            </w:r>
            <w:r>
              <w:br/>
            </w:r>
            <w:r w:rsidRPr="00CB28D9">
              <w:t>square</w:t>
            </w:r>
          </w:p>
        </w:tc>
        <w:tc>
          <w:tcPr>
            <w:tcW w:w="857" w:type="dxa"/>
            <w:tcBorders>
              <w:left w:val="single" w:sz="4" w:space="0" w:color="auto"/>
              <w:bottom w:val="single" w:sz="4" w:space="0" w:color="auto"/>
            </w:tcBorders>
            <w:tcMar>
              <w:left w:w="0" w:type="dxa"/>
              <w:right w:w="0" w:type="dxa"/>
            </w:tcMar>
          </w:tcPr>
          <w:p w:rsidR="002B2D8E" w:rsidRPr="00CB28D9" w:rsidRDefault="002B2D8E" w:rsidP="001D21C1">
            <w:pPr>
              <w:pStyle w:val="Tablehead2"/>
              <w:jc w:val="right"/>
            </w:pPr>
            <w:r w:rsidRPr="00CB28D9">
              <w:t>Estimate</w:t>
            </w:r>
          </w:p>
        </w:tc>
        <w:tc>
          <w:tcPr>
            <w:tcW w:w="858" w:type="dxa"/>
            <w:tcBorders>
              <w:bottom w:val="single" w:sz="4" w:space="0" w:color="auto"/>
            </w:tcBorders>
            <w:tcMar>
              <w:left w:w="0" w:type="dxa"/>
              <w:right w:w="0" w:type="dxa"/>
            </w:tcMar>
          </w:tcPr>
          <w:p w:rsidR="002B2D8E" w:rsidRPr="00CB28D9" w:rsidRDefault="002B2D8E" w:rsidP="001D21C1">
            <w:pPr>
              <w:pStyle w:val="Tablehead2"/>
              <w:jc w:val="right"/>
            </w:pPr>
            <w:r w:rsidRPr="00CB28D9">
              <w:t>Chi-</w:t>
            </w:r>
            <w:r>
              <w:br/>
            </w:r>
            <w:r w:rsidRPr="00CB28D9">
              <w:t>square</w:t>
            </w:r>
          </w:p>
        </w:tc>
      </w:tr>
      <w:tr w:rsidR="002B2D8E" w:rsidRPr="00817316" w:rsidTr="000A3AC6">
        <w:tc>
          <w:tcPr>
            <w:tcW w:w="2520" w:type="dxa"/>
          </w:tcPr>
          <w:p w:rsidR="002B2D8E" w:rsidRPr="00817316" w:rsidRDefault="002B2D8E" w:rsidP="002B2D8E">
            <w:pPr>
              <w:pStyle w:val="Tabletext"/>
            </w:pPr>
            <w:r w:rsidRPr="00817316">
              <w:t>Intercept</w:t>
            </w:r>
          </w:p>
        </w:tc>
        <w:tc>
          <w:tcPr>
            <w:tcW w:w="840" w:type="dxa"/>
            <w:tcBorders>
              <w:right w:val="single" w:sz="4" w:space="0" w:color="auto"/>
            </w:tcBorders>
          </w:tcPr>
          <w:p w:rsidR="002B2D8E" w:rsidRPr="00817316" w:rsidRDefault="002B2D8E" w:rsidP="002B2D8E">
            <w:pPr>
              <w:pStyle w:val="Tabletext"/>
              <w:jc w:val="center"/>
            </w:pPr>
          </w:p>
        </w:tc>
        <w:tc>
          <w:tcPr>
            <w:tcW w:w="857" w:type="dxa"/>
            <w:tcBorders>
              <w:top w:val="single" w:sz="4" w:space="0" w:color="auto"/>
              <w:left w:val="single" w:sz="4" w:space="0" w:color="auto"/>
            </w:tcBorders>
          </w:tcPr>
          <w:p w:rsidR="002B2D8E" w:rsidRDefault="002B2D8E" w:rsidP="001D21C1">
            <w:pPr>
              <w:pStyle w:val="Tabletext"/>
              <w:tabs>
                <w:tab w:val="decimal" w:pos="198"/>
              </w:tabs>
              <w:jc w:val="right"/>
            </w:pPr>
            <w:r>
              <w:t>-0.7134</w:t>
            </w:r>
          </w:p>
        </w:tc>
        <w:tc>
          <w:tcPr>
            <w:tcW w:w="858" w:type="dxa"/>
            <w:tcBorders>
              <w:top w:val="single" w:sz="4" w:space="0" w:color="auto"/>
              <w:right w:val="single" w:sz="4" w:space="0" w:color="auto"/>
            </w:tcBorders>
          </w:tcPr>
          <w:p w:rsidR="002B2D8E" w:rsidRDefault="002B2D8E" w:rsidP="001D21C1">
            <w:pPr>
              <w:pStyle w:val="Tabletext"/>
              <w:tabs>
                <w:tab w:val="decimal" w:pos="340"/>
              </w:tabs>
              <w:jc w:val="right"/>
            </w:pPr>
            <w:r>
              <w:t>208.944</w:t>
            </w:r>
          </w:p>
        </w:tc>
        <w:tc>
          <w:tcPr>
            <w:tcW w:w="857" w:type="dxa"/>
            <w:tcBorders>
              <w:left w:val="single" w:sz="4" w:space="0" w:color="auto"/>
            </w:tcBorders>
          </w:tcPr>
          <w:p w:rsidR="002B2D8E" w:rsidRDefault="002B2D8E" w:rsidP="001D21C1">
            <w:pPr>
              <w:pStyle w:val="Tabletext"/>
              <w:tabs>
                <w:tab w:val="decimal" w:pos="198"/>
              </w:tabs>
              <w:jc w:val="right"/>
            </w:pPr>
            <w:r>
              <w:t>0.8800</w:t>
            </w:r>
          </w:p>
        </w:tc>
        <w:tc>
          <w:tcPr>
            <w:tcW w:w="858" w:type="dxa"/>
            <w:tcBorders>
              <w:right w:val="single" w:sz="4" w:space="0" w:color="auto"/>
            </w:tcBorders>
          </w:tcPr>
          <w:p w:rsidR="002B2D8E" w:rsidRDefault="002B2D8E" w:rsidP="001D21C1">
            <w:pPr>
              <w:pStyle w:val="Tabletext"/>
              <w:tabs>
                <w:tab w:val="decimal" w:pos="340"/>
              </w:tabs>
              <w:jc w:val="right"/>
            </w:pPr>
            <w:r>
              <w:t>936.107</w:t>
            </w:r>
          </w:p>
        </w:tc>
        <w:tc>
          <w:tcPr>
            <w:tcW w:w="857" w:type="dxa"/>
            <w:tcBorders>
              <w:left w:val="single" w:sz="4" w:space="0" w:color="auto"/>
            </w:tcBorders>
          </w:tcPr>
          <w:p w:rsidR="002B2D8E" w:rsidRDefault="002B2D8E" w:rsidP="001D21C1">
            <w:pPr>
              <w:pStyle w:val="Tabletext"/>
              <w:tabs>
                <w:tab w:val="decimal" w:pos="198"/>
              </w:tabs>
              <w:jc w:val="right"/>
            </w:pPr>
            <w:r>
              <w:t>0.8260</w:t>
            </w:r>
          </w:p>
        </w:tc>
        <w:tc>
          <w:tcPr>
            <w:tcW w:w="858" w:type="dxa"/>
          </w:tcPr>
          <w:p w:rsidR="002B2D8E" w:rsidRDefault="002B2D8E" w:rsidP="001D21C1">
            <w:pPr>
              <w:pStyle w:val="Tabletext"/>
              <w:tabs>
                <w:tab w:val="decimal" w:pos="340"/>
              </w:tabs>
              <w:jc w:val="right"/>
            </w:pPr>
            <w:r>
              <w:t>896.946</w:t>
            </w:r>
          </w:p>
        </w:tc>
      </w:tr>
      <w:tr w:rsidR="002B2D8E" w:rsidRPr="00817316" w:rsidTr="000A3AC6">
        <w:tc>
          <w:tcPr>
            <w:tcW w:w="2520" w:type="dxa"/>
          </w:tcPr>
          <w:p w:rsidR="002B2D8E" w:rsidRPr="00817316" w:rsidRDefault="002B2D8E" w:rsidP="002B2D8E">
            <w:pPr>
              <w:pStyle w:val="Tabletext"/>
            </w:pPr>
            <w:r w:rsidRPr="00817316">
              <w:t>Wedge between expected wages in alternative employment and wages during training</w:t>
            </w:r>
          </w:p>
        </w:tc>
        <w:tc>
          <w:tcPr>
            <w:tcW w:w="840" w:type="dxa"/>
            <w:tcBorders>
              <w:right w:val="single" w:sz="4" w:space="0" w:color="auto"/>
            </w:tcBorders>
          </w:tcPr>
          <w:p w:rsidR="002B2D8E" w:rsidRPr="00817316" w:rsidRDefault="002B2D8E" w:rsidP="002B2D8E">
            <w:pPr>
              <w:pStyle w:val="Tabletext"/>
              <w:jc w:val="center"/>
            </w:pPr>
            <w:r w:rsidRPr="00817316">
              <w:t>-</w:t>
            </w:r>
          </w:p>
        </w:tc>
        <w:tc>
          <w:tcPr>
            <w:tcW w:w="857" w:type="dxa"/>
            <w:tcBorders>
              <w:left w:val="single" w:sz="4" w:space="0" w:color="auto"/>
            </w:tcBorders>
          </w:tcPr>
          <w:p w:rsidR="002B2D8E" w:rsidRPr="00AD0443" w:rsidRDefault="002B2D8E" w:rsidP="001D21C1">
            <w:pPr>
              <w:pStyle w:val="Tabletext"/>
              <w:tabs>
                <w:tab w:val="decimal" w:pos="198"/>
              </w:tabs>
              <w:jc w:val="right"/>
              <w:rPr>
                <w:vertAlign w:val="superscript"/>
              </w:rPr>
            </w:pPr>
            <w:r w:rsidRPr="00AD0443">
              <w:t>3.2*10</w:t>
            </w:r>
            <w:r w:rsidRPr="00AD0443">
              <w:rPr>
                <w:vertAlign w:val="superscript"/>
              </w:rPr>
              <w:t>-5</w:t>
            </w:r>
          </w:p>
        </w:tc>
        <w:tc>
          <w:tcPr>
            <w:tcW w:w="858" w:type="dxa"/>
            <w:tcBorders>
              <w:right w:val="single" w:sz="4" w:space="0" w:color="auto"/>
            </w:tcBorders>
          </w:tcPr>
          <w:p w:rsidR="002B2D8E" w:rsidRPr="00AD0443" w:rsidRDefault="002B2D8E" w:rsidP="001D21C1">
            <w:pPr>
              <w:pStyle w:val="Tabletext"/>
              <w:tabs>
                <w:tab w:val="decimal" w:pos="340"/>
              </w:tabs>
              <w:jc w:val="right"/>
            </w:pPr>
            <w:r w:rsidRPr="00AD0443">
              <w:t>126.827</w:t>
            </w:r>
          </w:p>
        </w:tc>
        <w:tc>
          <w:tcPr>
            <w:tcW w:w="857" w:type="dxa"/>
            <w:tcBorders>
              <w:left w:val="single" w:sz="4" w:space="0" w:color="auto"/>
            </w:tcBorders>
          </w:tcPr>
          <w:p w:rsidR="002B2D8E" w:rsidRPr="007A2BCD" w:rsidRDefault="002B2D8E" w:rsidP="001D21C1">
            <w:pPr>
              <w:pStyle w:val="Tabletext"/>
              <w:tabs>
                <w:tab w:val="decimal" w:pos="198"/>
              </w:tabs>
              <w:jc w:val="right"/>
              <w:rPr>
                <w:b/>
                <w:vertAlign w:val="superscript"/>
              </w:rPr>
            </w:pPr>
            <w:r w:rsidRPr="007A2BCD">
              <w:rPr>
                <w:b/>
              </w:rPr>
              <w:t>-1.0*10</w:t>
            </w:r>
            <w:r w:rsidRPr="007A2BCD">
              <w:rPr>
                <w:b/>
                <w:vertAlign w:val="superscript"/>
              </w:rPr>
              <w:t>-5</w:t>
            </w:r>
          </w:p>
        </w:tc>
        <w:tc>
          <w:tcPr>
            <w:tcW w:w="858" w:type="dxa"/>
            <w:tcBorders>
              <w:right w:val="single" w:sz="4" w:space="0" w:color="auto"/>
            </w:tcBorders>
          </w:tcPr>
          <w:p w:rsidR="002B2D8E" w:rsidRDefault="002B2D8E" w:rsidP="001D21C1">
            <w:pPr>
              <w:pStyle w:val="Tabletext"/>
              <w:tabs>
                <w:tab w:val="decimal" w:pos="340"/>
              </w:tabs>
              <w:jc w:val="right"/>
            </w:pPr>
            <w:r>
              <w:t>14.567</w:t>
            </w:r>
          </w:p>
        </w:tc>
        <w:tc>
          <w:tcPr>
            <w:tcW w:w="857" w:type="dxa"/>
            <w:tcBorders>
              <w:left w:val="single" w:sz="4" w:space="0" w:color="auto"/>
            </w:tcBorders>
          </w:tcPr>
          <w:p w:rsidR="002B2D8E" w:rsidRPr="007A2BCD" w:rsidRDefault="002B2D8E" w:rsidP="001D21C1">
            <w:pPr>
              <w:pStyle w:val="Tabletext"/>
              <w:tabs>
                <w:tab w:val="decimal" w:pos="198"/>
              </w:tabs>
              <w:jc w:val="right"/>
              <w:rPr>
                <w:b/>
                <w:vertAlign w:val="superscript"/>
              </w:rPr>
            </w:pPr>
            <w:r w:rsidRPr="007A2BCD">
              <w:rPr>
                <w:b/>
              </w:rPr>
              <w:t>-5.0*10</w:t>
            </w:r>
            <w:r w:rsidRPr="007A2BCD">
              <w:rPr>
                <w:b/>
                <w:vertAlign w:val="superscript"/>
              </w:rPr>
              <w:t>-5</w:t>
            </w:r>
          </w:p>
        </w:tc>
        <w:tc>
          <w:tcPr>
            <w:tcW w:w="858" w:type="dxa"/>
          </w:tcPr>
          <w:p w:rsidR="002B2D8E" w:rsidRDefault="002B2D8E" w:rsidP="001D21C1">
            <w:pPr>
              <w:pStyle w:val="Tabletext"/>
              <w:tabs>
                <w:tab w:val="decimal" w:pos="340"/>
              </w:tabs>
              <w:jc w:val="right"/>
            </w:pPr>
            <w:r>
              <w:t>183.523</w:t>
            </w:r>
          </w:p>
        </w:tc>
      </w:tr>
      <w:tr w:rsidR="002B2D8E" w:rsidRPr="00817316" w:rsidTr="000A3AC6">
        <w:tc>
          <w:tcPr>
            <w:tcW w:w="2520" w:type="dxa"/>
          </w:tcPr>
          <w:p w:rsidR="002B2D8E" w:rsidRPr="00817316" w:rsidRDefault="002B2D8E" w:rsidP="002B2D8E">
            <w:pPr>
              <w:pStyle w:val="Tabletext"/>
            </w:pPr>
            <w:r w:rsidRPr="00817316">
              <w:t>Wedge between expected wages on completion and expected wages in alternative employment</w:t>
            </w:r>
          </w:p>
        </w:tc>
        <w:tc>
          <w:tcPr>
            <w:tcW w:w="840" w:type="dxa"/>
            <w:tcBorders>
              <w:right w:val="single" w:sz="4" w:space="0" w:color="auto"/>
            </w:tcBorders>
          </w:tcPr>
          <w:p w:rsidR="002B2D8E" w:rsidRPr="00817316" w:rsidRDefault="002B2D8E" w:rsidP="002B2D8E">
            <w:pPr>
              <w:pStyle w:val="Tabletext"/>
              <w:jc w:val="center"/>
            </w:pPr>
            <w:r w:rsidRPr="00817316">
              <w:t>+</w:t>
            </w:r>
          </w:p>
        </w:tc>
        <w:tc>
          <w:tcPr>
            <w:tcW w:w="857" w:type="dxa"/>
            <w:tcBorders>
              <w:left w:val="single" w:sz="4" w:space="0" w:color="auto"/>
            </w:tcBorders>
          </w:tcPr>
          <w:p w:rsidR="002B2D8E" w:rsidRPr="007A2BCD" w:rsidRDefault="002B2D8E" w:rsidP="001D21C1">
            <w:pPr>
              <w:pStyle w:val="Tabletext"/>
              <w:tabs>
                <w:tab w:val="decimal" w:pos="198"/>
              </w:tabs>
              <w:jc w:val="right"/>
              <w:rPr>
                <w:b/>
                <w:vertAlign w:val="superscript"/>
              </w:rPr>
            </w:pPr>
            <w:r w:rsidRPr="007A2BCD">
              <w:rPr>
                <w:b/>
              </w:rPr>
              <w:t>2.1*10</w:t>
            </w:r>
            <w:r w:rsidRPr="007A2BCD">
              <w:rPr>
                <w:b/>
                <w:vertAlign w:val="superscript"/>
              </w:rPr>
              <w:t>-5</w:t>
            </w:r>
          </w:p>
        </w:tc>
        <w:tc>
          <w:tcPr>
            <w:tcW w:w="858" w:type="dxa"/>
            <w:tcBorders>
              <w:right w:val="single" w:sz="4" w:space="0" w:color="auto"/>
            </w:tcBorders>
          </w:tcPr>
          <w:p w:rsidR="002B2D8E" w:rsidRDefault="002B2D8E" w:rsidP="001D21C1">
            <w:pPr>
              <w:pStyle w:val="Tabletext"/>
              <w:tabs>
                <w:tab w:val="decimal" w:pos="340"/>
              </w:tabs>
              <w:jc w:val="right"/>
            </w:pPr>
            <w:r>
              <w:t>201.346</w:t>
            </w:r>
          </w:p>
        </w:tc>
        <w:tc>
          <w:tcPr>
            <w:tcW w:w="857" w:type="dxa"/>
            <w:tcBorders>
              <w:left w:val="single" w:sz="4" w:space="0" w:color="auto"/>
            </w:tcBorders>
          </w:tcPr>
          <w:p w:rsidR="002B2D8E" w:rsidRPr="00AD0443" w:rsidRDefault="002B2D8E" w:rsidP="001D21C1">
            <w:pPr>
              <w:pStyle w:val="Tabletext"/>
              <w:tabs>
                <w:tab w:val="decimal" w:pos="198"/>
              </w:tabs>
              <w:jc w:val="right"/>
              <w:rPr>
                <w:vertAlign w:val="superscript"/>
              </w:rPr>
            </w:pPr>
            <w:r w:rsidRPr="00AD0443">
              <w:t>3.9*10</w:t>
            </w:r>
            <w:r w:rsidRPr="00AD0443">
              <w:rPr>
                <w:vertAlign w:val="superscript"/>
              </w:rPr>
              <w:t>-7</w:t>
            </w:r>
          </w:p>
        </w:tc>
        <w:tc>
          <w:tcPr>
            <w:tcW w:w="858" w:type="dxa"/>
            <w:tcBorders>
              <w:right w:val="single" w:sz="4" w:space="0" w:color="auto"/>
            </w:tcBorders>
          </w:tcPr>
          <w:p w:rsidR="002B2D8E" w:rsidRDefault="002B2D8E" w:rsidP="001D21C1">
            <w:pPr>
              <w:pStyle w:val="Tabletext"/>
              <w:tabs>
                <w:tab w:val="decimal" w:pos="340"/>
              </w:tabs>
              <w:jc w:val="right"/>
            </w:pPr>
            <w:r>
              <w:t>0.032</w:t>
            </w:r>
          </w:p>
        </w:tc>
        <w:tc>
          <w:tcPr>
            <w:tcW w:w="857" w:type="dxa"/>
            <w:tcBorders>
              <w:left w:val="single" w:sz="4" w:space="0" w:color="auto"/>
            </w:tcBorders>
          </w:tcPr>
          <w:p w:rsidR="002B2D8E" w:rsidRPr="007A2BCD" w:rsidRDefault="002B2D8E" w:rsidP="001D21C1">
            <w:pPr>
              <w:pStyle w:val="Tabletext"/>
              <w:tabs>
                <w:tab w:val="decimal" w:pos="198"/>
              </w:tabs>
              <w:jc w:val="right"/>
              <w:rPr>
                <w:vertAlign w:val="superscript"/>
              </w:rPr>
            </w:pPr>
            <w:r>
              <w:t>-2.0*10</w:t>
            </w:r>
            <w:r>
              <w:rPr>
                <w:vertAlign w:val="superscript"/>
              </w:rPr>
              <w:t>-5</w:t>
            </w:r>
          </w:p>
        </w:tc>
        <w:tc>
          <w:tcPr>
            <w:tcW w:w="858" w:type="dxa"/>
          </w:tcPr>
          <w:p w:rsidR="002B2D8E" w:rsidRDefault="002B2D8E" w:rsidP="001D21C1">
            <w:pPr>
              <w:pStyle w:val="Tabletext"/>
              <w:tabs>
                <w:tab w:val="decimal" w:pos="340"/>
              </w:tabs>
              <w:jc w:val="right"/>
            </w:pPr>
            <w:r>
              <w:t>36.914</w:t>
            </w:r>
          </w:p>
        </w:tc>
      </w:tr>
      <w:tr w:rsidR="002B2D8E" w:rsidRPr="00817316" w:rsidTr="000A3AC6">
        <w:tc>
          <w:tcPr>
            <w:tcW w:w="2520" w:type="dxa"/>
          </w:tcPr>
          <w:p w:rsidR="002B2D8E" w:rsidRPr="00817316" w:rsidRDefault="002B2D8E" w:rsidP="002B2D8E">
            <w:pPr>
              <w:pStyle w:val="Tabletext"/>
            </w:pPr>
            <w:r>
              <w:t>Wedge between p</w:t>
            </w:r>
            <w:r w:rsidRPr="00817316">
              <w:t>robability of employment on completion</w:t>
            </w:r>
            <w:r>
              <w:t xml:space="preserve"> and p</w:t>
            </w:r>
            <w:r w:rsidRPr="00817316">
              <w:t>robability of alternative employment</w:t>
            </w:r>
          </w:p>
        </w:tc>
        <w:tc>
          <w:tcPr>
            <w:tcW w:w="840" w:type="dxa"/>
            <w:tcBorders>
              <w:right w:val="single" w:sz="4" w:space="0" w:color="auto"/>
            </w:tcBorders>
          </w:tcPr>
          <w:p w:rsidR="002B2D8E" w:rsidRPr="00817316" w:rsidRDefault="002B2D8E" w:rsidP="002B2D8E">
            <w:pPr>
              <w:pStyle w:val="Tabletext"/>
              <w:jc w:val="center"/>
            </w:pPr>
            <w:r>
              <w:t>+</w:t>
            </w:r>
          </w:p>
        </w:tc>
        <w:tc>
          <w:tcPr>
            <w:tcW w:w="857" w:type="dxa"/>
            <w:tcBorders>
              <w:left w:val="single" w:sz="4" w:space="0" w:color="auto"/>
            </w:tcBorders>
          </w:tcPr>
          <w:p w:rsidR="002B2D8E" w:rsidRPr="007A2BCD" w:rsidRDefault="002B2D8E" w:rsidP="001D21C1">
            <w:pPr>
              <w:pStyle w:val="Tabletext"/>
              <w:tabs>
                <w:tab w:val="decimal" w:pos="198"/>
              </w:tabs>
              <w:jc w:val="right"/>
              <w:rPr>
                <w:b/>
              </w:rPr>
            </w:pPr>
            <w:r w:rsidRPr="007A2BCD">
              <w:rPr>
                <w:b/>
              </w:rPr>
              <w:t>0.8496</w:t>
            </w:r>
          </w:p>
        </w:tc>
        <w:tc>
          <w:tcPr>
            <w:tcW w:w="858" w:type="dxa"/>
            <w:tcBorders>
              <w:right w:val="single" w:sz="4" w:space="0" w:color="auto"/>
            </w:tcBorders>
          </w:tcPr>
          <w:p w:rsidR="002B2D8E" w:rsidRDefault="002B2D8E" w:rsidP="001D21C1">
            <w:pPr>
              <w:pStyle w:val="Tabletext"/>
              <w:tabs>
                <w:tab w:val="decimal" w:pos="340"/>
              </w:tabs>
              <w:jc w:val="right"/>
            </w:pPr>
            <w:r>
              <w:t>58.213</w:t>
            </w:r>
          </w:p>
        </w:tc>
        <w:tc>
          <w:tcPr>
            <w:tcW w:w="857" w:type="dxa"/>
            <w:tcBorders>
              <w:left w:val="single" w:sz="4" w:space="0" w:color="auto"/>
            </w:tcBorders>
          </w:tcPr>
          <w:p w:rsidR="002B2D8E" w:rsidRDefault="002B2D8E" w:rsidP="001D21C1">
            <w:pPr>
              <w:pStyle w:val="Tabletext"/>
              <w:tabs>
                <w:tab w:val="decimal" w:pos="198"/>
              </w:tabs>
              <w:jc w:val="right"/>
            </w:pPr>
            <w:r>
              <w:t>-0.4565</w:t>
            </w:r>
          </w:p>
        </w:tc>
        <w:tc>
          <w:tcPr>
            <w:tcW w:w="858" w:type="dxa"/>
            <w:tcBorders>
              <w:right w:val="single" w:sz="4" w:space="0" w:color="auto"/>
            </w:tcBorders>
          </w:tcPr>
          <w:p w:rsidR="002B2D8E" w:rsidRDefault="002B2D8E" w:rsidP="001D21C1">
            <w:pPr>
              <w:pStyle w:val="Tabletext"/>
              <w:tabs>
                <w:tab w:val="decimal" w:pos="340"/>
              </w:tabs>
              <w:jc w:val="right"/>
            </w:pPr>
            <w:r>
              <w:t>14.881</w:t>
            </w:r>
          </w:p>
        </w:tc>
        <w:tc>
          <w:tcPr>
            <w:tcW w:w="857" w:type="dxa"/>
            <w:tcBorders>
              <w:left w:val="single" w:sz="4" w:space="0" w:color="auto"/>
            </w:tcBorders>
          </w:tcPr>
          <w:p w:rsidR="002B2D8E" w:rsidRPr="007A2BCD" w:rsidRDefault="002B2D8E" w:rsidP="001D21C1">
            <w:pPr>
              <w:pStyle w:val="Tabletext"/>
              <w:tabs>
                <w:tab w:val="decimal" w:pos="198"/>
              </w:tabs>
              <w:jc w:val="right"/>
              <w:rPr>
                <w:b/>
              </w:rPr>
            </w:pPr>
            <w:r w:rsidRPr="007A2BCD">
              <w:rPr>
                <w:b/>
              </w:rPr>
              <w:t>1.3760</w:t>
            </w:r>
          </w:p>
        </w:tc>
        <w:tc>
          <w:tcPr>
            <w:tcW w:w="858" w:type="dxa"/>
          </w:tcPr>
          <w:p w:rsidR="002B2D8E" w:rsidRDefault="002B2D8E" w:rsidP="001D21C1">
            <w:pPr>
              <w:pStyle w:val="Tabletext"/>
              <w:tabs>
                <w:tab w:val="decimal" w:pos="340"/>
              </w:tabs>
              <w:jc w:val="right"/>
            </w:pPr>
            <w:r>
              <w:t>242.639</w:t>
            </w:r>
          </w:p>
        </w:tc>
      </w:tr>
      <w:tr w:rsidR="002B2D8E" w:rsidTr="000A3AC6">
        <w:tc>
          <w:tcPr>
            <w:tcW w:w="2520" w:type="dxa"/>
            <w:tcBorders>
              <w:bottom w:val="single" w:sz="4" w:space="0" w:color="auto"/>
            </w:tcBorders>
            <w:tcMar>
              <w:right w:w="0" w:type="dxa"/>
            </w:tcMar>
          </w:tcPr>
          <w:p w:rsidR="002B2D8E" w:rsidRPr="00817316" w:rsidRDefault="002B2D8E" w:rsidP="002B2D8E">
            <w:pPr>
              <w:pStyle w:val="Tabletext"/>
            </w:pPr>
            <w:r w:rsidRPr="00817316">
              <w:t>Difference between surveys (2010 survey = 1</w:t>
            </w:r>
            <w:r>
              <w:t>;</w:t>
            </w:r>
            <w:r w:rsidRPr="00817316">
              <w:t xml:space="preserve"> 2008 survey = 0)</w:t>
            </w:r>
          </w:p>
        </w:tc>
        <w:tc>
          <w:tcPr>
            <w:tcW w:w="840" w:type="dxa"/>
            <w:tcBorders>
              <w:bottom w:val="single" w:sz="4" w:space="0" w:color="auto"/>
              <w:right w:val="single" w:sz="4" w:space="0" w:color="auto"/>
            </w:tcBorders>
          </w:tcPr>
          <w:p w:rsidR="002B2D8E" w:rsidRDefault="002B2D8E" w:rsidP="002B2D8E">
            <w:pPr>
              <w:pStyle w:val="Tabletext"/>
              <w:jc w:val="center"/>
            </w:pPr>
          </w:p>
        </w:tc>
        <w:tc>
          <w:tcPr>
            <w:tcW w:w="857" w:type="dxa"/>
            <w:tcBorders>
              <w:left w:val="single" w:sz="4" w:space="0" w:color="auto"/>
              <w:bottom w:val="single" w:sz="4" w:space="0" w:color="auto"/>
            </w:tcBorders>
          </w:tcPr>
          <w:p w:rsidR="002B2D8E" w:rsidRPr="00F57CB0" w:rsidRDefault="002B2D8E" w:rsidP="001D21C1">
            <w:pPr>
              <w:pStyle w:val="Tabletext"/>
              <w:tabs>
                <w:tab w:val="decimal" w:pos="198"/>
              </w:tabs>
              <w:jc w:val="right"/>
            </w:pPr>
            <w:r w:rsidRPr="00F57CB0">
              <w:t>0.5875</w:t>
            </w:r>
          </w:p>
        </w:tc>
        <w:tc>
          <w:tcPr>
            <w:tcW w:w="858" w:type="dxa"/>
            <w:tcBorders>
              <w:bottom w:val="single" w:sz="4" w:space="0" w:color="auto"/>
              <w:right w:val="single" w:sz="4" w:space="0" w:color="auto"/>
            </w:tcBorders>
          </w:tcPr>
          <w:p w:rsidR="002B2D8E" w:rsidRPr="00F57CB0" w:rsidRDefault="002B2D8E" w:rsidP="001D21C1">
            <w:pPr>
              <w:pStyle w:val="Tabletext"/>
              <w:tabs>
                <w:tab w:val="decimal" w:pos="340"/>
              </w:tabs>
              <w:jc w:val="right"/>
            </w:pPr>
            <w:r w:rsidRPr="00F57CB0">
              <w:t>406.212</w:t>
            </w:r>
          </w:p>
        </w:tc>
        <w:tc>
          <w:tcPr>
            <w:tcW w:w="857" w:type="dxa"/>
            <w:tcBorders>
              <w:left w:val="single" w:sz="4" w:space="0" w:color="auto"/>
              <w:bottom w:val="single" w:sz="4" w:space="0" w:color="auto"/>
            </w:tcBorders>
          </w:tcPr>
          <w:p w:rsidR="002B2D8E" w:rsidRPr="00F57CB0" w:rsidRDefault="002B2D8E" w:rsidP="001D21C1">
            <w:pPr>
              <w:pStyle w:val="Tabletext"/>
              <w:tabs>
                <w:tab w:val="decimal" w:pos="198"/>
              </w:tabs>
              <w:jc w:val="right"/>
            </w:pPr>
            <w:r w:rsidRPr="00F57CB0">
              <w:t>-0.2356</w:t>
            </w:r>
          </w:p>
        </w:tc>
        <w:tc>
          <w:tcPr>
            <w:tcW w:w="858" w:type="dxa"/>
            <w:tcBorders>
              <w:bottom w:val="single" w:sz="4" w:space="0" w:color="auto"/>
              <w:right w:val="single" w:sz="4" w:space="0" w:color="auto"/>
            </w:tcBorders>
          </w:tcPr>
          <w:p w:rsidR="002B2D8E" w:rsidRPr="00F57CB0" w:rsidRDefault="002B2D8E" w:rsidP="001D21C1">
            <w:pPr>
              <w:pStyle w:val="Tabletext"/>
              <w:tabs>
                <w:tab w:val="decimal" w:pos="340"/>
              </w:tabs>
              <w:jc w:val="right"/>
            </w:pPr>
            <w:r w:rsidRPr="00F57CB0">
              <w:t>107.994</w:t>
            </w:r>
          </w:p>
        </w:tc>
        <w:tc>
          <w:tcPr>
            <w:tcW w:w="857" w:type="dxa"/>
            <w:tcBorders>
              <w:left w:val="single" w:sz="4" w:space="0" w:color="auto"/>
              <w:bottom w:val="single" w:sz="4" w:space="0" w:color="auto"/>
            </w:tcBorders>
          </w:tcPr>
          <w:p w:rsidR="002B2D8E" w:rsidRPr="00F57CB0" w:rsidRDefault="002B2D8E" w:rsidP="001D21C1">
            <w:pPr>
              <w:pStyle w:val="Tabletext"/>
              <w:tabs>
                <w:tab w:val="decimal" w:pos="198"/>
              </w:tabs>
              <w:jc w:val="right"/>
            </w:pPr>
            <w:r w:rsidRPr="00F57CB0">
              <w:t>-0.2802</w:t>
            </w:r>
          </w:p>
        </w:tc>
        <w:tc>
          <w:tcPr>
            <w:tcW w:w="858" w:type="dxa"/>
            <w:tcBorders>
              <w:bottom w:val="single" w:sz="4" w:space="0" w:color="auto"/>
            </w:tcBorders>
          </w:tcPr>
          <w:p w:rsidR="002B2D8E" w:rsidRDefault="002B2D8E" w:rsidP="001D21C1">
            <w:pPr>
              <w:pStyle w:val="Tabletext"/>
              <w:tabs>
                <w:tab w:val="decimal" w:pos="340"/>
              </w:tabs>
              <w:jc w:val="right"/>
            </w:pPr>
            <w:r>
              <w:t>160.699</w:t>
            </w:r>
          </w:p>
        </w:tc>
      </w:tr>
    </w:tbl>
    <w:p w:rsidR="0052450B" w:rsidRDefault="002B2D8E" w:rsidP="002B2D8E">
      <w:pPr>
        <w:pStyle w:val="Source"/>
        <w:ind w:left="709" w:hanging="709"/>
      </w:pPr>
      <w:r>
        <w:t>Notes:</w:t>
      </w:r>
      <w:r>
        <w:tab/>
        <w:t xml:space="preserve">Critical value for a chi-square test for significance at the 10% confidence level is 2.706 (1 degree of freedom). </w:t>
      </w:r>
    </w:p>
    <w:p w:rsidR="002B2D8E" w:rsidRDefault="002B2D8E" w:rsidP="0052450B">
      <w:pPr>
        <w:pStyle w:val="Source"/>
        <w:ind w:left="709" w:firstLine="0"/>
      </w:pPr>
      <w:r>
        <w:t>Bold figures are significant based on a one-tail test.</w:t>
      </w:r>
    </w:p>
    <w:p w:rsidR="002B2D8E" w:rsidRDefault="002B2D8E" w:rsidP="002B2D8E">
      <w:pPr>
        <w:pStyle w:val="Source"/>
        <w:ind w:left="709" w:hanging="709"/>
      </w:pPr>
      <w:r>
        <w:tab/>
        <w:t xml:space="preserve">2008 wages were entered into the model in 2010 prices. </w:t>
      </w:r>
    </w:p>
    <w:p w:rsidR="002B2D8E" w:rsidRDefault="002B2D8E" w:rsidP="002B2D8E">
      <w:pPr>
        <w:pStyle w:val="Heading2"/>
      </w:pPr>
      <w:bookmarkStart w:id="45" w:name="_Toc321239968"/>
      <w:bookmarkStart w:id="46" w:name="_Toc322958593"/>
      <w:r>
        <w:t>The value of completion of VET qualifications</w:t>
      </w:r>
      <w:bookmarkEnd w:id="45"/>
      <w:bookmarkEnd w:id="46"/>
    </w:p>
    <w:p w:rsidR="002B2D8E" w:rsidRDefault="002B2D8E" w:rsidP="002B2D8E">
      <w:pPr>
        <w:pStyle w:val="Text"/>
      </w:pPr>
      <w:r>
        <w:t xml:space="preserve">Completion rates for general VET qualifications have also received much attention from governments. They have always been difficult to estimate because of the lack of a unique student identifier in the VET collection. Mark and Karmel (2010) applied a </w:t>
      </w:r>
      <w:r w:rsidR="00964594">
        <w:t>M</w:t>
      </w:r>
      <w:r>
        <w:t xml:space="preserve">arkov chain model to the VET data collection and estimated that the national completion rate of VET course enrolments commencing in 2005 was 27.1%. However, when restricting the analysis only </w:t>
      </w:r>
      <w:r w:rsidR="001D1E05">
        <w:t xml:space="preserve">to </w:t>
      </w:r>
      <w:r>
        <w:t>full-time VET students</w:t>
      </w:r>
      <w:r w:rsidR="00964594">
        <w:t>,</w:t>
      </w:r>
      <w:r>
        <w:t xml:space="preserve"> 25 years old and under in 2005</w:t>
      </w:r>
      <w:r w:rsidR="00964594">
        <w:t>,</w:t>
      </w:r>
      <w:r>
        <w:t xml:space="preserve"> who also have no prior VET qualification, the estimated completion rate becomes 34.7%.</w:t>
      </w:r>
    </w:p>
    <w:p w:rsidR="002B2D8E" w:rsidRDefault="002B2D8E" w:rsidP="002B2D8E">
      <w:pPr>
        <w:pStyle w:val="Text"/>
      </w:pPr>
      <w:r>
        <w:t>Th</w:t>
      </w:r>
      <w:r w:rsidR="0048449E">
        <w:t>ese</w:t>
      </w:r>
      <w:r>
        <w:t xml:space="preserve"> low completion rates caused some consternation and many argued, rather defensively, that the low completion rates reflected </w:t>
      </w:r>
      <w:r w:rsidR="0052450B">
        <w:t>the</w:t>
      </w:r>
      <w:r>
        <w:t xml:space="preserve"> fact that many students did not intend to complete and had obtained from the course what they wanted. To investigate this further, NCVER undertook a survey of students’ intentions (NCVER 2011), finding that over 90% of commencing students report that they had intended to complete their qualification. However, to complete the picture we need to know whether there i</w:t>
      </w:r>
      <w:r w:rsidR="00964594">
        <w:t>s in fact a value to completion</w:t>
      </w:r>
      <w:r w:rsidR="0052450B">
        <w:t>,</w:t>
      </w:r>
      <w:r>
        <w:t xml:space="preserve"> and for which groups completion </w:t>
      </w:r>
      <w:r w:rsidR="00430D0A">
        <w:t xml:space="preserve">is </w:t>
      </w:r>
      <w:r>
        <w:t>particularly important.</w:t>
      </w:r>
    </w:p>
    <w:p w:rsidR="002B2D8E" w:rsidRDefault="002B2D8E" w:rsidP="002B2D8E">
      <w:pPr>
        <w:pStyle w:val="Text"/>
      </w:pPr>
      <w:r>
        <w:t>K</w:t>
      </w:r>
      <w:r w:rsidR="00772E98">
        <w:t>armel</w:t>
      </w:r>
      <w:r>
        <w:t xml:space="preserve"> and F</w:t>
      </w:r>
      <w:r w:rsidR="00772E98">
        <w:t>ieger</w:t>
      </w:r>
      <w:r>
        <w:t xml:space="preserve"> (forthcoming) used </w:t>
      </w:r>
      <w:r w:rsidR="0052450B">
        <w:t>S</w:t>
      </w:r>
      <w:r>
        <w:t xml:space="preserve">tudent </w:t>
      </w:r>
      <w:r w:rsidR="0052450B">
        <w:t>O</w:t>
      </w:r>
      <w:r>
        <w:t>utcome</w:t>
      </w:r>
      <w:r w:rsidR="0052450B">
        <w:t>s</w:t>
      </w:r>
      <w:r>
        <w:t xml:space="preserve"> </w:t>
      </w:r>
      <w:r w:rsidR="0052450B">
        <w:t>S</w:t>
      </w:r>
      <w:r>
        <w:t xml:space="preserve">urvey data to model for each student the pay-off to completion in terms of employment, further study and wages. That is, for each student in </w:t>
      </w:r>
      <w:r w:rsidR="002667F0">
        <w:t>the s</w:t>
      </w:r>
      <w:r>
        <w:t>ample t</w:t>
      </w:r>
      <w:r w:rsidR="002667F0">
        <w:t>w</w:t>
      </w:r>
      <w:r>
        <w:t xml:space="preserve">o predictions were made: the first assuming that the student completed, and the second assuming that the student did not complete. These predictions were based on the background characteristics of the individual and what they were studying. </w:t>
      </w:r>
      <w:r w:rsidR="00430D0A">
        <w:t>The data can be presented in a manner</w:t>
      </w:r>
      <w:r>
        <w:t xml:space="preserve"> similar to th</w:t>
      </w:r>
      <w:r w:rsidR="00430D0A">
        <w:t>at</w:t>
      </w:r>
      <w:r>
        <w:t xml:space="preserve"> presented earlier</w:t>
      </w:r>
      <w:r w:rsidR="002667F0">
        <w:t xml:space="preserve"> for apprentices and trainees. F</w:t>
      </w:r>
      <w:r>
        <w:t>or each individual the pay-off to completion is calculated, equal to the value of the variable if the person completes divided by the value if the person does not complete. The individuals are then ranked from the person with the lowest pay-</w:t>
      </w:r>
      <w:r w:rsidR="002667F0">
        <w:t>o</w:t>
      </w:r>
      <w:r>
        <w:t xml:space="preserve">ff to the person with the highest (as you can see from </w:t>
      </w:r>
      <w:r w:rsidR="00DD5B74" w:rsidRPr="008604CF">
        <w:t>figures 2—4</w:t>
      </w:r>
      <w:r w:rsidR="007C1562" w:rsidRPr="008604CF">
        <w:t>,</w:t>
      </w:r>
      <w:r>
        <w:t xml:space="preserve"> the calculations were done for some 50</w:t>
      </w:r>
      <w:r w:rsidR="00964594">
        <w:t> </w:t>
      </w:r>
      <w:r>
        <w:t>000 individuals).</w:t>
      </w:r>
      <w:r w:rsidR="002667F0">
        <w:t xml:space="preserve"> </w:t>
      </w:r>
      <w:r w:rsidR="00DD5B74">
        <w:t>The figures</w:t>
      </w:r>
      <w:r w:rsidR="002667F0">
        <w:t xml:space="preserve"> show the pay-off to completion in respect of employment after training, salary after training for full-time workers, and whether studying after training.</w:t>
      </w:r>
    </w:p>
    <w:p w:rsidR="002667F0" w:rsidRDefault="002667F0">
      <w:pPr>
        <w:rPr>
          <w:rFonts w:ascii="Tahoma" w:hAnsi="Tahoma"/>
          <w:b/>
          <w:sz w:val="17"/>
        </w:rPr>
      </w:pPr>
      <w:bookmarkStart w:id="47" w:name="_Toc306176073"/>
      <w:r>
        <w:br w:type="page"/>
      </w:r>
    </w:p>
    <w:p w:rsidR="002B2D8E" w:rsidRDefault="002667F0" w:rsidP="002B2D8E">
      <w:pPr>
        <w:pStyle w:val="Figuretitle"/>
      </w:pPr>
      <w:bookmarkStart w:id="48" w:name="_Toc322958639"/>
      <w:r>
        <w:lastRenderedPageBreak/>
        <w:t>Figure 2</w:t>
      </w:r>
      <w:r w:rsidR="00964594">
        <w:tab/>
      </w:r>
      <w:r w:rsidR="002B2D8E">
        <w:t>Pay-off to completion in respect of employment after training</w:t>
      </w:r>
      <w:bookmarkEnd w:id="47"/>
      <w:bookmarkEnd w:id="48"/>
    </w:p>
    <w:p w:rsidR="002B2D8E" w:rsidRDefault="00104CD9" w:rsidP="002B2D8E">
      <w:pPr>
        <w:pStyle w:val="Figuretitle"/>
      </w:pPr>
      <w:r>
        <w:rPr>
          <w:noProof/>
          <w:lang w:eastAsia="en-AU"/>
        </w:rPr>
        <w:drawing>
          <wp:inline distT="0" distB="0" distL="0" distR="0">
            <wp:extent cx="5582285" cy="2891790"/>
            <wp:effectExtent l="19050" t="0" r="0" b="0"/>
            <wp:docPr id="2" name="Picture 1" descr="P:\WorkInProgress\AAAKayesPubs\Tom AVETRA conf paper\PUBLICATION\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orkInProgress\AAAKayesPubs\Tom AVETRA conf paper\PUBLICATION\fig 2.jpg"/>
                    <pic:cNvPicPr>
                      <a:picLocks noChangeAspect="1" noChangeArrowheads="1"/>
                    </pic:cNvPicPr>
                  </pic:nvPicPr>
                  <pic:blipFill>
                    <a:blip r:embed="rId14" cstate="print"/>
                    <a:srcRect/>
                    <a:stretch>
                      <a:fillRect/>
                    </a:stretch>
                  </pic:blipFill>
                  <pic:spPr bwMode="auto">
                    <a:xfrm>
                      <a:off x="0" y="0"/>
                      <a:ext cx="5582285" cy="2891790"/>
                    </a:xfrm>
                    <a:prstGeom prst="rect">
                      <a:avLst/>
                    </a:prstGeom>
                    <a:noFill/>
                    <a:ln w="9525">
                      <a:noFill/>
                      <a:miter lim="800000"/>
                      <a:headEnd/>
                      <a:tailEnd/>
                    </a:ln>
                  </pic:spPr>
                </pic:pic>
              </a:graphicData>
            </a:graphic>
          </wp:inline>
        </w:drawing>
      </w:r>
    </w:p>
    <w:p w:rsidR="002B2D8E" w:rsidRDefault="002B2D8E" w:rsidP="001D21C1">
      <w:pPr>
        <w:pStyle w:val="Figuretitle"/>
        <w:spacing w:before="520"/>
      </w:pPr>
      <w:bookmarkStart w:id="49" w:name="_Toc306176074"/>
      <w:bookmarkStart w:id="50" w:name="_Toc322958640"/>
      <w:r>
        <w:t xml:space="preserve">Figure </w:t>
      </w:r>
      <w:r w:rsidR="00B12813">
        <w:t>3</w:t>
      </w:r>
      <w:r w:rsidR="00964594">
        <w:tab/>
      </w:r>
      <w:r>
        <w:t>Pay-off to completion in respect of salary for full-time workers after training</w:t>
      </w:r>
      <w:bookmarkEnd w:id="49"/>
      <w:bookmarkEnd w:id="50"/>
    </w:p>
    <w:p w:rsidR="002B2D8E" w:rsidRDefault="00104CD9" w:rsidP="002B2D8E">
      <w:pPr>
        <w:pStyle w:val="Figuretitle"/>
      </w:pPr>
      <w:r>
        <w:rPr>
          <w:noProof/>
          <w:lang w:eastAsia="en-AU"/>
        </w:rPr>
        <w:drawing>
          <wp:inline distT="0" distB="0" distL="0" distR="0">
            <wp:extent cx="5582285" cy="3072765"/>
            <wp:effectExtent l="19050" t="0" r="0" b="0"/>
            <wp:docPr id="3" name="Picture 2" descr="P:\WorkInProgress\AAAKayesPubs\Tom AVETRA conf paper\PUBLICATION\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InProgress\AAAKayesPubs\Tom AVETRA conf paper\PUBLICATION\fig 3.jpg"/>
                    <pic:cNvPicPr>
                      <a:picLocks noChangeAspect="1" noChangeArrowheads="1"/>
                    </pic:cNvPicPr>
                  </pic:nvPicPr>
                  <pic:blipFill>
                    <a:blip r:embed="rId15" cstate="print"/>
                    <a:srcRect/>
                    <a:stretch>
                      <a:fillRect/>
                    </a:stretch>
                  </pic:blipFill>
                  <pic:spPr bwMode="auto">
                    <a:xfrm>
                      <a:off x="0" y="0"/>
                      <a:ext cx="5582285" cy="3072765"/>
                    </a:xfrm>
                    <a:prstGeom prst="rect">
                      <a:avLst/>
                    </a:prstGeom>
                    <a:noFill/>
                    <a:ln w="9525">
                      <a:noFill/>
                      <a:miter lim="800000"/>
                      <a:headEnd/>
                      <a:tailEnd/>
                    </a:ln>
                  </pic:spPr>
                </pic:pic>
              </a:graphicData>
            </a:graphic>
          </wp:inline>
        </w:drawing>
      </w:r>
    </w:p>
    <w:p w:rsidR="001D21C1" w:rsidRDefault="001D21C1">
      <w:pPr>
        <w:rPr>
          <w:rFonts w:ascii="Tahoma" w:eastAsia="Times New Roman" w:hAnsi="Tahoma"/>
          <w:b/>
          <w:sz w:val="17"/>
          <w:szCs w:val="20"/>
          <w:lang w:eastAsia="en-US"/>
        </w:rPr>
      </w:pPr>
      <w:bookmarkStart w:id="51" w:name="_Toc306176072"/>
      <w:bookmarkStart w:id="52" w:name="_Toc322958641"/>
      <w:r>
        <w:br w:type="page"/>
      </w:r>
    </w:p>
    <w:p w:rsidR="002B2D8E" w:rsidRDefault="002B2D8E" w:rsidP="002B2D8E">
      <w:pPr>
        <w:pStyle w:val="Figuretitle"/>
      </w:pPr>
      <w:r>
        <w:lastRenderedPageBreak/>
        <w:t xml:space="preserve">Figure </w:t>
      </w:r>
      <w:r w:rsidR="00B12813">
        <w:t>4</w:t>
      </w:r>
      <w:r w:rsidR="005F7589">
        <w:tab/>
      </w:r>
      <w:r>
        <w:t>Pay-off to completion in respect of being in further study after training</w:t>
      </w:r>
      <w:bookmarkEnd w:id="51"/>
      <w:bookmarkEnd w:id="52"/>
    </w:p>
    <w:p w:rsidR="002B2D8E" w:rsidRDefault="00104CD9" w:rsidP="002B2D8E">
      <w:pPr>
        <w:pStyle w:val="Figuretitle"/>
      </w:pPr>
      <w:r>
        <w:rPr>
          <w:noProof/>
          <w:lang w:eastAsia="en-AU"/>
        </w:rPr>
        <w:drawing>
          <wp:inline distT="0" distB="0" distL="0" distR="0">
            <wp:extent cx="5582285" cy="2785745"/>
            <wp:effectExtent l="19050" t="0" r="0" b="0"/>
            <wp:docPr id="4" name="Picture 3" descr="P:\WorkInProgress\AAAKayesPubs\Tom AVETRA conf paper\PUBLICATION\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WorkInProgress\AAAKayesPubs\Tom AVETRA conf paper\PUBLICATION\fig 4.jpg"/>
                    <pic:cNvPicPr>
                      <a:picLocks noChangeAspect="1" noChangeArrowheads="1"/>
                    </pic:cNvPicPr>
                  </pic:nvPicPr>
                  <pic:blipFill>
                    <a:blip r:embed="rId16" cstate="print"/>
                    <a:srcRect/>
                    <a:stretch>
                      <a:fillRect/>
                    </a:stretch>
                  </pic:blipFill>
                  <pic:spPr bwMode="auto">
                    <a:xfrm>
                      <a:off x="0" y="0"/>
                      <a:ext cx="5582285" cy="2785745"/>
                    </a:xfrm>
                    <a:prstGeom prst="rect">
                      <a:avLst/>
                    </a:prstGeom>
                    <a:noFill/>
                    <a:ln w="9525">
                      <a:noFill/>
                      <a:miter lim="800000"/>
                      <a:headEnd/>
                      <a:tailEnd/>
                    </a:ln>
                  </pic:spPr>
                </pic:pic>
              </a:graphicData>
            </a:graphic>
          </wp:inline>
        </w:drawing>
      </w:r>
    </w:p>
    <w:p w:rsidR="00181896" w:rsidRDefault="00181896" w:rsidP="001D21C1">
      <w:pPr>
        <w:pStyle w:val="Text"/>
        <w:spacing w:before="300"/>
        <w:ind w:right="0"/>
      </w:pPr>
      <w:r>
        <w:t>Table 3 summarises the completion pay-offs for the t</w:t>
      </w:r>
      <w:r w:rsidR="00430D0A">
        <w:t>h</w:t>
      </w:r>
      <w:r>
        <w:t>ree outcomes.</w:t>
      </w:r>
    </w:p>
    <w:p w:rsidR="002B2D8E" w:rsidRDefault="00964594" w:rsidP="00430D0A">
      <w:pPr>
        <w:pStyle w:val="tabletitle"/>
      </w:pPr>
      <w:bookmarkStart w:id="53" w:name="_Toc322958609"/>
      <w:r>
        <w:t>Table 3</w:t>
      </w:r>
      <w:r>
        <w:tab/>
        <w:t>S</w:t>
      </w:r>
      <w:r w:rsidR="002B2D8E">
        <w:t>ummary characteristics of pay-off, by outcome variable</w:t>
      </w:r>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1927"/>
        <w:gridCol w:w="4076"/>
      </w:tblGrid>
      <w:tr w:rsidR="002B2D8E" w:rsidTr="002B2D8E">
        <w:tc>
          <w:tcPr>
            <w:tcW w:w="3001" w:type="dxa"/>
            <w:tcBorders>
              <w:top w:val="single" w:sz="4" w:space="0" w:color="000000" w:themeColor="text1"/>
              <w:bottom w:val="single" w:sz="4" w:space="0" w:color="000000" w:themeColor="text1"/>
            </w:tcBorders>
          </w:tcPr>
          <w:p w:rsidR="002B2D8E" w:rsidRDefault="002B2D8E" w:rsidP="001D21C1">
            <w:pPr>
              <w:pStyle w:val="Tablehead1"/>
            </w:pPr>
            <w:r>
              <w:t>Outcome</w:t>
            </w:r>
          </w:p>
        </w:tc>
        <w:tc>
          <w:tcPr>
            <w:tcW w:w="1927" w:type="dxa"/>
            <w:tcBorders>
              <w:top w:val="single" w:sz="4" w:space="0" w:color="000000" w:themeColor="text1"/>
              <w:bottom w:val="single" w:sz="4" w:space="0" w:color="000000" w:themeColor="text1"/>
            </w:tcBorders>
          </w:tcPr>
          <w:p w:rsidR="002B2D8E" w:rsidRDefault="002B2D8E" w:rsidP="001D21C1">
            <w:pPr>
              <w:pStyle w:val="Tablehead1"/>
              <w:jc w:val="right"/>
            </w:pPr>
            <w:r>
              <w:t>Average pay-off to completion (%)</w:t>
            </w:r>
          </w:p>
        </w:tc>
        <w:tc>
          <w:tcPr>
            <w:tcW w:w="4076" w:type="dxa"/>
            <w:tcBorders>
              <w:top w:val="single" w:sz="4" w:space="0" w:color="000000" w:themeColor="text1"/>
              <w:bottom w:val="single" w:sz="4" w:space="0" w:color="000000" w:themeColor="text1"/>
            </w:tcBorders>
          </w:tcPr>
          <w:p w:rsidR="002B2D8E" w:rsidRDefault="002B2D8E" w:rsidP="001D21C1">
            <w:pPr>
              <w:pStyle w:val="Tablehead1"/>
              <w:jc w:val="right"/>
            </w:pPr>
            <w:r>
              <w:t xml:space="preserve">Proportion with positive pay-off </w:t>
            </w:r>
            <w:r w:rsidR="001D21C1">
              <w:br/>
            </w:r>
            <w:r>
              <w:t>to completion (%)</w:t>
            </w:r>
          </w:p>
        </w:tc>
      </w:tr>
      <w:tr w:rsidR="002B2D8E" w:rsidTr="002B2D8E">
        <w:tc>
          <w:tcPr>
            <w:tcW w:w="3001" w:type="dxa"/>
          </w:tcPr>
          <w:p w:rsidR="002B2D8E" w:rsidRDefault="002B2D8E" w:rsidP="001D21C1">
            <w:pPr>
              <w:pStyle w:val="Tabletext"/>
            </w:pPr>
            <w:r>
              <w:t>Employed after training</w:t>
            </w:r>
          </w:p>
        </w:tc>
        <w:tc>
          <w:tcPr>
            <w:tcW w:w="1927" w:type="dxa"/>
          </w:tcPr>
          <w:p w:rsidR="002B2D8E" w:rsidRDefault="002B2D8E" w:rsidP="001D21C1">
            <w:pPr>
              <w:pStyle w:val="Tabletext"/>
              <w:jc w:val="right"/>
            </w:pPr>
            <w:r>
              <w:t>21.7</w:t>
            </w:r>
          </w:p>
        </w:tc>
        <w:tc>
          <w:tcPr>
            <w:tcW w:w="4076" w:type="dxa"/>
          </w:tcPr>
          <w:p w:rsidR="002B2D8E" w:rsidRDefault="002B2D8E" w:rsidP="001D21C1">
            <w:pPr>
              <w:pStyle w:val="Tabletext"/>
              <w:jc w:val="right"/>
            </w:pPr>
            <w:r>
              <w:t>80.8</w:t>
            </w:r>
          </w:p>
        </w:tc>
      </w:tr>
      <w:tr w:rsidR="002B2D8E" w:rsidTr="002667F0">
        <w:tc>
          <w:tcPr>
            <w:tcW w:w="3001" w:type="dxa"/>
          </w:tcPr>
          <w:p w:rsidR="002B2D8E" w:rsidRDefault="002B2D8E" w:rsidP="001D21C1">
            <w:pPr>
              <w:pStyle w:val="Tabletext"/>
            </w:pPr>
            <w:r>
              <w:t>Further study</w:t>
            </w:r>
          </w:p>
        </w:tc>
        <w:tc>
          <w:tcPr>
            <w:tcW w:w="1927" w:type="dxa"/>
          </w:tcPr>
          <w:p w:rsidR="002B2D8E" w:rsidRDefault="00964594" w:rsidP="001D21C1">
            <w:pPr>
              <w:pStyle w:val="Tabletext"/>
              <w:jc w:val="right"/>
            </w:pPr>
            <w:r>
              <w:t>122.7</w:t>
            </w:r>
          </w:p>
        </w:tc>
        <w:tc>
          <w:tcPr>
            <w:tcW w:w="4076" w:type="dxa"/>
          </w:tcPr>
          <w:p w:rsidR="002B2D8E" w:rsidRDefault="002B2D8E" w:rsidP="001D21C1">
            <w:pPr>
              <w:pStyle w:val="Tabletext"/>
              <w:jc w:val="right"/>
            </w:pPr>
            <w:r>
              <w:t>99.9</w:t>
            </w:r>
          </w:p>
        </w:tc>
      </w:tr>
      <w:tr w:rsidR="002B2D8E" w:rsidTr="002667F0">
        <w:tc>
          <w:tcPr>
            <w:tcW w:w="3001" w:type="dxa"/>
            <w:tcBorders>
              <w:bottom w:val="single" w:sz="4" w:space="0" w:color="auto"/>
            </w:tcBorders>
          </w:tcPr>
          <w:p w:rsidR="002B2D8E" w:rsidRDefault="002B2D8E" w:rsidP="001D21C1">
            <w:pPr>
              <w:pStyle w:val="Tabletext"/>
            </w:pPr>
            <w:r>
              <w:t>Salary (full-time employed)</w:t>
            </w:r>
          </w:p>
        </w:tc>
        <w:tc>
          <w:tcPr>
            <w:tcW w:w="1927" w:type="dxa"/>
            <w:tcBorders>
              <w:bottom w:val="single" w:sz="4" w:space="0" w:color="auto"/>
            </w:tcBorders>
          </w:tcPr>
          <w:p w:rsidR="002B2D8E" w:rsidRDefault="00964594" w:rsidP="001D21C1">
            <w:pPr>
              <w:pStyle w:val="Tabletext"/>
              <w:jc w:val="right"/>
            </w:pPr>
            <w:r>
              <w:t>0.3</w:t>
            </w:r>
          </w:p>
        </w:tc>
        <w:tc>
          <w:tcPr>
            <w:tcW w:w="4076" w:type="dxa"/>
            <w:tcBorders>
              <w:bottom w:val="single" w:sz="4" w:space="0" w:color="auto"/>
            </w:tcBorders>
          </w:tcPr>
          <w:p w:rsidR="002B2D8E" w:rsidRDefault="002B2D8E" w:rsidP="001D21C1">
            <w:pPr>
              <w:pStyle w:val="Tabletext"/>
              <w:jc w:val="right"/>
            </w:pPr>
            <w:r>
              <w:t>60.7</w:t>
            </w:r>
          </w:p>
        </w:tc>
      </w:tr>
    </w:tbl>
    <w:p w:rsidR="00181896" w:rsidRDefault="002B2D8E" w:rsidP="001D21C1">
      <w:pPr>
        <w:pStyle w:val="Text"/>
        <w:spacing w:before="300"/>
        <w:ind w:right="0"/>
      </w:pPr>
      <w:r>
        <w:t>While the pay-off to completion is generally positive</w:t>
      </w:r>
      <w:r w:rsidR="001D1E05">
        <w:t>,</w:t>
      </w:r>
      <w:r>
        <w:t xml:space="preserve"> there is considerable variability across groups.</w:t>
      </w:r>
      <w:r w:rsidR="00181896">
        <w:t xml:space="preserve"> </w:t>
      </w:r>
    </w:p>
    <w:p w:rsidR="002B2D8E" w:rsidRDefault="002B2D8E" w:rsidP="002B2D8E">
      <w:pPr>
        <w:pStyle w:val="Text"/>
      </w:pPr>
      <w:r>
        <w:t>We identified those groups with the greatest pay-off using tree diagrams. At each level of the tree the population is split into two groups such that the split maximises the difference in the prediction of the dependent variable between the</w:t>
      </w:r>
      <w:r w:rsidR="007C1562">
        <w:t xml:space="preserve"> groups (the technical name is c</w:t>
      </w:r>
      <w:r>
        <w:t>hi-squared automatic interaction detection). The results are shown below.</w:t>
      </w:r>
    </w:p>
    <w:p w:rsidR="00DD5B74" w:rsidRDefault="00DD5B74">
      <w:pPr>
        <w:rPr>
          <w:rFonts w:ascii="Tahoma" w:eastAsia="Times New Roman" w:hAnsi="Tahoma"/>
          <w:b/>
          <w:sz w:val="17"/>
          <w:szCs w:val="20"/>
          <w:lang w:eastAsia="en-US"/>
        </w:rPr>
      </w:pPr>
      <w:bookmarkStart w:id="54" w:name="_Toc322958642"/>
      <w:r>
        <w:br w:type="page"/>
      </w:r>
    </w:p>
    <w:p w:rsidR="002B2D8E" w:rsidRDefault="002667F0" w:rsidP="002667F0">
      <w:pPr>
        <w:pStyle w:val="Figuretitle"/>
      </w:pPr>
      <w:r>
        <w:lastRenderedPageBreak/>
        <w:t xml:space="preserve">Figure </w:t>
      </w:r>
      <w:r w:rsidR="007C1562">
        <w:t>5</w:t>
      </w:r>
      <w:r w:rsidR="007C1562">
        <w:tab/>
      </w:r>
      <w:r w:rsidR="002B2D8E">
        <w:t>Groups with above average pay-off to completion, employed after training (overall average pay-off =</w:t>
      </w:r>
      <w:r w:rsidR="00964594">
        <w:t xml:space="preserve"> </w:t>
      </w:r>
      <w:r w:rsidR="002B2D8E">
        <w:t>21.7%)</w:t>
      </w:r>
      <w:bookmarkEnd w:id="54"/>
    </w:p>
    <w:p w:rsidR="002B2D8E" w:rsidRDefault="002B2D8E" w:rsidP="002B2D8E">
      <w:pPr>
        <w:pStyle w:val="Text"/>
        <w:spacing w:line="240" w:lineRule="atLeast"/>
      </w:pPr>
      <w:r w:rsidRPr="009414DB">
        <w:rPr>
          <w:noProof/>
          <w:lang w:eastAsia="en-AU"/>
        </w:rPr>
        <w:drawing>
          <wp:inline distT="0" distB="0" distL="0" distR="0">
            <wp:extent cx="5580380" cy="3600034"/>
            <wp:effectExtent l="19050" t="0" r="127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5580380" cy="3600034"/>
                    </a:xfrm>
                    <a:prstGeom prst="rect">
                      <a:avLst/>
                    </a:prstGeom>
                    <a:noFill/>
                    <a:ln w="9525">
                      <a:noFill/>
                      <a:miter lim="800000"/>
                      <a:headEnd/>
                      <a:tailEnd/>
                    </a:ln>
                  </pic:spPr>
                </pic:pic>
              </a:graphicData>
            </a:graphic>
          </wp:inline>
        </w:drawing>
      </w:r>
    </w:p>
    <w:p w:rsidR="002B2D8E" w:rsidRDefault="002B2D8E" w:rsidP="002B2D8E">
      <w:pPr>
        <w:pStyle w:val="Text"/>
      </w:pPr>
      <w:r>
        <w:t xml:space="preserve">For this outcome variable, labour force status before training </w:t>
      </w:r>
      <w:r w:rsidRPr="005F7589">
        <w:t>is key</w:t>
      </w:r>
      <w:r>
        <w:t xml:space="preserve"> to the pay-off to completion. On average</w:t>
      </w:r>
      <w:r w:rsidR="00964594">
        <w:t>,</w:t>
      </w:r>
      <w:r>
        <w:t xml:space="preserve"> those who were not in the labour force prior to training had the highest pay-off, followed by those who had been unemployed. Not surprisingly, those who were employed before training had low pay-off to completion (presumably because they already had a job). </w:t>
      </w:r>
    </w:p>
    <w:p w:rsidR="002B2D8E" w:rsidRDefault="002667F0" w:rsidP="002667F0">
      <w:pPr>
        <w:pStyle w:val="Figuretitle"/>
      </w:pPr>
      <w:bookmarkStart w:id="55" w:name="_Toc322958643"/>
      <w:r>
        <w:t xml:space="preserve">Figure </w:t>
      </w:r>
      <w:r w:rsidR="007C1562">
        <w:t>6</w:t>
      </w:r>
      <w:r w:rsidR="007C1562">
        <w:tab/>
      </w:r>
      <w:r w:rsidR="002B2D8E">
        <w:t xml:space="preserve">Groups with above average pay-off to </w:t>
      </w:r>
      <w:r w:rsidR="002B2D8E" w:rsidRPr="005F7589">
        <w:t>completion, fur</w:t>
      </w:r>
      <w:r w:rsidRPr="005F7589">
        <w:t>ther</w:t>
      </w:r>
      <w:r>
        <w:t xml:space="preserve"> study after training (overall </w:t>
      </w:r>
      <w:r w:rsidR="002B2D8E">
        <w:t>average pay-off =</w:t>
      </w:r>
      <w:r w:rsidR="007C1562">
        <w:t xml:space="preserve"> </w:t>
      </w:r>
      <w:r w:rsidR="002B2D8E">
        <w:t>122.7%)</w:t>
      </w:r>
      <w:bookmarkEnd w:id="55"/>
    </w:p>
    <w:p w:rsidR="002B2D8E" w:rsidRDefault="002B2D8E" w:rsidP="002B2D8E">
      <w:pPr>
        <w:pStyle w:val="Text"/>
        <w:spacing w:line="240" w:lineRule="atLeast"/>
      </w:pPr>
      <w:r w:rsidRPr="000B0408">
        <w:rPr>
          <w:noProof/>
          <w:lang w:eastAsia="en-AU"/>
        </w:rPr>
        <w:drawing>
          <wp:inline distT="0" distB="0" distL="0" distR="0">
            <wp:extent cx="5580380" cy="3600034"/>
            <wp:effectExtent l="19050" t="0" r="127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580380" cy="3600034"/>
                    </a:xfrm>
                    <a:prstGeom prst="rect">
                      <a:avLst/>
                    </a:prstGeom>
                    <a:noFill/>
                    <a:ln w="9525">
                      <a:noFill/>
                      <a:miter lim="800000"/>
                      <a:headEnd/>
                      <a:tailEnd/>
                    </a:ln>
                  </pic:spPr>
                </pic:pic>
              </a:graphicData>
            </a:graphic>
          </wp:inline>
        </w:drawing>
      </w:r>
    </w:p>
    <w:p w:rsidR="002B2D8E" w:rsidRDefault="00181896" w:rsidP="002B2D8E">
      <w:pPr>
        <w:pStyle w:val="Text"/>
      </w:pPr>
      <w:r>
        <w:lastRenderedPageBreak/>
        <w:t>W</w:t>
      </w:r>
      <w:r w:rsidR="002B2D8E">
        <w:t>ith the further study outcome</w:t>
      </w:r>
      <w:r w:rsidR="00964594">
        <w:t>,</w:t>
      </w:r>
      <w:r w:rsidR="002B2D8E">
        <w:t xml:space="preserve"> </w:t>
      </w:r>
      <w:r>
        <w:t>again those not in the labour force had the highest pay-off, followed by those who were unemployed before training.</w:t>
      </w:r>
    </w:p>
    <w:p w:rsidR="002B2D8E" w:rsidRDefault="002667F0" w:rsidP="002667F0">
      <w:pPr>
        <w:pStyle w:val="Figuretitle"/>
      </w:pPr>
      <w:bookmarkStart w:id="56" w:name="_Toc322958644"/>
      <w:r>
        <w:t>Figure 7</w:t>
      </w:r>
      <w:r w:rsidR="007C1562">
        <w:tab/>
      </w:r>
      <w:r w:rsidR="002B2D8E">
        <w:t xml:space="preserve">Groups with above average pay-off to </w:t>
      </w:r>
      <w:r w:rsidR="002B2D8E" w:rsidRPr="005F7589">
        <w:t>completion, salary</w:t>
      </w:r>
      <w:r w:rsidR="002B2D8E">
        <w:t xml:space="preserve"> of full-time workers after training (over</w:t>
      </w:r>
      <w:r w:rsidR="00181896">
        <w:t>all</w:t>
      </w:r>
      <w:r w:rsidR="002B2D8E">
        <w:t xml:space="preserve"> average pay-off =</w:t>
      </w:r>
      <w:r w:rsidR="00964594">
        <w:t xml:space="preserve"> </w:t>
      </w:r>
      <w:r w:rsidR="002B2D8E">
        <w:t>0.3%)</w:t>
      </w:r>
      <w:bookmarkEnd w:id="56"/>
    </w:p>
    <w:p w:rsidR="002B2D8E" w:rsidRDefault="002B2D8E" w:rsidP="001D21C1">
      <w:pPr>
        <w:pStyle w:val="Text"/>
        <w:spacing w:line="240" w:lineRule="atLeast"/>
      </w:pPr>
      <w:r w:rsidRPr="00F66EAC">
        <w:rPr>
          <w:noProof/>
          <w:lang w:eastAsia="en-AU"/>
        </w:rPr>
        <w:drawing>
          <wp:inline distT="0" distB="0" distL="0" distR="0">
            <wp:extent cx="5580380" cy="3314700"/>
            <wp:effectExtent l="0" t="0" r="127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580380" cy="3314700"/>
                    </a:xfrm>
                    <a:prstGeom prst="rect">
                      <a:avLst/>
                    </a:prstGeom>
                    <a:noFill/>
                    <a:ln w="9525">
                      <a:noFill/>
                      <a:miter lim="800000"/>
                      <a:headEnd/>
                      <a:tailEnd/>
                    </a:ln>
                  </pic:spPr>
                </pic:pic>
              </a:graphicData>
            </a:graphic>
          </wp:inline>
        </w:drawing>
      </w:r>
      <w:r w:rsidR="00181896">
        <w:t xml:space="preserve">The story is rather different in terms </w:t>
      </w:r>
      <w:r>
        <w:t xml:space="preserve">of impact on salaries. The quick summary of this tree is that there is a pay-off in salary terms if the student is undertaking a diploma or above, or a certificate III/IV if the person is not already employed. </w:t>
      </w:r>
      <w:r w:rsidR="005B0A87">
        <w:t>O</w:t>
      </w:r>
      <w:r w:rsidR="00181896">
        <w:t>therwise the pay-off to completion is marginal or negative.</w:t>
      </w:r>
    </w:p>
    <w:p w:rsidR="002B2D8E" w:rsidRDefault="002B2D8E" w:rsidP="002B2D8E">
      <w:pPr>
        <w:pStyle w:val="Text"/>
      </w:pPr>
      <w:r>
        <w:t>Pulling this all together</w:t>
      </w:r>
      <w:r w:rsidR="007C1562">
        <w:t>,</w:t>
      </w:r>
      <w:r>
        <w:t xml:space="preserve"> our broad conclusions are:</w:t>
      </w:r>
    </w:p>
    <w:p w:rsidR="002B2D8E" w:rsidRDefault="00964594" w:rsidP="002B2D8E">
      <w:pPr>
        <w:pStyle w:val="Dotpoint1"/>
      </w:pPr>
      <w:r>
        <w:t>T</w:t>
      </w:r>
      <w:r w:rsidR="002B2D8E">
        <w:t>here is a pay-off to completion in terms of employment or furthe</w:t>
      </w:r>
      <w:r w:rsidR="007C1562">
        <w:t xml:space="preserve">r study for the large majority </w:t>
      </w:r>
      <w:r w:rsidR="009B1EF9">
        <w:t>(over 80</w:t>
      </w:r>
      <w:r w:rsidR="002B2D8E">
        <w:t xml:space="preserve">%) of students. </w:t>
      </w:r>
    </w:p>
    <w:p w:rsidR="002B2D8E" w:rsidRDefault="00964594" w:rsidP="002B2D8E">
      <w:pPr>
        <w:pStyle w:val="Dotpoint1"/>
      </w:pPr>
      <w:r>
        <w:t>T</w:t>
      </w:r>
      <w:r w:rsidR="002B2D8E">
        <w:t>he pay-off to completion in terms of employment outcomes is highest, in general, for those not employed before training.</w:t>
      </w:r>
    </w:p>
    <w:p w:rsidR="002B2D8E" w:rsidRDefault="00964594" w:rsidP="002B2D8E">
      <w:pPr>
        <w:pStyle w:val="Dotpoint1"/>
      </w:pPr>
      <w:r>
        <w:t>T</w:t>
      </w:r>
      <w:r w:rsidR="002B2D8E">
        <w:t>he pay-off to completion in terms of further study is highest for various combinations of labour force status before training and undertaking a certificate I/II.</w:t>
      </w:r>
    </w:p>
    <w:p w:rsidR="002B2D8E" w:rsidRDefault="00964594" w:rsidP="002B2D8E">
      <w:pPr>
        <w:pStyle w:val="Dotpoint1"/>
      </w:pPr>
      <w:r>
        <w:t>T</w:t>
      </w:r>
      <w:r w:rsidR="002B2D8E">
        <w:t>here are a substantial number of students for whom completion of training does not lead to higher wages if in a full-time job (around 40%).</w:t>
      </w:r>
    </w:p>
    <w:p w:rsidR="002B2D8E" w:rsidRDefault="00964594" w:rsidP="002B2D8E">
      <w:pPr>
        <w:pStyle w:val="Dotpoint1"/>
      </w:pPr>
      <w:r>
        <w:t>T</w:t>
      </w:r>
      <w:r w:rsidR="002B2D8E">
        <w:t>he two groups for whom there is a significant pay-off to completion in terms of wages are those undertaking diplomas and above, and those who are not employed before training and are undertaking a certificate III/IV.</w:t>
      </w:r>
    </w:p>
    <w:p w:rsidR="002B2D8E" w:rsidRDefault="002B2D8E" w:rsidP="002B2D8E">
      <w:pPr>
        <w:pStyle w:val="Text"/>
      </w:pPr>
      <w:r>
        <w:t xml:space="preserve">Thus the overall conclusion is that completion matters, if not for every individual. It is particularly important for those not employed before training (for employment after training and wages), for certificates I/II if the objective is further study, and for diplomas and above </w:t>
      </w:r>
      <w:r w:rsidRPr="00A04648">
        <w:t>for wages.</w:t>
      </w:r>
    </w:p>
    <w:p w:rsidR="002B2D8E" w:rsidRDefault="002B2D8E" w:rsidP="002B2D8E">
      <w:pPr>
        <w:pStyle w:val="Text"/>
      </w:pPr>
      <w:r>
        <w:t>The main implication for policy is that the value of completing a qualification is by no means uniform</w:t>
      </w:r>
      <w:r w:rsidR="00181896">
        <w:t xml:space="preserve"> and therefore we need to be careful in allocating public subsidies.</w:t>
      </w:r>
      <w:r>
        <w:t xml:space="preserve"> Special attention should be given to thos</w:t>
      </w:r>
      <w:r w:rsidR="00964594">
        <w:t>e not employed before training —</w:t>
      </w:r>
      <w:r>
        <w:t xml:space="preserve"> and this would put the focus on individuals not employers. It </w:t>
      </w:r>
      <w:r>
        <w:lastRenderedPageBreak/>
        <w:t xml:space="preserve">questions the value of training for existing workers unless it is at a diploma level. Of course, employers can make their </w:t>
      </w:r>
      <w:r w:rsidR="00181896">
        <w:t>ow</w:t>
      </w:r>
      <w:r>
        <w:t>n decision about the value of training for their employees, but accessing public subsidies is a different issue.</w:t>
      </w:r>
    </w:p>
    <w:p w:rsidR="002B2D8E" w:rsidRDefault="002B2D8E" w:rsidP="002B2D8E">
      <w:pPr>
        <w:pStyle w:val="Heading2"/>
      </w:pPr>
      <w:bookmarkStart w:id="57" w:name="_Toc321239969"/>
      <w:bookmarkStart w:id="58" w:name="_Toc322958594"/>
      <w:r>
        <w:t>The level of matching between what people are training in and the jobs they get</w:t>
      </w:r>
      <w:bookmarkEnd w:id="57"/>
      <w:bookmarkEnd w:id="58"/>
    </w:p>
    <w:p w:rsidR="002B2D8E" w:rsidRDefault="002B2D8E" w:rsidP="002B2D8E">
      <w:pPr>
        <w:pStyle w:val="Text"/>
      </w:pPr>
      <w:bookmarkStart w:id="59" w:name="_Toc74389788"/>
      <w:r>
        <w:t>Karme</w:t>
      </w:r>
      <w:r w:rsidR="006F2FD4">
        <w:t>l, Mlotkowski &amp; Awodeyi</w:t>
      </w:r>
      <w:r>
        <w:t xml:space="preserve"> (2008) matched the courses undertaken by VET graduates with the jobs they obtained for a cohort of graduates from the 2007 Student Outcome</w:t>
      </w:r>
      <w:r w:rsidR="00964594">
        <w:t>s</w:t>
      </w:r>
      <w:r>
        <w:t xml:space="preserve"> Survey. The intention was to investigate ‘how vocational’ VET really is, in the sense of </w:t>
      </w:r>
      <w:r w:rsidR="00120D9C">
        <w:t xml:space="preserve">VET being </w:t>
      </w:r>
      <w:r>
        <w:t xml:space="preserve">training for specific </w:t>
      </w:r>
      <w:r w:rsidR="00120D9C">
        <w:t>job</w:t>
      </w:r>
      <w:r>
        <w:t xml:space="preserve">s. Table </w:t>
      </w:r>
      <w:r w:rsidR="00120D9C">
        <w:t>4</w:t>
      </w:r>
      <w:r>
        <w:t xml:space="preserve"> shows the results. We see that the level of matching is quite high for the traditional trades and also for carers and aides. However, for other occupations the match is quite </w:t>
      </w:r>
      <w:r w:rsidR="00120D9C">
        <w:t>a bit l</w:t>
      </w:r>
      <w:r>
        <w:t>ower.</w:t>
      </w:r>
    </w:p>
    <w:p w:rsidR="002B2D8E" w:rsidRDefault="00120D9C" w:rsidP="006E68F9">
      <w:pPr>
        <w:pStyle w:val="tabletitle"/>
        <w:ind w:right="-143"/>
      </w:pPr>
      <w:bookmarkStart w:id="60" w:name="_Toc322958610"/>
      <w:r>
        <w:t>Table 4</w:t>
      </w:r>
      <w:r w:rsidR="002B2D8E">
        <w:tab/>
      </w:r>
      <w:r w:rsidR="002B2D8E" w:rsidRPr="001369BC">
        <w:t>Matches</w:t>
      </w:r>
      <w:r w:rsidR="002B2D8E">
        <w:t xml:space="preserve"> between intended and destination occupations for graduates who are employed, by selected </w:t>
      </w:r>
      <w:r w:rsidR="00964594">
        <w:t xml:space="preserve">Australian and New Zealand </w:t>
      </w:r>
      <w:r w:rsidR="006E68F9">
        <w:t>Standard Classification of Occupations (</w:t>
      </w:r>
      <w:r w:rsidR="002B2D8E">
        <w:t>ANZSCO</w:t>
      </w:r>
      <w:r w:rsidR="006E68F9">
        <w:t>)</w:t>
      </w:r>
      <w:r w:rsidR="002B2D8E">
        <w:t>, 2007</w:t>
      </w:r>
      <w:bookmarkEnd w:id="59"/>
      <w:bookmarkEnd w:id="60"/>
    </w:p>
    <w:tbl>
      <w:tblPr>
        <w:tblW w:w="0" w:type="auto"/>
        <w:tblInd w:w="108" w:type="dxa"/>
        <w:tblBorders>
          <w:top w:val="single" w:sz="2" w:space="0" w:color="000000"/>
          <w:bottom w:val="single" w:sz="2" w:space="0" w:color="000000"/>
        </w:tblBorders>
        <w:tblLayout w:type="fixed"/>
        <w:tblLook w:val="01E0"/>
      </w:tblPr>
      <w:tblGrid>
        <w:gridCol w:w="5231"/>
        <w:gridCol w:w="1637"/>
        <w:gridCol w:w="1637"/>
      </w:tblGrid>
      <w:tr w:rsidR="002B2D8E" w:rsidRPr="001369BC" w:rsidTr="001D21C1">
        <w:trPr>
          <w:tblHeader/>
        </w:trPr>
        <w:tc>
          <w:tcPr>
            <w:tcW w:w="5231" w:type="dxa"/>
            <w:tcBorders>
              <w:bottom w:val="nil"/>
            </w:tcBorders>
            <w:shd w:val="clear" w:color="auto" w:fill="auto"/>
          </w:tcPr>
          <w:p w:rsidR="002B2D8E" w:rsidRPr="001369BC" w:rsidRDefault="002B2D8E" w:rsidP="002B2D8E">
            <w:pPr>
              <w:pStyle w:val="Tablehead1"/>
            </w:pPr>
            <w:r w:rsidRPr="001369BC">
              <w:t>Intended occupation of training activity</w:t>
            </w:r>
          </w:p>
        </w:tc>
        <w:tc>
          <w:tcPr>
            <w:tcW w:w="1637" w:type="dxa"/>
            <w:tcBorders>
              <w:bottom w:val="nil"/>
            </w:tcBorders>
          </w:tcPr>
          <w:p w:rsidR="002B2D8E" w:rsidRPr="001369BC" w:rsidRDefault="002B2D8E" w:rsidP="001D21C1">
            <w:pPr>
              <w:pStyle w:val="Tablehead1"/>
              <w:jc w:val="right"/>
            </w:pPr>
            <w:r w:rsidRPr="001369BC">
              <w:t>Match at major group</w:t>
            </w:r>
          </w:p>
        </w:tc>
        <w:tc>
          <w:tcPr>
            <w:tcW w:w="1637" w:type="dxa"/>
            <w:tcBorders>
              <w:bottom w:val="nil"/>
            </w:tcBorders>
          </w:tcPr>
          <w:p w:rsidR="002B2D8E" w:rsidRPr="001369BC" w:rsidRDefault="002B2D8E" w:rsidP="001D21C1">
            <w:pPr>
              <w:pStyle w:val="Tablehead1"/>
              <w:jc w:val="right"/>
            </w:pPr>
            <w:r w:rsidRPr="001369BC">
              <w:t xml:space="preserve">Match at </w:t>
            </w:r>
            <w:r w:rsidRPr="001369BC">
              <w:br/>
              <w:t>sub-major group</w:t>
            </w:r>
          </w:p>
        </w:tc>
      </w:tr>
      <w:tr w:rsidR="002B2D8E" w:rsidTr="001D21C1">
        <w:trPr>
          <w:tblHeader/>
        </w:trPr>
        <w:tc>
          <w:tcPr>
            <w:tcW w:w="5231" w:type="dxa"/>
            <w:tcBorders>
              <w:top w:val="nil"/>
              <w:bottom w:val="single" w:sz="2" w:space="0" w:color="000000"/>
            </w:tcBorders>
            <w:shd w:val="clear" w:color="auto" w:fill="auto"/>
            <w:vAlign w:val="bottom"/>
          </w:tcPr>
          <w:p w:rsidR="002B2D8E" w:rsidRDefault="002B2D8E" w:rsidP="002B2D8E">
            <w:pPr>
              <w:pStyle w:val="Tablehead2"/>
            </w:pPr>
          </w:p>
        </w:tc>
        <w:tc>
          <w:tcPr>
            <w:tcW w:w="1637" w:type="dxa"/>
            <w:tcBorders>
              <w:top w:val="nil"/>
              <w:bottom w:val="single" w:sz="2" w:space="0" w:color="000000"/>
            </w:tcBorders>
            <w:vAlign w:val="bottom"/>
          </w:tcPr>
          <w:p w:rsidR="002B2D8E" w:rsidRPr="009C0101" w:rsidRDefault="002B2D8E" w:rsidP="001D21C1">
            <w:pPr>
              <w:pStyle w:val="Tablehead2"/>
              <w:jc w:val="right"/>
            </w:pPr>
            <w:r>
              <w:t>%</w:t>
            </w:r>
          </w:p>
        </w:tc>
        <w:tc>
          <w:tcPr>
            <w:tcW w:w="1637" w:type="dxa"/>
            <w:tcBorders>
              <w:top w:val="nil"/>
              <w:bottom w:val="single" w:sz="2" w:space="0" w:color="000000"/>
            </w:tcBorders>
            <w:vAlign w:val="bottom"/>
          </w:tcPr>
          <w:p w:rsidR="002B2D8E" w:rsidRPr="009C0101" w:rsidRDefault="002B2D8E" w:rsidP="001D21C1">
            <w:pPr>
              <w:pStyle w:val="Tablehead2"/>
              <w:jc w:val="right"/>
            </w:pPr>
            <w:r>
              <w:t>%</w:t>
            </w:r>
          </w:p>
        </w:tc>
      </w:tr>
      <w:tr w:rsidR="002B2D8E" w:rsidTr="001D21C1">
        <w:tc>
          <w:tcPr>
            <w:tcW w:w="5231" w:type="dxa"/>
            <w:tcBorders>
              <w:top w:val="single" w:sz="2" w:space="0" w:color="000000"/>
            </w:tcBorders>
            <w:vAlign w:val="bottom"/>
          </w:tcPr>
          <w:p w:rsidR="002B2D8E" w:rsidRPr="0017681F" w:rsidRDefault="002B2D8E" w:rsidP="002B2D8E">
            <w:pPr>
              <w:pStyle w:val="Tabletext"/>
              <w:tabs>
                <w:tab w:val="left" w:pos="198"/>
              </w:tabs>
              <w:rPr>
                <w:b/>
              </w:rPr>
            </w:pPr>
            <w:r w:rsidRPr="0017681F">
              <w:rPr>
                <w:b/>
              </w:rPr>
              <w:t>1</w:t>
            </w:r>
            <w:r w:rsidRPr="0017681F">
              <w:rPr>
                <w:b/>
              </w:rPr>
              <w:tab/>
              <w:t xml:space="preserve">Managers </w:t>
            </w:r>
          </w:p>
        </w:tc>
        <w:tc>
          <w:tcPr>
            <w:tcW w:w="1637" w:type="dxa"/>
            <w:tcBorders>
              <w:top w:val="single" w:sz="2" w:space="0" w:color="000000"/>
            </w:tcBorders>
            <w:vAlign w:val="bottom"/>
          </w:tcPr>
          <w:p w:rsidR="002B2D8E" w:rsidRPr="009C0101" w:rsidRDefault="002B2D8E" w:rsidP="001D21C1">
            <w:pPr>
              <w:pStyle w:val="Tabletext"/>
              <w:tabs>
                <w:tab w:val="decimal" w:pos="737"/>
              </w:tabs>
              <w:jc w:val="right"/>
              <w:rPr>
                <w:b/>
              </w:rPr>
            </w:pPr>
            <w:r w:rsidRPr="009C0101">
              <w:rPr>
                <w:b/>
              </w:rPr>
              <w:t>18.8</w:t>
            </w:r>
          </w:p>
        </w:tc>
        <w:tc>
          <w:tcPr>
            <w:tcW w:w="1637" w:type="dxa"/>
            <w:tcBorders>
              <w:top w:val="single" w:sz="2" w:space="0" w:color="000000"/>
            </w:tcBorders>
          </w:tcPr>
          <w:p w:rsidR="002B2D8E" w:rsidRPr="009C0101" w:rsidRDefault="002B2D8E" w:rsidP="001D21C1">
            <w:pPr>
              <w:pStyle w:val="Tabletext"/>
              <w:tabs>
                <w:tab w:val="decimal" w:pos="737"/>
              </w:tabs>
              <w:jc w:val="right"/>
              <w:rPr>
                <w:b/>
              </w:rPr>
            </w:pPr>
            <w:r>
              <w:rPr>
                <w:b/>
              </w:rPr>
              <w:t>14.1</w:t>
            </w:r>
          </w:p>
        </w:tc>
      </w:tr>
      <w:tr w:rsidR="002B2D8E" w:rsidTr="001D21C1">
        <w:tc>
          <w:tcPr>
            <w:tcW w:w="5231" w:type="dxa"/>
            <w:vAlign w:val="bottom"/>
          </w:tcPr>
          <w:p w:rsidR="002B2D8E" w:rsidRDefault="002B2D8E" w:rsidP="002B2D8E">
            <w:pPr>
              <w:pStyle w:val="Tabletext"/>
              <w:spacing w:before="60"/>
              <w:ind w:left="198"/>
            </w:pPr>
            <w:r>
              <w:t xml:space="preserve">12 Farmers and farm managers </w:t>
            </w:r>
          </w:p>
        </w:tc>
        <w:tc>
          <w:tcPr>
            <w:tcW w:w="1637" w:type="dxa"/>
            <w:vAlign w:val="bottom"/>
          </w:tcPr>
          <w:p w:rsidR="002B2D8E" w:rsidRDefault="002B2D8E" w:rsidP="001D21C1">
            <w:pPr>
              <w:pStyle w:val="Tabletext"/>
              <w:tabs>
                <w:tab w:val="decimal" w:pos="737"/>
              </w:tabs>
              <w:spacing w:before="60"/>
              <w:jc w:val="right"/>
            </w:pPr>
            <w:r>
              <w:t>36.7</w:t>
            </w:r>
          </w:p>
        </w:tc>
        <w:tc>
          <w:tcPr>
            <w:tcW w:w="1637" w:type="dxa"/>
            <w:vAlign w:val="bottom"/>
          </w:tcPr>
          <w:p w:rsidR="002B2D8E" w:rsidRDefault="002B2D8E" w:rsidP="001D21C1">
            <w:pPr>
              <w:pStyle w:val="Tabletext"/>
              <w:tabs>
                <w:tab w:val="decimal" w:pos="737"/>
              </w:tabs>
              <w:spacing w:before="60"/>
              <w:jc w:val="right"/>
            </w:pPr>
            <w:r>
              <w:t>33.4</w:t>
            </w:r>
          </w:p>
        </w:tc>
      </w:tr>
      <w:tr w:rsidR="002B2D8E" w:rsidTr="001D21C1">
        <w:tc>
          <w:tcPr>
            <w:tcW w:w="5231" w:type="dxa"/>
            <w:vAlign w:val="bottom"/>
          </w:tcPr>
          <w:p w:rsidR="002B2D8E" w:rsidRDefault="002B2D8E" w:rsidP="002B2D8E">
            <w:pPr>
              <w:pStyle w:val="Tabletext"/>
              <w:spacing w:before="60"/>
              <w:ind w:left="198"/>
            </w:pPr>
            <w:r>
              <w:t xml:space="preserve">13 Specialist managers </w:t>
            </w:r>
          </w:p>
        </w:tc>
        <w:tc>
          <w:tcPr>
            <w:tcW w:w="1637" w:type="dxa"/>
            <w:vAlign w:val="bottom"/>
          </w:tcPr>
          <w:p w:rsidR="002B2D8E" w:rsidRDefault="002B2D8E" w:rsidP="001D21C1">
            <w:pPr>
              <w:pStyle w:val="Tabletext"/>
              <w:tabs>
                <w:tab w:val="decimal" w:pos="737"/>
              </w:tabs>
              <w:spacing w:before="60"/>
              <w:jc w:val="right"/>
            </w:pPr>
            <w:r>
              <w:t>14.6</w:t>
            </w:r>
          </w:p>
        </w:tc>
        <w:tc>
          <w:tcPr>
            <w:tcW w:w="1637" w:type="dxa"/>
            <w:vAlign w:val="bottom"/>
          </w:tcPr>
          <w:p w:rsidR="002B2D8E" w:rsidRDefault="002B2D8E" w:rsidP="001D21C1">
            <w:pPr>
              <w:pStyle w:val="Tabletext"/>
              <w:tabs>
                <w:tab w:val="decimal" w:pos="737"/>
              </w:tabs>
              <w:spacing w:before="60"/>
              <w:jc w:val="right"/>
            </w:pPr>
            <w:r>
              <w:t>8.3</w:t>
            </w:r>
          </w:p>
        </w:tc>
      </w:tr>
      <w:tr w:rsidR="002B2D8E" w:rsidTr="001D21C1">
        <w:tc>
          <w:tcPr>
            <w:tcW w:w="5231" w:type="dxa"/>
            <w:vAlign w:val="bottom"/>
          </w:tcPr>
          <w:p w:rsidR="002B2D8E" w:rsidRDefault="002B2D8E" w:rsidP="002B2D8E">
            <w:pPr>
              <w:pStyle w:val="Tabletext"/>
              <w:spacing w:before="60"/>
              <w:ind w:left="198"/>
            </w:pPr>
            <w:r>
              <w:t xml:space="preserve">14 Hospitality, retail and service managers </w:t>
            </w:r>
          </w:p>
        </w:tc>
        <w:tc>
          <w:tcPr>
            <w:tcW w:w="1637" w:type="dxa"/>
            <w:vAlign w:val="bottom"/>
          </w:tcPr>
          <w:p w:rsidR="002B2D8E" w:rsidRDefault="002B2D8E" w:rsidP="001D21C1">
            <w:pPr>
              <w:pStyle w:val="Tabletext"/>
              <w:tabs>
                <w:tab w:val="decimal" w:pos="737"/>
              </w:tabs>
              <w:spacing w:before="60"/>
              <w:jc w:val="right"/>
            </w:pPr>
            <w:r>
              <w:t>12.6</w:t>
            </w:r>
          </w:p>
        </w:tc>
        <w:tc>
          <w:tcPr>
            <w:tcW w:w="1637" w:type="dxa"/>
            <w:vAlign w:val="bottom"/>
          </w:tcPr>
          <w:p w:rsidR="002B2D8E" w:rsidRDefault="002B2D8E" w:rsidP="001D21C1">
            <w:pPr>
              <w:pStyle w:val="Tabletext"/>
              <w:tabs>
                <w:tab w:val="decimal" w:pos="737"/>
              </w:tabs>
              <w:spacing w:before="60"/>
              <w:jc w:val="right"/>
            </w:pPr>
            <w:r>
              <w:t>10.5</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2</w:t>
            </w:r>
            <w:r w:rsidRPr="0017681F">
              <w:rPr>
                <w:b/>
              </w:rPr>
              <w:tab/>
              <w:t xml:space="preserve">Professionals </w:t>
            </w:r>
          </w:p>
        </w:tc>
        <w:tc>
          <w:tcPr>
            <w:tcW w:w="1637" w:type="dxa"/>
          </w:tcPr>
          <w:p w:rsidR="002B2D8E" w:rsidRPr="009C0101" w:rsidRDefault="002B2D8E" w:rsidP="001D21C1">
            <w:pPr>
              <w:pStyle w:val="Tabletext"/>
              <w:tabs>
                <w:tab w:val="decimal" w:pos="737"/>
              </w:tabs>
              <w:jc w:val="right"/>
              <w:rPr>
                <w:b/>
              </w:rPr>
            </w:pPr>
            <w:r w:rsidRPr="009C0101">
              <w:rPr>
                <w:b/>
              </w:rPr>
              <w:t>35.4</w:t>
            </w:r>
          </w:p>
        </w:tc>
        <w:tc>
          <w:tcPr>
            <w:tcW w:w="1637" w:type="dxa"/>
          </w:tcPr>
          <w:p w:rsidR="002B2D8E" w:rsidRPr="009C0101" w:rsidRDefault="002B2D8E" w:rsidP="001D21C1">
            <w:pPr>
              <w:pStyle w:val="Tabletext"/>
              <w:tabs>
                <w:tab w:val="decimal" w:pos="737"/>
              </w:tabs>
              <w:jc w:val="right"/>
              <w:rPr>
                <w:b/>
              </w:rPr>
            </w:pPr>
            <w:r>
              <w:rPr>
                <w:b/>
              </w:rPr>
              <w:t>21.5</w:t>
            </w:r>
          </w:p>
        </w:tc>
      </w:tr>
      <w:tr w:rsidR="002B2D8E" w:rsidTr="001D21C1">
        <w:tc>
          <w:tcPr>
            <w:tcW w:w="5231" w:type="dxa"/>
            <w:vAlign w:val="bottom"/>
          </w:tcPr>
          <w:p w:rsidR="002B2D8E" w:rsidRDefault="002B2D8E" w:rsidP="002B2D8E">
            <w:pPr>
              <w:pStyle w:val="Tabletext"/>
              <w:spacing w:before="60"/>
              <w:ind w:left="198"/>
            </w:pPr>
            <w:r>
              <w:t xml:space="preserve">21 Arts and media professionals </w:t>
            </w:r>
          </w:p>
        </w:tc>
        <w:tc>
          <w:tcPr>
            <w:tcW w:w="1637" w:type="dxa"/>
            <w:vAlign w:val="bottom"/>
          </w:tcPr>
          <w:p w:rsidR="002B2D8E" w:rsidRDefault="002B2D8E" w:rsidP="001D21C1">
            <w:pPr>
              <w:pStyle w:val="Tabletext"/>
              <w:tabs>
                <w:tab w:val="decimal" w:pos="737"/>
              </w:tabs>
              <w:spacing w:before="60"/>
              <w:jc w:val="right"/>
            </w:pPr>
            <w:r>
              <w:t>22.2</w:t>
            </w:r>
          </w:p>
        </w:tc>
        <w:tc>
          <w:tcPr>
            <w:tcW w:w="1637" w:type="dxa"/>
            <w:vAlign w:val="bottom"/>
          </w:tcPr>
          <w:p w:rsidR="002B2D8E" w:rsidRDefault="002B2D8E" w:rsidP="001D21C1">
            <w:pPr>
              <w:pStyle w:val="Tabletext"/>
              <w:tabs>
                <w:tab w:val="decimal" w:pos="737"/>
              </w:tabs>
              <w:spacing w:before="60"/>
              <w:jc w:val="right"/>
            </w:pPr>
            <w:r>
              <w:t xml:space="preserve">7.5* </w:t>
            </w:r>
          </w:p>
        </w:tc>
      </w:tr>
      <w:tr w:rsidR="002B2D8E" w:rsidTr="001D21C1">
        <w:tc>
          <w:tcPr>
            <w:tcW w:w="5231" w:type="dxa"/>
            <w:vAlign w:val="bottom"/>
          </w:tcPr>
          <w:p w:rsidR="002B2D8E" w:rsidRDefault="002B2D8E" w:rsidP="002B2D8E">
            <w:pPr>
              <w:pStyle w:val="Tabletext"/>
              <w:spacing w:before="60"/>
              <w:ind w:left="198"/>
            </w:pPr>
            <w:r>
              <w:t xml:space="preserve">22 Business, human resource and marketing professionals </w:t>
            </w:r>
          </w:p>
        </w:tc>
        <w:tc>
          <w:tcPr>
            <w:tcW w:w="1637" w:type="dxa"/>
            <w:vAlign w:val="bottom"/>
          </w:tcPr>
          <w:p w:rsidR="002B2D8E" w:rsidRDefault="002B2D8E" w:rsidP="001D21C1">
            <w:pPr>
              <w:pStyle w:val="Tabletext"/>
              <w:tabs>
                <w:tab w:val="decimal" w:pos="737"/>
              </w:tabs>
              <w:spacing w:before="60"/>
              <w:jc w:val="right"/>
            </w:pPr>
            <w:r>
              <w:t>16.9</w:t>
            </w:r>
          </w:p>
        </w:tc>
        <w:tc>
          <w:tcPr>
            <w:tcW w:w="1637" w:type="dxa"/>
            <w:vAlign w:val="bottom"/>
          </w:tcPr>
          <w:p w:rsidR="002B2D8E" w:rsidRDefault="002B2D8E" w:rsidP="001D21C1">
            <w:pPr>
              <w:pStyle w:val="Tabletext"/>
              <w:tabs>
                <w:tab w:val="decimal" w:pos="737"/>
              </w:tabs>
              <w:spacing w:before="60"/>
              <w:jc w:val="right"/>
            </w:pPr>
            <w:r>
              <w:t>15.0</w:t>
            </w:r>
          </w:p>
        </w:tc>
      </w:tr>
      <w:tr w:rsidR="002B2D8E" w:rsidTr="001D21C1">
        <w:tc>
          <w:tcPr>
            <w:tcW w:w="5231" w:type="dxa"/>
            <w:vAlign w:val="bottom"/>
          </w:tcPr>
          <w:p w:rsidR="002B2D8E" w:rsidRDefault="002B2D8E" w:rsidP="002B2D8E">
            <w:pPr>
              <w:pStyle w:val="Tabletext"/>
              <w:spacing w:before="60"/>
              <w:ind w:left="198"/>
            </w:pPr>
            <w:r>
              <w:t xml:space="preserve">23 Design, engineering, science and transport professionals </w:t>
            </w:r>
          </w:p>
        </w:tc>
        <w:tc>
          <w:tcPr>
            <w:tcW w:w="1637" w:type="dxa"/>
            <w:vAlign w:val="bottom"/>
          </w:tcPr>
          <w:p w:rsidR="002B2D8E" w:rsidRDefault="002B2D8E" w:rsidP="001D21C1">
            <w:pPr>
              <w:pStyle w:val="Tabletext"/>
              <w:tabs>
                <w:tab w:val="decimal" w:pos="737"/>
              </w:tabs>
              <w:spacing w:before="60"/>
              <w:jc w:val="right"/>
            </w:pPr>
            <w:r>
              <w:t>21.0</w:t>
            </w:r>
          </w:p>
        </w:tc>
        <w:tc>
          <w:tcPr>
            <w:tcW w:w="1637" w:type="dxa"/>
            <w:vAlign w:val="bottom"/>
          </w:tcPr>
          <w:p w:rsidR="002B2D8E" w:rsidRDefault="002B2D8E" w:rsidP="001D21C1">
            <w:pPr>
              <w:pStyle w:val="Tabletext"/>
              <w:tabs>
                <w:tab w:val="decimal" w:pos="737"/>
              </w:tabs>
              <w:spacing w:before="60"/>
              <w:jc w:val="right"/>
            </w:pPr>
            <w:r>
              <w:t>16.9</w:t>
            </w:r>
          </w:p>
        </w:tc>
      </w:tr>
      <w:tr w:rsidR="002B2D8E" w:rsidTr="001D21C1">
        <w:tc>
          <w:tcPr>
            <w:tcW w:w="5231" w:type="dxa"/>
            <w:vAlign w:val="bottom"/>
          </w:tcPr>
          <w:p w:rsidR="002B2D8E" w:rsidRDefault="002B2D8E" w:rsidP="002B2D8E">
            <w:pPr>
              <w:pStyle w:val="Tabletext"/>
              <w:spacing w:before="60"/>
              <w:ind w:left="198"/>
            </w:pPr>
            <w:r>
              <w:t xml:space="preserve">24 Education professionals </w:t>
            </w:r>
          </w:p>
        </w:tc>
        <w:tc>
          <w:tcPr>
            <w:tcW w:w="1637" w:type="dxa"/>
            <w:vAlign w:val="bottom"/>
          </w:tcPr>
          <w:p w:rsidR="002B2D8E" w:rsidRDefault="002B2D8E" w:rsidP="001D21C1">
            <w:pPr>
              <w:pStyle w:val="Tabletext"/>
              <w:tabs>
                <w:tab w:val="decimal" w:pos="737"/>
              </w:tabs>
              <w:spacing w:before="60"/>
              <w:jc w:val="right"/>
            </w:pPr>
            <w:r>
              <w:t>56.1</w:t>
            </w:r>
          </w:p>
        </w:tc>
        <w:tc>
          <w:tcPr>
            <w:tcW w:w="1637" w:type="dxa"/>
            <w:vAlign w:val="bottom"/>
          </w:tcPr>
          <w:p w:rsidR="002B2D8E" w:rsidRDefault="002B2D8E" w:rsidP="001D21C1">
            <w:pPr>
              <w:pStyle w:val="Tabletext"/>
              <w:tabs>
                <w:tab w:val="decimal" w:pos="737"/>
              </w:tabs>
              <w:spacing w:before="60"/>
              <w:jc w:val="right"/>
            </w:pPr>
            <w:r>
              <w:t>31.0</w:t>
            </w:r>
          </w:p>
        </w:tc>
      </w:tr>
      <w:tr w:rsidR="002B2D8E" w:rsidTr="001D21C1">
        <w:tc>
          <w:tcPr>
            <w:tcW w:w="5231" w:type="dxa"/>
            <w:vAlign w:val="bottom"/>
          </w:tcPr>
          <w:p w:rsidR="002B2D8E" w:rsidRDefault="002B2D8E" w:rsidP="002B2D8E">
            <w:pPr>
              <w:pStyle w:val="Tabletext"/>
              <w:spacing w:before="60"/>
              <w:ind w:left="198"/>
            </w:pPr>
            <w:r>
              <w:t xml:space="preserve">26 ICT professionals </w:t>
            </w:r>
          </w:p>
        </w:tc>
        <w:tc>
          <w:tcPr>
            <w:tcW w:w="1637" w:type="dxa"/>
            <w:vAlign w:val="bottom"/>
          </w:tcPr>
          <w:p w:rsidR="002B2D8E" w:rsidRDefault="002B2D8E" w:rsidP="001D21C1">
            <w:pPr>
              <w:pStyle w:val="Tabletext"/>
              <w:tabs>
                <w:tab w:val="decimal" w:pos="737"/>
              </w:tabs>
              <w:spacing w:before="60"/>
              <w:jc w:val="right"/>
            </w:pPr>
            <w:r>
              <w:t>28.0</w:t>
            </w:r>
          </w:p>
        </w:tc>
        <w:tc>
          <w:tcPr>
            <w:tcW w:w="1637" w:type="dxa"/>
            <w:vAlign w:val="bottom"/>
          </w:tcPr>
          <w:p w:rsidR="002B2D8E" w:rsidRDefault="002B2D8E" w:rsidP="001D21C1">
            <w:pPr>
              <w:pStyle w:val="Tabletext"/>
              <w:tabs>
                <w:tab w:val="decimal" w:pos="737"/>
              </w:tabs>
              <w:spacing w:before="60"/>
              <w:jc w:val="right"/>
            </w:pPr>
            <w:r>
              <w:t xml:space="preserve">16.1* </w:t>
            </w:r>
          </w:p>
        </w:tc>
      </w:tr>
      <w:tr w:rsidR="002B2D8E" w:rsidTr="001D21C1">
        <w:tc>
          <w:tcPr>
            <w:tcW w:w="5231" w:type="dxa"/>
            <w:vAlign w:val="bottom"/>
          </w:tcPr>
          <w:p w:rsidR="002B2D8E" w:rsidRDefault="002B2D8E" w:rsidP="002B2D8E">
            <w:pPr>
              <w:pStyle w:val="Tabletext"/>
              <w:spacing w:before="60"/>
              <w:ind w:left="198"/>
            </w:pPr>
            <w:r>
              <w:t xml:space="preserve">27 Legal, social and welfare professionals </w:t>
            </w:r>
          </w:p>
        </w:tc>
        <w:tc>
          <w:tcPr>
            <w:tcW w:w="1637" w:type="dxa"/>
            <w:vAlign w:val="bottom"/>
          </w:tcPr>
          <w:p w:rsidR="002B2D8E" w:rsidRDefault="002B2D8E" w:rsidP="001D21C1">
            <w:pPr>
              <w:pStyle w:val="Tabletext"/>
              <w:tabs>
                <w:tab w:val="decimal" w:pos="737"/>
              </w:tabs>
              <w:spacing w:before="60"/>
              <w:jc w:val="right"/>
            </w:pPr>
            <w:r>
              <w:t>29.9</w:t>
            </w:r>
          </w:p>
        </w:tc>
        <w:tc>
          <w:tcPr>
            <w:tcW w:w="1637" w:type="dxa"/>
            <w:vAlign w:val="bottom"/>
          </w:tcPr>
          <w:p w:rsidR="002B2D8E" w:rsidRDefault="002B2D8E" w:rsidP="001D21C1">
            <w:pPr>
              <w:pStyle w:val="Tabletext"/>
              <w:tabs>
                <w:tab w:val="decimal" w:pos="737"/>
              </w:tabs>
              <w:spacing w:before="60"/>
              <w:jc w:val="right"/>
            </w:pPr>
            <w:r>
              <w:t>28.2</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3</w:t>
            </w:r>
            <w:r w:rsidRPr="0017681F">
              <w:rPr>
                <w:b/>
              </w:rPr>
              <w:tab/>
              <w:t xml:space="preserve">Technicians and trades workers </w:t>
            </w:r>
          </w:p>
        </w:tc>
        <w:tc>
          <w:tcPr>
            <w:tcW w:w="1637" w:type="dxa"/>
          </w:tcPr>
          <w:p w:rsidR="002B2D8E" w:rsidRPr="009C0101" w:rsidRDefault="002B2D8E" w:rsidP="001D21C1">
            <w:pPr>
              <w:pStyle w:val="Tabletext"/>
              <w:tabs>
                <w:tab w:val="decimal" w:pos="737"/>
              </w:tabs>
              <w:jc w:val="right"/>
              <w:rPr>
                <w:b/>
              </w:rPr>
            </w:pPr>
            <w:r w:rsidRPr="009C0101">
              <w:rPr>
                <w:b/>
              </w:rPr>
              <w:t>66.7</w:t>
            </w:r>
          </w:p>
        </w:tc>
        <w:tc>
          <w:tcPr>
            <w:tcW w:w="1637" w:type="dxa"/>
          </w:tcPr>
          <w:p w:rsidR="002B2D8E" w:rsidRPr="009C0101" w:rsidRDefault="002B2D8E" w:rsidP="001D21C1">
            <w:pPr>
              <w:pStyle w:val="Tabletext"/>
              <w:tabs>
                <w:tab w:val="decimal" w:pos="737"/>
              </w:tabs>
              <w:jc w:val="right"/>
              <w:rPr>
                <w:b/>
              </w:rPr>
            </w:pPr>
            <w:r>
              <w:rPr>
                <w:b/>
              </w:rPr>
              <w:t>60.6</w:t>
            </w:r>
          </w:p>
        </w:tc>
      </w:tr>
      <w:tr w:rsidR="002B2D8E" w:rsidTr="001D21C1">
        <w:tc>
          <w:tcPr>
            <w:tcW w:w="5231" w:type="dxa"/>
            <w:vAlign w:val="bottom"/>
          </w:tcPr>
          <w:p w:rsidR="002B2D8E" w:rsidRDefault="002B2D8E" w:rsidP="002B2D8E">
            <w:pPr>
              <w:pStyle w:val="Tabletext"/>
              <w:spacing w:before="60"/>
              <w:ind w:left="198"/>
            </w:pPr>
            <w:r>
              <w:t xml:space="preserve">31 Engineering, ICT and science technicians </w:t>
            </w:r>
          </w:p>
        </w:tc>
        <w:tc>
          <w:tcPr>
            <w:tcW w:w="1637" w:type="dxa"/>
            <w:vAlign w:val="bottom"/>
          </w:tcPr>
          <w:p w:rsidR="002B2D8E" w:rsidRDefault="002B2D8E" w:rsidP="001D21C1">
            <w:pPr>
              <w:pStyle w:val="Tabletext"/>
              <w:tabs>
                <w:tab w:val="decimal" w:pos="737"/>
              </w:tabs>
              <w:spacing w:before="60"/>
              <w:jc w:val="right"/>
            </w:pPr>
            <w:r>
              <w:t>29.9</w:t>
            </w:r>
          </w:p>
        </w:tc>
        <w:tc>
          <w:tcPr>
            <w:tcW w:w="1637" w:type="dxa"/>
            <w:vAlign w:val="bottom"/>
          </w:tcPr>
          <w:p w:rsidR="002B2D8E" w:rsidRDefault="002B2D8E" w:rsidP="001D21C1">
            <w:pPr>
              <w:pStyle w:val="Tabletext"/>
              <w:tabs>
                <w:tab w:val="decimal" w:pos="737"/>
              </w:tabs>
              <w:spacing w:before="60"/>
              <w:jc w:val="right"/>
            </w:pPr>
            <w:r>
              <w:t>20.6</w:t>
            </w:r>
          </w:p>
        </w:tc>
      </w:tr>
      <w:tr w:rsidR="002B2D8E" w:rsidTr="001D21C1">
        <w:tc>
          <w:tcPr>
            <w:tcW w:w="5231" w:type="dxa"/>
            <w:vAlign w:val="bottom"/>
          </w:tcPr>
          <w:p w:rsidR="002B2D8E" w:rsidRDefault="002B2D8E" w:rsidP="002B2D8E">
            <w:pPr>
              <w:pStyle w:val="Tabletext"/>
              <w:spacing w:before="60"/>
              <w:ind w:left="198"/>
            </w:pPr>
            <w:r>
              <w:t xml:space="preserve">32 Automotive and engineering trades workers </w:t>
            </w:r>
          </w:p>
        </w:tc>
        <w:tc>
          <w:tcPr>
            <w:tcW w:w="1637" w:type="dxa"/>
            <w:vAlign w:val="bottom"/>
          </w:tcPr>
          <w:p w:rsidR="002B2D8E" w:rsidRDefault="002B2D8E" w:rsidP="001D21C1">
            <w:pPr>
              <w:pStyle w:val="Tabletext"/>
              <w:tabs>
                <w:tab w:val="decimal" w:pos="737"/>
              </w:tabs>
              <w:spacing w:before="60"/>
              <w:jc w:val="right"/>
            </w:pPr>
            <w:r>
              <w:t>80.7</w:t>
            </w:r>
          </w:p>
        </w:tc>
        <w:tc>
          <w:tcPr>
            <w:tcW w:w="1637" w:type="dxa"/>
            <w:vAlign w:val="bottom"/>
          </w:tcPr>
          <w:p w:rsidR="002B2D8E" w:rsidRDefault="002B2D8E" w:rsidP="001D21C1">
            <w:pPr>
              <w:pStyle w:val="Tabletext"/>
              <w:tabs>
                <w:tab w:val="decimal" w:pos="737"/>
              </w:tabs>
              <w:spacing w:before="60"/>
              <w:jc w:val="right"/>
            </w:pPr>
            <w:r>
              <w:t>72.3</w:t>
            </w:r>
          </w:p>
        </w:tc>
      </w:tr>
      <w:tr w:rsidR="002B2D8E" w:rsidTr="001D21C1">
        <w:tc>
          <w:tcPr>
            <w:tcW w:w="5231" w:type="dxa"/>
            <w:vAlign w:val="bottom"/>
          </w:tcPr>
          <w:p w:rsidR="002B2D8E" w:rsidRDefault="002B2D8E" w:rsidP="002B2D8E">
            <w:pPr>
              <w:pStyle w:val="Tabletext"/>
              <w:spacing w:before="60"/>
              <w:ind w:left="198"/>
            </w:pPr>
            <w:r>
              <w:t xml:space="preserve">33 Construction trades workers </w:t>
            </w:r>
          </w:p>
        </w:tc>
        <w:tc>
          <w:tcPr>
            <w:tcW w:w="1637" w:type="dxa"/>
            <w:vAlign w:val="bottom"/>
          </w:tcPr>
          <w:p w:rsidR="002B2D8E" w:rsidRDefault="002B2D8E" w:rsidP="001D21C1">
            <w:pPr>
              <w:pStyle w:val="Tabletext"/>
              <w:tabs>
                <w:tab w:val="decimal" w:pos="737"/>
              </w:tabs>
              <w:spacing w:before="60"/>
              <w:jc w:val="right"/>
            </w:pPr>
            <w:r>
              <w:t>86.1</w:t>
            </w:r>
          </w:p>
        </w:tc>
        <w:tc>
          <w:tcPr>
            <w:tcW w:w="1637" w:type="dxa"/>
            <w:vAlign w:val="bottom"/>
          </w:tcPr>
          <w:p w:rsidR="002B2D8E" w:rsidRDefault="002B2D8E" w:rsidP="001D21C1">
            <w:pPr>
              <w:pStyle w:val="Tabletext"/>
              <w:tabs>
                <w:tab w:val="decimal" w:pos="737"/>
              </w:tabs>
              <w:spacing w:before="60"/>
              <w:jc w:val="right"/>
            </w:pPr>
            <w:r>
              <w:t>81.1</w:t>
            </w:r>
          </w:p>
        </w:tc>
      </w:tr>
      <w:tr w:rsidR="002B2D8E" w:rsidTr="001D21C1">
        <w:tc>
          <w:tcPr>
            <w:tcW w:w="5231" w:type="dxa"/>
            <w:vAlign w:val="bottom"/>
          </w:tcPr>
          <w:p w:rsidR="002B2D8E" w:rsidRDefault="002B2D8E" w:rsidP="002B2D8E">
            <w:pPr>
              <w:pStyle w:val="Tabletext"/>
              <w:spacing w:before="60"/>
              <w:ind w:left="198"/>
            </w:pPr>
            <w:r>
              <w:t xml:space="preserve">34 Electrotechnology and telecommunications trades workers </w:t>
            </w:r>
          </w:p>
        </w:tc>
        <w:tc>
          <w:tcPr>
            <w:tcW w:w="1637" w:type="dxa"/>
            <w:vAlign w:val="bottom"/>
          </w:tcPr>
          <w:p w:rsidR="002B2D8E" w:rsidRDefault="002B2D8E" w:rsidP="001D21C1">
            <w:pPr>
              <w:pStyle w:val="Tabletext"/>
              <w:tabs>
                <w:tab w:val="decimal" w:pos="737"/>
              </w:tabs>
              <w:spacing w:before="60"/>
              <w:jc w:val="right"/>
            </w:pPr>
            <w:r>
              <w:t>92.1</w:t>
            </w:r>
          </w:p>
        </w:tc>
        <w:tc>
          <w:tcPr>
            <w:tcW w:w="1637" w:type="dxa"/>
            <w:vAlign w:val="bottom"/>
          </w:tcPr>
          <w:p w:rsidR="002B2D8E" w:rsidRDefault="002B2D8E" w:rsidP="001D21C1">
            <w:pPr>
              <w:pStyle w:val="Tabletext"/>
              <w:tabs>
                <w:tab w:val="decimal" w:pos="737"/>
              </w:tabs>
              <w:spacing w:before="60"/>
              <w:jc w:val="right"/>
            </w:pPr>
            <w:r>
              <w:t>85.7</w:t>
            </w:r>
          </w:p>
        </w:tc>
      </w:tr>
      <w:tr w:rsidR="002B2D8E" w:rsidTr="001D21C1">
        <w:tc>
          <w:tcPr>
            <w:tcW w:w="5231" w:type="dxa"/>
            <w:vAlign w:val="bottom"/>
          </w:tcPr>
          <w:p w:rsidR="002B2D8E" w:rsidRDefault="002B2D8E" w:rsidP="002B2D8E">
            <w:pPr>
              <w:pStyle w:val="Tabletext"/>
              <w:spacing w:before="60"/>
              <w:ind w:left="198"/>
            </w:pPr>
            <w:r>
              <w:t xml:space="preserve">35 Food trades workers </w:t>
            </w:r>
          </w:p>
        </w:tc>
        <w:tc>
          <w:tcPr>
            <w:tcW w:w="1637" w:type="dxa"/>
            <w:vAlign w:val="bottom"/>
          </w:tcPr>
          <w:p w:rsidR="002B2D8E" w:rsidRDefault="002B2D8E" w:rsidP="001D21C1">
            <w:pPr>
              <w:pStyle w:val="Tabletext"/>
              <w:tabs>
                <w:tab w:val="decimal" w:pos="737"/>
              </w:tabs>
              <w:spacing w:before="60"/>
              <w:jc w:val="right"/>
            </w:pPr>
            <w:r>
              <w:t>77.8</w:t>
            </w:r>
          </w:p>
        </w:tc>
        <w:tc>
          <w:tcPr>
            <w:tcW w:w="1637" w:type="dxa"/>
            <w:vAlign w:val="bottom"/>
          </w:tcPr>
          <w:p w:rsidR="002B2D8E" w:rsidRDefault="002B2D8E" w:rsidP="001D21C1">
            <w:pPr>
              <w:pStyle w:val="Tabletext"/>
              <w:tabs>
                <w:tab w:val="decimal" w:pos="737"/>
              </w:tabs>
              <w:spacing w:before="60"/>
              <w:jc w:val="right"/>
            </w:pPr>
            <w:r>
              <w:t>76.4</w:t>
            </w:r>
          </w:p>
        </w:tc>
      </w:tr>
      <w:tr w:rsidR="002B2D8E" w:rsidTr="001D21C1">
        <w:tc>
          <w:tcPr>
            <w:tcW w:w="5231" w:type="dxa"/>
            <w:vAlign w:val="bottom"/>
          </w:tcPr>
          <w:p w:rsidR="002B2D8E" w:rsidRDefault="002B2D8E" w:rsidP="002B2D8E">
            <w:pPr>
              <w:pStyle w:val="Tabletext"/>
              <w:spacing w:before="60"/>
              <w:ind w:left="198"/>
            </w:pPr>
            <w:r>
              <w:t xml:space="preserve">36 Skilled animal and horticultural workers </w:t>
            </w:r>
          </w:p>
        </w:tc>
        <w:tc>
          <w:tcPr>
            <w:tcW w:w="1637" w:type="dxa"/>
            <w:vAlign w:val="bottom"/>
          </w:tcPr>
          <w:p w:rsidR="002B2D8E" w:rsidRDefault="002B2D8E" w:rsidP="001D21C1">
            <w:pPr>
              <w:pStyle w:val="Tabletext"/>
              <w:tabs>
                <w:tab w:val="decimal" w:pos="737"/>
              </w:tabs>
              <w:spacing w:before="60"/>
              <w:jc w:val="right"/>
            </w:pPr>
            <w:r>
              <w:t>46.6</w:t>
            </w:r>
          </w:p>
        </w:tc>
        <w:tc>
          <w:tcPr>
            <w:tcW w:w="1637" w:type="dxa"/>
            <w:vAlign w:val="bottom"/>
          </w:tcPr>
          <w:p w:rsidR="002B2D8E" w:rsidRDefault="002B2D8E" w:rsidP="001D21C1">
            <w:pPr>
              <w:pStyle w:val="Tabletext"/>
              <w:tabs>
                <w:tab w:val="decimal" w:pos="737"/>
              </w:tabs>
              <w:spacing w:before="60"/>
              <w:jc w:val="right"/>
            </w:pPr>
            <w:r>
              <w:t>43.6</w:t>
            </w:r>
          </w:p>
        </w:tc>
      </w:tr>
      <w:tr w:rsidR="002B2D8E" w:rsidTr="001D21C1">
        <w:tc>
          <w:tcPr>
            <w:tcW w:w="5231" w:type="dxa"/>
            <w:vAlign w:val="bottom"/>
          </w:tcPr>
          <w:p w:rsidR="002B2D8E" w:rsidRDefault="002B2D8E" w:rsidP="002B2D8E">
            <w:pPr>
              <w:pStyle w:val="Tabletext"/>
              <w:spacing w:before="60"/>
              <w:ind w:left="198"/>
            </w:pPr>
            <w:r>
              <w:t xml:space="preserve">39 Other technicians and trades workers </w:t>
            </w:r>
          </w:p>
        </w:tc>
        <w:tc>
          <w:tcPr>
            <w:tcW w:w="1637" w:type="dxa"/>
            <w:vAlign w:val="bottom"/>
          </w:tcPr>
          <w:p w:rsidR="002B2D8E" w:rsidRDefault="002B2D8E" w:rsidP="001D21C1">
            <w:pPr>
              <w:pStyle w:val="Tabletext"/>
              <w:tabs>
                <w:tab w:val="decimal" w:pos="737"/>
              </w:tabs>
              <w:spacing w:before="60"/>
              <w:jc w:val="right"/>
            </w:pPr>
            <w:r>
              <w:t>54.6</w:t>
            </w:r>
          </w:p>
        </w:tc>
        <w:tc>
          <w:tcPr>
            <w:tcW w:w="1637" w:type="dxa"/>
            <w:vAlign w:val="bottom"/>
          </w:tcPr>
          <w:p w:rsidR="002B2D8E" w:rsidRDefault="002B2D8E" w:rsidP="001D21C1">
            <w:pPr>
              <w:pStyle w:val="Tabletext"/>
              <w:tabs>
                <w:tab w:val="decimal" w:pos="737"/>
              </w:tabs>
              <w:spacing w:before="60"/>
              <w:jc w:val="right"/>
            </w:pPr>
            <w:r>
              <w:t>49.0</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4</w:t>
            </w:r>
            <w:r w:rsidRPr="0017681F">
              <w:rPr>
                <w:b/>
              </w:rPr>
              <w:tab/>
              <w:t xml:space="preserve">Community and personal service workers </w:t>
            </w:r>
          </w:p>
        </w:tc>
        <w:tc>
          <w:tcPr>
            <w:tcW w:w="1637" w:type="dxa"/>
          </w:tcPr>
          <w:p w:rsidR="002B2D8E" w:rsidRPr="009C0101" w:rsidRDefault="002B2D8E" w:rsidP="001D21C1">
            <w:pPr>
              <w:pStyle w:val="Tabletext"/>
              <w:tabs>
                <w:tab w:val="decimal" w:pos="737"/>
              </w:tabs>
              <w:jc w:val="right"/>
              <w:rPr>
                <w:b/>
              </w:rPr>
            </w:pPr>
            <w:r w:rsidRPr="009C0101">
              <w:rPr>
                <w:b/>
              </w:rPr>
              <w:t>53.3</w:t>
            </w:r>
          </w:p>
        </w:tc>
        <w:tc>
          <w:tcPr>
            <w:tcW w:w="1637" w:type="dxa"/>
          </w:tcPr>
          <w:p w:rsidR="002B2D8E" w:rsidRPr="009C0101" w:rsidRDefault="002B2D8E" w:rsidP="001D21C1">
            <w:pPr>
              <w:pStyle w:val="Tabletext"/>
              <w:tabs>
                <w:tab w:val="decimal" w:pos="737"/>
              </w:tabs>
              <w:jc w:val="right"/>
              <w:rPr>
                <w:b/>
              </w:rPr>
            </w:pPr>
            <w:r>
              <w:rPr>
                <w:b/>
              </w:rPr>
              <w:t>43.8</w:t>
            </w:r>
          </w:p>
        </w:tc>
      </w:tr>
      <w:tr w:rsidR="002B2D8E" w:rsidTr="001D21C1">
        <w:tc>
          <w:tcPr>
            <w:tcW w:w="5231" w:type="dxa"/>
            <w:vAlign w:val="bottom"/>
          </w:tcPr>
          <w:p w:rsidR="002B2D8E" w:rsidRDefault="002B2D8E" w:rsidP="002B2D8E">
            <w:pPr>
              <w:pStyle w:val="Tabletext"/>
              <w:spacing w:before="60"/>
              <w:ind w:left="198"/>
            </w:pPr>
            <w:r>
              <w:t xml:space="preserve">41 Health and welfare support workers </w:t>
            </w:r>
          </w:p>
        </w:tc>
        <w:tc>
          <w:tcPr>
            <w:tcW w:w="1637" w:type="dxa"/>
            <w:vAlign w:val="bottom"/>
          </w:tcPr>
          <w:p w:rsidR="002B2D8E" w:rsidRDefault="002B2D8E" w:rsidP="001D21C1">
            <w:pPr>
              <w:pStyle w:val="Tabletext"/>
              <w:tabs>
                <w:tab w:val="decimal" w:pos="737"/>
              </w:tabs>
              <w:spacing w:before="60"/>
              <w:jc w:val="right"/>
            </w:pPr>
            <w:r>
              <w:t>61.3</w:t>
            </w:r>
          </w:p>
        </w:tc>
        <w:tc>
          <w:tcPr>
            <w:tcW w:w="1637" w:type="dxa"/>
            <w:vAlign w:val="bottom"/>
          </w:tcPr>
          <w:p w:rsidR="002B2D8E" w:rsidRDefault="002B2D8E" w:rsidP="001D21C1">
            <w:pPr>
              <w:pStyle w:val="Tabletext"/>
              <w:tabs>
                <w:tab w:val="decimal" w:pos="737"/>
              </w:tabs>
              <w:spacing w:before="60"/>
              <w:jc w:val="right"/>
            </w:pPr>
            <w:r>
              <w:t>33.0</w:t>
            </w:r>
          </w:p>
        </w:tc>
      </w:tr>
      <w:tr w:rsidR="002B2D8E" w:rsidTr="001D21C1">
        <w:tc>
          <w:tcPr>
            <w:tcW w:w="5231" w:type="dxa"/>
            <w:vAlign w:val="bottom"/>
          </w:tcPr>
          <w:p w:rsidR="002B2D8E" w:rsidRDefault="002B2D8E" w:rsidP="002B2D8E">
            <w:pPr>
              <w:pStyle w:val="Tabletext"/>
              <w:spacing w:before="60"/>
              <w:ind w:left="198"/>
            </w:pPr>
            <w:r>
              <w:t xml:space="preserve">42 Carers and aides </w:t>
            </w:r>
          </w:p>
        </w:tc>
        <w:tc>
          <w:tcPr>
            <w:tcW w:w="1637" w:type="dxa"/>
            <w:vAlign w:val="bottom"/>
          </w:tcPr>
          <w:p w:rsidR="002B2D8E" w:rsidRDefault="002B2D8E" w:rsidP="001D21C1">
            <w:pPr>
              <w:pStyle w:val="Tabletext"/>
              <w:tabs>
                <w:tab w:val="decimal" w:pos="737"/>
              </w:tabs>
              <w:spacing w:before="60"/>
              <w:jc w:val="right"/>
            </w:pPr>
            <w:r>
              <w:t>77.4</w:t>
            </w:r>
          </w:p>
        </w:tc>
        <w:tc>
          <w:tcPr>
            <w:tcW w:w="1637" w:type="dxa"/>
            <w:vAlign w:val="bottom"/>
          </w:tcPr>
          <w:p w:rsidR="002B2D8E" w:rsidRDefault="002B2D8E" w:rsidP="001D21C1">
            <w:pPr>
              <w:pStyle w:val="Tabletext"/>
              <w:tabs>
                <w:tab w:val="decimal" w:pos="737"/>
              </w:tabs>
              <w:spacing w:before="60"/>
              <w:jc w:val="right"/>
            </w:pPr>
            <w:r>
              <w:t>70.9</w:t>
            </w:r>
          </w:p>
        </w:tc>
      </w:tr>
      <w:tr w:rsidR="002B2D8E" w:rsidTr="001D21C1">
        <w:tc>
          <w:tcPr>
            <w:tcW w:w="5231" w:type="dxa"/>
            <w:vAlign w:val="bottom"/>
          </w:tcPr>
          <w:p w:rsidR="002B2D8E" w:rsidRDefault="002B2D8E" w:rsidP="002B2D8E">
            <w:pPr>
              <w:pStyle w:val="Tabletext"/>
              <w:spacing w:before="60"/>
              <w:ind w:left="198"/>
            </w:pPr>
            <w:r>
              <w:t xml:space="preserve">43 Hospitality workers </w:t>
            </w:r>
          </w:p>
        </w:tc>
        <w:tc>
          <w:tcPr>
            <w:tcW w:w="1637" w:type="dxa"/>
            <w:vAlign w:val="bottom"/>
          </w:tcPr>
          <w:p w:rsidR="002B2D8E" w:rsidRDefault="002B2D8E" w:rsidP="001D21C1">
            <w:pPr>
              <w:pStyle w:val="Tabletext"/>
              <w:tabs>
                <w:tab w:val="decimal" w:pos="737"/>
              </w:tabs>
              <w:spacing w:before="60"/>
              <w:jc w:val="right"/>
            </w:pPr>
            <w:r>
              <w:t>34.8</w:t>
            </w:r>
          </w:p>
        </w:tc>
        <w:tc>
          <w:tcPr>
            <w:tcW w:w="1637" w:type="dxa"/>
            <w:vAlign w:val="bottom"/>
          </w:tcPr>
          <w:p w:rsidR="002B2D8E" w:rsidRDefault="002B2D8E" w:rsidP="001D21C1">
            <w:pPr>
              <w:pStyle w:val="Tabletext"/>
              <w:tabs>
                <w:tab w:val="decimal" w:pos="737"/>
              </w:tabs>
              <w:spacing w:before="60"/>
              <w:jc w:val="right"/>
            </w:pPr>
            <w:r>
              <w:t>29.1</w:t>
            </w:r>
          </w:p>
        </w:tc>
      </w:tr>
      <w:tr w:rsidR="002B2D8E" w:rsidTr="001D21C1">
        <w:tc>
          <w:tcPr>
            <w:tcW w:w="5231" w:type="dxa"/>
            <w:vAlign w:val="bottom"/>
          </w:tcPr>
          <w:p w:rsidR="002B2D8E" w:rsidRDefault="002B2D8E" w:rsidP="002B2D8E">
            <w:pPr>
              <w:pStyle w:val="Tabletext"/>
              <w:spacing w:before="60"/>
              <w:ind w:left="198"/>
            </w:pPr>
            <w:r>
              <w:t xml:space="preserve">44 Protective service workers </w:t>
            </w:r>
          </w:p>
        </w:tc>
        <w:tc>
          <w:tcPr>
            <w:tcW w:w="1637" w:type="dxa"/>
            <w:vAlign w:val="bottom"/>
          </w:tcPr>
          <w:p w:rsidR="002B2D8E" w:rsidRDefault="002B2D8E" w:rsidP="001D21C1">
            <w:pPr>
              <w:pStyle w:val="Tabletext"/>
              <w:tabs>
                <w:tab w:val="decimal" w:pos="737"/>
              </w:tabs>
              <w:spacing w:before="60"/>
              <w:jc w:val="right"/>
            </w:pPr>
            <w:r>
              <w:t>41.3</w:t>
            </w:r>
          </w:p>
        </w:tc>
        <w:tc>
          <w:tcPr>
            <w:tcW w:w="1637" w:type="dxa"/>
            <w:vAlign w:val="bottom"/>
          </w:tcPr>
          <w:p w:rsidR="002B2D8E" w:rsidRDefault="002B2D8E" w:rsidP="001D21C1">
            <w:pPr>
              <w:pStyle w:val="Tabletext"/>
              <w:tabs>
                <w:tab w:val="decimal" w:pos="737"/>
              </w:tabs>
              <w:spacing w:before="60"/>
              <w:jc w:val="right"/>
            </w:pPr>
            <w:r>
              <w:t>34.9</w:t>
            </w:r>
          </w:p>
        </w:tc>
      </w:tr>
      <w:tr w:rsidR="002B2D8E" w:rsidTr="001D21C1">
        <w:tc>
          <w:tcPr>
            <w:tcW w:w="5231" w:type="dxa"/>
            <w:vAlign w:val="bottom"/>
          </w:tcPr>
          <w:p w:rsidR="002B2D8E" w:rsidRDefault="002B2D8E" w:rsidP="002B2D8E">
            <w:pPr>
              <w:pStyle w:val="Tabletext"/>
              <w:spacing w:before="60"/>
              <w:ind w:left="198"/>
            </w:pPr>
            <w:r>
              <w:t xml:space="preserve">45 Sports and personal service workers </w:t>
            </w:r>
          </w:p>
        </w:tc>
        <w:tc>
          <w:tcPr>
            <w:tcW w:w="1637" w:type="dxa"/>
            <w:vAlign w:val="bottom"/>
          </w:tcPr>
          <w:p w:rsidR="002B2D8E" w:rsidRDefault="002B2D8E" w:rsidP="001D21C1">
            <w:pPr>
              <w:pStyle w:val="Tabletext"/>
              <w:tabs>
                <w:tab w:val="decimal" w:pos="737"/>
              </w:tabs>
              <w:spacing w:before="60"/>
              <w:jc w:val="right"/>
            </w:pPr>
            <w:r>
              <w:t>35.0</w:t>
            </w:r>
          </w:p>
        </w:tc>
        <w:tc>
          <w:tcPr>
            <w:tcW w:w="1637" w:type="dxa"/>
            <w:vAlign w:val="bottom"/>
          </w:tcPr>
          <w:p w:rsidR="002B2D8E" w:rsidRDefault="002B2D8E" w:rsidP="001D21C1">
            <w:pPr>
              <w:pStyle w:val="Tabletext"/>
              <w:tabs>
                <w:tab w:val="decimal" w:pos="737"/>
              </w:tabs>
              <w:spacing w:before="60"/>
              <w:jc w:val="right"/>
            </w:pPr>
            <w:r>
              <w:t>26.4</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5</w:t>
            </w:r>
            <w:r w:rsidRPr="0017681F">
              <w:rPr>
                <w:b/>
              </w:rPr>
              <w:tab/>
              <w:t xml:space="preserve">Clerical and administrative workers </w:t>
            </w:r>
          </w:p>
        </w:tc>
        <w:tc>
          <w:tcPr>
            <w:tcW w:w="1637" w:type="dxa"/>
          </w:tcPr>
          <w:p w:rsidR="002B2D8E" w:rsidRPr="009C0101" w:rsidRDefault="002B2D8E" w:rsidP="001D21C1">
            <w:pPr>
              <w:pStyle w:val="Tabletext"/>
              <w:tabs>
                <w:tab w:val="decimal" w:pos="737"/>
              </w:tabs>
              <w:jc w:val="right"/>
              <w:rPr>
                <w:b/>
              </w:rPr>
            </w:pPr>
            <w:r w:rsidRPr="009C0101">
              <w:rPr>
                <w:b/>
              </w:rPr>
              <w:t>50.3</w:t>
            </w:r>
          </w:p>
        </w:tc>
        <w:tc>
          <w:tcPr>
            <w:tcW w:w="1637" w:type="dxa"/>
          </w:tcPr>
          <w:p w:rsidR="002B2D8E" w:rsidRPr="009C0101" w:rsidRDefault="002B2D8E" w:rsidP="001D21C1">
            <w:pPr>
              <w:pStyle w:val="Tabletext"/>
              <w:tabs>
                <w:tab w:val="decimal" w:pos="737"/>
              </w:tabs>
              <w:jc w:val="right"/>
              <w:rPr>
                <w:b/>
              </w:rPr>
            </w:pPr>
            <w:r>
              <w:rPr>
                <w:b/>
              </w:rPr>
              <w:t>23.0</w:t>
            </w:r>
          </w:p>
        </w:tc>
      </w:tr>
      <w:tr w:rsidR="002B2D8E" w:rsidTr="001D21C1">
        <w:tc>
          <w:tcPr>
            <w:tcW w:w="5231" w:type="dxa"/>
            <w:vAlign w:val="bottom"/>
          </w:tcPr>
          <w:p w:rsidR="002B2D8E" w:rsidRDefault="002B2D8E" w:rsidP="002B2D8E">
            <w:pPr>
              <w:pStyle w:val="Tabletext"/>
              <w:spacing w:before="60"/>
              <w:ind w:left="198"/>
            </w:pPr>
            <w:r>
              <w:t xml:space="preserve">51 Office managers and program administrators </w:t>
            </w:r>
          </w:p>
        </w:tc>
        <w:tc>
          <w:tcPr>
            <w:tcW w:w="1637" w:type="dxa"/>
            <w:vAlign w:val="bottom"/>
          </w:tcPr>
          <w:p w:rsidR="002B2D8E" w:rsidRDefault="002B2D8E" w:rsidP="001D21C1">
            <w:pPr>
              <w:pStyle w:val="Tabletext"/>
              <w:tabs>
                <w:tab w:val="decimal" w:pos="737"/>
              </w:tabs>
              <w:spacing w:before="60"/>
              <w:jc w:val="right"/>
            </w:pPr>
            <w:r>
              <w:t>41.6</w:t>
            </w:r>
          </w:p>
        </w:tc>
        <w:tc>
          <w:tcPr>
            <w:tcW w:w="1637" w:type="dxa"/>
            <w:vAlign w:val="bottom"/>
          </w:tcPr>
          <w:p w:rsidR="002B2D8E" w:rsidRDefault="002B2D8E" w:rsidP="001D21C1">
            <w:pPr>
              <w:pStyle w:val="Tabletext"/>
              <w:tabs>
                <w:tab w:val="decimal" w:pos="737"/>
              </w:tabs>
              <w:spacing w:before="60"/>
              <w:jc w:val="right"/>
            </w:pPr>
            <w:r>
              <w:t>10.6</w:t>
            </w:r>
          </w:p>
        </w:tc>
      </w:tr>
      <w:tr w:rsidR="002B2D8E" w:rsidTr="001D21C1">
        <w:tc>
          <w:tcPr>
            <w:tcW w:w="5231" w:type="dxa"/>
            <w:vAlign w:val="bottom"/>
          </w:tcPr>
          <w:p w:rsidR="002B2D8E" w:rsidRDefault="002B2D8E" w:rsidP="002B2D8E">
            <w:pPr>
              <w:pStyle w:val="Tabletext"/>
              <w:spacing w:before="60"/>
              <w:ind w:left="198"/>
            </w:pPr>
            <w:r>
              <w:t xml:space="preserve">53 General clerical workers </w:t>
            </w:r>
          </w:p>
        </w:tc>
        <w:tc>
          <w:tcPr>
            <w:tcW w:w="1637" w:type="dxa"/>
            <w:vAlign w:val="bottom"/>
          </w:tcPr>
          <w:p w:rsidR="002B2D8E" w:rsidRDefault="002B2D8E" w:rsidP="001D21C1">
            <w:pPr>
              <w:pStyle w:val="Tabletext"/>
              <w:tabs>
                <w:tab w:val="decimal" w:pos="737"/>
              </w:tabs>
              <w:spacing w:before="60"/>
              <w:jc w:val="right"/>
            </w:pPr>
            <w:r>
              <w:t>50.9</w:t>
            </w:r>
          </w:p>
        </w:tc>
        <w:tc>
          <w:tcPr>
            <w:tcW w:w="1637" w:type="dxa"/>
            <w:vAlign w:val="bottom"/>
          </w:tcPr>
          <w:p w:rsidR="002B2D8E" w:rsidRDefault="002B2D8E" w:rsidP="001D21C1">
            <w:pPr>
              <w:pStyle w:val="Tabletext"/>
              <w:tabs>
                <w:tab w:val="decimal" w:pos="737"/>
              </w:tabs>
              <w:spacing w:before="60"/>
              <w:jc w:val="right"/>
            </w:pPr>
            <w:r>
              <w:t>21.1</w:t>
            </w:r>
          </w:p>
        </w:tc>
      </w:tr>
      <w:tr w:rsidR="002B2D8E" w:rsidTr="001D21C1">
        <w:tc>
          <w:tcPr>
            <w:tcW w:w="5231" w:type="dxa"/>
            <w:vAlign w:val="bottom"/>
          </w:tcPr>
          <w:p w:rsidR="002B2D8E" w:rsidRDefault="002B2D8E" w:rsidP="002B2D8E">
            <w:pPr>
              <w:pStyle w:val="Tabletext"/>
              <w:spacing w:before="60"/>
              <w:ind w:left="198"/>
            </w:pPr>
            <w:r>
              <w:t xml:space="preserve">54 Inquiry clerks and receptionists </w:t>
            </w:r>
          </w:p>
        </w:tc>
        <w:tc>
          <w:tcPr>
            <w:tcW w:w="1637" w:type="dxa"/>
            <w:vAlign w:val="bottom"/>
          </w:tcPr>
          <w:p w:rsidR="002B2D8E" w:rsidRDefault="002B2D8E" w:rsidP="001D21C1">
            <w:pPr>
              <w:pStyle w:val="Tabletext"/>
              <w:tabs>
                <w:tab w:val="decimal" w:pos="737"/>
              </w:tabs>
              <w:spacing w:before="60"/>
              <w:jc w:val="right"/>
            </w:pPr>
            <w:r>
              <w:t>54.0</w:t>
            </w:r>
          </w:p>
        </w:tc>
        <w:tc>
          <w:tcPr>
            <w:tcW w:w="1637" w:type="dxa"/>
            <w:vAlign w:val="bottom"/>
          </w:tcPr>
          <w:p w:rsidR="002B2D8E" w:rsidRDefault="002B2D8E" w:rsidP="001D21C1">
            <w:pPr>
              <w:pStyle w:val="Tabletext"/>
              <w:tabs>
                <w:tab w:val="decimal" w:pos="737"/>
              </w:tabs>
              <w:spacing w:before="60"/>
              <w:jc w:val="right"/>
            </w:pPr>
            <w:r>
              <w:t>41.3</w:t>
            </w:r>
          </w:p>
        </w:tc>
      </w:tr>
      <w:tr w:rsidR="002B2D8E" w:rsidTr="001D21C1">
        <w:tc>
          <w:tcPr>
            <w:tcW w:w="5231" w:type="dxa"/>
            <w:tcBorders>
              <w:bottom w:val="nil"/>
            </w:tcBorders>
            <w:vAlign w:val="bottom"/>
          </w:tcPr>
          <w:p w:rsidR="002B2D8E" w:rsidRDefault="002B2D8E" w:rsidP="002B2D8E">
            <w:pPr>
              <w:pStyle w:val="Tabletext"/>
              <w:spacing w:before="60"/>
              <w:ind w:left="198"/>
            </w:pPr>
            <w:r>
              <w:t xml:space="preserve">55 Numerical clerks </w:t>
            </w:r>
          </w:p>
        </w:tc>
        <w:tc>
          <w:tcPr>
            <w:tcW w:w="1637" w:type="dxa"/>
            <w:tcBorders>
              <w:bottom w:val="nil"/>
            </w:tcBorders>
            <w:vAlign w:val="bottom"/>
          </w:tcPr>
          <w:p w:rsidR="002B2D8E" w:rsidRDefault="002B2D8E" w:rsidP="001D21C1">
            <w:pPr>
              <w:pStyle w:val="Tabletext"/>
              <w:tabs>
                <w:tab w:val="decimal" w:pos="737"/>
              </w:tabs>
              <w:spacing w:before="60"/>
              <w:jc w:val="right"/>
            </w:pPr>
            <w:r>
              <w:t>64.9</w:t>
            </w:r>
          </w:p>
        </w:tc>
        <w:tc>
          <w:tcPr>
            <w:tcW w:w="1637" w:type="dxa"/>
            <w:tcBorders>
              <w:bottom w:val="nil"/>
            </w:tcBorders>
            <w:vAlign w:val="bottom"/>
          </w:tcPr>
          <w:p w:rsidR="002B2D8E" w:rsidRDefault="002B2D8E" w:rsidP="001D21C1">
            <w:pPr>
              <w:pStyle w:val="Tabletext"/>
              <w:tabs>
                <w:tab w:val="decimal" w:pos="737"/>
              </w:tabs>
              <w:spacing w:before="60"/>
              <w:jc w:val="right"/>
            </w:pPr>
            <w:r>
              <w:t>42.1</w:t>
            </w:r>
          </w:p>
        </w:tc>
      </w:tr>
      <w:tr w:rsidR="002B2D8E" w:rsidTr="001D21C1">
        <w:trPr>
          <w:trHeight w:hRule="exact" w:val="567"/>
        </w:trPr>
        <w:tc>
          <w:tcPr>
            <w:tcW w:w="5231" w:type="dxa"/>
            <w:tcBorders>
              <w:top w:val="nil"/>
              <w:bottom w:val="nil"/>
            </w:tcBorders>
          </w:tcPr>
          <w:p w:rsidR="001D21C1" w:rsidRPr="001D21C1" w:rsidRDefault="002B2D8E" w:rsidP="001D21C1">
            <w:pPr>
              <w:pStyle w:val="Tabletext"/>
              <w:spacing w:before="60"/>
              <w:ind w:left="198"/>
            </w:pPr>
            <w:r>
              <w:t xml:space="preserve">59 Other clerical and administrative workers </w:t>
            </w:r>
          </w:p>
        </w:tc>
        <w:tc>
          <w:tcPr>
            <w:tcW w:w="1637" w:type="dxa"/>
            <w:tcBorders>
              <w:top w:val="nil"/>
              <w:bottom w:val="nil"/>
            </w:tcBorders>
          </w:tcPr>
          <w:p w:rsidR="002B2D8E" w:rsidRDefault="002B2D8E" w:rsidP="001D21C1">
            <w:pPr>
              <w:pStyle w:val="Tabletext"/>
              <w:tabs>
                <w:tab w:val="decimal" w:pos="737"/>
              </w:tabs>
              <w:spacing w:before="60"/>
              <w:jc w:val="right"/>
            </w:pPr>
            <w:r>
              <w:t>41.8</w:t>
            </w:r>
          </w:p>
        </w:tc>
        <w:tc>
          <w:tcPr>
            <w:tcW w:w="1637" w:type="dxa"/>
            <w:tcBorders>
              <w:top w:val="nil"/>
              <w:bottom w:val="nil"/>
            </w:tcBorders>
          </w:tcPr>
          <w:p w:rsidR="002B2D8E" w:rsidRDefault="002B2D8E" w:rsidP="001D21C1">
            <w:pPr>
              <w:pStyle w:val="Tabletext"/>
              <w:tabs>
                <w:tab w:val="decimal" w:pos="737"/>
              </w:tabs>
              <w:spacing w:before="60"/>
              <w:jc w:val="right"/>
            </w:pPr>
            <w:r>
              <w:t>18.7</w:t>
            </w:r>
          </w:p>
        </w:tc>
      </w:tr>
      <w:tr w:rsidR="002B2D8E" w:rsidTr="001D21C1">
        <w:tc>
          <w:tcPr>
            <w:tcW w:w="5231" w:type="dxa"/>
            <w:tcBorders>
              <w:top w:val="nil"/>
            </w:tcBorders>
            <w:vAlign w:val="bottom"/>
          </w:tcPr>
          <w:p w:rsidR="002B2D8E" w:rsidRPr="0017681F" w:rsidRDefault="002B2D8E" w:rsidP="002B2D8E">
            <w:pPr>
              <w:pStyle w:val="Tabletext"/>
              <w:tabs>
                <w:tab w:val="left" w:pos="198"/>
              </w:tabs>
              <w:rPr>
                <w:b/>
              </w:rPr>
            </w:pPr>
            <w:r w:rsidRPr="0017681F">
              <w:rPr>
                <w:b/>
              </w:rPr>
              <w:lastRenderedPageBreak/>
              <w:t>6</w:t>
            </w:r>
            <w:r w:rsidRPr="0017681F">
              <w:rPr>
                <w:b/>
              </w:rPr>
              <w:tab/>
              <w:t xml:space="preserve">Sales workers </w:t>
            </w:r>
          </w:p>
        </w:tc>
        <w:tc>
          <w:tcPr>
            <w:tcW w:w="1637" w:type="dxa"/>
            <w:tcBorders>
              <w:top w:val="nil"/>
            </w:tcBorders>
          </w:tcPr>
          <w:p w:rsidR="002B2D8E" w:rsidRPr="009C0101" w:rsidRDefault="002B2D8E" w:rsidP="001D21C1">
            <w:pPr>
              <w:pStyle w:val="Tabletext"/>
              <w:tabs>
                <w:tab w:val="decimal" w:pos="737"/>
              </w:tabs>
              <w:jc w:val="right"/>
              <w:rPr>
                <w:b/>
              </w:rPr>
            </w:pPr>
            <w:r w:rsidRPr="009C0101">
              <w:rPr>
                <w:b/>
              </w:rPr>
              <w:t>51.6</w:t>
            </w:r>
          </w:p>
        </w:tc>
        <w:tc>
          <w:tcPr>
            <w:tcW w:w="1637" w:type="dxa"/>
            <w:tcBorders>
              <w:top w:val="nil"/>
            </w:tcBorders>
          </w:tcPr>
          <w:p w:rsidR="002B2D8E" w:rsidRPr="009C0101" w:rsidRDefault="002B2D8E" w:rsidP="001D21C1">
            <w:pPr>
              <w:pStyle w:val="Tabletext"/>
              <w:tabs>
                <w:tab w:val="decimal" w:pos="737"/>
              </w:tabs>
              <w:jc w:val="right"/>
              <w:rPr>
                <w:b/>
              </w:rPr>
            </w:pPr>
            <w:r>
              <w:rPr>
                <w:b/>
              </w:rPr>
              <w:t>45.2</w:t>
            </w:r>
          </w:p>
        </w:tc>
      </w:tr>
      <w:tr w:rsidR="002B2D8E" w:rsidTr="001D21C1">
        <w:tc>
          <w:tcPr>
            <w:tcW w:w="5231" w:type="dxa"/>
            <w:vAlign w:val="bottom"/>
          </w:tcPr>
          <w:p w:rsidR="002B2D8E" w:rsidRDefault="002B2D8E" w:rsidP="002B2D8E">
            <w:pPr>
              <w:pStyle w:val="Tabletext"/>
              <w:spacing w:before="60"/>
              <w:ind w:left="198"/>
            </w:pPr>
            <w:r>
              <w:t xml:space="preserve">61 Sales representatives and agents </w:t>
            </w:r>
          </w:p>
        </w:tc>
        <w:tc>
          <w:tcPr>
            <w:tcW w:w="1637" w:type="dxa"/>
            <w:vAlign w:val="bottom"/>
          </w:tcPr>
          <w:p w:rsidR="002B2D8E" w:rsidRDefault="002B2D8E" w:rsidP="001D21C1">
            <w:pPr>
              <w:pStyle w:val="Tabletext"/>
              <w:tabs>
                <w:tab w:val="decimal" w:pos="737"/>
              </w:tabs>
              <w:spacing w:before="60"/>
              <w:jc w:val="right"/>
            </w:pPr>
            <w:r>
              <w:t>49.6</w:t>
            </w:r>
          </w:p>
        </w:tc>
        <w:tc>
          <w:tcPr>
            <w:tcW w:w="1637" w:type="dxa"/>
            <w:vAlign w:val="bottom"/>
          </w:tcPr>
          <w:p w:rsidR="002B2D8E" w:rsidRDefault="002B2D8E" w:rsidP="001D21C1">
            <w:pPr>
              <w:pStyle w:val="Tabletext"/>
              <w:tabs>
                <w:tab w:val="decimal" w:pos="737"/>
              </w:tabs>
              <w:spacing w:before="60"/>
              <w:jc w:val="right"/>
            </w:pPr>
            <w:r>
              <w:t>40.1</w:t>
            </w:r>
          </w:p>
        </w:tc>
      </w:tr>
      <w:tr w:rsidR="002B2D8E" w:rsidTr="001D21C1">
        <w:tc>
          <w:tcPr>
            <w:tcW w:w="5231" w:type="dxa"/>
            <w:vAlign w:val="bottom"/>
          </w:tcPr>
          <w:p w:rsidR="002B2D8E" w:rsidRDefault="002B2D8E" w:rsidP="002B2D8E">
            <w:pPr>
              <w:pStyle w:val="Tabletext"/>
              <w:spacing w:before="60"/>
              <w:ind w:left="198"/>
            </w:pPr>
            <w:r>
              <w:t xml:space="preserve">62 Sales assistants and salespersons </w:t>
            </w:r>
          </w:p>
        </w:tc>
        <w:tc>
          <w:tcPr>
            <w:tcW w:w="1637" w:type="dxa"/>
            <w:vAlign w:val="bottom"/>
          </w:tcPr>
          <w:p w:rsidR="002B2D8E" w:rsidRDefault="002B2D8E" w:rsidP="001D21C1">
            <w:pPr>
              <w:pStyle w:val="Tabletext"/>
              <w:tabs>
                <w:tab w:val="decimal" w:pos="737"/>
              </w:tabs>
              <w:spacing w:before="60"/>
              <w:jc w:val="right"/>
            </w:pPr>
            <w:r>
              <w:t>52.0</w:t>
            </w:r>
          </w:p>
        </w:tc>
        <w:tc>
          <w:tcPr>
            <w:tcW w:w="1637" w:type="dxa"/>
            <w:vAlign w:val="bottom"/>
          </w:tcPr>
          <w:p w:rsidR="002B2D8E" w:rsidRDefault="002B2D8E" w:rsidP="001D21C1">
            <w:pPr>
              <w:pStyle w:val="Tabletext"/>
              <w:tabs>
                <w:tab w:val="decimal" w:pos="737"/>
              </w:tabs>
              <w:spacing w:before="60"/>
              <w:jc w:val="right"/>
            </w:pPr>
            <w:r>
              <w:t>46.1</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7</w:t>
            </w:r>
            <w:r w:rsidRPr="0017681F">
              <w:rPr>
                <w:b/>
              </w:rPr>
              <w:tab/>
              <w:t xml:space="preserve">Machinery operators and drivers </w:t>
            </w:r>
          </w:p>
        </w:tc>
        <w:tc>
          <w:tcPr>
            <w:tcW w:w="1637" w:type="dxa"/>
          </w:tcPr>
          <w:p w:rsidR="002B2D8E" w:rsidRPr="009C0101" w:rsidRDefault="002B2D8E" w:rsidP="001D21C1">
            <w:pPr>
              <w:pStyle w:val="Tabletext"/>
              <w:tabs>
                <w:tab w:val="decimal" w:pos="737"/>
              </w:tabs>
              <w:jc w:val="right"/>
              <w:rPr>
                <w:b/>
              </w:rPr>
            </w:pPr>
            <w:r w:rsidRPr="009C0101">
              <w:rPr>
                <w:b/>
              </w:rPr>
              <w:t>39.5</w:t>
            </w:r>
          </w:p>
        </w:tc>
        <w:tc>
          <w:tcPr>
            <w:tcW w:w="1637" w:type="dxa"/>
          </w:tcPr>
          <w:p w:rsidR="002B2D8E" w:rsidRPr="009C0101" w:rsidRDefault="002B2D8E" w:rsidP="001D21C1">
            <w:pPr>
              <w:pStyle w:val="Tabletext"/>
              <w:tabs>
                <w:tab w:val="decimal" w:pos="737"/>
              </w:tabs>
              <w:jc w:val="right"/>
              <w:rPr>
                <w:b/>
              </w:rPr>
            </w:pPr>
            <w:r>
              <w:rPr>
                <w:b/>
              </w:rPr>
              <w:t>26.6</w:t>
            </w:r>
          </w:p>
        </w:tc>
      </w:tr>
      <w:tr w:rsidR="002B2D8E" w:rsidTr="001D21C1">
        <w:tc>
          <w:tcPr>
            <w:tcW w:w="5231" w:type="dxa"/>
            <w:vAlign w:val="bottom"/>
          </w:tcPr>
          <w:p w:rsidR="002B2D8E" w:rsidRDefault="002B2D8E" w:rsidP="002B2D8E">
            <w:pPr>
              <w:pStyle w:val="Tabletext"/>
              <w:spacing w:before="60"/>
              <w:ind w:left="198"/>
            </w:pPr>
            <w:r>
              <w:t xml:space="preserve">71 Machine and stationary plant operators </w:t>
            </w:r>
          </w:p>
        </w:tc>
        <w:tc>
          <w:tcPr>
            <w:tcW w:w="1637" w:type="dxa"/>
            <w:vAlign w:val="bottom"/>
          </w:tcPr>
          <w:p w:rsidR="002B2D8E" w:rsidRDefault="002B2D8E" w:rsidP="001D21C1">
            <w:pPr>
              <w:pStyle w:val="Tabletext"/>
              <w:tabs>
                <w:tab w:val="decimal" w:pos="737"/>
              </w:tabs>
              <w:spacing w:before="60"/>
              <w:jc w:val="right"/>
            </w:pPr>
            <w:r>
              <w:t>38.3</w:t>
            </w:r>
          </w:p>
        </w:tc>
        <w:tc>
          <w:tcPr>
            <w:tcW w:w="1637" w:type="dxa"/>
            <w:vAlign w:val="bottom"/>
          </w:tcPr>
          <w:p w:rsidR="002B2D8E" w:rsidRDefault="002B2D8E" w:rsidP="001D21C1">
            <w:pPr>
              <w:pStyle w:val="Tabletext"/>
              <w:tabs>
                <w:tab w:val="decimal" w:pos="737"/>
              </w:tabs>
              <w:spacing w:before="60"/>
              <w:jc w:val="right"/>
            </w:pPr>
            <w:r>
              <w:t>22.2</w:t>
            </w:r>
          </w:p>
        </w:tc>
      </w:tr>
      <w:tr w:rsidR="002B2D8E" w:rsidTr="001D21C1">
        <w:tc>
          <w:tcPr>
            <w:tcW w:w="5231" w:type="dxa"/>
            <w:vAlign w:val="bottom"/>
          </w:tcPr>
          <w:p w:rsidR="002B2D8E" w:rsidRDefault="002B2D8E" w:rsidP="002B2D8E">
            <w:pPr>
              <w:pStyle w:val="Tabletext"/>
              <w:spacing w:before="60"/>
              <w:ind w:left="198"/>
            </w:pPr>
            <w:r>
              <w:t xml:space="preserve">72 Mobile plant operators </w:t>
            </w:r>
          </w:p>
        </w:tc>
        <w:tc>
          <w:tcPr>
            <w:tcW w:w="1637" w:type="dxa"/>
            <w:vAlign w:val="bottom"/>
          </w:tcPr>
          <w:p w:rsidR="002B2D8E" w:rsidRDefault="002B2D8E" w:rsidP="001D21C1">
            <w:pPr>
              <w:pStyle w:val="Tabletext"/>
              <w:tabs>
                <w:tab w:val="decimal" w:pos="737"/>
              </w:tabs>
              <w:spacing w:before="60"/>
              <w:jc w:val="right"/>
            </w:pPr>
            <w:r>
              <w:t>32.1</w:t>
            </w:r>
          </w:p>
        </w:tc>
        <w:tc>
          <w:tcPr>
            <w:tcW w:w="1637" w:type="dxa"/>
            <w:vAlign w:val="bottom"/>
          </w:tcPr>
          <w:p w:rsidR="002B2D8E" w:rsidRDefault="002B2D8E" w:rsidP="001D21C1">
            <w:pPr>
              <w:pStyle w:val="Tabletext"/>
              <w:tabs>
                <w:tab w:val="decimal" w:pos="737"/>
              </w:tabs>
              <w:spacing w:before="60"/>
              <w:jc w:val="right"/>
            </w:pPr>
            <w:r>
              <w:t>22.1</w:t>
            </w:r>
          </w:p>
        </w:tc>
      </w:tr>
      <w:tr w:rsidR="002B2D8E" w:rsidTr="001D21C1">
        <w:tc>
          <w:tcPr>
            <w:tcW w:w="5231" w:type="dxa"/>
            <w:vAlign w:val="bottom"/>
          </w:tcPr>
          <w:p w:rsidR="002B2D8E" w:rsidRDefault="002B2D8E" w:rsidP="002B2D8E">
            <w:pPr>
              <w:pStyle w:val="Tabletext"/>
              <w:spacing w:before="60"/>
              <w:ind w:left="198"/>
            </w:pPr>
            <w:r>
              <w:t xml:space="preserve">73 Road and rail drivers </w:t>
            </w:r>
          </w:p>
        </w:tc>
        <w:tc>
          <w:tcPr>
            <w:tcW w:w="1637" w:type="dxa"/>
            <w:vAlign w:val="bottom"/>
          </w:tcPr>
          <w:p w:rsidR="002B2D8E" w:rsidRDefault="002B2D8E" w:rsidP="001D21C1">
            <w:pPr>
              <w:pStyle w:val="Tabletext"/>
              <w:tabs>
                <w:tab w:val="decimal" w:pos="737"/>
              </w:tabs>
              <w:spacing w:before="60"/>
              <w:jc w:val="right"/>
            </w:pPr>
            <w:r>
              <w:t>41.1</w:t>
            </w:r>
          </w:p>
        </w:tc>
        <w:tc>
          <w:tcPr>
            <w:tcW w:w="1637" w:type="dxa"/>
            <w:vAlign w:val="bottom"/>
          </w:tcPr>
          <w:p w:rsidR="002B2D8E" w:rsidRDefault="002B2D8E" w:rsidP="001D21C1">
            <w:pPr>
              <w:pStyle w:val="Tabletext"/>
              <w:tabs>
                <w:tab w:val="decimal" w:pos="737"/>
              </w:tabs>
              <w:spacing w:before="60"/>
              <w:jc w:val="right"/>
            </w:pPr>
            <w:r>
              <w:t>32.3</w:t>
            </w:r>
          </w:p>
        </w:tc>
      </w:tr>
      <w:tr w:rsidR="002B2D8E" w:rsidTr="001D21C1">
        <w:tc>
          <w:tcPr>
            <w:tcW w:w="5231" w:type="dxa"/>
            <w:vAlign w:val="bottom"/>
          </w:tcPr>
          <w:p w:rsidR="002B2D8E" w:rsidRDefault="002B2D8E" w:rsidP="002B2D8E">
            <w:pPr>
              <w:pStyle w:val="Tabletext"/>
              <w:spacing w:before="60"/>
              <w:ind w:left="198"/>
            </w:pPr>
            <w:r>
              <w:t xml:space="preserve">74 Storepersons </w:t>
            </w:r>
          </w:p>
        </w:tc>
        <w:tc>
          <w:tcPr>
            <w:tcW w:w="1637" w:type="dxa"/>
            <w:vAlign w:val="bottom"/>
          </w:tcPr>
          <w:p w:rsidR="002B2D8E" w:rsidRDefault="002B2D8E" w:rsidP="001D21C1">
            <w:pPr>
              <w:pStyle w:val="Tabletext"/>
              <w:tabs>
                <w:tab w:val="decimal" w:pos="737"/>
              </w:tabs>
              <w:spacing w:before="60"/>
              <w:jc w:val="right"/>
            </w:pPr>
            <w:r>
              <w:t>40.5</w:t>
            </w:r>
          </w:p>
        </w:tc>
        <w:tc>
          <w:tcPr>
            <w:tcW w:w="1637" w:type="dxa"/>
            <w:vAlign w:val="bottom"/>
          </w:tcPr>
          <w:p w:rsidR="002B2D8E" w:rsidRDefault="002B2D8E" w:rsidP="001D21C1">
            <w:pPr>
              <w:pStyle w:val="Tabletext"/>
              <w:tabs>
                <w:tab w:val="decimal" w:pos="737"/>
              </w:tabs>
              <w:spacing w:before="60"/>
              <w:jc w:val="right"/>
            </w:pPr>
            <w:r>
              <w:t>23.7</w:t>
            </w:r>
          </w:p>
        </w:tc>
      </w:tr>
      <w:tr w:rsidR="002B2D8E" w:rsidTr="001D21C1">
        <w:tc>
          <w:tcPr>
            <w:tcW w:w="5231" w:type="dxa"/>
            <w:vAlign w:val="bottom"/>
          </w:tcPr>
          <w:p w:rsidR="002B2D8E" w:rsidRPr="0017681F" w:rsidRDefault="002B2D8E" w:rsidP="002B2D8E">
            <w:pPr>
              <w:pStyle w:val="Tabletext"/>
              <w:tabs>
                <w:tab w:val="left" w:pos="198"/>
              </w:tabs>
              <w:rPr>
                <w:b/>
              </w:rPr>
            </w:pPr>
            <w:r w:rsidRPr="0017681F">
              <w:rPr>
                <w:b/>
              </w:rPr>
              <w:t>8</w:t>
            </w:r>
            <w:r w:rsidRPr="0017681F">
              <w:rPr>
                <w:b/>
              </w:rPr>
              <w:tab/>
              <w:t xml:space="preserve">Labourers </w:t>
            </w:r>
          </w:p>
        </w:tc>
        <w:tc>
          <w:tcPr>
            <w:tcW w:w="1637" w:type="dxa"/>
          </w:tcPr>
          <w:p w:rsidR="002B2D8E" w:rsidRPr="00365D1A" w:rsidRDefault="002B2D8E" w:rsidP="001D21C1">
            <w:pPr>
              <w:pStyle w:val="Tabletext"/>
              <w:tabs>
                <w:tab w:val="decimal" w:pos="737"/>
              </w:tabs>
              <w:jc w:val="right"/>
              <w:rPr>
                <w:b/>
              </w:rPr>
            </w:pPr>
            <w:r w:rsidRPr="00365D1A">
              <w:rPr>
                <w:b/>
              </w:rPr>
              <w:t>33.6</w:t>
            </w:r>
          </w:p>
        </w:tc>
        <w:tc>
          <w:tcPr>
            <w:tcW w:w="1637" w:type="dxa"/>
          </w:tcPr>
          <w:p w:rsidR="002B2D8E" w:rsidRPr="00365D1A" w:rsidRDefault="002B2D8E" w:rsidP="001D21C1">
            <w:pPr>
              <w:pStyle w:val="Tabletext"/>
              <w:tabs>
                <w:tab w:val="decimal" w:pos="737"/>
              </w:tabs>
              <w:jc w:val="right"/>
              <w:rPr>
                <w:b/>
              </w:rPr>
            </w:pPr>
            <w:r>
              <w:rPr>
                <w:b/>
              </w:rPr>
              <w:t>25.5</w:t>
            </w:r>
          </w:p>
        </w:tc>
      </w:tr>
      <w:tr w:rsidR="002B2D8E" w:rsidTr="001D21C1">
        <w:tc>
          <w:tcPr>
            <w:tcW w:w="5231" w:type="dxa"/>
            <w:vAlign w:val="bottom"/>
          </w:tcPr>
          <w:p w:rsidR="002B2D8E" w:rsidRDefault="002B2D8E" w:rsidP="002B2D8E">
            <w:pPr>
              <w:pStyle w:val="Tabletext"/>
              <w:spacing w:before="60"/>
              <w:ind w:left="198"/>
            </w:pPr>
            <w:r>
              <w:t xml:space="preserve">81 Cleaners and laundry workers </w:t>
            </w:r>
          </w:p>
        </w:tc>
        <w:tc>
          <w:tcPr>
            <w:tcW w:w="1637" w:type="dxa"/>
            <w:vAlign w:val="bottom"/>
          </w:tcPr>
          <w:p w:rsidR="002B2D8E" w:rsidRDefault="002B2D8E" w:rsidP="001D21C1">
            <w:pPr>
              <w:pStyle w:val="Tabletext"/>
              <w:tabs>
                <w:tab w:val="decimal" w:pos="737"/>
              </w:tabs>
              <w:spacing w:before="60"/>
              <w:jc w:val="right"/>
            </w:pPr>
            <w:r>
              <w:t>88.8</w:t>
            </w:r>
          </w:p>
        </w:tc>
        <w:tc>
          <w:tcPr>
            <w:tcW w:w="1637" w:type="dxa"/>
            <w:vAlign w:val="bottom"/>
          </w:tcPr>
          <w:p w:rsidR="002B2D8E" w:rsidRDefault="002B2D8E" w:rsidP="001D21C1">
            <w:pPr>
              <w:pStyle w:val="Tabletext"/>
              <w:tabs>
                <w:tab w:val="decimal" w:pos="737"/>
              </w:tabs>
              <w:spacing w:before="60"/>
              <w:jc w:val="right"/>
            </w:pPr>
            <w:r>
              <w:t>84.8</w:t>
            </w:r>
          </w:p>
        </w:tc>
      </w:tr>
      <w:tr w:rsidR="002B2D8E" w:rsidTr="001D21C1">
        <w:tc>
          <w:tcPr>
            <w:tcW w:w="5231" w:type="dxa"/>
            <w:vAlign w:val="bottom"/>
          </w:tcPr>
          <w:p w:rsidR="002B2D8E" w:rsidRDefault="002B2D8E" w:rsidP="002B2D8E">
            <w:pPr>
              <w:pStyle w:val="Tabletext"/>
              <w:spacing w:before="60"/>
              <w:ind w:left="198"/>
            </w:pPr>
            <w:r>
              <w:t xml:space="preserve">82 Construction and mining labourers </w:t>
            </w:r>
          </w:p>
        </w:tc>
        <w:tc>
          <w:tcPr>
            <w:tcW w:w="1637" w:type="dxa"/>
            <w:vAlign w:val="bottom"/>
          </w:tcPr>
          <w:p w:rsidR="002B2D8E" w:rsidRDefault="002B2D8E" w:rsidP="001D21C1">
            <w:pPr>
              <w:pStyle w:val="Tabletext"/>
              <w:tabs>
                <w:tab w:val="decimal" w:pos="737"/>
              </w:tabs>
              <w:spacing w:before="60"/>
              <w:jc w:val="right"/>
            </w:pPr>
            <w:r>
              <w:t>24.0</w:t>
            </w:r>
          </w:p>
        </w:tc>
        <w:tc>
          <w:tcPr>
            <w:tcW w:w="1637" w:type="dxa"/>
            <w:vAlign w:val="bottom"/>
          </w:tcPr>
          <w:p w:rsidR="002B2D8E" w:rsidRDefault="002B2D8E" w:rsidP="001D21C1">
            <w:pPr>
              <w:pStyle w:val="Tabletext"/>
              <w:tabs>
                <w:tab w:val="decimal" w:pos="737"/>
              </w:tabs>
              <w:spacing w:before="60"/>
              <w:jc w:val="right"/>
            </w:pPr>
            <w:r>
              <w:t>18.3</w:t>
            </w:r>
          </w:p>
        </w:tc>
      </w:tr>
      <w:tr w:rsidR="002B2D8E" w:rsidTr="001D21C1">
        <w:tc>
          <w:tcPr>
            <w:tcW w:w="5231" w:type="dxa"/>
            <w:vAlign w:val="bottom"/>
          </w:tcPr>
          <w:p w:rsidR="002B2D8E" w:rsidRDefault="002B2D8E" w:rsidP="002B2D8E">
            <w:pPr>
              <w:pStyle w:val="Tabletext"/>
              <w:spacing w:before="60"/>
              <w:ind w:left="198"/>
            </w:pPr>
            <w:r>
              <w:t>83 Factory process workers</w:t>
            </w:r>
          </w:p>
        </w:tc>
        <w:tc>
          <w:tcPr>
            <w:tcW w:w="1637" w:type="dxa"/>
            <w:vAlign w:val="bottom"/>
          </w:tcPr>
          <w:p w:rsidR="002B2D8E" w:rsidRDefault="002B2D8E" w:rsidP="001D21C1">
            <w:pPr>
              <w:pStyle w:val="Tabletext"/>
              <w:tabs>
                <w:tab w:val="decimal" w:pos="737"/>
              </w:tabs>
              <w:spacing w:before="60"/>
              <w:jc w:val="right"/>
            </w:pPr>
            <w:r>
              <w:t>43.3</w:t>
            </w:r>
          </w:p>
        </w:tc>
        <w:tc>
          <w:tcPr>
            <w:tcW w:w="1637" w:type="dxa"/>
            <w:vAlign w:val="bottom"/>
          </w:tcPr>
          <w:p w:rsidR="002B2D8E" w:rsidRDefault="002B2D8E" w:rsidP="001D21C1">
            <w:pPr>
              <w:pStyle w:val="Tabletext"/>
              <w:tabs>
                <w:tab w:val="decimal" w:pos="737"/>
              </w:tabs>
              <w:spacing w:before="60"/>
              <w:jc w:val="right"/>
            </w:pPr>
            <w:r>
              <w:t>31.9</w:t>
            </w:r>
          </w:p>
        </w:tc>
      </w:tr>
      <w:tr w:rsidR="002B2D8E" w:rsidTr="001D21C1">
        <w:tc>
          <w:tcPr>
            <w:tcW w:w="5231" w:type="dxa"/>
            <w:vAlign w:val="bottom"/>
          </w:tcPr>
          <w:p w:rsidR="002B2D8E" w:rsidRDefault="002B2D8E" w:rsidP="002B2D8E">
            <w:pPr>
              <w:pStyle w:val="Tabletext"/>
              <w:spacing w:before="60"/>
              <w:ind w:left="198"/>
            </w:pPr>
            <w:r>
              <w:t>84 Farm, forestry and garden workers</w:t>
            </w:r>
          </w:p>
        </w:tc>
        <w:tc>
          <w:tcPr>
            <w:tcW w:w="1637" w:type="dxa"/>
            <w:vAlign w:val="bottom"/>
          </w:tcPr>
          <w:p w:rsidR="002B2D8E" w:rsidRDefault="002B2D8E" w:rsidP="001D21C1">
            <w:pPr>
              <w:pStyle w:val="Tabletext"/>
              <w:tabs>
                <w:tab w:val="decimal" w:pos="737"/>
              </w:tabs>
              <w:spacing w:before="60"/>
              <w:jc w:val="right"/>
            </w:pPr>
            <w:r>
              <w:t>36.4</w:t>
            </w:r>
          </w:p>
        </w:tc>
        <w:tc>
          <w:tcPr>
            <w:tcW w:w="1637" w:type="dxa"/>
            <w:vAlign w:val="bottom"/>
          </w:tcPr>
          <w:p w:rsidR="002B2D8E" w:rsidRDefault="002B2D8E" w:rsidP="001D21C1">
            <w:pPr>
              <w:pStyle w:val="Tabletext"/>
              <w:tabs>
                <w:tab w:val="decimal" w:pos="737"/>
              </w:tabs>
              <w:spacing w:before="60"/>
              <w:jc w:val="right"/>
            </w:pPr>
            <w:r>
              <w:t>26.3</w:t>
            </w:r>
          </w:p>
        </w:tc>
      </w:tr>
      <w:tr w:rsidR="002B2D8E" w:rsidTr="001D21C1">
        <w:tc>
          <w:tcPr>
            <w:tcW w:w="5231" w:type="dxa"/>
            <w:vAlign w:val="bottom"/>
          </w:tcPr>
          <w:p w:rsidR="002B2D8E" w:rsidRDefault="002B2D8E" w:rsidP="002B2D8E">
            <w:pPr>
              <w:pStyle w:val="Tabletext"/>
              <w:spacing w:before="60"/>
              <w:ind w:left="198"/>
            </w:pPr>
            <w:r>
              <w:t>85 Food preparation assistants</w:t>
            </w:r>
          </w:p>
        </w:tc>
        <w:tc>
          <w:tcPr>
            <w:tcW w:w="1637" w:type="dxa"/>
            <w:vAlign w:val="bottom"/>
          </w:tcPr>
          <w:p w:rsidR="002B2D8E" w:rsidRDefault="002B2D8E" w:rsidP="001D21C1">
            <w:pPr>
              <w:pStyle w:val="Tabletext"/>
              <w:tabs>
                <w:tab w:val="decimal" w:pos="737"/>
              </w:tabs>
              <w:spacing w:before="60"/>
              <w:jc w:val="right"/>
            </w:pPr>
            <w:r>
              <w:t>23.1</w:t>
            </w:r>
          </w:p>
        </w:tc>
        <w:tc>
          <w:tcPr>
            <w:tcW w:w="1637" w:type="dxa"/>
            <w:vAlign w:val="bottom"/>
          </w:tcPr>
          <w:p w:rsidR="002B2D8E" w:rsidRDefault="002B2D8E" w:rsidP="001D21C1">
            <w:pPr>
              <w:pStyle w:val="Tabletext"/>
              <w:tabs>
                <w:tab w:val="decimal" w:pos="737"/>
              </w:tabs>
              <w:spacing w:before="60"/>
              <w:jc w:val="right"/>
            </w:pPr>
            <w:r>
              <w:t>13.7</w:t>
            </w:r>
          </w:p>
        </w:tc>
      </w:tr>
      <w:tr w:rsidR="002B2D8E" w:rsidTr="001D21C1">
        <w:tc>
          <w:tcPr>
            <w:tcW w:w="5231" w:type="dxa"/>
            <w:vAlign w:val="bottom"/>
          </w:tcPr>
          <w:p w:rsidR="002B2D8E" w:rsidRDefault="002B2D8E" w:rsidP="002B2D8E">
            <w:pPr>
              <w:pStyle w:val="Tabletext"/>
              <w:spacing w:before="60"/>
              <w:ind w:left="198"/>
            </w:pPr>
            <w:r>
              <w:t>89 Other labourers</w:t>
            </w:r>
          </w:p>
        </w:tc>
        <w:tc>
          <w:tcPr>
            <w:tcW w:w="1637" w:type="dxa"/>
            <w:vAlign w:val="bottom"/>
          </w:tcPr>
          <w:p w:rsidR="002B2D8E" w:rsidRDefault="002B2D8E" w:rsidP="001D21C1">
            <w:pPr>
              <w:pStyle w:val="Tabletext"/>
              <w:tabs>
                <w:tab w:val="decimal" w:pos="737"/>
              </w:tabs>
              <w:spacing w:before="60"/>
              <w:jc w:val="right"/>
            </w:pPr>
            <w:r>
              <w:t>13.1</w:t>
            </w:r>
          </w:p>
        </w:tc>
        <w:tc>
          <w:tcPr>
            <w:tcW w:w="1637" w:type="dxa"/>
            <w:vAlign w:val="bottom"/>
          </w:tcPr>
          <w:p w:rsidR="002B2D8E" w:rsidRDefault="002B2D8E" w:rsidP="001D21C1">
            <w:pPr>
              <w:pStyle w:val="Tabletext"/>
              <w:tabs>
                <w:tab w:val="decimal" w:pos="737"/>
              </w:tabs>
              <w:spacing w:before="60"/>
              <w:jc w:val="right"/>
            </w:pPr>
            <w:r>
              <w:t>8.2</w:t>
            </w:r>
          </w:p>
        </w:tc>
      </w:tr>
      <w:tr w:rsidR="002B2D8E" w:rsidTr="001D21C1">
        <w:tc>
          <w:tcPr>
            <w:tcW w:w="5231" w:type="dxa"/>
            <w:vAlign w:val="bottom"/>
          </w:tcPr>
          <w:p w:rsidR="002B2D8E" w:rsidRPr="0017681F" w:rsidRDefault="002B2D8E" w:rsidP="002B2D8E">
            <w:pPr>
              <w:pStyle w:val="Tabletext"/>
              <w:rPr>
                <w:b/>
              </w:rPr>
            </w:pPr>
            <w:r w:rsidRPr="0017681F">
              <w:rPr>
                <w:b/>
              </w:rPr>
              <w:t>Total</w:t>
            </w:r>
          </w:p>
        </w:tc>
        <w:tc>
          <w:tcPr>
            <w:tcW w:w="1637" w:type="dxa"/>
          </w:tcPr>
          <w:p w:rsidR="002B2D8E" w:rsidRPr="009C0101" w:rsidRDefault="002B2D8E" w:rsidP="001D21C1">
            <w:pPr>
              <w:pStyle w:val="Tabletext"/>
              <w:tabs>
                <w:tab w:val="decimal" w:pos="737"/>
              </w:tabs>
              <w:jc w:val="right"/>
              <w:rPr>
                <w:b/>
              </w:rPr>
            </w:pPr>
            <w:r w:rsidRPr="009C0101">
              <w:rPr>
                <w:b/>
              </w:rPr>
              <w:t>47.8</w:t>
            </w:r>
          </w:p>
        </w:tc>
        <w:tc>
          <w:tcPr>
            <w:tcW w:w="1637" w:type="dxa"/>
          </w:tcPr>
          <w:p w:rsidR="002B2D8E" w:rsidRPr="009C0101" w:rsidRDefault="002B2D8E" w:rsidP="001D21C1">
            <w:pPr>
              <w:pStyle w:val="Tabletext"/>
              <w:tabs>
                <w:tab w:val="decimal" w:pos="737"/>
              </w:tabs>
              <w:jc w:val="right"/>
              <w:rPr>
                <w:b/>
              </w:rPr>
            </w:pPr>
            <w:r w:rsidRPr="009C0101">
              <w:rPr>
                <w:b/>
              </w:rPr>
              <w:t>36.6</w:t>
            </w:r>
          </w:p>
        </w:tc>
      </w:tr>
    </w:tbl>
    <w:p w:rsidR="002B2D8E" w:rsidRDefault="002B2D8E" w:rsidP="002B2D8E">
      <w:pPr>
        <w:pStyle w:val="Source"/>
        <w:ind w:left="709" w:hanging="709"/>
      </w:pPr>
      <w:r>
        <w:t>Notes:</w:t>
      </w:r>
      <w:r>
        <w:tab/>
        <w:t>Base is all graduates, irrespective of reason for study, who were employed as at May 2007, excluding those from the adult and community education (ACE) sector and unknown intended ANZSCO.</w:t>
      </w:r>
    </w:p>
    <w:p w:rsidR="002B2D8E" w:rsidRDefault="002B2D8E" w:rsidP="007C1562">
      <w:pPr>
        <w:pStyle w:val="Source"/>
        <w:ind w:left="709" w:hanging="709"/>
      </w:pPr>
      <w:r>
        <w:tab/>
      </w:r>
      <w:r w:rsidR="001D1E05">
        <w:t>Some sub-major group-</w:t>
      </w:r>
      <w:r>
        <w:t xml:space="preserve">level occupations are not presented due </w:t>
      </w:r>
      <w:r w:rsidR="006E68F9">
        <w:t xml:space="preserve">to </w:t>
      </w:r>
      <w:r>
        <w:t>too few numbers in sample cells.</w:t>
      </w:r>
    </w:p>
    <w:p w:rsidR="002B2D8E" w:rsidRDefault="002B2D8E" w:rsidP="007C1562">
      <w:pPr>
        <w:pStyle w:val="Source"/>
        <w:ind w:left="709" w:hanging="709"/>
      </w:pPr>
      <w:r w:rsidRPr="00F57CDE">
        <w:tab/>
      </w:r>
      <w:r>
        <w:t>* Relative standard error greater than 25%; estimate should be used with caution.</w:t>
      </w:r>
    </w:p>
    <w:p w:rsidR="00120D9C" w:rsidRDefault="00120D9C" w:rsidP="00120D9C">
      <w:pPr>
        <w:pStyle w:val="Source"/>
      </w:pPr>
      <w:r>
        <w:t>Source:</w:t>
      </w:r>
      <w:r>
        <w:tab/>
      </w:r>
      <w:r w:rsidR="006F2FD4" w:rsidRPr="006F2FD4">
        <w:t>Karmel, Mlotkowski &amp; Awodeyi</w:t>
      </w:r>
      <w:r>
        <w:t xml:space="preserve"> </w:t>
      </w:r>
      <w:r w:rsidR="007C1562">
        <w:t>(</w:t>
      </w:r>
      <w:r>
        <w:t>2008</w:t>
      </w:r>
      <w:r w:rsidR="007C1562">
        <w:t>)</w:t>
      </w:r>
      <w:r>
        <w:t>.</w:t>
      </w:r>
    </w:p>
    <w:p w:rsidR="002B2D8E" w:rsidRDefault="002B2D8E" w:rsidP="001D21C1">
      <w:pPr>
        <w:pStyle w:val="Text"/>
        <w:spacing w:before="300"/>
        <w:ind w:right="0"/>
      </w:pPr>
      <w:r>
        <w:t xml:space="preserve">These findings suggested that either </w:t>
      </w:r>
      <w:r w:rsidR="006E68F9">
        <w:t>vocational education and training</w:t>
      </w:r>
      <w:r>
        <w:t xml:space="preserve"> was not meeting the needs of the labour market that well or, alternatively, that VET was rather more generic than generally thought. Further questions in the Student Outcome</w:t>
      </w:r>
      <w:r w:rsidR="006E68F9">
        <w:t>s</w:t>
      </w:r>
      <w:r>
        <w:t xml:space="preserve"> Survey provide quite strong evidence that it is the latter, with the majority of those not working in a ‘matched’ occupation reporting that the</w:t>
      </w:r>
      <w:r w:rsidR="006E68F9">
        <w:t>i</w:t>
      </w:r>
      <w:r>
        <w:t xml:space="preserve">r training was </w:t>
      </w:r>
      <w:r w:rsidR="005F7589">
        <w:t>of</w:t>
      </w:r>
      <w:r>
        <w:t xml:space="preserve"> relevance to their work</w:t>
      </w:r>
      <w:r w:rsidR="006E68F9">
        <w:t xml:space="preserve">. There was a clear exception — </w:t>
      </w:r>
      <w:r>
        <w:t>a</w:t>
      </w:r>
      <w:r w:rsidR="006E68F9">
        <w:t>rts and media professionals —</w:t>
      </w:r>
      <w:r>
        <w:t xml:space="preserve"> for whom ov</w:t>
      </w:r>
      <w:r w:rsidR="00120D9C">
        <w:t>e</w:t>
      </w:r>
      <w:r>
        <w:t>r 60% reported that their training was of little or no relevance (</w:t>
      </w:r>
      <w:r w:rsidRPr="005F7589">
        <w:t>sports and personal service workers also reported high levels of training bei</w:t>
      </w:r>
      <w:r w:rsidR="00120D9C" w:rsidRPr="005F7589">
        <w:t>ng of little relevance)</w:t>
      </w:r>
      <w:r w:rsidR="00120D9C">
        <w:t>. Table 5</w:t>
      </w:r>
      <w:r>
        <w:t xml:space="preserve"> shows the proportions reporting that the training is of little or no relevance, of those not in a ‘matched’ occupation. </w:t>
      </w:r>
    </w:p>
    <w:p w:rsidR="001D21C1" w:rsidRPr="001D21C1" w:rsidRDefault="001D21C1" w:rsidP="001D21C1">
      <w:pPr>
        <w:pStyle w:val="Text"/>
      </w:pPr>
      <w:r w:rsidRPr="001D21C1">
        <w:t>Putting together the data from the matches and those, while not matched, who reported that the training was of relevance to their job, we constructed an index of how specific training was by course. The results are shown in the next figure. As can be seen, there is a group of occupations where the training is quite specific, with high proportions working in the matched occupation: the trades, carers and aides and also cleaners and laundry workers. However, there are many courses for which the training is largely generic. That is, the training is used in the jobs graduates get although the proportion of graduates working in the matched occupation is relatively low.</w:t>
      </w:r>
    </w:p>
    <w:p w:rsidR="001D21C1" w:rsidRPr="001D21C1" w:rsidRDefault="001D21C1" w:rsidP="001D21C1">
      <w:pPr>
        <w:pStyle w:val="Text"/>
      </w:pPr>
      <w:r w:rsidRPr="001D21C1">
        <w:t>My view is that these findings throw out a significant challenge to the sector. The focus on ‘skills for industry’ and training packages makes complete sense for those courses which are quite specific — the trades and carers and aides. But this is a minority of VET training and one could question the industry-focused approach where demonstrably training is of a more generic nature.</w:t>
      </w:r>
    </w:p>
    <w:p w:rsidR="001D21C1" w:rsidRDefault="001D21C1" w:rsidP="001D21C1">
      <w:pPr>
        <w:pStyle w:val="Text"/>
        <w:spacing w:before="300"/>
        <w:ind w:right="0"/>
      </w:pPr>
    </w:p>
    <w:p w:rsidR="002B2D8E" w:rsidRDefault="002B2D8E" w:rsidP="002B2D8E">
      <w:pPr>
        <w:pStyle w:val="tabletitle"/>
        <w:ind w:left="993" w:hanging="993"/>
      </w:pPr>
      <w:bookmarkStart w:id="61" w:name="_Toc74389797"/>
      <w:bookmarkStart w:id="62" w:name="_Toc322958611"/>
      <w:r>
        <w:lastRenderedPageBreak/>
        <w:t xml:space="preserve">Table </w:t>
      </w:r>
      <w:r w:rsidR="00120D9C">
        <w:t>5</w:t>
      </w:r>
      <w:r>
        <w:tab/>
        <w:t xml:space="preserve">Courses sorted by the proportion of graduates reporting that the training is of little or no relevance to their destination occupation: </w:t>
      </w:r>
      <w:r w:rsidRPr="006D2EE4">
        <w:t xml:space="preserve">graduates for whom intended and destination </w:t>
      </w:r>
      <w:r>
        <w:t xml:space="preserve">occupations </w:t>
      </w:r>
      <w:r w:rsidRPr="006D2EE4">
        <w:t>do not match</w:t>
      </w:r>
      <w:r>
        <w:t xml:space="preserve"> at the sub-major group level, by selected ANZSCO, </w:t>
      </w:r>
      <w:r w:rsidRPr="006D2EE4">
        <w:t>2007</w:t>
      </w:r>
      <w:bookmarkEnd w:id="61"/>
      <w:bookmarkEnd w:id="62"/>
      <w:r>
        <w:t xml:space="preserve"> </w:t>
      </w:r>
    </w:p>
    <w:tbl>
      <w:tblPr>
        <w:tblW w:w="8505" w:type="dxa"/>
        <w:tblInd w:w="108" w:type="dxa"/>
        <w:tblBorders>
          <w:top w:val="single" w:sz="4" w:space="0" w:color="auto"/>
          <w:bottom w:val="single" w:sz="4" w:space="0" w:color="auto"/>
        </w:tblBorders>
        <w:tblLayout w:type="fixed"/>
        <w:tblLook w:val="0000"/>
      </w:tblPr>
      <w:tblGrid>
        <w:gridCol w:w="6663"/>
        <w:gridCol w:w="1842"/>
      </w:tblGrid>
      <w:tr w:rsidR="002B2D8E" w:rsidRPr="008C5962" w:rsidTr="002B2D8E">
        <w:tc>
          <w:tcPr>
            <w:tcW w:w="6663" w:type="dxa"/>
            <w:tcBorders>
              <w:top w:val="single" w:sz="4" w:space="0" w:color="auto"/>
              <w:bottom w:val="single" w:sz="4" w:space="0" w:color="auto"/>
            </w:tcBorders>
            <w:shd w:val="clear" w:color="auto" w:fill="auto"/>
            <w:vAlign w:val="bottom"/>
          </w:tcPr>
          <w:p w:rsidR="002B2D8E" w:rsidRDefault="002B2D8E" w:rsidP="002B2D8E">
            <w:pPr>
              <w:pStyle w:val="Tablehead1"/>
            </w:pPr>
            <w:r>
              <w:t>Intended occupation of training activity</w:t>
            </w:r>
          </w:p>
        </w:tc>
        <w:tc>
          <w:tcPr>
            <w:tcW w:w="1842" w:type="dxa"/>
            <w:tcBorders>
              <w:top w:val="single" w:sz="4" w:space="0" w:color="auto"/>
              <w:bottom w:val="single" w:sz="4" w:space="0" w:color="auto"/>
            </w:tcBorders>
            <w:shd w:val="clear" w:color="auto" w:fill="auto"/>
          </w:tcPr>
          <w:p w:rsidR="002B2D8E" w:rsidRDefault="002B2D8E" w:rsidP="001D21C1">
            <w:pPr>
              <w:pStyle w:val="Tablehead1"/>
              <w:jc w:val="right"/>
            </w:pPr>
            <w:r>
              <w:t>%</w:t>
            </w:r>
          </w:p>
        </w:tc>
      </w:tr>
      <w:tr w:rsidR="002B2D8E" w:rsidRPr="008C5962" w:rsidTr="002B2D8E">
        <w:tc>
          <w:tcPr>
            <w:tcW w:w="6663" w:type="dxa"/>
            <w:tcBorders>
              <w:top w:val="single" w:sz="4" w:space="0" w:color="auto"/>
            </w:tcBorders>
            <w:shd w:val="clear" w:color="auto" w:fill="auto"/>
            <w:vAlign w:val="bottom"/>
          </w:tcPr>
          <w:p w:rsidR="002B2D8E" w:rsidRPr="008C5962" w:rsidRDefault="002B2D8E" w:rsidP="002B2D8E">
            <w:pPr>
              <w:pStyle w:val="Tabletext"/>
            </w:pPr>
            <w:r w:rsidRPr="008C5962">
              <w:t>21 Arts and media professionals</w:t>
            </w:r>
          </w:p>
        </w:tc>
        <w:tc>
          <w:tcPr>
            <w:tcW w:w="1842" w:type="dxa"/>
            <w:tcBorders>
              <w:top w:val="single" w:sz="4" w:space="0" w:color="auto"/>
            </w:tcBorders>
            <w:shd w:val="clear" w:color="auto" w:fill="auto"/>
            <w:vAlign w:val="bottom"/>
          </w:tcPr>
          <w:p w:rsidR="002B2D8E" w:rsidRPr="008C5962" w:rsidRDefault="002B2D8E" w:rsidP="001D21C1">
            <w:pPr>
              <w:pStyle w:val="Tabletext"/>
              <w:tabs>
                <w:tab w:val="decimal" w:pos="742"/>
              </w:tabs>
              <w:jc w:val="right"/>
            </w:pPr>
            <w:r w:rsidRPr="008C5962">
              <w:t>63.6</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45 Sports and personal service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45.0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26 ICT professionals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36.7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73 Road and rail drivers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35.3</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43 Hospitality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34.0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31 Engineering, ICT and science technicians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31.2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85 Food preparation assistants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29.7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59 Other clerical and administrative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28.6</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84 Farm, forestry and garden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27.2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22 Business, human resource and marketing professionals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27.1</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61 Sales representatives and agents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26.0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14 Hospitality, retail and service managers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25.9</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53 General clerical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25.9</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39 Other technicians and trades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24.1</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23 Design, engineering, science and transport professionals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23.1</w:t>
            </w:r>
            <w:r>
              <w:t>*</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83 Factory process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22.5</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89 Other labourers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21.7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82 Construction and mining labourers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21.2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54 Inquiry clerks and receptionists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21.2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36 Skilled animal and horticultural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20.7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74 Storepersons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20.1</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12 Farmers and farm managers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20.0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55 Numerical clerks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19.2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56 Clerical and office support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18.1</w:t>
            </w:r>
            <w:r>
              <w:t>*</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41 Health and welfare support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17.7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27 Legal, social and welfare professionals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16.9</w:t>
            </w:r>
            <w:r>
              <w:t>*</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13 Specialist managers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16.2</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71 Machine and stationary plant operators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16.0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72 Mobile plant operators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15.8</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62 Sales assistants and salespersons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15.5</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44 Protective service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14.7</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51 Office managers and program administrators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13.8</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42 Carers and aides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13.5</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24 Education professionals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12.0</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35 Food trades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8.3</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32 Automotive and engineering trades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7.8</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81 Cleaners and laundry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5.4</w:t>
            </w:r>
            <w:r>
              <w:t>*</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33 Construction trades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3.5</w:t>
            </w:r>
          </w:p>
        </w:tc>
      </w:tr>
      <w:tr w:rsidR="002B2D8E" w:rsidRPr="008C5962" w:rsidTr="002B2D8E">
        <w:tc>
          <w:tcPr>
            <w:tcW w:w="6663" w:type="dxa"/>
            <w:shd w:val="clear" w:color="auto" w:fill="auto"/>
            <w:vAlign w:val="bottom"/>
          </w:tcPr>
          <w:p w:rsidR="002B2D8E" w:rsidRPr="008C5962" w:rsidRDefault="002B2D8E" w:rsidP="002B2D8E">
            <w:pPr>
              <w:pStyle w:val="Tabletext"/>
            </w:pPr>
            <w:r w:rsidRPr="008C5962">
              <w:t>34 Electrotechnology and telecommunications trades workers</w:t>
            </w:r>
          </w:p>
        </w:tc>
        <w:tc>
          <w:tcPr>
            <w:tcW w:w="1842" w:type="dxa"/>
            <w:shd w:val="clear" w:color="auto" w:fill="auto"/>
            <w:vAlign w:val="bottom"/>
          </w:tcPr>
          <w:p w:rsidR="002B2D8E" w:rsidRPr="008C5962" w:rsidRDefault="002B2D8E" w:rsidP="001D21C1">
            <w:pPr>
              <w:pStyle w:val="Tabletext"/>
              <w:tabs>
                <w:tab w:val="decimal" w:pos="742"/>
              </w:tabs>
              <w:jc w:val="right"/>
            </w:pPr>
            <w:r w:rsidRPr="008C5962">
              <w:t>3.2</w:t>
            </w:r>
            <w:r>
              <w:t>*</w:t>
            </w:r>
          </w:p>
        </w:tc>
      </w:tr>
    </w:tbl>
    <w:p w:rsidR="002B2D8E" w:rsidRDefault="002B2D8E" w:rsidP="002B2D8E">
      <w:pPr>
        <w:pStyle w:val="Source"/>
        <w:ind w:left="709" w:hanging="709"/>
      </w:pPr>
      <w:r>
        <w:t>Notes:</w:t>
      </w:r>
      <w:r>
        <w:tab/>
        <w:t>Base is all graduates, irrespective of reason for study, who were employed as at May 2007, excluding those from the ACE sector and unknown intended ANZSCO; matching between intended and destination occupation occurs at the sub-major group level.</w:t>
      </w:r>
    </w:p>
    <w:p w:rsidR="002B2D8E" w:rsidRDefault="002B2D8E" w:rsidP="006E68F9">
      <w:pPr>
        <w:pStyle w:val="Source"/>
        <w:ind w:firstLine="142"/>
      </w:pPr>
      <w:r>
        <w:t>Some sub-major group level occupations are not presented due</w:t>
      </w:r>
      <w:r w:rsidR="006E68F9">
        <w:t xml:space="preserve"> to</w:t>
      </w:r>
      <w:r>
        <w:t xml:space="preserve"> too few numbers in sample cells.  </w:t>
      </w:r>
    </w:p>
    <w:p w:rsidR="002B2D8E" w:rsidRDefault="002B2D8E" w:rsidP="006E68F9">
      <w:pPr>
        <w:pStyle w:val="Source"/>
        <w:ind w:firstLine="142"/>
      </w:pPr>
      <w:r>
        <w:t>* Relative standard error greater than 25%; estimate should be used with caution.</w:t>
      </w:r>
    </w:p>
    <w:p w:rsidR="002B2D8E" w:rsidRDefault="002B2D8E" w:rsidP="002B2D8E">
      <w:pPr>
        <w:pStyle w:val="Source"/>
      </w:pPr>
      <w:r>
        <w:t>Source:</w:t>
      </w:r>
      <w:r>
        <w:tab/>
      </w:r>
      <w:r w:rsidR="006F2FD4" w:rsidRPr="006F2FD4">
        <w:t>Karmel, Mlotkowski &amp; Awodeyi</w:t>
      </w:r>
      <w:r w:rsidR="007C1562">
        <w:t xml:space="preserve"> (</w:t>
      </w:r>
      <w:r w:rsidR="00120D9C">
        <w:t>2008</w:t>
      </w:r>
      <w:r w:rsidR="007C1562">
        <w:t>)</w:t>
      </w:r>
      <w:r>
        <w:t>.</w:t>
      </w:r>
    </w:p>
    <w:p w:rsidR="002B2D8E" w:rsidRDefault="002B2D8E" w:rsidP="002B2D8E">
      <w:pPr>
        <w:rPr>
          <w:rFonts w:ascii="Tahoma" w:hAnsi="Tahoma"/>
          <w:b/>
          <w:sz w:val="17"/>
        </w:rPr>
      </w:pPr>
      <w:r>
        <w:br w:type="page"/>
      </w:r>
    </w:p>
    <w:p w:rsidR="002B2D8E" w:rsidRPr="00AA231D" w:rsidRDefault="00B12813" w:rsidP="002B2D8E">
      <w:pPr>
        <w:pStyle w:val="Figuretitle"/>
      </w:pPr>
      <w:bookmarkStart w:id="63" w:name="_Toc322958645"/>
      <w:r>
        <w:lastRenderedPageBreak/>
        <w:t>Figure 8</w:t>
      </w:r>
      <w:r w:rsidR="002B2D8E">
        <w:tab/>
        <w:t>Courses ranked from most specific to most generic, by selected ANZSCO, 2007</w:t>
      </w:r>
      <w:bookmarkEnd w:id="63"/>
      <w:r w:rsidR="002B2D8E">
        <w:t xml:space="preserve"> </w:t>
      </w:r>
    </w:p>
    <w:p w:rsidR="002B2D8E" w:rsidRDefault="002B2D8E" w:rsidP="002B2D8E">
      <w:pPr>
        <w:pStyle w:val="Source"/>
        <w:ind w:left="709" w:hanging="709"/>
      </w:pPr>
      <w:r>
        <w:rPr>
          <w:noProof/>
          <w:sz w:val="2"/>
          <w:lang w:eastAsia="en-AU"/>
        </w:rPr>
        <w:drawing>
          <wp:anchor distT="0" distB="0" distL="114300" distR="114300" simplePos="0" relativeHeight="251669504" behindDoc="0" locked="0" layoutInCell="1" allowOverlap="0">
            <wp:simplePos x="0" y="0"/>
            <wp:positionH relativeFrom="column">
              <wp:posOffset>-135255</wp:posOffset>
            </wp:positionH>
            <wp:positionV relativeFrom="page">
              <wp:posOffset>1029335</wp:posOffset>
            </wp:positionV>
            <wp:extent cx="6169660" cy="7637780"/>
            <wp:effectExtent l="0" t="0" r="0" b="0"/>
            <wp:wrapTopAndBottom/>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srcRect/>
                    <a:stretch>
                      <a:fillRect/>
                    </a:stretch>
                  </pic:blipFill>
                  <pic:spPr bwMode="auto">
                    <a:xfrm>
                      <a:off x="0" y="0"/>
                      <a:ext cx="6169660" cy="7637780"/>
                    </a:xfrm>
                    <a:prstGeom prst="rect">
                      <a:avLst/>
                    </a:prstGeom>
                    <a:noFill/>
                    <a:ln w="9525">
                      <a:noFill/>
                      <a:miter lim="800000"/>
                      <a:headEnd/>
                      <a:tailEnd/>
                    </a:ln>
                  </pic:spPr>
                </pic:pic>
              </a:graphicData>
            </a:graphic>
          </wp:anchor>
        </w:drawing>
      </w:r>
      <w:r>
        <w:t xml:space="preserve">Note: </w:t>
      </w:r>
      <w:r>
        <w:tab/>
        <w:t>The figure presents, for each intended occupation, the number of graduates in the intended occupation relative to the number of graduates in other jobs who report that the training is relevant.</w:t>
      </w:r>
    </w:p>
    <w:p w:rsidR="002B2D8E" w:rsidRPr="00E7395E" w:rsidRDefault="002B2D8E" w:rsidP="002B2D8E">
      <w:pPr>
        <w:pStyle w:val="Text"/>
      </w:pPr>
    </w:p>
    <w:p w:rsidR="002B2D8E" w:rsidRDefault="002B2D8E" w:rsidP="002B2D8E">
      <w:pPr>
        <w:pStyle w:val="Heading2"/>
      </w:pPr>
      <w:bookmarkStart w:id="64" w:name="_Toc321239970"/>
      <w:bookmarkStart w:id="65" w:name="_Toc322958595"/>
      <w:r>
        <w:lastRenderedPageBreak/>
        <w:t>The role of VET in innovation</w:t>
      </w:r>
      <w:bookmarkEnd w:id="64"/>
      <w:bookmarkEnd w:id="65"/>
    </w:p>
    <w:p w:rsidR="002B2D8E" w:rsidRDefault="002B2D8E" w:rsidP="002B2D8E">
      <w:pPr>
        <w:pStyle w:val="Text"/>
      </w:pPr>
      <w:r>
        <w:t xml:space="preserve">Over the last couple of years NCVER has put a significant effort into looking at innovation and its relationship with </w:t>
      </w:r>
      <w:r w:rsidR="006E68F9">
        <w:t>vocational education and training</w:t>
      </w:r>
      <w:r>
        <w:t xml:space="preserve"> (see Curtin</w:t>
      </w:r>
      <w:r w:rsidR="006F2FD4">
        <w:t>, Stanwick &amp; Beddie [eds]</w:t>
      </w:r>
      <w:r>
        <w:t xml:space="preserve"> 2011 and Stanwick 2011). Various perspectives are taken including the role of V</w:t>
      </w:r>
      <w:r w:rsidR="00A04648">
        <w:t>ET in training technicians for research</w:t>
      </w:r>
      <w:r>
        <w:t xml:space="preserve"> and </w:t>
      </w:r>
      <w:r w:rsidR="00A04648">
        <w:t>development</w:t>
      </w:r>
      <w:r>
        <w:t xml:space="preserve"> (Toner 2011) and human resourc</w:t>
      </w:r>
      <w:r w:rsidR="00120D9C">
        <w:t>e</w:t>
      </w:r>
      <w:r>
        <w:t xml:space="preserve"> practices of firms (Smith </w:t>
      </w:r>
      <w:r w:rsidR="00120D9C">
        <w:t>et al</w:t>
      </w:r>
      <w:r w:rsidR="007C1562">
        <w:t>.</w:t>
      </w:r>
      <w:r w:rsidR="00120D9C">
        <w:t xml:space="preserve"> </w:t>
      </w:r>
      <w:r w:rsidR="00B12813">
        <w:t xml:space="preserve">2011, </w:t>
      </w:r>
      <w:r w:rsidR="00120D9C">
        <w:t>2012</w:t>
      </w:r>
      <w:r>
        <w:t xml:space="preserve">). However, </w:t>
      </w:r>
      <w:r w:rsidR="00A04648" w:rsidRPr="00A04648">
        <w:t xml:space="preserve">the most provocative </w:t>
      </w:r>
      <w:r>
        <w:t xml:space="preserve">piece </w:t>
      </w:r>
      <w:r w:rsidRPr="00A04648">
        <w:t>is</w:t>
      </w:r>
      <w:r>
        <w:t xml:space="preserve"> </w:t>
      </w:r>
      <w:r w:rsidR="006F2FD4">
        <w:t>Dal</w:t>
      </w:r>
      <w:r>
        <w:t>itz</w:t>
      </w:r>
      <w:r w:rsidR="006F2FD4">
        <w:t xml:space="preserve">, Toner </w:t>
      </w:r>
      <w:r w:rsidR="00A04648">
        <w:t>and</w:t>
      </w:r>
      <w:r w:rsidR="006F2FD4">
        <w:t xml:space="preserve"> Turpin </w:t>
      </w:r>
      <w:r>
        <w:t>(2011), because it takes</w:t>
      </w:r>
      <w:r w:rsidR="006E68F9">
        <w:t xml:space="preserve"> aim at a central tenet of vocational education and training — competency-</w:t>
      </w:r>
      <w:r>
        <w:t xml:space="preserve">based training. They were interested in the interrelationship between innovation </w:t>
      </w:r>
      <w:r w:rsidR="006E68F9" w:rsidRPr="006E68F9">
        <w:t>—</w:t>
      </w:r>
      <w:r>
        <w:t xml:space="preserve"> seen as critical to improve productivity at the firm level and economic pro</w:t>
      </w:r>
      <w:r w:rsidR="006E68F9">
        <w:t xml:space="preserve">sperity at the national level — </w:t>
      </w:r>
      <w:r>
        <w:t>and education and training. Their research took the form of the case studies in three industry sectors</w:t>
      </w:r>
      <w:r w:rsidR="006E68F9">
        <w:t xml:space="preserve">: </w:t>
      </w:r>
      <w:r>
        <w:t>mining, solar energy and computer gaming. Their major findings were:</w:t>
      </w:r>
    </w:p>
    <w:p w:rsidR="002B2D8E" w:rsidRPr="00365763" w:rsidRDefault="006E68F9" w:rsidP="002B2D8E">
      <w:pPr>
        <w:pStyle w:val="Dotpoint1"/>
      </w:pPr>
      <w:r>
        <w:t>E</w:t>
      </w:r>
      <w:r w:rsidR="002B2D8E" w:rsidRPr="00365763">
        <w:t xml:space="preserve">ach sector experiences </w:t>
      </w:r>
      <w:r w:rsidR="002B2D8E" w:rsidRPr="00A04648">
        <w:t>differing</w:t>
      </w:r>
      <w:r w:rsidR="002B2D8E" w:rsidRPr="00365763">
        <w:t xml:space="preserve"> drivers of innovation and </w:t>
      </w:r>
      <w:r w:rsidR="002B2D8E" w:rsidRPr="00A04648">
        <w:t>different</w:t>
      </w:r>
      <w:r w:rsidR="002B2D8E" w:rsidRPr="00365763">
        <w:t xml:space="preserve"> processes of diffusion, with consequential differences in how the sector relates to the VET sector.</w:t>
      </w:r>
    </w:p>
    <w:p w:rsidR="002B2D8E" w:rsidRPr="00365763" w:rsidRDefault="006E68F9" w:rsidP="002B2D8E">
      <w:pPr>
        <w:pStyle w:val="Dotpoint1"/>
      </w:pPr>
      <w:r>
        <w:t>C</w:t>
      </w:r>
      <w:r w:rsidR="002B2D8E" w:rsidRPr="00365763">
        <w:t>reative and skilled people are at the heart of the innovation process, so the greatest contribution that formal VET can make is in establishing foundational knowledge and understanding, which build the capacity to learn.</w:t>
      </w:r>
    </w:p>
    <w:p w:rsidR="002B2D8E" w:rsidRPr="00365763" w:rsidRDefault="006E68F9" w:rsidP="002B2D8E">
      <w:pPr>
        <w:pStyle w:val="Dotpoint1"/>
      </w:pPr>
      <w:r>
        <w:t>I</w:t>
      </w:r>
      <w:r w:rsidR="002B2D8E" w:rsidRPr="00365763">
        <w:t xml:space="preserve">nformal skills development plays a crucial role in providing the actual skills for innovation (such as using new equipment or processes), although theory learnt in formal education is also important. </w:t>
      </w:r>
    </w:p>
    <w:p w:rsidR="002B2D8E" w:rsidRPr="00365763" w:rsidRDefault="006E68F9" w:rsidP="002B2D8E">
      <w:pPr>
        <w:pStyle w:val="Dotpoint1"/>
      </w:pPr>
      <w:r>
        <w:t>T</w:t>
      </w:r>
      <w:r w:rsidR="002B2D8E" w:rsidRPr="00365763">
        <w:t>he present model of training packages and the model of competency-based training which underpins it, have advantages in providing a common skills language but may hinder effective innovation because of the focus on current competencies rather than future innovation.</w:t>
      </w:r>
    </w:p>
    <w:p w:rsidR="002B2D8E" w:rsidRPr="00365763" w:rsidRDefault="002B2D8E" w:rsidP="002B2D8E">
      <w:pPr>
        <w:pStyle w:val="Dotpoint1"/>
      </w:pPr>
      <w:r w:rsidRPr="00365763">
        <w:t>VET providers are seen as slow to pick up on innovation.</w:t>
      </w:r>
    </w:p>
    <w:p w:rsidR="002B2D8E" w:rsidRPr="00012ECC" w:rsidRDefault="002B2D8E" w:rsidP="002B2D8E">
      <w:pPr>
        <w:pStyle w:val="Text"/>
      </w:pPr>
      <w:r>
        <w:t>These messages are a fundamental challenge to the VET sector. They suggest that the focus on the competencies currently required by industry is misplaced</w:t>
      </w:r>
      <w:r w:rsidR="00A04648">
        <w:t xml:space="preserve"> </w:t>
      </w:r>
      <w:r>
        <w:t xml:space="preserve">if we think innovation is critical. Rather, more emphasis should be placed on foundational knowledge, theory and building the capacity to learn. </w:t>
      </w:r>
    </w:p>
    <w:p w:rsidR="002B2D8E" w:rsidRDefault="002B2D8E" w:rsidP="002B2D8E">
      <w:pPr>
        <w:pStyle w:val="Heading2"/>
      </w:pPr>
      <w:bookmarkStart w:id="66" w:name="_Toc321239971"/>
      <w:bookmarkStart w:id="67" w:name="_Toc322958596"/>
      <w:r>
        <w:t>VET and workforce development</w:t>
      </w:r>
      <w:bookmarkEnd w:id="66"/>
      <w:bookmarkEnd w:id="67"/>
    </w:p>
    <w:p w:rsidR="002B2D8E" w:rsidRDefault="002B2D8E" w:rsidP="002B2D8E">
      <w:pPr>
        <w:pStyle w:val="Text"/>
      </w:pPr>
      <w:r>
        <w:t xml:space="preserve">Finally, we look at some research which focuses on industry itself. NCVER commissioned two major research programs which were aimed at getting inside industry and focus on workforce development. Both projects looked at particular industries, as is generally the case for this type of </w:t>
      </w:r>
      <w:r w:rsidR="006E68F9">
        <w:t>research, for the simple reason</w:t>
      </w:r>
      <w:r>
        <w:t xml:space="preserve"> that context is so important. The first of these was undertaken by the </w:t>
      </w:r>
      <w:r w:rsidRPr="00BB5528">
        <w:t>Workplace Research Centre, University of Sydney</w:t>
      </w:r>
      <w:r w:rsidR="006E68F9">
        <w:t>, and focu</w:t>
      </w:r>
      <w:r>
        <w:t xml:space="preserve">sed on workforce development in early childhood education and care, and red meat processing industries. These industries were chosen because of certain similarities (both employing </w:t>
      </w:r>
      <w:r w:rsidR="001D1E05">
        <w:t>large numbers of relatively low-</w:t>
      </w:r>
      <w:r>
        <w:t xml:space="preserve">skilled people) and significant differences (one a service industry, the other a processing industry; one male dominated, the other </w:t>
      </w:r>
      <w:r w:rsidRPr="00A04648">
        <w:t>female</w:t>
      </w:r>
      <w:r>
        <w:t xml:space="preserve">). This research program resulted in a series of publications, with the final one, </w:t>
      </w:r>
      <w:r>
        <w:rPr>
          <w:i/>
          <w:iCs/>
        </w:rPr>
        <w:t xml:space="preserve">The role of VET in workforce development: a story of conflicting expectations </w:t>
      </w:r>
      <w:r w:rsidRPr="00BB5528">
        <w:rPr>
          <w:iCs/>
        </w:rPr>
        <w:t>(Bretherton 2011)</w:t>
      </w:r>
      <w:r>
        <w:rPr>
          <w:iCs/>
        </w:rPr>
        <w:t xml:space="preserve"> pulling the program together. The major point made in the research is that the notion that training is a good thing with a direct pay-off does not really hold in these industries. The high degree of casualisation </w:t>
      </w:r>
      <w:r w:rsidRPr="00A04648">
        <w:rPr>
          <w:iCs/>
        </w:rPr>
        <w:t>militates</w:t>
      </w:r>
      <w:r>
        <w:rPr>
          <w:iCs/>
        </w:rPr>
        <w:t xml:space="preserve"> against training</w:t>
      </w:r>
      <w:r w:rsidR="006E68F9">
        <w:rPr>
          <w:iCs/>
        </w:rPr>
        <w:t>,</w:t>
      </w:r>
      <w:r>
        <w:rPr>
          <w:iCs/>
        </w:rPr>
        <w:t xml:space="preserve"> as does the lack of benefit to the individual; in childcare there is no increase in pay for upgraded qualifications. In the meat processing industry, there is little point in </w:t>
      </w:r>
      <w:r>
        <w:rPr>
          <w:iCs/>
        </w:rPr>
        <w:lastRenderedPageBreak/>
        <w:t xml:space="preserve">investing in significant training because labour turnover is so high. The authors also make the point that </w:t>
      </w:r>
      <w:r>
        <w:t xml:space="preserve">the VET system faces criticism by industry for not being responsive to industry needs, but rapidly changing conditions and variation in the demands of individual employers make this difficult. </w:t>
      </w:r>
    </w:p>
    <w:p w:rsidR="002B2D8E" w:rsidRDefault="002B2D8E" w:rsidP="005B0A87">
      <w:pPr>
        <w:pStyle w:val="Text"/>
      </w:pPr>
      <w:r>
        <w:t xml:space="preserve">The second research program was conducted by the </w:t>
      </w:r>
      <w:r w:rsidRPr="00264E51">
        <w:t>Centre for Work + Life, Uni</w:t>
      </w:r>
      <w:r>
        <w:t>versity of South Australi</w:t>
      </w:r>
      <w:r w:rsidRPr="00A04648">
        <w:t>a (Pocock, Skinner et al. 2011</w:t>
      </w:r>
      <w:r w:rsidR="007C1562" w:rsidRPr="00A04648">
        <w:t>;</w:t>
      </w:r>
      <w:r w:rsidRPr="00A04648">
        <w:t xml:space="preserve"> Pocock</w:t>
      </w:r>
      <w:r w:rsidR="007C1562" w:rsidRPr="00A04648">
        <w:t>,</w:t>
      </w:r>
      <w:r w:rsidRPr="00A04648">
        <w:t xml:space="preserve"> Elton et al</w:t>
      </w:r>
      <w:r w:rsidR="00AE3C1C" w:rsidRPr="00A04648">
        <w:t>.</w:t>
      </w:r>
      <w:r>
        <w:t xml:space="preserve"> 201</w:t>
      </w:r>
      <w:r w:rsidR="007C1562">
        <w:t>1). This research looked at low-</w:t>
      </w:r>
      <w:r>
        <w:t xml:space="preserve">paid workers in three industries: retail, food processing </w:t>
      </w:r>
      <w:r w:rsidR="00B12813">
        <w:t>and non-residential aged care. T</w:t>
      </w:r>
      <w:r>
        <w:t>he particular emphasis in this research was how training in these occupations needed to be balance</w:t>
      </w:r>
      <w:r w:rsidR="005B0A87">
        <w:t>d</w:t>
      </w:r>
      <w:r>
        <w:t xml:space="preserve"> with the non-work demands on the worker. The researchers </w:t>
      </w:r>
      <w:r w:rsidR="005B0A87">
        <w:t xml:space="preserve">found </w:t>
      </w:r>
      <w:r>
        <w:t>that lower-paid workers tend to have fewer resources to cushion work</w:t>
      </w:r>
      <w:r w:rsidR="00AE3C1C">
        <w:t>—</w:t>
      </w:r>
      <w:r>
        <w:t>life pressures. The other finding, which is challenging without being that surprising, is that</w:t>
      </w:r>
      <w:r w:rsidR="005B0A87">
        <w:t xml:space="preserve"> the acquisition of new skills </w:t>
      </w:r>
      <w:r>
        <w:t>are not necessarily rewarded in the labour market. In fact, the individuals are often undertaking training to retain their job, rather than for career progression or higher pay</w:t>
      </w:r>
      <w:r w:rsidR="001D1E05">
        <w:t>.</w:t>
      </w:r>
      <w:r>
        <w:t xml:space="preserve"> When training increases the time and money demands on workers but without generating genuine new skills or better prospects, it can make things worse for low-paid workers by falsely raising expectations.</w:t>
      </w:r>
    </w:p>
    <w:p w:rsidR="002B2D8E" w:rsidRDefault="002B2D8E" w:rsidP="002B2D8E">
      <w:pPr>
        <w:pStyle w:val="Text"/>
      </w:pPr>
      <w:r>
        <w:t xml:space="preserve">The findings are pretty consistent with what we know about the returns to various qualifications. </w:t>
      </w:r>
      <w:r w:rsidR="001D1E05">
        <w:t>In the VET world there are well-</w:t>
      </w:r>
      <w:r>
        <w:t>documented returns to diplomas but not necessarily to lower degrees. Of course, in one sense the studies on low</w:t>
      </w:r>
      <w:r w:rsidR="00AE3C1C">
        <w:t>-</w:t>
      </w:r>
      <w:r>
        <w:t>paid workers suffer from a selection bias; any worker who achieved significant skills acquisition (such as obtaining a diploma) would escape the low</w:t>
      </w:r>
      <w:r w:rsidR="00AE3C1C">
        <w:t>-</w:t>
      </w:r>
      <w:r>
        <w:t>paid job and therefore would not have featured in the research. However, the findings do raise policy issues. Why should public subsidies go to training where there is no obvious pay-off to the individual? If indeed there is a benefit to the training, it would seem that the benefit accrues to the employer, and therefore it would be logical for the employer to pay the full-cost of the training.</w:t>
      </w:r>
    </w:p>
    <w:p w:rsidR="002B2D8E" w:rsidRDefault="002B2D8E" w:rsidP="002B2D8E">
      <w:pPr>
        <w:pStyle w:val="Heading2"/>
      </w:pPr>
      <w:bookmarkStart w:id="68" w:name="_Toc321239972"/>
      <w:bookmarkStart w:id="69" w:name="_Toc322958597"/>
      <w:r>
        <w:t>Final comment</w:t>
      </w:r>
      <w:bookmarkEnd w:id="68"/>
      <w:bookmarkEnd w:id="69"/>
    </w:p>
    <w:p w:rsidR="002B2D8E" w:rsidRPr="00125829" w:rsidRDefault="002B2D8E" w:rsidP="002B2D8E">
      <w:pPr>
        <w:pStyle w:val="Text"/>
      </w:pPr>
      <w:r>
        <w:t xml:space="preserve">I have chosen six areas of VET research which are of direct relevance to industry, however defined. The aim of each of the six is quite similar and all studies either focus on the pay-off to training or the content of training. On the pay-off to training, the common theme is that </w:t>
      </w:r>
      <w:r w:rsidR="00B12813">
        <w:t>it</w:t>
      </w:r>
      <w:r>
        <w:t xml:space="preserve"> is quite variable and therefore, from a public policy perspective, we should be careful where we allocate public dollars. This type of finding always is challenging to industry, for the simple reason that industry is often the beneficiary of these funds. The second theme</w:t>
      </w:r>
      <w:r w:rsidR="00915D36">
        <w:t xml:space="preserve"> is a challenge to the industry-</w:t>
      </w:r>
      <w:r>
        <w:t>focused and industry</w:t>
      </w:r>
      <w:r w:rsidR="007C1562">
        <w:t>-</w:t>
      </w:r>
      <w:r>
        <w:t xml:space="preserve">determined training that characterises </w:t>
      </w:r>
      <w:r w:rsidR="00915D36">
        <w:t>vocational education and training</w:t>
      </w:r>
      <w:r>
        <w:t xml:space="preserve"> in Aust</w:t>
      </w:r>
      <w:r w:rsidR="007C1562">
        <w:t>ralia. The research I </w:t>
      </w:r>
      <w:r>
        <w:t xml:space="preserve">have briefly discussed places more stress on generic skills, and </w:t>
      </w:r>
      <w:r w:rsidR="00A04648">
        <w:t>on</w:t>
      </w:r>
      <w:r w:rsidRPr="00A04648">
        <w:t xml:space="preserve"> general education</w:t>
      </w:r>
      <w:r>
        <w:t xml:space="preserve"> (within a vocational setting) which benefits individuals in a wide variety of circumstances. This theme is a specific challenge to</w:t>
      </w:r>
      <w:r w:rsidR="00915D36">
        <w:t xml:space="preserve"> the notion of an industry-</w:t>
      </w:r>
      <w:r>
        <w:t>led system.</w:t>
      </w:r>
    </w:p>
    <w:p w:rsidR="00EC3B91" w:rsidRPr="002B2D8E" w:rsidRDefault="002B2D8E" w:rsidP="002B2D8E">
      <w:pPr>
        <w:pStyle w:val="Heading2"/>
        <w:rPr>
          <w:color w:val="000000"/>
          <w:kern w:val="28"/>
          <w:sz w:val="56"/>
          <w:szCs w:val="56"/>
        </w:rPr>
      </w:pPr>
      <w:r>
        <w:br w:type="page"/>
      </w:r>
      <w:bookmarkStart w:id="70" w:name="_Toc322958598"/>
      <w:r>
        <w:lastRenderedPageBreak/>
        <w:t>References</w:t>
      </w:r>
      <w:bookmarkEnd w:id="70"/>
    </w:p>
    <w:p w:rsidR="002B2D8E" w:rsidRPr="00024A75" w:rsidRDefault="002B2D8E" w:rsidP="002B2D8E">
      <w:pPr>
        <w:pStyle w:val="References"/>
      </w:pPr>
      <w:r w:rsidRPr="00024A75">
        <w:t xml:space="preserve">Australian National Training Authority 1994, </w:t>
      </w:r>
      <w:r w:rsidRPr="00817009">
        <w:rPr>
          <w:i/>
        </w:rPr>
        <w:t>Towards a skilled Australia: a national strategy for vocational education and training</w:t>
      </w:r>
      <w:r w:rsidR="007C1562">
        <w:t>, ANTA, Brisbane</w:t>
      </w:r>
      <w:r w:rsidRPr="00024A75">
        <w:t xml:space="preserve">. </w:t>
      </w:r>
    </w:p>
    <w:p w:rsidR="002B2D8E" w:rsidRPr="00024A75" w:rsidRDefault="007C1562" w:rsidP="002B2D8E">
      <w:pPr>
        <w:pStyle w:val="References"/>
      </w:pPr>
      <w:r>
        <w:t>——</w:t>
      </w:r>
      <w:r w:rsidR="002B2D8E" w:rsidRPr="00024A75">
        <w:t xml:space="preserve">2005, </w:t>
      </w:r>
      <w:r w:rsidR="002B2D8E" w:rsidRPr="00817009">
        <w:rPr>
          <w:i/>
        </w:rPr>
        <w:t>Annual national report of the Australian vocational education and training system 2004</w:t>
      </w:r>
      <w:r w:rsidR="002B2D8E" w:rsidRPr="00024A75">
        <w:t>, ANTA, Brisbane.</w:t>
      </w:r>
    </w:p>
    <w:p w:rsidR="00595B13" w:rsidRDefault="00595B13" w:rsidP="00595B13">
      <w:pPr>
        <w:pStyle w:val="References"/>
      </w:pPr>
      <w:r>
        <w:t xml:space="preserve">Bretherton, T 2011, </w:t>
      </w:r>
      <w:r w:rsidRPr="00817009">
        <w:rPr>
          <w:i/>
        </w:rPr>
        <w:t>The role of VET in workforce development: a story of conflicting expectations</w:t>
      </w:r>
      <w:r>
        <w:t>, NCVER, Adelaide.</w:t>
      </w:r>
    </w:p>
    <w:p w:rsidR="00817009" w:rsidRPr="00817009" w:rsidRDefault="002B2D8E" w:rsidP="00817009">
      <w:pPr>
        <w:pStyle w:val="References"/>
      </w:pPr>
      <w:r w:rsidRPr="00817009">
        <w:t xml:space="preserve">Curtin, P, Stanwick, J </w:t>
      </w:r>
      <w:r w:rsidR="007C1562">
        <w:t>&amp;</w:t>
      </w:r>
      <w:r w:rsidRPr="00817009">
        <w:t xml:space="preserve"> Beddie, F (ed</w:t>
      </w:r>
      <w:r w:rsidR="007C1562">
        <w:t>s</w:t>
      </w:r>
      <w:r w:rsidRPr="00817009">
        <w:t xml:space="preserve">) 2011, </w:t>
      </w:r>
      <w:r w:rsidRPr="00817009">
        <w:rPr>
          <w:rStyle w:val="ReferencesItalic"/>
          <w:rFonts w:cs="Times New Roman"/>
          <w:iCs w:val="0"/>
          <w:spacing w:val="0"/>
          <w:sz w:val="18"/>
          <w:szCs w:val="16"/>
        </w:rPr>
        <w:t>Fostering enterprise: the innovation and skills nexus — research readings</w:t>
      </w:r>
      <w:r w:rsidR="00817009">
        <w:rPr>
          <w:rStyle w:val="ReferencesItalic"/>
          <w:rFonts w:cs="Times New Roman"/>
          <w:iCs w:val="0"/>
          <w:spacing w:val="0"/>
          <w:sz w:val="18"/>
          <w:szCs w:val="16"/>
        </w:rPr>
        <w:t xml:space="preserve">, </w:t>
      </w:r>
      <w:r w:rsidR="00817009" w:rsidRPr="00817009">
        <w:rPr>
          <w:rStyle w:val="ReferencesItalic"/>
          <w:rFonts w:cs="Times New Roman"/>
          <w:i w:val="0"/>
          <w:iCs w:val="0"/>
          <w:spacing w:val="0"/>
          <w:sz w:val="18"/>
          <w:szCs w:val="16"/>
        </w:rPr>
        <w:t>NCVER, Adelaide</w:t>
      </w:r>
      <w:r w:rsidR="007C1562">
        <w:rPr>
          <w:rStyle w:val="ReferencesItalic"/>
          <w:rFonts w:cs="Times New Roman"/>
          <w:i w:val="0"/>
          <w:iCs w:val="0"/>
          <w:spacing w:val="0"/>
          <w:sz w:val="18"/>
          <w:szCs w:val="16"/>
        </w:rPr>
        <w:t>.</w:t>
      </w:r>
    </w:p>
    <w:p w:rsidR="002B2D8E" w:rsidRDefault="002B2D8E" w:rsidP="002B2D8E">
      <w:pPr>
        <w:pStyle w:val="References"/>
      </w:pPr>
      <w:r>
        <w:t xml:space="preserve">Dalitz, R, Toner, P </w:t>
      </w:r>
      <w:r w:rsidR="007C1562">
        <w:t>&amp;</w:t>
      </w:r>
      <w:r>
        <w:t xml:space="preserve"> Turpin, T 2011, </w:t>
      </w:r>
      <w:r w:rsidRPr="00817009">
        <w:rPr>
          <w:i/>
        </w:rPr>
        <w:t>VET and the diffusion and implementation of innovation in the mining, solar energy and computer games sector</w:t>
      </w:r>
      <w:r w:rsidR="00817009">
        <w:rPr>
          <w:i/>
        </w:rPr>
        <w:t xml:space="preserve">, </w:t>
      </w:r>
      <w:r w:rsidR="00817009" w:rsidRPr="00817009">
        <w:rPr>
          <w:rStyle w:val="ReferencesItalic"/>
          <w:rFonts w:cs="Times New Roman"/>
          <w:i w:val="0"/>
          <w:iCs w:val="0"/>
          <w:spacing w:val="0"/>
          <w:sz w:val="18"/>
          <w:szCs w:val="16"/>
        </w:rPr>
        <w:t>NCVER, Adelaide</w:t>
      </w:r>
      <w:r w:rsidR="007C1562">
        <w:rPr>
          <w:rStyle w:val="ReferencesItalic"/>
          <w:rFonts w:cs="Times New Roman"/>
          <w:i w:val="0"/>
          <w:iCs w:val="0"/>
          <w:spacing w:val="0"/>
          <w:sz w:val="18"/>
          <w:szCs w:val="16"/>
        </w:rPr>
        <w:t>.</w:t>
      </w:r>
    </w:p>
    <w:p w:rsidR="00772E98" w:rsidRDefault="001D1E05" w:rsidP="002B2D8E">
      <w:pPr>
        <w:pStyle w:val="References"/>
      </w:pPr>
      <w:r>
        <w:t xml:space="preserve">Karmel, T </w:t>
      </w:r>
      <w:r w:rsidR="007C1562">
        <w:t xml:space="preserve">&amp; </w:t>
      </w:r>
      <w:r w:rsidR="00772E98">
        <w:t xml:space="preserve">Fieger, P forthcoming, </w:t>
      </w:r>
      <w:r w:rsidR="00772E98" w:rsidRPr="00817009">
        <w:rPr>
          <w:i/>
        </w:rPr>
        <w:t>The value of completion of a VET qualification</w:t>
      </w:r>
      <w:r w:rsidR="00772E98">
        <w:t>, NCVER, Adelaide</w:t>
      </w:r>
      <w:r w:rsidR="00595B13">
        <w:t>.</w:t>
      </w:r>
    </w:p>
    <w:p w:rsidR="002B2D8E" w:rsidRPr="00024A75" w:rsidRDefault="002B2D8E" w:rsidP="002B2D8E">
      <w:pPr>
        <w:pStyle w:val="References"/>
      </w:pPr>
      <w:r w:rsidRPr="00024A75">
        <w:t xml:space="preserve">Karmel, T </w:t>
      </w:r>
      <w:r w:rsidR="007C1562">
        <w:t>&amp;</w:t>
      </w:r>
      <w:r w:rsidRPr="00024A75">
        <w:t xml:space="preserve"> Mlotkowski, P 2010, </w:t>
      </w:r>
      <w:r w:rsidRPr="00817009">
        <w:rPr>
          <w:i/>
        </w:rPr>
        <w:t>The impact of wages on the probability of completing an apprenticeship or traineeship</w:t>
      </w:r>
      <w:r w:rsidR="006F2FD4">
        <w:t>, NCVER, Adelaide</w:t>
      </w:r>
      <w:r w:rsidR="00595B13">
        <w:t>.</w:t>
      </w:r>
    </w:p>
    <w:p w:rsidR="002B2D8E" w:rsidRDefault="00595B13" w:rsidP="002B2D8E">
      <w:pPr>
        <w:pStyle w:val="References"/>
      </w:pPr>
      <w:r>
        <w:t>——</w:t>
      </w:r>
      <w:r w:rsidR="002B2D8E" w:rsidRPr="00024A75">
        <w:t xml:space="preserve">2011, </w:t>
      </w:r>
      <w:r w:rsidR="002B2D8E" w:rsidRPr="00817009">
        <w:rPr>
          <w:i/>
        </w:rPr>
        <w:t>The impact of wages and the likelihood of employment on the probability of completing an apprenticeship or traineeship</w:t>
      </w:r>
      <w:r w:rsidR="002B2D8E" w:rsidRPr="00024A75">
        <w:t>, NCVER, Adelaide</w:t>
      </w:r>
      <w:r>
        <w:t>.</w:t>
      </w:r>
    </w:p>
    <w:p w:rsidR="002B2D8E" w:rsidRDefault="002B2D8E" w:rsidP="002B2D8E">
      <w:pPr>
        <w:pStyle w:val="References"/>
      </w:pPr>
      <w:r w:rsidRPr="003C4E5F">
        <w:t xml:space="preserve">Karmel, T, Mlotkowski, P </w:t>
      </w:r>
      <w:r w:rsidR="00595B13">
        <w:t>&amp;</w:t>
      </w:r>
      <w:r w:rsidRPr="003C4E5F">
        <w:t xml:space="preserve"> Awodeyi, T 2008</w:t>
      </w:r>
      <w:r>
        <w:t>,</w:t>
      </w:r>
      <w:r w:rsidRPr="003C4E5F">
        <w:t xml:space="preserve"> </w:t>
      </w:r>
      <w:r w:rsidRPr="00817009">
        <w:rPr>
          <w:i/>
        </w:rPr>
        <w:t>Is VET vocational? The relevance of training to the occupations of vocational education and training graduates</w:t>
      </w:r>
      <w:r>
        <w:t xml:space="preserve">, </w:t>
      </w:r>
      <w:bookmarkStart w:id="71" w:name="OLE_LINK1"/>
      <w:bookmarkStart w:id="72" w:name="OLE_LINK2"/>
      <w:r>
        <w:t>NCVER</w:t>
      </w:r>
      <w:r w:rsidR="00E37DBB">
        <w:t>,</w:t>
      </w:r>
      <w:r>
        <w:t xml:space="preserve"> Adelaide</w:t>
      </w:r>
      <w:bookmarkEnd w:id="71"/>
      <w:bookmarkEnd w:id="72"/>
      <w:r w:rsidR="00595B13">
        <w:t>.</w:t>
      </w:r>
    </w:p>
    <w:p w:rsidR="00595B13" w:rsidRPr="00024A75" w:rsidRDefault="00595B13" w:rsidP="00595B13">
      <w:pPr>
        <w:pStyle w:val="References"/>
      </w:pPr>
      <w:r w:rsidRPr="00024A75">
        <w:t xml:space="preserve">Mark, K </w:t>
      </w:r>
      <w:r w:rsidR="006F2FD4">
        <w:t>&amp;</w:t>
      </w:r>
      <w:r w:rsidRPr="00024A75">
        <w:t xml:space="preserve"> Karmel, T 2010, </w:t>
      </w:r>
      <w:r w:rsidRPr="00817009">
        <w:rPr>
          <w:i/>
        </w:rPr>
        <w:t>The likelihood of completi</w:t>
      </w:r>
      <w:r w:rsidR="001D1E05">
        <w:rPr>
          <w:i/>
        </w:rPr>
        <w:t>ng a VET qualification: a model-</w:t>
      </w:r>
      <w:r w:rsidRPr="00817009">
        <w:rPr>
          <w:i/>
        </w:rPr>
        <w:t>based approach</w:t>
      </w:r>
      <w:r w:rsidRPr="00024A75">
        <w:t>, NCVER, Adelaide.</w:t>
      </w:r>
    </w:p>
    <w:p w:rsidR="00772E98" w:rsidRPr="00595B13" w:rsidRDefault="00772E98" w:rsidP="00772E98">
      <w:pPr>
        <w:pStyle w:val="References"/>
      </w:pPr>
      <w:r>
        <w:t>NCVER 2011</w:t>
      </w:r>
      <w:r w:rsidR="00595B13">
        <w:t>,</w:t>
      </w:r>
      <w:r w:rsidRPr="00772E98">
        <w:t xml:space="preserve"> </w:t>
      </w:r>
      <w:r w:rsidRPr="00817009">
        <w:rPr>
          <w:i/>
        </w:rPr>
        <w:t xml:space="preserve">Australian vocational education and training statistics: </w:t>
      </w:r>
      <w:r w:rsidR="00595B13">
        <w:rPr>
          <w:i/>
        </w:rPr>
        <w:t>s</w:t>
      </w:r>
      <w:r w:rsidRPr="00817009">
        <w:rPr>
          <w:i/>
        </w:rPr>
        <w:t>tudent intentions 2011</w:t>
      </w:r>
      <w:r w:rsidR="00595B13">
        <w:rPr>
          <w:i/>
        </w:rPr>
        <w:t xml:space="preserve">, </w:t>
      </w:r>
      <w:r w:rsidR="00595B13">
        <w:t>NCVER, Adelaide.</w:t>
      </w:r>
    </w:p>
    <w:p w:rsidR="002B2D8E" w:rsidRPr="0093635B" w:rsidRDefault="002B2D8E" w:rsidP="002B2D8E">
      <w:pPr>
        <w:pStyle w:val="References"/>
      </w:pPr>
      <w:r>
        <w:t xml:space="preserve">Pocock, B, Elton, J, Green, D, McMahon, C </w:t>
      </w:r>
      <w:r w:rsidR="00595B13">
        <w:t>&amp;</w:t>
      </w:r>
      <w:r>
        <w:t xml:space="preserve"> Pritchard, S 2011, </w:t>
      </w:r>
      <w:r w:rsidRPr="00817009">
        <w:rPr>
          <w:i/>
        </w:rPr>
        <w:t>Juggling work, home and learning in low-paid occupations: a qualitative study</w:t>
      </w:r>
      <w:r>
        <w:t>,</w:t>
      </w:r>
      <w:r w:rsidRPr="00125829">
        <w:t xml:space="preserve"> </w:t>
      </w:r>
      <w:r>
        <w:t>NCVER</w:t>
      </w:r>
      <w:r w:rsidR="006F2FD4">
        <w:t>,</w:t>
      </w:r>
      <w:r>
        <w:t xml:space="preserve"> Adelaide</w:t>
      </w:r>
      <w:r w:rsidR="00595B13">
        <w:t>.</w:t>
      </w:r>
    </w:p>
    <w:p w:rsidR="002B2D8E" w:rsidRDefault="002B2D8E" w:rsidP="002B2D8E">
      <w:pPr>
        <w:pStyle w:val="References"/>
      </w:pPr>
      <w:r>
        <w:t xml:space="preserve">Pocock, B, Skinner, N, McMahon, C </w:t>
      </w:r>
      <w:r w:rsidR="00595B13">
        <w:t>&amp;</w:t>
      </w:r>
      <w:r>
        <w:t xml:space="preserve"> Pritchard, S 2011</w:t>
      </w:r>
      <w:r w:rsidRPr="00817009">
        <w:rPr>
          <w:i/>
        </w:rPr>
        <w:t>,</w:t>
      </w:r>
      <w:bookmarkStart w:id="73" w:name="_Toc294258762"/>
      <w:bookmarkStart w:id="74" w:name="_Toc294532616"/>
      <w:r w:rsidRPr="00817009">
        <w:rPr>
          <w:i/>
        </w:rPr>
        <w:t xml:space="preserve"> Work, life and VET participation amongst lower-paid workers</w:t>
      </w:r>
      <w:bookmarkEnd w:id="73"/>
      <w:bookmarkEnd w:id="74"/>
      <w:r w:rsidR="006F2FD4">
        <w:t xml:space="preserve">, NCVER, </w:t>
      </w:r>
      <w:r>
        <w:t>Adelaide</w:t>
      </w:r>
      <w:r w:rsidR="00595B13">
        <w:t>.</w:t>
      </w:r>
    </w:p>
    <w:p w:rsidR="00B12813" w:rsidRDefault="00B12813" w:rsidP="00120D9C">
      <w:pPr>
        <w:pStyle w:val="References"/>
      </w:pPr>
      <w:r>
        <w:t>Smith, A, Courvisanos</w:t>
      </w:r>
      <w:r w:rsidR="00A270CF">
        <w:t>,</w:t>
      </w:r>
      <w:r>
        <w:t xml:space="preserve"> J, Tuck, J </w:t>
      </w:r>
      <w:r w:rsidR="00595B13">
        <w:t>&amp;</w:t>
      </w:r>
      <w:r>
        <w:t xml:space="preserve"> McEachern, S 2011, </w:t>
      </w:r>
      <w:r w:rsidRPr="00817009">
        <w:rPr>
          <w:i/>
        </w:rPr>
        <w:t>Building innovation capacity: the role of human capital formation in enterprises</w:t>
      </w:r>
      <w:r w:rsidR="006F2FD4">
        <w:rPr>
          <w:i/>
        </w:rPr>
        <w:t xml:space="preserve"> </w:t>
      </w:r>
      <w:r w:rsidRPr="00817009">
        <w:rPr>
          <w:i/>
        </w:rPr>
        <w:t>—</w:t>
      </w:r>
      <w:r w:rsidR="006F2FD4">
        <w:rPr>
          <w:i/>
        </w:rPr>
        <w:t xml:space="preserve"> </w:t>
      </w:r>
      <w:r w:rsidRPr="00817009">
        <w:rPr>
          <w:i/>
        </w:rPr>
        <w:t>a review of the literature</w:t>
      </w:r>
      <w:r w:rsidR="006F2FD4">
        <w:t xml:space="preserve">, NCVER, </w:t>
      </w:r>
      <w:r>
        <w:t>Adelaide</w:t>
      </w:r>
      <w:r w:rsidR="00595B13">
        <w:t>.</w:t>
      </w:r>
    </w:p>
    <w:p w:rsidR="00120D9C" w:rsidRPr="005C2FCF" w:rsidRDefault="00595B13" w:rsidP="00120D9C">
      <w:pPr>
        <w:pStyle w:val="References"/>
      </w:pPr>
      <w:r>
        <w:t>——</w:t>
      </w:r>
      <w:r w:rsidR="00120D9C">
        <w:t>2012</w:t>
      </w:r>
      <w:r w:rsidR="006F2FD4">
        <w:t xml:space="preserve">, </w:t>
      </w:r>
      <w:r w:rsidR="00120D9C" w:rsidRPr="00817009">
        <w:rPr>
          <w:i/>
        </w:rPr>
        <w:t>Building the capacity to innovate: the role of human capital</w:t>
      </w:r>
      <w:r w:rsidR="00B12813">
        <w:t>, NCVER</w:t>
      </w:r>
      <w:r w:rsidR="00817009">
        <w:t>,</w:t>
      </w:r>
      <w:r w:rsidR="00B12813">
        <w:t xml:space="preserve"> Adelaide</w:t>
      </w:r>
      <w:r>
        <w:t>.</w:t>
      </w:r>
    </w:p>
    <w:p w:rsidR="002B2D8E" w:rsidRPr="00817009" w:rsidRDefault="002B2D8E" w:rsidP="00817009">
      <w:pPr>
        <w:pStyle w:val="References"/>
        <w:rPr>
          <w:highlight w:val="lightGray"/>
        </w:rPr>
      </w:pPr>
      <w:r w:rsidRPr="00817009">
        <w:t>Toner, P 2011</w:t>
      </w:r>
      <w:r w:rsidR="00595B13">
        <w:t>,</w:t>
      </w:r>
      <w:r w:rsidRPr="00817009">
        <w:t xml:space="preserve"> </w:t>
      </w:r>
      <w:r w:rsidR="006F2FD4">
        <w:t>‘</w:t>
      </w:r>
      <w:r w:rsidRPr="00817009">
        <w:t>Tradespeopl</w:t>
      </w:r>
      <w:r w:rsidR="00817009" w:rsidRPr="00817009">
        <w:t>e and technicians in innovation</w:t>
      </w:r>
      <w:r w:rsidR="006F2FD4">
        <w:t>’</w:t>
      </w:r>
      <w:r w:rsidRPr="00817009">
        <w:t xml:space="preserve">, in </w:t>
      </w:r>
      <w:r w:rsidRPr="00817009">
        <w:rPr>
          <w:rStyle w:val="ReferencesItalic"/>
          <w:rFonts w:cs="Times New Roman"/>
          <w:iCs w:val="0"/>
          <w:spacing w:val="0"/>
          <w:sz w:val="18"/>
          <w:szCs w:val="16"/>
        </w:rPr>
        <w:t>Fostering enterprise: the innovation and skills nexus — research readings</w:t>
      </w:r>
      <w:r w:rsidR="00595B13">
        <w:t>, eds P Curtin, J Stanwick and</w:t>
      </w:r>
      <w:r w:rsidRPr="00817009">
        <w:t xml:space="preserve"> F Beddie, NCVER, Adelaide.</w:t>
      </w:r>
    </w:p>
    <w:p w:rsidR="002B2D8E" w:rsidRPr="002B2D8E" w:rsidRDefault="002B2D8E" w:rsidP="002B2D8E">
      <w:pPr>
        <w:pStyle w:val="Text"/>
      </w:pPr>
    </w:p>
    <w:sectPr w:rsidR="002B2D8E" w:rsidRPr="002B2D8E" w:rsidSect="00F60BA5">
      <w:footerReference w:type="even" r:id="rId21"/>
      <w:footerReference w:type="default" r:id="rId22"/>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7E1" w:rsidRDefault="003067E1">
      <w:r>
        <w:separator/>
      </w:r>
    </w:p>
  </w:endnote>
  <w:endnote w:type="continuationSeparator" w:id="0">
    <w:p w:rsidR="003067E1" w:rsidRDefault="003067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vant Garde">
    <w:altName w:val="Century Gothic"/>
    <w:charset w:val="00"/>
    <w:family w:val="swiss"/>
    <w:pitch w:val="variable"/>
    <w:sig w:usb0="00007A87" w:usb1="80000000" w:usb2="00000008" w:usb3="00000000" w:csb0="0000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E1" w:rsidRPr="008C0A74" w:rsidRDefault="00494C06" w:rsidP="00FF5931">
    <w:pPr>
      <w:pStyle w:val="Footer"/>
      <w:tabs>
        <w:tab w:val="clear" w:pos="8505"/>
        <w:tab w:val="right" w:pos="8789"/>
      </w:tabs>
      <w:rPr>
        <w:b/>
      </w:rPr>
    </w:pPr>
    <w:r w:rsidRPr="00494C06">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3067E1" w:rsidRPr="008C0A74">
      <w:rPr>
        <w:b/>
        <w:color w:val="FFFFFF" w:themeColor="background1"/>
      </w:rPr>
      <w:instrText xml:space="preserve"> PAGE </w:instrText>
    </w:r>
    <w:r w:rsidRPr="008C0A74">
      <w:rPr>
        <w:b/>
        <w:color w:val="FFFFFF" w:themeColor="background1"/>
      </w:rPr>
      <w:fldChar w:fldCharType="separate"/>
    </w:r>
    <w:r w:rsidR="004C40F3">
      <w:rPr>
        <w:b/>
        <w:noProof/>
        <w:color w:val="FFFFFF" w:themeColor="background1"/>
      </w:rPr>
      <w:t>22</w:t>
    </w:r>
    <w:r w:rsidRPr="008C0A74">
      <w:rPr>
        <w:b/>
        <w:color w:val="FFFFFF" w:themeColor="background1"/>
      </w:rPr>
      <w:fldChar w:fldCharType="end"/>
    </w:r>
    <w:r w:rsidR="003067E1" w:rsidRPr="008C0A74">
      <w:rPr>
        <w:b/>
        <w:color w:val="FFFFFF" w:themeColor="background1"/>
      </w:rPr>
      <w:tab/>
    </w:r>
    <w:r w:rsidR="003067E1">
      <w:rPr>
        <w:b/>
      </w:rPr>
      <w:t>VET research for industry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E1" w:rsidRPr="009775C7" w:rsidRDefault="00494C06" w:rsidP="008C0A74">
    <w:pPr>
      <w:pStyle w:val="Footer"/>
      <w:tabs>
        <w:tab w:val="clear" w:pos="8505"/>
        <w:tab w:val="right" w:pos="8789"/>
      </w:tabs>
      <w:rPr>
        <w:color w:val="FFFFFF" w:themeColor="background1"/>
      </w:rPr>
    </w:pPr>
    <w:r w:rsidRPr="00494C06">
      <w:rPr>
        <w:b/>
        <w:noProof/>
        <w:lang w:eastAsia="en-AU"/>
      </w:rPr>
      <w:pict>
        <v:rect id="_x0000_s2052" style="position:absolute;margin-left:425.6pt;margin-top:-2.45pt;width:99pt;height:18.75pt;z-index:-251653120" fillcolor="black [3213]" stroked="f" strokecolor="#bfbfbf [2412]"/>
      </w:pict>
    </w:r>
    <w:r w:rsidR="003067E1" w:rsidRPr="009775C7">
      <w:rPr>
        <w:b/>
      </w:rPr>
      <w:t>NCVER</w:t>
    </w:r>
    <w:r w:rsidR="003067E1" w:rsidRPr="009775C7">
      <w:tab/>
    </w:r>
    <w:r w:rsidRPr="009775C7">
      <w:rPr>
        <w:rStyle w:val="PageNumber"/>
        <w:rFonts w:cs="Tahoma"/>
        <w:b/>
        <w:color w:val="FFFFFF" w:themeColor="background1"/>
        <w:sz w:val="17"/>
      </w:rPr>
      <w:fldChar w:fldCharType="begin"/>
    </w:r>
    <w:r w:rsidR="003067E1"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4C40F3">
      <w:rPr>
        <w:rStyle w:val="PageNumber"/>
        <w:rFonts w:cs="Tahoma"/>
        <w:b/>
        <w:noProof/>
        <w:color w:val="FFFFFF" w:themeColor="background1"/>
        <w:sz w:val="17"/>
      </w:rPr>
      <w:t>23</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7E1" w:rsidRDefault="003067E1">
      <w:r>
        <w:separator/>
      </w:r>
    </w:p>
  </w:footnote>
  <w:footnote w:type="continuationSeparator" w:id="0">
    <w:p w:rsidR="003067E1" w:rsidRDefault="003067E1">
      <w:r>
        <w:continuationSeparator/>
      </w:r>
    </w:p>
  </w:footnote>
  <w:footnote w:id="1">
    <w:p w:rsidR="003067E1" w:rsidRDefault="003067E1">
      <w:pPr>
        <w:pStyle w:val="FootnoteText"/>
      </w:pPr>
      <w:r>
        <w:rPr>
          <w:rStyle w:val="FootnoteReference"/>
        </w:rPr>
        <w:footnoteRef/>
      </w:r>
      <w:r>
        <w:t xml:space="preserve"> </w:t>
      </w:r>
      <w:r>
        <w:tab/>
        <w:t>Industry is expected to meet between one-third and two-thirds of the training cost (with the fraction depending on firm size).</w:t>
      </w:r>
    </w:p>
  </w:footnote>
  <w:footnote w:id="2">
    <w:p w:rsidR="003067E1" w:rsidRPr="00532943" w:rsidRDefault="003067E1" w:rsidP="00532943">
      <w:pPr>
        <w:pStyle w:val="FootnoteText"/>
      </w:pPr>
      <w:r w:rsidRPr="00532943">
        <w:rPr>
          <w:rStyle w:val="FootnoteReference"/>
        </w:rPr>
        <w:footnoteRef/>
      </w:r>
      <w:r>
        <w:t xml:space="preserve"> </w:t>
      </w:r>
      <w:r>
        <w:tab/>
        <w:t>‘</w:t>
      </w:r>
      <w:r w:rsidRPr="00532943">
        <w:t>There is no such thing as society. There is living tapestry of men and women and people and the beauty of that tapestry and the quality of our lives will depend upon how much each of us is prepared to take responsibility for ourselves and each of us prepared to turn round and help by our own efforts those who are unfortunate.</w:t>
      </w:r>
      <w:r>
        <w:t>’ 1987 i</w:t>
      </w:r>
      <w:r w:rsidRPr="00532943">
        <w:t xml:space="preserve">nterview for </w:t>
      </w:r>
      <w:r w:rsidRPr="000E6C27">
        <w:rPr>
          <w:i/>
        </w:rPr>
        <w:t>Woman's Own</w:t>
      </w:r>
      <w:r w:rsidRPr="00532943">
        <w:t xml:space="preserve">, </w:t>
      </w:r>
      <w:r>
        <w:t>&lt;</w:t>
      </w:r>
      <w:hyperlink r:id="rId1" w:history="1">
        <w:r w:rsidRPr="000E6C27">
          <w:t>http://www.margaretthatcher.org/speeches/displaydocument.asp?docid=106689</w:t>
        </w:r>
      </w:hyperlink>
      <w:r>
        <w:t>&gt;.</w:t>
      </w:r>
    </w:p>
    <w:p w:rsidR="003067E1" w:rsidRDefault="003067E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962470A"/>
    <w:multiLevelType w:val="hybridMultilevel"/>
    <w:tmpl w:val="3C6C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12"/>
  </w:num>
  <w:num w:numId="6">
    <w:abstractNumId w:val="23"/>
  </w:num>
  <w:num w:numId="7">
    <w:abstractNumId w:val="25"/>
  </w:num>
  <w:num w:numId="8">
    <w:abstractNumId w:val="24"/>
  </w:num>
  <w:num w:numId="9">
    <w:abstractNumId w:val="28"/>
  </w:num>
  <w:num w:numId="10">
    <w:abstractNumId w:val="20"/>
  </w:num>
  <w:num w:numId="11">
    <w:abstractNumId w:val="17"/>
  </w:num>
  <w:num w:numId="12">
    <w:abstractNumId w:val="21"/>
  </w:num>
  <w:num w:numId="13">
    <w:abstractNumId w:val="22"/>
  </w:num>
  <w:num w:numId="14">
    <w:abstractNumId w:val="14"/>
  </w:num>
  <w:num w:numId="15">
    <w:abstractNumId w:val="18"/>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9"/>
  </w:num>
  <w:num w:numId="27">
    <w:abstractNumId w:val="27"/>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6"/>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87878"/>
    <w:rsid w:val="000108B2"/>
    <w:rsid w:val="00012B64"/>
    <w:rsid w:val="00013265"/>
    <w:rsid w:val="00013AF5"/>
    <w:rsid w:val="00016479"/>
    <w:rsid w:val="00022290"/>
    <w:rsid w:val="000315D7"/>
    <w:rsid w:val="0006125F"/>
    <w:rsid w:val="00074BD4"/>
    <w:rsid w:val="000A0745"/>
    <w:rsid w:val="000A3AC6"/>
    <w:rsid w:val="000E6C27"/>
    <w:rsid w:val="000F641C"/>
    <w:rsid w:val="00104CD9"/>
    <w:rsid w:val="0010761A"/>
    <w:rsid w:val="00120D9C"/>
    <w:rsid w:val="00123B5C"/>
    <w:rsid w:val="00126A38"/>
    <w:rsid w:val="00132BCA"/>
    <w:rsid w:val="00135C75"/>
    <w:rsid w:val="00150874"/>
    <w:rsid w:val="001509F3"/>
    <w:rsid w:val="00155839"/>
    <w:rsid w:val="0016133C"/>
    <w:rsid w:val="00166EF6"/>
    <w:rsid w:val="00170452"/>
    <w:rsid w:val="00177827"/>
    <w:rsid w:val="00181896"/>
    <w:rsid w:val="00184504"/>
    <w:rsid w:val="001B43CF"/>
    <w:rsid w:val="001C181A"/>
    <w:rsid w:val="001C77A3"/>
    <w:rsid w:val="001D1E05"/>
    <w:rsid w:val="001D21C1"/>
    <w:rsid w:val="001F7D84"/>
    <w:rsid w:val="002277A9"/>
    <w:rsid w:val="00233BFA"/>
    <w:rsid w:val="002667F0"/>
    <w:rsid w:val="00284FCB"/>
    <w:rsid w:val="002A1E50"/>
    <w:rsid w:val="002B2D8E"/>
    <w:rsid w:val="002E196B"/>
    <w:rsid w:val="002F7A91"/>
    <w:rsid w:val="00302EFD"/>
    <w:rsid w:val="003030ED"/>
    <w:rsid w:val="003067E1"/>
    <w:rsid w:val="003111F6"/>
    <w:rsid w:val="00334CE3"/>
    <w:rsid w:val="00340B4D"/>
    <w:rsid w:val="00342A9F"/>
    <w:rsid w:val="0035717B"/>
    <w:rsid w:val="00397C94"/>
    <w:rsid w:val="003B16DA"/>
    <w:rsid w:val="003B483E"/>
    <w:rsid w:val="003C38F6"/>
    <w:rsid w:val="003D5EB0"/>
    <w:rsid w:val="003D6251"/>
    <w:rsid w:val="003E67CB"/>
    <w:rsid w:val="00430D0A"/>
    <w:rsid w:val="00430FD7"/>
    <w:rsid w:val="004575A5"/>
    <w:rsid w:val="0048449E"/>
    <w:rsid w:val="00484FD1"/>
    <w:rsid w:val="0048643A"/>
    <w:rsid w:val="0048663C"/>
    <w:rsid w:val="0049453B"/>
    <w:rsid w:val="00494C06"/>
    <w:rsid w:val="00494E7C"/>
    <w:rsid w:val="004A688B"/>
    <w:rsid w:val="004C4063"/>
    <w:rsid w:val="004C40F3"/>
    <w:rsid w:val="004D4802"/>
    <w:rsid w:val="004E7227"/>
    <w:rsid w:val="0050475C"/>
    <w:rsid w:val="00505B1D"/>
    <w:rsid w:val="005151E1"/>
    <w:rsid w:val="00520315"/>
    <w:rsid w:val="0052276C"/>
    <w:rsid w:val="0052450B"/>
    <w:rsid w:val="00532943"/>
    <w:rsid w:val="005354C3"/>
    <w:rsid w:val="00541B94"/>
    <w:rsid w:val="005554C1"/>
    <w:rsid w:val="00570758"/>
    <w:rsid w:val="00595B13"/>
    <w:rsid w:val="005B0A87"/>
    <w:rsid w:val="005B4704"/>
    <w:rsid w:val="005C11E6"/>
    <w:rsid w:val="005C277E"/>
    <w:rsid w:val="005C61F8"/>
    <w:rsid w:val="005D2C4D"/>
    <w:rsid w:val="005D4F16"/>
    <w:rsid w:val="005E4764"/>
    <w:rsid w:val="005F16CF"/>
    <w:rsid w:val="005F232C"/>
    <w:rsid w:val="005F495E"/>
    <w:rsid w:val="005F7589"/>
    <w:rsid w:val="00652973"/>
    <w:rsid w:val="00656679"/>
    <w:rsid w:val="00672ED8"/>
    <w:rsid w:val="0067712D"/>
    <w:rsid w:val="00682A97"/>
    <w:rsid w:val="00687878"/>
    <w:rsid w:val="00696A48"/>
    <w:rsid w:val="006A1CE4"/>
    <w:rsid w:val="006B4CA2"/>
    <w:rsid w:val="006C5DA9"/>
    <w:rsid w:val="006E68F9"/>
    <w:rsid w:val="006F2FD4"/>
    <w:rsid w:val="007037A4"/>
    <w:rsid w:val="00703C61"/>
    <w:rsid w:val="00731EC8"/>
    <w:rsid w:val="00756457"/>
    <w:rsid w:val="00772E98"/>
    <w:rsid w:val="00783F44"/>
    <w:rsid w:val="00784F4E"/>
    <w:rsid w:val="00787494"/>
    <w:rsid w:val="007A2079"/>
    <w:rsid w:val="007B6C4A"/>
    <w:rsid w:val="007C1562"/>
    <w:rsid w:val="007C3281"/>
    <w:rsid w:val="007C50A7"/>
    <w:rsid w:val="007C75D3"/>
    <w:rsid w:val="007C7FE6"/>
    <w:rsid w:val="007E27C1"/>
    <w:rsid w:val="007E2D8C"/>
    <w:rsid w:val="00800A2B"/>
    <w:rsid w:val="008056ED"/>
    <w:rsid w:val="00806C1C"/>
    <w:rsid w:val="00817009"/>
    <w:rsid w:val="00825D0E"/>
    <w:rsid w:val="00826757"/>
    <w:rsid w:val="00842044"/>
    <w:rsid w:val="00844B9B"/>
    <w:rsid w:val="00852661"/>
    <w:rsid w:val="008604CF"/>
    <w:rsid w:val="00861CE5"/>
    <w:rsid w:val="00874DA5"/>
    <w:rsid w:val="008923B6"/>
    <w:rsid w:val="00894271"/>
    <w:rsid w:val="008A4D5A"/>
    <w:rsid w:val="008B22E2"/>
    <w:rsid w:val="008B4B8A"/>
    <w:rsid w:val="008C0A74"/>
    <w:rsid w:val="008C2283"/>
    <w:rsid w:val="008D2CEC"/>
    <w:rsid w:val="008E72E3"/>
    <w:rsid w:val="008F20BA"/>
    <w:rsid w:val="009058B5"/>
    <w:rsid w:val="00905C3A"/>
    <w:rsid w:val="0091256A"/>
    <w:rsid w:val="00915D36"/>
    <w:rsid w:val="00933317"/>
    <w:rsid w:val="009348A0"/>
    <w:rsid w:val="00936377"/>
    <w:rsid w:val="009461ED"/>
    <w:rsid w:val="00947B30"/>
    <w:rsid w:val="009538E6"/>
    <w:rsid w:val="00964594"/>
    <w:rsid w:val="009704E4"/>
    <w:rsid w:val="009775C7"/>
    <w:rsid w:val="00987BBD"/>
    <w:rsid w:val="00995A79"/>
    <w:rsid w:val="009B1EF9"/>
    <w:rsid w:val="009C22BE"/>
    <w:rsid w:val="009D036C"/>
    <w:rsid w:val="009E231A"/>
    <w:rsid w:val="009E2F64"/>
    <w:rsid w:val="00A04648"/>
    <w:rsid w:val="00A10A6B"/>
    <w:rsid w:val="00A10E2B"/>
    <w:rsid w:val="00A270CF"/>
    <w:rsid w:val="00A30084"/>
    <w:rsid w:val="00A323EF"/>
    <w:rsid w:val="00A50895"/>
    <w:rsid w:val="00A567A3"/>
    <w:rsid w:val="00A56A4A"/>
    <w:rsid w:val="00A73318"/>
    <w:rsid w:val="00A80360"/>
    <w:rsid w:val="00A93867"/>
    <w:rsid w:val="00AA44D4"/>
    <w:rsid w:val="00AB7C9D"/>
    <w:rsid w:val="00AC688A"/>
    <w:rsid w:val="00AD0443"/>
    <w:rsid w:val="00AE3C1C"/>
    <w:rsid w:val="00AF1005"/>
    <w:rsid w:val="00B0288D"/>
    <w:rsid w:val="00B05F5C"/>
    <w:rsid w:val="00B12813"/>
    <w:rsid w:val="00B129F5"/>
    <w:rsid w:val="00B41272"/>
    <w:rsid w:val="00B426FE"/>
    <w:rsid w:val="00B77043"/>
    <w:rsid w:val="00B86D06"/>
    <w:rsid w:val="00B92701"/>
    <w:rsid w:val="00B96C39"/>
    <w:rsid w:val="00BB113D"/>
    <w:rsid w:val="00BB3DDB"/>
    <w:rsid w:val="00BC770A"/>
    <w:rsid w:val="00BC7C47"/>
    <w:rsid w:val="00BF690E"/>
    <w:rsid w:val="00C053D5"/>
    <w:rsid w:val="00C37003"/>
    <w:rsid w:val="00C54125"/>
    <w:rsid w:val="00C6315A"/>
    <w:rsid w:val="00C63294"/>
    <w:rsid w:val="00C77DC6"/>
    <w:rsid w:val="00C801DA"/>
    <w:rsid w:val="00C8559F"/>
    <w:rsid w:val="00C8781C"/>
    <w:rsid w:val="00C926F0"/>
    <w:rsid w:val="00C9656D"/>
    <w:rsid w:val="00CA4AFC"/>
    <w:rsid w:val="00CC320A"/>
    <w:rsid w:val="00CD5F32"/>
    <w:rsid w:val="00CE1AF1"/>
    <w:rsid w:val="00CE4D54"/>
    <w:rsid w:val="00CF3CED"/>
    <w:rsid w:val="00D03CD1"/>
    <w:rsid w:val="00D43B5F"/>
    <w:rsid w:val="00D60265"/>
    <w:rsid w:val="00D806B0"/>
    <w:rsid w:val="00DB599C"/>
    <w:rsid w:val="00DC5F5C"/>
    <w:rsid w:val="00DD5B74"/>
    <w:rsid w:val="00DE2C71"/>
    <w:rsid w:val="00E06B95"/>
    <w:rsid w:val="00E123CB"/>
    <w:rsid w:val="00E14FA9"/>
    <w:rsid w:val="00E228BE"/>
    <w:rsid w:val="00E236D0"/>
    <w:rsid w:val="00E365F8"/>
    <w:rsid w:val="00E37DBB"/>
    <w:rsid w:val="00E45A10"/>
    <w:rsid w:val="00E51C2B"/>
    <w:rsid w:val="00E52313"/>
    <w:rsid w:val="00E56EC1"/>
    <w:rsid w:val="00E57478"/>
    <w:rsid w:val="00E81A91"/>
    <w:rsid w:val="00E95812"/>
    <w:rsid w:val="00E95948"/>
    <w:rsid w:val="00EC0CAE"/>
    <w:rsid w:val="00EC29E3"/>
    <w:rsid w:val="00EC2FE4"/>
    <w:rsid w:val="00EC3B91"/>
    <w:rsid w:val="00ED07D0"/>
    <w:rsid w:val="00ED24F6"/>
    <w:rsid w:val="00ED4D6D"/>
    <w:rsid w:val="00ED5DD0"/>
    <w:rsid w:val="00EE42D9"/>
    <w:rsid w:val="00EE5A55"/>
    <w:rsid w:val="00EE67B3"/>
    <w:rsid w:val="00EE6B68"/>
    <w:rsid w:val="00F158A2"/>
    <w:rsid w:val="00F43BD0"/>
    <w:rsid w:val="00F60BA5"/>
    <w:rsid w:val="00F8762F"/>
    <w:rsid w:val="00F93048"/>
    <w:rsid w:val="00FA79F7"/>
    <w:rsid w:val="00FD167B"/>
    <w:rsid w:val="00FE3F74"/>
    <w:rsid w:val="00FE4A2D"/>
    <w:rsid w:val="00FF41C9"/>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9" w:qFormat="1"/>
    <w:lsdException w:name="heading 2" w:semiHidden="0" w:uiPriority="0"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qFormat/>
    <w:rsid w:val="00532943"/>
    <w:rPr>
      <w:rFonts w:ascii="Calibri" w:eastAsiaTheme="minorHAnsi" w:hAnsi="Calibri"/>
      <w:sz w:val="22"/>
      <w:szCs w:val="22"/>
      <w:lang w:val="en-AU" w:eastAsia="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spacing w:before="160" w:line="260" w:lineRule="exact"/>
      <w:outlineLvl w:val="4"/>
    </w:pPr>
    <w:rPr>
      <w:rFonts w:ascii="Tahoma" w:eastAsia="Times New Roman" w:hAnsi="Tahoma"/>
      <w:b/>
      <w:sz w:val="19"/>
      <w:szCs w:val="20"/>
      <w:lang w:eastAsia="en-US"/>
    </w:rPr>
  </w:style>
  <w:style w:type="paragraph" w:styleId="Heading6">
    <w:name w:val="heading 6"/>
    <w:basedOn w:val="Normal"/>
    <w:next w:val="Normal"/>
    <w:qFormat/>
    <w:rsid w:val="007037A4"/>
    <w:pPr>
      <w:keepNext/>
      <w:spacing w:before="160" w:line="260" w:lineRule="exact"/>
      <w:ind w:left="2977"/>
      <w:outlineLvl w:val="5"/>
    </w:pPr>
    <w:rPr>
      <w:rFonts w:ascii="Tahoma" w:eastAsia="Times New Roman" w:hAnsi="Tahoma"/>
      <w:sz w:val="20"/>
      <w:szCs w:val="20"/>
      <w:lang w:eastAsia="en-US"/>
    </w:rPr>
  </w:style>
  <w:style w:type="paragraph" w:styleId="Heading7">
    <w:name w:val="heading 7"/>
    <w:basedOn w:val="Normal"/>
    <w:next w:val="Normal"/>
    <w:qFormat/>
    <w:rsid w:val="007037A4"/>
    <w:pPr>
      <w:keepNext/>
      <w:spacing w:before="160" w:line="260" w:lineRule="exact"/>
      <w:jc w:val="center"/>
      <w:outlineLvl w:val="6"/>
    </w:pPr>
    <w:rPr>
      <w:rFonts w:ascii="Tahoma" w:eastAsia="Times New Roman" w:hAnsi="Tahoma"/>
      <w:spacing w:val="20"/>
      <w:sz w:val="20"/>
      <w:szCs w:val="20"/>
      <w:lang w:eastAsia="en-US"/>
    </w:rPr>
  </w:style>
  <w:style w:type="paragraph" w:styleId="Heading8">
    <w:name w:val="heading 8"/>
    <w:basedOn w:val="Normal"/>
    <w:next w:val="Normal"/>
    <w:qFormat/>
    <w:rsid w:val="007037A4"/>
    <w:pPr>
      <w:keepNext/>
      <w:spacing w:before="160" w:line="260" w:lineRule="exact"/>
      <w:jc w:val="center"/>
      <w:outlineLvl w:val="7"/>
    </w:pPr>
    <w:rPr>
      <w:rFonts w:ascii="Tahoma" w:eastAsia="Times New Roman" w:hAnsi="Tahoma"/>
      <w:color w:val="C0C0C0"/>
      <w:spacing w:val="6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line="260" w:lineRule="exact"/>
    </w:pPr>
    <w:rPr>
      <w:rFonts w:ascii="Tahoma" w:eastAsia="Times New Roman" w:hAnsi="Tahoma"/>
      <w:sz w:val="17"/>
      <w:szCs w:val="17"/>
      <w:lang w:eastAsia="en-US"/>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rFonts w:ascii="Trebuchet MS" w:eastAsia="Times New Roman" w:hAnsi="Trebuchet MS"/>
      <w:noProof/>
      <w:color w:val="000000"/>
      <w:sz w:val="18"/>
      <w:szCs w:val="18"/>
      <w:lang w:eastAsia="en-US"/>
    </w:rPr>
  </w:style>
  <w:style w:type="paragraph" w:customStyle="1" w:styleId="tabletitle">
    <w:name w:val="tabletitle"/>
    <w:next w:val="Text"/>
    <w:uiPriority w:val="99"/>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before="160" w:line="260" w:lineRule="atLeast"/>
    </w:pPr>
    <w:rPr>
      <w:rFonts w:ascii="Trebuchet MS" w:eastAsia="Times New Roman" w:hAnsi="Trebuchet MS"/>
      <w:sz w:val="16"/>
      <w:szCs w:val="20"/>
      <w:lang w:eastAsia="en-US"/>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rPr>
      <w:rFonts w:ascii="Times New Roman" w:eastAsia="Times New Roman" w:hAnsi="Times New Roman"/>
      <w:b/>
      <w:sz w:val="20"/>
      <w:szCs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rPr>
      <w:rFonts w:ascii="Times New Roman" w:eastAsia="Times New Roman" w:hAnsi="Times New Roman"/>
      <w:szCs w:val="20"/>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after="120"/>
      <w:ind w:left="283"/>
    </w:pPr>
    <w:rPr>
      <w:rFonts w:ascii="Times New Roman" w:eastAsia="Times New Roman" w:hAnsi="Times New Roman"/>
      <w:szCs w:val="20"/>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paragraph" w:customStyle="1" w:styleId="Tabletitle0">
    <w:name w:val="Tabletitle"/>
    <w:next w:val="Text"/>
    <w:rsid w:val="002B2D8E"/>
    <w:pPr>
      <w:spacing w:before="360" w:after="80"/>
      <w:ind w:left="851" w:hanging="851"/>
    </w:pPr>
    <w:rPr>
      <w:rFonts w:ascii="Tahoma" w:hAnsi="Tahoma"/>
      <w:b/>
      <w:sz w:val="17"/>
      <w:lang w:val="en-AU"/>
    </w:rPr>
  </w:style>
  <w:style w:type="character" w:customStyle="1" w:styleId="ReferencesItalic">
    <w:name w:val="References Italic"/>
    <w:uiPriority w:val="99"/>
    <w:rsid w:val="002B2D8E"/>
    <w:rPr>
      <w:rFonts w:ascii="Trebuchet MS" w:hAnsi="Trebuchet MS" w:cs="Trebuchet MS"/>
      <w:i/>
      <w:iCs/>
      <w:spacing w:val="2"/>
      <w:sz w:val="17"/>
      <w:szCs w:val="17"/>
    </w:rPr>
  </w:style>
  <w:style w:type="paragraph" w:customStyle="1" w:styleId="PubTitle">
    <w:name w:val="PubTitle"/>
    <w:basedOn w:val="Normal"/>
    <w:rsid w:val="00772E98"/>
    <w:pPr>
      <w:ind w:left="720"/>
    </w:pPr>
    <w:rPr>
      <w:rFonts w:ascii="Helvetica" w:eastAsia="Calibri" w:hAnsi="Helvetica"/>
      <w:color w:val="EC008C"/>
      <w:sz w:val="48"/>
      <w:szCs w:val="48"/>
      <w:lang w:val="en-GB" w:eastAsia="en-US"/>
    </w:rPr>
  </w:style>
  <w:style w:type="paragraph" w:customStyle="1" w:styleId="Pubsubtitle">
    <w:name w:val="Pub subtitle"/>
    <w:basedOn w:val="Normal"/>
    <w:rsid w:val="00772E98"/>
    <w:pPr>
      <w:ind w:left="720"/>
    </w:pPr>
    <w:rPr>
      <w:rFonts w:ascii="Arial" w:eastAsia="Calibri" w:hAnsi="Arial"/>
      <w:color w:val="EC008C"/>
      <w:sz w:val="36"/>
      <w:szCs w:val="36"/>
      <w:lang w:val="en-GB" w:eastAsia="en-US"/>
    </w:rPr>
  </w:style>
  <w:style w:type="character" w:styleId="FootnoteReference">
    <w:name w:val="footnote reference"/>
    <w:basedOn w:val="DefaultParagraphFont"/>
    <w:uiPriority w:val="99"/>
    <w:semiHidden/>
    <w:rsid w:val="00EC2FE4"/>
    <w:rPr>
      <w:vertAlign w:val="superscript"/>
    </w:rPr>
  </w:style>
</w:styles>
</file>

<file path=word/webSettings.xml><?xml version="1.0" encoding="utf-8"?>
<w:webSettings xmlns:r="http://schemas.openxmlformats.org/officeDocument/2006/relationships" xmlns:w="http://schemas.openxmlformats.org/wordprocessingml/2006/main">
  <w:divs>
    <w:div w:id="7797608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mailto:ncver@ncver.edu.au" TargetMode="Externa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argaretthatcher.org/speeches/displaydocument.asp?docid=1066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CorePublic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2CDC-B6E7-4D65-9BCB-551DF26C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CorePublicationTemplate.dotx</Template>
  <TotalTime>1</TotalTime>
  <Pages>23</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40097</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tomkarmel</dc:creator>
  <cp:keywords/>
  <dc:description/>
  <cp:lastModifiedBy>julianneTreloar</cp:lastModifiedBy>
  <cp:revision>2</cp:revision>
  <cp:lastPrinted>2012-05-07T01:37:00Z</cp:lastPrinted>
  <dcterms:created xsi:type="dcterms:W3CDTF">2012-05-08T04:21:00Z</dcterms:created>
  <dcterms:modified xsi:type="dcterms:W3CDTF">2012-05-08T04:21:00Z</dcterms:modified>
</cp:coreProperties>
</file>