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3F9" w:rsidRDefault="004623F9" w:rsidP="004623F9">
      <w:pPr>
        <w:pStyle w:val="PublicationTitle"/>
        <w:spacing w:before="0"/>
      </w:pPr>
      <w:bookmarkStart w:id="0" w:name="_Toc296423677"/>
      <w:bookmarkStart w:id="1" w:name="_Toc296497508"/>
      <w:r>
        <w:rPr>
          <w:noProof/>
          <w:lang w:eastAsia="en-AU"/>
        </w:rPr>
        <w:drawing>
          <wp:anchor distT="0" distB="0" distL="114300" distR="114300" simplePos="0" relativeHeight="251664896"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27"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3872"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28"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4623F9" w:rsidRDefault="004623F9" w:rsidP="004623F9">
      <w:pPr>
        <w:pStyle w:val="PublicationTitle"/>
        <w:spacing w:before="0" w:after="0"/>
      </w:pPr>
    </w:p>
    <w:p w:rsidR="004623F9" w:rsidRDefault="004623F9" w:rsidP="004623F9">
      <w:pPr>
        <w:pStyle w:val="PublicationTitle"/>
        <w:spacing w:before="0" w:after="0"/>
        <w:rPr>
          <w:noProof/>
          <w:lang w:eastAsia="en-AU"/>
        </w:rPr>
      </w:pPr>
    </w:p>
    <w:p w:rsidR="004623F9" w:rsidRDefault="004623F9" w:rsidP="004623F9">
      <w:pPr>
        <w:pStyle w:val="PublicationTitle"/>
        <w:spacing w:before="0"/>
      </w:pPr>
    </w:p>
    <w:bookmarkEnd w:id="0"/>
    <w:bookmarkEnd w:id="1"/>
    <w:p w:rsidR="00C9115F" w:rsidRPr="005C2FCF" w:rsidRDefault="00C9115F" w:rsidP="00C9115F">
      <w:pPr>
        <w:pStyle w:val="PublicationTitle"/>
        <w:spacing w:before="0"/>
      </w:pPr>
      <w:r w:rsidRPr="0080150E">
        <w:rPr>
          <w:noProof/>
          <w:lang w:val="en-US"/>
        </w:rPr>
        <w:t>Vocational trajectories within the Australian labour</w:t>
      </w:r>
      <w:r w:rsidR="001E4961">
        <w:rPr>
          <w:noProof/>
          <w:lang w:val="en-US"/>
        </w:rPr>
        <w:t> </w:t>
      </w:r>
      <w:r w:rsidRPr="0080150E">
        <w:rPr>
          <w:noProof/>
          <w:lang w:val="en-US"/>
        </w:rPr>
        <w:t>market</w:t>
      </w:r>
    </w:p>
    <w:p w:rsidR="00C9115F" w:rsidRDefault="00C9115F" w:rsidP="00C9115F">
      <w:pPr>
        <w:pStyle w:val="Authors"/>
      </w:pPr>
      <w:bookmarkStart w:id="2" w:name="_Toc296423678"/>
      <w:bookmarkStart w:id="3" w:name="_Toc296497509"/>
      <w:r>
        <w:t>Serena Yu</w:t>
      </w:r>
    </w:p>
    <w:p w:rsidR="00C9115F" w:rsidRDefault="00C9115F" w:rsidP="00C9115F">
      <w:pPr>
        <w:pStyle w:val="Authors"/>
      </w:pPr>
      <w:r>
        <w:t>Tanya Bretherton</w:t>
      </w:r>
    </w:p>
    <w:p w:rsidR="00C9115F" w:rsidRDefault="00C9115F" w:rsidP="00C9115F">
      <w:pPr>
        <w:pStyle w:val="Authors"/>
      </w:pPr>
      <w:r>
        <w:t>Hanna Schutz</w:t>
      </w:r>
    </w:p>
    <w:bookmarkEnd w:id="2"/>
    <w:bookmarkEnd w:id="3"/>
    <w:p w:rsidR="00C9115F" w:rsidRDefault="00C9115F" w:rsidP="00C9115F">
      <w:pPr>
        <w:pStyle w:val="Organisation"/>
      </w:pPr>
      <w:r w:rsidRPr="0080150E">
        <w:t>Workpla</w:t>
      </w:r>
      <w:r w:rsidR="00784CFB">
        <w:t>ce Research Centre, University o</w:t>
      </w:r>
      <w:r w:rsidRPr="0080150E">
        <w:t>f Sydney</w:t>
      </w:r>
    </w:p>
    <w:p w:rsidR="00C9115F" w:rsidRDefault="00A7118D" w:rsidP="00C9115F">
      <w:pPr>
        <w:pStyle w:val="Heading3"/>
        <w:ind w:right="-1"/>
      </w:pPr>
      <w:r>
        <w:rPr>
          <w:noProof/>
          <w:lang w:eastAsia="en-AU"/>
        </w:rPr>
        <w:pict>
          <v:shapetype id="_x0000_t202" coordsize="21600,21600" o:spt="202" path="m,l,21600r21600,l21600,xe">
            <v:stroke joinstyle="miter"/>
            <v:path gradientshapeok="t" o:connecttype="rect"/>
          </v:shapetype>
          <v:shape id="_x0000_s1027" type="#_x0000_t202" style="position:absolute;margin-left:73.1pt;margin-top:659.7pt;width:357pt;height:83pt;z-index:251655680;mso-position-vertical-relative:margin" filled="f" stroked="f">
            <v:textbox style="mso-next-textbox:#_x0000_s1027">
              <w:txbxContent>
                <w:p w:rsidR="00B17625" w:rsidRDefault="00B17625" w:rsidP="00C9115F">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B17625" w:rsidRDefault="00B17625" w:rsidP="001E4961">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FA32AD" w:rsidRDefault="00A7118D" w:rsidP="00C552B1">
      <w:pPr>
        <w:pStyle w:val="Heading3"/>
        <w:ind w:left="1701" w:right="-1"/>
        <w:rPr>
          <w:color w:val="FF0000"/>
        </w:rPr>
      </w:pPr>
      <w:r w:rsidRPr="00A7118D">
        <w:rPr>
          <w:noProof/>
          <w:lang w:eastAsia="en-AU"/>
        </w:rPr>
        <w:pict>
          <v:shape id="_x0000_s1028" type="#_x0000_t202" style="position:absolute;left:0;text-align:left;margin-left:79.95pt;margin-top:555.35pt;width:217.4pt;height:83pt;z-index:251656704;mso-position-vertical-relative:margin" filled="f" stroked="f">
            <v:textbox style="mso-next-textbox:#_x0000_s1028">
              <w:txbxContent>
                <w:p w:rsidR="00B17625" w:rsidRPr="001E4961" w:rsidRDefault="00B17625" w:rsidP="001E4961">
                  <w:pPr>
                    <w:pStyle w:val="Heading3"/>
                    <w:rPr>
                      <w:rFonts w:ascii="Trebuchet MS" w:hAnsi="Trebuchet MS"/>
                      <w:szCs w:val="24"/>
                    </w:rPr>
                  </w:pPr>
                  <w:r w:rsidRPr="001E4961">
                    <w:rPr>
                      <w:rFonts w:ascii="Trebuchet MS" w:hAnsi="Trebuchet MS"/>
                      <w:szCs w:val="24"/>
                    </w:rPr>
                    <w:t xml:space="preserve">NATIONAL VOCATIONAL EDUCATION AND TRAINING RESEARCH PROGRAM </w:t>
                  </w:r>
                </w:p>
                <w:p w:rsidR="00B17625" w:rsidRPr="001E4961" w:rsidRDefault="00B17625" w:rsidP="001E4961">
                  <w:pPr>
                    <w:pStyle w:val="Heading3"/>
                    <w:spacing w:before="80"/>
                    <w:rPr>
                      <w:szCs w:val="24"/>
                    </w:rPr>
                  </w:pPr>
                  <w:r w:rsidRPr="001E4961">
                    <w:rPr>
                      <w:rFonts w:ascii="Trebuchet MS" w:hAnsi="Trebuchet MS"/>
                      <w:b/>
                      <w:szCs w:val="24"/>
                    </w:rPr>
                    <w:t>RESEARCH REPORT</w:t>
                  </w:r>
                </w:p>
              </w:txbxContent>
            </v:textbox>
            <w10:wrap anchory="margin"/>
          </v:shape>
        </w:pict>
      </w:r>
      <w:r w:rsidR="007C0892">
        <w:rPr>
          <w:color w:val="FF0000"/>
        </w:rPr>
        <w:t>FOR CLARITY WITH FIGURES,</w:t>
      </w:r>
      <w:r w:rsidR="007C0892">
        <w:rPr>
          <w:color w:val="FF0000"/>
        </w:rPr>
        <w:br/>
        <w:t>PLEASE PRINT IN COLOUR</w:t>
      </w:r>
    </w:p>
    <w:p w:rsidR="00C9115F" w:rsidRPr="005C2FCF" w:rsidRDefault="00C9115F" w:rsidP="00FA32AD">
      <w:pPr>
        <w:pStyle w:val="Heading3"/>
        <w:ind w:left="1701" w:right="-1" w:hanging="1701"/>
      </w:pPr>
      <w:r w:rsidRPr="005C2FCF">
        <w:br w:type="page"/>
      </w:r>
      <w:r w:rsidRPr="005C2FCF">
        <w:lastRenderedPageBreak/>
        <w:t>Publisher’s note</w:t>
      </w:r>
    </w:p>
    <w:p w:rsidR="00C9115F" w:rsidRDefault="00C9115F" w:rsidP="00C9115F">
      <w:pPr>
        <w:pStyle w:val="Imprint"/>
        <w:ind w:right="1700"/>
      </w:pPr>
      <w:r>
        <w:t>To find other material of interest, search VOCED (the UNESCO/NCVER international database &lt;</w:t>
      </w:r>
      <w:hyperlink r:id="rId10" w:history="1">
        <w:r>
          <w:t>http://www.voced.edu.au</w:t>
        </w:r>
      </w:hyperlink>
      <w:r>
        <w:t xml:space="preserve">&gt;) using the following keywords: </w:t>
      </w:r>
      <w:r w:rsidR="0004500D">
        <w:t xml:space="preserve">career development; educational level; employees; employment; industry; labour market; labour mobility; qualifications; workforce development. </w:t>
      </w:r>
    </w:p>
    <w:p w:rsidR="00C9115F" w:rsidRDefault="00C9115F" w:rsidP="00C9115F">
      <w:pPr>
        <w:pStyle w:val="Imprint"/>
        <w:rPr>
          <w:sz w:val="19"/>
          <w:szCs w:val="19"/>
        </w:rPr>
      </w:pPr>
    </w:p>
    <w:p w:rsidR="00C9115F" w:rsidRPr="00C77DC6" w:rsidRDefault="00A7118D" w:rsidP="00C9115F">
      <w:pPr>
        <w:pStyle w:val="Abouttheresearch"/>
      </w:pPr>
      <w:r>
        <w:pict>
          <v:shape id="_x0000_s1029" type="#_x0000_t202" style="position:absolute;margin-left:0;margin-top:128.6pt;width:382.2pt;height:456pt;z-index:251657728;v-text-anchor:bottom" filled="f" stroked="f">
            <v:textbox style="mso-next-textbox:#_x0000_s1029" inset="0,,0">
              <w:txbxContent>
                <w:p w:rsidR="00B17625" w:rsidRPr="001E4961" w:rsidRDefault="00B17625" w:rsidP="001E4961">
                  <w:pPr>
                    <w:pStyle w:val="Imprint"/>
                    <w:rPr>
                      <w:b/>
                    </w:rPr>
                  </w:pPr>
                  <w:r w:rsidRPr="001E4961">
                    <w:rPr>
                      <w:b/>
                    </w:rPr>
                    <w:t>© Commonwealth of Australia, 2012</w:t>
                  </w:r>
                </w:p>
                <w:p w:rsidR="00B17625" w:rsidRDefault="00B17625" w:rsidP="001E4961">
                  <w:pPr>
                    <w:pStyle w:val="Imprint"/>
                    <w:rPr>
                      <w:sz w:val="20"/>
                    </w:rPr>
                  </w:pPr>
                  <w:r w:rsidRPr="00E80270">
                    <w:rPr>
                      <w:noProof/>
                      <w:sz w:val="20"/>
                      <w:lang w:eastAsia="en-AU"/>
                    </w:rPr>
                    <w:drawing>
                      <wp:inline distT="0" distB="0" distL="0" distR="0">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B17625" w:rsidRPr="001E4961" w:rsidRDefault="00B17625" w:rsidP="001E4961">
                  <w:pPr>
                    <w:pStyle w:val="Imprint"/>
                  </w:pPr>
                  <w:r w:rsidRPr="001E4961">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B17625" w:rsidRPr="001E4961" w:rsidRDefault="00B17625" w:rsidP="001E4961">
                  <w:pPr>
                    <w:pStyle w:val="Imprint"/>
                  </w:pPr>
                  <w:r w:rsidRPr="001E4961">
                    <w:t>The details of the relevant licence conditions are available on the Creative Commons website (accessible</w:t>
                  </w:r>
                  <w:r>
                    <w:t> </w:t>
                  </w:r>
                  <w:r w:rsidRPr="001E4961">
                    <w:t>using the links provided) as is the full legal code for the CC BY 3.0 AU licence &lt;http://creativecommons.org/licenses/by/3.0/legalcode&gt;.</w:t>
                  </w:r>
                </w:p>
                <w:p w:rsidR="00B17625" w:rsidRPr="001E4961" w:rsidRDefault="00B17625" w:rsidP="001E4961">
                  <w:pPr>
                    <w:pStyle w:val="Imprint"/>
                  </w:pPr>
                  <w:r w:rsidRPr="001E4961">
                    <w:t>The Creative Commons licence conditions do not apply to all logos, graphic design, artwork and photographs. Requests and enquiries concerning other reproduction and rights should be directed to the National Centre for Vocational Education Research (NCVER).</w:t>
                  </w:r>
                </w:p>
                <w:p w:rsidR="00B17625" w:rsidRPr="001E4961" w:rsidRDefault="00B17625" w:rsidP="001E4961">
                  <w:pPr>
                    <w:pStyle w:val="Imprint"/>
                  </w:pPr>
                  <w:r w:rsidRPr="001E4961">
                    <w:t xml:space="preserve">This document should be attributed as </w:t>
                  </w:r>
                  <w:r>
                    <w:t xml:space="preserve">Yu, S, Bretherton, T &amp; Schutz, H 2012, </w:t>
                  </w:r>
                  <w:r>
                    <w:rPr>
                      <w:i/>
                    </w:rPr>
                    <w:t>Vocational trajectories within the Australian labour market</w:t>
                  </w:r>
                  <w:r w:rsidRPr="001E4961">
                    <w:t>, NCVER, Adelaide.</w:t>
                  </w:r>
                </w:p>
                <w:p w:rsidR="00B17625" w:rsidRPr="005C2FCF" w:rsidRDefault="00B17625" w:rsidP="00C9115F">
                  <w:pPr>
                    <w:pStyle w:val="Imprint"/>
                    <w:rPr>
                      <w:color w:val="000000"/>
                    </w:rPr>
                  </w:pPr>
                  <w:r w:rsidRPr="005C2FCF">
                    <w:rPr>
                      <w:color w:val="000000"/>
                    </w:rPr>
                    <w:t>ISBN</w:t>
                  </w:r>
                  <w:r w:rsidRPr="005C2FCF">
                    <w:rPr>
                      <w:color w:val="000000"/>
                    </w:rPr>
                    <w:tab/>
                  </w:r>
                  <w:r w:rsidRPr="00156083">
                    <w:rPr>
                      <w:color w:val="000000"/>
                    </w:rPr>
                    <w:t>978 1 922056 27 6</w:t>
                  </w:r>
                  <w:r>
                    <w:rPr>
                      <w:color w:val="000000"/>
                    </w:rPr>
                    <w:br/>
                  </w:r>
                  <w:r w:rsidRPr="005C2FCF">
                    <w:rPr>
                      <w:color w:val="000000"/>
                    </w:rPr>
                    <w:t>TD/TNC</w:t>
                  </w:r>
                  <w:r w:rsidRPr="005C2FCF">
                    <w:rPr>
                      <w:color w:val="000000"/>
                    </w:rPr>
                    <w:tab/>
                  </w:r>
                  <w:r>
                    <w:rPr>
                      <w:color w:val="000000"/>
                    </w:rPr>
                    <w:t>109.33</w:t>
                  </w:r>
                </w:p>
                <w:p w:rsidR="00B17625" w:rsidRPr="005C2FCF" w:rsidRDefault="00B17625" w:rsidP="00C9115F">
                  <w:pPr>
                    <w:pStyle w:val="Imprint"/>
                    <w:ind w:right="1700"/>
                    <w:rPr>
                      <w:color w:val="000000"/>
                    </w:rPr>
                  </w:pPr>
                  <w:r w:rsidRPr="005C2FCF">
                    <w:rPr>
                      <w:color w:val="000000"/>
                    </w:rPr>
                    <w:t>Published by NCVER</w:t>
                  </w:r>
                  <w:r w:rsidRPr="005C2FCF">
                    <w:rPr>
                      <w:color w:val="000000"/>
                    </w:rPr>
                    <w:br/>
                    <w:t>ABN 87 007 967 311</w:t>
                  </w:r>
                </w:p>
                <w:p w:rsidR="00B17625" w:rsidRPr="005C2FCF" w:rsidRDefault="00B17625" w:rsidP="00C9115F">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B17625" w:rsidRDefault="00B17625" w:rsidP="001E4961">
                  <w:pPr>
                    <w:pStyle w:val="Imprint"/>
                    <w:rPr>
                      <w:color w:val="000000"/>
                    </w:rPr>
                  </w:pPr>
                  <w:r w:rsidRPr="001E4961">
                    <w:rPr>
                      <w:b/>
                      <w:color w:val="000000"/>
                    </w:rPr>
                    <w:t>P</w:t>
                  </w:r>
                  <w:r w:rsidRPr="005C2FCF">
                    <w:rPr>
                      <w:color w:val="000000"/>
                    </w:rPr>
                    <w:t xml:space="preserve"> +61 8 8230 8400 </w:t>
                  </w:r>
                  <w:r>
                    <w:rPr>
                      <w:color w:val="000000"/>
                    </w:rPr>
                    <w:t xml:space="preserve">  </w:t>
                  </w:r>
                  <w:r w:rsidRPr="001E4961">
                    <w:rPr>
                      <w:b/>
                      <w:color w:val="000000"/>
                    </w:rPr>
                    <w:t>F</w:t>
                  </w:r>
                  <w:r w:rsidRPr="005C2FCF">
                    <w:rPr>
                      <w:color w:val="000000"/>
                    </w:rPr>
                    <w:t xml:space="preserve"> +61 8 8212 3436</w:t>
                  </w:r>
                  <w:r>
                    <w:rPr>
                      <w:color w:val="000000"/>
                    </w:rPr>
                    <w:t xml:space="preserve">   </w:t>
                  </w:r>
                  <w:r w:rsidRPr="001E4961">
                    <w:rPr>
                      <w:b/>
                      <w:color w:val="000000"/>
                    </w:rPr>
                    <w:t>E</w:t>
                  </w:r>
                  <w:r w:rsidRPr="005C2FCF">
                    <w:rPr>
                      <w:color w:val="000000"/>
                    </w:rPr>
                    <w:t xml:space="preserve"> </w:t>
                  </w:r>
                  <w:hyperlink r:id="rId12" w:history="1">
                    <w:r w:rsidRPr="00441898">
                      <w:rPr>
                        <w:rStyle w:val="Hyperlink"/>
                        <w:sz w:val="16"/>
                      </w:rPr>
                      <w:t>ncver@ncver.edu.au</w:t>
                    </w:r>
                  </w:hyperlink>
                  <w:r>
                    <w:rPr>
                      <w:color w:val="000000"/>
                    </w:rPr>
                    <w:t xml:space="preserve">   </w:t>
                  </w:r>
                  <w:r w:rsidRPr="001E4961">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C9115F" w:rsidRPr="005C2FCF">
        <w:br w:type="page"/>
      </w:r>
      <w:bookmarkStart w:id="4" w:name="_Toc73766312"/>
      <w:bookmarkStart w:id="5" w:name="_Toc77937774"/>
      <w:bookmarkStart w:id="6" w:name="_Toc80174750"/>
      <w:bookmarkStart w:id="7" w:name="_Toc81560506"/>
      <w:bookmarkStart w:id="8" w:name="_Toc82071799"/>
      <w:bookmarkStart w:id="9" w:name="_Toc82151754"/>
      <w:bookmarkStart w:id="10" w:name="_Toc82498260"/>
      <w:bookmarkStart w:id="11" w:name="_Toc86829097"/>
      <w:bookmarkStart w:id="12" w:name="_Toc89226248"/>
      <w:bookmarkStart w:id="13" w:name="_Toc89240893"/>
      <w:bookmarkStart w:id="14" w:name="_Toc98394875"/>
      <w:bookmarkStart w:id="15" w:name="_Toc296423679"/>
      <w:bookmarkStart w:id="16" w:name="_Toc296497510"/>
      <w:bookmarkStart w:id="17" w:name="_Toc495748330"/>
      <w:bookmarkStart w:id="18" w:name="_Toc495810630"/>
      <w:bookmarkStart w:id="19" w:name="_Toc6031787"/>
      <w:bookmarkStart w:id="20" w:name="_Toc6031844"/>
      <w:r w:rsidR="00C9115F" w:rsidRPr="005C2FCF">
        <w:lastRenderedPageBreak/>
        <w:t>About the research</w:t>
      </w:r>
      <w:bookmarkEnd w:id="4"/>
      <w:bookmarkEnd w:id="5"/>
      <w:bookmarkEnd w:id="6"/>
      <w:bookmarkEnd w:id="7"/>
      <w:bookmarkEnd w:id="8"/>
      <w:bookmarkEnd w:id="9"/>
      <w:bookmarkEnd w:id="10"/>
      <w:bookmarkEnd w:id="11"/>
      <w:bookmarkEnd w:id="12"/>
      <w:bookmarkEnd w:id="13"/>
      <w:bookmarkEnd w:id="14"/>
      <w:bookmarkEnd w:id="15"/>
      <w:bookmarkEnd w:id="16"/>
    </w:p>
    <w:p w:rsidR="00C9115F" w:rsidRDefault="00C9115F" w:rsidP="00C9115F">
      <w:pPr>
        <w:pStyle w:val="Abouttheresearchpubtitle"/>
      </w:pPr>
      <w:bookmarkStart w:id="21" w:name="_Toc98394877"/>
      <w:r w:rsidRPr="00F918DE">
        <w:t>Vocational trajectories within the Australian labour market</w:t>
      </w:r>
    </w:p>
    <w:bookmarkEnd w:id="21"/>
    <w:p w:rsidR="00C9115F" w:rsidRDefault="00C9115F" w:rsidP="00C9115F">
      <w:pPr>
        <w:pStyle w:val="Heading3"/>
      </w:pPr>
      <w:r>
        <w:t>Serena Yu, Tanya Bretherton and Hanna Schutz, Workpla</w:t>
      </w:r>
      <w:r w:rsidR="00784CFB">
        <w:t>ce Research Centre, University o</w:t>
      </w:r>
      <w:r>
        <w:t>f Sydney</w:t>
      </w:r>
    </w:p>
    <w:p w:rsidR="000A1B2C" w:rsidRPr="007C45B4" w:rsidRDefault="00F91907" w:rsidP="007C45B4">
      <w:pPr>
        <w:pStyle w:val="Text"/>
      </w:pPr>
      <w:r>
        <w:t>This report is part of a wider three-year program of research, ‘</w:t>
      </w:r>
      <w:r w:rsidRPr="00ED0068">
        <w:t>V</w:t>
      </w:r>
      <w:r>
        <w:t>ocations: the link between post-</w:t>
      </w:r>
      <w:r w:rsidRPr="00ED0068">
        <w:t>compulsory education and the labour market</w:t>
      </w:r>
      <w:r>
        <w:t>’, which is investigating the educational and occupational paths that people take and how their study relates to their work. This report</w:t>
      </w:r>
      <w:r w:rsidR="00A747A4">
        <w:t xml:space="preserve"> is specifically interested in exploring the movements workers make in the labour</w:t>
      </w:r>
      <w:r w:rsidR="00E83C2E">
        <w:t xml:space="preserve"> market</w:t>
      </w:r>
      <w:r w:rsidR="00A747A4">
        <w:t xml:space="preserve">. The authors consider whether these movements can be </w:t>
      </w:r>
      <w:r w:rsidR="00A747A4" w:rsidRPr="007C45B4">
        <w:t xml:space="preserve">characterised as vocational pathways, which they describe as </w:t>
      </w:r>
      <w:r w:rsidR="008D5AAD" w:rsidRPr="007C45B4">
        <w:t xml:space="preserve">movement between </w:t>
      </w:r>
      <w:r w:rsidR="00A747A4" w:rsidRPr="007C45B4">
        <w:t>linked occupations</w:t>
      </w:r>
      <w:r w:rsidR="00EE4C3C" w:rsidRPr="007C45B4">
        <w:t>, those which</w:t>
      </w:r>
      <w:r w:rsidR="00A747A4" w:rsidRPr="007C45B4">
        <w:t xml:space="preserve"> share an under</w:t>
      </w:r>
      <w:r w:rsidR="00FF63C5" w:rsidRPr="007C45B4">
        <w:t>lying</w:t>
      </w:r>
      <w:r w:rsidR="00A747A4" w:rsidRPr="007C45B4">
        <w:t xml:space="preserve"> field of practice, such as </w:t>
      </w:r>
      <w:r w:rsidR="008D5AAD" w:rsidRPr="007C45B4">
        <w:t>the health workforce.</w:t>
      </w:r>
      <w:r w:rsidR="00A747A4" w:rsidRPr="007C45B4">
        <w:t xml:space="preserve"> </w:t>
      </w:r>
    </w:p>
    <w:p w:rsidR="005B5818" w:rsidRPr="007C45B4" w:rsidRDefault="005B5818" w:rsidP="007C45B4">
      <w:pPr>
        <w:pStyle w:val="Text"/>
      </w:pPr>
      <w:r w:rsidRPr="007C45B4">
        <w:t xml:space="preserve">The </w:t>
      </w:r>
      <w:r w:rsidR="001B26BC" w:rsidRPr="007C45B4">
        <w:t>authors</w:t>
      </w:r>
      <w:r w:rsidRPr="007C45B4">
        <w:t xml:space="preserve"> </w:t>
      </w:r>
      <w:r w:rsidR="001B26BC" w:rsidRPr="007C45B4">
        <w:t>look</w:t>
      </w:r>
      <w:r w:rsidR="00FC3DB6" w:rsidRPr="007C45B4">
        <w:t xml:space="preserve"> </w:t>
      </w:r>
      <w:r w:rsidRPr="007C45B4">
        <w:t>at these pathways</w:t>
      </w:r>
      <w:r w:rsidR="001B26BC" w:rsidRPr="007C45B4">
        <w:t xml:space="preserve"> by interviewing individuals about their employment and st</w:t>
      </w:r>
      <w:r w:rsidR="00587FCA" w:rsidRPr="007C45B4">
        <w:t>udy history, career progression</w:t>
      </w:r>
      <w:r w:rsidR="001B26BC" w:rsidRPr="007C45B4">
        <w:t xml:space="preserve"> and reasons for any movements. This work builds upon a previous</w:t>
      </w:r>
      <w:r w:rsidR="00011D01" w:rsidRPr="007C45B4">
        <w:t xml:space="preserve"> working paper, which</w:t>
      </w:r>
      <w:r w:rsidR="001B26BC" w:rsidRPr="007C45B4">
        <w:t xml:space="preserve"> used quantitative data to explore these movements.</w:t>
      </w:r>
      <w:r w:rsidR="002D3120" w:rsidRPr="007C45B4">
        <w:t xml:space="preserve"> The finance, primary, health and electrical</w:t>
      </w:r>
      <w:r w:rsidR="00E83C2E" w:rsidRPr="007C45B4">
        <w:t xml:space="preserve"> trades/engineering industries we</w:t>
      </w:r>
      <w:r w:rsidR="002D3120" w:rsidRPr="007C45B4">
        <w:t>re used as case studies.</w:t>
      </w:r>
    </w:p>
    <w:p w:rsidR="008D5AAD" w:rsidRDefault="008D5AAD" w:rsidP="007C45B4">
      <w:pPr>
        <w:pStyle w:val="Text"/>
      </w:pPr>
      <w:r w:rsidRPr="007C45B4">
        <w:t>In that work, three pathways</w:t>
      </w:r>
      <w:r w:rsidR="00C25632">
        <w:t xml:space="preserve"> were distinguished:</w:t>
      </w:r>
    </w:p>
    <w:p w:rsidR="00C25632" w:rsidRDefault="0082555F" w:rsidP="00C25632">
      <w:pPr>
        <w:pStyle w:val="Dotpoint1"/>
      </w:pPr>
      <w:r>
        <w:t>high-skill</w:t>
      </w:r>
      <w:r w:rsidR="00F91907">
        <w:t xml:space="preserve"> trajectories: those accessing high-</w:t>
      </w:r>
      <w:r w:rsidR="00C25632">
        <w:t>skill occupations, often including</w:t>
      </w:r>
      <w:r w:rsidR="00011D01">
        <w:t xml:space="preserve"> long tenures in the occupation</w:t>
      </w:r>
    </w:p>
    <w:p w:rsidR="00C25632" w:rsidRDefault="0082555F" w:rsidP="00C25632">
      <w:pPr>
        <w:pStyle w:val="Dotpoint1"/>
      </w:pPr>
      <w:r>
        <w:t>low-skill</w:t>
      </w:r>
      <w:r w:rsidR="00F91907">
        <w:t xml:space="preserve"> trajectories: those </w:t>
      </w:r>
      <w:r w:rsidR="00C25632">
        <w:t>chara</w:t>
      </w:r>
      <w:r w:rsidR="00030D31">
        <w:t>cterised by entrenchment in low-</w:t>
      </w:r>
      <w:r w:rsidR="00C25632">
        <w:t>skill work</w:t>
      </w:r>
    </w:p>
    <w:p w:rsidR="00C25632" w:rsidRDefault="00030D31" w:rsidP="00C25632">
      <w:pPr>
        <w:pStyle w:val="Dotpoint1"/>
      </w:pPr>
      <w:r>
        <w:t>m</w:t>
      </w:r>
      <w:r w:rsidR="00F91907">
        <w:t xml:space="preserve">arginal attachment: </w:t>
      </w:r>
      <w:r w:rsidR="00C25632">
        <w:t>clusters of activity outside the labour market</w:t>
      </w:r>
      <w:r w:rsidR="00011D01">
        <w:t>,</w:t>
      </w:r>
      <w:r w:rsidR="00C25632">
        <w:t xml:space="preserve"> interspersed with periods of paid employment.</w:t>
      </w:r>
    </w:p>
    <w:p w:rsidR="00C9115F" w:rsidRPr="005C2FCF" w:rsidRDefault="00C9115F" w:rsidP="00C9115F">
      <w:pPr>
        <w:pStyle w:val="Keymessages"/>
      </w:pPr>
      <w:bookmarkStart w:id="22" w:name="_Toc98394878"/>
      <w:bookmarkStart w:id="23" w:name="_Toc296423682"/>
      <w:bookmarkStart w:id="24" w:name="_Toc296497513"/>
      <w:r w:rsidRPr="005C2FCF">
        <w:t>Key messages</w:t>
      </w:r>
      <w:bookmarkEnd w:id="22"/>
      <w:bookmarkEnd w:id="23"/>
      <w:bookmarkEnd w:id="24"/>
    </w:p>
    <w:p w:rsidR="00CC585B" w:rsidRDefault="00317870" w:rsidP="00C9115F">
      <w:pPr>
        <w:pStyle w:val="Dotpoint1"/>
      </w:pPr>
      <w:r>
        <w:t xml:space="preserve">There are two ways that workers progress </w:t>
      </w:r>
      <w:r w:rsidR="00D16C16">
        <w:t>with</w:t>
      </w:r>
      <w:r>
        <w:t xml:space="preserve">in </w:t>
      </w:r>
      <w:r w:rsidR="002D3120">
        <w:t>medium</w:t>
      </w:r>
      <w:r w:rsidR="00011D01">
        <w:t>-</w:t>
      </w:r>
      <w:r w:rsidR="002D3120">
        <w:t xml:space="preserve"> to </w:t>
      </w:r>
      <w:r w:rsidR="0082555F">
        <w:t>high-skill</w:t>
      </w:r>
      <w:r>
        <w:t xml:space="preserve"> </w:t>
      </w:r>
      <w:r w:rsidR="002D3120">
        <w:t>roles</w:t>
      </w:r>
      <w:r>
        <w:t>. They either move upwards to roles with greater leadership</w:t>
      </w:r>
      <w:r w:rsidR="002D3120">
        <w:t xml:space="preserve"> or organisational</w:t>
      </w:r>
      <w:r>
        <w:t xml:space="preserve"> responsibilities</w:t>
      </w:r>
      <w:r w:rsidR="00011D01">
        <w:t>,</w:t>
      </w:r>
      <w:r>
        <w:t xml:space="preserve"> or they move laterally </w:t>
      </w:r>
      <w:r w:rsidR="00D16C16">
        <w:t>into related roles</w:t>
      </w:r>
      <w:r w:rsidR="00030D31">
        <w:t>,</w:t>
      </w:r>
      <w:r w:rsidR="00D16C16">
        <w:t xml:space="preserve"> where they expand their technical skills and knowledge.</w:t>
      </w:r>
    </w:p>
    <w:p w:rsidR="00CC585B" w:rsidRDefault="00030D31" w:rsidP="00C9115F">
      <w:pPr>
        <w:pStyle w:val="Dotpoint1"/>
      </w:pPr>
      <w:r>
        <w:t>Within low-</w:t>
      </w:r>
      <w:r w:rsidR="00D16C16">
        <w:t xml:space="preserve">skill roles, movements </w:t>
      </w:r>
      <w:r w:rsidR="002D3120">
        <w:t>are</w:t>
      </w:r>
      <w:r w:rsidR="00D16C16">
        <w:t xml:space="preserve"> associated with </w:t>
      </w:r>
      <w:r>
        <w:t>ensuring an on</w:t>
      </w:r>
      <w:r w:rsidR="00CC585B">
        <w:t>going livelihood rather than a career pathway.</w:t>
      </w:r>
      <w:r w:rsidR="000968E5">
        <w:t xml:space="preserve"> </w:t>
      </w:r>
      <w:r w:rsidR="00D16C16">
        <w:t xml:space="preserve">There </w:t>
      </w:r>
      <w:r w:rsidR="002D3120">
        <w:t>a</w:t>
      </w:r>
      <w:r w:rsidR="00D16C16">
        <w:t xml:space="preserve">re also </w:t>
      </w:r>
      <w:r w:rsidR="00E50AC0">
        <w:t>fewer</w:t>
      </w:r>
      <w:r w:rsidR="000968E5">
        <w:t xml:space="preserve"> opportunities for skill formation</w:t>
      </w:r>
      <w:r>
        <w:t xml:space="preserve"> than in higher-</w:t>
      </w:r>
      <w:r w:rsidR="00784CFB">
        <w:t>skill</w:t>
      </w:r>
      <w:r w:rsidR="00D16C16">
        <w:t xml:space="preserve"> roles.</w:t>
      </w:r>
      <w:r w:rsidR="00F83543">
        <w:t xml:space="preserve"> </w:t>
      </w:r>
    </w:p>
    <w:p w:rsidR="00D53BC7" w:rsidRDefault="00D53BC7" w:rsidP="00C9115F">
      <w:pPr>
        <w:pStyle w:val="Dotpoint1"/>
      </w:pPr>
      <w:r w:rsidRPr="0044401E">
        <w:t xml:space="preserve">The way employers recruit, develop and promote skills within </w:t>
      </w:r>
      <w:r w:rsidR="0044401E" w:rsidRPr="0044401E">
        <w:t>different</w:t>
      </w:r>
      <w:r w:rsidRPr="0044401E">
        <w:t xml:space="preserve"> industries is diverse.</w:t>
      </w:r>
    </w:p>
    <w:p w:rsidR="00C25632" w:rsidRPr="0044401E" w:rsidRDefault="00C25632" w:rsidP="00C25632">
      <w:pPr>
        <w:pStyle w:val="Text"/>
      </w:pPr>
      <w:r>
        <w:t>The variation across industries means that any attempts to promote vocational pathways th</w:t>
      </w:r>
      <w:r w:rsidR="00E83C2E">
        <w:t>r</w:t>
      </w:r>
      <w:r>
        <w:t>ough educational policy need to take account of labour market structures, including industrial and economic settings.</w:t>
      </w:r>
    </w:p>
    <w:p w:rsidR="00C9115F" w:rsidRPr="005C2FCF" w:rsidRDefault="00C9115F" w:rsidP="00C9115F">
      <w:pPr>
        <w:pStyle w:val="Text"/>
      </w:pPr>
    </w:p>
    <w:p w:rsidR="00C9115F" w:rsidRPr="005C2FCF" w:rsidRDefault="00C9115F" w:rsidP="00C9115F">
      <w:pPr>
        <w:pStyle w:val="Text"/>
      </w:pPr>
      <w:r w:rsidRPr="005C2FCF">
        <w:t>Tom Karmel</w:t>
      </w:r>
      <w:r w:rsidRPr="005C2FCF">
        <w:br/>
        <w:t>Managing Director, NCVER</w:t>
      </w:r>
    </w:p>
    <w:p w:rsidR="00C9115F" w:rsidRDefault="00C9115F">
      <w:pPr>
        <w:spacing w:before="0" w:line="240" w:lineRule="auto"/>
      </w:pPr>
      <w:r>
        <w:br w:type="page"/>
      </w:r>
    </w:p>
    <w:p w:rsidR="00C9115F" w:rsidRDefault="00C9115F" w:rsidP="00C9115F">
      <w:pPr>
        <w:pStyle w:val="Contents"/>
      </w:pPr>
    </w:p>
    <w:p w:rsidR="00C9115F" w:rsidRDefault="00C9115F" w:rsidP="00C9115F">
      <w:pPr>
        <w:pStyle w:val="Contents"/>
        <w:sectPr w:rsidR="00C9115F">
          <w:pgSz w:w="11907" w:h="16840" w:code="9"/>
          <w:pgMar w:top="1276" w:right="1701" w:bottom="1276" w:left="1418" w:header="709" w:footer="556" w:gutter="0"/>
          <w:cols w:space="708"/>
          <w:docGrid w:linePitch="360"/>
        </w:sectPr>
      </w:pPr>
    </w:p>
    <w:p w:rsidR="00C9115F" w:rsidRPr="00DC5F5C" w:rsidRDefault="00C9115F" w:rsidP="00C9115F">
      <w:pPr>
        <w:pStyle w:val="Contents"/>
      </w:pPr>
      <w:bookmarkStart w:id="25" w:name="_Toc98394880"/>
      <w:bookmarkStart w:id="26" w:name="_Toc296423683"/>
      <w:bookmarkStart w:id="27" w:name="_Toc296497514"/>
      <w:r w:rsidRPr="00DC5F5C">
        <w:lastRenderedPageBreak/>
        <w:t>Contents</w:t>
      </w:r>
      <w:bookmarkEnd w:id="25"/>
      <w:bookmarkEnd w:id="26"/>
      <w:bookmarkEnd w:id="27"/>
    </w:p>
    <w:p w:rsidR="003606BA" w:rsidRDefault="00A7118D">
      <w:pPr>
        <w:pStyle w:val="TOC1"/>
        <w:rPr>
          <w:rFonts w:asciiTheme="minorHAnsi" w:eastAsiaTheme="minorEastAsia" w:hAnsiTheme="minorHAnsi" w:cstheme="minorBidi"/>
          <w:color w:val="auto"/>
          <w:sz w:val="22"/>
          <w:szCs w:val="22"/>
          <w:lang w:eastAsia="en-AU"/>
        </w:rPr>
      </w:pPr>
      <w:r w:rsidRPr="00A7118D">
        <w:rPr>
          <w:rFonts w:ascii="Avant Garde" w:hAnsi="Avant Garde"/>
        </w:rPr>
        <w:fldChar w:fldCharType="begin"/>
      </w:r>
      <w:r w:rsidR="00C9115F" w:rsidRPr="009775C7">
        <w:rPr>
          <w:rFonts w:ascii="Avant Garde" w:hAnsi="Avant Garde"/>
        </w:rPr>
        <w:instrText xml:space="preserve"> TOC \o "1-2" </w:instrText>
      </w:r>
      <w:r w:rsidRPr="00A7118D">
        <w:rPr>
          <w:rFonts w:ascii="Avant Garde" w:hAnsi="Avant Garde"/>
        </w:rPr>
        <w:fldChar w:fldCharType="separate"/>
      </w:r>
      <w:r w:rsidR="003606BA">
        <w:t>Tables and figures</w:t>
      </w:r>
      <w:r w:rsidR="003606BA">
        <w:tab/>
      </w:r>
      <w:r>
        <w:fldChar w:fldCharType="begin"/>
      </w:r>
      <w:r w:rsidR="003606BA">
        <w:instrText xml:space="preserve"> PAGEREF _Toc335752928 \h </w:instrText>
      </w:r>
      <w:r>
        <w:fldChar w:fldCharType="separate"/>
      </w:r>
      <w:r w:rsidR="008D27AC">
        <w:t>6</w:t>
      </w:r>
      <w:r>
        <w:fldChar w:fldCharType="end"/>
      </w:r>
    </w:p>
    <w:p w:rsidR="003606BA" w:rsidRDefault="003606BA">
      <w:pPr>
        <w:pStyle w:val="TOC1"/>
        <w:rPr>
          <w:rFonts w:asciiTheme="minorHAnsi" w:eastAsiaTheme="minorEastAsia" w:hAnsiTheme="minorHAnsi" w:cstheme="minorBidi"/>
          <w:color w:val="auto"/>
          <w:sz w:val="22"/>
          <w:szCs w:val="22"/>
          <w:lang w:eastAsia="en-AU"/>
        </w:rPr>
      </w:pPr>
      <w:r>
        <w:t>Executive summary</w:t>
      </w:r>
      <w:r>
        <w:tab/>
      </w:r>
      <w:r w:rsidR="00A7118D">
        <w:fldChar w:fldCharType="begin"/>
      </w:r>
      <w:r>
        <w:instrText xml:space="preserve"> PAGEREF _Toc335752931 \h </w:instrText>
      </w:r>
      <w:r w:rsidR="00A7118D">
        <w:fldChar w:fldCharType="separate"/>
      </w:r>
      <w:r w:rsidR="008D27AC">
        <w:t>7</w:t>
      </w:r>
      <w:r w:rsidR="00A7118D">
        <w:fldChar w:fldCharType="end"/>
      </w:r>
    </w:p>
    <w:p w:rsidR="003606BA" w:rsidRDefault="003606BA">
      <w:pPr>
        <w:pStyle w:val="TOC1"/>
        <w:rPr>
          <w:rFonts w:asciiTheme="minorHAnsi" w:eastAsiaTheme="minorEastAsia" w:hAnsiTheme="minorHAnsi" w:cstheme="minorBidi"/>
          <w:color w:val="auto"/>
          <w:sz w:val="22"/>
          <w:szCs w:val="22"/>
          <w:lang w:eastAsia="en-AU"/>
        </w:rPr>
      </w:pPr>
      <w:r>
        <w:t>Background</w:t>
      </w:r>
      <w:r>
        <w:tab/>
      </w:r>
      <w:r w:rsidR="00A7118D">
        <w:fldChar w:fldCharType="begin"/>
      </w:r>
      <w:r>
        <w:instrText xml:space="preserve"> PAGEREF _Toc335752932 \h </w:instrText>
      </w:r>
      <w:r w:rsidR="00A7118D">
        <w:fldChar w:fldCharType="separate"/>
      </w:r>
      <w:r w:rsidR="008D27AC">
        <w:t>11</w:t>
      </w:r>
      <w:r w:rsidR="00A7118D">
        <w:fldChar w:fldCharType="end"/>
      </w:r>
    </w:p>
    <w:p w:rsidR="003606BA" w:rsidRDefault="003606BA">
      <w:pPr>
        <w:pStyle w:val="TOC1"/>
        <w:rPr>
          <w:rFonts w:asciiTheme="minorHAnsi" w:eastAsiaTheme="minorEastAsia" w:hAnsiTheme="minorHAnsi" w:cstheme="minorBidi"/>
          <w:color w:val="auto"/>
          <w:sz w:val="22"/>
          <w:szCs w:val="22"/>
          <w:lang w:eastAsia="en-AU"/>
        </w:rPr>
      </w:pPr>
      <w:r>
        <w:t>Method</w:t>
      </w:r>
      <w:r>
        <w:tab/>
      </w:r>
      <w:r w:rsidR="00A7118D">
        <w:fldChar w:fldCharType="begin"/>
      </w:r>
      <w:r>
        <w:instrText xml:space="preserve"> PAGEREF _Toc335752933 \h </w:instrText>
      </w:r>
      <w:r w:rsidR="00A7118D">
        <w:fldChar w:fldCharType="separate"/>
      </w:r>
      <w:r w:rsidR="008D27AC">
        <w:t>15</w:t>
      </w:r>
      <w:r w:rsidR="00A7118D">
        <w:fldChar w:fldCharType="end"/>
      </w:r>
    </w:p>
    <w:p w:rsidR="003606BA" w:rsidRDefault="003606BA">
      <w:pPr>
        <w:pStyle w:val="TOC1"/>
        <w:rPr>
          <w:rFonts w:asciiTheme="minorHAnsi" w:eastAsiaTheme="minorEastAsia" w:hAnsiTheme="minorHAnsi" w:cstheme="minorBidi"/>
          <w:color w:val="auto"/>
          <w:sz w:val="22"/>
          <w:szCs w:val="22"/>
          <w:lang w:eastAsia="en-AU"/>
        </w:rPr>
      </w:pPr>
      <w:r>
        <w:t>Results and discussion</w:t>
      </w:r>
      <w:r>
        <w:tab/>
      </w:r>
      <w:r w:rsidR="00A7118D">
        <w:fldChar w:fldCharType="begin"/>
      </w:r>
      <w:r>
        <w:instrText xml:space="preserve"> PAGEREF _Toc335752934 \h </w:instrText>
      </w:r>
      <w:r w:rsidR="00A7118D">
        <w:fldChar w:fldCharType="separate"/>
      </w:r>
      <w:r w:rsidR="008D27AC">
        <w:t>17</w:t>
      </w:r>
      <w:r w:rsidR="00A7118D">
        <w:fldChar w:fldCharType="end"/>
      </w:r>
    </w:p>
    <w:p w:rsidR="003606BA" w:rsidRDefault="003606BA">
      <w:pPr>
        <w:pStyle w:val="TOC2"/>
        <w:rPr>
          <w:rFonts w:asciiTheme="minorHAnsi" w:eastAsiaTheme="minorEastAsia" w:hAnsiTheme="minorHAnsi" w:cstheme="minorBidi"/>
          <w:color w:val="auto"/>
          <w:sz w:val="22"/>
          <w:szCs w:val="22"/>
          <w:lang w:eastAsia="en-AU"/>
        </w:rPr>
      </w:pPr>
      <w:r>
        <w:t>Primary industry</w:t>
      </w:r>
      <w:r>
        <w:tab/>
      </w:r>
      <w:r w:rsidR="00A7118D">
        <w:fldChar w:fldCharType="begin"/>
      </w:r>
      <w:r>
        <w:instrText xml:space="preserve"> PAGEREF _Toc335752935 \h </w:instrText>
      </w:r>
      <w:r w:rsidR="00A7118D">
        <w:fldChar w:fldCharType="separate"/>
      </w:r>
      <w:r w:rsidR="008D27AC">
        <w:t>17</w:t>
      </w:r>
      <w:r w:rsidR="00A7118D">
        <w:fldChar w:fldCharType="end"/>
      </w:r>
    </w:p>
    <w:p w:rsidR="003606BA" w:rsidRDefault="003606BA">
      <w:pPr>
        <w:pStyle w:val="TOC2"/>
        <w:rPr>
          <w:rFonts w:asciiTheme="minorHAnsi" w:eastAsiaTheme="minorEastAsia" w:hAnsiTheme="minorHAnsi" w:cstheme="minorBidi"/>
          <w:color w:val="auto"/>
          <w:sz w:val="22"/>
          <w:szCs w:val="22"/>
          <w:lang w:eastAsia="en-AU"/>
        </w:rPr>
      </w:pPr>
      <w:r>
        <w:t>Financial services</w:t>
      </w:r>
      <w:r>
        <w:tab/>
      </w:r>
      <w:r w:rsidR="00A7118D">
        <w:fldChar w:fldCharType="begin"/>
      </w:r>
      <w:r>
        <w:instrText xml:space="preserve"> PAGEREF _Toc335752936 \h </w:instrText>
      </w:r>
      <w:r w:rsidR="00A7118D">
        <w:fldChar w:fldCharType="separate"/>
      </w:r>
      <w:r w:rsidR="008D27AC">
        <w:t>20</w:t>
      </w:r>
      <w:r w:rsidR="00A7118D">
        <w:fldChar w:fldCharType="end"/>
      </w:r>
    </w:p>
    <w:p w:rsidR="003606BA" w:rsidRDefault="003606BA">
      <w:pPr>
        <w:pStyle w:val="TOC2"/>
        <w:rPr>
          <w:rFonts w:asciiTheme="minorHAnsi" w:eastAsiaTheme="minorEastAsia" w:hAnsiTheme="minorHAnsi" w:cstheme="minorBidi"/>
          <w:color w:val="auto"/>
          <w:sz w:val="22"/>
          <w:szCs w:val="22"/>
          <w:lang w:eastAsia="en-AU"/>
        </w:rPr>
      </w:pPr>
      <w:r>
        <w:t>Trades and engineering</w:t>
      </w:r>
      <w:r>
        <w:tab/>
      </w:r>
      <w:r w:rsidR="00A7118D">
        <w:fldChar w:fldCharType="begin"/>
      </w:r>
      <w:r>
        <w:instrText xml:space="preserve"> PAGEREF _Toc335752937 \h </w:instrText>
      </w:r>
      <w:r w:rsidR="00A7118D">
        <w:fldChar w:fldCharType="separate"/>
      </w:r>
      <w:r w:rsidR="008D27AC">
        <w:t>25</w:t>
      </w:r>
      <w:r w:rsidR="00A7118D">
        <w:fldChar w:fldCharType="end"/>
      </w:r>
    </w:p>
    <w:p w:rsidR="003606BA" w:rsidRDefault="003606BA">
      <w:pPr>
        <w:pStyle w:val="TOC2"/>
        <w:rPr>
          <w:rFonts w:asciiTheme="minorHAnsi" w:eastAsiaTheme="minorEastAsia" w:hAnsiTheme="minorHAnsi" w:cstheme="minorBidi"/>
          <w:color w:val="auto"/>
          <w:sz w:val="22"/>
          <w:szCs w:val="22"/>
          <w:lang w:eastAsia="en-AU"/>
        </w:rPr>
      </w:pPr>
      <w:r>
        <w:t>Healthcare and community services</w:t>
      </w:r>
      <w:r>
        <w:tab/>
      </w:r>
      <w:r w:rsidR="00A7118D">
        <w:fldChar w:fldCharType="begin"/>
      </w:r>
      <w:r>
        <w:instrText xml:space="preserve"> PAGEREF _Toc335752938 \h </w:instrText>
      </w:r>
      <w:r w:rsidR="00A7118D">
        <w:fldChar w:fldCharType="separate"/>
      </w:r>
      <w:r w:rsidR="008D27AC">
        <w:t>32</w:t>
      </w:r>
      <w:r w:rsidR="00A7118D">
        <w:fldChar w:fldCharType="end"/>
      </w:r>
    </w:p>
    <w:p w:rsidR="003606BA" w:rsidRDefault="003606BA">
      <w:pPr>
        <w:pStyle w:val="TOC1"/>
        <w:rPr>
          <w:rFonts w:asciiTheme="minorHAnsi" w:eastAsiaTheme="minorEastAsia" w:hAnsiTheme="minorHAnsi" w:cstheme="minorBidi"/>
          <w:color w:val="auto"/>
          <w:sz w:val="22"/>
          <w:szCs w:val="22"/>
          <w:lang w:eastAsia="en-AU"/>
        </w:rPr>
      </w:pPr>
      <w:r>
        <w:t>Conclusion</w:t>
      </w:r>
      <w:r>
        <w:tab/>
      </w:r>
      <w:r w:rsidR="00A7118D">
        <w:fldChar w:fldCharType="begin"/>
      </w:r>
      <w:r>
        <w:instrText xml:space="preserve"> PAGEREF _Toc335752939 \h </w:instrText>
      </w:r>
      <w:r w:rsidR="00A7118D">
        <w:fldChar w:fldCharType="separate"/>
      </w:r>
      <w:r w:rsidR="008D27AC">
        <w:t>38</w:t>
      </w:r>
      <w:r w:rsidR="00A7118D">
        <w:fldChar w:fldCharType="end"/>
      </w:r>
    </w:p>
    <w:p w:rsidR="003606BA" w:rsidRDefault="003606BA">
      <w:pPr>
        <w:pStyle w:val="TOC1"/>
        <w:rPr>
          <w:rFonts w:asciiTheme="minorHAnsi" w:eastAsiaTheme="minorEastAsia" w:hAnsiTheme="minorHAnsi" w:cstheme="minorBidi"/>
          <w:color w:val="auto"/>
          <w:sz w:val="22"/>
          <w:szCs w:val="22"/>
          <w:lang w:eastAsia="en-AU"/>
        </w:rPr>
      </w:pPr>
      <w:r>
        <w:t>References</w:t>
      </w:r>
      <w:r>
        <w:tab/>
      </w:r>
      <w:r w:rsidR="00A7118D">
        <w:fldChar w:fldCharType="begin"/>
      </w:r>
      <w:r>
        <w:instrText xml:space="preserve"> PAGEREF _Toc335752940 \h </w:instrText>
      </w:r>
      <w:r w:rsidR="00A7118D">
        <w:fldChar w:fldCharType="separate"/>
      </w:r>
      <w:r w:rsidR="008D27AC">
        <w:t>41</w:t>
      </w:r>
      <w:r w:rsidR="00A7118D">
        <w:fldChar w:fldCharType="end"/>
      </w:r>
    </w:p>
    <w:p w:rsidR="003606BA" w:rsidRDefault="003606BA">
      <w:pPr>
        <w:pStyle w:val="TOC1"/>
      </w:pPr>
      <w:r>
        <w:t>Appendices</w:t>
      </w:r>
    </w:p>
    <w:p w:rsidR="003606BA" w:rsidRDefault="003606BA" w:rsidP="003606BA">
      <w:pPr>
        <w:pStyle w:val="TOC2"/>
        <w:rPr>
          <w:rFonts w:asciiTheme="minorHAnsi" w:eastAsiaTheme="minorEastAsia" w:hAnsiTheme="minorHAnsi" w:cstheme="minorBidi"/>
          <w:color w:val="auto"/>
          <w:sz w:val="22"/>
          <w:szCs w:val="22"/>
          <w:lang w:eastAsia="en-AU"/>
        </w:rPr>
      </w:pPr>
      <w:r>
        <w:t>A: Optimal Matching Analysis</w:t>
      </w:r>
      <w:r>
        <w:tab/>
      </w:r>
      <w:r w:rsidR="00A7118D">
        <w:fldChar w:fldCharType="begin"/>
      </w:r>
      <w:r>
        <w:instrText xml:space="preserve"> PAGEREF _Toc335752942 \h </w:instrText>
      </w:r>
      <w:r w:rsidR="00A7118D">
        <w:fldChar w:fldCharType="separate"/>
      </w:r>
      <w:r w:rsidR="008D27AC">
        <w:t>44</w:t>
      </w:r>
      <w:r w:rsidR="00A7118D">
        <w:fldChar w:fldCharType="end"/>
      </w:r>
    </w:p>
    <w:p w:rsidR="003606BA" w:rsidRPr="00E02C1E" w:rsidRDefault="003606BA" w:rsidP="003606BA">
      <w:pPr>
        <w:pStyle w:val="TOC2"/>
        <w:rPr>
          <w:rFonts w:asciiTheme="minorHAnsi" w:eastAsiaTheme="minorEastAsia" w:hAnsiTheme="minorHAnsi" w:cstheme="minorBidi"/>
          <w:color w:val="auto"/>
          <w:sz w:val="22"/>
          <w:szCs w:val="22"/>
          <w:lang w:eastAsia="en-AU"/>
        </w:rPr>
      </w:pPr>
      <w:r>
        <w:t>B</w:t>
      </w:r>
      <w:r w:rsidR="00F55892">
        <w:t xml:space="preserve">: </w:t>
      </w:r>
      <w:r w:rsidR="00F55892" w:rsidRPr="00E02C1E">
        <w:t>Vocational cluster trajectories</w:t>
      </w:r>
      <w:r w:rsidRPr="00E02C1E">
        <w:tab/>
      </w:r>
      <w:r w:rsidR="00A7118D" w:rsidRPr="00E02C1E">
        <w:fldChar w:fldCharType="begin"/>
      </w:r>
      <w:r w:rsidRPr="00E02C1E">
        <w:instrText xml:space="preserve"> PAGEREF _Toc335752943 \h </w:instrText>
      </w:r>
      <w:r w:rsidR="00A7118D" w:rsidRPr="00E02C1E">
        <w:fldChar w:fldCharType="separate"/>
      </w:r>
      <w:r w:rsidR="008D27AC">
        <w:t>46</w:t>
      </w:r>
      <w:r w:rsidR="00A7118D" w:rsidRPr="00E02C1E">
        <w:fldChar w:fldCharType="end"/>
      </w:r>
    </w:p>
    <w:p w:rsidR="003606BA" w:rsidRPr="00E02C1E" w:rsidRDefault="003606BA" w:rsidP="003606BA">
      <w:pPr>
        <w:pStyle w:val="TOC2"/>
        <w:rPr>
          <w:rFonts w:asciiTheme="minorHAnsi" w:eastAsiaTheme="minorEastAsia" w:hAnsiTheme="minorHAnsi" w:cstheme="minorBidi"/>
          <w:color w:val="auto"/>
          <w:sz w:val="22"/>
          <w:szCs w:val="22"/>
          <w:lang w:eastAsia="en-AU"/>
        </w:rPr>
      </w:pPr>
      <w:r w:rsidRPr="00E02C1E">
        <w:t>C</w:t>
      </w:r>
      <w:r w:rsidR="00F55892" w:rsidRPr="00E02C1E">
        <w:t>: Additional descriptive table</w:t>
      </w:r>
      <w:r w:rsidRPr="00E02C1E">
        <w:tab/>
      </w:r>
      <w:r w:rsidR="00A7118D" w:rsidRPr="00E02C1E">
        <w:fldChar w:fldCharType="begin"/>
      </w:r>
      <w:r w:rsidRPr="00E02C1E">
        <w:instrText xml:space="preserve"> PAGEREF _Toc335752944 \h </w:instrText>
      </w:r>
      <w:r w:rsidR="00A7118D" w:rsidRPr="00E02C1E">
        <w:fldChar w:fldCharType="separate"/>
      </w:r>
      <w:r w:rsidR="008D27AC">
        <w:t>49</w:t>
      </w:r>
      <w:r w:rsidR="00A7118D" w:rsidRPr="00E02C1E">
        <w:fldChar w:fldCharType="end"/>
      </w:r>
    </w:p>
    <w:p w:rsidR="003606BA" w:rsidRDefault="003606BA">
      <w:pPr>
        <w:pStyle w:val="TOC1"/>
        <w:rPr>
          <w:rFonts w:asciiTheme="minorHAnsi" w:eastAsiaTheme="minorEastAsia" w:hAnsiTheme="minorHAnsi" w:cstheme="minorBidi"/>
          <w:color w:val="auto"/>
          <w:sz w:val="22"/>
          <w:szCs w:val="22"/>
          <w:lang w:eastAsia="en-AU"/>
        </w:rPr>
      </w:pPr>
      <w:r w:rsidRPr="00E02C1E">
        <w:t>NVETR Program funding</w:t>
      </w:r>
      <w:r>
        <w:tab/>
      </w:r>
      <w:r w:rsidR="00A7118D">
        <w:fldChar w:fldCharType="begin"/>
      </w:r>
      <w:r>
        <w:instrText xml:space="preserve"> PAGEREF _Toc335752945 \h </w:instrText>
      </w:r>
      <w:r w:rsidR="00A7118D">
        <w:fldChar w:fldCharType="separate"/>
      </w:r>
      <w:r w:rsidR="008D27AC">
        <w:t>51</w:t>
      </w:r>
      <w:r w:rsidR="00A7118D">
        <w:fldChar w:fldCharType="end"/>
      </w:r>
    </w:p>
    <w:p w:rsidR="00C9115F" w:rsidRDefault="00A7118D" w:rsidP="00C9115F">
      <w:pPr>
        <w:pStyle w:val="Text"/>
      </w:pPr>
      <w:r w:rsidRPr="009775C7">
        <w:fldChar w:fldCharType="end"/>
      </w:r>
    </w:p>
    <w:p w:rsidR="00C9115F" w:rsidRDefault="00C9115F" w:rsidP="00C9115F">
      <w:pPr>
        <w:pStyle w:val="Text"/>
        <w:rPr>
          <w:rFonts w:ascii="Tahoma" w:hAnsi="Tahoma" w:cs="Tahoma"/>
          <w:color w:val="000000"/>
          <w:kern w:val="28"/>
          <w:sz w:val="56"/>
          <w:szCs w:val="56"/>
        </w:rPr>
      </w:pPr>
      <w:r>
        <w:br w:type="page"/>
      </w:r>
    </w:p>
    <w:p w:rsidR="00C9115F" w:rsidRDefault="00C9115F" w:rsidP="00C9115F">
      <w:pPr>
        <w:pStyle w:val="Heading1"/>
      </w:pPr>
      <w:bookmarkStart w:id="28" w:name="_Toc335752928"/>
      <w:r>
        <w:lastRenderedPageBreak/>
        <w:t>Tables and figures</w:t>
      </w:r>
      <w:bookmarkEnd w:id="28"/>
    </w:p>
    <w:p w:rsidR="00C9115F" w:rsidRDefault="00C9115F" w:rsidP="00C9115F">
      <w:pPr>
        <w:pStyle w:val="Heading2"/>
      </w:pPr>
      <w:bookmarkStart w:id="29" w:name="_Toc296497516"/>
      <w:bookmarkStart w:id="30" w:name="_Toc298162801"/>
      <w:bookmarkStart w:id="31" w:name="_Toc335752929"/>
      <w:r>
        <w:t>Tables</w:t>
      </w:r>
      <w:bookmarkEnd w:id="29"/>
      <w:bookmarkEnd w:id="30"/>
      <w:bookmarkEnd w:id="31"/>
    </w:p>
    <w:p w:rsidR="003606BA" w:rsidRDefault="00A7118D">
      <w:pPr>
        <w:pStyle w:val="TableofFigures"/>
        <w:tabs>
          <w:tab w:val="left" w:pos="950"/>
        </w:tabs>
        <w:rPr>
          <w:rFonts w:asciiTheme="minorHAnsi" w:eastAsiaTheme="minorEastAsia" w:hAnsiTheme="minorHAnsi" w:cstheme="minorBidi"/>
          <w:color w:val="auto"/>
          <w:sz w:val="22"/>
          <w:szCs w:val="22"/>
          <w:lang w:eastAsia="en-AU"/>
        </w:rPr>
      </w:pPr>
      <w:r w:rsidRPr="00A7118D">
        <w:fldChar w:fldCharType="begin"/>
      </w:r>
      <w:r w:rsidR="00C9115F">
        <w:instrText xml:space="preserve"> TOC \f F \t "tabletitle" \c </w:instrText>
      </w:r>
      <w:r w:rsidRPr="00A7118D">
        <w:fldChar w:fldCharType="separate"/>
      </w:r>
      <w:r w:rsidR="003606BA">
        <w:t>1</w:t>
      </w:r>
      <w:r w:rsidR="003606BA">
        <w:rPr>
          <w:rFonts w:asciiTheme="minorHAnsi" w:eastAsiaTheme="minorEastAsia" w:hAnsiTheme="minorHAnsi" w:cstheme="minorBidi"/>
          <w:color w:val="auto"/>
          <w:sz w:val="22"/>
          <w:szCs w:val="22"/>
          <w:lang w:eastAsia="en-AU"/>
        </w:rPr>
        <w:tab/>
      </w:r>
      <w:r w:rsidR="003606BA">
        <w:t>Profile of interviewees, primary industry</w:t>
      </w:r>
      <w:r w:rsidR="003606BA">
        <w:tab/>
      </w:r>
      <w:r>
        <w:fldChar w:fldCharType="begin"/>
      </w:r>
      <w:r w:rsidR="003606BA">
        <w:instrText xml:space="preserve"> PAGEREF _Toc335752990 \h </w:instrText>
      </w:r>
      <w:r>
        <w:fldChar w:fldCharType="separate"/>
      </w:r>
      <w:r w:rsidR="008D27AC">
        <w:t>18</w:t>
      </w:r>
      <w:r>
        <w:fldChar w:fldCharType="end"/>
      </w:r>
    </w:p>
    <w:p w:rsidR="003606BA" w:rsidRDefault="003606BA">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Profile of interviewees, financial services</w:t>
      </w:r>
      <w:r>
        <w:tab/>
      </w:r>
      <w:r w:rsidR="00A7118D">
        <w:fldChar w:fldCharType="begin"/>
      </w:r>
      <w:r>
        <w:instrText xml:space="preserve"> PAGEREF _Toc335752991 \h </w:instrText>
      </w:r>
      <w:r w:rsidR="00A7118D">
        <w:fldChar w:fldCharType="separate"/>
      </w:r>
      <w:r w:rsidR="008D27AC">
        <w:t>21</w:t>
      </w:r>
      <w:r w:rsidR="00A7118D">
        <w:fldChar w:fldCharType="end"/>
      </w:r>
    </w:p>
    <w:p w:rsidR="003606BA" w:rsidRDefault="003606BA">
      <w:pPr>
        <w:pStyle w:val="TableofFigures"/>
        <w:tabs>
          <w:tab w:val="left" w:pos="95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Profile of interviewees, trades and engineering</w:t>
      </w:r>
      <w:r>
        <w:tab/>
      </w:r>
      <w:r w:rsidR="00A7118D">
        <w:fldChar w:fldCharType="begin"/>
      </w:r>
      <w:r>
        <w:instrText xml:space="preserve"> PAGEREF _Toc335752992 \h </w:instrText>
      </w:r>
      <w:r w:rsidR="00A7118D">
        <w:fldChar w:fldCharType="separate"/>
      </w:r>
      <w:r w:rsidR="008D27AC">
        <w:t>26</w:t>
      </w:r>
      <w:r w:rsidR="00A7118D">
        <w:fldChar w:fldCharType="end"/>
      </w:r>
    </w:p>
    <w:p w:rsidR="003606BA" w:rsidRDefault="003606BA">
      <w:pPr>
        <w:pStyle w:val="TableofFigures"/>
        <w:tabs>
          <w:tab w:val="left" w:pos="95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Average weekly gross earnings by occupation, electrical trades </w:t>
      </w:r>
      <w:r>
        <w:br/>
        <w:t>and engineering, 2010</w:t>
      </w:r>
      <w:r>
        <w:tab/>
      </w:r>
      <w:r w:rsidR="00A7118D">
        <w:fldChar w:fldCharType="begin"/>
      </w:r>
      <w:r>
        <w:instrText xml:space="preserve"> PAGEREF _Toc335752993 \h </w:instrText>
      </w:r>
      <w:r w:rsidR="00A7118D">
        <w:fldChar w:fldCharType="separate"/>
      </w:r>
      <w:r w:rsidR="008D27AC">
        <w:t>30</w:t>
      </w:r>
      <w:r w:rsidR="00A7118D">
        <w:fldChar w:fldCharType="end"/>
      </w:r>
    </w:p>
    <w:p w:rsidR="003606BA" w:rsidRDefault="003606BA">
      <w:pPr>
        <w:pStyle w:val="TableofFigures"/>
        <w:tabs>
          <w:tab w:val="left" w:pos="95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Profile of interviewees, healthcare and community services</w:t>
      </w:r>
      <w:r>
        <w:tab/>
      </w:r>
      <w:r w:rsidR="00A7118D">
        <w:fldChar w:fldCharType="begin"/>
      </w:r>
      <w:r>
        <w:instrText xml:space="preserve"> PAGEREF _Toc335752994 \h </w:instrText>
      </w:r>
      <w:r w:rsidR="00A7118D">
        <w:fldChar w:fldCharType="separate"/>
      </w:r>
      <w:r w:rsidR="008D27AC">
        <w:t>33</w:t>
      </w:r>
      <w:r w:rsidR="00A7118D">
        <w:fldChar w:fldCharType="end"/>
      </w:r>
    </w:p>
    <w:p w:rsidR="003606BA" w:rsidRDefault="003606BA">
      <w:pPr>
        <w:pStyle w:val="TableofFigures"/>
        <w:tabs>
          <w:tab w:val="left" w:pos="95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Average weekly gross earnings by occupation, healthcare and </w:t>
      </w:r>
      <w:r>
        <w:br/>
        <w:t>community services, 2010</w:t>
      </w:r>
      <w:r>
        <w:tab/>
      </w:r>
      <w:r w:rsidR="00A7118D">
        <w:fldChar w:fldCharType="begin"/>
      </w:r>
      <w:r>
        <w:instrText xml:space="preserve"> PAGEREF _Toc335752995 \h </w:instrText>
      </w:r>
      <w:r w:rsidR="00A7118D">
        <w:fldChar w:fldCharType="separate"/>
      </w:r>
      <w:r w:rsidR="008D27AC">
        <w:t>35</w:t>
      </w:r>
      <w:r w:rsidR="00A7118D">
        <w:fldChar w:fldCharType="end"/>
      </w:r>
    </w:p>
    <w:p w:rsidR="003606BA" w:rsidRDefault="003606BA">
      <w:pPr>
        <w:pStyle w:val="TableofFigures"/>
        <w:tabs>
          <w:tab w:val="left" w:pos="114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Prevalence of unchanging states</w:t>
      </w:r>
      <w:r>
        <w:tab/>
      </w:r>
      <w:r w:rsidR="00A7118D">
        <w:fldChar w:fldCharType="begin"/>
      </w:r>
      <w:r>
        <w:instrText xml:space="preserve"> PAGEREF _Toc335752996 \h </w:instrText>
      </w:r>
      <w:r w:rsidR="00A7118D">
        <w:fldChar w:fldCharType="separate"/>
      </w:r>
      <w:r w:rsidR="008D27AC">
        <w:t>49</w:t>
      </w:r>
      <w:r w:rsidR="00A7118D">
        <w:fldChar w:fldCharType="end"/>
      </w:r>
    </w:p>
    <w:p w:rsidR="003606BA" w:rsidRDefault="003606BA">
      <w:pPr>
        <w:pStyle w:val="TableofFigures"/>
        <w:tabs>
          <w:tab w:val="left" w:pos="114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Distribution of clusters by gender</w:t>
      </w:r>
      <w:r>
        <w:tab/>
      </w:r>
      <w:r w:rsidR="00A7118D">
        <w:fldChar w:fldCharType="begin"/>
      </w:r>
      <w:r>
        <w:instrText xml:space="preserve"> PAGEREF _Toc335752997 \h </w:instrText>
      </w:r>
      <w:r w:rsidR="00A7118D">
        <w:fldChar w:fldCharType="separate"/>
      </w:r>
      <w:r w:rsidR="008D27AC">
        <w:t>50</w:t>
      </w:r>
      <w:r w:rsidR="00A7118D">
        <w:fldChar w:fldCharType="end"/>
      </w:r>
    </w:p>
    <w:p w:rsidR="003606BA" w:rsidRDefault="003606BA">
      <w:pPr>
        <w:pStyle w:val="TableofFigures"/>
        <w:tabs>
          <w:tab w:val="left" w:pos="1140"/>
        </w:tabs>
        <w:rPr>
          <w:rFonts w:asciiTheme="minorHAnsi" w:eastAsiaTheme="minorEastAsia" w:hAnsiTheme="minorHAnsi" w:cstheme="minorBidi"/>
          <w:color w:val="auto"/>
          <w:sz w:val="22"/>
          <w:szCs w:val="22"/>
          <w:lang w:eastAsia="en-AU"/>
        </w:rPr>
      </w:pPr>
      <w:r>
        <w:t>C3</w:t>
      </w:r>
      <w:r>
        <w:rPr>
          <w:rFonts w:asciiTheme="minorHAnsi" w:eastAsiaTheme="minorEastAsia" w:hAnsiTheme="minorHAnsi" w:cstheme="minorBidi"/>
          <w:color w:val="auto"/>
          <w:sz w:val="22"/>
          <w:szCs w:val="22"/>
          <w:lang w:eastAsia="en-AU"/>
        </w:rPr>
        <w:tab/>
      </w:r>
      <w:r>
        <w:t>Distribution of time by cluster</w:t>
      </w:r>
      <w:r>
        <w:tab/>
      </w:r>
      <w:r w:rsidR="00A7118D">
        <w:fldChar w:fldCharType="begin"/>
      </w:r>
      <w:r>
        <w:instrText xml:space="preserve"> PAGEREF _Toc335752998 \h </w:instrText>
      </w:r>
      <w:r w:rsidR="00A7118D">
        <w:fldChar w:fldCharType="separate"/>
      </w:r>
      <w:r w:rsidR="008D27AC">
        <w:t>50</w:t>
      </w:r>
      <w:r w:rsidR="00A7118D">
        <w:fldChar w:fldCharType="end"/>
      </w:r>
    </w:p>
    <w:p w:rsidR="003606BA" w:rsidRDefault="00A7118D" w:rsidP="00C9115F">
      <w:pPr>
        <w:pStyle w:val="Heading2"/>
      </w:pPr>
      <w:r>
        <w:fldChar w:fldCharType="end"/>
      </w:r>
      <w:bookmarkStart w:id="32" w:name="_Toc296497517"/>
      <w:bookmarkStart w:id="33" w:name="_Toc298162802"/>
      <w:bookmarkStart w:id="34" w:name="_Toc335752930"/>
      <w:r w:rsidR="00C9115F">
        <w:t>Figures</w:t>
      </w:r>
      <w:bookmarkEnd w:id="32"/>
      <w:bookmarkEnd w:id="33"/>
      <w:bookmarkEnd w:id="34"/>
    </w:p>
    <w:p w:rsidR="003606BA" w:rsidRDefault="00A7118D">
      <w:pPr>
        <w:pStyle w:val="TableofFigures"/>
        <w:tabs>
          <w:tab w:val="left" w:pos="950"/>
        </w:tabs>
        <w:rPr>
          <w:rFonts w:asciiTheme="minorHAnsi" w:eastAsiaTheme="minorEastAsia" w:hAnsiTheme="minorHAnsi" w:cstheme="minorBidi"/>
          <w:color w:val="auto"/>
          <w:sz w:val="22"/>
          <w:szCs w:val="22"/>
          <w:lang w:eastAsia="en-AU"/>
        </w:rPr>
      </w:pPr>
      <w:r w:rsidRPr="00A7118D">
        <w:rPr>
          <w:rFonts w:ascii="Tahoma" w:hAnsi="Tahoma" w:cs="Tahoma"/>
          <w:sz w:val="28"/>
        </w:rPr>
        <w:fldChar w:fldCharType="begin"/>
      </w:r>
      <w:r w:rsidR="003606BA">
        <w:rPr>
          <w:rFonts w:ascii="Tahoma" w:hAnsi="Tahoma" w:cs="Tahoma"/>
          <w:sz w:val="28"/>
        </w:rPr>
        <w:instrText xml:space="preserve"> TOC \t "Figuretitle" \c </w:instrText>
      </w:r>
      <w:r w:rsidRPr="00A7118D">
        <w:rPr>
          <w:rFonts w:ascii="Tahoma" w:hAnsi="Tahoma" w:cs="Tahoma"/>
          <w:sz w:val="28"/>
        </w:rPr>
        <w:fldChar w:fldCharType="separate"/>
      </w:r>
      <w:r w:rsidR="003606BA">
        <w:t>1</w:t>
      </w:r>
      <w:r w:rsidR="003606BA">
        <w:rPr>
          <w:rFonts w:asciiTheme="minorHAnsi" w:eastAsiaTheme="minorEastAsia" w:hAnsiTheme="minorHAnsi" w:cstheme="minorBidi"/>
          <w:color w:val="auto"/>
          <w:sz w:val="22"/>
          <w:szCs w:val="22"/>
          <w:lang w:eastAsia="en-AU"/>
        </w:rPr>
        <w:tab/>
      </w:r>
      <w:r w:rsidR="003606BA">
        <w:t>Stylised vocational paths</w:t>
      </w:r>
      <w:r w:rsidR="003606BA">
        <w:tab/>
      </w:r>
      <w:r>
        <w:fldChar w:fldCharType="begin"/>
      </w:r>
      <w:r w:rsidR="003606BA">
        <w:instrText xml:space="preserve"> PAGEREF _Toc335753097 \h </w:instrText>
      </w:r>
      <w:r>
        <w:fldChar w:fldCharType="separate"/>
      </w:r>
      <w:r w:rsidR="008D27AC">
        <w:t>15</w:t>
      </w:r>
      <w:r>
        <w:fldChar w:fldCharType="end"/>
      </w:r>
    </w:p>
    <w:p w:rsidR="003606BA" w:rsidRDefault="003606BA">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Key clusters in primary industry</w:t>
      </w:r>
      <w:r>
        <w:tab/>
      </w:r>
      <w:r w:rsidR="00A7118D">
        <w:fldChar w:fldCharType="begin"/>
      </w:r>
      <w:r>
        <w:instrText xml:space="preserve"> PAGEREF _Toc335753098 \h </w:instrText>
      </w:r>
      <w:r w:rsidR="00A7118D">
        <w:fldChar w:fldCharType="separate"/>
      </w:r>
      <w:r w:rsidR="008D27AC">
        <w:t>17</w:t>
      </w:r>
      <w:r w:rsidR="00A7118D">
        <w:fldChar w:fldCharType="end"/>
      </w:r>
    </w:p>
    <w:p w:rsidR="003606BA" w:rsidRDefault="003606BA">
      <w:pPr>
        <w:pStyle w:val="TableofFigures"/>
        <w:tabs>
          <w:tab w:val="left" w:pos="95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Key clusters in financial services</w:t>
      </w:r>
      <w:r>
        <w:tab/>
      </w:r>
      <w:r w:rsidR="00A7118D">
        <w:fldChar w:fldCharType="begin"/>
      </w:r>
      <w:r>
        <w:instrText xml:space="preserve"> PAGEREF _Toc335753099 \h </w:instrText>
      </w:r>
      <w:r w:rsidR="00A7118D">
        <w:fldChar w:fldCharType="separate"/>
      </w:r>
      <w:r w:rsidR="008D27AC">
        <w:t>21</w:t>
      </w:r>
      <w:r w:rsidR="00A7118D">
        <w:fldChar w:fldCharType="end"/>
      </w:r>
    </w:p>
    <w:p w:rsidR="003606BA" w:rsidRDefault="003606BA">
      <w:pPr>
        <w:pStyle w:val="TableofFigures"/>
        <w:tabs>
          <w:tab w:val="left" w:pos="95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Key clusters, trades and engineering</w:t>
      </w:r>
      <w:r>
        <w:tab/>
      </w:r>
      <w:r w:rsidR="00A7118D">
        <w:fldChar w:fldCharType="begin"/>
      </w:r>
      <w:r>
        <w:instrText xml:space="preserve"> PAGEREF _Toc335753100 \h </w:instrText>
      </w:r>
      <w:r w:rsidR="00A7118D">
        <w:fldChar w:fldCharType="separate"/>
      </w:r>
      <w:r w:rsidR="008D27AC">
        <w:t>26</w:t>
      </w:r>
      <w:r w:rsidR="00A7118D">
        <w:fldChar w:fldCharType="end"/>
      </w:r>
    </w:p>
    <w:p w:rsidR="003606BA" w:rsidRDefault="003606BA">
      <w:pPr>
        <w:pStyle w:val="TableofFigures"/>
        <w:tabs>
          <w:tab w:val="left" w:pos="95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Key clusters, healthcare and community services</w:t>
      </w:r>
      <w:r>
        <w:tab/>
      </w:r>
      <w:r w:rsidR="00A7118D">
        <w:fldChar w:fldCharType="begin"/>
      </w:r>
      <w:r>
        <w:instrText xml:space="preserve"> PAGEREF _Toc335753101 \h </w:instrText>
      </w:r>
      <w:r w:rsidR="00A7118D">
        <w:fldChar w:fldCharType="separate"/>
      </w:r>
      <w:r w:rsidR="008D27AC">
        <w:t>32</w:t>
      </w:r>
      <w:r w:rsidR="00A7118D">
        <w:fldChar w:fldCharType="end"/>
      </w:r>
    </w:p>
    <w:p w:rsidR="003606BA" w:rsidRDefault="003606BA">
      <w:pPr>
        <w:pStyle w:val="TableofFigures"/>
        <w:tabs>
          <w:tab w:val="left" w:pos="114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OMA elementary operations example</w:t>
      </w:r>
      <w:r>
        <w:tab/>
      </w:r>
      <w:r w:rsidR="00A7118D">
        <w:fldChar w:fldCharType="begin"/>
      </w:r>
      <w:r>
        <w:instrText xml:space="preserve"> PAGEREF _Toc335753102 \h </w:instrText>
      </w:r>
      <w:r w:rsidR="00A7118D">
        <w:fldChar w:fldCharType="separate"/>
      </w:r>
      <w:r w:rsidR="008D27AC">
        <w:t>44</w:t>
      </w:r>
      <w:r w:rsidR="00A7118D">
        <w:fldChar w:fldCharType="end"/>
      </w:r>
    </w:p>
    <w:p w:rsidR="003606BA" w:rsidRDefault="003606BA">
      <w:pPr>
        <w:pStyle w:val="TableofFigures"/>
        <w:tabs>
          <w:tab w:val="left" w:pos="114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Sequence plots, high-skill trajectories</w:t>
      </w:r>
      <w:r>
        <w:tab/>
      </w:r>
      <w:r w:rsidR="00A7118D">
        <w:fldChar w:fldCharType="begin"/>
      </w:r>
      <w:r>
        <w:instrText xml:space="preserve"> PAGEREF _Toc335753103 \h </w:instrText>
      </w:r>
      <w:r w:rsidR="00A7118D">
        <w:fldChar w:fldCharType="separate"/>
      </w:r>
      <w:r w:rsidR="008D27AC">
        <w:t>46</w:t>
      </w:r>
      <w:r w:rsidR="00A7118D">
        <w:fldChar w:fldCharType="end"/>
      </w:r>
    </w:p>
    <w:p w:rsidR="003606BA" w:rsidRDefault="003606BA">
      <w:pPr>
        <w:pStyle w:val="TableofFigures"/>
        <w:tabs>
          <w:tab w:val="left" w:pos="1140"/>
        </w:tabs>
        <w:rPr>
          <w:rFonts w:asciiTheme="minorHAnsi" w:eastAsiaTheme="minorEastAsia" w:hAnsiTheme="minorHAnsi" w:cstheme="minorBidi"/>
          <w:color w:val="auto"/>
          <w:sz w:val="22"/>
          <w:szCs w:val="22"/>
          <w:lang w:eastAsia="en-AU"/>
        </w:rPr>
      </w:pPr>
      <w:r>
        <w:t>B2</w:t>
      </w:r>
      <w:r>
        <w:rPr>
          <w:rFonts w:asciiTheme="minorHAnsi" w:eastAsiaTheme="minorEastAsia" w:hAnsiTheme="minorHAnsi" w:cstheme="minorBidi"/>
          <w:color w:val="auto"/>
          <w:sz w:val="22"/>
          <w:szCs w:val="22"/>
          <w:lang w:eastAsia="en-AU"/>
        </w:rPr>
        <w:tab/>
      </w:r>
      <w:r>
        <w:t>Sequence plots, low-skill trajectories</w:t>
      </w:r>
      <w:r>
        <w:tab/>
      </w:r>
      <w:r w:rsidR="00A7118D">
        <w:fldChar w:fldCharType="begin"/>
      </w:r>
      <w:r>
        <w:instrText xml:space="preserve"> PAGEREF _Toc335753104 \h </w:instrText>
      </w:r>
      <w:r w:rsidR="00A7118D">
        <w:fldChar w:fldCharType="separate"/>
      </w:r>
      <w:r w:rsidR="008D27AC">
        <w:t>47</w:t>
      </w:r>
      <w:r w:rsidR="00A7118D">
        <w:fldChar w:fldCharType="end"/>
      </w:r>
    </w:p>
    <w:p w:rsidR="003606BA" w:rsidRDefault="003606BA">
      <w:pPr>
        <w:pStyle w:val="TableofFigures"/>
        <w:tabs>
          <w:tab w:val="left" w:pos="1140"/>
        </w:tabs>
        <w:rPr>
          <w:rFonts w:asciiTheme="minorHAnsi" w:eastAsiaTheme="minorEastAsia" w:hAnsiTheme="minorHAnsi" w:cstheme="minorBidi"/>
          <w:color w:val="auto"/>
          <w:sz w:val="22"/>
          <w:szCs w:val="22"/>
          <w:lang w:eastAsia="en-AU"/>
        </w:rPr>
      </w:pPr>
      <w:r>
        <w:t>B3</w:t>
      </w:r>
      <w:r>
        <w:rPr>
          <w:rFonts w:asciiTheme="minorHAnsi" w:eastAsiaTheme="minorEastAsia" w:hAnsiTheme="minorHAnsi" w:cstheme="minorBidi"/>
          <w:color w:val="auto"/>
          <w:sz w:val="22"/>
          <w:szCs w:val="22"/>
          <w:lang w:eastAsia="en-AU"/>
        </w:rPr>
        <w:tab/>
      </w:r>
      <w:r>
        <w:t>Sequence plot, pathways of marginal attachment</w:t>
      </w:r>
      <w:r>
        <w:tab/>
      </w:r>
      <w:r w:rsidR="00A7118D">
        <w:fldChar w:fldCharType="begin"/>
      </w:r>
      <w:r>
        <w:instrText xml:space="preserve"> PAGEREF _Toc335753105 \h </w:instrText>
      </w:r>
      <w:r w:rsidR="00A7118D">
        <w:fldChar w:fldCharType="separate"/>
      </w:r>
      <w:r w:rsidR="008D27AC">
        <w:t>48</w:t>
      </w:r>
      <w:r w:rsidR="00A7118D">
        <w:fldChar w:fldCharType="end"/>
      </w:r>
    </w:p>
    <w:p w:rsidR="00C9115F" w:rsidRDefault="00A7118D" w:rsidP="00C9115F">
      <w:pPr>
        <w:tabs>
          <w:tab w:val="left" w:pos="284"/>
          <w:tab w:val="right" w:pos="6804"/>
        </w:tabs>
      </w:pPr>
      <w:r>
        <w:rPr>
          <w:rFonts w:ascii="Tahoma" w:hAnsi="Tahoma" w:cs="Tahoma"/>
          <w:sz w:val="28"/>
        </w:rPr>
        <w:fldChar w:fldCharType="end"/>
      </w:r>
    </w:p>
    <w:p w:rsidR="00C9115F" w:rsidRPr="00A93867" w:rsidRDefault="00C9115F">
      <w:pPr>
        <w:spacing w:before="0" w:line="240" w:lineRule="auto"/>
        <w:rPr>
          <w:rFonts w:ascii="Tahoma" w:hAnsi="Tahoma" w:cs="Tahoma"/>
          <w:b/>
          <w:color w:val="000000"/>
          <w:kern w:val="28"/>
          <w:sz w:val="56"/>
          <w:szCs w:val="56"/>
        </w:rPr>
      </w:pPr>
      <w:r w:rsidRPr="00A93867">
        <w:rPr>
          <w:b/>
        </w:rPr>
        <w:br w:type="page"/>
      </w:r>
    </w:p>
    <w:p w:rsidR="00C9115F" w:rsidRPr="00B86D06" w:rsidRDefault="00C9115F" w:rsidP="00C9115F">
      <w:pPr>
        <w:pStyle w:val="Heading1"/>
      </w:pPr>
      <w:bookmarkStart w:id="35" w:name="_Toc335752931"/>
      <w:r w:rsidRPr="00B86D06">
        <w:lastRenderedPageBreak/>
        <w:t>Executive summary</w:t>
      </w:r>
      <w:bookmarkEnd w:id="35"/>
      <w:r>
        <w:t xml:space="preserve"> </w:t>
      </w:r>
    </w:p>
    <w:p w:rsidR="001269EC" w:rsidRDefault="001269EC" w:rsidP="00C9115F">
      <w:pPr>
        <w:pStyle w:val="Text"/>
      </w:pPr>
      <w:bookmarkStart w:id="36" w:name="_Toc296423685"/>
      <w:bookmarkStart w:id="37" w:name="_Toc296497519"/>
      <w:bookmarkStart w:id="38" w:name="_Toc298162804"/>
      <w:r w:rsidRPr="00E414CF">
        <w:t>This is a repo</w:t>
      </w:r>
      <w:r>
        <w:t>rt of the first year of a three-</w:t>
      </w:r>
      <w:r w:rsidRPr="00E414CF">
        <w:t>year project entitled ‘Vocations: the link between post-compulsory education and the labour market’. The project’s aim is to research how pathways can be improved within education, within work, and between education and work. There are three strands in</w:t>
      </w:r>
      <w:r>
        <w:t xml:space="preserve"> the project; the first strand is researching entry-level vocational education and training (VET), particularly VET in Schools; the second is researching the role of educational institutions in tertiary education in fostering vocations; and the third is researching how to improve flows within work and how to improve occupational pathways and vocations within the labour market. This report outlines Strand 3</w:t>
      </w:r>
      <w:r w:rsidRPr="00E414CF">
        <w:t xml:space="preserve">’s </w:t>
      </w:r>
      <w:r>
        <w:t xml:space="preserve">initial </w:t>
      </w:r>
      <w:r w:rsidRPr="00E414CF">
        <w:t>findings</w:t>
      </w:r>
      <w:r>
        <w:t>.</w:t>
      </w:r>
    </w:p>
    <w:p w:rsidR="00C9115F" w:rsidRDefault="00C9115F" w:rsidP="00C9115F">
      <w:pPr>
        <w:pStyle w:val="Text"/>
      </w:pPr>
      <w:r>
        <w:t>The research seeks to understand the presence of vocational pathways in core sectors o</w:t>
      </w:r>
      <w:r w:rsidR="00030D31">
        <w:t>f the Australian labour market —</w:t>
      </w:r>
      <w:r>
        <w:t xml:space="preserve"> agriculture, financial services, engineering and trades, and healthcare and community services. A vocation emerges from fields of practice where there are commonalities; for example, the commonalities between nursing, aged care and childcare. A vocation groups together related clusters of knowledge and skills that allow individuals to progress and/or specia</w:t>
      </w:r>
      <w:r w:rsidR="00011D01">
        <w:t>lise within a field of practice</w:t>
      </w:r>
      <w:r>
        <w:t xml:space="preserve"> or to move laterally into linked occupations. </w:t>
      </w:r>
    </w:p>
    <w:p w:rsidR="00C9115F" w:rsidRDefault="00C9115F" w:rsidP="00C9115F">
      <w:pPr>
        <w:pStyle w:val="Text"/>
      </w:pPr>
      <w:r>
        <w:t>The nature of these vocational pathways, or the connections between educational and labour ma</w:t>
      </w:r>
      <w:r w:rsidR="00650796">
        <w:t xml:space="preserve">rket progression, are not well </w:t>
      </w:r>
      <w:r>
        <w:t xml:space="preserve">understood, and the research questions were </w:t>
      </w:r>
      <w:r w:rsidR="00C8686C">
        <w:t>formulated</w:t>
      </w:r>
      <w:r>
        <w:t xml:space="preserve"> as follows:</w:t>
      </w:r>
    </w:p>
    <w:p w:rsidR="00C9115F" w:rsidRDefault="00C9115F" w:rsidP="00C9115F">
      <w:pPr>
        <w:pStyle w:val="Dotpoint1"/>
      </w:pPr>
      <w:r>
        <w:t>How do individuals move into and through the labour market? Can this movement be characterised as vocational pathways?</w:t>
      </w:r>
    </w:p>
    <w:p w:rsidR="00C9115F" w:rsidRDefault="00C9115F" w:rsidP="00C9115F">
      <w:pPr>
        <w:pStyle w:val="Dotpoint1"/>
      </w:pPr>
      <w:r>
        <w:t>What are the commonalities in the trajectories of workers in the labour market?</w:t>
      </w:r>
    </w:p>
    <w:p w:rsidR="00C9115F" w:rsidRDefault="00C9115F" w:rsidP="00C9115F">
      <w:pPr>
        <w:pStyle w:val="Text"/>
      </w:pPr>
      <w:r w:rsidRPr="00614468">
        <w:t xml:space="preserve">This report follows an </w:t>
      </w:r>
      <w:r w:rsidR="00030D31">
        <w:t>earlier working paper (Yu et al. 2012), which</w:t>
      </w:r>
      <w:r w:rsidRPr="00614468">
        <w:t xml:space="preserve"> produced a quantitative analysis </w:t>
      </w:r>
      <w:r w:rsidR="00C8686C">
        <w:t>from</w:t>
      </w:r>
      <w:r w:rsidRPr="00614468">
        <w:t xml:space="preserve"> the Household, Income and Labour Dynamics in Australia (HILDA) </w:t>
      </w:r>
      <w:r w:rsidR="00030D31">
        <w:t xml:space="preserve">Survey </w:t>
      </w:r>
      <w:r w:rsidRPr="00614468">
        <w:t xml:space="preserve">dataset. The working paper sought to empirically derive patterns of movement through study, and into and upwards within the labour market. The analysis found that the overarching theme of worker experience could be described as </w:t>
      </w:r>
      <w:r w:rsidRPr="00030D31">
        <w:rPr>
          <w:i/>
        </w:rPr>
        <w:t>occupational segmentation.</w:t>
      </w:r>
      <w:r w:rsidRPr="00614468">
        <w:t xml:space="preserve"> We characteri</w:t>
      </w:r>
      <w:r w:rsidR="007129B6">
        <w:t>sed this as occupational stasis, where</w:t>
      </w:r>
      <w:r w:rsidR="00030D31">
        <w:t>by</w:t>
      </w:r>
      <w:r w:rsidR="007129B6">
        <w:t xml:space="preserve"> i</w:t>
      </w:r>
      <w:r w:rsidRPr="00614468">
        <w:t>ndividuals tended to spend long episodes in the one occupa</w:t>
      </w:r>
      <w:r w:rsidR="00011D01">
        <w:t>tion and</w:t>
      </w:r>
      <w:r w:rsidR="00030D31">
        <w:t xml:space="preserve"> entrenched in either high-skill or low-</w:t>
      </w:r>
      <w:r w:rsidRPr="00614468">
        <w:t xml:space="preserve">skill roles. In </w:t>
      </w:r>
      <w:r w:rsidR="00011D01" w:rsidRPr="00614468">
        <w:t>each of the case studies</w:t>
      </w:r>
      <w:r w:rsidRPr="00614468">
        <w:t xml:space="preserve"> we distingui</w:t>
      </w:r>
      <w:r w:rsidR="00C8686C">
        <w:t>shed three broad pathways</w:t>
      </w:r>
      <w:r w:rsidRPr="00614468">
        <w:t>:</w:t>
      </w:r>
    </w:p>
    <w:p w:rsidR="007129B6" w:rsidRDefault="0082555F" w:rsidP="00C9115F">
      <w:pPr>
        <w:pStyle w:val="Dotpoint1"/>
      </w:pPr>
      <w:r>
        <w:rPr>
          <w:i/>
        </w:rPr>
        <w:t>High-skill</w:t>
      </w:r>
      <w:r w:rsidR="00BD3B0A" w:rsidRPr="00BD3B0A">
        <w:rPr>
          <w:i/>
        </w:rPr>
        <w:t xml:space="preserve"> trajectories</w:t>
      </w:r>
      <w:r w:rsidR="00BD3B0A">
        <w:t>: t</w:t>
      </w:r>
      <w:r w:rsidR="00C9115F">
        <w:t xml:space="preserve">hese were </w:t>
      </w:r>
      <w:r w:rsidR="00BD3B0A">
        <w:t>defined as those accessing high-</w:t>
      </w:r>
      <w:r w:rsidR="00C9115F">
        <w:t>skill occupations, and was often evidenced by lo</w:t>
      </w:r>
      <w:r w:rsidR="00BD3B0A">
        <w:t xml:space="preserve">ng tenures in occupations </w:t>
      </w:r>
      <w:r w:rsidR="00B20E72">
        <w:t>that</w:t>
      </w:r>
      <w:r w:rsidR="00BD3B0A">
        <w:t xml:space="preserve"> in all likelihood</w:t>
      </w:r>
      <w:r w:rsidR="00C9115F">
        <w:t xml:space="preserve"> required specialised training over long periods of t</w:t>
      </w:r>
      <w:r w:rsidR="00BD3B0A">
        <w:t>ime (for example, farm managers</w:t>
      </w:r>
      <w:r w:rsidR="00C9115F">
        <w:t xml:space="preserve"> and health professionals). Where upward occupational mobility was observable, this tended to occur </w:t>
      </w:r>
      <w:r w:rsidR="00011D01">
        <w:t>within the higher-</w:t>
      </w:r>
      <w:r w:rsidR="00C9115F">
        <w:t>skill occupations only, with clearer pathways from higher educati</w:t>
      </w:r>
      <w:r w:rsidR="00BD3B0A">
        <w:t>on studies to professional work</w:t>
      </w:r>
      <w:r w:rsidR="00C9115F">
        <w:t xml:space="preserve"> and from professional to managerial roles. </w:t>
      </w:r>
    </w:p>
    <w:p w:rsidR="00C9115F" w:rsidRDefault="0082555F" w:rsidP="00C9115F">
      <w:pPr>
        <w:pStyle w:val="Dotpoint1"/>
      </w:pPr>
      <w:r>
        <w:rPr>
          <w:i/>
        </w:rPr>
        <w:t>Low-skill</w:t>
      </w:r>
      <w:r w:rsidR="00BD3B0A" w:rsidRPr="00BD3B0A">
        <w:rPr>
          <w:i/>
        </w:rPr>
        <w:t xml:space="preserve"> trajectories</w:t>
      </w:r>
      <w:r w:rsidR="00BD3B0A">
        <w:t>: t</w:t>
      </w:r>
      <w:r w:rsidR="00C9115F">
        <w:t>hese were chara</w:t>
      </w:r>
      <w:r w:rsidR="00BD3B0A">
        <w:t>cterised by entrenchment in low-</w:t>
      </w:r>
      <w:r w:rsidR="00C9115F">
        <w:t>skill work. ‘Mobility’ for those working in low</w:t>
      </w:r>
      <w:r w:rsidR="00C27528">
        <w:t>-</w:t>
      </w:r>
      <w:r w:rsidR="00C9115F">
        <w:t xml:space="preserve"> to semi-skilled roles</w:t>
      </w:r>
      <w:r w:rsidR="00B20E72">
        <w:t>,</w:t>
      </w:r>
      <w:r w:rsidR="00C9115F">
        <w:t xml:space="preserve"> such as labourers and clerical workers</w:t>
      </w:r>
      <w:r w:rsidR="00B20E72">
        <w:t>,</w:t>
      </w:r>
      <w:r w:rsidR="00C9115F">
        <w:t xml:space="preserve"> was defined by significant turnover, w</w:t>
      </w:r>
      <w:r w:rsidR="00B20E72">
        <w:t>ith little movement into higher-skilled roles. These workers we</w:t>
      </w:r>
      <w:r w:rsidR="00C9115F">
        <w:t>re likely to move frequently between these jobs, with little evidence of</w:t>
      </w:r>
      <w:r w:rsidR="00C27528">
        <w:t xml:space="preserve"> sustained career progression</w:t>
      </w:r>
      <w:r w:rsidR="00C9115F">
        <w:t xml:space="preserve"> and with some spells in unemployment or outside the labour </w:t>
      </w:r>
      <w:r w:rsidR="00BD3B0A">
        <w:t>force. Alternatively, these low-</w:t>
      </w:r>
      <w:r w:rsidR="00C9115F">
        <w:t xml:space="preserve">skill trajectories were also characterised by long tenures in low-skill roles, with little engagement with further study or access to higher skill roles. </w:t>
      </w:r>
    </w:p>
    <w:p w:rsidR="00C9115F" w:rsidRDefault="00BD3B0A" w:rsidP="007C45B4">
      <w:pPr>
        <w:pStyle w:val="Dotpoint1"/>
        <w:ind w:right="141"/>
      </w:pPr>
      <w:r w:rsidRPr="00BD3B0A">
        <w:rPr>
          <w:i/>
        </w:rPr>
        <w:lastRenderedPageBreak/>
        <w:t>Marginal attachment</w:t>
      </w:r>
      <w:r>
        <w:t>: t</w:t>
      </w:r>
      <w:r w:rsidR="00C9115F">
        <w:t>his third pathway is characterised by clusters of activity outside the labour market.</w:t>
      </w:r>
      <w:r w:rsidR="00B6039E">
        <w:t xml:space="preserve"> </w:t>
      </w:r>
      <w:r w:rsidR="00C9115F">
        <w:t>The term ‘marginal attachment’ is used to describe these pathways because they can incorporate periods of paid employment, but these episodes appear to occur on the margins of the labour market. Marginal attachm</w:t>
      </w:r>
      <w:r w:rsidR="00B20E72">
        <w:t>ent includes the unemployed and</w:t>
      </w:r>
      <w:r w:rsidR="00C9115F">
        <w:t xml:space="preserve"> also affected women moving in and out of the labour force, as well as older workers with decreasing attachment to the labour market.</w:t>
      </w:r>
    </w:p>
    <w:p w:rsidR="00C9115F" w:rsidRDefault="00C9115F" w:rsidP="00C9115F">
      <w:pPr>
        <w:pStyle w:val="Text"/>
      </w:pPr>
      <w:r w:rsidRPr="00614468">
        <w:t>These different pathways suggest distinct destination points</w:t>
      </w:r>
      <w:r w:rsidR="00BD3B0A">
        <w:t xml:space="preserve"> for the workers identified in these clusters of activity</w:t>
      </w:r>
      <w:r w:rsidRPr="00614468">
        <w:t xml:space="preserve"> and variance in how they engage with both the education system and the labour market. The analysis in this paper highlighted the way in which bu</w:t>
      </w:r>
      <w:r w:rsidR="00C27528">
        <w:t>sinesses choose to compete</w:t>
      </w:r>
      <w:r w:rsidRPr="00614468">
        <w:t xml:space="preserve"> and how </w:t>
      </w:r>
      <w:r w:rsidR="00BD3B0A">
        <w:t>this</w:t>
      </w:r>
      <w:r w:rsidRPr="00614468">
        <w:t xml:space="preserve"> determines the way in which they engage with their workforce. This in turn drives prevalent forms of empl</w:t>
      </w:r>
      <w:r w:rsidR="0082555F">
        <w:t>oyment, type</w:t>
      </w:r>
      <w:r w:rsidR="00C27528">
        <w:t>s</w:t>
      </w:r>
      <w:r w:rsidR="0082555F">
        <w:t xml:space="preserve"> of skill formation</w:t>
      </w:r>
      <w:r w:rsidRPr="00614468">
        <w:t xml:space="preserve"> and job design. These elements of demand for labour and skill are critical to the avai</w:t>
      </w:r>
      <w:r w:rsidR="0082555F">
        <w:t>lability of vocational pathways</w:t>
      </w:r>
      <w:r w:rsidRPr="00614468">
        <w:t xml:space="preserve"> and must be engaged with as much as the supply of labour, skills and graduates in the economy. The results of this phase of research </w:t>
      </w:r>
      <w:r w:rsidR="00C27528">
        <w:t>are</w:t>
      </w:r>
      <w:r w:rsidRPr="00614468">
        <w:t xml:space="preserve"> summarised below:</w:t>
      </w:r>
    </w:p>
    <w:p w:rsidR="00C9115F" w:rsidRPr="007C45B4" w:rsidRDefault="00C9115F" w:rsidP="007C45B4">
      <w:pPr>
        <w:pStyle w:val="Text"/>
        <w:ind w:left="284" w:right="0"/>
        <w:rPr>
          <w:i/>
        </w:rPr>
      </w:pPr>
      <w:r w:rsidRPr="007C45B4">
        <w:rPr>
          <w:i/>
        </w:rPr>
        <w:t>The commona</w:t>
      </w:r>
      <w:r w:rsidR="0082555F" w:rsidRPr="007C45B4">
        <w:rPr>
          <w:i/>
        </w:rPr>
        <w:t>lities in the experience of low-</w:t>
      </w:r>
      <w:r w:rsidRPr="007C45B4">
        <w:rPr>
          <w:i/>
        </w:rPr>
        <w:t>skill workers were characterised by the absence of vocational identity and pathways.</w:t>
      </w:r>
      <w:r w:rsidR="00B6039E" w:rsidRPr="007C45B4">
        <w:rPr>
          <w:i/>
        </w:rPr>
        <w:t xml:space="preserve"> </w:t>
      </w:r>
      <w:r w:rsidRPr="007C45B4">
        <w:rPr>
          <w:i/>
        </w:rPr>
        <w:t>Lack of employe</w:t>
      </w:r>
      <w:r w:rsidR="00C27528" w:rsidRPr="007C45B4">
        <w:rPr>
          <w:i/>
        </w:rPr>
        <w:t>r support, resource constraints</w:t>
      </w:r>
      <w:r w:rsidRPr="007C45B4">
        <w:rPr>
          <w:i/>
        </w:rPr>
        <w:t xml:space="preserve"> and lack of confidence were prominent</w:t>
      </w:r>
      <w:r w:rsidR="00C27528" w:rsidRPr="007C45B4">
        <w:rPr>
          <w:i/>
        </w:rPr>
        <w:t xml:space="preserve"> barriers to career development</w:t>
      </w:r>
      <w:r w:rsidRPr="007C45B4">
        <w:rPr>
          <w:i/>
        </w:rPr>
        <w:t xml:space="preserve"> and were exacerbated by precarious terms of employment and/or periods of unemployment.</w:t>
      </w:r>
    </w:p>
    <w:p w:rsidR="00C9115F" w:rsidRDefault="00C9115F" w:rsidP="00C9115F">
      <w:pPr>
        <w:pStyle w:val="Text"/>
      </w:pPr>
      <w:r>
        <w:t xml:space="preserve">The research saw little evidence of vocational attachment amongst </w:t>
      </w:r>
      <w:r w:rsidR="0082555F">
        <w:t>low-skill</w:t>
      </w:r>
      <w:r>
        <w:t xml:space="preserve"> workers in primary industries, engineering and financial services. The experience of these workers (especially labourers in </w:t>
      </w:r>
      <w:r w:rsidR="00527899">
        <w:t>trade-</w:t>
      </w:r>
      <w:r>
        <w:t>related work or agriculture) was often characterised by high turnover between unrelated roles</w:t>
      </w:r>
      <w:r w:rsidR="00C27528">
        <w:t>,</w:t>
      </w:r>
      <w:r>
        <w:t xml:space="preserve"> with little opportunity to define or pursue career progression, and frequently interspersed with periods of unemployment. These workers were likely to be employed on precarious terms (</w:t>
      </w:r>
      <w:r w:rsidR="00B6039E">
        <w:t>for example,</w:t>
      </w:r>
      <w:r>
        <w:t xml:space="preserve"> seasonal, cas</w:t>
      </w:r>
      <w:r w:rsidR="00B6039E">
        <w:t>ual or part-</w:t>
      </w:r>
      <w:r>
        <w:t xml:space="preserve">time), thereby reducing the incentive for employers to invest in </w:t>
      </w:r>
      <w:r w:rsidR="00C27528">
        <w:t>their skills</w:t>
      </w:r>
      <w:r>
        <w:t xml:space="preserve">. </w:t>
      </w:r>
    </w:p>
    <w:p w:rsidR="00C9115F" w:rsidRDefault="00C9115F" w:rsidP="00C9115F">
      <w:pPr>
        <w:pStyle w:val="Text"/>
      </w:pPr>
      <w:r>
        <w:t>The one clear exception to this absen</w:t>
      </w:r>
      <w:r w:rsidR="00B6039E">
        <w:t>ce of career direction were low-</w:t>
      </w:r>
      <w:r>
        <w:t xml:space="preserve">qualified care workers in community services, who reported a clear vocational identity </w:t>
      </w:r>
      <w:r w:rsidR="00B6039E">
        <w:t>located</w:t>
      </w:r>
      <w:r>
        <w:t xml:space="preserve"> ar</w:t>
      </w:r>
      <w:r w:rsidR="00B6039E">
        <w:t>ound the notion of patient care</w:t>
      </w:r>
      <w:r w:rsidR="00C27528">
        <w:t>,</w:t>
      </w:r>
      <w:r>
        <w:t xml:space="preserve"> consistent wi</w:t>
      </w:r>
      <w:r w:rsidR="00B6039E">
        <w:t>th their counterparts in higher-</w:t>
      </w:r>
      <w:r>
        <w:t>skill roles. Despite these aspirations, business and institutional settings severely constrained their ability to progress along a clearly defined pathway.</w:t>
      </w:r>
    </w:p>
    <w:p w:rsidR="00C9115F" w:rsidRPr="007C45B4" w:rsidRDefault="00C9115F" w:rsidP="007C45B4">
      <w:pPr>
        <w:pStyle w:val="Text"/>
        <w:ind w:left="284" w:right="0"/>
        <w:rPr>
          <w:i/>
        </w:rPr>
      </w:pPr>
      <w:r w:rsidRPr="007C45B4">
        <w:rPr>
          <w:i/>
        </w:rPr>
        <w:t>The commonalities in the experience of medium</w:t>
      </w:r>
      <w:r w:rsidR="00B6039E" w:rsidRPr="007C45B4">
        <w:rPr>
          <w:i/>
        </w:rPr>
        <w:t>-</w:t>
      </w:r>
      <w:r w:rsidRPr="007C45B4">
        <w:rPr>
          <w:i/>
        </w:rPr>
        <w:t xml:space="preserve"> to </w:t>
      </w:r>
      <w:r w:rsidR="0082555F" w:rsidRPr="007C45B4">
        <w:rPr>
          <w:i/>
        </w:rPr>
        <w:t>high-skill</w:t>
      </w:r>
      <w:r w:rsidRPr="007C45B4">
        <w:rPr>
          <w:i/>
        </w:rPr>
        <w:t xml:space="preserve"> workers were characterised by a combination of horizontal as well as vertical career transitions</w:t>
      </w:r>
      <w:r w:rsidR="00C27528" w:rsidRPr="007C45B4">
        <w:rPr>
          <w:i/>
        </w:rPr>
        <w:t>,</w:t>
      </w:r>
      <w:r w:rsidRPr="007C45B4">
        <w:rPr>
          <w:i/>
        </w:rPr>
        <w:t xml:space="preserve"> which were viewed very differently across the four sectors. In some cases, vocational pathways were characterised more by a broadening of the technical skills and knowledge bases and lateral movements into related roles; in other cases, </w:t>
      </w:r>
      <w:r w:rsidR="00C27528" w:rsidRPr="007C45B4">
        <w:rPr>
          <w:i/>
        </w:rPr>
        <w:t>pathways</w:t>
      </w:r>
      <w:r w:rsidRPr="007C45B4">
        <w:rPr>
          <w:i/>
        </w:rPr>
        <w:t xml:space="preserve"> reflected vertical movements into man</w:t>
      </w:r>
      <w:r w:rsidR="00B20E72" w:rsidRPr="007C45B4">
        <w:rPr>
          <w:i/>
        </w:rPr>
        <w:t>agerial/</w:t>
      </w:r>
      <w:r w:rsidR="00B6039E" w:rsidRPr="007C45B4">
        <w:rPr>
          <w:i/>
        </w:rPr>
        <w:t xml:space="preserve">supervisory positions. </w:t>
      </w:r>
      <w:r w:rsidRPr="007C45B4">
        <w:rPr>
          <w:i/>
        </w:rPr>
        <w:t>In all cases, interviewees reported autonomy and</w:t>
      </w:r>
      <w:r w:rsidR="00437F55" w:rsidRPr="007C45B4">
        <w:rPr>
          <w:i/>
        </w:rPr>
        <w:t xml:space="preserve"> diversity in their work</w:t>
      </w:r>
      <w:r w:rsidRPr="007C45B4">
        <w:rPr>
          <w:i/>
        </w:rPr>
        <w:t xml:space="preserve"> and the presence of learning opportunities as integral to their development and satisfaction.</w:t>
      </w:r>
    </w:p>
    <w:p w:rsidR="00C9115F" w:rsidRDefault="00C9115F" w:rsidP="00C9115F">
      <w:pPr>
        <w:pStyle w:val="Text"/>
      </w:pPr>
      <w:r>
        <w:t>All forms of career progression reported in the study leveraged some degree of horizontal movement</w:t>
      </w:r>
      <w:r w:rsidR="00C27528">
        <w:t>,</w:t>
      </w:r>
      <w:r>
        <w:t xml:space="preserve"> characterised by a broadening of technical skills and knowledge bases, either through formal study or on-the-job learning. This form of development enabled individuals to tra</w:t>
      </w:r>
      <w:r w:rsidR="00437F55">
        <w:t>nsition laterally between roles</w:t>
      </w:r>
      <w:r>
        <w:t xml:space="preserve"> or to widen their responsibilities</w:t>
      </w:r>
      <w:r w:rsidR="00437F55">
        <w:t>,</w:t>
      </w:r>
      <w:r>
        <w:t xml:space="preserve"> such that there appeared to be a broad sense of career and vocational identity. For example, in the engineering trades this included </w:t>
      </w:r>
      <w:r w:rsidR="00C27528">
        <w:t>undertaking</w:t>
      </w:r>
      <w:r>
        <w:t xml:space="preserve"> </w:t>
      </w:r>
      <w:r w:rsidR="00437F55">
        <w:t xml:space="preserve">the </w:t>
      </w:r>
      <w:r>
        <w:t>various ‘tickets’ required to operate different machinery or work with hazardous substances.</w:t>
      </w:r>
      <w:r w:rsidR="00B6039E">
        <w:t xml:space="preserve"> </w:t>
      </w:r>
    </w:p>
    <w:p w:rsidR="00C9115F" w:rsidRDefault="00C9115F" w:rsidP="00C9115F">
      <w:pPr>
        <w:pStyle w:val="Text"/>
      </w:pPr>
      <w:r>
        <w:lastRenderedPageBreak/>
        <w:t>Vertical career progression was available to varying degr</w:t>
      </w:r>
      <w:r w:rsidR="00C27528">
        <w:t>ees and w</w:t>
      </w:r>
      <w:r w:rsidR="00B20E72">
        <w:t>as</w:t>
      </w:r>
      <w:r>
        <w:t xml:space="preserve"> characterised by growing staff, project and organisational management responsibilities. This form of development was less </w:t>
      </w:r>
      <w:r w:rsidR="00C27528">
        <w:t>concerned with</w:t>
      </w:r>
      <w:r>
        <w:t xml:space="preserve"> th</w:t>
      </w:r>
      <w:r w:rsidR="00437F55">
        <w:t>e expansion of technical skills</w:t>
      </w:r>
      <w:r>
        <w:t xml:space="preserve"> and more </w:t>
      </w:r>
      <w:r w:rsidR="00C27528">
        <w:t>with</w:t>
      </w:r>
      <w:r>
        <w:t xml:space="preserve"> leadership and management experience. While for some, such as nurses, vertical career progression was associated with high levels of stress, work intensification and detachment from clinical pr</w:t>
      </w:r>
      <w:r w:rsidR="00437F55">
        <w:t xml:space="preserve">actice, others such as those in </w:t>
      </w:r>
      <w:r>
        <w:t>engineering trades engaged enthusiastically with greater supervisory and organisational responsibilities. In all cases, however, there was a strong sense of vocational attachment.</w:t>
      </w:r>
    </w:p>
    <w:p w:rsidR="00C9115F" w:rsidRPr="007C45B4" w:rsidRDefault="00C9115F" w:rsidP="007C45B4">
      <w:pPr>
        <w:pStyle w:val="Text"/>
        <w:ind w:left="284" w:right="0"/>
        <w:rPr>
          <w:i/>
        </w:rPr>
      </w:pPr>
      <w:r w:rsidRPr="007C45B4">
        <w:rPr>
          <w:i/>
        </w:rPr>
        <w:t>Distinctive business and institutional settings in each sector ultimately mediate the definition and accessibility of vocational pathways.</w:t>
      </w:r>
    </w:p>
    <w:p w:rsidR="00C9115F" w:rsidRDefault="00C9115F" w:rsidP="00C9115F">
      <w:pPr>
        <w:pStyle w:val="Text"/>
      </w:pPr>
      <w:r w:rsidRPr="00590A58">
        <w:t xml:space="preserve">The relative dominance of various business and institutional settings in each vocational stream had strong implications for the nature of horizontal and/or vertical career pathways. While educational institutions have a very strong role to play in supporting these pathways, factors such as dominant models of skill formation, recognition of </w:t>
      </w:r>
      <w:r w:rsidR="00DA6156">
        <w:t>informal versus formal training</w:t>
      </w:r>
      <w:r w:rsidRPr="00590A58">
        <w:t xml:space="preserve"> and the level and forms o</w:t>
      </w:r>
      <w:r w:rsidR="00DA6156">
        <w:t>f employer support are critical</w:t>
      </w:r>
      <w:r w:rsidRPr="00590A58">
        <w:t xml:space="preserve"> and vary from sector to sector. Indeed</w:t>
      </w:r>
      <w:r w:rsidRPr="00E228B3">
        <w:t>, Keep</w:t>
      </w:r>
      <w:r w:rsidR="00DA6156" w:rsidRPr="00E228B3">
        <w:t xml:space="preserve"> </w:t>
      </w:r>
      <w:r w:rsidRPr="00E228B3">
        <w:t>(2005)</w:t>
      </w:r>
      <w:r w:rsidRPr="00590A58">
        <w:t xml:space="preserve"> arg</w:t>
      </w:r>
      <w:r w:rsidRPr="00E228B3">
        <w:t>ues t</w:t>
      </w:r>
      <w:r w:rsidRPr="00590A58">
        <w:t>hat certain sectors of the economy are likely to demand large and growing numbers of unskilled workers rather than more qualified workers.</w:t>
      </w:r>
      <w:r w:rsidR="00B6039E">
        <w:t xml:space="preserve"> </w:t>
      </w:r>
      <w:r w:rsidRPr="00E228B3">
        <w:t>Keep’s</w:t>
      </w:r>
      <w:r w:rsidRPr="00590A58">
        <w:t xml:space="preserve"> study reviewed research </w:t>
      </w:r>
      <w:r w:rsidR="00C27528">
        <w:t>that</w:t>
      </w:r>
      <w:r w:rsidRPr="00590A58">
        <w:t xml:space="preserve"> concluded that qualifications play very different roles across the occupational spectrum. This was certainly borne out in our research, which found that:</w:t>
      </w:r>
    </w:p>
    <w:p w:rsidR="00C9115F" w:rsidRDefault="00C9115F" w:rsidP="00C9115F">
      <w:pPr>
        <w:pStyle w:val="Dotpoint1"/>
      </w:pPr>
      <w:r>
        <w:t xml:space="preserve">Vocational pathways in </w:t>
      </w:r>
      <w:r w:rsidRPr="00653DE4">
        <w:rPr>
          <w:i/>
        </w:rPr>
        <w:t>primary industries</w:t>
      </w:r>
      <w:r>
        <w:t xml:space="preserve"> are likely </w:t>
      </w:r>
      <w:r w:rsidR="00DA6156">
        <w:t xml:space="preserve">to be </w:t>
      </w:r>
      <w:r>
        <w:t>enhanced by informa</w:t>
      </w:r>
      <w:r w:rsidR="00DA6156">
        <w:t>l modes of skill formation, low-</w:t>
      </w:r>
      <w:r>
        <w:t>entry barriers and high levels of on-the-job learning. However, they are significantly inhibited by a high prevalence of seasonal and contractor workers with little access to train</w:t>
      </w:r>
      <w:r w:rsidR="00653DE4">
        <w:t>ing and promotion opportunities</w:t>
      </w:r>
      <w:r>
        <w:t xml:space="preserve"> and by the high financial barriers to entering farm management. Despite strong reports of broad learning opportunities and the need to be a ‘jack of all trades’, it appeared very difficult to progress vertically, as farm management has historically been attached to land ownership and family succession.</w:t>
      </w:r>
    </w:p>
    <w:p w:rsidR="00C9115F" w:rsidRDefault="00C9115F" w:rsidP="00C9115F">
      <w:pPr>
        <w:pStyle w:val="Dotpoint1"/>
      </w:pPr>
      <w:r>
        <w:t xml:space="preserve">Vocational pathways in </w:t>
      </w:r>
      <w:r w:rsidRPr="00653DE4">
        <w:rPr>
          <w:i/>
        </w:rPr>
        <w:t>healthcare and community services</w:t>
      </w:r>
      <w:r>
        <w:t xml:space="preserve">, as </w:t>
      </w:r>
      <w:r w:rsidR="00C27528">
        <w:t>they relate</w:t>
      </w:r>
      <w:r>
        <w:t xml:space="preserve"> to care work, are clearly defined by educational and occupational institutions, with the existence of articulation arrangements between </w:t>
      </w:r>
      <w:r w:rsidR="00DA6156">
        <w:t>voc</w:t>
      </w:r>
      <w:r w:rsidR="00C27528">
        <w:t xml:space="preserve">ational education and training </w:t>
      </w:r>
      <w:r>
        <w:t>and university studies and clear occupational standards of entry. Yet resource constraints in the sector manifest themselves by limi</w:t>
      </w:r>
      <w:r w:rsidR="00DA6156">
        <w:t>ting the opportunities of lower-</w:t>
      </w:r>
      <w:r>
        <w:t xml:space="preserve">skilled workers </w:t>
      </w:r>
      <w:r w:rsidR="00C27528">
        <w:t>for</w:t>
      </w:r>
      <w:r>
        <w:t xml:space="preserve"> access</w:t>
      </w:r>
      <w:r w:rsidR="00C27528">
        <w:t>ing</w:t>
      </w:r>
      <w:r>
        <w:t xml:space="preserve"> training and development, while acting as broad deterrents for those interested in progressing vertically.</w:t>
      </w:r>
    </w:p>
    <w:p w:rsidR="00C9115F" w:rsidRDefault="00C9115F" w:rsidP="00C9115F">
      <w:pPr>
        <w:pStyle w:val="Dotpoint1"/>
      </w:pPr>
      <w:r>
        <w:t xml:space="preserve">Different learning models between VET and university </w:t>
      </w:r>
      <w:r w:rsidRPr="00653DE4">
        <w:rPr>
          <w:i/>
        </w:rPr>
        <w:t>engineering</w:t>
      </w:r>
      <w:r>
        <w:t xml:space="preserve"> studies make articulation paths difficult, and there is some evidence that the wage premiums attached to professional engine</w:t>
      </w:r>
      <w:r w:rsidR="00DA6156">
        <w:t>ering roles (relative to trades</w:t>
      </w:r>
      <w:r>
        <w:t xml:space="preserve"> roles) are not incentive enough </w:t>
      </w:r>
      <w:r w:rsidR="00C27528">
        <w:t>for undertaking</w:t>
      </w:r>
      <w:r>
        <w:t xml:space="preserve"> this arduous path. Most importantly, clear career prospects</w:t>
      </w:r>
      <w:r w:rsidR="00C27528">
        <w:t>,</w:t>
      </w:r>
      <w:r>
        <w:t xml:space="preserve"> in terms of earnings, training and promotion opportunities for both qualified trades workers and</w:t>
      </w:r>
      <w:r w:rsidR="00C27528">
        <w:t xml:space="preserve"> professional engineers</w:t>
      </w:r>
      <w:r w:rsidR="00653DE4">
        <w:t>,</w:t>
      </w:r>
      <w:r w:rsidR="00C27528">
        <w:t xml:space="preserve"> enforce</w:t>
      </w:r>
      <w:r>
        <w:t xml:space="preserve"> strong occupational segmentation between the two.</w:t>
      </w:r>
    </w:p>
    <w:p w:rsidR="00C9115F" w:rsidRDefault="00C9115F" w:rsidP="00C9115F">
      <w:pPr>
        <w:pStyle w:val="Dotpoint1"/>
      </w:pPr>
      <w:r w:rsidRPr="00653DE4">
        <w:rPr>
          <w:i/>
        </w:rPr>
        <w:t>Financial services</w:t>
      </w:r>
      <w:r>
        <w:t xml:space="preserve"> is characterised by dynamic labour markets with a premium on</w:t>
      </w:r>
      <w:r w:rsidR="00DA6156">
        <w:t xml:space="preserve"> generic skills such as problem-</w:t>
      </w:r>
      <w:r>
        <w:t xml:space="preserve">solving skills and the capacity to learn. Entry to a </w:t>
      </w:r>
      <w:r w:rsidR="0082555F">
        <w:t>high-skill</w:t>
      </w:r>
      <w:r>
        <w:t xml:space="preserve"> pathway is typically available to those with higher education qualifications, </w:t>
      </w:r>
      <w:r w:rsidR="00C27528">
        <w:t>after which</w:t>
      </w:r>
      <w:r>
        <w:t xml:space="preserve"> career progression is linked primarily to on-the-job learning, performance and experience. Those in low</w:t>
      </w:r>
      <w:r w:rsidR="00DA6156">
        <w:t>- to medium-</w:t>
      </w:r>
      <w:r>
        <w:t>skilled roles are constrained by the</w:t>
      </w:r>
      <w:r w:rsidR="00DA6156">
        <w:t>se high entry barriers</w:t>
      </w:r>
      <w:r>
        <w:t xml:space="preserve"> and are more likely to experience career progression into roles such as financial planners, mortgage/insurance brokers, middle managers and accounting bookkeepers.</w:t>
      </w:r>
    </w:p>
    <w:p w:rsidR="00C9115F" w:rsidRDefault="00C9115F" w:rsidP="00C9115F">
      <w:pPr>
        <w:pStyle w:val="Text"/>
      </w:pPr>
      <w:r w:rsidRPr="00590A58">
        <w:lastRenderedPageBreak/>
        <w:t>The key finding from this analysis is that enabling vocational pathways is not simply about promoting articulation pathways within education and building a more highly qualified workforce. Rather, the greater issue is one of how employers recruit,</w:t>
      </w:r>
      <w:r w:rsidR="00C27528">
        <w:t xml:space="preserve"> develop and promote skills </w:t>
      </w:r>
      <w:r w:rsidRPr="00590A58">
        <w:t xml:space="preserve">in their organisation and </w:t>
      </w:r>
      <w:r w:rsidR="00C8686C">
        <w:t xml:space="preserve">in </w:t>
      </w:r>
      <w:r w:rsidRPr="00590A58">
        <w:t xml:space="preserve">markets. Given these diverse settings, we suggest that a uniform policy approach would not be possible </w:t>
      </w:r>
      <w:r w:rsidR="00C8686C">
        <w:t>for</w:t>
      </w:r>
      <w:r w:rsidRPr="00590A58">
        <w:t xml:space="preserve"> support</w:t>
      </w:r>
      <w:r w:rsidR="00C8686C">
        <w:t>ing</w:t>
      </w:r>
      <w:r w:rsidRPr="00590A58">
        <w:t xml:space="preserve"> vocational pathways in different areas of the economy. Moreover, any differentiated policy response would need to integrate elements of not only educational policy, but also industrial relations, industry and other economic policies</w:t>
      </w:r>
      <w:r w:rsidR="00DA6156">
        <w:t>,</w:t>
      </w:r>
      <w:r w:rsidRPr="00590A58">
        <w:t xml:space="preserve"> </w:t>
      </w:r>
      <w:r w:rsidR="00C8686C">
        <w:t xml:space="preserve">all of </w:t>
      </w:r>
      <w:r w:rsidRPr="00590A58">
        <w:t>which have direct and indirect effects on labour market demand and supply.</w:t>
      </w:r>
    </w:p>
    <w:p w:rsidR="00C9115F" w:rsidRDefault="00C9115F" w:rsidP="00C9115F">
      <w:pPr>
        <w:pStyle w:val="Heading1"/>
      </w:pPr>
      <w:r>
        <w:br w:type="page"/>
      </w:r>
      <w:bookmarkStart w:id="39" w:name="_Toc319330398"/>
      <w:bookmarkStart w:id="40" w:name="_Toc194643904"/>
      <w:bookmarkStart w:id="41" w:name="_Toc335752932"/>
      <w:r>
        <w:lastRenderedPageBreak/>
        <w:t>Background</w:t>
      </w:r>
      <w:bookmarkEnd w:id="39"/>
      <w:bookmarkEnd w:id="40"/>
      <w:bookmarkEnd w:id="41"/>
    </w:p>
    <w:p w:rsidR="00C9115F" w:rsidRDefault="00C9115F" w:rsidP="00C9115F">
      <w:pPr>
        <w:pStyle w:val="Text"/>
      </w:pPr>
      <w:r>
        <w:t>In our previous work</w:t>
      </w:r>
      <w:r w:rsidR="00DA6156">
        <w:t>ing paper (Yu et al. 2012</w:t>
      </w:r>
      <w:r>
        <w:t>), a quantitative analysis was conducted using</w:t>
      </w:r>
      <w:r w:rsidR="00F9274A">
        <w:t xml:space="preserve"> data from W</w:t>
      </w:r>
      <w:r w:rsidR="00DA6156">
        <w:t>aves 1 to 9 (2001—</w:t>
      </w:r>
      <w:r>
        <w:t xml:space="preserve">09) of the </w:t>
      </w:r>
      <w:r w:rsidR="00DA6156">
        <w:t xml:space="preserve">longitudinal </w:t>
      </w:r>
      <w:r>
        <w:t xml:space="preserve">Household, Income and Labour Dynamics in Australia (HILDA) </w:t>
      </w:r>
      <w:r w:rsidR="00DA6156">
        <w:t>Survey. The HILDA S</w:t>
      </w:r>
      <w:r>
        <w:t>urvey is an Australian panel study which collects information abo</w:t>
      </w:r>
      <w:r w:rsidR="009650BB">
        <w:t>ut economic and subjective wellbeing and labour market</w:t>
      </w:r>
      <w:r>
        <w:t xml:space="preserve"> and family dynamics. The s</w:t>
      </w:r>
      <w:r w:rsidR="009650BB">
        <w:t xml:space="preserve">urvey commenced in 2001 with 19 </w:t>
      </w:r>
      <w:r>
        <w:t xml:space="preserve">914 individuals and 7682 households. </w:t>
      </w:r>
    </w:p>
    <w:p w:rsidR="00C9115F" w:rsidRDefault="00C9115F" w:rsidP="00C9115F">
      <w:pPr>
        <w:pStyle w:val="Text"/>
      </w:pPr>
      <w:r>
        <w:t>The analysis used a technique called Optimal Matching Analysis (OMA)</w:t>
      </w:r>
      <w:r w:rsidR="009650BB">
        <w:t>,</w:t>
      </w:r>
      <w:r>
        <w:t xml:space="preserve"> which was originally used in molecular biology and applied to DNA sequences. A full description of </w:t>
      </w:r>
      <w:r w:rsidR="00AA7765">
        <w:t>this</w:t>
      </w:r>
      <w:r w:rsidR="009650BB">
        <w:t xml:space="preserve"> methodology is provided in a</w:t>
      </w:r>
      <w:r>
        <w:t xml:space="preserve">ppendix A. It is effective in </w:t>
      </w:r>
      <w:r w:rsidR="00653DE4">
        <w:t xml:space="preserve">our research — and in other </w:t>
      </w:r>
      <w:r>
        <w:t xml:space="preserve">labour market and career research </w:t>
      </w:r>
      <w:r w:rsidR="00653DE4">
        <w:t>—</w:t>
      </w:r>
      <w:r>
        <w:t>for a number of reasons.</w:t>
      </w:r>
      <w:r w:rsidR="00B6039E">
        <w:t xml:space="preserve"> </w:t>
      </w:r>
      <w:r>
        <w:t xml:space="preserve">First, our use of </w:t>
      </w:r>
      <w:r w:rsidR="00AA7765">
        <w:t>this methodology</w:t>
      </w:r>
      <w:r>
        <w:t xml:space="preserve"> identifies patterns of flows </w:t>
      </w:r>
      <w:r w:rsidR="009650BB">
        <w:t>in and out of the labour market</w:t>
      </w:r>
      <w:r>
        <w:t xml:space="preserve"> and between different occupational streams within the labour market.</w:t>
      </w:r>
      <w:r w:rsidR="00B6039E">
        <w:t xml:space="preserve"> </w:t>
      </w:r>
      <w:r>
        <w:t xml:space="preserve">Second, </w:t>
      </w:r>
      <w:r w:rsidR="009650BB">
        <w:t>OMA</w:t>
      </w:r>
      <w:r>
        <w:t xml:space="preserve"> offers the ability to observe multiple transitions over the course of many ye</w:t>
      </w:r>
      <w:r w:rsidR="004F2507">
        <w:t>ars (rather than single events)</w:t>
      </w:r>
      <w:r>
        <w:t xml:space="preserve"> and looks for complex patterns across these transitions. </w:t>
      </w:r>
    </w:p>
    <w:p w:rsidR="00C9115F" w:rsidRDefault="00C9115F" w:rsidP="00C9115F">
      <w:pPr>
        <w:pStyle w:val="Text"/>
      </w:pPr>
      <w:r>
        <w:t>The sequence and cluster analysis suggested ten highly segmented groups along occupational lines, with only one group charac</w:t>
      </w:r>
      <w:r w:rsidR="00372DD8">
        <w:t>terised by a common transition —</w:t>
      </w:r>
      <w:r>
        <w:t xml:space="preserve"> those moving from higher education studies to professional roles. The trajectories of each of these clusters were most vividly illustrated using sequenc</w:t>
      </w:r>
      <w:r w:rsidR="00372DD8">
        <w:t xml:space="preserve">e plots, and </w:t>
      </w:r>
      <w:r w:rsidR="00653DE4">
        <w:t xml:space="preserve">these </w:t>
      </w:r>
      <w:r w:rsidR="00372DD8">
        <w:t>are replicated in a</w:t>
      </w:r>
      <w:r>
        <w:t xml:space="preserve">ppendix B. </w:t>
      </w:r>
    </w:p>
    <w:p w:rsidR="00C9115F" w:rsidRDefault="00C9115F" w:rsidP="00C9115F">
      <w:pPr>
        <w:pStyle w:val="Text"/>
      </w:pPr>
      <w:r>
        <w:t xml:space="preserve">The analysis identified those on </w:t>
      </w:r>
      <w:r w:rsidR="0082555F">
        <w:t>high-skill</w:t>
      </w:r>
      <w:r w:rsidR="00653DE4">
        <w:t xml:space="preserve"> trajectories —</w:t>
      </w:r>
      <w:r w:rsidR="00CE20E7">
        <w:t xml:space="preserve"> those who are</w:t>
      </w:r>
      <w:r>
        <w:t xml:space="preserve"> able to access upper occupational categories as defined by the ANZSCO</w:t>
      </w:r>
      <w:r w:rsidR="00CE20E7">
        <w:rPr>
          <w:rStyle w:val="FootnoteReference"/>
        </w:rPr>
        <w:footnoteReference w:id="1"/>
      </w:r>
      <w:r w:rsidR="00653DE4">
        <w:t xml:space="preserve"> classification. T</w:t>
      </w:r>
      <w:r>
        <w:t>his includes professionals, highe</w:t>
      </w:r>
      <w:r w:rsidR="00653DE4">
        <w:t>r education graduates, managers</w:t>
      </w:r>
      <w:r>
        <w:t xml:space="preserve"> and trades workers. These trajectories are characterised by access to </w:t>
      </w:r>
      <w:r w:rsidR="0082555F">
        <w:t>high-skill</w:t>
      </w:r>
      <w:r>
        <w:t xml:space="preserve"> employment. This is defined both by relative stability within these occupational groups, which are often mediated by structured entry and training requirements (</w:t>
      </w:r>
      <w:r w:rsidR="00CE20E7">
        <w:t>for example,</w:t>
      </w:r>
      <w:r>
        <w:t xml:space="preserve"> health</w:t>
      </w:r>
      <w:r w:rsidR="00CE20E7">
        <w:t xml:space="preserve"> professionals, trades workers),</w:t>
      </w:r>
      <w:r>
        <w:t xml:space="preserve"> </w:t>
      </w:r>
      <w:r w:rsidR="00F55892">
        <w:t>and</w:t>
      </w:r>
      <w:r>
        <w:t xml:space="preserve"> by some mobility between </w:t>
      </w:r>
      <w:r w:rsidR="0082555F">
        <w:t>high-skill</w:t>
      </w:r>
      <w:r>
        <w:t xml:space="preserve"> roles, such as between professionals and managers. This evidence of stability and career progression contrasts greatly with the nature of </w:t>
      </w:r>
      <w:r w:rsidR="0082555F">
        <w:t>low-skill</w:t>
      </w:r>
      <w:r>
        <w:t xml:space="preserve"> trajectories.</w:t>
      </w:r>
    </w:p>
    <w:p w:rsidR="00C9115F" w:rsidRDefault="0082555F" w:rsidP="00C9115F">
      <w:pPr>
        <w:pStyle w:val="Text"/>
      </w:pPr>
      <w:r>
        <w:t>Low-skill</w:t>
      </w:r>
      <w:r w:rsidR="00C9115F">
        <w:t xml:space="preserve"> trajectories, dominated by the lower ANZSCO occupational categories, include labourers, sales workers, machinery operators, clerical workers and community service workers. These trajectories </w:t>
      </w:r>
      <w:r w:rsidR="00AA7765">
        <w:t>a</w:t>
      </w:r>
      <w:r w:rsidR="00C9115F">
        <w:t xml:space="preserve">re characterised by entrenchment in </w:t>
      </w:r>
      <w:r>
        <w:t>low-skill</w:t>
      </w:r>
      <w:r w:rsidR="00C9115F">
        <w:t xml:space="preserve"> work. The experience</w:t>
      </w:r>
      <w:r w:rsidR="00F55892">
        <w:t>s</w:t>
      </w:r>
      <w:r w:rsidR="00C9115F">
        <w:t xml:space="preserve"> of labourers and sales workers </w:t>
      </w:r>
      <w:r w:rsidR="00AA7765">
        <w:t>a</w:t>
      </w:r>
      <w:r w:rsidR="00D964B3">
        <w:t>re the most heterogeneous</w:t>
      </w:r>
      <w:r w:rsidR="00C9115F">
        <w:t xml:space="preserve"> and </w:t>
      </w:r>
      <w:r w:rsidR="00AA7765">
        <w:t>a</w:t>
      </w:r>
      <w:r w:rsidR="00C9115F">
        <w:t xml:space="preserve">re more likely to see spells of unemployment. Where transitions occur for labourers, </w:t>
      </w:r>
      <w:r w:rsidR="00D964B3">
        <w:t>these</w:t>
      </w:r>
      <w:r w:rsidR="00C9115F">
        <w:t xml:space="preserve"> tend to be short episodes as machinery operators and trades workers with little evidence of sustained direction. Similarly, sales workers are likely to move between sales and administrative </w:t>
      </w:r>
      <w:r w:rsidR="00D964B3">
        <w:t>roles. Mobility for these lower-</w:t>
      </w:r>
      <w:r w:rsidR="00C9115F">
        <w:t>skill workers is characterised by many s</w:t>
      </w:r>
      <w:r w:rsidR="00D964B3">
        <w:t>hort episodes in various states</w:t>
      </w:r>
      <w:r w:rsidR="00C9115F">
        <w:t xml:space="preserve"> and does not present pathways into further study or more highly skilled work. Other </w:t>
      </w:r>
      <w:r>
        <w:t>low-skill</w:t>
      </w:r>
      <w:r w:rsidR="00C9115F">
        <w:t xml:space="preserve"> roles in clerical or community service work </w:t>
      </w:r>
      <w:r w:rsidR="00AA7765">
        <w:t>a</w:t>
      </w:r>
      <w:r w:rsidR="00653DE4">
        <w:t>re dominated by women</w:t>
      </w:r>
      <w:r w:rsidR="00C9115F">
        <w:t xml:space="preserve"> and </w:t>
      </w:r>
      <w:r w:rsidR="00653DE4">
        <w:t xml:space="preserve">are </w:t>
      </w:r>
      <w:r w:rsidR="00C9115F">
        <w:t xml:space="preserve">defined </w:t>
      </w:r>
      <w:r w:rsidR="00671E1C">
        <w:t>by long episodes in these roles</w:t>
      </w:r>
      <w:r w:rsidR="00C9115F">
        <w:t xml:space="preserve"> and greater likelihood of leaving the labour force. </w:t>
      </w:r>
    </w:p>
    <w:p w:rsidR="00C9115F" w:rsidRDefault="00C9115F" w:rsidP="00C9115F">
      <w:pPr>
        <w:pStyle w:val="Text"/>
      </w:pPr>
      <w:r>
        <w:t xml:space="preserve">Finally, pathways of </w:t>
      </w:r>
      <w:r w:rsidR="00671E1C">
        <w:t>marginal attachment comprise</w:t>
      </w:r>
      <w:r>
        <w:t xml:space="preserve"> those who spen</w:t>
      </w:r>
      <w:r w:rsidR="00A553E9">
        <w:t>d</w:t>
      </w:r>
      <w:r>
        <w:t xml:space="preserve"> long periods out of the labour force. For those who d</w:t>
      </w:r>
      <w:r w:rsidR="00A553E9">
        <w:t>o</w:t>
      </w:r>
      <w:r>
        <w:t xml:space="preserve"> make transitions, they </w:t>
      </w:r>
      <w:r w:rsidR="00A553E9">
        <w:t>a</w:t>
      </w:r>
      <w:r>
        <w:t>re likely to be into unemployment or labourer roles.</w:t>
      </w:r>
    </w:p>
    <w:p w:rsidR="00C9115F" w:rsidRDefault="00C9115F" w:rsidP="00C9115F">
      <w:pPr>
        <w:pStyle w:val="Text"/>
      </w:pPr>
      <w:r>
        <w:t xml:space="preserve">The analysis showed that access to </w:t>
      </w:r>
      <w:r w:rsidR="0082555F">
        <w:t>high-skill</w:t>
      </w:r>
      <w:r w:rsidR="00D964B3">
        <w:t xml:space="preserve"> work</w:t>
      </w:r>
      <w:r>
        <w:t xml:space="preserve"> and entrenchment in </w:t>
      </w:r>
      <w:r w:rsidR="0082555F">
        <w:t>low-skill</w:t>
      </w:r>
      <w:r w:rsidR="00D964B3">
        <w:t xml:space="preserve"> work</w:t>
      </w:r>
      <w:r>
        <w:t xml:space="preserve"> </w:t>
      </w:r>
      <w:r w:rsidR="00671E1C">
        <w:t>are</w:t>
      </w:r>
      <w:r>
        <w:t xml:space="preserve"> clearly v</w:t>
      </w:r>
      <w:r w:rsidR="00D964B3">
        <w:t>isible along occupational lines</w:t>
      </w:r>
      <w:r>
        <w:t xml:space="preserve"> and that there is limited mobility between low, medium, and </w:t>
      </w:r>
      <w:r w:rsidR="00F55892">
        <w:br/>
      </w:r>
      <w:r w:rsidR="0082555F">
        <w:lastRenderedPageBreak/>
        <w:t>high-skill</w:t>
      </w:r>
      <w:r>
        <w:t>ed segments. Using this typology of occupational segmentation, high</w:t>
      </w:r>
      <w:r w:rsidR="00671E1C">
        <w:t>-</w:t>
      </w:r>
      <w:r>
        <w:t xml:space="preserve"> and </w:t>
      </w:r>
      <w:r w:rsidR="0082555F">
        <w:t>low-skill</w:t>
      </w:r>
      <w:r w:rsidR="00671E1C">
        <w:t xml:space="preserve"> trajectories</w:t>
      </w:r>
      <w:r>
        <w:t xml:space="preserve"> and </w:t>
      </w:r>
      <w:r w:rsidR="00A553E9">
        <w:t>marginal attachment</w:t>
      </w:r>
      <w:r>
        <w:t>, we developed a framework for the qualitative phase of the project. Appendix C provides additional descriptive tables re</w:t>
      </w:r>
      <w:r w:rsidR="00671E1C">
        <w:t>lating to how time is spent in each of these clusters</w:t>
      </w:r>
      <w:r>
        <w:t xml:space="preserve"> and their gender profiles.</w:t>
      </w:r>
    </w:p>
    <w:p w:rsidR="009428AB" w:rsidRDefault="00C9115F" w:rsidP="00C9115F">
      <w:pPr>
        <w:pStyle w:val="Text"/>
      </w:pPr>
      <w:r>
        <w:t>The purpose of this report is to better understand the nature of labour market segmentation</w:t>
      </w:r>
      <w:r w:rsidR="00D964B3">
        <w:t xml:space="preserve"> as</w:t>
      </w:r>
      <w:r>
        <w:t xml:space="preserve"> identified in the first working paper. We had in mind a number of guiding questions: </w:t>
      </w:r>
    </w:p>
    <w:p w:rsidR="009428AB" w:rsidRDefault="00C9115F" w:rsidP="009428AB">
      <w:pPr>
        <w:pStyle w:val="Dotpoint1"/>
      </w:pPr>
      <w:r>
        <w:t xml:space="preserve">How important </w:t>
      </w:r>
      <w:r w:rsidR="00671E1C">
        <w:t>are</w:t>
      </w:r>
      <w:r>
        <w:t xml:space="preserve"> skill accumulation and qualifications to the segmentation of the labour market? </w:t>
      </w:r>
    </w:p>
    <w:p w:rsidR="009428AB" w:rsidRDefault="00C9115F" w:rsidP="009428AB">
      <w:pPr>
        <w:pStyle w:val="Dotpoint1"/>
      </w:pPr>
      <w:r>
        <w:t xml:space="preserve">How </w:t>
      </w:r>
      <w:r w:rsidR="00D964B3">
        <w:t>are</w:t>
      </w:r>
      <w:r>
        <w:t xml:space="preserve"> training and education made available within vocational streams? </w:t>
      </w:r>
    </w:p>
    <w:p w:rsidR="009428AB" w:rsidRDefault="00C9115F" w:rsidP="009428AB">
      <w:pPr>
        <w:pStyle w:val="Dotpoint1"/>
      </w:pPr>
      <w:r>
        <w:t xml:space="preserve">In what ways are the workplace settings important to the formation and accessibility of vocational pathways? </w:t>
      </w:r>
    </w:p>
    <w:p w:rsidR="00C9115F" w:rsidRDefault="00C9115F" w:rsidP="009428AB">
      <w:pPr>
        <w:pStyle w:val="Dotpoint1"/>
      </w:pPr>
      <w:r>
        <w:t xml:space="preserve">How do social and individual </w:t>
      </w:r>
      <w:r w:rsidR="00D964B3">
        <w:t>factors</w:t>
      </w:r>
      <w:r>
        <w:t xml:space="preserve"> (such as the </w:t>
      </w:r>
      <w:r w:rsidR="00671E1C">
        <w:t>decision to raise a family full-</w:t>
      </w:r>
      <w:r>
        <w:t>time) influence these vocational outcomes?</w:t>
      </w:r>
    </w:p>
    <w:p w:rsidR="00C9115F" w:rsidRDefault="00C9115F" w:rsidP="00F55892">
      <w:pPr>
        <w:pStyle w:val="Text"/>
        <w:ind w:right="141"/>
      </w:pPr>
      <w:r>
        <w:t>In questioning how individuals identify and access vocational pathways, it is important to be clear about what we mean by ‘vocation’. A vocation emerges from fields of practice where there are commonalities; for example, the commonalities between nursing, aged care and childcare. The vocation is care work and it is located within a ‘care work’ vocational stream. Vocational streams consist of linked occupations that relate to the core underpinnin</w:t>
      </w:r>
      <w:r w:rsidR="00D964B3">
        <w:t>g concept and set of practices;</w:t>
      </w:r>
      <w:r>
        <w:t xml:space="preserve"> for example</w:t>
      </w:r>
      <w:r w:rsidR="00D964B3">
        <w:t>,</w:t>
      </w:r>
      <w:r>
        <w:t xml:space="preserve"> care and care work. Vocational streams focus on the development of the person, the attributes they need and the knowledge and skills they require to work within a broadly defined vocation that combines educational and occupational progression (</w:t>
      </w:r>
      <w:r w:rsidRPr="00F9274A">
        <w:t>Buchanan</w:t>
      </w:r>
      <w:r w:rsidR="00F9274A">
        <w:t>, Yu</w:t>
      </w:r>
      <w:r w:rsidR="00D964B3" w:rsidRPr="00F9274A">
        <w:t xml:space="preserve"> et al.</w:t>
      </w:r>
      <w:r w:rsidRPr="00F9274A">
        <w:t xml:space="preserve"> 2009</w:t>
      </w:r>
      <w:r>
        <w:t>). A</w:t>
      </w:r>
      <w:r w:rsidR="00F55892">
        <w:t> </w:t>
      </w:r>
      <w:r>
        <w:t>vocation groups together related clusters of knowledge and skills</w:t>
      </w:r>
      <w:r w:rsidR="00671E1C">
        <w:t>, which</w:t>
      </w:r>
      <w:r>
        <w:t xml:space="preserve"> allow</w:t>
      </w:r>
      <w:r w:rsidR="00671E1C">
        <w:t>s</w:t>
      </w:r>
      <w:r>
        <w:t xml:space="preserve"> individuals to progress and/or specia</w:t>
      </w:r>
      <w:r w:rsidR="00D964B3">
        <w:t>lise within a vocational stream</w:t>
      </w:r>
      <w:r>
        <w:t xml:space="preserve"> or to move laterally into linked occupations. It</w:t>
      </w:r>
      <w:r w:rsidR="00F55892">
        <w:t> </w:t>
      </w:r>
      <w:r>
        <w:t xml:space="preserve">is based on a continuum of knowledge and skill that links work, VET and higher education and is premised on the capacity to accrue skills in a coherent, cumulative fashion (Buchanan et al. 2009, p.29). </w:t>
      </w:r>
      <w:r w:rsidR="00671E1C">
        <w:t xml:space="preserve">A vocation </w:t>
      </w:r>
      <w:r>
        <w:t>fosters identification with the field of practice rather than a specific employer or</w:t>
      </w:r>
      <w:r w:rsidR="00F55892">
        <w:t> </w:t>
      </w:r>
      <w:r>
        <w:t>enterprise.</w:t>
      </w:r>
    </w:p>
    <w:p w:rsidR="00C9115F" w:rsidRDefault="00C9115F" w:rsidP="00C9115F">
      <w:pPr>
        <w:pStyle w:val="Text"/>
      </w:pPr>
      <w:r>
        <w:t>This paper is informed by the life course approach, which focuses on how and when people make key transitions in their lives. These include the completion of sc</w:t>
      </w:r>
      <w:r w:rsidR="00D964B3">
        <w:t>hooling, the transition to full-</w:t>
      </w:r>
      <w:r>
        <w:t>time work, marriage, raising children and retirement. Martin (2009) reviews the life course approach and its emphasis on institutional influences</w:t>
      </w:r>
      <w:r w:rsidR="00671E1C">
        <w:t>,</w:t>
      </w:r>
      <w:r>
        <w:t xml:space="preserve"> including, for example, the articulation between different education systems and the workplace (see for example, Bosch </w:t>
      </w:r>
      <w:r w:rsidR="00D964B3">
        <w:t>&amp; Charest</w:t>
      </w:r>
      <w:r>
        <w:t xml:space="preserve"> 2008). Social norms meanwhile condition individuals’ responses to the institutional structures (for example, how women, parents or older workers experience the labour market). Evidence suggests, however, that the link between these institutional and normative circumstances and conventional life cours</w:t>
      </w:r>
      <w:r w:rsidR="00662A92">
        <w:t>e patterns has weakened (Martin</w:t>
      </w:r>
      <w:r>
        <w:t xml:space="preserve"> 2009), with</w:t>
      </w:r>
      <w:r w:rsidR="00662A92">
        <w:t>,</w:t>
      </w:r>
      <w:r>
        <w:t xml:space="preserve"> for example, a greater heterogeneity of labour market choices amongst women </w:t>
      </w:r>
      <w:r w:rsidR="00671E1C">
        <w:t xml:space="preserve">who </w:t>
      </w:r>
      <w:r>
        <w:t>balanc</w:t>
      </w:r>
      <w:r w:rsidR="00671E1C">
        <w:t>e</w:t>
      </w:r>
      <w:r>
        <w:t xml:space="preserve"> childcar</w:t>
      </w:r>
      <w:r w:rsidR="00671E1C">
        <w:t>e, childrearing</w:t>
      </w:r>
      <w:r w:rsidR="00662A92">
        <w:t xml:space="preserve"> and work </w:t>
      </w:r>
      <w:r w:rsidR="00662A92" w:rsidRPr="00E228B3">
        <w:t>(Apps</w:t>
      </w:r>
      <w:r w:rsidRPr="00E228B3">
        <w:t xml:space="preserve"> </w:t>
      </w:r>
      <w:r w:rsidR="00E71DAB">
        <w:t xml:space="preserve">&amp; Rees </w:t>
      </w:r>
      <w:r w:rsidRPr="00E228B3">
        <w:t>2009</w:t>
      </w:r>
      <w:r>
        <w:t xml:space="preserve">), young people moving from school to work (Dwyer et </w:t>
      </w:r>
      <w:r w:rsidR="00662A92">
        <w:t>al.</w:t>
      </w:r>
      <w:r>
        <w:t xml:space="preserve"> 2003) </w:t>
      </w:r>
      <w:r w:rsidR="00671E1C">
        <w:t>and</w:t>
      </w:r>
      <w:r>
        <w:t xml:space="preserve"> those transitioning to retirement. </w:t>
      </w:r>
      <w:r w:rsidR="00671E1C">
        <w:t>More flexible work arrangements</w:t>
      </w:r>
      <w:r>
        <w:t xml:space="preserve"> and a greater onus on individuals to manage and upgrade their education and training ‘investment’ as well as retirement outcomes, may have also contributed to a greater ‘choose your own’ set of possible pathways and less conventional life courses. While this paper focuses on employment and occupational changes, we emphasise the tangled nature of these transitions, amongst others, within the life course more broadly.</w:t>
      </w:r>
    </w:p>
    <w:p w:rsidR="00C9115F" w:rsidRDefault="00C9115F" w:rsidP="00C9115F">
      <w:pPr>
        <w:pStyle w:val="Text"/>
      </w:pPr>
      <w:r>
        <w:lastRenderedPageBreak/>
        <w:t xml:space="preserve">There is limited literature on occupational mobility in Australia. Shah (2009) used one-year labour mobility data to show that job turnover varies significantly </w:t>
      </w:r>
      <w:r w:rsidR="00671E1C">
        <w:t>according to</w:t>
      </w:r>
      <w:r>
        <w:t xml:space="preserve"> a number of factors. First, younger workers are more likely to experience job separation (either voluntary or involuntary) than older workers. </w:t>
      </w:r>
      <w:r w:rsidR="0082555F">
        <w:t>Low-skill</w:t>
      </w:r>
      <w:r>
        <w:t xml:space="preserve"> workers such as labourers are </w:t>
      </w:r>
      <w:r w:rsidR="00662A92">
        <w:t>also more likely to change jobs</w:t>
      </w:r>
      <w:r>
        <w:t xml:space="preserve"> and are also more likely </w:t>
      </w:r>
      <w:r w:rsidR="00F55892">
        <w:t xml:space="preserve">than high-skill workers </w:t>
      </w:r>
      <w:r>
        <w:t>to have lost their jobs than left the</w:t>
      </w:r>
      <w:r w:rsidR="00671E1C">
        <w:t>ir jobs</w:t>
      </w:r>
      <w:r>
        <w:t xml:space="preserve">. Shah’s study also found industry pockets </w:t>
      </w:r>
      <w:r w:rsidR="00671E1C">
        <w:t>in which</w:t>
      </w:r>
      <w:r>
        <w:t xml:space="preserve"> the probability of job separation is low, such as females employed in education</w:t>
      </w:r>
      <w:r w:rsidR="00F55892">
        <w:t>,</w:t>
      </w:r>
      <w:r>
        <w:t xml:space="preserve"> and </w:t>
      </w:r>
      <w:r w:rsidR="00F55892">
        <w:t>pockets</w:t>
      </w:r>
      <w:r>
        <w:t xml:space="preserve"> where job security is relatively high</w:t>
      </w:r>
      <w:r w:rsidR="00F55892">
        <w:t>, such as health</w:t>
      </w:r>
      <w:r>
        <w:t>. Higher educational attainment is linked to an occupational stasis (</w:t>
      </w:r>
      <w:r w:rsidR="00662A92">
        <w:t>that is,</w:t>
      </w:r>
      <w:r>
        <w:t xml:space="preserve"> staying or moving within the one </w:t>
      </w:r>
      <w:r w:rsidR="00662A92">
        <w:t>occupation)</w:t>
      </w:r>
      <w:r>
        <w:t xml:space="preserve"> and lower probability of unemployment or leaving the labour force. While these results are based on one year’s data, they corroborate our own findings</w:t>
      </w:r>
      <w:r w:rsidR="00662A92">
        <w:t>,</w:t>
      </w:r>
      <w:r>
        <w:t xml:space="preserve"> that mobility has different meanings in varying pockets of the skills (and vocational) distributions. In a UK survey of 1102 young </w:t>
      </w:r>
      <w:r w:rsidRPr="00E228B3">
        <w:t>adults, Bradley and Devadason (2008) al</w:t>
      </w:r>
      <w:r>
        <w:t>s</w:t>
      </w:r>
      <w:r w:rsidRPr="00E02C1E">
        <w:t>o echoed</w:t>
      </w:r>
      <w:r>
        <w:t xml:space="preserve"> the typology derived from our analysi</w:t>
      </w:r>
      <w:r w:rsidR="00662A92">
        <w:t>s, identifying four key groups:</w:t>
      </w:r>
      <w:r>
        <w:t xml:space="preserve"> shifters, stickers, settlers and switchers. </w:t>
      </w:r>
      <w:r w:rsidR="00662A92">
        <w:t>The careers of t</w:t>
      </w:r>
      <w:r>
        <w:t>hese four groups were characterised respectively by: high turnover and no committed</w:t>
      </w:r>
      <w:r w:rsidR="00671E1C">
        <w:t xml:space="preserve"> pathway; an immediate and long-</w:t>
      </w:r>
      <w:r>
        <w:t>term career pathway; a career choice driven by desire for</w:t>
      </w:r>
      <w:r w:rsidR="005E3DBD">
        <w:t xml:space="preserve"> stability or ‘growing up’; and</w:t>
      </w:r>
      <w:r>
        <w:t xml:space="preserve"> a major life change.</w:t>
      </w:r>
    </w:p>
    <w:p w:rsidR="00C9115F" w:rsidRDefault="00C9115F" w:rsidP="00C9115F">
      <w:pPr>
        <w:pStyle w:val="Text"/>
      </w:pPr>
      <w:r>
        <w:t xml:space="preserve">While it is difficult to isolate and attribute employment </w:t>
      </w:r>
      <w:r w:rsidR="009428AB">
        <w:t xml:space="preserve">transitions to any one factor, </w:t>
      </w:r>
      <w:r>
        <w:t xml:space="preserve">the results of our analysis can be framed </w:t>
      </w:r>
      <w:r w:rsidR="00671E1C">
        <w:t>by applying</w:t>
      </w:r>
      <w:r>
        <w:t xml:space="preserve"> the concept of skill ecosystems. Drawing on work by Finegold (1999) and Keep and Mayhew (1999), a</w:t>
      </w:r>
      <w:r w:rsidR="005E3DBD">
        <w:t xml:space="preserve"> skill ecosystem is defined as ‘</w:t>
      </w:r>
      <w:r w:rsidRPr="00590A58">
        <w:t xml:space="preserve">clusters of high, intermediate and low level competencies in a particular region or industry, which are shaped by interlocking networks of </w:t>
      </w:r>
      <w:r w:rsidR="005E3DBD">
        <w:t>firms, markets and institutions’ (Buchanan</w:t>
      </w:r>
      <w:r w:rsidRPr="00590A58">
        <w:t xml:space="preserve"> 2006, p.4)</w:t>
      </w:r>
      <w:r>
        <w:t>.</w:t>
      </w:r>
    </w:p>
    <w:p w:rsidR="00C9115F" w:rsidRDefault="005E3DBD" w:rsidP="00C9115F">
      <w:pPr>
        <w:pStyle w:val="Text"/>
      </w:pPr>
      <w:r>
        <w:t>Examples of well-</w:t>
      </w:r>
      <w:r w:rsidR="00C9115F" w:rsidRPr="00590A58">
        <w:t>functioning skill ecosystems include the biotechnology firms and educational institutions of Silicon Valley (</w:t>
      </w:r>
      <w:r>
        <w:t>Finegold 1999)</w:t>
      </w:r>
      <w:r w:rsidR="00C9115F" w:rsidRPr="00590A58">
        <w:t xml:space="preserve"> and the multipartite German model of vocational and academic streaming, based around cooperation between government, employer and occupational/union groups (see</w:t>
      </w:r>
      <w:r>
        <w:t>, for example, Brockmann, Clarke &amp; Winch</w:t>
      </w:r>
      <w:r w:rsidR="00C9115F" w:rsidRPr="00590A58">
        <w:t xml:space="preserve"> 2008). The conditions governing such a network determine how individuals’ capabili</w:t>
      </w:r>
      <w:r w:rsidR="00671E1C">
        <w:t>ties are developed and deployed</w:t>
      </w:r>
      <w:r w:rsidR="00C9115F" w:rsidRPr="00590A58">
        <w:t xml:space="preserve"> and contribute fundamentally to pathways (or separation) between one cluster </w:t>
      </w:r>
      <w:r w:rsidR="00EE4C3C">
        <w:t>and</w:t>
      </w:r>
      <w:r w:rsidR="00C9115F" w:rsidRPr="00590A58">
        <w:t xml:space="preserve"> the next. These con</w:t>
      </w:r>
      <w:r>
        <w:t>ditions include (Buchanan, Schofield et al.</w:t>
      </w:r>
      <w:r w:rsidR="00C9115F" w:rsidRPr="00590A58">
        <w:t xml:space="preserve"> 2001):</w:t>
      </w:r>
    </w:p>
    <w:p w:rsidR="00C9115F" w:rsidRDefault="005E3DBD" w:rsidP="00C9115F">
      <w:pPr>
        <w:pStyle w:val="Dotpoint1"/>
      </w:pPr>
      <w:r>
        <w:rPr>
          <w:i/>
        </w:rPr>
        <w:t>b</w:t>
      </w:r>
      <w:r w:rsidR="00C9115F" w:rsidRPr="005E3DBD">
        <w:rPr>
          <w:i/>
        </w:rPr>
        <w:t>usiness settings</w:t>
      </w:r>
      <w:r w:rsidR="00C9115F" w:rsidRPr="005E3DBD">
        <w:t>:</w:t>
      </w:r>
      <w:r w:rsidR="00C9115F">
        <w:t xml:space="preserve"> the competitive structure of the product market, business organisation/networks, including the int</w:t>
      </w:r>
      <w:r w:rsidR="00671E1C">
        <w:t>eraction with financial markets</w:t>
      </w:r>
    </w:p>
    <w:p w:rsidR="00C9115F" w:rsidRDefault="005E3DBD" w:rsidP="00C9115F">
      <w:pPr>
        <w:pStyle w:val="Dotpoint1"/>
      </w:pPr>
      <w:r>
        <w:rPr>
          <w:i/>
        </w:rPr>
        <w:t>i</w:t>
      </w:r>
      <w:r w:rsidR="00C9115F" w:rsidRPr="005E3DBD">
        <w:rPr>
          <w:i/>
        </w:rPr>
        <w:t>nstitutional and policy frameworks</w:t>
      </w:r>
      <w:r w:rsidR="00C9115F" w:rsidRPr="005E3DBD">
        <w:t>:</w:t>
      </w:r>
      <w:r w:rsidR="00C9115F">
        <w:t xml:space="preserve"> educational institutions and regulators, industry and employer associations, as well unions and occupational groups. The policy framework itself is difficult to define, touching on not only educational and industry policy, but also industrial relations and social policy very bro</w:t>
      </w:r>
      <w:r w:rsidR="00671E1C">
        <w:t>adly</w:t>
      </w:r>
      <w:r w:rsidR="00C9115F">
        <w:t xml:space="preserve"> </w:t>
      </w:r>
    </w:p>
    <w:p w:rsidR="00C9115F" w:rsidRDefault="005E3DBD" w:rsidP="00C9115F">
      <w:pPr>
        <w:pStyle w:val="Dotpoint1"/>
      </w:pPr>
      <w:r>
        <w:rPr>
          <w:i/>
        </w:rPr>
        <w:t>m</w:t>
      </w:r>
      <w:r w:rsidR="00C9115F" w:rsidRPr="005E3DBD">
        <w:rPr>
          <w:i/>
        </w:rPr>
        <w:t>odes of engaging labour</w:t>
      </w:r>
      <w:r w:rsidR="00C9115F" w:rsidRPr="005E3DBD">
        <w:t>:</w:t>
      </w:r>
      <w:r w:rsidR="00C9115F">
        <w:t xml:space="preserve"> the incidence of contractors, labour hir</w:t>
      </w:r>
      <w:r w:rsidR="00671E1C">
        <w:t>e, casual and permanent workers</w:t>
      </w:r>
    </w:p>
    <w:p w:rsidR="00C9115F" w:rsidRDefault="005E3DBD" w:rsidP="00C9115F">
      <w:pPr>
        <w:pStyle w:val="Dotpoint1"/>
      </w:pPr>
      <w:r>
        <w:rPr>
          <w:i/>
        </w:rPr>
        <w:t>s</w:t>
      </w:r>
      <w:r w:rsidR="00C9115F" w:rsidRPr="005E3DBD">
        <w:rPr>
          <w:i/>
        </w:rPr>
        <w:t>tructure of jobs</w:t>
      </w:r>
      <w:r w:rsidR="00C9115F" w:rsidRPr="005E3DBD">
        <w:t>:</w:t>
      </w:r>
      <w:r w:rsidR="00C9115F">
        <w:t xml:space="preserve"> </w:t>
      </w:r>
      <w:r w:rsidR="005C7FA8">
        <w:t>shift and seasonal work</w:t>
      </w:r>
      <w:r w:rsidR="00C9115F">
        <w:t xml:space="preserve"> and elements of job design such as level of autonomy and task discretion.</w:t>
      </w:r>
    </w:p>
    <w:p w:rsidR="00C9115F" w:rsidRDefault="005E3DBD" w:rsidP="00C9115F">
      <w:pPr>
        <w:pStyle w:val="Dotpoint1"/>
      </w:pPr>
      <w:r>
        <w:rPr>
          <w:i/>
        </w:rPr>
        <w:t>l</w:t>
      </w:r>
      <w:r w:rsidR="00C9115F" w:rsidRPr="005E3DBD">
        <w:rPr>
          <w:i/>
        </w:rPr>
        <w:t>evel and type of skill formation</w:t>
      </w:r>
      <w:r w:rsidR="00C9115F" w:rsidRPr="005E3DBD">
        <w:t>:</w:t>
      </w:r>
      <w:r w:rsidR="00C9115F">
        <w:t xml:space="preserve"> examples include apprenticeships, structured or informal on-the-job training.</w:t>
      </w:r>
    </w:p>
    <w:p w:rsidR="00C9115F" w:rsidRDefault="00C9115F" w:rsidP="00C9115F">
      <w:pPr>
        <w:pStyle w:val="Text"/>
      </w:pPr>
      <w:r w:rsidRPr="00131A58">
        <w:t xml:space="preserve">The business and institutional settings that affect vocational pathways are diverse. For example, award restructuring was in part designed to contribute to and facilitate occupational pathways. Government policies also help </w:t>
      </w:r>
      <w:r w:rsidR="005C7FA8">
        <w:t xml:space="preserve">to </w:t>
      </w:r>
      <w:r w:rsidRPr="00131A58">
        <w:t>s</w:t>
      </w:r>
      <w:r w:rsidR="005C7FA8">
        <w:t>hape vocational pathways, for example,</w:t>
      </w:r>
      <w:r w:rsidRPr="00131A58">
        <w:t xml:space="preserve"> the Commonwealth Government’s targets for educational participation and attainment</w:t>
      </w:r>
      <w:r w:rsidR="005C7FA8">
        <w:t>,</w:t>
      </w:r>
      <w:r w:rsidRPr="00131A58">
        <w:t xml:space="preserve"> which it is hoped will facilitate student progression</w:t>
      </w:r>
      <w:r w:rsidR="00B6039E">
        <w:t xml:space="preserve"> </w:t>
      </w:r>
      <w:r w:rsidRPr="00131A58">
        <w:t>through higher qualification le</w:t>
      </w:r>
      <w:r w:rsidR="005E3DBD">
        <w:t>vels (Commonwealth of Australia</w:t>
      </w:r>
      <w:r w:rsidRPr="00131A58">
        <w:t xml:space="preserve"> 2009). </w:t>
      </w:r>
      <w:r w:rsidR="005C7FA8">
        <w:t>I</w:t>
      </w:r>
      <w:r w:rsidR="005C7FA8" w:rsidRPr="00131A58">
        <w:t xml:space="preserve">n revising </w:t>
      </w:r>
      <w:r w:rsidR="005C7FA8">
        <w:lastRenderedPageBreak/>
        <w:t xml:space="preserve">the </w:t>
      </w:r>
      <w:r w:rsidR="005C7FA8" w:rsidRPr="00131A58">
        <w:t>Australian Qualifications Framework (AQF)</w:t>
      </w:r>
      <w:r w:rsidR="005C7FA8">
        <w:t>, t</w:t>
      </w:r>
      <w:r w:rsidRPr="00131A58">
        <w:t xml:space="preserve">he </w:t>
      </w:r>
      <w:r w:rsidR="005C7FA8">
        <w:t xml:space="preserve">AQF Council (2011) </w:t>
      </w:r>
      <w:r w:rsidRPr="00131A58">
        <w:t xml:space="preserve">gave strong consideration to the implementation of credit and articulation </w:t>
      </w:r>
      <w:r w:rsidR="005C7FA8">
        <w:t>policies at tertiary education</w:t>
      </w:r>
      <w:r w:rsidRPr="00131A58">
        <w:t xml:space="preserve"> institutions. These objectives largely </w:t>
      </w:r>
      <w:r w:rsidR="005C7FA8">
        <w:t xml:space="preserve">address the issue of ensuring </w:t>
      </w:r>
      <w:r w:rsidRPr="00131A58">
        <w:t>the supply of skills in the economy, and indeed this is a critical objective. However as Keep and Mayhew (1999</w:t>
      </w:r>
      <w:r w:rsidR="005E3DBD">
        <w:t>, p.122</w:t>
      </w:r>
      <w:r w:rsidRPr="00131A58">
        <w:t>) explain:</w:t>
      </w:r>
    </w:p>
    <w:p w:rsidR="00C9115F" w:rsidRDefault="00C9115F" w:rsidP="00AD203F">
      <w:pPr>
        <w:pStyle w:val="Quote"/>
      </w:pPr>
      <w:r w:rsidRPr="00A12359">
        <w:t>Unless and until first-order questions, such as choice of product market and competitive strategy, and consequent second order decisions about work organisation and job design, are confronted, the underlying causes of Britain’s skills problems will continue to be ignored. The danger of policies and institutional devices … which concentrate on boosting the supply of qualifications and formalised skills and knowledge is that they appear to offer a relatively swift and simple short cut to a wide-r</w:t>
      </w:r>
      <w:r w:rsidR="005C7FA8">
        <w:t>anging set of desired outcomes —</w:t>
      </w:r>
      <w:r w:rsidRPr="00A12359">
        <w:t xml:space="preserve"> increased economic competitiveness, greater productivity, rising GD</w:t>
      </w:r>
      <w:r w:rsidR="005C7FA8">
        <w:t>P and greater social inclusion —</w:t>
      </w:r>
      <w:r w:rsidRPr="00A12359">
        <w:t xml:space="preserve"> without having to confront complex and difficult choices about how businesses choose to compete</w:t>
      </w:r>
      <w:r w:rsidR="005E3DBD">
        <w:t>.</w:t>
      </w:r>
    </w:p>
    <w:p w:rsidR="00C9115F" w:rsidRDefault="00C9115F" w:rsidP="00C9115F">
      <w:pPr>
        <w:pStyle w:val="Text"/>
      </w:pPr>
      <w:r w:rsidRPr="00A12359">
        <w:t>We cannot hope to capture all factors which impact on transitions through education and the labour market. These movements are embedded not only in social norms, labour market and business institutions, but also within the sheer randomness and richness of individuals’ decisions. However, with the above frameworks in mind, the research built a qualitative method around the broad research questions. The following section describes this method.</w:t>
      </w:r>
    </w:p>
    <w:p w:rsidR="00C9115F" w:rsidRDefault="00C9115F" w:rsidP="00C9115F">
      <w:pPr>
        <w:pStyle w:val="Heading1"/>
      </w:pPr>
      <w:r>
        <w:br w:type="page"/>
      </w:r>
      <w:bookmarkStart w:id="42" w:name="_Toc194643905"/>
      <w:bookmarkStart w:id="43" w:name="_Toc335752933"/>
      <w:r>
        <w:lastRenderedPageBreak/>
        <w:t>Method</w:t>
      </w:r>
      <w:bookmarkEnd w:id="42"/>
      <w:bookmarkEnd w:id="43"/>
    </w:p>
    <w:p w:rsidR="00C9115F" w:rsidRDefault="00C9115F" w:rsidP="00C9115F">
      <w:pPr>
        <w:pStyle w:val="Text"/>
      </w:pPr>
      <w:r>
        <w:t>This report uses qualitative analysis to extend the concepts developed</w:t>
      </w:r>
      <w:r w:rsidR="00743F00">
        <w:t xml:space="preserve"> in the working paper (Yu et al.</w:t>
      </w:r>
      <w:r>
        <w:t xml:space="preserve"> </w:t>
      </w:r>
      <w:r w:rsidR="00743F00">
        <w:t>2012</w:t>
      </w:r>
      <w:r>
        <w:t>). Thirty-two individuals were interviewed, with the aim of further investig</w:t>
      </w:r>
      <w:r w:rsidR="00743F00">
        <w:t>ating the notional pathways in f</w:t>
      </w:r>
      <w:r>
        <w:t xml:space="preserve">igure 1. Figure 1 presents a stylised — indeed idealised — notion of vocational pathways, with the hypothesis that these pathways are both </w:t>
      </w:r>
      <w:r w:rsidRPr="00A12359">
        <w:rPr>
          <w:i/>
        </w:rPr>
        <w:t xml:space="preserve">available </w:t>
      </w:r>
      <w:r>
        <w:t xml:space="preserve">and </w:t>
      </w:r>
      <w:r w:rsidRPr="00A12359">
        <w:rPr>
          <w:i/>
        </w:rPr>
        <w:t>accessible</w:t>
      </w:r>
      <w:r w:rsidR="005E42BB">
        <w:rPr>
          <w:i/>
        </w:rPr>
        <w:t>,</w:t>
      </w:r>
      <w:r w:rsidR="00E54BD2">
        <w:t xml:space="preserve"> derived from the policy presumption that this is the case</w:t>
      </w:r>
      <w:r>
        <w:t xml:space="preserve">. In this context, availability refers to the </w:t>
      </w:r>
      <w:r w:rsidRPr="00A12359">
        <w:rPr>
          <w:i/>
        </w:rPr>
        <w:t xml:space="preserve">possibility </w:t>
      </w:r>
      <w:r>
        <w:t>of movement and articulation, provided by educ</w:t>
      </w:r>
      <w:r w:rsidR="005E42BB">
        <w:t>ational institutions, employers</w:t>
      </w:r>
      <w:r>
        <w:t xml:space="preserve"> and other stakeholders. It is possible, for example, for an electrician to enrol in an engineering qualification and have prior learning recognised. It is also possible for a loan</w:t>
      </w:r>
      <w:r w:rsidR="005E42BB">
        <w:t>s</w:t>
      </w:r>
      <w:r>
        <w:t xml:space="preserve"> officer to be promoted into the role of a financial dealer. Accessibility, however, refers to the </w:t>
      </w:r>
      <w:r w:rsidR="00BA71F6">
        <w:t>uptake of such vocational paths</w:t>
      </w:r>
      <w:r>
        <w:t xml:space="preserve"> and depends not just on the existence of available pathways, but on th</w:t>
      </w:r>
      <w:r w:rsidR="005E42BB">
        <w:t>e suite of workplace, household</w:t>
      </w:r>
      <w:r>
        <w:t xml:space="preserve"> and educational settings which need to support their uptake.</w:t>
      </w:r>
    </w:p>
    <w:p w:rsidR="00DD44AC" w:rsidRDefault="00DD44AC" w:rsidP="00DD44AC">
      <w:pPr>
        <w:pStyle w:val="Figuretitle"/>
      </w:pPr>
      <w:bookmarkStart w:id="44" w:name="_Toc335753097"/>
      <w:r>
        <w:t>Figure 1</w:t>
      </w:r>
      <w:r>
        <w:tab/>
      </w:r>
      <w:r w:rsidRPr="00A12359">
        <w:t>Stylised vocational paths</w:t>
      </w:r>
      <w:bookmarkEnd w:id="44"/>
    </w:p>
    <w:p w:rsidR="00C9115F" w:rsidRDefault="00A7118D" w:rsidP="001C7644">
      <w:pPr>
        <w:pStyle w:val="Textmorebefore"/>
      </w:pPr>
      <w:r>
        <w:rPr>
          <w:noProof/>
          <w:lang w:eastAsia="en-AU"/>
        </w:rPr>
        <w:pict>
          <v:group id="_x0000_s1274" style="position:absolute;margin-left:.65pt;margin-top:3.75pt;width:384.1pt;height:206.5pt;z-index:251705856" coordorigin="1431,6332" coordsize="7682,4130">
            <v:rect id="_x0000_s1203" style="position:absolute;left:1431;top:6332;width:7682;height:932" o:regroupid="1" fillcolor="silver" stroked="f"/>
            <v:rect id="_x0000_s1204" style="position:absolute;left:1431;top:7390;width:7682;height:944" o:regroupid="1" fillcolor="#036" stroked="f">
              <v:fill r:id="rId13" o:title="50%" type="pattern"/>
            </v:rect>
            <v:rect id="_x0000_s1205" style="position:absolute;left:1431;top:8460;width:7682;height:932" o:regroupid="1" fillcolor="silver" stroked="f"/>
            <v:rect id="_x0000_s1206" style="position:absolute;left:1431;top:9530;width:7682;height:932" o:regroupid="1" fillcolor="#036" stroked="f">
              <v:fill r:id="rId13" o:title="50%" type="pattern"/>
            </v:rect>
            <v:shape id="_x0000_s1207" style="position:absolute;left:2927;top:9946;width:528;height:113" coordsize="528,113" o:regroupid="1" path="m,38r428,l428,75,,75,,38xm415,l528,63,415,113,415,xe" fillcolor="black" strokeweight="0">
              <v:path arrowok="t"/>
              <o:lock v:ext="edit" verticies="t"/>
            </v:shape>
            <v:shape id="_x0000_s1208" style="position:absolute;left:2927;top:8895;width:528;height:113" coordsize="528,113" o:regroupid="1" path="m,38r428,l428,75,,75,,38xm415,l528,63,415,113,415,xe" fillcolor="black" strokeweight="0">
              <v:path arrowok="t"/>
              <o:lock v:ext="edit" verticies="t"/>
            </v:shape>
            <v:shape id="_x0000_s1209" style="position:absolute;left:2927;top:7852;width:528;height:113" coordsize="528,113" o:regroupid="1" path="m,38r428,l428,75,,75,,38xm415,l528,63,415,113,415,xe" fillcolor="black" strokeweight="0">
              <v:path arrowok="t"/>
              <o:lock v:ext="edit" verticies="t"/>
            </v:shape>
            <v:shape id="_x0000_s1210" style="position:absolute;left:2927;top:6772;width:528;height:113" coordsize="528,113" o:regroupid="1" path="m,38r428,l428,75,,75,,38xm415,l528,63,415,113,415,xe" fillcolor="black" strokeweight="0">
              <v:path arrowok="t"/>
              <o:lock v:ext="edit" verticies="t"/>
            </v:shape>
            <v:shape id="_x0000_s1211" style="position:absolute;left:5082;top:9946;width:528;height:113" coordsize="528,113" o:regroupid="1" path="m,38r428,l428,75,,75,,38xm415,l528,63,415,113,415,xe" fillcolor="black" strokeweight="0">
              <v:path arrowok="t"/>
              <o:lock v:ext="edit" verticies="t"/>
            </v:shape>
            <v:shape id="_x0000_s1212" style="position:absolute;left:5082;top:8895;width:528;height:113" coordsize="528,113" o:regroupid="1" path="m,38r428,l428,75,,75,,38xm415,l528,63,415,113,415,xe" fillcolor="black" strokeweight="0">
              <v:path arrowok="t"/>
              <o:lock v:ext="edit" verticies="t"/>
            </v:shape>
            <v:shape id="_x0000_s1213" style="position:absolute;left:5082;top:7852;width:528;height:113" coordsize="528,113" o:regroupid="1" path="m,38r428,l428,75,,75,,38xm415,l528,63,415,113,415,xe" fillcolor="black" strokeweight="0">
              <v:path arrowok="t"/>
              <o:lock v:ext="edit" verticies="t"/>
            </v:shape>
            <v:shape id="_x0000_s1214" style="position:absolute;left:5082;top:6772;width:528;height:113" coordsize="528,113" o:regroupid="1" path="m,38r428,l428,75,,75,,38xm415,l528,63,415,113,415,xe" fillcolor="black" strokeweight="0">
              <v:path arrowok="t"/>
              <o:lock v:ext="edit" verticies="t"/>
            </v:shape>
            <v:shape id="_x0000_s1215" style="position:absolute;left:7107;top:9946;width:528;height:113" coordsize="528,113" o:regroupid="1" path="m,38r428,l428,75,,75,,38xm415,l528,63,415,113,415,xe" fillcolor="black" strokeweight="0">
              <v:path arrowok="t"/>
              <o:lock v:ext="edit" verticies="t"/>
            </v:shape>
            <v:shape id="_x0000_s1216" style="position:absolute;left:7107;top:8895;width:528;height:113" coordsize="528,113" o:regroupid="1" path="m,38r428,l428,75,,75,,38xm415,l528,63,415,113,415,xe" fillcolor="black" strokeweight="0">
              <v:path arrowok="t"/>
              <o:lock v:ext="edit" verticies="t"/>
            </v:shape>
            <v:shape id="_x0000_s1217" style="position:absolute;left:7107;top:7852;width:528;height:113" coordsize="528,113" o:regroupid="1" path="m,38r428,l428,75,,75,,38xm415,l528,63,415,113,415,xe" fillcolor="black" strokeweight="0">
              <v:path arrowok="t"/>
              <o:lock v:ext="edit" verticies="t"/>
            </v:shape>
            <v:shape id="_x0000_s1218" style="position:absolute;left:7107;top:6772;width:528;height:113" coordsize="528,113" o:regroupid="1" path="m,38r428,l428,75,,75,,38xm415,l528,63,415,113,415,xe" fillcolor="black" strokeweight="0">
              <v:path arrowok="t"/>
              <o:lock v:ext="edit" verticies="t"/>
            </v:shape>
            <v:group id="_x0000_s1219" style="position:absolute;left:1544;top:6458;width:1270;height:667" coordorigin="1544,6383" coordsize="1270,667" o:regroupid="1">
              <v:rect id="_x0000_s1220" style="position:absolute;left:1544;top:6383;width:1270;height:667" fillcolor="white [3212]" strokeweight=".65pt"/>
              <v:rect id="_x0000_s1221" style="position:absolute;left:1695;top:6459;width:975;height:490" filled="f" stroked="f">
                <v:textbox style="mso-next-textbox:#_x0000_s1221" inset="0,0,0,0">
                  <w:txbxContent>
                    <w:p w:rsidR="00B17625" w:rsidRDefault="00B17625" w:rsidP="002B469E">
                      <w:pPr>
                        <w:pStyle w:val="Tablehead1"/>
                        <w:jc w:val="center"/>
                      </w:pPr>
                      <w:r>
                        <w:rPr>
                          <w:lang w:val="en-US"/>
                        </w:rPr>
                        <w:t>General clerk</w:t>
                      </w:r>
                    </w:p>
                  </w:txbxContent>
                </v:textbox>
              </v:rect>
            </v:group>
            <v:group id="_x0000_s1222" style="position:absolute;left:3614;top:6458;width:1270;height:667" coordorigin="3614,6383" coordsize="1270,667" o:regroupid="1">
              <v:rect id="_x0000_s1223" style="position:absolute;left:3614;top:6383;width:1270;height:667" fillcolor="white [3212]" strokeweight=".65pt"/>
              <v:rect id="_x0000_s1224" style="position:absolute;left:3750;top:6459;width:990;height:490" filled="f" stroked="f">
                <v:textbox style="mso-next-textbox:#_x0000_s1224" inset="0,0,0,0">
                  <w:txbxContent>
                    <w:p w:rsidR="00B17625" w:rsidRDefault="00B17625" w:rsidP="002B469E">
                      <w:pPr>
                        <w:pStyle w:val="Tablehead1"/>
                        <w:jc w:val="center"/>
                      </w:pPr>
                      <w:r>
                        <w:rPr>
                          <w:lang w:val="en-US"/>
                        </w:rPr>
                        <w:t>Loan officer</w:t>
                      </w:r>
                      <w:r>
                        <w:rPr>
                          <w:noProof/>
                          <w:lang w:eastAsia="en-AU"/>
                        </w:rPr>
                        <w:t xml:space="preserve"> general</w:t>
                      </w:r>
                    </w:p>
                  </w:txbxContent>
                </v:textbox>
              </v:rect>
            </v:group>
            <v:group id="_x0000_s1225" style="position:absolute;left:5734;top:6458;width:1270;height:667" coordorigin="5734,6383" coordsize="1270,667" o:regroupid="1">
              <v:rect id="_x0000_s1226" style="position:absolute;left:5734;top:6383;width:1270;height:667" fillcolor="white [3212]" strokeweight=".65pt"/>
              <v:rect id="_x0000_s1227" style="position:absolute;left:5835;top:6459;width:1050;height:490" filled="f" stroked="f">
                <v:textbox style="mso-next-textbox:#_x0000_s1227" inset="0,0,0,0">
                  <w:txbxContent>
                    <w:p w:rsidR="00B17625" w:rsidRDefault="00B17625" w:rsidP="002B469E">
                      <w:pPr>
                        <w:pStyle w:val="Tablehead1"/>
                        <w:jc w:val="center"/>
                      </w:pPr>
                      <w:r>
                        <w:rPr>
                          <w:lang w:val="en-US"/>
                        </w:rPr>
                        <w:t>Financial dealer</w:t>
                      </w:r>
                    </w:p>
                  </w:txbxContent>
                </v:textbox>
              </v:rect>
            </v:group>
            <v:group id="_x0000_s1228" style="position:absolute;left:7759;top:6458;width:1270;height:667" coordorigin="7759,6383" coordsize="1270,667" o:regroupid="1">
              <v:rect id="_x0000_s1229" style="position:absolute;left:7759;top:6383;width:1270;height:667" fillcolor="white [3212]" strokeweight=".65pt"/>
              <v:rect id="_x0000_s1230" style="position:absolute;left:7875;top:6459;width:990;height:490" filled="f" stroked="f">
                <v:textbox style="mso-next-textbox:#_x0000_s1230" inset="0,0,0,0">
                  <w:txbxContent>
                    <w:p w:rsidR="00B17625" w:rsidRDefault="00B17625" w:rsidP="002B469E">
                      <w:pPr>
                        <w:pStyle w:val="Tablehead1"/>
                        <w:jc w:val="center"/>
                      </w:pPr>
                      <w:r>
                        <w:rPr>
                          <w:lang w:val="en-US"/>
                        </w:rPr>
                        <w:t>Investment manager</w:t>
                      </w:r>
                    </w:p>
                  </w:txbxContent>
                </v:textbox>
              </v:rect>
            </v:group>
            <v:group id="_x0000_s1234" style="position:absolute;left:5734;top:7530;width:1270;height:667" coordorigin="5734,7455" coordsize="1270,667" o:regroupid="1">
              <v:rect id="_x0000_s1235" style="position:absolute;left:5734;top:7455;width:1270;height:667" fillcolor="white [3212]" strokeweight=".65pt"/>
              <v:rect id="_x0000_s1236" style="position:absolute;left:5835;top:7483;width:1050;height:639" filled="f" stroked="f">
                <v:textbox style="mso-next-textbox:#_x0000_s1236" inset="0,0,0,0">
                  <w:txbxContent>
                    <w:p w:rsidR="00B17625" w:rsidRDefault="00B17625" w:rsidP="002B469E">
                      <w:pPr>
                        <w:pStyle w:val="Tablehead1"/>
                        <w:jc w:val="center"/>
                      </w:pPr>
                      <w:r>
                        <w:rPr>
                          <w:lang w:val="en-US"/>
                        </w:rPr>
                        <w:t>Registered nurse</w:t>
                      </w:r>
                    </w:p>
                  </w:txbxContent>
                </v:textbox>
              </v:rect>
            </v:group>
            <v:group id="_x0000_s1243" style="position:absolute;left:3614;top:8580;width:1270;height:667" coordorigin="3614,8505" coordsize="1270,667" o:regroupid="1">
              <v:rect id="_x0000_s1244" style="position:absolute;left:3614;top:8505;width:1270;height:667" fillcolor="white [3212]" strokeweight=".65pt"/>
              <v:rect id="_x0000_s1245" style="position:absolute;left:3614;top:8578;width:1126;height:477" filled="f" stroked="f">
                <v:textbox style="mso-next-textbox:#_x0000_s1245" inset="0,0,0,0">
                  <w:txbxContent>
                    <w:p w:rsidR="00B17625" w:rsidRDefault="00B17625" w:rsidP="002B469E">
                      <w:pPr>
                        <w:pStyle w:val="Tablehead1"/>
                        <w:jc w:val="center"/>
                      </w:pPr>
                      <w:r>
                        <w:rPr>
                          <w:lang w:val="en-US"/>
                        </w:rPr>
                        <w:t>Farm operator</w:t>
                      </w:r>
                    </w:p>
                  </w:txbxContent>
                </v:textbox>
              </v:rect>
            </v:group>
            <v:group id="_x0000_s1246" style="position:absolute;left:5734;top:8580;width:1270;height:667" coordorigin="5734,8505" coordsize="1270,667" o:regroupid="1">
              <v:rect id="_x0000_s1247" style="position:absolute;left:5734;top:8505;width:1270;height:667" fillcolor="white [3212]" strokeweight=".65pt"/>
              <v:rect id="_x0000_s1248" style="position:absolute;left:5835;top:8578;width:1050;height:477" filled="f" stroked="f">
                <v:textbox style="mso-next-textbox:#_x0000_s1248" inset="0,0,0,0">
                  <w:txbxContent>
                    <w:p w:rsidR="00B17625" w:rsidRDefault="00B17625" w:rsidP="002B469E">
                      <w:pPr>
                        <w:pStyle w:val="Tablehead1"/>
                        <w:jc w:val="center"/>
                      </w:pPr>
                      <w:r>
                        <w:rPr>
                          <w:lang w:val="en-US"/>
                        </w:rPr>
                        <w:t>Agricultural technician</w:t>
                      </w:r>
                    </w:p>
                  </w:txbxContent>
                </v:textbox>
              </v:rect>
            </v:group>
            <v:group id="_x0000_s1249" style="position:absolute;left:7759;top:8580;width:1270;height:667" coordorigin="7759,8505" coordsize="1270,667" o:regroupid="1">
              <v:rect id="_x0000_s1250" style="position:absolute;left:7759;top:8505;width:1270;height:667" fillcolor="white [3212]" strokeweight=".65pt"/>
              <v:rect id="_x0000_s1251" style="position:absolute;left:7875;top:8578;width:990;height:477" filled="f" stroked="f">
                <v:textbox style="mso-next-textbox:#_x0000_s1251" inset="0,0,0,0">
                  <w:txbxContent>
                    <w:p w:rsidR="00B17625" w:rsidRDefault="00B17625" w:rsidP="002B469E">
                      <w:pPr>
                        <w:pStyle w:val="Tablehead1"/>
                        <w:jc w:val="center"/>
                      </w:pPr>
                      <w:r>
                        <w:rPr>
                          <w:lang w:val="en-US"/>
                        </w:rPr>
                        <w:t>Farm manager</w:t>
                      </w:r>
                    </w:p>
                  </w:txbxContent>
                </v:textbox>
              </v:rect>
            </v:group>
            <v:group id="_x0000_s1252" style="position:absolute;left:1544;top:9630;width:1270;height:667" coordorigin="1544,9555" coordsize="1270,667" o:regroupid="1">
              <v:rect id="_x0000_s1253" style="position:absolute;left:1544;top:9555;width:1270;height:667" fillcolor="white [3212]" strokeweight=".65pt"/>
              <v:rect id="_x0000_s1254" style="position:absolute;left:1620;top:9629;width:1050;height:593" filled="f" stroked="f">
                <v:textbox style="mso-next-textbox:#_x0000_s1254" inset="0,0,0,0">
                  <w:txbxContent>
                    <w:p w:rsidR="00B17625" w:rsidRDefault="00B17625" w:rsidP="002B469E">
                      <w:pPr>
                        <w:pStyle w:val="Tablehead1"/>
                        <w:jc w:val="center"/>
                      </w:pPr>
                      <w:r>
                        <w:rPr>
                          <w:lang w:val="en-US"/>
                        </w:rPr>
                        <w:t>Trades assistant</w:t>
                      </w:r>
                    </w:p>
                  </w:txbxContent>
                </v:textbox>
              </v:rect>
            </v:group>
            <v:group id="_x0000_s1255" style="position:absolute;left:3614;top:9630;width:1270;height:667" coordorigin="3614,9555" coordsize="1270,667" o:regroupid="1">
              <v:rect id="_x0000_s1256" style="position:absolute;left:3614;top:9555;width:1270;height:667" fillcolor="white [3212]" strokeweight=".65pt"/>
              <v:rect id="_x0000_s1257" style="position:absolute;left:3750;top:9629;width:990;height:446" filled="f" stroked="f">
                <v:textbox style="mso-next-textbox:#_x0000_s1257" inset="0,0,0,0">
                  <w:txbxContent>
                    <w:p w:rsidR="00B17625" w:rsidRDefault="00B17625" w:rsidP="002B469E">
                      <w:pPr>
                        <w:pStyle w:val="Tablehead1"/>
                        <w:jc w:val="center"/>
                      </w:pPr>
                      <w:r>
                        <w:rPr>
                          <w:lang w:val="en-US"/>
                        </w:rPr>
                        <w:t>Trades worker</w:t>
                      </w:r>
                    </w:p>
                  </w:txbxContent>
                </v:textbox>
              </v:rect>
            </v:group>
            <v:group id="_x0000_s1258" style="position:absolute;left:5734;top:9630;width:1270;height:667" coordorigin="5734,9555" coordsize="1270,667" o:regroupid="1">
              <v:rect id="_x0000_s1259" style="position:absolute;left:5734;top:9555;width:1270;height:667" fillcolor="white [3212]" strokeweight=".65pt"/>
              <v:rect id="_x0000_s1260" style="position:absolute;left:5835;top:9629;width:1050;height:593" filled="f" stroked="f">
                <v:textbox style="mso-next-textbox:#_x0000_s1260" inset="0,0,0,0">
                  <w:txbxContent>
                    <w:p w:rsidR="00B17625" w:rsidRDefault="00B17625" w:rsidP="002B469E">
                      <w:pPr>
                        <w:pStyle w:val="Tablehead1"/>
                        <w:jc w:val="center"/>
                      </w:pPr>
                      <w:r>
                        <w:rPr>
                          <w:lang w:val="en-US"/>
                        </w:rPr>
                        <w:t>Engineering technician</w:t>
                      </w:r>
                    </w:p>
                  </w:txbxContent>
                </v:textbox>
              </v:rect>
            </v:group>
            <v:group id="_x0000_s1261" style="position:absolute;left:3614;top:7530;width:1270;height:667" coordorigin="3614,7455" coordsize="1270,667" o:regroupid="1">
              <v:rect id="_x0000_s1262" style="position:absolute;left:3614;top:7455;width:1270;height:667" fillcolor="white [3212]" strokeweight=".65pt"/>
              <v:rect id="_x0000_s1263" style="position:absolute;left:3750;top:7483;width:990;height:497" filled="f" stroked="f">
                <v:textbox style="mso-next-textbox:#_x0000_s1263" inset="0,0,0,0">
                  <w:txbxContent>
                    <w:p w:rsidR="00B17625" w:rsidRDefault="00B17625" w:rsidP="002B469E">
                      <w:pPr>
                        <w:pStyle w:val="Tablehead1"/>
                        <w:jc w:val="center"/>
                      </w:pPr>
                      <w:r>
                        <w:rPr>
                          <w:lang w:val="en-US"/>
                        </w:rPr>
                        <w:t>Enrolled nurse</w:t>
                      </w:r>
                    </w:p>
                  </w:txbxContent>
                </v:textbox>
              </v:rect>
            </v:group>
            <v:group id="_x0000_s1264" style="position:absolute;left:7759;top:9630;width:1270;height:667" coordorigin="7759,9555" coordsize="1270,667" o:regroupid="1">
              <v:rect id="_x0000_s1265" style="position:absolute;left:7759;top:9555;width:1270;height:667" fillcolor="white [3212]" strokeweight=".65pt"/>
              <v:rect id="_x0000_s1266" style="position:absolute;left:7875;top:9629;width:990;height:593" filled="f" stroked="f">
                <v:textbox style="mso-next-textbox:#_x0000_s1266" inset="0,0,0,0">
                  <w:txbxContent>
                    <w:p w:rsidR="00B17625" w:rsidRDefault="00B17625" w:rsidP="002B469E">
                      <w:pPr>
                        <w:pStyle w:val="Tablehead1"/>
                        <w:jc w:val="center"/>
                      </w:pPr>
                      <w:r>
                        <w:rPr>
                          <w:lang w:val="en-US"/>
                        </w:rPr>
                        <w:t>Engineer</w:t>
                      </w:r>
                    </w:p>
                  </w:txbxContent>
                </v:textbox>
              </v:rect>
            </v:group>
            <v:group id="_x0000_s1273" style="position:absolute;left:7759;top:7530;width:1270;height:667" coordorigin="7759,7530" coordsize="1270,667" o:regroupid="1">
              <v:rect id="_x0000_s1238" style="position:absolute;left:7759;top:7530;width:1270;height:667" o:regroupid="2" fillcolor="white [3212]" strokeweight=".65pt"/>
              <v:rect id="_x0000_s1239" style="position:absolute;left:7803;top:7558;width:1154;height:564" o:regroupid="2" filled="f" stroked="f">
                <v:textbox style="mso-next-textbox:#_x0000_s1239" inset="0,0,0,0">
                  <w:txbxContent>
                    <w:p w:rsidR="00B17625" w:rsidRDefault="00B17625" w:rsidP="002B469E">
                      <w:pPr>
                        <w:pStyle w:val="Tablehead1"/>
                        <w:jc w:val="center"/>
                      </w:pPr>
                      <w:r>
                        <w:rPr>
                          <w:lang w:val="en-US"/>
                        </w:rPr>
                        <w:t>Health administrator</w:t>
                      </w:r>
                    </w:p>
                  </w:txbxContent>
                </v:textbox>
              </v:rect>
            </v:group>
            <v:group id="_x0000_s1272" style="position:absolute;left:1544;top:8580;width:1270;height:667" coordorigin="1544,8580" coordsize="1270,667" o:regroupid="1">
              <v:rect id="_x0000_s1241" style="position:absolute;left:1544;top:8580;width:1270;height:667" o:regroupid="3" fillcolor="white [3212]" strokeweight=".65pt"/>
              <v:rect id="_x0000_s1242" style="position:absolute;left:1592;top:8653;width:1126;height:477" o:regroupid="3" filled="f" stroked="f">
                <v:textbox style="mso-next-textbox:#_x0000_s1242" inset="0,0,0,0">
                  <w:txbxContent>
                    <w:p w:rsidR="00B17625" w:rsidRDefault="00B17625" w:rsidP="002B469E">
                      <w:pPr>
                        <w:pStyle w:val="Tablehead1"/>
                        <w:jc w:val="center"/>
                      </w:pPr>
                      <w:r>
                        <w:rPr>
                          <w:lang w:val="en-US"/>
                        </w:rPr>
                        <w:t>Farm worker</w:t>
                      </w:r>
                    </w:p>
                  </w:txbxContent>
                </v:textbox>
              </v:rect>
            </v:group>
            <v:group id="_x0000_s1271" style="position:absolute;left:1544;top:7530;width:1270;height:667" coordorigin="1544,7530" coordsize="1270,667" o:regroupid="1">
              <v:rect id="_x0000_s1232" style="position:absolute;left:1544;top:7530;width:1270;height:667" o:regroupid="4" fillcolor="white [3212]" strokeweight=".65pt"/>
              <v:rect id="_x0000_s1233" style="position:absolute;left:1580;top:7558;width:1232;height:497" o:regroupid="4" filled="f" stroked="f">
                <v:textbox style="mso-next-textbox:#_x0000_s1233" inset="0,0,0,0">
                  <w:txbxContent>
                    <w:p w:rsidR="00B17625" w:rsidRDefault="00B17625" w:rsidP="002B469E">
                      <w:pPr>
                        <w:pStyle w:val="Tablehead1"/>
                        <w:jc w:val="center"/>
                      </w:pPr>
                      <w:r>
                        <w:rPr>
                          <w:lang w:val="en-US"/>
                        </w:rPr>
                        <w:t>Personal care worker</w:t>
                      </w:r>
                    </w:p>
                  </w:txbxContent>
                </v:textbox>
              </v:rect>
            </v:group>
            <w10:wrap type="topAndBottom"/>
          </v:group>
        </w:pict>
      </w:r>
      <w:r w:rsidR="00C9115F">
        <w:t xml:space="preserve">The thirty-two interviewees were drawn randomly </w:t>
      </w:r>
      <w:r w:rsidR="00BA71F6">
        <w:t>from the Australia at Work data</w:t>
      </w:r>
      <w:r w:rsidR="00C9115F">
        <w:t xml:space="preserve">set, based on the same four case studies as the </w:t>
      </w:r>
      <w:r w:rsidR="00BA71F6">
        <w:t>quantitative analysis. The data</w:t>
      </w:r>
      <w:r w:rsidR="00C9115F">
        <w:t xml:space="preserve">set is a five-year longitudinal study of individuals’ experience of working life and the labour contract. It spans the period 2007 to 2011, and began with an initial survey of 8641 individuals. In Wave 5, there were 6080 individuals. </w:t>
      </w:r>
    </w:p>
    <w:p w:rsidR="00C9115F" w:rsidRDefault="00C9115F" w:rsidP="00C9115F">
      <w:pPr>
        <w:pStyle w:val="Text"/>
      </w:pPr>
      <w:r>
        <w:t>In our interviews, individuals were asked to discuss in detail their employment and st</w:t>
      </w:r>
      <w:r w:rsidR="00BA71F6">
        <w:t>udy history, career progression</w:t>
      </w:r>
      <w:r>
        <w:t xml:space="preserve"> and</w:t>
      </w:r>
      <w:r w:rsidR="00BA71F6">
        <w:t>,</w:t>
      </w:r>
      <w:r>
        <w:t xml:space="preserve"> in particular, the reasons behind their m</w:t>
      </w:r>
      <w:r w:rsidR="00BA71F6">
        <w:t>ovements. Interviews were audio-</w:t>
      </w:r>
      <w:r>
        <w:t>recorded and confidentially transcribed. As part of the qualitative analysis, we have presented anonymous</w:t>
      </w:r>
      <w:r w:rsidR="005E42BB">
        <w:t xml:space="preserve"> quotes throughout this paper, where</w:t>
      </w:r>
      <w:r>
        <w:t xml:space="preserve"> appropriate.</w:t>
      </w:r>
    </w:p>
    <w:p w:rsidR="00C9115F" w:rsidRDefault="00C9115F" w:rsidP="00C9115F">
      <w:pPr>
        <w:pStyle w:val="Text"/>
      </w:pPr>
      <w:r w:rsidRPr="00C20B84">
        <w:t>We have framed the qualitative analysis of this paper around the four (not mutually exclusive) categories derived in the first paper:</w:t>
      </w:r>
    </w:p>
    <w:p w:rsidR="00C9115F" w:rsidRDefault="00BA71F6" w:rsidP="00C9115F">
      <w:pPr>
        <w:pStyle w:val="Dotpoint1"/>
      </w:pPr>
      <w:r>
        <w:t>occupational stasis</w:t>
      </w:r>
    </w:p>
    <w:p w:rsidR="00C9115F" w:rsidRDefault="00BA71F6" w:rsidP="00C9115F">
      <w:pPr>
        <w:pStyle w:val="Dotpoint1"/>
      </w:pPr>
      <w:r>
        <w:t>high-skill trajectories</w:t>
      </w:r>
    </w:p>
    <w:p w:rsidR="001C7644" w:rsidRDefault="001C7644">
      <w:pPr>
        <w:spacing w:before="0" w:line="240" w:lineRule="auto"/>
        <w:rPr>
          <w:color w:val="000000"/>
        </w:rPr>
      </w:pPr>
      <w:r>
        <w:br w:type="page"/>
      </w:r>
    </w:p>
    <w:p w:rsidR="00C9115F" w:rsidRDefault="00BA71F6" w:rsidP="001C7644">
      <w:pPr>
        <w:pStyle w:val="Dotpoint1"/>
      </w:pPr>
      <w:r>
        <w:lastRenderedPageBreak/>
        <w:t>low-skill trajectories</w:t>
      </w:r>
    </w:p>
    <w:p w:rsidR="00C9115F" w:rsidRDefault="00BA71F6" w:rsidP="00C9115F">
      <w:pPr>
        <w:pStyle w:val="Dotpoint1"/>
      </w:pPr>
      <w:r>
        <w:t>marginal attachment.</w:t>
      </w:r>
    </w:p>
    <w:p w:rsidR="00C9115F" w:rsidRDefault="00C9115F" w:rsidP="00C9115F">
      <w:pPr>
        <w:pStyle w:val="Text"/>
      </w:pPr>
      <w:r w:rsidRPr="00C20B84">
        <w:t>The interviews bore out a much more nuanced understanding of these categories.</w:t>
      </w:r>
    </w:p>
    <w:p w:rsidR="00C9115F" w:rsidRDefault="00C9115F" w:rsidP="00C9115F">
      <w:pPr>
        <w:pStyle w:val="Heading1"/>
      </w:pPr>
      <w:r>
        <w:br w:type="page"/>
      </w:r>
      <w:bookmarkStart w:id="45" w:name="_Toc194643906"/>
      <w:bookmarkStart w:id="46" w:name="_Toc335752934"/>
      <w:r w:rsidRPr="00C20B84">
        <w:lastRenderedPageBreak/>
        <w:t>Results and discussion</w:t>
      </w:r>
      <w:bookmarkEnd w:id="45"/>
      <w:bookmarkEnd w:id="46"/>
    </w:p>
    <w:p w:rsidR="00C9115F" w:rsidRDefault="00C9115F" w:rsidP="00C9115F">
      <w:pPr>
        <w:pStyle w:val="Text"/>
      </w:pPr>
      <w:r>
        <w:t xml:space="preserve">The interviews in this section investigate, from the perspective of the worker, how businesses and institutions conduct themselves in engaging workers, developing skills and promoting career opportunities. </w:t>
      </w:r>
      <w:r w:rsidR="005E42BB">
        <w:t>They show</w:t>
      </w:r>
      <w:r>
        <w:t xml:space="preserve"> clearly that</w:t>
      </w:r>
      <w:r w:rsidR="005E42BB">
        <w:t>,</w:t>
      </w:r>
      <w:r>
        <w:t xml:space="preserve"> not only are complex family, workplace and economic preconditions necessary to access vocational pathways, but that these preconditions vary from stream to stream. </w:t>
      </w:r>
    </w:p>
    <w:p w:rsidR="00C9115F" w:rsidRDefault="00C9115F" w:rsidP="00C9115F">
      <w:pPr>
        <w:pStyle w:val="Text"/>
      </w:pPr>
      <w:r>
        <w:t xml:space="preserve">Given the small sample, we did not expect to fully explore the complex social issues arising from </w:t>
      </w:r>
      <w:r w:rsidR="00BA71F6">
        <w:t>p</w:t>
      </w:r>
      <w:r>
        <w:t>hase 1 of the research, nor make generalisations about the experiences of the workforce as a whole.</w:t>
      </w:r>
      <w:r w:rsidR="00B6039E">
        <w:t xml:space="preserve"> </w:t>
      </w:r>
      <w:r>
        <w:t>This research does however add useful insights</w:t>
      </w:r>
      <w:r w:rsidR="00BA71F6">
        <w:t xml:space="preserve"> into the quantitative analysis</w:t>
      </w:r>
      <w:r>
        <w:t xml:space="preserve"> and provide a small </w:t>
      </w:r>
      <w:r w:rsidR="00AC7C04">
        <w:t>window</w:t>
      </w:r>
      <w:r>
        <w:t xml:space="preserve"> into the career and life course experiences of those in the four industry case studies.</w:t>
      </w:r>
    </w:p>
    <w:p w:rsidR="00C9115F" w:rsidRDefault="00DD44AC" w:rsidP="00C9115F">
      <w:pPr>
        <w:pStyle w:val="Heading2"/>
      </w:pPr>
      <w:bookmarkStart w:id="47" w:name="_Toc194643907"/>
      <w:bookmarkStart w:id="48" w:name="_Toc335752935"/>
      <w:r>
        <w:t>Primary i</w:t>
      </w:r>
      <w:r w:rsidR="00C9115F" w:rsidRPr="00C20B84">
        <w:t>ndustry</w:t>
      </w:r>
      <w:bookmarkEnd w:id="47"/>
      <w:bookmarkEnd w:id="48"/>
    </w:p>
    <w:p w:rsidR="00C9115F" w:rsidRDefault="00C9115F" w:rsidP="001C7644">
      <w:pPr>
        <w:pStyle w:val="Text"/>
        <w:ind w:right="-143"/>
      </w:pPr>
      <w:r w:rsidRPr="00C20B84">
        <w:t>Our quantitative analysis of 691 individuals working in the primary industries at some point between 2001 and 2009 found that the most dominant patterns of mobility (or lack thereof) were the occupati</w:t>
      </w:r>
      <w:r w:rsidR="00AC7C04">
        <w:t>onal stability of farm managers</w:t>
      </w:r>
      <w:r w:rsidRPr="00C20B84">
        <w:t xml:space="preserve"> and the high turnover of those working in man</w:t>
      </w:r>
      <w:r w:rsidR="00BA71F6">
        <w:t>ual roles (Yu et</w:t>
      </w:r>
      <w:r w:rsidR="001C7644">
        <w:t> </w:t>
      </w:r>
      <w:r w:rsidR="00BA71F6">
        <w:t>al. 2012</w:t>
      </w:r>
      <w:r w:rsidRPr="00C20B84">
        <w:t>). Th</w:t>
      </w:r>
      <w:r w:rsidR="00BA71F6">
        <w:t>ese patterns are replicated in f</w:t>
      </w:r>
      <w:r w:rsidRPr="00C20B84">
        <w:t>i</w:t>
      </w:r>
      <w:r w:rsidR="00BA71F6">
        <w:t>gure 2</w:t>
      </w:r>
      <w:r w:rsidRPr="00C20B84">
        <w:t>, which shows sequence plots of these individuals (with respect to their occupational movement) over nine years. Here each horizontal line represents the traje</w:t>
      </w:r>
      <w:r w:rsidR="00AC7C04">
        <w:t>ctory of one individual, colour-</w:t>
      </w:r>
      <w:r w:rsidRPr="00C20B84">
        <w:t>coded to reflect different state</w:t>
      </w:r>
      <w:r w:rsidR="00AC7C04">
        <w:t>s of study, labour force status</w:t>
      </w:r>
      <w:r w:rsidRPr="00C20B84">
        <w:t xml:space="preserve"> and occupation. These two</w:t>
      </w:r>
      <w:r w:rsidR="00BA71F6">
        <w:t xml:space="preserve"> groups accounted for 62%</w:t>
      </w:r>
      <w:r w:rsidRPr="00C20B84">
        <w:t xml:space="preserve"> of our sample within primary industries.</w:t>
      </w:r>
    </w:p>
    <w:p w:rsidR="00C9115F" w:rsidRDefault="00C9115F" w:rsidP="00C9115F">
      <w:pPr>
        <w:pStyle w:val="Figuretitle"/>
      </w:pPr>
      <w:bookmarkStart w:id="49" w:name="_Toc335753098"/>
      <w:r>
        <w:t>Figure 2</w:t>
      </w:r>
      <w:r>
        <w:tab/>
      </w:r>
      <w:r w:rsidRPr="00C20B84">
        <w:t>Key clusters in primary industry</w:t>
      </w:r>
      <w:bookmarkEnd w:id="49"/>
    </w:p>
    <w:p w:rsidR="00C9115F" w:rsidRDefault="001C7644" w:rsidP="009415BE">
      <w:pPr>
        <w:pStyle w:val="Tablehead1"/>
        <w:tabs>
          <w:tab w:val="left" w:pos="3459"/>
          <w:tab w:val="left" w:pos="6124"/>
        </w:tabs>
        <w:spacing w:before="160" w:after="40"/>
      </w:pPr>
      <w:r>
        <w:tab/>
      </w:r>
      <w:r w:rsidR="00DD44AC">
        <w:t>Farm managers</w:t>
      </w:r>
      <w:r w:rsidR="00DD44AC">
        <w:tab/>
        <w:t>High turnover</w:t>
      </w:r>
      <w:r w:rsidR="00C9115F">
        <w:t xml:space="preserve"> manual roles</w:t>
      </w:r>
    </w:p>
    <w:p w:rsidR="00C9115F" w:rsidRPr="00C20B84" w:rsidRDefault="007C368E" w:rsidP="00C9115F">
      <w:pPr>
        <w:pStyle w:val="Text"/>
        <w:spacing w:line="240" w:lineRule="auto"/>
        <w:ind w:right="0"/>
      </w:pPr>
      <w:r>
        <w:rPr>
          <w:noProof/>
          <w:lang w:eastAsia="en-AU"/>
        </w:rPr>
        <w:drawing>
          <wp:inline distT="0" distB="0" distL="0" distR="0">
            <wp:extent cx="1938020" cy="2054225"/>
            <wp:effectExtent l="19050" t="0" r="5080" b="0"/>
            <wp:docPr id="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srcRect/>
                    <a:stretch>
                      <a:fillRect/>
                    </a:stretch>
                  </pic:blipFill>
                  <pic:spPr bwMode="auto">
                    <a:xfrm>
                      <a:off x="0" y="0"/>
                      <a:ext cx="1938020" cy="2054225"/>
                    </a:xfrm>
                    <a:prstGeom prst="rect">
                      <a:avLst/>
                    </a:prstGeom>
                    <a:noFill/>
                    <a:ln w="9525">
                      <a:noFill/>
                      <a:miter lim="800000"/>
                      <a:headEnd/>
                      <a:tailEnd/>
                    </a:ln>
                  </pic:spPr>
                </pic:pic>
              </a:graphicData>
            </a:graphic>
          </wp:inline>
        </w:drawing>
      </w:r>
      <w:r>
        <w:rPr>
          <w:noProof/>
          <w:lang w:eastAsia="en-AU"/>
        </w:rPr>
        <w:drawing>
          <wp:inline distT="0" distB="0" distL="0" distR="0">
            <wp:extent cx="1692275" cy="2081530"/>
            <wp:effectExtent l="19050" t="0" r="317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srcRect/>
                    <a:stretch>
                      <a:fillRect/>
                    </a:stretch>
                  </pic:blipFill>
                  <pic:spPr bwMode="auto">
                    <a:xfrm>
                      <a:off x="0" y="0"/>
                      <a:ext cx="1692275" cy="2081530"/>
                    </a:xfrm>
                    <a:prstGeom prst="rect">
                      <a:avLst/>
                    </a:prstGeom>
                    <a:noFill/>
                    <a:ln w="9525">
                      <a:noFill/>
                      <a:miter lim="800000"/>
                      <a:headEnd/>
                      <a:tailEnd/>
                    </a:ln>
                  </pic:spPr>
                </pic:pic>
              </a:graphicData>
            </a:graphic>
          </wp:inline>
        </w:drawing>
      </w:r>
      <w:r>
        <w:rPr>
          <w:noProof/>
          <w:lang w:eastAsia="en-AU"/>
        </w:rPr>
        <w:drawing>
          <wp:inline distT="0" distB="0" distL="0" distR="0">
            <wp:extent cx="1664970" cy="2060575"/>
            <wp:effectExtent l="19050" t="0" r="0" b="0"/>
            <wp:docPr id="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srcRect/>
                    <a:stretch>
                      <a:fillRect/>
                    </a:stretch>
                  </pic:blipFill>
                  <pic:spPr bwMode="auto">
                    <a:xfrm>
                      <a:off x="0" y="0"/>
                      <a:ext cx="1664970" cy="2060575"/>
                    </a:xfrm>
                    <a:prstGeom prst="rect">
                      <a:avLst/>
                    </a:prstGeom>
                    <a:noFill/>
                    <a:ln w="9525">
                      <a:noFill/>
                      <a:miter lim="800000"/>
                      <a:headEnd/>
                      <a:tailEnd/>
                    </a:ln>
                  </pic:spPr>
                </pic:pic>
              </a:graphicData>
            </a:graphic>
          </wp:inline>
        </w:drawing>
      </w:r>
    </w:p>
    <w:p w:rsidR="00C9115F" w:rsidRDefault="00C9115F" w:rsidP="001C7644">
      <w:pPr>
        <w:pStyle w:val="Textmorebefore"/>
      </w:pPr>
      <w:r w:rsidRPr="00EE01C9">
        <w:t xml:space="preserve">In this </w:t>
      </w:r>
      <w:r w:rsidR="00DD44AC">
        <w:t>report</w:t>
      </w:r>
      <w:r w:rsidRPr="00EE01C9">
        <w:t>, this analysis is extended through eight detailed interviews</w:t>
      </w:r>
      <w:r w:rsidR="00AC7C04">
        <w:t>,</w:t>
      </w:r>
      <w:r w:rsidRPr="00EE01C9">
        <w:t xml:space="preserve"> with the purpose of better understanding the motivations or circumstances responsible for career and labour market movements. These eight individuals are currently working in the agricultural industries, ranging from labourers</w:t>
      </w:r>
      <w:r w:rsidR="00BA71F6">
        <w:t>,</w:t>
      </w:r>
      <w:r w:rsidRPr="00EE01C9">
        <w:t xml:space="preserve"> to technicians and farm managers. A brief profile of t</w:t>
      </w:r>
      <w:r w:rsidR="00BA71F6">
        <w:t>he interviewees is provided in t</w:t>
      </w:r>
      <w:r w:rsidRPr="00EE01C9">
        <w:t>able 1.</w:t>
      </w:r>
    </w:p>
    <w:p w:rsidR="00C9115F" w:rsidRDefault="00C9115F" w:rsidP="00C9115F">
      <w:pPr>
        <w:pStyle w:val="tabletitle"/>
      </w:pPr>
      <w:r>
        <w:br w:type="page"/>
      </w:r>
      <w:bookmarkStart w:id="50" w:name="_Toc194649997"/>
      <w:bookmarkStart w:id="51" w:name="_Toc335752990"/>
      <w:r>
        <w:lastRenderedPageBreak/>
        <w:t>Table 1</w:t>
      </w:r>
      <w:r>
        <w:tab/>
      </w:r>
      <w:r w:rsidRPr="00EE01C9">
        <w:t>Profile of interviewees, primary industry</w:t>
      </w:r>
      <w:bookmarkEnd w:id="50"/>
      <w:bookmarkEnd w:id="51"/>
    </w:p>
    <w:tbl>
      <w:tblPr>
        <w:tblW w:w="8789" w:type="dxa"/>
        <w:tblInd w:w="108" w:type="dxa"/>
        <w:tblLayout w:type="fixed"/>
        <w:tblLook w:val="04A0"/>
      </w:tblPr>
      <w:tblGrid>
        <w:gridCol w:w="2821"/>
        <w:gridCol w:w="1432"/>
        <w:gridCol w:w="1646"/>
        <w:gridCol w:w="2890"/>
      </w:tblGrid>
      <w:tr w:rsidR="00C9115F" w:rsidRPr="00D61DA9" w:rsidTr="00E53D60">
        <w:tc>
          <w:tcPr>
            <w:tcW w:w="2821" w:type="dxa"/>
            <w:tcBorders>
              <w:top w:val="single" w:sz="4" w:space="0" w:color="auto"/>
              <w:bottom w:val="single" w:sz="4" w:space="0" w:color="auto"/>
            </w:tcBorders>
          </w:tcPr>
          <w:p w:rsidR="00C9115F" w:rsidRPr="00C76089" w:rsidRDefault="00C9115F" w:rsidP="00084229">
            <w:pPr>
              <w:pStyle w:val="Tablehead1"/>
            </w:pPr>
            <w:r w:rsidRPr="00C76089">
              <w:t>Occupation</w:t>
            </w:r>
          </w:p>
        </w:tc>
        <w:tc>
          <w:tcPr>
            <w:tcW w:w="1432" w:type="dxa"/>
            <w:tcBorders>
              <w:top w:val="single" w:sz="4" w:space="0" w:color="auto"/>
              <w:bottom w:val="single" w:sz="4" w:space="0" w:color="auto"/>
            </w:tcBorders>
          </w:tcPr>
          <w:p w:rsidR="00C9115F" w:rsidRPr="00C76089" w:rsidRDefault="00C9115F" w:rsidP="00084229">
            <w:pPr>
              <w:pStyle w:val="Tablehead1"/>
            </w:pPr>
            <w:r w:rsidRPr="00C76089">
              <w:t>Age</w:t>
            </w:r>
          </w:p>
        </w:tc>
        <w:tc>
          <w:tcPr>
            <w:tcW w:w="1646" w:type="dxa"/>
            <w:tcBorders>
              <w:top w:val="single" w:sz="4" w:space="0" w:color="auto"/>
              <w:bottom w:val="single" w:sz="4" w:space="0" w:color="auto"/>
            </w:tcBorders>
          </w:tcPr>
          <w:p w:rsidR="00C9115F" w:rsidRPr="00C76089" w:rsidRDefault="00C9115F" w:rsidP="00084229">
            <w:pPr>
              <w:pStyle w:val="Tablehead1"/>
            </w:pPr>
            <w:r w:rsidRPr="00C76089">
              <w:t>Gender</w:t>
            </w:r>
          </w:p>
        </w:tc>
        <w:tc>
          <w:tcPr>
            <w:tcW w:w="2890" w:type="dxa"/>
            <w:tcBorders>
              <w:top w:val="single" w:sz="4" w:space="0" w:color="auto"/>
              <w:bottom w:val="single" w:sz="4" w:space="0" w:color="auto"/>
            </w:tcBorders>
          </w:tcPr>
          <w:p w:rsidR="00C9115F" w:rsidRPr="00C76089" w:rsidRDefault="00C9115F" w:rsidP="00084229">
            <w:pPr>
              <w:pStyle w:val="Tablehead1"/>
            </w:pPr>
            <w:r w:rsidRPr="00C76089">
              <w:t>Qualifications</w:t>
            </w:r>
          </w:p>
        </w:tc>
      </w:tr>
      <w:tr w:rsidR="00C9115F" w:rsidRPr="00D61DA9" w:rsidTr="00E53D60">
        <w:tc>
          <w:tcPr>
            <w:tcW w:w="2821" w:type="dxa"/>
            <w:tcBorders>
              <w:top w:val="single" w:sz="4" w:space="0" w:color="auto"/>
            </w:tcBorders>
          </w:tcPr>
          <w:p w:rsidR="00C9115F" w:rsidRPr="00C76089" w:rsidRDefault="00C9115F" w:rsidP="00084229">
            <w:pPr>
              <w:pStyle w:val="Tabletext"/>
            </w:pPr>
            <w:r w:rsidRPr="00C76089">
              <w:t>Vineyard hand</w:t>
            </w:r>
          </w:p>
        </w:tc>
        <w:tc>
          <w:tcPr>
            <w:tcW w:w="1432" w:type="dxa"/>
            <w:tcBorders>
              <w:top w:val="single" w:sz="4" w:space="0" w:color="auto"/>
            </w:tcBorders>
          </w:tcPr>
          <w:p w:rsidR="00C9115F" w:rsidRPr="00C76089" w:rsidRDefault="00C9115F" w:rsidP="00084229">
            <w:pPr>
              <w:pStyle w:val="Tabletext"/>
            </w:pPr>
            <w:r w:rsidRPr="00C76089">
              <w:t>45</w:t>
            </w:r>
          </w:p>
        </w:tc>
        <w:tc>
          <w:tcPr>
            <w:tcW w:w="1646" w:type="dxa"/>
            <w:tcBorders>
              <w:top w:val="single" w:sz="4" w:space="0" w:color="auto"/>
            </w:tcBorders>
          </w:tcPr>
          <w:p w:rsidR="00C9115F" w:rsidRPr="00C76089" w:rsidRDefault="00C9115F" w:rsidP="00084229">
            <w:pPr>
              <w:pStyle w:val="Tabletext"/>
            </w:pPr>
            <w:r w:rsidRPr="00C76089">
              <w:t>Female</w:t>
            </w:r>
          </w:p>
        </w:tc>
        <w:tc>
          <w:tcPr>
            <w:tcW w:w="2890" w:type="dxa"/>
            <w:tcBorders>
              <w:top w:val="single" w:sz="4" w:space="0" w:color="auto"/>
            </w:tcBorders>
          </w:tcPr>
          <w:p w:rsidR="00C9115F" w:rsidRPr="00C76089" w:rsidRDefault="00C9115F" w:rsidP="00084229">
            <w:pPr>
              <w:pStyle w:val="Tabletext"/>
            </w:pPr>
            <w:r w:rsidRPr="00C76089">
              <w:t>Year 9 secondary school</w:t>
            </w:r>
          </w:p>
        </w:tc>
      </w:tr>
      <w:tr w:rsidR="00C9115F" w:rsidRPr="00D61DA9" w:rsidTr="00E53D60">
        <w:tc>
          <w:tcPr>
            <w:tcW w:w="2821" w:type="dxa"/>
          </w:tcPr>
          <w:p w:rsidR="00C9115F" w:rsidRPr="00C76089" w:rsidRDefault="00C9115F" w:rsidP="00084229">
            <w:pPr>
              <w:pStyle w:val="Tabletext"/>
            </w:pPr>
            <w:r w:rsidRPr="00C76089">
              <w:t>Farm hand</w:t>
            </w:r>
          </w:p>
        </w:tc>
        <w:tc>
          <w:tcPr>
            <w:tcW w:w="1432" w:type="dxa"/>
          </w:tcPr>
          <w:p w:rsidR="00C9115F" w:rsidRPr="00C76089" w:rsidRDefault="00C9115F" w:rsidP="00084229">
            <w:pPr>
              <w:pStyle w:val="Tabletext"/>
            </w:pPr>
            <w:r w:rsidRPr="00C76089">
              <w:t>52</w:t>
            </w:r>
          </w:p>
        </w:tc>
        <w:tc>
          <w:tcPr>
            <w:tcW w:w="1646" w:type="dxa"/>
          </w:tcPr>
          <w:p w:rsidR="00C9115F" w:rsidRPr="00C76089" w:rsidRDefault="00C9115F" w:rsidP="00084229">
            <w:pPr>
              <w:pStyle w:val="Tabletext"/>
            </w:pPr>
            <w:r w:rsidRPr="00C76089">
              <w:t>Male</w:t>
            </w:r>
          </w:p>
        </w:tc>
        <w:tc>
          <w:tcPr>
            <w:tcW w:w="2890" w:type="dxa"/>
          </w:tcPr>
          <w:p w:rsidR="00C9115F" w:rsidRPr="00C76089" w:rsidRDefault="00C9115F" w:rsidP="00084229">
            <w:pPr>
              <w:pStyle w:val="Tabletext"/>
            </w:pPr>
            <w:r w:rsidRPr="00C76089">
              <w:t>Year 10 secondary school</w:t>
            </w:r>
          </w:p>
        </w:tc>
      </w:tr>
      <w:tr w:rsidR="00C9115F" w:rsidRPr="00D61DA9" w:rsidTr="00E53D60">
        <w:tc>
          <w:tcPr>
            <w:tcW w:w="2821" w:type="dxa"/>
          </w:tcPr>
          <w:p w:rsidR="00C9115F" w:rsidRPr="00C76089" w:rsidRDefault="00BA71F6" w:rsidP="00084229">
            <w:pPr>
              <w:pStyle w:val="Tabletext"/>
            </w:pPr>
            <w:r>
              <w:t>Tractor o</w:t>
            </w:r>
            <w:r w:rsidR="00C9115F" w:rsidRPr="00C76089">
              <w:t>perator</w:t>
            </w:r>
          </w:p>
        </w:tc>
        <w:tc>
          <w:tcPr>
            <w:tcW w:w="1432" w:type="dxa"/>
          </w:tcPr>
          <w:p w:rsidR="00C9115F" w:rsidRPr="00C76089" w:rsidRDefault="00C9115F" w:rsidP="00084229">
            <w:pPr>
              <w:pStyle w:val="Tabletext"/>
            </w:pPr>
            <w:r w:rsidRPr="00C76089">
              <w:t>31</w:t>
            </w:r>
          </w:p>
        </w:tc>
        <w:tc>
          <w:tcPr>
            <w:tcW w:w="1646" w:type="dxa"/>
          </w:tcPr>
          <w:p w:rsidR="00C9115F" w:rsidRPr="00C76089" w:rsidRDefault="00C9115F" w:rsidP="00084229">
            <w:pPr>
              <w:pStyle w:val="Tabletext"/>
            </w:pPr>
            <w:r w:rsidRPr="00C76089">
              <w:t>Male</w:t>
            </w:r>
          </w:p>
        </w:tc>
        <w:tc>
          <w:tcPr>
            <w:tcW w:w="2890" w:type="dxa"/>
          </w:tcPr>
          <w:p w:rsidR="00C9115F" w:rsidRPr="00C76089" w:rsidRDefault="00C9115F" w:rsidP="00084229">
            <w:pPr>
              <w:pStyle w:val="Tabletext"/>
            </w:pPr>
            <w:r w:rsidRPr="00C76089">
              <w:t>Welding traineeship</w:t>
            </w:r>
          </w:p>
        </w:tc>
      </w:tr>
      <w:tr w:rsidR="00C9115F" w:rsidRPr="00D61DA9" w:rsidTr="00E53D60">
        <w:tc>
          <w:tcPr>
            <w:tcW w:w="2821" w:type="dxa"/>
          </w:tcPr>
          <w:p w:rsidR="00C9115F" w:rsidRPr="00C76089" w:rsidRDefault="00C9115F" w:rsidP="00084229">
            <w:pPr>
              <w:pStyle w:val="Tabletext"/>
            </w:pPr>
            <w:r w:rsidRPr="00C76089">
              <w:t>Arboriculturist</w:t>
            </w:r>
          </w:p>
        </w:tc>
        <w:tc>
          <w:tcPr>
            <w:tcW w:w="1432" w:type="dxa"/>
          </w:tcPr>
          <w:p w:rsidR="00C9115F" w:rsidRPr="00C76089" w:rsidRDefault="00C9115F" w:rsidP="00084229">
            <w:pPr>
              <w:pStyle w:val="Tabletext"/>
            </w:pPr>
            <w:r w:rsidRPr="00C76089">
              <w:t>24</w:t>
            </w:r>
          </w:p>
        </w:tc>
        <w:tc>
          <w:tcPr>
            <w:tcW w:w="1646" w:type="dxa"/>
          </w:tcPr>
          <w:p w:rsidR="00C9115F" w:rsidRPr="00C76089" w:rsidRDefault="00C9115F" w:rsidP="00084229">
            <w:pPr>
              <w:pStyle w:val="Tabletext"/>
            </w:pPr>
            <w:r w:rsidRPr="00C76089">
              <w:t>Male</w:t>
            </w:r>
          </w:p>
        </w:tc>
        <w:tc>
          <w:tcPr>
            <w:tcW w:w="2890" w:type="dxa"/>
          </w:tcPr>
          <w:p w:rsidR="00C9115F" w:rsidRPr="00C76089" w:rsidRDefault="00C9115F" w:rsidP="00084229">
            <w:pPr>
              <w:pStyle w:val="Tabletext"/>
            </w:pPr>
            <w:r w:rsidRPr="00C76089">
              <w:t>Certificate III (Horticulture)</w:t>
            </w:r>
          </w:p>
        </w:tc>
      </w:tr>
      <w:tr w:rsidR="00C9115F" w:rsidRPr="00D61DA9" w:rsidTr="00E53D60">
        <w:tc>
          <w:tcPr>
            <w:tcW w:w="2821" w:type="dxa"/>
          </w:tcPr>
          <w:p w:rsidR="00C9115F" w:rsidRPr="00C76089" w:rsidRDefault="00C9115F" w:rsidP="00084229">
            <w:pPr>
              <w:pStyle w:val="Tabletext"/>
            </w:pPr>
            <w:r w:rsidRPr="00C76089">
              <w:t>Agricultural technician</w:t>
            </w:r>
          </w:p>
        </w:tc>
        <w:tc>
          <w:tcPr>
            <w:tcW w:w="1432" w:type="dxa"/>
          </w:tcPr>
          <w:p w:rsidR="00C9115F" w:rsidRPr="00C76089" w:rsidRDefault="00C9115F" w:rsidP="00084229">
            <w:pPr>
              <w:pStyle w:val="Tabletext"/>
            </w:pPr>
            <w:r w:rsidRPr="00C76089">
              <w:t>45</w:t>
            </w:r>
          </w:p>
        </w:tc>
        <w:tc>
          <w:tcPr>
            <w:tcW w:w="1646" w:type="dxa"/>
          </w:tcPr>
          <w:p w:rsidR="00C9115F" w:rsidRPr="00C76089" w:rsidRDefault="00C9115F" w:rsidP="00084229">
            <w:pPr>
              <w:pStyle w:val="Tabletext"/>
            </w:pPr>
            <w:r w:rsidRPr="00C76089">
              <w:t>Male</w:t>
            </w:r>
          </w:p>
        </w:tc>
        <w:tc>
          <w:tcPr>
            <w:tcW w:w="2890" w:type="dxa"/>
          </w:tcPr>
          <w:p w:rsidR="00C9115F" w:rsidRPr="00C76089" w:rsidRDefault="00C9115F" w:rsidP="00084229">
            <w:pPr>
              <w:pStyle w:val="Tabletext"/>
            </w:pPr>
            <w:r w:rsidRPr="00C76089">
              <w:t>Electrical Distribution Powerline apprenticeship</w:t>
            </w:r>
          </w:p>
        </w:tc>
      </w:tr>
      <w:tr w:rsidR="00C9115F" w:rsidRPr="00D61DA9" w:rsidTr="00E53D60">
        <w:tc>
          <w:tcPr>
            <w:tcW w:w="2821" w:type="dxa"/>
          </w:tcPr>
          <w:p w:rsidR="00C9115F" w:rsidRPr="00C76089" w:rsidRDefault="00C9115F" w:rsidP="00084229">
            <w:pPr>
              <w:pStyle w:val="Tabletext"/>
            </w:pPr>
            <w:r w:rsidRPr="00C76089">
              <w:t>Dairy farmer</w:t>
            </w:r>
          </w:p>
        </w:tc>
        <w:tc>
          <w:tcPr>
            <w:tcW w:w="1432" w:type="dxa"/>
          </w:tcPr>
          <w:p w:rsidR="00C9115F" w:rsidRPr="00C76089" w:rsidRDefault="00C9115F" w:rsidP="00084229">
            <w:pPr>
              <w:pStyle w:val="Tabletext"/>
            </w:pPr>
            <w:r w:rsidRPr="00C76089">
              <w:t>42</w:t>
            </w:r>
          </w:p>
        </w:tc>
        <w:tc>
          <w:tcPr>
            <w:tcW w:w="1646" w:type="dxa"/>
          </w:tcPr>
          <w:p w:rsidR="00C9115F" w:rsidRPr="00C76089" w:rsidRDefault="00C9115F" w:rsidP="00084229">
            <w:pPr>
              <w:pStyle w:val="Tabletext"/>
            </w:pPr>
            <w:r w:rsidRPr="00C76089">
              <w:t>Male</w:t>
            </w:r>
          </w:p>
        </w:tc>
        <w:tc>
          <w:tcPr>
            <w:tcW w:w="2890" w:type="dxa"/>
          </w:tcPr>
          <w:p w:rsidR="00C9115F" w:rsidRPr="00C76089" w:rsidRDefault="00C9115F" w:rsidP="00084229">
            <w:pPr>
              <w:pStyle w:val="Tabletext"/>
            </w:pPr>
            <w:r w:rsidRPr="00C76089">
              <w:t>Fitter/turner apprenticeship; Advanced Diploma of Agriculture</w:t>
            </w:r>
          </w:p>
        </w:tc>
      </w:tr>
      <w:tr w:rsidR="00C9115F" w:rsidRPr="00D61DA9" w:rsidTr="00E53D60">
        <w:tc>
          <w:tcPr>
            <w:tcW w:w="2821" w:type="dxa"/>
          </w:tcPr>
          <w:p w:rsidR="00C9115F" w:rsidRPr="00C76089" w:rsidRDefault="005C7FA8" w:rsidP="00084229">
            <w:pPr>
              <w:pStyle w:val="Tabletext"/>
            </w:pPr>
            <w:r>
              <w:t>Mixed crop/</w:t>
            </w:r>
            <w:r w:rsidR="00C9115F" w:rsidRPr="00C76089">
              <w:t>sheep farmer</w:t>
            </w:r>
          </w:p>
        </w:tc>
        <w:tc>
          <w:tcPr>
            <w:tcW w:w="1432" w:type="dxa"/>
          </w:tcPr>
          <w:p w:rsidR="00C9115F" w:rsidRPr="00C76089" w:rsidRDefault="00C9115F" w:rsidP="00084229">
            <w:pPr>
              <w:pStyle w:val="Tabletext"/>
            </w:pPr>
            <w:r w:rsidRPr="00C76089">
              <w:t>48</w:t>
            </w:r>
          </w:p>
        </w:tc>
        <w:tc>
          <w:tcPr>
            <w:tcW w:w="1646" w:type="dxa"/>
          </w:tcPr>
          <w:p w:rsidR="00C9115F" w:rsidRPr="00C76089" w:rsidRDefault="00C9115F" w:rsidP="00084229">
            <w:pPr>
              <w:pStyle w:val="Tabletext"/>
            </w:pPr>
            <w:r w:rsidRPr="00C76089">
              <w:t>Male</w:t>
            </w:r>
          </w:p>
        </w:tc>
        <w:tc>
          <w:tcPr>
            <w:tcW w:w="2890" w:type="dxa"/>
          </w:tcPr>
          <w:p w:rsidR="00C9115F" w:rsidRPr="00C76089" w:rsidRDefault="00C9115F" w:rsidP="0045161B">
            <w:pPr>
              <w:pStyle w:val="Tabletext"/>
            </w:pPr>
            <w:r w:rsidRPr="00C76089">
              <w:t>Year 10 secondary school plus 2</w:t>
            </w:r>
            <w:r w:rsidR="0045161B">
              <w:t> </w:t>
            </w:r>
            <w:r w:rsidRPr="00C76089">
              <w:t>years at agricultural college</w:t>
            </w:r>
          </w:p>
        </w:tc>
      </w:tr>
      <w:tr w:rsidR="00C9115F" w:rsidRPr="00D61DA9" w:rsidTr="00E53D60">
        <w:tc>
          <w:tcPr>
            <w:tcW w:w="2821" w:type="dxa"/>
            <w:tcBorders>
              <w:bottom w:val="single" w:sz="4" w:space="0" w:color="auto"/>
            </w:tcBorders>
          </w:tcPr>
          <w:p w:rsidR="00C9115F" w:rsidRPr="00C76089" w:rsidRDefault="005C7FA8" w:rsidP="00084229">
            <w:pPr>
              <w:pStyle w:val="Tabletext"/>
            </w:pPr>
            <w:r>
              <w:t>Mixed crop/</w:t>
            </w:r>
            <w:r w:rsidR="00C9115F" w:rsidRPr="00C76089">
              <w:t>cattle farmer</w:t>
            </w:r>
          </w:p>
        </w:tc>
        <w:tc>
          <w:tcPr>
            <w:tcW w:w="1432" w:type="dxa"/>
            <w:tcBorders>
              <w:bottom w:val="single" w:sz="4" w:space="0" w:color="auto"/>
            </w:tcBorders>
          </w:tcPr>
          <w:p w:rsidR="00C9115F" w:rsidRPr="00C76089" w:rsidRDefault="00C9115F" w:rsidP="00084229">
            <w:pPr>
              <w:pStyle w:val="Tabletext"/>
            </w:pPr>
            <w:r w:rsidRPr="00C76089">
              <w:t>37</w:t>
            </w:r>
          </w:p>
        </w:tc>
        <w:tc>
          <w:tcPr>
            <w:tcW w:w="1646" w:type="dxa"/>
            <w:tcBorders>
              <w:bottom w:val="single" w:sz="4" w:space="0" w:color="auto"/>
            </w:tcBorders>
          </w:tcPr>
          <w:p w:rsidR="00C9115F" w:rsidRPr="00C76089" w:rsidRDefault="00C9115F" w:rsidP="00084229">
            <w:pPr>
              <w:pStyle w:val="Tabletext"/>
            </w:pPr>
            <w:r w:rsidRPr="00C76089">
              <w:t>Male</w:t>
            </w:r>
          </w:p>
        </w:tc>
        <w:tc>
          <w:tcPr>
            <w:tcW w:w="2890" w:type="dxa"/>
            <w:tcBorders>
              <w:bottom w:val="single" w:sz="4" w:space="0" w:color="auto"/>
            </w:tcBorders>
          </w:tcPr>
          <w:p w:rsidR="00C9115F" w:rsidRPr="00C76089" w:rsidRDefault="00C9115F" w:rsidP="00084229">
            <w:pPr>
              <w:pStyle w:val="Tabletext"/>
            </w:pPr>
            <w:r w:rsidRPr="00C76089">
              <w:t>Diesel mechanic apprenticeship</w:t>
            </w:r>
          </w:p>
        </w:tc>
      </w:tr>
    </w:tbl>
    <w:p w:rsidR="00C9115F" w:rsidRDefault="00C9115F" w:rsidP="00E53D60">
      <w:pPr>
        <w:pStyle w:val="Textmorebefore"/>
      </w:pPr>
      <w:r w:rsidRPr="00EE01C9">
        <w:t>The interviews cast a spotlight on several elements of the framework developed in the qua</w:t>
      </w:r>
      <w:r w:rsidR="005C7FA8">
        <w:t>ntitative phase of our research and</w:t>
      </w:r>
      <w:r w:rsidRPr="00EE01C9">
        <w:t xml:space="preserve"> which were particularly apparent in the primary industries. These are summarised below:</w:t>
      </w:r>
    </w:p>
    <w:p w:rsidR="00C9115F" w:rsidRPr="00E53D60" w:rsidRDefault="00C9115F" w:rsidP="00E53D60">
      <w:pPr>
        <w:pStyle w:val="Text"/>
        <w:ind w:left="284" w:right="0"/>
        <w:rPr>
          <w:i/>
        </w:rPr>
      </w:pPr>
      <w:r w:rsidRPr="00E53D60">
        <w:rPr>
          <w:i/>
        </w:rPr>
        <w:t>Pathways of learning and skill formation are fluid and largely informal. On-the-job learning is the most highly valued way of delivering training.</w:t>
      </w:r>
    </w:p>
    <w:p w:rsidR="00C9115F" w:rsidRDefault="00C9115F" w:rsidP="00C9115F">
      <w:pPr>
        <w:pStyle w:val="Text"/>
      </w:pPr>
      <w:r w:rsidRPr="007521C8">
        <w:t xml:space="preserve">When asked about available career paths, all interviewees noted that there are few formal barriers to learning. Most </w:t>
      </w:r>
      <w:r w:rsidR="00577AA0">
        <w:t xml:space="preserve">skills can be and are learnt on the </w:t>
      </w:r>
      <w:r w:rsidRPr="007521C8">
        <w:t>job, and while the skills and knowledge can be substantial (and common to different streams of farming), they are not necessarily codified into formal education syllabi and outcomes. Indeed, 52</w:t>
      </w:r>
      <w:r w:rsidR="00577AA0">
        <w:t>%</w:t>
      </w:r>
      <w:r w:rsidRPr="007521C8">
        <w:t xml:space="preserve"> of the workforce does not possess post-school q</w:t>
      </w:r>
      <w:r w:rsidR="00577AA0">
        <w:t>ualifications (Skills Australia</w:t>
      </w:r>
      <w:r w:rsidRPr="007521C8">
        <w:t xml:space="preserve"> 2010). The following excerpts were representative of this view:</w:t>
      </w:r>
    </w:p>
    <w:p w:rsidR="00C9115F" w:rsidRDefault="00C9115F" w:rsidP="00AD203F">
      <w:pPr>
        <w:pStyle w:val="Quote"/>
      </w:pPr>
      <w:r w:rsidRPr="007521C8">
        <w:t>It doesn’t matter whether you’re working around pigs, or working around cows, or working around sheep, your same basic stock handling, and stock monitoring principles are still the same</w:t>
      </w:r>
      <w:r w:rsidR="00577AA0">
        <w:t xml:space="preserve"> </w:t>
      </w:r>
      <w:r w:rsidR="00E53D60">
        <w:t>…</w:t>
      </w:r>
      <w:r w:rsidR="00577AA0">
        <w:t xml:space="preserve"> </w:t>
      </w:r>
      <w:r w:rsidRPr="007521C8">
        <w:t>You do need a basic know-how of pig anatomy, of generally being able to pick up when animals are sick, when to treat them, things like that, and a lot of that you can’t learn in the classroo</w:t>
      </w:r>
      <w:r w:rsidR="00577AA0">
        <w:t>m, you can only learn hands-on.</w:t>
      </w:r>
      <w:r w:rsidRPr="007521C8">
        <w:tab/>
        <w:t>Agricultural technician</w:t>
      </w:r>
    </w:p>
    <w:p w:rsidR="00C9115F" w:rsidRDefault="00C9115F" w:rsidP="00C9115F">
      <w:pPr>
        <w:pStyle w:val="Text"/>
      </w:pPr>
      <w:r>
        <w:t xml:space="preserve">Such comments were qualified with an understanding that formal qualifications can be indeed valuable, but are not the only way of acquiring a broad range of relevant skills and knowledge. One farm manager had completed an </w:t>
      </w:r>
      <w:r w:rsidR="00577AA0">
        <w:t xml:space="preserve">advanced diploma in agriculture </w:t>
      </w:r>
      <w:r>
        <w:t xml:space="preserve">to learn skills such as </w:t>
      </w:r>
      <w:r w:rsidR="00577AA0">
        <w:t>production planning, accounting</w:t>
      </w:r>
      <w:r>
        <w:t xml:space="preserve"> and personnel management. Farm managers generally valued on-farm learning most highly, but highlighted the growing importance of business management skills as one area of recommended formal study.</w:t>
      </w:r>
    </w:p>
    <w:p w:rsidR="00C9115F" w:rsidRDefault="00C9115F" w:rsidP="00C9115F">
      <w:pPr>
        <w:pStyle w:val="Text"/>
      </w:pPr>
      <w:r>
        <w:t xml:space="preserve">While all respondents valued on-site learning most highly, farm managers pointed out that it was common for young future farmers (including themselves) to complete a trades apprenticeship, acquiring useful mechanical and/or construction skills for the farm as well as a fallback career if needed. These skills included welding and </w:t>
      </w:r>
      <w:r w:rsidR="005C7FA8">
        <w:t xml:space="preserve">the </w:t>
      </w:r>
      <w:r>
        <w:t xml:space="preserve">use of heavy machinery, although the most commonly cited skill transfer </w:t>
      </w:r>
      <w:r w:rsidR="005C7FA8">
        <w:t xml:space="preserve">was </w:t>
      </w:r>
      <w:r>
        <w:t xml:space="preserve">related to occupational health and safety awareness and behaviour. </w:t>
      </w:r>
    </w:p>
    <w:p w:rsidR="00C9115F" w:rsidRDefault="00C9115F" w:rsidP="00C9115F">
      <w:pPr>
        <w:pStyle w:val="Text"/>
      </w:pPr>
      <w:r>
        <w:t>There are few barriers to learning in terms of standards of en</w:t>
      </w:r>
      <w:r w:rsidR="005C7FA8">
        <w:t>try or practice within farming:</w:t>
      </w:r>
      <w:r>
        <w:t xml:space="preserve"> farm managers noted only that </w:t>
      </w:r>
      <w:r w:rsidR="00577AA0">
        <w:t xml:space="preserve">certification by way of a short </w:t>
      </w:r>
      <w:r>
        <w:t>course is necessary for chemicals purchasing/usage and operation of heavy machinery. Less than 10</w:t>
      </w:r>
      <w:r w:rsidR="00577AA0">
        <w:t>%</w:t>
      </w:r>
      <w:r>
        <w:t xml:space="preserve"> of farm managers (7.6%) are degre</w:t>
      </w:r>
      <w:r w:rsidR="005C7FA8">
        <w:t>e-</w:t>
      </w:r>
      <w:r>
        <w:t xml:space="preserve">qualified, compared </w:t>
      </w:r>
      <w:r w:rsidR="00577AA0">
        <w:t>with</w:t>
      </w:r>
      <w:r>
        <w:t xml:space="preserve"> a quarter (26.3%) of Australian managers overall </w:t>
      </w:r>
      <w:r w:rsidRPr="009415BE">
        <w:t>(</w:t>
      </w:r>
      <w:r w:rsidR="00577AA0" w:rsidRPr="009415BE">
        <w:t>ABS</w:t>
      </w:r>
      <w:r w:rsidR="00E228B3" w:rsidRPr="009415BE">
        <w:t xml:space="preserve"> Census</w:t>
      </w:r>
      <w:r w:rsidRPr="009415BE">
        <w:t xml:space="preserve"> 2006</w:t>
      </w:r>
      <w:r>
        <w:t xml:space="preserve">). Farm managers (compared </w:t>
      </w:r>
      <w:r w:rsidR="00577AA0">
        <w:t>with</w:t>
      </w:r>
      <w:r>
        <w:t xml:space="preserve"> other agricultural workers) were the most likely to have completed </w:t>
      </w:r>
      <w:r>
        <w:lastRenderedPageBreak/>
        <w:t xml:space="preserve">such longer-term formal training and qualifications. Indeed, while most respondents reported they could have worked towards a course or certificate that might enhance their careers, they had instead acquired their skills through practice and on-site learning, with the addition of some targeted short courses of study. </w:t>
      </w:r>
    </w:p>
    <w:p w:rsidR="00C9115F" w:rsidRPr="00E53D60" w:rsidRDefault="00C9115F" w:rsidP="00E53D60">
      <w:pPr>
        <w:pStyle w:val="Text"/>
        <w:ind w:left="284" w:right="0"/>
        <w:rPr>
          <w:i/>
        </w:rPr>
      </w:pPr>
      <w:r w:rsidRPr="00E53D60">
        <w:rPr>
          <w:i/>
        </w:rPr>
        <w:t>While pathways of learning are readily available, a number of prohibitive factors affect their accessibility and associated career progression. Key among these factors is the prevalenc</w:t>
      </w:r>
      <w:r w:rsidR="005C7FA8" w:rsidRPr="00E53D60">
        <w:rPr>
          <w:i/>
        </w:rPr>
        <w:t>e of family succession planning</w:t>
      </w:r>
      <w:r w:rsidRPr="00E53D60">
        <w:rPr>
          <w:i/>
        </w:rPr>
        <w:t xml:space="preserve"> and the existence of significant financial barriers.</w:t>
      </w:r>
    </w:p>
    <w:p w:rsidR="00C9115F" w:rsidRDefault="00C9115F" w:rsidP="00C9115F">
      <w:pPr>
        <w:pStyle w:val="Text"/>
      </w:pPr>
      <w:r w:rsidRPr="007521C8">
        <w:t>These quite open flows of learning should not be confused with flows of labour. While respondents reported substantial on-the-job learning outcomes, all interviewees reported significant barriers to vertical career progression and the possibility of managing a farm. These barriers included the dominance of fam</w:t>
      </w:r>
      <w:r w:rsidR="002714A5">
        <w:t>ily succession planning —</w:t>
      </w:r>
      <w:r w:rsidRPr="007521C8">
        <w:t xml:space="preserve"> occupational stasis was particularly notable for farm managers, who </w:t>
      </w:r>
      <w:r w:rsidR="005C7FA8">
        <w:t>were born into a farming family</w:t>
      </w:r>
      <w:r w:rsidRPr="007521C8">
        <w:t xml:space="preserve"> and whose plans for succession are family-centric. These re</w:t>
      </w:r>
      <w:r w:rsidR="005C7FA8">
        <w:t>spondents were all male</w:t>
      </w:r>
      <w:r w:rsidRPr="007521C8">
        <w:t xml:space="preserve"> and </w:t>
      </w:r>
      <w:r w:rsidR="007F2B52">
        <w:t>they</w:t>
      </w:r>
      <w:r w:rsidR="005C7FA8">
        <w:t xml:space="preserve"> </w:t>
      </w:r>
      <w:r w:rsidRPr="007521C8">
        <w:t>had spent little time out of the labour force:</w:t>
      </w:r>
    </w:p>
    <w:p w:rsidR="00C9115F" w:rsidRDefault="00C9115F" w:rsidP="00AD203F">
      <w:pPr>
        <w:pStyle w:val="Quote"/>
      </w:pPr>
      <w:r w:rsidRPr="007521C8">
        <w:t>In my district here, pretty well all the farms are passed down until somebody decides they want to sell and then the farm is usually divided up by the remaining farmers that are in the area.</w:t>
      </w:r>
      <w:r>
        <w:br/>
      </w:r>
      <w:r w:rsidRPr="007521C8">
        <w:tab/>
        <w:t>Farm manager</w:t>
      </w:r>
    </w:p>
    <w:p w:rsidR="00C9115F" w:rsidRDefault="00C9115F" w:rsidP="00C9115F">
      <w:pPr>
        <w:pStyle w:val="Text"/>
      </w:pPr>
      <w:r w:rsidRPr="007521C8">
        <w:t>Another participant suggested that</w:t>
      </w:r>
      <w:r w:rsidR="005C7FA8">
        <w:t>,</w:t>
      </w:r>
      <w:r w:rsidRPr="007521C8">
        <w:t xml:space="preserve"> without existing land assets, the alternative route would </w:t>
      </w:r>
      <w:r w:rsidR="002714A5">
        <w:t xml:space="preserve">be </w:t>
      </w:r>
      <w:r w:rsidRPr="007521C8">
        <w:t xml:space="preserve">likely </w:t>
      </w:r>
      <w:r w:rsidR="002714A5">
        <w:t xml:space="preserve">to </w:t>
      </w:r>
      <w:r w:rsidRPr="007521C8">
        <w:t>involve leasing land and livestock, drafting and delivering on a bank-backed business plan,</w:t>
      </w:r>
      <w:r w:rsidR="005C7FA8">
        <w:t xml:space="preserve"> and eventually moving to owner</w:t>
      </w:r>
      <w:r w:rsidR="007F2B52">
        <w:t>—</w:t>
      </w:r>
      <w:r w:rsidRPr="007521C8">
        <w:t>manager status. This path is both difficult and uncommon.</w:t>
      </w:r>
    </w:p>
    <w:p w:rsidR="00C9115F" w:rsidRPr="00E53D60" w:rsidRDefault="00C9115F" w:rsidP="00E53D60">
      <w:pPr>
        <w:pStyle w:val="Text"/>
        <w:ind w:left="284" w:right="0"/>
        <w:rPr>
          <w:i/>
        </w:rPr>
      </w:pPr>
      <w:r w:rsidRPr="00E53D60">
        <w:rPr>
          <w:i/>
        </w:rPr>
        <w:t>Harsh and precarious working conditions also contribute significantly to low</w:t>
      </w:r>
      <w:r w:rsidR="00F9274A" w:rsidRPr="00E53D60">
        <w:rPr>
          <w:i/>
        </w:rPr>
        <w:t>- to medium-</w:t>
      </w:r>
      <w:r w:rsidRPr="00E53D60">
        <w:rPr>
          <w:i/>
        </w:rPr>
        <w:t>skill agricultural workers failing to progress along their career path, or choosing other employment opportunities.</w:t>
      </w:r>
    </w:p>
    <w:p w:rsidR="00C9115F" w:rsidRDefault="00C9115F" w:rsidP="00C9115F">
      <w:pPr>
        <w:pStyle w:val="Text"/>
      </w:pPr>
      <w:r>
        <w:t>Relatively harsh working conditions may contribute to the phenomen</w:t>
      </w:r>
      <w:r w:rsidR="009415BE">
        <w:t>on</w:t>
      </w:r>
      <w:r>
        <w:t xml:space="preserve"> of young workers choosing other careers. All farm managers reported long working hours seven days a week, with limited opportu</w:t>
      </w:r>
      <w:r w:rsidR="002714A5">
        <w:t xml:space="preserve">nity to take time off. </w:t>
      </w:r>
      <w:r w:rsidR="009415BE">
        <w:t xml:space="preserve">Census </w:t>
      </w:r>
      <w:r w:rsidR="00EB0854">
        <w:t>(2006) data show</w:t>
      </w:r>
      <w:r>
        <w:t xml:space="preserve"> that 39.4</w:t>
      </w:r>
      <w:r w:rsidR="00577AA0">
        <w:t>%</w:t>
      </w:r>
      <w:r>
        <w:t xml:space="preserve"> of farm managers work </w:t>
      </w:r>
      <w:r w:rsidR="009415BE">
        <w:t>more than</w:t>
      </w:r>
      <w:r>
        <w:t xml:space="preserve"> 55 hours per week, well in excess of Aust</w:t>
      </w:r>
      <w:r w:rsidR="00EB0854">
        <w:t>ralian managers overall (25.2%)</w:t>
      </w:r>
      <w:r>
        <w:t xml:space="preserve"> and the Australian workforce as a whole (10.2%). Indeed, no interviewees reported any significant p</w:t>
      </w:r>
      <w:r w:rsidR="00EB0854">
        <w:t>eriod outside the labour force:</w:t>
      </w:r>
      <w:r>
        <w:t xml:space="preserve"> </w:t>
      </w:r>
      <w:r w:rsidR="0082555F">
        <w:t>low-skill</w:t>
      </w:r>
      <w:r>
        <w:t xml:space="preserve"> workers reported living season to season under extremely </w:t>
      </w:r>
      <w:r w:rsidR="00EB0854">
        <w:t>precarious employment condition</w:t>
      </w:r>
      <w:r w:rsidR="009415BE">
        <w:t>s</w:t>
      </w:r>
      <w:r>
        <w:t xml:space="preserve">; and farm managers reported extremely long working hours with very little time away from the farm. </w:t>
      </w:r>
    </w:p>
    <w:p w:rsidR="00C9115F" w:rsidRDefault="00C9115F" w:rsidP="00C9115F">
      <w:pPr>
        <w:pStyle w:val="Text"/>
      </w:pPr>
      <w:r>
        <w:t>The attractiveness of regional centres and industries competing for regional labour also affect the decision to pursue a career in agricultu</w:t>
      </w:r>
      <w:r w:rsidR="002714A5">
        <w:t>re. Evesson, Jakubauskas and Buchanan</w:t>
      </w:r>
      <w:r>
        <w:t xml:space="preserve"> (2009) show that the migration of workers from </w:t>
      </w:r>
      <w:r w:rsidR="00EB0854">
        <w:t xml:space="preserve">the </w:t>
      </w:r>
      <w:r>
        <w:t>Victorian primary industries has drastically changed the profile of labour available for agricultural work, while Pratley (2008) finds that the rural population has fallen from half of Australians in the early 1900s to 15</w:t>
      </w:r>
      <w:r w:rsidR="00577AA0">
        <w:t>%</w:t>
      </w:r>
      <w:r>
        <w:t xml:space="preserve"> in the year 2000. Feedback from interviewees indicated that income prospects were better in local mining industries, reporting</w:t>
      </w:r>
      <w:r w:rsidR="002714A5">
        <w:t>,</w:t>
      </w:r>
      <w:r>
        <w:t xml:space="preserve"> for example</w:t>
      </w:r>
      <w:r w:rsidR="002714A5">
        <w:t>,</w:t>
      </w:r>
      <w:r>
        <w:t xml:space="preserve"> that trades assistant roles in the mines </w:t>
      </w:r>
      <w:r w:rsidR="00EB0854">
        <w:t xml:space="preserve">paid significantly better than </w:t>
      </w:r>
      <w:r>
        <w:t>machinery opera</w:t>
      </w:r>
      <w:r w:rsidR="00EB0854">
        <w:t>tor roles in farming</w:t>
      </w:r>
      <w:r>
        <w:t xml:space="preserve">. This corroborates findings from Gelade and Fox (2005), which cite mining and construction as the greatest competing industries for local workers. </w:t>
      </w:r>
    </w:p>
    <w:p w:rsidR="00C9115F" w:rsidRDefault="00C9115F" w:rsidP="00C9115F">
      <w:pPr>
        <w:pStyle w:val="Text"/>
      </w:pPr>
      <w:r>
        <w:t>A</w:t>
      </w:r>
      <w:r w:rsidR="00EB0854">
        <w:t>part</w:t>
      </w:r>
      <w:r>
        <w:t xml:space="preserve"> from a prevalence of long-tenured, occupationally stabl</w:t>
      </w:r>
      <w:r w:rsidR="002714A5">
        <w:t>e farm owner—</w:t>
      </w:r>
      <w:r>
        <w:t>managers, the other distinctive result was the precarious nature of th</w:t>
      </w:r>
      <w:r w:rsidR="002714A5">
        <w:t>e low-skill trajectory, as per f</w:t>
      </w:r>
      <w:r>
        <w:t>igure 2. Those identified as agricultural labourers reported significant job turnover between low-skill roles</w:t>
      </w:r>
      <w:r w:rsidR="00EB0854">
        <w:t>,</w:t>
      </w:r>
      <w:r>
        <w:t xml:space="preserve"> with v</w:t>
      </w:r>
      <w:r w:rsidR="00EB0854">
        <w:t>ery few employment entitlements</w:t>
      </w:r>
      <w:r>
        <w:t xml:space="preserve"> </w:t>
      </w:r>
      <w:r w:rsidR="004D7C9F">
        <w:t>as well as</w:t>
      </w:r>
      <w:r>
        <w:t xml:space="preserve"> periods of unemployment. One labourer, for example, reported an employment history containing episodes (in order) as a grape picker, </w:t>
      </w:r>
      <w:r w:rsidR="00EE4C3C">
        <w:t>kitchen hand</w:t>
      </w:r>
      <w:r>
        <w:t xml:space="preserve">, </w:t>
      </w:r>
      <w:r>
        <w:lastRenderedPageBreak/>
        <w:t xml:space="preserve">noodle factory hand, retail assistant, cleaner, bottling factory hand, and seasonal vineyard work. Such a sequence of roles was typical of those working in </w:t>
      </w:r>
      <w:r w:rsidR="0082555F">
        <w:t>low-skill</w:t>
      </w:r>
      <w:r w:rsidR="002714A5">
        <w:t xml:space="preserve"> roles</w:t>
      </w:r>
      <w:r>
        <w:t xml:space="preserve"> and shows little skill accumulation or career progression, and indeed responses highlighted the importance of survival rather than engagement with further study or career progression.</w:t>
      </w:r>
    </w:p>
    <w:p w:rsidR="00C9115F" w:rsidRDefault="00C9115F" w:rsidP="00AD203F">
      <w:pPr>
        <w:pStyle w:val="Quote"/>
      </w:pPr>
      <w:r>
        <w:t>I wouldn’t mind being a school teacher actually but the trouble with that is that being</w:t>
      </w:r>
      <w:r w:rsidR="002714A5">
        <w:t xml:space="preserve"> … </w:t>
      </w:r>
      <w:r>
        <w:t>my wife doesn’t work, she stays home and looks after the kids. But being the sole income earner</w:t>
      </w:r>
      <w:r w:rsidR="002714A5">
        <w:t xml:space="preserve"> … </w:t>
      </w:r>
      <w:r>
        <w:t>unless I’m out working we don’t make money</w:t>
      </w:r>
      <w:r w:rsidR="002714A5">
        <w:t>.</w:t>
      </w:r>
      <w:r w:rsidR="002714A5">
        <w:tab/>
        <w:t>Tractor o</w:t>
      </w:r>
      <w:r>
        <w:t>perator</w:t>
      </w:r>
    </w:p>
    <w:p w:rsidR="00E53D60" w:rsidRDefault="00E53D60" w:rsidP="00AD203F">
      <w:pPr>
        <w:pStyle w:val="Quote"/>
      </w:pPr>
      <w:r>
        <w:t>You do whatever sort of comes up, you know what I mean? You see an opportunity come up and that’s what you want to do … if I’ve had enough or sometimes the work runs out, you just sort of try and find other people that are willing to put you on.</w:t>
      </w:r>
      <w:r>
        <w:tab/>
        <w:t>Farmhand</w:t>
      </w:r>
    </w:p>
    <w:p w:rsidR="00C9115F" w:rsidRDefault="00C9115F" w:rsidP="00C9115F">
      <w:pPr>
        <w:pStyle w:val="Text"/>
      </w:pPr>
      <w:r>
        <w:t>The irregularity of these low-skill pathways is exacerbated by the seasonal nat</w:t>
      </w:r>
      <w:r w:rsidR="00EB0854">
        <w:t>ure of agricultural work. Lower-</w:t>
      </w:r>
      <w:r>
        <w:t>skill workers reported significant down time and/or unpred</w:t>
      </w:r>
      <w:r w:rsidR="00EB0854">
        <w:t>ictable hours of work</w:t>
      </w:r>
      <w:r>
        <w:t xml:space="preserve"> and minimal or zero leave entitlements. The pressures of providing income for themselves and </w:t>
      </w:r>
      <w:r w:rsidR="0092686C">
        <w:t xml:space="preserve">their </w:t>
      </w:r>
      <w:r>
        <w:t>fami</w:t>
      </w:r>
      <w:r w:rsidR="00EB0854">
        <w:t>ly during down time and the off season</w:t>
      </w:r>
      <w:r>
        <w:t xml:space="preserve"> and the intensity of working during </w:t>
      </w:r>
      <w:r w:rsidR="00EB0854">
        <w:t xml:space="preserve">the </w:t>
      </w:r>
      <w:r>
        <w:t>high season combined to minimise further training opportunities t</w:t>
      </w:r>
      <w:r w:rsidR="00EB0854">
        <w:t>hat might</w:t>
      </w:r>
      <w:r>
        <w:t xml:space="preserve"> extend or diversify their skill set. A review of research by the </w:t>
      </w:r>
      <w:r w:rsidR="008F3D3B" w:rsidRPr="00EE4C3C">
        <w:t>Industries Development Committee Workforce</w:t>
      </w:r>
      <w:r w:rsidR="008F3D3B">
        <w:t xml:space="preserve"> </w:t>
      </w:r>
      <w:r>
        <w:t xml:space="preserve">(2009) into the impact of seasonal work points to </w:t>
      </w:r>
      <w:r w:rsidR="0092686C">
        <w:t xml:space="preserve">the </w:t>
      </w:r>
      <w:r>
        <w:t xml:space="preserve">low incentives for farmers to upskill existing staff and invest in training as a significant barrier to career paths. The report also </w:t>
      </w:r>
      <w:r w:rsidR="00EB0854">
        <w:t>claims</w:t>
      </w:r>
      <w:r>
        <w:t xml:space="preserve"> that the industry is dominated by small enterprises, which cannot afford to provide staff with leave or support for formal training purposes. Evesson</w:t>
      </w:r>
      <w:r w:rsidR="0072129F">
        <w:t>,</w:t>
      </w:r>
      <w:r>
        <w:t xml:space="preserve"> </w:t>
      </w:r>
      <w:r w:rsidR="0072129F">
        <w:t xml:space="preserve">Jakubauskas and Buchanan </w:t>
      </w:r>
      <w:r>
        <w:t xml:space="preserve">(2009) report that such low employment standards </w:t>
      </w:r>
      <w:r w:rsidR="0092686C">
        <w:t>are</w:t>
      </w:r>
      <w:r>
        <w:t xml:space="preserve"> not only driving labour and skill shortages, but increasing the use of contractors with specialised skills. This was, for example, the experience of one interviewee, who was contracted each seaso</w:t>
      </w:r>
      <w:r w:rsidR="0072129F">
        <w:t xml:space="preserve">n by a sugar mill to clear </w:t>
      </w:r>
      <w:r w:rsidR="00EE4C3C">
        <w:t>rail side</w:t>
      </w:r>
      <w:r>
        <w:t xml:space="preserve"> weeds and overgrowth</w:t>
      </w:r>
      <w:r w:rsidR="0092686C">
        <w:t>,</w:t>
      </w:r>
      <w:r>
        <w:t xml:space="preserve"> using his own tractor.</w:t>
      </w:r>
    </w:p>
    <w:p w:rsidR="00C9115F" w:rsidRDefault="00C9115F" w:rsidP="00C9115F">
      <w:pPr>
        <w:pStyle w:val="Text"/>
      </w:pPr>
      <w:r>
        <w:t xml:space="preserve">The occupational stability of highly skilled farm managers and the choppy turnover of </w:t>
      </w:r>
      <w:r w:rsidR="0082555F">
        <w:t>low-skill</w:t>
      </w:r>
      <w:r>
        <w:t xml:space="preserve"> workers were the two key results for the agricultural sector, and are particularly notable</w:t>
      </w:r>
      <w:r w:rsidR="0072129F">
        <w:t>,</w:t>
      </w:r>
      <w:r>
        <w:t xml:space="preserve"> given the composition of the agricul</w:t>
      </w:r>
      <w:r w:rsidR="0072129F">
        <w:t>tural workforce. Data from the 2006 c</w:t>
      </w:r>
      <w:r>
        <w:t xml:space="preserve">ensus </w:t>
      </w:r>
      <w:r w:rsidR="0072129F">
        <w:t>report</w:t>
      </w:r>
      <w:r>
        <w:t xml:space="preserve"> that 35.7</w:t>
      </w:r>
      <w:r w:rsidR="00577AA0">
        <w:t>%</w:t>
      </w:r>
      <w:r>
        <w:t xml:space="preserve"> </w:t>
      </w:r>
      <w:r w:rsidR="0092686C">
        <w:t>of the workforce are farm owner—</w:t>
      </w:r>
      <w:r>
        <w:t>operators, while a further 14.2</w:t>
      </w:r>
      <w:r w:rsidR="00577AA0">
        <w:t>%</w:t>
      </w:r>
      <w:r>
        <w:t xml:space="preserve"> are contributing family farmers (likely to succeed the owner). Labourers constitute 22.5</w:t>
      </w:r>
      <w:r w:rsidR="00577AA0">
        <w:t>%</w:t>
      </w:r>
      <w:r>
        <w:t xml:space="preserve"> of the total workforce. </w:t>
      </w:r>
    </w:p>
    <w:p w:rsidR="00C9115F" w:rsidRDefault="00C9115F" w:rsidP="00E53D60">
      <w:pPr>
        <w:pStyle w:val="Text"/>
        <w:ind w:right="-143"/>
      </w:pPr>
      <w:r>
        <w:t>Overall, the qualitative interview process showed a clear dichotomy of possible career paths in the primary industries. First, medium</w:t>
      </w:r>
      <w:r w:rsidR="0072129F">
        <w:t>-</w:t>
      </w:r>
      <w:r>
        <w:t xml:space="preserve"> to </w:t>
      </w:r>
      <w:r w:rsidR="0082555F">
        <w:t>high-skill</w:t>
      </w:r>
      <w:r>
        <w:t xml:space="preserve"> workers had autonomy over their career choices, often pursuing formal training and being occupied for long periods of time accumulating expertise in one vocation. Career change for this group was motivated by family, lifestyle and personal reasons. Second, </w:t>
      </w:r>
      <w:r w:rsidR="0082555F">
        <w:t>low-skill</w:t>
      </w:r>
      <w:r>
        <w:t xml:space="preserve"> workers were entrenched in precarious employment conditions, often episodic or seasonal</w:t>
      </w:r>
      <w:r w:rsidR="0092686C">
        <w:t>,</w:t>
      </w:r>
      <w:r>
        <w:t xml:space="preserve"> and</w:t>
      </w:r>
      <w:r w:rsidR="00E53D60">
        <w:t> </w:t>
      </w:r>
      <w:r>
        <w:t xml:space="preserve">with little sustained career development. The situation </w:t>
      </w:r>
      <w:r w:rsidR="00DD44AC">
        <w:t xml:space="preserve">of </w:t>
      </w:r>
      <w:r w:rsidR="0092686C">
        <w:t>this</w:t>
      </w:r>
      <w:r w:rsidR="00DD44AC">
        <w:t xml:space="preserve"> group is reactive</w:t>
      </w:r>
      <w:r>
        <w:t>, dependent on the</w:t>
      </w:r>
      <w:r w:rsidR="00E53D60">
        <w:t> </w:t>
      </w:r>
      <w:r>
        <w:t xml:space="preserve">weather, the crop or livestock, and with little scope to engage with training opportunities. </w:t>
      </w:r>
    </w:p>
    <w:p w:rsidR="00C9115F" w:rsidRDefault="00C9115F" w:rsidP="00C9115F">
      <w:pPr>
        <w:pStyle w:val="Heading2"/>
      </w:pPr>
      <w:bookmarkStart w:id="52" w:name="_Toc194643908"/>
      <w:bookmarkStart w:id="53" w:name="_Toc335752936"/>
      <w:r w:rsidRPr="00872253">
        <w:t>Fi</w:t>
      </w:r>
      <w:r w:rsidR="00DD44AC">
        <w:t>nancial s</w:t>
      </w:r>
      <w:r w:rsidRPr="00872253">
        <w:t>ervices</w:t>
      </w:r>
      <w:bookmarkEnd w:id="52"/>
      <w:bookmarkEnd w:id="53"/>
    </w:p>
    <w:p w:rsidR="00C9115F" w:rsidRDefault="00C9115F" w:rsidP="00C9115F">
      <w:pPr>
        <w:pStyle w:val="Text"/>
      </w:pPr>
      <w:r>
        <w:t>The financial services workforce is relatively young, with 72.4</w:t>
      </w:r>
      <w:r w:rsidR="00577AA0">
        <w:t>%</w:t>
      </w:r>
      <w:r>
        <w:t xml:space="preserve"> below the age of 45, compared </w:t>
      </w:r>
      <w:r w:rsidR="0072129F">
        <w:t>with</w:t>
      </w:r>
      <w:r>
        <w:t xml:space="preserve"> 62.8</w:t>
      </w:r>
      <w:r w:rsidR="00577AA0">
        <w:t>%</w:t>
      </w:r>
      <w:r>
        <w:t xml:space="preserve"> of the Australi</w:t>
      </w:r>
      <w:r w:rsidR="001557FE">
        <w:t xml:space="preserve">an workforce more broadly </w:t>
      </w:r>
      <w:r w:rsidR="001557FE" w:rsidRPr="00E228B3">
        <w:t>(IBSA</w:t>
      </w:r>
      <w:r w:rsidRPr="00E228B3">
        <w:t xml:space="preserve"> 2010).</w:t>
      </w:r>
      <w:r>
        <w:t xml:space="preserve"> While our research has focused on pathways into a range of </w:t>
      </w:r>
      <w:r w:rsidR="0082555F">
        <w:t>high-skill</w:t>
      </w:r>
      <w:r>
        <w:t xml:space="preserve"> roles, over half of those in financial services roles are accountants, bookkeep</w:t>
      </w:r>
      <w:r w:rsidR="001557FE">
        <w:t>ers, or accounting cler</w:t>
      </w:r>
      <w:r w:rsidR="001557FE" w:rsidRPr="00E228B3">
        <w:t>ks (IBSA</w:t>
      </w:r>
      <w:r>
        <w:t xml:space="preserve"> 2010). Moreover, while the industry as a whole is well represented by female workers (54%), at least 60</w:t>
      </w:r>
      <w:r w:rsidR="00577AA0">
        <w:t>%</w:t>
      </w:r>
      <w:r>
        <w:t xml:space="preserve"> of those in the </w:t>
      </w:r>
      <w:r w:rsidR="0082555F">
        <w:t>high-skill</w:t>
      </w:r>
      <w:r>
        <w:t xml:space="preserve"> sectors of interest to our research (investment services and financial asset investing) </w:t>
      </w:r>
      <w:r w:rsidR="001557FE">
        <w:t>are mal</w:t>
      </w:r>
      <w:r w:rsidR="001557FE" w:rsidRPr="00E228B3">
        <w:t>e (IBSA</w:t>
      </w:r>
      <w:r w:rsidRPr="00E228B3">
        <w:t xml:space="preserve"> 2</w:t>
      </w:r>
      <w:r>
        <w:t>010).</w:t>
      </w:r>
      <w:r w:rsidR="00B6039E">
        <w:t xml:space="preserve"> </w:t>
      </w:r>
      <w:r>
        <w:t xml:space="preserve">Beyond these characteristics, the nature of career entry and formation, training and development and workforce </w:t>
      </w:r>
      <w:r>
        <w:lastRenderedPageBreak/>
        <w:t xml:space="preserve">transitions over </w:t>
      </w:r>
      <w:r w:rsidR="009415BE">
        <w:t>a</w:t>
      </w:r>
      <w:r>
        <w:t xml:space="preserve"> career in financial services </w:t>
      </w:r>
      <w:r w:rsidR="007D7C65">
        <w:t>is</w:t>
      </w:r>
      <w:r>
        <w:t xml:space="preserve"> not well understood. The financial services industry is relatively underrepres</w:t>
      </w:r>
      <w:r w:rsidR="001557FE">
        <w:t>ented in the careers literature</w:t>
      </w:r>
      <w:r>
        <w:t xml:space="preserve"> and its dynamism makes any current understanding even more difficult. </w:t>
      </w:r>
    </w:p>
    <w:p w:rsidR="00C9115F" w:rsidRDefault="00C9115F" w:rsidP="00C9115F">
      <w:pPr>
        <w:pStyle w:val="Text"/>
      </w:pPr>
      <w:r>
        <w:t>This research serves to enhance our understanding of the quantitative analysis of 632 individuals in the HILDA Survey. A number of divergent themes arose in this analysis. Th</w:t>
      </w:r>
      <w:r w:rsidR="007D7C65">
        <w:t>ese</w:t>
      </w:r>
      <w:r>
        <w:t xml:space="preserve"> included evidence of </w:t>
      </w:r>
      <w:r w:rsidR="0082555F">
        <w:t>high-skill</w:t>
      </w:r>
      <w:r>
        <w:t xml:space="preserve"> trajectories for those moving from higher education studies to professional work, and from professional roles into managerial roles. There was also evidence of </w:t>
      </w:r>
      <w:r w:rsidR="0082555F">
        <w:t>low-skill</w:t>
      </w:r>
      <w:r>
        <w:t xml:space="preserve"> trajectories, as the largest group </w:t>
      </w:r>
      <w:r w:rsidR="009415BE">
        <w:t>comprised</w:t>
      </w:r>
      <w:r>
        <w:t xml:space="preserve"> those who moved mostly between clerical and sales roles and out of the labour force altogether. The overarching theme remained one of occupational segmentation, as particula</w:t>
      </w:r>
      <w:r w:rsidR="001557FE">
        <w:t>rly for those in clerical roles</w:t>
      </w:r>
      <w:r>
        <w:t xml:space="preserve"> there appeared to be limited flows upwards in the labour market. Some </w:t>
      </w:r>
      <w:r w:rsidR="001557FE">
        <w:t>of these patterns are shown in f</w:t>
      </w:r>
      <w:r>
        <w:t>igure 3.</w:t>
      </w:r>
    </w:p>
    <w:p w:rsidR="00C9115F" w:rsidRDefault="00C9115F" w:rsidP="00C9115F">
      <w:pPr>
        <w:pStyle w:val="Figuretitle"/>
      </w:pPr>
      <w:bookmarkStart w:id="54" w:name="_Toc335753099"/>
      <w:r>
        <w:t>Figure 3</w:t>
      </w:r>
      <w:r>
        <w:tab/>
      </w:r>
      <w:r w:rsidR="00DD44AC">
        <w:t>Key clusters in financial s</w:t>
      </w:r>
      <w:r w:rsidRPr="00872253">
        <w:t>ervices</w:t>
      </w:r>
      <w:bookmarkEnd w:id="54"/>
    </w:p>
    <w:p w:rsidR="00C9115F" w:rsidRDefault="00084229" w:rsidP="00C60B40">
      <w:pPr>
        <w:pStyle w:val="Tablehead1"/>
        <w:tabs>
          <w:tab w:val="left" w:pos="3119"/>
          <w:tab w:val="left" w:pos="5954"/>
        </w:tabs>
        <w:spacing w:before="160" w:after="40"/>
      </w:pPr>
      <w:r>
        <w:tab/>
      </w:r>
      <w:r w:rsidR="00C9115F">
        <w:t>Managers</w:t>
      </w:r>
      <w:r w:rsidR="00C9115F">
        <w:tab/>
        <w:t>Clerical workers</w:t>
      </w:r>
    </w:p>
    <w:p w:rsidR="00C9115F" w:rsidRPr="00872253" w:rsidRDefault="007C368E" w:rsidP="00C60B40">
      <w:pPr>
        <w:pStyle w:val="Figuretitle"/>
        <w:spacing w:before="160" w:after="0"/>
      </w:pPr>
      <w:r>
        <w:rPr>
          <w:noProof/>
          <w:lang w:eastAsia="en-AU"/>
        </w:rPr>
        <w:drawing>
          <wp:inline distT="0" distB="0" distL="0" distR="0">
            <wp:extent cx="1739900" cy="2183765"/>
            <wp:effectExtent l="19050" t="0" r="0" b="0"/>
            <wp:docPr id="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srcRect/>
                    <a:stretch>
                      <a:fillRect/>
                    </a:stretch>
                  </pic:blipFill>
                  <pic:spPr bwMode="auto">
                    <a:xfrm>
                      <a:off x="0" y="0"/>
                      <a:ext cx="1739900" cy="2183765"/>
                    </a:xfrm>
                    <a:prstGeom prst="rect">
                      <a:avLst/>
                    </a:prstGeom>
                    <a:noFill/>
                    <a:ln w="9525">
                      <a:noFill/>
                      <a:miter lim="800000"/>
                      <a:headEnd/>
                      <a:tailEnd/>
                    </a:ln>
                  </pic:spPr>
                </pic:pic>
              </a:graphicData>
            </a:graphic>
          </wp:inline>
        </w:drawing>
      </w:r>
      <w:r>
        <w:rPr>
          <w:noProof/>
          <w:lang w:eastAsia="en-AU"/>
        </w:rPr>
        <w:drawing>
          <wp:inline distT="0" distB="0" distL="0" distR="0">
            <wp:extent cx="1767205" cy="2183765"/>
            <wp:effectExtent l="19050" t="0" r="4445" b="0"/>
            <wp:docPr id="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srcRect/>
                    <a:stretch>
                      <a:fillRect/>
                    </a:stretch>
                  </pic:blipFill>
                  <pic:spPr bwMode="auto">
                    <a:xfrm>
                      <a:off x="0" y="0"/>
                      <a:ext cx="1767205" cy="2183765"/>
                    </a:xfrm>
                    <a:prstGeom prst="rect">
                      <a:avLst/>
                    </a:prstGeom>
                    <a:noFill/>
                    <a:ln w="9525">
                      <a:noFill/>
                      <a:miter lim="800000"/>
                      <a:headEnd/>
                      <a:tailEnd/>
                    </a:ln>
                  </pic:spPr>
                </pic:pic>
              </a:graphicData>
            </a:graphic>
          </wp:inline>
        </w:drawing>
      </w:r>
      <w:r>
        <w:rPr>
          <w:noProof/>
          <w:lang w:eastAsia="en-AU"/>
        </w:rPr>
        <w:drawing>
          <wp:inline distT="0" distB="0" distL="0" distR="0">
            <wp:extent cx="1752680" cy="2142000"/>
            <wp:effectExtent l="19050" t="0" r="0" b="0"/>
            <wp:docPr id="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srcRect/>
                    <a:stretch>
                      <a:fillRect/>
                    </a:stretch>
                  </pic:blipFill>
                  <pic:spPr bwMode="auto">
                    <a:xfrm>
                      <a:off x="0" y="0"/>
                      <a:ext cx="1752680" cy="2142000"/>
                    </a:xfrm>
                    <a:prstGeom prst="rect">
                      <a:avLst/>
                    </a:prstGeom>
                    <a:noFill/>
                    <a:ln w="9525">
                      <a:noFill/>
                      <a:miter lim="800000"/>
                      <a:headEnd/>
                      <a:tailEnd/>
                    </a:ln>
                  </pic:spPr>
                </pic:pic>
              </a:graphicData>
            </a:graphic>
          </wp:inline>
        </w:drawing>
      </w:r>
    </w:p>
    <w:p w:rsidR="00C9115F" w:rsidRDefault="00C9115F" w:rsidP="00C60B40">
      <w:pPr>
        <w:pStyle w:val="Textmorebefore"/>
      </w:pPr>
      <w:r w:rsidRPr="00F54515">
        <w:t xml:space="preserve">Detailed interviews were conducted with eight workers in the financial services industry to enhance our understanding of what motivates these common trajectories. A brief profile </w:t>
      </w:r>
      <w:r w:rsidR="001557FE">
        <w:t>of interviewees is provided in t</w:t>
      </w:r>
      <w:r w:rsidRPr="00F54515">
        <w:t>able 2.</w:t>
      </w:r>
    </w:p>
    <w:p w:rsidR="00C9115F" w:rsidRDefault="00C9115F" w:rsidP="00C60B40">
      <w:pPr>
        <w:pStyle w:val="tabletitle"/>
      </w:pPr>
      <w:bookmarkStart w:id="55" w:name="_Toc194649998"/>
      <w:bookmarkStart w:id="56" w:name="_Toc335752991"/>
      <w:r>
        <w:t>Table 2</w:t>
      </w:r>
      <w:r>
        <w:tab/>
      </w:r>
      <w:r w:rsidRPr="007D5202">
        <w:t xml:space="preserve">Profile of interviewees, </w:t>
      </w:r>
      <w:r w:rsidR="001557FE" w:rsidRPr="007D5202">
        <w:t>financial services</w:t>
      </w:r>
      <w:bookmarkEnd w:id="55"/>
      <w:bookmarkEnd w:id="56"/>
    </w:p>
    <w:tbl>
      <w:tblPr>
        <w:tblW w:w="8789" w:type="dxa"/>
        <w:tblInd w:w="108" w:type="dxa"/>
        <w:tblBorders>
          <w:bottom w:val="single" w:sz="4" w:space="0" w:color="auto"/>
        </w:tblBorders>
        <w:tblLayout w:type="fixed"/>
        <w:tblLook w:val="04A0"/>
      </w:tblPr>
      <w:tblGrid>
        <w:gridCol w:w="2694"/>
        <w:gridCol w:w="1275"/>
        <w:gridCol w:w="1418"/>
        <w:gridCol w:w="3402"/>
      </w:tblGrid>
      <w:tr w:rsidR="00C9115F" w:rsidRPr="00316228" w:rsidTr="00C60B40">
        <w:tc>
          <w:tcPr>
            <w:tcW w:w="2694" w:type="dxa"/>
            <w:tcBorders>
              <w:top w:val="single" w:sz="4" w:space="0" w:color="auto"/>
              <w:bottom w:val="single" w:sz="4" w:space="0" w:color="auto"/>
            </w:tcBorders>
          </w:tcPr>
          <w:p w:rsidR="00C9115F" w:rsidRPr="00C76089" w:rsidRDefault="00C9115F" w:rsidP="00084229">
            <w:pPr>
              <w:pStyle w:val="Tablehead1"/>
            </w:pPr>
            <w:r w:rsidRPr="00C76089">
              <w:t>Occupation</w:t>
            </w:r>
          </w:p>
        </w:tc>
        <w:tc>
          <w:tcPr>
            <w:tcW w:w="1275" w:type="dxa"/>
            <w:tcBorders>
              <w:top w:val="single" w:sz="4" w:space="0" w:color="auto"/>
              <w:bottom w:val="single" w:sz="4" w:space="0" w:color="auto"/>
            </w:tcBorders>
          </w:tcPr>
          <w:p w:rsidR="00C9115F" w:rsidRPr="00C76089" w:rsidRDefault="00C9115F" w:rsidP="00084229">
            <w:pPr>
              <w:pStyle w:val="Tablehead1"/>
            </w:pPr>
            <w:r w:rsidRPr="00C76089">
              <w:t>Age</w:t>
            </w:r>
          </w:p>
        </w:tc>
        <w:tc>
          <w:tcPr>
            <w:tcW w:w="1418" w:type="dxa"/>
            <w:tcBorders>
              <w:top w:val="single" w:sz="4" w:space="0" w:color="auto"/>
              <w:bottom w:val="single" w:sz="4" w:space="0" w:color="auto"/>
            </w:tcBorders>
          </w:tcPr>
          <w:p w:rsidR="00C9115F" w:rsidRPr="00C76089" w:rsidRDefault="00C9115F" w:rsidP="00084229">
            <w:pPr>
              <w:pStyle w:val="Tablehead1"/>
            </w:pPr>
            <w:r w:rsidRPr="00C76089">
              <w:t>Gender</w:t>
            </w:r>
          </w:p>
        </w:tc>
        <w:tc>
          <w:tcPr>
            <w:tcW w:w="3402" w:type="dxa"/>
            <w:tcBorders>
              <w:top w:val="single" w:sz="4" w:space="0" w:color="auto"/>
              <w:bottom w:val="single" w:sz="4" w:space="0" w:color="auto"/>
            </w:tcBorders>
          </w:tcPr>
          <w:p w:rsidR="00C9115F" w:rsidRPr="00C76089" w:rsidRDefault="00C9115F" w:rsidP="00084229">
            <w:pPr>
              <w:pStyle w:val="Tablehead1"/>
            </w:pPr>
            <w:r w:rsidRPr="00C76089">
              <w:t>Qualifications</w:t>
            </w:r>
          </w:p>
        </w:tc>
      </w:tr>
      <w:tr w:rsidR="00C9115F" w:rsidRPr="00316228" w:rsidTr="00C60B40">
        <w:tc>
          <w:tcPr>
            <w:tcW w:w="2694" w:type="dxa"/>
            <w:tcBorders>
              <w:top w:val="single" w:sz="4" w:space="0" w:color="auto"/>
            </w:tcBorders>
          </w:tcPr>
          <w:p w:rsidR="00C9115F" w:rsidRPr="00C76089" w:rsidRDefault="001557FE" w:rsidP="00084229">
            <w:pPr>
              <w:pStyle w:val="Tabletext"/>
            </w:pPr>
            <w:r>
              <w:t>Head of r</w:t>
            </w:r>
            <w:r w:rsidR="00C9115F" w:rsidRPr="00C76089">
              <w:t>esearch</w:t>
            </w:r>
          </w:p>
        </w:tc>
        <w:tc>
          <w:tcPr>
            <w:tcW w:w="1275" w:type="dxa"/>
            <w:tcBorders>
              <w:top w:val="single" w:sz="4" w:space="0" w:color="auto"/>
            </w:tcBorders>
          </w:tcPr>
          <w:p w:rsidR="00C9115F" w:rsidRPr="00C76089" w:rsidRDefault="00C9115F" w:rsidP="00084229">
            <w:pPr>
              <w:pStyle w:val="Tabletext"/>
            </w:pPr>
            <w:r w:rsidRPr="00C76089">
              <w:t>45</w:t>
            </w:r>
          </w:p>
        </w:tc>
        <w:tc>
          <w:tcPr>
            <w:tcW w:w="1418" w:type="dxa"/>
            <w:tcBorders>
              <w:top w:val="single" w:sz="4" w:space="0" w:color="auto"/>
            </w:tcBorders>
          </w:tcPr>
          <w:p w:rsidR="00C9115F" w:rsidRPr="00C76089" w:rsidRDefault="00C9115F" w:rsidP="00084229">
            <w:pPr>
              <w:pStyle w:val="Tabletext"/>
            </w:pPr>
            <w:r w:rsidRPr="00C76089">
              <w:t>Female</w:t>
            </w:r>
          </w:p>
        </w:tc>
        <w:tc>
          <w:tcPr>
            <w:tcW w:w="3402" w:type="dxa"/>
            <w:tcBorders>
              <w:top w:val="single" w:sz="4" w:space="0" w:color="auto"/>
            </w:tcBorders>
          </w:tcPr>
          <w:p w:rsidR="00C9115F" w:rsidRPr="00C76089" w:rsidRDefault="00C9115F" w:rsidP="00084229">
            <w:pPr>
              <w:pStyle w:val="Tabletext"/>
            </w:pPr>
            <w:r w:rsidRPr="00C76089">
              <w:t>Bachelor of Science; Masters of Commerce</w:t>
            </w:r>
          </w:p>
        </w:tc>
      </w:tr>
      <w:tr w:rsidR="00C9115F" w:rsidRPr="00316228" w:rsidTr="00C60B40">
        <w:tc>
          <w:tcPr>
            <w:tcW w:w="2694" w:type="dxa"/>
          </w:tcPr>
          <w:p w:rsidR="00C9115F" w:rsidRPr="00C76089" w:rsidRDefault="001557FE" w:rsidP="00084229">
            <w:pPr>
              <w:pStyle w:val="Tabletext"/>
            </w:pPr>
            <w:r>
              <w:t>Portfolio m</w:t>
            </w:r>
            <w:r w:rsidR="00C9115F" w:rsidRPr="00C76089">
              <w:t>anager</w:t>
            </w:r>
          </w:p>
        </w:tc>
        <w:tc>
          <w:tcPr>
            <w:tcW w:w="1275" w:type="dxa"/>
          </w:tcPr>
          <w:p w:rsidR="00C9115F" w:rsidRPr="00C76089" w:rsidRDefault="00C9115F" w:rsidP="00084229">
            <w:pPr>
              <w:pStyle w:val="Tabletext"/>
            </w:pPr>
            <w:r w:rsidRPr="00C76089">
              <w:t>35</w:t>
            </w:r>
          </w:p>
        </w:tc>
        <w:tc>
          <w:tcPr>
            <w:tcW w:w="1418" w:type="dxa"/>
          </w:tcPr>
          <w:p w:rsidR="00C9115F" w:rsidRPr="00C76089" w:rsidRDefault="00C9115F" w:rsidP="00084229">
            <w:pPr>
              <w:pStyle w:val="Tabletext"/>
            </w:pPr>
            <w:r w:rsidRPr="00C76089">
              <w:t>Male</w:t>
            </w:r>
          </w:p>
        </w:tc>
        <w:tc>
          <w:tcPr>
            <w:tcW w:w="3402" w:type="dxa"/>
          </w:tcPr>
          <w:p w:rsidR="00C9115F" w:rsidRPr="00C76089" w:rsidRDefault="00C9115F" w:rsidP="00084229">
            <w:pPr>
              <w:pStyle w:val="Tabletext"/>
            </w:pPr>
            <w:r w:rsidRPr="00C76089">
              <w:t>Bachelor of Science (Hons); Chartered Financial Analyst</w:t>
            </w:r>
          </w:p>
        </w:tc>
      </w:tr>
      <w:tr w:rsidR="00C9115F" w:rsidRPr="00316228" w:rsidTr="00C60B40">
        <w:tc>
          <w:tcPr>
            <w:tcW w:w="2694" w:type="dxa"/>
          </w:tcPr>
          <w:p w:rsidR="00C9115F" w:rsidRPr="00C76089" w:rsidRDefault="00C9115F" w:rsidP="00084229">
            <w:pPr>
              <w:pStyle w:val="Tabletext"/>
            </w:pPr>
            <w:r w:rsidRPr="00C76089">
              <w:t>Bank teller</w:t>
            </w:r>
          </w:p>
        </w:tc>
        <w:tc>
          <w:tcPr>
            <w:tcW w:w="1275" w:type="dxa"/>
          </w:tcPr>
          <w:p w:rsidR="00C9115F" w:rsidRPr="00C76089" w:rsidRDefault="00C9115F" w:rsidP="00084229">
            <w:pPr>
              <w:pStyle w:val="Tabletext"/>
            </w:pPr>
            <w:r w:rsidRPr="00C76089">
              <w:t>53</w:t>
            </w:r>
          </w:p>
        </w:tc>
        <w:tc>
          <w:tcPr>
            <w:tcW w:w="1418" w:type="dxa"/>
          </w:tcPr>
          <w:p w:rsidR="00C9115F" w:rsidRPr="00C76089" w:rsidRDefault="00C9115F" w:rsidP="00084229">
            <w:pPr>
              <w:pStyle w:val="Tabletext"/>
            </w:pPr>
            <w:r w:rsidRPr="00C76089">
              <w:t>Female</w:t>
            </w:r>
          </w:p>
        </w:tc>
        <w:tc>
          <w:tcPr>
            <w:tcW w:w="3402" w:type="dxa"/>
          </w:tcPr>
          <w:p w:rsidR="00C9115F" w:rsidRPr="00C76089" w:rsidRDefault="001557FE" w:rsidP="00084229">
            <w:pPr>
              <w:pStyle w:val="Tabletext"/>
            </w:pPr>
            <w:r>
              <w:t xml:space="preserve">(former equivalent of) </w:t>
            </w:r>
            <w:r w:rsidR="00C9115F" w:rsidRPr="00C76089">
              <w:t>Cert. III Business Administration</w:t>
            </w:r>
          </w:p>
        </w:tc>
      </w:tr>
      <w:tr w:rsidR="00C9115F" w:rsidRPr="00316228" w:rsidTr="00C60B40">
        <w:tc>
          <w:tcPr>
            <w:tcW w:w="2694" w:type="dxa"/>
          </w:tcPr>
          <w:p w:rsidR="00C9115F" w:rsidRPr="00C76089" w:rsidRDefault="00C9115F" w:rsidP="00084229">
            <w:pPr>
              <w:pStyle w:val="Tabletext"/>
            </w:pPr>
            <w:r w:rsidRPr="00C76089">
              <w:t>Financial planner</w:t>
            </w:r>
          </w:p>
        </w:tc>
        <w:tc>
          <w:tcPr>
            <w:tcW w:w="1275" w:type="dxa"/>
          </w:tcPr>
          <w:p w:rsidR="00C9115F" w:rsidRPr="00C76089" w:rsidRDefault="00C9115F" w:rsidP="00084229">
            <w:pPr>
              <w:pStyle w:val="Tabletext"/>
            </w:pPr>
            <w:r w:rsidRPr="00C76089">
              <w:t>32</w:t>
            </w:r>
          </w:p>
        </w:tc>
        <w:tc>
          <w:tcPr>
            <w:tcW w:w="1418" w:type="dxa"/>
          </w:tcPr>
          <w:p w:rsidR="00C9115F" w:rsidRPr="00C76089" w:rsidRDefault="00C9115F" w:rsidP="00084229">
            <w:pPr>
              <w:pStyle w:val="Tabletext"/>
            </w:pPr>
            <w:r w:rsidRPr="00C76089">
              <w:t>Male</w:t>
            </w:r>
          </w:p>
        </w:tc>
        <w:tc>
          <w:tcPr>
            <w:tcW w:w="3402" w:type="dxa"/>
          </w:tcPr>
          <w:p w:rsidR="00C9115F" w:rsidRPr="00C76089" w:rsidRDefault="00C9115F" w:rsidP="00084229">
            <w:pPr>
              <w:pStyle w:val="Tabletext"/>
            </w:pPr>
            <w:r w:rsidRPr="00C76089">
              <w:t>Diploma of Financial Services</w:t>
            </w:r>
          </w:p>
        </w:tc>
      </w:tr>
      <w:tr w:rsidR="00C9115F" w:rsidRPr="00316228" w:rsidTr="00C60B40">
        <w:tc>
          <w:tcPr>
            <w:tcW w:w="2694" w:type="dxa"/>
          </w:tcPr>
          <w:p w:rsidR="00C9115F" w:rsidRPr="00C76089" w:rsidRDefault="00C9115F" w:rsidP="00084229">
            <w:pPr>
              <w:pStyle w:val="Tabletext"/>
            </w:pPr>
            <w:r w:rsidRPr="00C76089">
              <w:t>Mortgage broker</w:t>
            </w:r>
          </w:p>
        </w:tc>
        <w:tc>
          <w:tcPr>
            <w:tcW w:w="1275" w:type="dxa"/>
          </w:tcPr>
          <w:p w:rsidR="00C9115F" w:rsidRPr="00C76089" w:rsidRDefault="00C9115F" w:rsidP="00084229">
            <w:pPr>
              <w:pStyle w:val="Tabletext"/>
            </w:pPr>
            <w:r w:rsidRPr="00C76089">
              <w:t>40</w:t>
            </w:r>
          </w:p>
        </w:tc>
        <w:tc>
          <w:tcPr>
            <w:tcW w:w="1418" w:type="dxa"/>
          </w:tcPr>
          <w:p w:rsidR="00C9115F" w:rsidRPr="00C76089" w:rsidRDefault="00C9115F" w:rsidP="00084229">
            <w:pPr>
              <w:pStyle w:val="Tabletext"/>
            </w:pPr>
            <w:r w:rsidRPr="00C76089">
              <w:t>Male</w:t>
            </w:r>
          </w:p>
        </w:tc>
        <w:tc>
          <w:tcPr>
            <w:tcW w:w="3402" w:type="dxa"/>
          </w:tcPr>
          <w:p w:rsidR="00C9115F" w:rsidRPr="00C76089" w:rsidRDefault="00C9115F" w:rsidP="00084229">
            <w:pPr>
              <w:pStyle w:val="Tabletext"/>
            </w:pPr>
            <w:r w:rsidRPr="00C76089">
              <w:t>Bachelor of Commerce; Masters of Business Studies; Certificate IV in Mortgage Broking</w:t>
            </w:r>
          </w:p>
        </w:tc>
      </w:tr>
      <w:tr w:rsidR="00C9115F" w:rsidRPr="00316228" w:rsidTr="00C60B40">
        <w:tc>
          <w:tcPr>
            <w:tcW w:w="2694" w:type="dxa"/>
          </w:tcPr>
          <w:p w:rsidR="00C9115F" w:rsidRPr="00C76089" w:rsidRDefault="00C9115F" w:rsidP="00084229">
            <w:pPr>
              <w:pStyle w:val="Tabletext"/>
            </w:pPr>
            <w:r w:rsidRPr="00C76089">
              <w:t>Branch manager</w:t>
            </w:r>
          </w:p>
        </w:tc>
        <w:tc>
          <w:tcPr>
            <w:tcW w:w="1275" w:type="dxa"/>
          </w:tcPr>
          <w:p w:rsidR="00C9115F" w:rsidRPr="00C76089" w:rsidRDefault="00C9115F" w:rsidP="00084229">
            <w:pPr>
              <w:pStyle w:val="Tabletext"/>
            </w:pPr>
            <w:r w:rsidRPr="00C76089">
              <w:t>48</w:t>
            </w:r>
          </w:p>
        </w:tc>
        <w:tc>
          <w:tcPr>
            <w:tcW w:w="1418" w:type="dxa"/>
          </w:tcPr>
          <w:p w:rsidR="00C9115F" w:rsidRPr="00C76089" w:rsidRDefault="00C9115F" w:rsidP="00084229">
            <w:pPr>
              <w:pStyle w:val="Tabletext"/>
            </w:pPr>
            <w:r w:rsidRPr="00C76089">
              <w:t>Female</w:t>
            </w:r>
          </w:p>
        </w:tc>
        <w:tc>
          <w:tcPr>
            <w:tcW w:w="3402" w:type="dxa"/>
          </w:tcPr>
          <w:p w:rsidR="00C9115F" w:rsidRPr="00C76089" w:rsidRDefault="00C9115F" w:rsidP="00C60B40">
            <w:pPr>
              <w:pStyle w:val="Tabletext"/>
            </w:pPr>
            <w:r w:rsidRPr="00C76089">
              <w:t>Cert. IV Workplace Assessor and Training; Cert.</w:t>
            </w:r>
            <w:r w:rsidR="00C60B40">
              <w:t> </w:t>
            </w:r>
            <w:r w:rsidRPr="00C76089">
              <w:t>IV Mortgage Broking (enrolled)</w:t>
            </w:r>
          </w:p>
        </w:tc>
      </w:tr>
      <w:tr w:rsidR="00C9115F" w:rsidRPr="00316228" w:rsidTr="00C60B40">
        <w:tc>
          <w:tcPr>
            <w:tcW w:w="2694" w:type="dxa"/>
          </w:tcPr>
          <w:p w:rsidR="00C9115F" w:rsidRPr="00C76089" w:rsidRDefault="00C9115F" w:rsidP="00084229">
            <w:pPr>
              <w:pStyle w:val="Tabletext"/>
            </w:pPr>
            <w:r w:rsidRPr="00C76089">
              <w:t>Call centre operator</w:t>
            </w:r>
          </w:p>
        </w:tc>
        <w:tc>
          <w:tcPr>
            <w:tcW w:w="1275" w:type="dxa"/>
          </w:tcPr>
          <w:p w:rsidR="00C9115F" w:rsidRPr="00C76089" w:rsidRDefault="00C9115F" w:rsidP="00084229">
            <w:pPr>
              <w:pStyle w:val="Tabletext"/>
            </w:pPr>
            <w:r w:rsidRPr="00C76089">
              <w:t>55</w:t>
            </w:r>
          </w:p>
        </w:tc>
        <w:tc>
          <w:tcPr>
            <w:tcW w:w="1418" w:type="dxa"/>
          </w:tcPr>
          <w:p w:rsidR="00C9115F" w:rsidRPr="00C76089" w:rsidRDefault="00C9115F" w:rsidP="00084229">
            <w:pPr>
              <w:pStyle w:val="Tabletext"/>
            </w:pPr>
            <w:r w:rsidRPr="00C76089">
              <w:t>Female</w:t>
            </w:r>
          </w:p>
        </w:tc>
        <w:tc>
          <w:tcPr>
            <w:tcW w:w="3402" w:type="dxa"/>
          </w:tcPr>
          <w:p w:rsidR="00C9115F" w:rsidRPr="00C76089" w:rsidRDefault="00C9115F" w:rsidP="00084229">
            <w:pPr>
              <w:pStyle w:val="Tabletext"/>
            </w:pPr>
            <w:r w:rsidRPr="00C76089">
              <w:t>Cert. III in Tourism</w:t>
            </w:r>
          </w:p>
        </w:tc>
      </w:tr>
      <w:tr w:rsidR="00C9115F" w:rsidRPr="00316228" w:rsidTr="00C60B40">
        <w:tc>
          <w:tcPr>
            <w:tcW w:w="2694" w:type="dxa"/>
          </w:tcPr>
          <w:p w:rsidR="00C9115F" w:rsidRPr="00C76089" w:rsidRDefault="00C9115F" w:rsidP="00084229">
            <w:pPr>
              <w:pStyle w:val="Tabletext"/>
            </w:pPr>
            <w:r w:rsidRPr="00C76089">
              <w:t xml:space="preserve">Chief </w:t>
            </w:r>
            <w:r w:rsidR="001557FE" w:rsidRPr="00C76089">
              <w:t>investment officer</w:t>
            </w:r>
          </w:p>
        </w:tc>
        <w:tc>
          <w:tcPr>
            <w:tcW w:w="1275" w:type="dxa"/>
          </w:tcPr>
          <w:p w:rsidR="00C9115F" w:rsidRPr="00C76089" w:rsidRDefault="00C9115F" w:rsidP="00084229">
            <w:pPr>
              <w:pStyle w:val="Tabletext"/>
            </w:pPr>
            <w:r w:rsidRPr="00C76089">
              <w:t>54</w:t>
            </w:r>
          </w:p>
        </w:tc>
        <w:tc>
          <w:tcPr>
            <w:tcW w:w="1418" w:type="dxa"/>
          </w:tcPr>
          <w:p w:rsidR="00C9115F" w:rsidRPr="00C76089" w:rsidRDefault="00C9115F" w:rsidP="00084229">
            <w:pPr>
              <w:pStyle w:val="Tabletext"/>
            </w:pPr>
            <w:r w:rsidRPr="00C76089">
              <w:t>Male</w:t>
            </w:r>
          </w:p>
        </w:tc>
        <w:tc>
          <w:tcPr>
            <w:tcW w:w="3402" w:type="dxa"/>
          </w:tcPr>
          <w:p w:rsidR="00C9115F" w:rsidRPr="00C76089" w:rsidRDefault="00C9115F" w:rsidP="00084229">
            <w:pPr>
              <w:pStyle w:val="Tabletext"/>
            </w:pPr>
            <w:r w:rsidRPr="00C76089">
              <w:t>Bachelor of Commerce</w:t>
            </w:r>
          </w:p>
        </w:tc>
      </w:tr>
    </w:tbl>
    <w:p w:rsidR="00C9115F" w:rsidRDefault="00C9115F" w:rsidP="00C60B40">
      <w:pPr>
        <w:pStyle w:val="Textmorebefore"/>
      </w:pPr>
      <w:r>
        <w:t xml:space="preserve">Access to </w:t>
      </w:r>
      <w:r w:rsidR="0082555F">
        <w:t>high-skill</w:t>
      </w:r>
      <w:r>
        <w:t xml:space="preserve"> employment in financial services is mediated by high entry barriers in terms of qualifications and experience, yet not predominantly in the form of </w:t>
      </w:r>
      <w:r w:rsidR="00622475">
        <w:t xml:space="preserve">the </w:t>
      </w:r>
      <w:r>
        <w:t xml:space="preserve">mandated licensing or </w:t>
      </w:r>
      <w:r>
        <w:lastRenderedPageBreak/>
        <w:t>certification requirements of government or occupational groups. While there is a broad range of occupations</w:t>
      </w:r>
      <w:r>
        <w:rPr>
          <w:rStyle w:val="FootnoteReference"/>
        </w:rPr>
        <w:footnoteReference w:id="2"/>
      </w:r>
      <w:r w:rsidR="00B6039E">
        <w:t xml:space="preserve"> </w:t>
      </w:r>
      <w:r w:rsidR="00622475">
        <w:t>that</w:t>
      </w:r>
      <w:r>
        <w:t xml:space="preserve"> require an Australian Financial Services (AFS) licence from the Australian Securities and Investments Commission (ASIC), the requirements for the licence focus on broad organisational issues such as adequate resourcing, risk management and compliance systems.</w:t>
      </w:r>
      <w:r>
        <w:rPr>
          <w:rStyle w:val="FootnoteReference"/>
        </w:rPr>
        <w:footnoteReference w:id="3"/>
      </w:r>
      <w:r>
        <w:t xml:space="preserve"> The A</w:t>
      </w:r>
      <w:r w:rsidR="00DD44AC">
        <w:t xml:space="preserve">ustralian </w:t>
      </w:r>
      <w:r>
        <w:t>F</w:t>
      </w:r>
      <w:r w:rsidR="00DD44AC">
        <w:t xml:space="preserve">inancial </w:t>
      </w:r>
      <w:r>
        <w:t>S</w:t>
      </w:r>
      <w:r w:rsidR="00DD44AC">
        <w:t>ervices</w:t>
      </w:r>
      <w:r>
        <w:t xml:space="preserve"> licence does set out some minimum training standards for those providing financial advice to re</w:t>
      </w:r>
      <w:r w:rsidR="001557FE">
        <w:t>tail clients;</w:t>
      </w:r>
      <w:r>
        <w:t xml:space="preserve"> however</w:t>
      </w:r>
      <w:r w:rsidR="001557FE">
        <w:t>,</w:t>
      </w:r>
      <w:r>
        <w:t xml:space="preserve"> these are commensurate with the </w:t>
      </w:r>
      <w:r w:rsidR="001557FE">
        <w:t xml:space="preserve">certificate </w:t>
      </w:r>
      <w:r w:rsidR="00622475">
        <w:t>III</w:t>
      </w:r>
      <w:r w:rsidR="001557FE">
        <w:t xml:space="preserve"> and diploma </w:t>
      </w:r>
      <w:r>
        <w:t>levels of the Australian Qualifications Framework.</w:t>
      </w:r>
      <w:r>
        <w:rPr>
          <w:rStyle w:val="FootnoteReference"/>
        </w:rPr>
        <w:footnoteReference w:id="4"/>
      </w:r>
      <w:r>
        <w:t xml:space="preserve"> Amongst some staff (responsible managers), higher standards of knowledge and skill standards exist which combine </w:t>
      </w:r>
      <w:r w:rsidR="00DD44AC">
        <w:t xml:space="preserve">the </w:t>
      </w:r>
      <w:r w:rsidR="00622475">
        <w:t>AQF</w:t>
      </w:r>
      <w:r>
        <w:t xml:space="preserve">, industry and Australian Prudential Regulation Authority (APRA) standards and years of experience. These flexible standards exist alongside a highly qualified workforce, with </w:t>
      </w:r>
      <w:r w:rsidR="001A4E98">
        <w:t>more than</w:t>
      </w:r>
      <w:r>
        <w:t xml:space="preserve"> 38</w:t>
      </w:r>
      <w:r w:rsidR="00577AA0">
        <w:t>%</w:t>
      </w:r>
      <w:r>
        <w:t xml:space="preserve"> possessing a bachelor’s degree or higher </w:t>
      </w:r>
      <w:r w:rsidR="001557FE" w:rsidRPr="00E228B3">
        <w:t>(IBSA</w:t>
      </w:r>
      <w:r w:rsidRPr="00E228B3">
        <w:t xml:space="preserve"> 20</w:t>
      </w:r>
      <w:r>
        <w:t>10).</w:t>
      </w:r>
    </w:p>
    <w:p w:rsidR="00C9115F" w:rsidRDefault="00C9115F" w:rsidP="00C9115F">
      <w:pPr>
        <w:pStyle w:val="Text"/>
      </w:pPr>
      <w:r>
        <w:t>With this context in mind, we summarise the key themes arising from the interviews below.</w:t>
      </w:r>
    </w:p>
    <w:p w:rsidR="00C9115F" w:rsidRPr="00C60B40" w:rsidRDefault="00C9115F" w:rsidP="00C60B40">
      <w:pPr>
        <w:pStyle w:val="Text"/>
        <w:ind w:left="284" w:right="0"/>
        <w:rPr>
          <w:i/>
        </w:rPr>
      </w:pPr>
      <w:r w:rsidRPr="00C60B40">
        <w:rPr>
          <w:i/>
        </w:rPr>
        <w:t xml:space="preserve">Formal qualifications have </w:t>
      </w:r>
      <w:r w:rsidR="001557FE" w:rsidRPr="00C60B40">
        <w:rPr>
          <w:i/>
        </w:rPr>
        <w:t>become more important over time</w:t>
      </w:r>
      <w:r w:rsidRPr="00C60B40">
        <w:rPr>
          <w:i/>
        </w:rPr>
        <w:t xml:space="preserve"> in two key ways. First, minimum educational standards are becoming tighter in the licensing of some occupations. Second, they are used </w:t>
      </w:r>
      <w:r w:rsidR="00622475" w:rsidRPr="00C60B40">
        <w:rPr>
          <w:i/>
        </w:rPr>
        <w:t>widely</w:t>
      </w:r>
      <w:r w:rsidRPr="00C60B40">
        <w:rPr>
          <w:i/>
        </w:rPr>
        <w:t xml:space="preserve"> to screen job applicants at many levels, particularly amongst university graduates. However, it is the capacity t</w:t>
      </w:r>
      <w:r w:rsidR="00622475" w:rsidRPr="00C60B40">
        <w:rPr>
          <w:i/>
        </w:rPr>
        <w:t>o learn and the</w:t>
      </w:r>
      <w:r w:rsidR="001557FE" w:rsidRPr="00C60B40">
        <w:rPr>
          <w:i/>
        </w:rPr>
        <w:t xml:space="preserve"> analytical and problem-</w:t>
      </w:r>
      <w:r w:rsidRPr="00C60B40">
        <w:rPr>
          <w:i/>
        </w:rPr>
        <w:t xml:space="preserve">solving skills attached to these degrees, rather than the disciplinary knowledge, which </w:t>
      </w:r>
      <w:r w:rsidR="00622475" w:rsidRPr="00C60B40">
        <w:rPr>
          <w:i/>
        </w:rPr>
        <w:t>are</w:t>
      </w:r>
      <w:r w:rsidRPr="00C60B40">
        <w:rPr>
          <w:i/>
        </w:rPr>
        <w:t xml:space="preserve"> sought.</w:t>
      </w:r>
    </w:p>
    <w:p w:rsidR="00C9115F" w:rsidRDefault="00C9115F" w:rsidP="00C9115F">
      <w:pPr>
        <w:pStyle w:val="Text"/>
      </w:pPr>
      <w:r w:rsidRPr="006F4FE8">
        <w:t>All interviewees reported the increasing importance of formal quali</w:t>
      </w:r>
      <w:r w:rsidR="00622475">
        <w:t>fications over time. At the low-to-</w:t>
      </w:r>
      <w:r w:rsidRPr="006F4FE8">
        <w:t xml:space="preserve">medium section of the skill spectrum, many financial services workers are </w:t>
      </w:r>
      <w:r w:rsidR="001557FE" w:rsidRPr="006F4FE8">
        <w:t xml:space="preserve">now </w:t>
      </w:r>
      <w:r w:rsidRPr="006F4FE8">
        <w:t xml:space="preserve">required (and supported) by their organisations to possess a minimum Certificate III in Financial Services, while numerous occupations such as financial advisers and mortgage brokers are moving towards more advanced VET qualifications for licensing and professional membership requirements. Also while the licensing conditions set out by </w:t>
      </w:r>
      <w:r w:rsidR="00026D41">
        <w:t>the Australian Prudential Regulation Authority</w:t>
      </w:r>
      <w:r w:rsidRPr="006F4FE8">
        <w:t xml:space="preserve"> and </w:t>
      </w:r>
      <w:r w:rsidR="00026D41">
        <w:t>the Australian Securities and Investments Commission</w:t>
      </w:r>
      <w:r w:rsidRPr="006F4FE8">
        <w:t xml:space="preserve"> are generally not prescriptive about training standards for many of those in financial services, a suite of indust</w:t>
      </w:r>
      <w:r>
        <w:t>ry standards and qualifications</w:t>
      </w:r>
      <w:r w:rsidR="00622475">
        <w:t xml:space="preserve"> do apply</w:t>
      </w:r>
      <w:r w:rsidRPr="006F4FE8">
        <w:t>.</w:t>
      </w:r>
      <w:r>
        <w:rPr>
          <w:rStyle w:val="FootnoteReference"/>
        </w:rPr>
        <w:footnoteReference w:id="5"/>
      </w:r>
      <w:r w:rsidRPr="006F4FE8">
        <w:t xml:space="preserve"> These are largely delivered through occupational bodies, often in collaboration with educational institutions. Such programs typically prescribe curriculum, assessment and experience requirements for completion, and many of these standa</w:t>
      </w:r>
      <w:r w:rsidR="00622475">
        <w:t xml:space="preserve">rds set informal benchmarks </w:t>
      </w:r>
      <w:r w:rsidRPr="006F4FE8">
        <w:t>in specific occupations. All respondents emphasised a strong level of emp</w:t>
      </w:r>
      <w:r w:rsidR="00026D41">
        <w:t>loyer support for further study;</w:t>
      </w:r>
      <w:r w:rsidRPr="006F4FE8">
        <w:t xml:space="preserve"> however, these studies are typically undertaken while working full-time within the industry (rather than prio</w:t>
      </w:r>
      <w:r w:rsidR="00622475">
        <w:t>r to entry), they are not compulsory</w:t>
      </w:r>
      <w:r w:rsidRPr="006F4FE8">
        <w:t xml:space="preserve"> and their attainment is often not</w:t>
      </w:r>
      <w:r w:rsidR="00622475">
        <w:t xml:space="preserve"> explicitly linked to promotion</w:t>
      </w:r>
      <w:r w:rsidRPr="006F4FE8">
        <w:t xml:space="preserve"> or progression.</w:t>
      </w:r>
      <w:r w:rsidR="00B6039E">
        <w:t xml:space="preserve"> </w:t>
      </w:r>
      <w:r w:rsidRPr="006F4FE8">
        <w:t>The importance of these qualifications is reflected in the following comments:</w:t>
      </w:r>
    </w:p>
    <w:p w:rsidR="00C9115F" w:rsidRDefault="00C9115F" w:rsidP="00AD203F">
      <w:pPr>
        <w:pStyle w:val="Quote"/>
      </w:pPr>
      <w:r w:rsidRPr="006F4FE8">
        <w:t>As time went on, a lot of financial institutions then as a matter of course would introduce that qualification [Cert III Financial Services] to be done during work time anyway</w:t>
      </w:r>
      <w:r w:rsidR="00026D41">
        <w:t xml:space="preserve"> </w:t>
      </w:r>
      <w:r w:rsidR="00C60B40">
        <w:t>…</w:t>
      </w:r>
      <w:r w:rsidRPr="006F4FE8">
        <w:t xml:space="preserve"> I don’t really actually think you get a choice to be honest, I think you’ve just got to do it</w:t>
      </w:r>
      <w:r w:rsidR="00026D41">
        <w:t xml:space="preserve"> </w:t>
      </w:r>
      <w:r w:rsidR="00C60B40">
        <w:t>…</w:t>
      </w:r>
      <w:r w:rsidRPr="006F4FE8">
        <w:t xml:space="preserve"> Certainly they will hire people without it, on the undertaking that they will be doing that study.</w:t>
      </w:r>
      <w:r w:rsidR="00622475">
        <w:tab/>
      </w:r>
      <w:r w:rsidR="00026D41">
        <w:t>(</w:t>
      </w:r>
      <w:r w:rsidR="00622475">
        <w:t>Branch m</w:t>
      </w:r>
      <w:r w:rsidRPr="006F4FE8">
        <w:t>anager</w:t>
      </w:r>
      <w:r w:rsidR="00026D41">
        <w:t>)</w:t>
      </w:r>
    </w:p>
    <w:p w:rsidR="00C9115F" w:rsidRDefault="00C9115F" w:rsidP="00C9115F">
      <w:pPr>
        <w:pStyle w:val="Text"/>
      </w:pPr>
      <w:r w:rsidRPr="00E228B3">
        <w:lastRenderedPageBreak/>
        <w:t>Buchanan</w:t>
      </w:r>
      <w:r w:rsidR="00E228B3">
        <w:t xml:space="preserve"> et al.</w:t>
      </w:r>
      <w:r w:rsidRPr="00E228B3">
        <w:t xml:space="preserve"> (2010)</w:t>
      </w:r>
      <w:r w:rsidRPr="00501161">
        <w:t xml:space="preserve"> found that entry barriers into </w:t>
      </w:r>
      <w:r w:rsidR="0082555F">
        <w:t>high-skill</w:t>
      </w:r>
      <w:r w:rsidRPr="00501161">
        <w:t xml:space="preserve"> roles existed</w:t>
      </w:r>
      <w:r w:rsidR="00026D41">
        <w:t>,</w:t>
      </w:r>
      <w:r w:rsidRPr="00501161">
        <w:t xml:space="preserve"> not through the formal licensing requirements, but thr</w:t>
      </w:r>
      <w:r w:rsidR="00622475">
        <w:t>ough recruitment processes,</w:t>
      </w:r>
      <w:r w:rsidRPr="00501161">
        <w:t xml:space="preserve"> focused almost exclusively on a broad pool of degree-qualified applicants. Our interviewees valued the high level of generic skills </w:t>
      </w:r>
      <w:r w:rsidR="00026D41">
        <w:t>present in university graduates and focused more on problem-</w:t>
      </w:r>
      <w:r w:rsidRPr="00501161">
        <w:t>solving and analytical</w:t>
      </w:r>
      <w:r w:rsidR="00622475">
        <w:t xml:space="preserve"> skills, over discipline-</w:t>
      </w:r>
      <w:r w:rsidRPr="00501161">
        <w:t>specific knowledge:</w:t>
      </w:r>
    </w:p>
    <w:p w:rsidR="00C9115F" w:rsidRDefault="00C9115F" w:rsidP="00AD203F">
      <w:pPr>
        <w:pStyle w:val="Quote"/>
      </w:pPr>
      <w:r>
        <w:t>I recruit people and we’re looking for smart people. They don’t necessarily have to have a qualification in the specific area that we work in</w:t>
      </w:r>
      <w:r w:rsidR="00026D41">
        <w:t xml:space="preserve"> </w:t>
      </w:r>
      <w:r w:rsidR="00C60B40">
        <w:t>…</w:t>
      </w:r>
      <w:r>
        <w:t xml:space="preserve"> it’s usually to do with their degree and the levels of marks</w:t>
      </w:r>
      <w:r w:rsidR="00026D41">
        <w:t xml:space="preserve"> </w:t>
      </w:r>
      <w:r w:rsidR="00C60B40">
        <w:t>…</w:t>
      </w:r>
      <w:r w:rsidR="00026D41">
        <w:t xml:space="preserve"> </w:t>
      </w:r>
      <w:r>
        <w:t xml:space="preserve">it’s the raw material that is the key thing because if you’re smart then you </w:t>
      </w:r>
      <w:r w:rsidR="00026D41">
        <w:t>can pick up anything.</w:t>
      </w:r>
      <w:r w:rsidR="00026D41">
        <w:tab/>
        <w:t>Research m</w:t>
      </w:r>
      <w:r>
        <w:t>anager</w:t>
      </w:r>
    </w:p>
    <w:p w:rsidR="00C9115F" w:rsidRDefault="00C9115F" w:rsidP="00AD203F">
      <w:pPr>
        <w:pStyle w:val="Quote"/>
      </w:pPr>
      <w:r>
        <w:t>I’ve been involved in the graduate recruiting roles and I think the qualificatio</w:t>
      </w:r>
      <w:r w:rsidR="00026D41">
        <w:t>ns really are an indication of —</w:t>
      </w:r>
      <w:r>
        <w:t xml:space="preserve"> they show that someone has the capability to grasp concepts to work through problems</w:t>
      </w:r>
      <w:r w:rsidR="00026D41">
        <w:t xml:space="preserve"> </w:t>
      </w:r>
      <w:r w:rsidR="00C60B40">
        <w:t>…</w:t>
      </w:r>
      <w:r w:rsidR="00026D41">
        <w:t xml:space="preserve"> </w:t>
      </w:r>
      <w:r>
        <w:t>I think qualifications are important, not necessarily for the knowledge behind them but again for what they show about the way that person thinks, the way t</w:t>
      </w:r>
      <w:r w:rsidR="00026D41">
        <w:t>hat person can work.</w:t>
      </w:r>
      <w:r w:rsidR="00C60B40">
        <w:br/>
      </w:r>
      <w:r w:rsidR="00026D41">
        <w:tab/>
        <w:t>Portfolio m</w:t>
      </w:r>
      <w:r>
        <w:t>anager</w:t>
      </w:r>
    </w:p>
    <w:p w:rsidR="00C9115F" w:rsidRDefault="00C9115F" w:rsidP="00AD203F">
      <w:pPr>
        <w:pStyle w:val="Quote"/>
      </w:pPr>
      <w:r>
        <w:t>There’s not that many these days that don’t [have a degree].</w:t>
      </w:r>
      <w:r w:rsidR="00B6039E">
        <w:t xml:space="preserve"> </w:t>
      </w:r>
      <w:r>
        <w:t>I mean, in my day</w:t>
      </w:r>
      <w:r w:rsidR="00622475">
        <w:t>, going back to the mid-1980s</w:t>
      </w:r>
      <w:r>
        <w:t>, not that many people had degrees really</w:t>
      </w:r>
      <w:r w:rsidR="00026D41">
        <w:t xml:space="preserve"> </w:t>
      </w:r>
      <w:r w:rsidR="00C60B40">
        <w:t>…</w:t>
      </w:r>
      <w:r>
        <w:t xml:space="preserve"> [Today] if you had a list of 25 applicants to cho</w:t>
      </w:r>
      <w:r w:rsidR="001A4E98">
        <w:t>o</w:t>
      </w:r>
      <w:r>
        <w:t>se from, you’d have to whittle it down to something that’s manageable, and obviously having a degree is an easy way out.</w:t>
      </w:r>
      <w:r>
        <w:tab/>
        <w:t xml:space="preserve">Chief </w:t>
      </w:r>
      <w:r w:rsidR="00026D41">
        <w:t>investment officer</w:t>
      </w:r>
    </w:p>
    <w:p w:rsidR="00C9115F" w:rsidRPr="00C60B40" w:rsidRDefault="00C9115F" w:rsidP="00C60B40">
      <w:pPr>
        <w:pStyle w:val="Text"/>
        <w:ind w:left="284" w:right="0"/>
        <w:rPr>
          <w:i/>
        </w:rPr>
      </w:pPr>
      <w:r w:rsidRPr="00C60B40">
        <w:rPr>
          <w:i/>
        </w:rPr>
        <w:t>The business settings in financial</w:t>
      </w:r>
      <w:r w:rsidR="00622475" w:rsidRPr="00C60B40">
        <w:rPr>
          <w:i/>
        </w:rPr>
        <w:t xml:space="preserve"> services are extremely dynamic</w:t>
      </w:r>
      <w:r w:rsidRPr="00C60B40">
        <w:rPr>
          <w:i/>
        </w:rPr>
        <w:t xml:space="preserve"> and</w:t>
      </w:r>
      <w:r w:rsidR="001A4E98">
        <w:rPr>
          <w:i/>
        </w:rPr>
        <w:t xml:space="preserve"> </w:t>
      </w:r>
      <w:r w:rsidR="001A4E98" w:rsidRPr="00C60B40">
        <w:rPr>
          <w:i/>
        </w:rPr>
        <w:t>consequently</w:t>
      </w:r>
      <w:r w:rsidR="00622475" w:rsidRPr="00C60B40">
        <w:rPr>
          <w:i/>
        </w:rPr>
        <w:t>,</w:t>
      </w:r>
      <w:r w:rsidRPr="00C60B40">
        <w:rPr>
          <w:i/>
        </w:rPr>
        <w:t xml:space="preserve"> for workforce entrants, skills demand is focused squarely on generic skills</w:t>
      </w:r>
      <w:r w:rsidR="00622475" w:rsidRPr="00C60B40">
        <w:rPr>
          <w:i/>
        </w:rPr>
        <w:t xml:space="preserve"> such as communication, problem-</w:t>
      </w:r>
      <w:r w:rsidRPr="00C60B40">
        <w:rPr>
          <w:i/>
        </w:rPr>
        <w:t>solving and analytical skills.</w:t>
      </w:r>
    </w:p>
    <w:p w:rsidR="00C9115F" w:rsidRDefault="00C9115F" w:rsidP="00C9115F">
      <w:pPr>
        <w:pStyle w:val="Text"/>
      </w:pPr>
      <w:r w:rsidRPr="00380968">
        <w:t>In terms of the skills ecosystem framework, financial services offer a different context</w:t>
      </w:r>
      <w:r w:rsidR="00C42A05">
        <w:t>,</w:t>
      </w:r>
      <w:r w:rsidRPr="00380968">
        <w:t xml:space="preserve"> </w:t>
      </w:r>
      <w:r w:rsidR="00C42A05">
        <w:t>in that</w:t>
      </w:r>
      <w:r w:rsidRPr="00380968">
        <w:t xml:space="preserve"> the business settings, institutional and regulatory frameworks, the structure of jobs and the type</w:t>
      </w:r>
      <w:r w:rsidR="00C42A05">
        <w:t>s</w:t>
      </w:r>
      <w:r w:rsidRPr="00380968">
        <w:t xml:space="preserve"> of skill formation a</w:t>
      </w:r>
      <w:r w:rsidR="00026D41">
        <w:t>re all very dynamic. Adams,</w:t>
      </w:r>
      <w:r w:rsidR="00A279C6">
        <w:t xml:space="preserve"> Antonacopoulou and Neely</w:t>
      </w:r>
      <w:r w:rsidRPr="00380968">
        <w:t xml:space="preserve"> (2008) ide</w:t>
      </w:r>
      <w:r w:rsidR="00622475">
        <w:t>ntified challenges raised by this</w:t>
      </w:r>
      <w:r w:rsidRPr="00380968">
        <w:t xml:space="preserve"> industry, which include more liberalised, internationalised and emerging</w:t>
      </w:r>
      <w:r w:rsidR="00A279C6">
        <w:t xml:space="preserve"> markets, changes in technology</w:t>
      </w:r>
      <w:r w:rsidRPr="00380968">
        <w:t xml:space="preserve"> and new regulatory frameworks. Most respondents in financial services said changes in job structure and design had occurred in response to one or more of these challenges, and indeed these changes are reflected in both the composition and level of financial services employment (</w:t>
      </w:r>
      <w:r w:rsidR="00CE20E7">
        <w:t>for example,</w:t>
      </w:r>
      <w:r w:rsidR="00A279C6">
        <w:t xml:space="preserve"> Rae</w:t>
      </w:r>
      <w:r w:rsidRPr="00380968">
        <w:t xml:space="preserve"> 2008). Business and regulatory responses to the global financial crisis and the ongoing recovery attest to the dynamism of the financial markets.</w:t>
      </w:r>
    </w:p>
    <w:p w:rsidR="00C9115F" w:rsidRDefault="00C9115F" w:rsidP="00AD203F">
      <w:pPr>
        <w:pStyle w:val="Quote"/>
      </w:pPr>
      <w:r>
        <w:t>If the mortgage market collapses, if people stop borrowing money as they have been in places like Europe and America because of what’s happened, then my position will bec</w:t>
      </w:r>
      <w:r w:rsidR="00A279C6">
        <w:t>ome redundant anyway.</w:t>
      </w:r>
      <w:r w:rsidR="00A279C6">
        <w:tab/>
        <w:t>Mortgage b</w:t>
      </w:r>
      <w:r>
        <w:t>roker</w:t>
      </w:r>
    </w:p>
    <w:p w:rsidR="00C9115F" w:rsidRDefault="00C9115F" w:rsidP="00C9115F">
      <w:pPr>
        <w:pStyle w:val="Text"/>
      </w:pPr>
      <w:r w:rsidRPr="00380968">
        <w:t>Under such dynamic and flexible, yet precarious</w:t>
      </w:r>
      <w:r w:rsidR="00C42A05">
        <w:t xml:space="preserve">, business settings, </w:t>
      </w:r>
      <w:r w:rsidRPr="00380968">
        <w:t>generic skills w</w:t>
      </w:r>
      <w:r w:rsidR="00C42A05">
        <w:t>ere</w:t>
      </w:r>
      <w:r w:rsidRPr="00380968">
        <w:t xml:space="preserve"> </w:t>
      </w:r>
      <w:r w:rsidR="00C42A05">
        <w:t>agreed</w:t>
      </w:r>
      <w:r w:rsidRPr="00380968">
        <w:t xml:space="preserve"> to be</w:t>
      </w:r>
      <w:r w:rsidR="00C42A05">
        <w:t xml:space="preserve"> of</w:t>
      </w:r>
      <w:r w:rsidRPr="00380968">
        <w:t xml:space="preserve"> paramount </w:t>
      </w:r>
      <w:r w:rsidR="00C42A05">
        <w:t xml:space="preserve">importance </w:t>
      </w:r>
      <w:r w:rsidRPr="00380968">
        <w:t>at all levels. Regardless of the complexity or seniority of the role, all participants emphasised com</w:t>
      </w:r>
      <w:r w:rsidR="00C42A05">
        <w:t>munication skills, relationship-</w:t>
      </w:r>
      <w:r w:rsidRPr="00380968">
        <w:t xml:space="preserve">management skills, sales skills and a capacity to learn as being critical to both career entry and progression. Those who had </w:t>
      </w:r>
      <w:r w:rsidR="00C42A05">
        <w:t>experienced</w:t>
      </w:r>
      <w:r w:rsidRPr="00380968">
        <w:t xml:space="preserve"> substantial career progression </w:t>
      </w:r>
      <w:r w:rsidR="00C42A05">
        <w:t>had been</w:t>
      </w:r>
      <w:r w:rsidRPr="00380968">
        <w:t xml:space="preserve"> able to move either from lowly clerical roles to branch manager </w:t>
      </w:r>
      <w:r w:rsidR="00EE4C3C" w:rsidRPr="00380968">
        <w:t>roles</w:t>
      </w:r>
      <w:r w:rsidRPr="00380968">
        <w:t xml:space="preserve"> or from university graduate to portfolio manager roles, on the basis of experience and initiative rather than </w:t>
      </w:r>
      <w:r w:rsidR="00C42A05">
        <w:t xml:space="preserve">through </w:t>
      </w:r>
      <w:r w:rsidRPr="00380968">
        <w:t>the presence of structured educational or career pathways. Participants used words including ‘initiative’, ‘can-do attitude’, ‘commitment’ and ‘passion’ to describe the keys to successful recruitment and promotion. Similarly, the greatest barriers to progression were given a</w:t>
      </w:r>
      <w:r w:rsidR="00A279C6">
        <w:t xml:space="preserve">s </w:t>
      </w:r>
      <w:r w:rsidR="00C42A05">
        <w:t xml:space="preserve">a </w:t>
      </w:r>
      <w:r w:rsidR="00A279C6">
        <w:t>lack of self-drive, arrogance</w:t>
      </w:r>
      <w:r w:rsidRPr="00380968">
        <w:t xml:space="preserve"> and </w:t>
      </w:r>
      <w:r w:rsidR="00C42A05">
        <w:t xml:space="preserve">a </w:t>
      </w:r>
      <w:r w:rsidRPr="00380968">
        <w:t xml:space="preserve">lack of self-confidence. This reflects a shift towards recruitment </w:t>
      </w:r>
      <w:r w:rsidRPr="00380968">
        <w:lastRenderedPageBreak/>
        <w:t xml:space="preserve">of ‘soft skills’, such as disposition and attitude, reported by </w:t>
      </w:r>
      <w:r w:rsidRPr="00E228B3">
        <w:t>Keep (2005).</w:t>
      </w:r>
      <w:r>
        <w:t xml:space="preserve"> </w:t>
      </w:r>
      <w:r w:rsidRPr="00380968">
        <w:t>These themes are represented by the comments below:</w:t>
      </w:r>
    </w:p>
    <w:p w:rsidR="00C9115F" w:rsidRDefault="00C9115F" w:rsidP="00AD203F">
      <w:pPr>
        <w:pStyle w:val="Quote"/>
      </w:pPr>
      <w:r w:rsidRPr="00380968">
        <w:t>Relationship skills and communication skills are important</w:t>
      </w:r>
      <w:r w:rsidR="00A279C6">
        <w:t xml:space="preserve"> </w:t>
      </w:r>
      <w:r w:rsidR="00C60B40">
        <w:t>…</w:t>
      </w:r>
      <w:r w:rsidRPr="00380968">
        <w:t xml:space="preserve"> those are things that you can’t really formally teach people, they either develop them or they don’t.</w:t>
      </w:r>
      <w:r w:rsidR="00B6039E">
        <w:t xml:space="preserve"> </w:t>
      </w:r>
      <w:r w:rsidRPr="00380968">
        <w:t>Leadership skills are very, very important [too]</w:t>
      </w:r>
      <w:r w:rsidR="00A279C6">
        <w:t xml:space="preserve"> </w:t>
      </w:r>
      <w:r w:rsidR="00C60B40">
        <w:t>…</w:t>
      </w:r>
      <w:r w:rsidRPr="00380968">
        <w:t xml:space="preserve"> If they’re young people they’re not coming in with a huge amount of experience, so they’ve got to have some core skills.</w:t>
      </w:r>
      <w:r w:rsidR="00B6039E">
        <w:t xml:space="preserve"> </w:t>
      </w:r>
      <w:r w:rsidRPr="00380968">
        <w:t>Like analytical skills, or marketing skills</w:t>
      </w:r>
      <w:r w:rsidR="00A279C6">
        <w:t xml:space="preserve"> </w:t>
      </w:r>
      <w:r w:rsidR="00C60B40">
        <w:t>…</w:t>
      </w:r>
      <w:r w:rsidRPr="00380968">
        <w:t xml:space="preserve"> you have to make sure they’ve got the core competencies.</w:t>
      </w:r>
      <w:r w:rsidRPr="00380968">
        <w:tab/>
        <w:t xml:space="preserve">Chief </w:t>
      </w:r>
      <w:r w:rsidR="00A279C6" w:rsidRPr="00380968">
        <w:t>investment officer</w:t>
      </w:r>
    </w:p>
    <w:p w:rsidR="00C9115F" w:rsidRPr="001936FD" w:rsidRDefault="00C9115F" w:rsidP="001936FD">
      <w:pPr>
        <w:pStyle w:val="Text"/>
        <w:ind w:left="284" w:right="0"/>
        <w:rPr>
          <w:i/>
        </w:rPr>
      </w:pPr>
      <w:r w:rsidRPr="001936FD">
        <w:rPr>
          <w:i/>
        </w:rPr>
        <w:t>Strong internal labour markets and on-the-job learning support dynamic career paths. Possession of a university degree is a tacit barrier, but not an insurmountable one, as employers may support their employees both financially and with study leave.</w:t>
      </w:r>
    </w:p>
    <w:p w:rsidR="00C9115F" w:rsidRDefault="00C9115F" w:rsidP="00C9115F">
      <w:pPr>
        <w:pStyle w:val="Text"/>
      </w:pPr>
      <w:r w:rsidRPr="00D74622">
        <w:t xml:space="preserve">Entry to </w:t>
      </w:r>
      <w:r w:rsidR="0082555F">
        <w:t>high-skill</w:t>
      </w:r>
      <w:r w:rsidRPr="00D74622">
        <w:t xml:space="preserve"> careers </w:t>
      </w:r>
      <w:r w:rsidR="00C42A05">
        <w:t xml:space="preserve">may </w:t>
      </w:r>
      <w:r w:rsidRPr="00D74622">
        <w:t xml:space="preserve">thus </w:t>
      </w:r>
      <w:r w:rsidR="00C42A05">
        <w:t>be achieved by</w:t>
      </w:r>
      <w:r w:rsidRPr="00D74622">
        <w:t xml:space="preserve"> higher education graduates in a broad range of disciplines </w:t>
      </w:r>
      <w:r w:rsidR="00C42A05">
        <w:t>that exhibit</w:t>
      </w:r>
      <w:r w:rsidRPr="00D74622">
        <w:t xml:space="preserve"> highly technical and analytical skills, including engineering, business, maths and sciences, and actuarial studies. Durrani and Tariq (2008) found that numeracy skills tests are more likely to be used in banking and finance recruitment than </w:t>
      </w:r>
      <w:r w:rsidR="00C42A05">
        <w:t xml:space="preserve">in </w:t>
      </w:r>
      <w:r w:rsidRPr="00D74622">
        <w:t xml:space="preserve">other industries. As </w:t>
      </w:r>
      <w:r w:rsidR="00A279C6">
        <w:t>Adams, Antonacopoulou and Neely</w:t>
      </w:r>
      <w:r w:rsidR="00A279C6" w:rsidRPr="00380968">
        <w:t xml:space="preserve"> </w:t>
      </w:r>
      <w:r w:rsidRPr="00D74622">
        <w:t xml:space="preserve">(2008) report, however, career progression </w:t>
      </w:r>
      <w:r w:rsidR="00C42A05">
        <w:t>seeks</w:t>
      </w:r>
      <w:r w:rsidRPr="00D74622">
        <w:t xml:space="preserve"> experience and the accumula</w:t>
      </w:r>
      <w:r w:rsidR="00A279C6">
        <w:t xml:space="preserve">tion of skills and knowledge on the </w:t>
      </w:r>
      <w:r w:rsidRPr="00D74622">
        <w:t>job rather than formal educational achievements. All interviewees stated that educ</w:t>
      </w:r>
      <w:r w:rsidR="00A279C6">
        <w:t>ational attainment was helpful — and employer-supported —</w:t>
      </w:r>
      <w:r w:rsidRPr="00D74622">
        <w:t xml:space="preserve"> but no guarantee of progression or promotion, and that their accumulated on-the-job expertise had forged career paths.</w:t>
      </w:r>
    </w:p>
    <w:p w:rsidR="00C9115F" w:rsidRDefault="00C9115F" w:rsidP="00AD203F">
      <w:pPr>
        <w:pStyle w:val="Quote"/>
      </w:pPr>
      <w:r>
        <w:t>[Success] takes a long time because a large element of it is experience and you just simply can’t get that without being there ov</w:t>
      </w:r>
      <w:r w:rsidR="00A279C6">
        <w:t>er time but there’s definitely —</w:t>
      </w:r>
      <w:r>
        <w:t xml:space="preserve"> there are ways to actually short cut it so that you understand what you are seeing in the first place and so study is very useful for that.</w:t>
      </w:r>
      <w:r w:rsidR="00B6039E">
        <w:t xml:space="preserve"> </w:t>
      </w:r>
      <w:r>
        <w:t>I didn’t study in this area initially which is why I did the CFA [Chartered Financial Analyst program], I think those kind of very broad knowledge basis qualifications are very useful early on</w:t>
      </w:r>
      <w:r w:rsidR="00C42A05">
        <w:t>,</w:t>
      </w:r>
      <w:r>
        <w:t xml:space="preserve"> so getting those early is quite handy, it means you can assimilate the experience mu</w:t>
      </w:r>
      <w:r w:rsidR="00A279C6">
        <w:t>ch more effectively.</w:t>
      </w:r>
      <w:r w:rsidR="00A279C6">
        <w:tab/>
        <w:t>Portfolio m</w:t>
      </w:r>
      <w:r>
        <w:t>anager</w:t>
      </w:r>
    </w:p>
    <w:p w:rsidR="00C9115F" w:rsidRDefault="00C9115F" w:rsidP="00C9115F">
      <w:pPr>
        <w:pStyle w:val="Text"/>
      </w:pPr>
      <w:r>
        <w:t xml:space="preserve">The career pathways described by participants in </w:t>
      </w:r>
      <w:r w:rsidR="0082555F">
        <w:t>high-skill</w:t>
      </w:r>
      <w:r>
        <w:t xml:space="preserve"> roles indicated the presence of dynamic internal labour markets, demonstrated by long tenures with one employer, while moving through increasingly challenging roles. Examples of such pathways included entry into a ‘back office’ analyst role with responsibilities for compliance and reporting, into junior research or trading roles, senior roles with mentoring responsibilities, and finally staff and investment management responsibilities. Access to this </w:t>
      </w:r>
      <w:r w:rsidR="0082555F">
        <w:t>high-skill</w:t>
      </w:r>
      <w:r>
        <w:t xml:space="preserve"> trajectory</w:t>
      </w:r>
      <w:r w:rsidR="008F16C1">
        <w:t>,</w:t>
      </w:r>
      <w:r>
        <w:t xml:space="preserve"> however, is largely dependent on the </w:t>
      </w:r>
      <w:r w:rsidR="00C42A05">
        <w:t>point of entry of the university graduate</w:t>
      </w:r>
      <w:r>
        <w:t>. While it is certai</w:t>
      </w:r>
      <w:r w:rsidR="008F16C1">
        <w:t>nly possible for those in lower-</w:t>
      </w:r>
      <w:r>
        <w:t xml:space="preserve">qualified roles to progress through on-the-job learning, this appears to be a less common, and much slower, route. Rather, those entering via </w:t>
      </w:r>
      <w:r w:rsidR="0082555F">
        <w:t>low-skill</w:t>
      </w:r>
      <w:r>
        <w:t xml:space="preserve"> roles such as a clerk were more likely to experience different opportunities (dependent on the institution in question), for example</w:t>
      </w:r>
      <w:r w:rsidR="008F16C1">
        <w:t>,</w:t>
      </w:r>
      <w:r>
        <w:t xml:space="preserve"> progressing to lending consultant, financial planner or branch manager roles. The formal educational requirement of this second, medium-skill path is typically lower, typically a </w:t>
      </w:r>
      <w:r w:rsidR="008F16C1">
        <w:t>certificate or diploma-level qualification in financial services or financial planning</w:t>
      </w:r>
      <w:r>
        <w:t xml:space="preserve">. </w:t>
      </w:r>
    </w:p>
    <w:p w:rsidR="00C9115F" w:rsidRDefault="008F16C1" w:rsidP="00C9115F">
      <w:pPr>
        <w:pStyle w:val="Text"/>
      </w:pPr>
      <w:r>
        <w:t>The long tenures observed in f</w:t>
      </w:r>
      <w:r w:rsidR="00C9115F">
        <w:t xml:space="preserve">igure 3 appear to be explained by a number of distinct patterns. As mentioned, those able to access </w:t>
      </w:r>
      <w:r w:rsidR="0082555F">
        <w:t>high-skill</w:t>
      </w:r>
      <w:r w:rsidR="00C9115F">
        <w:t xml:space="preserve"> roles reported significant career progression in line with experience and learning (and within the professional/managerial groupings). Those in </w:t>
      </w:r>
      <w:r w:rsidR="0082555F">
        <w:t>low-skill</w:t>
      </w:r>
      <w:r w:rsidR="00C9115F">
        <w:t xml:space="preserve"> occupations, however, cited a combination of two experiences: very long tenure and limited occupational mobility</w:t>
      </w:r>
      <w:r w:rsidR="00C42A05">
        <w:t>,</w:t>
      </w:r>
      <w:r w:rsidR="00C9115F">
        <w:t xml:space="preserve"> compensated by the attr</w:t>
      </w:r>
      <w:r>
        <w:t>activeness of secure employment</w:t>
      </w:r>
      <w:r w:rsidR="00C9115F">
        <w:t xml:space="preserve"> and/or many </w:t>
      </w:r>
      <w:r w:rsidR="00C9115F">
        <w:lastRenderedPageBreak/>
        <w:t>episodes in roles such as insura</w:t>
      </w:r>
      <w:r w:rsidR="00C42A05">
        <w:t>nce sales, call centre operator</w:t>
      </w:r>
      <w:r w:rsidR="00C9115F">
        <w:t xml:space="preserve"> and general clerk. Many interviewees cited age as </w:t>
      </w:r>
      <w:r w:rsidR="00C42A05">
        <w:t>the</w:t>
      </w:r>
      <w:r w:rsidR="00C9115F">
        <w:t xml:space="preserve"> key reason for not investing in further training or career development. Other constraints included the difficulty of completing further studies while raising a family, competing </w:t>
      </w:r>
      <w:r>
        <w:t>with young university graduates</w:t>
      </w:r>
      <w:r w:rsidR="00C9115F">
        <w:t xml:space="preserve"> and sacrificing pay and experience </w:t>
      </w:r>
      <w:r w:rsidR="00527899">
        <w:t>for a new career</w:t>
      </w:r>
      <w:r w:rsidR="00C9115F">
        <w:t>. As one interviewee</w:t>
      </w:r>
      <w:r w:rsidR="001A4E98">
        <w:t>’s</w:t>
      </w:r>
      <w:r w:rsidR="00C9115F">
        <w:t xml:space="preserve"> comments reflected:</w:t>
      </w:r>
    </w:p>
    <w:p w:rsidR="00C9115F" w:rsidRDefault="00C9115F" w:rsidP="00AD203F">
      <w:pPr>
        <w:pStyle w:val="Quote"/>
      </w:pPr>
      <w:r w:rsidRPr="00ED713D">
        <w:t>You’ve got to start at the bottom and work your way up, so you get a degree, you can get into a graduate program and then you can work your way up</w:t>
      </w:r>
      <w:r w:rsidR="008F16C1">
        <w:t xml:space="preserve"> </w:t>
      </w:r>
      <w:r w:rsidR="00C60B40">
        <w:t>…</w:t>
      </w:r>
      <w:r w:rsidR="008F16C1">
        <w:t xml:space="preserve"> </w:t>
      </w:r>
      <w:r w:rsidRPr="00ED713D">
        <w:t>I would be getting into that graduate program as a 35, 36 year old, compared to other people who are only 20, 22</w:t>
      </w:r>
      <w:r w:rsidR="008F16C1">
        <w:t xml:space="preserve"> </w:t>
      </w:r>
      <w:r w:rsidR="00C60B40">
        <w:t>…</w:t>
      </w:r>
      <w:r w:rsidRPr="00ED713D">
        <w:t xml:space="preserve"> I feel like it’s a bit t</w:t>
      </w:r>
      <w:r w:rsidR="008F16C1">
        <w:t>oo much of a gamble.</w:t>
      </w:r>
      <w:r w:rsidR="008F16C1">
        <w:tab/>
        <w:t>Financial p</w:t>
      </w:r>
      <w:r w:rsidRPr="00ED713D">
        <w:t>lanner</w:t>
      </w:r>
    </w:p>
    <w:p w:rsidR="00C9115F" w:rsidRDefault="00C9115F" w:rsidP="00C9115F">
      <w:pPr>
        <w:pStyle w:val="Text"/>
      </w:pPr>
      <w:r>
        <w:t>In summary, there appear to be two distinct career paths typ</w:t>
      </w:r>
      <w:r w:rsidR="008F16C1">
        <w:t xml:space="preserve">ical </w:t>
      </w:r>
      <w:r w:rsidR="00527899">
        <w:t>of</w:t>
      </w:r>
      <w:r w:rsidR="008F16C1">
        <w:t xml:space="preserve"> financial services:</w:t>
      </w:r>
      <w:r>
        <w:t xml:space="preserve"> the first is characterised by entry as a university graduate, whe</w:t>
      </w:r>
      <w:r w:rsidR="00D37A28">
        <w:t>reas</w:t>
      </w:r>
      <w:r>
        <w:t xml:space="preserve"> the second typically requires no qualifications at entry. Both paths value the presence of generic skills most highly at entry, with </w:t>
      </w:r>
      <w:r w:rsidR="00527899">
        <w:t xml:space="preserve">the </w:t>
      </w:r>
      <w:r>
        <w:t>capacity to learn, analytical skills and communication skills equally important in both streams. Both paths exhibit quite fluid systems of skill formation, characterised mostly by on-the-job learning, but often supported by employer-sponsored formal study. Both paths provide opportunities for career progression, but typically</w:t>
      </w:r>
      <w:r w:rsidR="00527899">
        <w:t xml:space="preserve"> within quite distinct streams. T</w:t>
      </w:r>
      <w:r>
        <w:t xml:space="preserve">he first is relatively unlimited, able to access management roles in investment management, research, risk management, ICT </w:t>
      </w:r>
      <w:r w:rsidR="001A4E98">
        <w:t>and so on</w:t>
      </w:r>
      <w:r>
        <w:t xml:space="preserve">; the second is likely </w:t>
      </w:r>
      <w:r w:rsidR="00527899">
        <w:t>to be limited to careers as medium-</w:t>
      </w:r>
      <w:r>
        <w:t>skill intermediaries (</w:t>
      </w:r>
      <w:r w:rsidR="00CE20E7">
        <w:t>for example,</w:t>
      </w:r>
      <w:r>
        <w:t xml:space="preserve"> financial planner, book keeper</w:t>
      </w:r>
      <w:r w:rsidR="00527899">
        <w:t>, mortgage or insurance broker)</w:t>
      </w:r>
      <w:r>
        <w:t xml:space="preserve"> or middle management. </w:t>
      </w:r>
      <w:r w:rsidR="00D37A28">
        <w:t>Although</w:t>
      </w:r>
      <w:r>
        <w:t xml:space="preserve"> crossover between paths is possible, it </w:t>
      </w:r>
      <w:r w:rsidR="00527899">
        <w:t>probably</w:t>
      </w:r>
      <w:r>
        <w:t xml:space="preserve"> requires a substantial investment of time and money in university studies. </w:t>
      </w:r>
    </w:p>
    <w:p w:rsidR="00C9115F" w:rsidRDefault="00C9115F" w:rsidP="00C9115F">
      <w:pPr>
        <w:pStyle w:val="Text"/>
      </w:pPr>
      <w:r>
        <w:t xml:space="preserve">It is important to note that neither path has a greater stake over career fulfilment. Rather, </w:t>
      </w:r>
      <w:r w:rsidR="00527899">
        <w:t xml:space="preserve">the </w:t>
      </w:r>
      <w:r>
        <w:t xml:space="preserve">participants reporting </w:t>
      </w:r>
      <w:r w:rsidR="00527899">
        <w:t xml:space="preserve">the </w:t>
      </w:r>
      <w:r>
        <w:t>greatest career fulfilment cited a hig</w:t>
      </w:r>
      <w:r w:rsidR="008F16C1">
        <w:t>h level of autonomy and problem-solving responsibilities</w:t>
      </w:r>
      <w:r>
        <w:t xml:space="preserve"> and a dynamic work environment. Career progression occurred via lateral movements between different roles, as well as vertically in taking on organisational and managerial roles. Further, despite our emphasis on university qualifications, perhaps the best interpretation of these two pathways is that careers are accelerated through the possession of a university degree and other formal study. Such is the strength of internal labour markets that career pathways from more lowly clerical roles to senior managerial roles are indeed more fluid than for, for example, health and engineering professionals. As cited by all respondents, it is the capacity to learn and a commitment to self-development which is the best predictor of success. </w:t>
      </w:r>
    </w:p>
    <w:p w:rsidR="00C9115F" w:rsidRDefault="008F16C1" w:rsidP="00C9115F">
      <w:pPr>
        <w:pStyle w:val="Heading2"/>
      </w:pPr>
      <w:bookmarkStart w:id="57" w:name="_Toc194643909"/>
      <w:bookmarkStart w:id="58" w:name="_Toc335752937"/>
      <w:r>
        <w:t>Trades and e</w:t>
      </w:r>
      <w:r w:rsidR="00C9115F">
        <w:t>ngineering</w:t>
      </w:r>
      <w:bookmarkEnd w:id="57"/>
      <w:bookmarkEnd w:id="58"/>
    </w:p>
    <w:p w:rsidR="00C9115F" w:rsidRDefault="00C9115F" w:rsidP="00C9115F">
      <w:pPr>
        <w:pStyle w:val="Text"/>
      </w:pPr>
      <w:r>
        <w:t xml:space="preserve">There are few formal barriers to working </w:t>
      </w:r>
      <w:r w:rsidR="008F16C1">
        <w:t>as labourers, trades assistants</w:t>
      </w:r>
      <w:r>
        <w:t xml:space="preserve"> and manufacturing process workers. Some roles re</w:t>
      </w:r>
      <w:r w:rsidR="008F16C1">
        <w:t>quire the equivalent</w:t>
      </w:r>
      <w:r w:rsidR="00527899">
        <w:t xml:space="preserve"> of </w:t>
      </w:r>
      <w:r w:rsidR="008F16C1">
        <w:t>an AQF c</w:t>
      </w:r>
      <w:r>
        <w:t>ertificate I, II or even III, or a short period of on-the-job training</w:t>
      </w:r>
      <w:r w:rsidR="001A4E98">
        <w:t>,</w:t>
      </w:r>
      <w:r>
        <w:t xml:space="preserve"> and in some cases jobs do not require any formal qualifications or training at all. </w:t>
      </w:r>
      <w:r w:rsidR="00527899">
        <w:t>Although</w:t>
      </w:r>
      <w:r>
        <w:t xml:space="preserve"> there are few barriers to entering these roles, labourers are required by state safety regulations t</w:t>
      </w:r>
      <w:r w:rsidR="008F16C1">
        <w:t>o hold certain tickets or licenc</w:t>
      </w:r>
      <w:r>
        <w:t xml:space="preserve">es </w:t>
      </w:r>
      <w:r w:rsidR="00527899">
        <w:t>for using</w:t>
      </w:r>
      <w:r>
        <w:t xml:space="preserve"> certain </w:t>
      </w:r>
      <w:r w:rsidR="00527899">
        <w:t>types of machinery and undertaking</w:t>
      </w:r>
      <w:r>
        <w:t xml:space="preserve"> certain building work. These tickets can be obtained through register</w:t>
      </w:r>
      <w:r w:rsidR="008F16C1">
        <w:t>ed training organisations</w:t>
      </w:r>
      <w:r>
        <w:t>.</w:t>
      </w:r>
      <w:r w:rsidR="00B6039E">
        <w:t xml:space="preserve"> </w:t>
      </w:r>
    </w:p>
    <w:p w:rsidR="00C9115F" w:rsidRDefault="00C9115F" w:rsidP="00C9115F">
      <w:pPr>
        <w:pStyle w:val="Text"/>
      </w:pPr>
      <w:r>
        <w:t>Clear educat</w:t>
      </w:r>
      <w:r w:rsidR="008F16C1">
        <w:t>ional pathways exist from lower-</w:t>
      </w:r>
      <w:r>
        <w:t>skilled occupations such as process and production operators or trades assistants (with the equivalent of a cert</w:t>
      </w:r>
      <w:r w:rsidR="00527899">
        <w:t>ificate</w:t>
      </w:r>
      <w:r>
        <w:t xml:space="preserve"> II in engineering) to fabrication tradesperson roles (c</w:t>
      </w:r>
      <w:r w:rsidR="008F16C1">
        <w:t>ertificate III) and into higher-</w:t>
      </w:r>
      <w:r>
        <w:t>skilled roles such as higher engineering tradespersons or licensed electricians (certificate IV).</w:t>
      </w:r>
      <w:r w:rsidR="00B6039E">
        <w:t xml:space="preserve"> </w:t>
      </w:r>
      <w:r>
        <w:t>Becoming a licensed tradesperson generally involves undertaking a three</w:t>
      </w:r>
      <w:r w:rsidR="008F16C1">
        <w:t>- to four-</w:t>
      </w:r>
      <w:r>
        <w:t>year apprenti</w:t>
      </w:r>
      <w:r w:rsidR="00AB30A7">
        <w:t xml:space="preserve">ceship, with both structured on-the-job and </w:t>
      </w:r>
      <w:r w:rsidR="001A4E98">
        <w:br/>
      </w:r>
      <w:r w:rsidR="00AB30A7">
        <w:lastRenderedPageBreak/>
        <w:t>off-the-</w:t>
      </w:r>
      <w:r>
        <w:t xml:space="preserve">job training. From there, educational paths exist into engineering technician roles and professional engineering through the </w:t>
      </w:r>
      <w:r w:rsidR="00CE400C">
        <w:t xml:space="preserve">diploma of engineering and </w:t>
      </w:r>
      <w:r w:rsidR="001A4E98">
        <w:t xml:space="preserve">the </w:t>
      </w:r>
      <w:r w:rsidR="00CE400C">
        <w:t xml:space="preserve">bachelor degree </w:t>
      </w:r>
      <w:r>
        <w:t>respectively.</w:t>
      </w:r>
      <w:r>
        <w:rPr>
          <w:rStyle w:val="FootnoteReference"/>
        </w:rPr>
        <w:footnoteReference w:id="6"/>
      </w:r>
    </w:p>
    <w:p w:rsidR="00C9115F" w:rsidRDefault="00C9115F" w:rsidP="001936FD">
      <w:pPr>
        <w:pStyle w:val="Text"/>
        <w:ind w:right="-284"/>
      </w:pPr>
      <w:r>
        <w:t xml:space="preserve">Despite these clear educational pathways, the quantitative analysis identified little occupational mobility. The working paper (Yu et al. </w:t>
      </w:r>
      <w:r w:rsidR="00CE400C">
        <w:t>2012</w:t>
      </w:r>
      <w:r>
        <w:t xml:space="preserve">) focused on the quantitative analysis of 1145 individuals working as engineers or tradespersons at some point between 2001 and 2009. It characterised </w:t>
      </w:r>
      <w:r w:rsidR="0082555F">
        <w:t>low-skill</w:t>
      </w:r>
      <w:r>
        <w:t xml:space="preserve"> trajectories as those attempting to transition from </w:t>
      </w:r>
      <w:r w:rsidR="0082555F">
        <w:t>low-skill</w:t>
      </w:r>
      <w:r>
        <w:t xml:space="preserve"> manual roles into the skilled trades, but largely returning to labourer roles. </w:t>
      </w:r>
      <w:r w:rsidR="0082555F">
        <w:t>High-skill</w:t>
      </w:r>
      <w:r>
        <w:t xml:space="preserve"> trajectories were observed for both qualified trades workers</w:t>
      </w:r>
      <w:r w:rsidR="001936FD">
        <w:t xml:space="preserve"> </w:t>
      </w:r>
      <w:r>
        <w:t>and engineers (including those moving from higher education studies). Those working as tradespersons, predominantly electricians, metal trades workers and construction trades workers</w:t>
      </w:r>
      <w:r w:rsidR="00527899">
        <w:t>,</w:t>
      </w:r>
      <w:r>
        <w:t xml:space="preserve"> formed</w:t>
      </w:r>
      <w:r w:rsidR="001936FD">
        <w:t xml:space="preserve"> </w:t>
      </w:r>
      <w:r>
        <w:t>the mos</w:t>
      </w:r>
      <w:r w:rsidR="00CE400C">
        <w:t>t occupationally stable segment</w:t>
      </w:r>
      <w:r>
        <w:t xml:space="preserve"> and represented 30</w:t>
      </w:r>
      <w:r w:rsidR="00577AA0">
        <w:t>%</w:t>
      </w:r>
      <w:r>
        <w:t xml:space="preserve"> of the sample. Despite the availability of educational</w:t>
      </w:r>
      <w:r w:rsidR="001936FD">
        <w:t> </w:t>
      </w:r>
      <w:r>
        <w:t xml:space="preserve">pathways into professional engineering, there was little mobility within this group. </w:t>
      </w:r>
    </w:p>
    <w:p w:rsidR="00C9115F" w:rsidRDefault="00C9115F" w:rsidP="00C9115F">
      <w:pPr>
        <w:pStyle w:val="Text"/>
      </w:pPr>
      <w:r>
        <w:t>These</w:t>
      </w:r>
      <w:r w:rsidR="00CE400C">
        <w:t xml:space="preserve"> key groups are illustrated in f</w:t>
      </w:r>
      <w:r>
        <w:t>igure 4</w:t>
      </w:r>
      <w:r w:rsidR="00CE400C">
        <w:t>,</w:t>
      </w:r>
      <w:r>
        <w:t xml:space="preserve"> which show</w:t>
      </w:r>
      <w:r w:rsidR="00CE400C">
        <w:t>s</w:t>
      </w:r>
      <w:r>
        <w:t xml:space="preserve"> their patterns of movement over nine years.</w:t>
      </w:r>
    </w:p>
    <w:p w:rsidR="00C9115F" w:rsidRDefault="00C9115F" w:rsidP="00C9115F">
      <w:pPr>
        <w:pStyle w:val="Figuretitle"/>
      </w:pPr>
      <w:bookmarkStart w:id="59" w:name="_Toc335753100"/>
      <w:r>
        <w:t>Figure 4</w:t>
      </w:r>
      <w:r>
        <w:tab/>
        <w:t>Key clusters, trades and e</w:t>
      </w:r>
      <w:r w:rsidRPr="00ED713D">
        <w:t>ngineering</w:t>
      </w:r>
      <w:bookmarkEnd w:id="59"/>
    </w:p>
    <w:p w:rsidR="00C9115F" w:rsidRDefault="00C9115F" w:rsidP="001936FD">
      <w:pPr>
        <w:pStyle w:val="Tablehead1"/>
        <w:tabs>
          <w:tab w:val="left" w:pos="3402"/>
          <w:tab w:val="left" w:pos="5954"/>
        </w:tabs>
        <w:spacing w:before="160" w:after="40"/>
      </w:pPr>
      <w:r>
        <w:tab/>
        <w:t>Qualified trades workers</w:t>
      </w:r>
      <w:r w:rsidR="00084229">
        <w:tab/>
      </w:r>
      <w:r>
        <w:t>Manual labourers</w:t>
      </w:r>
    </w:p>
    <w:p w:rsidR="00C9115F" w:rsidRDefault="007C368E" w:rsidP="00C9115F">
      <w:pPr>
        <w:pStyle w:val="Text"/>
        <w:spacing w:line="240" w:lineRule="auto"/>
        <w:ind w:right="0"/>
      </w:pPr>
      <w:r>
        <w:rPr>
          <w:noProof/>
          <w:lang w:eastAsia="en-AU"/>
        </w:rPr>
        <w:drawing>
          <wp:inline distT="0" distB="0" distL="0" distR="0">
            <wp:extent cx="1883410" cy="2190750"/>
            <wp:effectExtent l="19050" t="0" r="2540" b="0"/>
            <wp:docPr id="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srcRect/>
                    <a:stretch>
                      <a:fillRect/>
                    </a:stretch>
                  </pic:blipFill>
                  <pic:spPr bwMode="auto">
                    <a:xfrm>
                      <a:off x="0" y="0"/>
                      <a:ext cx="1883410" cy="2190750"/>
                    </a:xfrm>
                    <a:prstGeom prst="rect">
                      <a:avLst/>
                    </a:prstGeom>
                    <a:noFill/>
                    <a:ln w="9525">
                      <a:noFill/>
                      <a:miter lim="800000"/>
                      <a:headEnd/>
                      <a:tailEnd/>
                    </a:ln>
                  </pic:spPr>
                </pic:pic>
              </a:graphicData>
            </a:graphic>
          </wp:inline>
        </w:drawing>
      </w:r>
      <w:r>
        <w:rPr>
          <w:noProof/>
          <w:lang w:eastAsia="en-AU"/>
        </w:rPr>
        <w:drawing>
          <wp:inline distT="0" distB="0" distL="0" distR="0">
            <wp:extent cx="1657985" cy="2163445"/>
            <wp:effectExtent l="19050" t="0" r="0" b="0"/>
            <wp:docPr id="1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a:srcRect/>
                    <a:stretch>
                      <a:fillRect/>
                    </a:stretch>
                  </pic:blipFill>
                  <pic:spPr bwMode="auto">
                    <a:xfrm>
                      <a:off x="0" y="0"/>
                      <a:ext cx="1657985" cy="2163445"/>
                    </a:xfrm>
                    <a:prstGeom prst="rect">
                      <a:avLst/>
                    </a:prstGeom>
                    <a:noFill/>
                    <a:ln w="9525">
                      <a:noFill/>
                      <a:miter lim="800000"/>
                      <a:headEnd/>
                      <a:tailEnd/>
                    </a:ln>
                  </pic:spPr>
                </pic:pic>
              </a:graphicData>
            </a:graphic>
          </wp:inline>
        </w:drawing>
      </w:r>
      <w:r>
        <w:rPr>
          <w:noProof/>
          <w:lang w:eastAsia="en-AU"/>
        </w:rPr>
        <w:drawing>
          <wp:inline distT="0" distB="0" distL="0" distR="0">
            <wp:extent cx="1608584" cy="2160000"/>
            <wp:effectExtent l="19050" t="0" r="0" b="0"/>
            <wp:docPr id="1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
                    <a:srcRect/>
                    <a:stretch>
                      <a:fillRect/>
                    </a:stretch>
                  </pic:blipFill>
                  <pic:spPr bwMode="auto">
                    <a:xfrm>
                      <a:off x="0" y="0"/>
                      <a:ext cx="1608584" cy="2160000"/>
                    </a:xfrm>
                    <a:prstGeom prst="rect">
                      <a:avLst/>
                    </a:prstGeom>
                    <a:noFill/>
                    <a:ln w="9525">
                      <a:noFill/>
                      <a:miter lim="800000"/>
                      <a:headEnd/>
                      <a:tailEnd/>
                    </a:ln>
                  </pic:spPr>
                </pic:pic>
              </a:graphicData>
            </a:graphic>
          </wp:inline>
        </w:drawing>
      </w:r>
    </w:p>
    <w:p w:rsidR="00C9115F" w:rsidRDefault="00C9115F" w:rsidP="001936FD">
      <w:pPr>
        <w:pStyle w:val="Textmorebefore"/>
      </w:pPr>
      <w:r w:rsidRPr="00B13ABD">
        <w:t>Eight interviews were conducted with manual lab</w:t>
      </w:r>
      <w:r w:rsidR="009423F1">
        <w:t>ourers, qualified tradespersons</w:t>
      </w:r>
      <w:r w:rsidRPr="00B13ABD">
        <w:t xml:space="preserve"> and engineering paraprofessionals and professional</w:t>
      </w:r>
      <w:r w:rsidR="00CE400C">
        <w:t>s. A brief profile is given in t</w:t>
      </w:r>
      <w:r w:rsidRPr="00B13ABD">
        <w:t>able 3.</w:t>
      </w:r>
    </w:p>
    <w:p w:rsidR="00C9115F" w:rsidRDefault="00C9115F" w:rsidP="001936FD">
      <w:pPr>
        <w:pStyle w:val="tabletitle"/>
      </w:pPr>
      <w:bookmarkStart w:id="60" w:name="_Toc194649999"/>
      <w:bookmarkStart w:id="61" w:name="_Toc335752992"/>
      <w:r>
        <w:t>Table 3</w:t>
      </w:r>
      <w:r>
        <w:tab/>
      </w:r>
      <w:r w:rsidRPr="00B13ABD">
        <w:t xml:space="preserve">Profile of interviewees, </w:t>
      </w:r>
      <w:r w:rsidRPr="001936FD">
        <w:t>trades</w:t>
      </w:r>
      <w:r w:rsidRPr="00B13ABD">
        <w:t xml:space="preserve"> and engineering</w:t>
      </w:r>
      <w:bookmarkEnd w:id="60"/>
      <w:bookmarkEnd w:id="61"/>
    </w:p>
    <w:tbl>
      <w:tblPr>
        <w:tblW w:w="8789" w:type="dxa"/>
        <w:tblInd w:w="108" w:type="dxa"/>
        <w:tblBorders>
          <w:bottom w:val="single" w:sz="4" w:space="0" w:color="auto"/>
        </w:tblBorders>
        <w:tblLayout w:type="fixed"/>
        <w:tblLook w:val="04A0"/>
      </w:tblPr>
      <w:tblGrid>
        <w:gridCol w:w="2552"/>
        <w:gridCol w:w="1134"/>
        <w:gridCol w:w="1404"/>
        <w:gridCol w:w="3699"/>
      </w:tblGrid>
      <w:tr w:rsidR="00C9115F" w:rsidRPr="00C958CE" w:rsidTr="001936FD">
        <w:tc>
          <w:tcPr>
            <w:tcW w:w="2552" w:type="dxa"/>
            <w:tcBorders>
              <w:top w:val="single" w:sz="4" w:space="0" w:color="auto"/>
              <w:bottom w:val="single" w:sz="4" w:space="0" w:color="auto"/>
            </w:tcBorders>
          </w:tcPr>
          <w:p w:rsidR="00C9115F" w:rsidRPr="00C76089" w:rsidRDefault="00C9115F" w:rsidP="00084229">
            <w:pPr>
              <w:pStyle w:val="Tablehead1"/>
            </w:pPr>
            <w:r w:rsidRPr="00C76089">
              <w:t>Occupation</w:t>
            </w:r>
          </w:p>
        </w:tc>
        <w:tc>
          <w:tcPr>
            <w:tcW w:w="1134" w:type="dxa"/>
            <w:tcBorders>
              <w:top w:val="single" w:sz="4" w:space="0" w:color="auto"/>
              <w:bottom w:val="single" w:sz="4" w:space="0" w:color="auto"/>
            </w:tcBorders>
          </w:tcPr>
          <w:p w:rsidR="00C9115F" w:rsidRPr="00C76089" w:rsidRDefault="00C9115F" w:rsidP="00084229">
            <w:pPr>
              <w:pStyle w:val="Tablehead1"/>
            </w:pPr>
            <w:r w:rsidRPr="00C76089">
              <w:t>Age</w:t>
            </w:r>
          </w:p>
        </w:tc>
        <w:tc>
          <w:tcPr>
            <w:tcW w:w="1404" w:type="dxa"/>
            <w:tcBorders>
              <w:top w:val="single" w:sz="4" w:space="0" w:color="auto"/>
              <w:bottom w:val="single" w:sz="4" w:space="0" w:color="auto"/>
            </w:tcBorders>
          </w:tcPr>
          <w:p w:rsidR="00C9115F" w:rsidRPr="00C76089" w:rsidRDefault="00C9115F" w:rsidP="00084229">
            <w:pPr>
              <w:pStyle w:val="Tablehead1"/>
            </w:pPr>
            <w:r w:rsidRPr="00C76089">
              <w:t>Gender</w:t>
            </w:r>
          </w:p>
        </w:tc>
        <w:tc>
          <w:tcPr>
            <w:tcW w:w="3699" w:type="dxa"/>
            <w:tcBorders>
              <w:top w:val="single" w:sz="4" w:space="0" w:color="auto"/>
              <w:bottom w:val="single" w:sz="4" w:space="0" w:color="auto"/>
            </w:tcBorders>
          </w:tcPr>
          <w:p w:rsidR="00C9115F" w:rsidRPr="00C76089" w:rsidRDefault="00CE400C" w:rsidP="001936FD">
            <w:pPr>
              <w:pStyle w:val="Tablehead1"/>
            </w:pPr>
            <w:r>
              <w:t>Qualifications/</w:t>
            </w:r>
            <w:r w:rsidR="001936FD">
              <w:t>l</w:t>
            </w:r>
            <w:r>
              <w:t>icenc</w:t>
            </w:r>
            <w:r w:rsidR="00C9115F" w:rsidRPr="00C76089">
              <w:t xml:space="preserve">es </w:t>
            </w:r>
          </w:p>
        </w:tc>
      </w:tr>
      <w:tr w:rsidR="00C9115F" w:rsidRPr="00C958CE" w:rsidTr="001936FD">
        <w:tc>
          <w:tcPr>
            <w:tcW w:w="2552" w:type="dxa"/>
            <w:tcBorders>
              <w:top w:val="single" w:sz="4" w:space="0" w:color="auto"/>
            </w:tcBorders>
          </w:tcPr>
          <w:p w:rsidR="00C9115F" w:rsidRPr="00C76089" w:rsidRDefault="00C9115F" w:rsidP="00084229">
            <w:pPr>
              <w:pStyle w:val="Tabletext"/>
            </w:pPr>
            <w:r w:rsidRPr="00C76089">
              <w:t xml:space="preserve">Water </w:t>
            </w:r>
            <w:r w:rsidR="009423F1" w:rsidRPr="00C76089">
              <w:t>operations officer</w:t>
            </w:r>
          </w:p>
        </w:tc>
        <w:tc>
          <w:tcPr>
            <w:tcW w:w="1134" w:type="dxa"/>
            <w:tcBorders>
              <w:top w:val="single" w:sz="4" w:space="0" w:color="auto"/>
            </w:tcBorders>
          </w:tcPr>
          <w:p w:rsidR="00C9115F" w:rsidRPr="00C76089" w:rsidRDefault="00C9115F" w:rsidP="00084229">
            <w:pPr>
              <w:pStyle w:val="Tabletext"/>
            </w:pPr>
            <w:r w:rsidRPr="00C76089">
              <w:t>45</w:t>
            </w:r>
          </w:p>
        </w:tc>
        <w:tc>
          <w:tcPr>
            <w:tcW w:w="1404" w:type="dxa"/>
            <w:tcBorders>
              <w:top w:val="single" w:sz="4" w:space="0" w:color="auto"/>
            </w:tcBorders>
          </w:tcPr>
          <w:p w:rsidR="00C9115F" w:rsidRPr="00C76089" w:rsidRDefault="00C9115F" w:rsidP="00084229">
            <w:pPr>
              <w:pStyle w:val="Tabletext"/>
            </w:pPr>
            <w:r w:rsidRPr="00C76089">
              <w:t>Male</w:t>
            </w:r>
          </w:p>
        </w:tc>
        <w:tc>
          <w:tcPr>
            <w:tcW w:w="3699" w:type="dxa"/>
            <w:tcBorders>
              <w:top w:val="single" w:sz="4" w:space="0" w:color="auto"/>
            </w:tcBorders>
          </w:tcPr>
          <w:p w:rsidR="00C9115F" w:rsidRPr="00C76089" w:rsidRDefault="00C9115F" w:rsidP="00084229">
            <w:pPr>
              <w:pStyle w:val="Tabletext"/>
            </w:pPr>
            <w:r w:rsidRPr="00C76089">
              <w:t>Cert. III Automotive Mechanic;</w:t>
            </w:r>
            <w:r w:rsidR="00CE400C">
              <w:t xml:space="preserve"> </w:t>
            </w:r>
            <w:r w:rsidR="009423F1">
              <w:t>Cert.</w:t>
            </w:r>
            <w:r w:rsidR="00D37A28">
              <w:t xml:space="preserve"> </w:t>
            </w:r>
            <w:r w:rsidR="009423F1">
              <w:t xml:space="preserve">III </w:t>
            </w:r>
            <w:r w:rsidRPr="00C76089">
              <w:t xml:space="preserve">Water Treatment Operations (enrolled) </w:t>
            </w:r>
          </w:p>
        </w:tc>
      </w:tr>
      <w:tr w:rsidR="00C9115F" w:rsidRPr="00C958CE" w:rsidTr="001936FD">
        <w:tc>
          <w:tcPr>
            <w:tcW w:w="2552" w:type="dxa"/>
          </w:tcPr>
          <w:p w:rsidR="00C9115F" w:rsidRPr="00C76089" w:rsidRDefault="00C9115F" w:rsidP="00084229">
            <w:pPr>
              <w:pStyle w:val="Tabletext"/>
            </w:pPr>
            <w:r w:rsidRPr="00C76089">
              <w:t xml:space="preserve">Electrician </w:t>
            </w:r>
          </w:p>
        </w:tc>
        <w:tc>
          <w:tcPr>
            <w:tcW w:w="1134" w:type="dxa"/>
          </w:tcPr>
          <w:p w:rsidR="00C9115F" w:rsidRPr="00C76089" w:rsidRDefault="00C9115F" w:rsidP="00084229">
            <w:pPr>
              <w:pStyle w:val="Tabletext"/>
            </w:pPr>
            <w:r w:rsidRPr="00C76089">
              <w:t>29</w:t>
            </w:r>
          </w:p>
        </w:tc>
        <w:tc>
          <w:tcPr>
            <w:tcW w:w="1404" w:type="dxa"/>
          </w:tcPr>
          <w:p w:rsidR="00C9115F" w:rsidRPr="00C76089" w:rsidRDefault="00C9115F" w:rsidP="00084229">
            <w:pPr>
              <w:pStyle w:val="Tabletext"/>
            </w:pPr>
            <w:r w:rsidRPr="00C76089">
              <w:t>Male</w:t>
            </w:r>
          </w:p>
        </w:tc>
        <w:tc>
          <w:tcPr>
            <w:tcW w:w="3699" w:type="dxa"/>
          </w:tcPr>
          <w:p w:rsidR="00C9115F" w:rsidRPr="00C76089" w:rsidRDefault="00C9115F" w:rsidP="00084229">
            <w:pPr>
              <w:pStyle w:val="Tabletext"/>
            </w:pPr>
            <w:r w:rsidRPr="00C76089">
              <w:t>Cert. II Horticulture</w:t>
            </w:r>
            <w:r w:rsidR="00CE400C">
              <w:t xml:space="preserve">; </w:t>
            </w:r>
            <w:r w:rsidR="009423F1">
              <w:t>Cert. III Electro</w:t>
            </w:r>
            <w:r w:rsidRPr="00C76089">
              <w:t xml:space="preserve">technologies </w:t>
            </w:r>
          </w:p>
        </w:tc>
      </w:tr>
      <w:tr w:rsidR="00C9115F" w:rsidRPr="00C958CE" w:rsidTr="001936FD">
        <w:tc>
          <w:tcPr>
            <w:tcW w:w="2552" w:type="dxa"/>
          </w:tcPr>
          <w:p w:rsidR="00C9115F" w:rsidRPr="00C76089" w:rsidRDefault="00C9115F" w:rsidP="00084229">
            <w:pPr>
              <w:pStyle w:val="Tabletext"/>
            </w:pPr>
            <w:r w:rsidRPr="00C76089">
              <w:t xml:space="preserve">Labourer </w:t>
            </w:r>
          </w:p>
        </w:tc>
        <w:tc>
          <w:tcPr>
            <w:tcW w:w="1134" w:type="dxa"/>
          </w:tcPr>
          <w:p w:rsidR="00C9115F" w:rsidRPr="00C76089" w:rsidRDefault="00C9115F" w:rsidP="00084229">
            <w:pPr>
              <w:pStyle w:val="Tabletext"/>
            </w:pPr>
            <w:r w:rsidRPr="00C76089">
              <w:t>38</w:t>
            </w:r>
          </w:p>
        </w:tc>
        <w:tc>
          <w:tcPr>
            <w:tcW w:w="1404" w:type="dxa"/>
          </w:tcPr>
          <w:p w:rsidR="00C9115F" w:rsidRPr="00C76089" w:rsidRDefault="00C9115F" w:rsidP="00084229">
            <w:pPr>
              <w:pStyle w:val="Tabletext"/>
            </w:pPr>
            <w:r w:rsidRPr="00C76089">
              <w:t>Male</w:t>
            </w:r>
          </w:p>
        </w:tc>
        <w:tc>
          <w:tcPr>
            <w:tcW w:w="3699" w:type="dxa"/>
          </w:tcPr>
          <w:p w:rsidR="00C9115F" w:rsidRPr="00C76089" w:rsidRDefault="00C9115F" w:rsidP="00084229">
            <w:pPr>
              <w:pStyle w:val="Tabletext"/>
            </w:pPr>
            <w:r w:rsidRPr="00C76089">
              <w:t>Forklift licence</w:t>
            </w:r>
            <w:r w:rsidR="00B6039E">
              <w:t xml:space="preserve"> </w:t>
            </w:r>
          </w:p>
        </w:tc>
      </w:tr>
      <w:tr w:rsidR="00C9115F" w:rsidRPr="00C958CE" w:rsidTr="001936FD">
        <w:tc>
          <w:tcPr>
            <w:tcW w:w="2552" w:type="dxa"/>
          </w:tcPr>
          <w:p w:rsidR="00C9115F" w:rsidRPr="00C76089" w:rsidRDefault="009423F1" w:rsidP="00084229">
            <w:pPr>
              <w:pStyle w:val="Tabletext"/>
            </w:pPr>
            <w:r>
              <w:t>Electrical e</w:t>
            </w:r>
            <w:r w:rsidR="00C9115F" w:rsidRPr="00C76089">
              <w:t>ngineer</w:t>
            </w:r>
          </w:p>
        </w:tc>
        <w:tc>
          <w:tcPr>
            <w:tcW w:w="1134" w:type="dxa"/>
          </w:tcPr>
          <w:p w:rsidR="00C9115F" w:rsidRPr="00C76089" w:rsidRDefault="00C9115F" w:rsidP="00084229">
            <w:pPr>
              <w:pStyle w:val="Tabletext"/>
            </w:pPr>
            <w:r w:rsidRPr="00C76089">
              <w:t>55</w:t>
            </w:r>
          </w:p>
        </w:tc>
        <w:tc>
          <w:tcPr>
            <w:tcW w:w="1404" w:type="dxa"/>
          </w:tcPr>
          <w:p w:rsidR="00C9115F" w:rsidRPr="00C76089" w:rsidRDefault="00C9115F" w:rsidP="00084229">
            <w:pPr>
              <w:pStyle w:val="Tabletext"/>
            </w:pPr>
            <w:r w:rsidRPr="00C76089">
              <w:t>Male</w:t>
            </w:r>
          </w:p>
        </w:tc>
        <w:tc>
          <w:tcPr>
            <w:tcW w:w="3699" w:type="dxa"/>
          </w:tcPr>
          <w:p w:rsidR="00C9115F" w:rsidRPr="00C76089" w:rsidRDefault="00C9115F" w:rsidP="00084229">
            <w:pPr>
              <w:pStyle w:val="Tabletext"/>
            </w:pPr>
            <w:r w:rsidRPr="00C76089">
              <w:t>Bachelor of Electrical Engineering</w:t>
            </w:r>
          </w:p>
        </w:tc>
      </w:tr>
      <w:tr w:rsidR="00C9115F" w:rsidRPr="00C958CE" w:rsidTr="001936FD">
        <w:tc>
          <w:tcPr>
            <w:tcW w:w="2552" w:type="dxa"/>
          </w:tcPr>
          <w:p w:rsidR="00C9115F" w:rsidRPr="00C76089" w:rsidRDefault="00C9115F" w:rsidP="00084229">
            <w:pPr>
              <w:pStyle w:val="Tabletext"/>
            </w:pPr>
            <w:r w:rsidRPr="00C76089">
              <w:t>Labourer</w:t>
            </w:r>
          </w:p>
        </w:tc>
        <w:tc>
          <w:tcPr>
            <w:tcW w:w="1134" w:type="dxa"/>
          </w:tcPr>
          <w:p w:rsidR="00C9115F" w:rsidRPr="00C76089" w:rsidRDefault="00C9115F" w:rsidP="00084229">
            <w:pPr>
              <w:pStyle w:val="Tabletext"/>
            </w:pPr>
            <w:r w:rsidRPr="00C76089">
              <w:t>50</w:t>
            </w:r>
          </w:p>
        </w:tc>
        <w:tc>
          <w:tcPr>
            <w:tcW w:w="1404" w:type="dxa"/>
          </w:tcPr>
          <w:p w:rsidR="00C9115F" w:rsidRPr="00C76089" w:rsidRDefault="00C9115F" w:rsidP="00084229">
            <w:pPr>
              <w:pStyle w:val="Tabletext"/>
            </w:pPr>
            <w:r w:rsidRPr="00C76089">
              <w:t>Male</w:t>
            </w:r>
          </w:p>
        </w:tc>
        <w:tc>
          <w:tcPr>
            <w:tcW w:w="3699" w:type="dxa"/>
          </w:tcPr>
          <w:p w:rsidR="00C9115F" w:rsidRPr="00C76089" w:rsidRDefault="00CE400C" w:rsidP="00084229">
            <w:pPr>
              <w:pStyle w:val="Tabletext"/>
            </w:pPr>
            <w:r>
              <w:t>Quarrying c</w:t>
            </w:r>
            <w:r w:rsidR="00C9115F" w:rsidRPr="00C76089">
              <w:t>ertificate (level unknown)</w:t>
            </w:r>
          </w:p>
        </w:tc>
      </w:tr>
      <w:tr w:rsidR="00C9115F" w:rsidRPr="00C958CE" w:rsidTr="001936FD">
        <w:tc>
          <w:tcPr>
            <w:tcW w:w="2552" w:type="dxa"/>
          </w:tcPr>
          <w:p w:rsidR="00C9115F" w:rsidRPr="00C76089" w:rsidRDefault="009423F1" w:rsidP="00084229">
            <w:pPr>
              <w:pStyle w:val="Tabletext"/>
            </w:pPr>
            <w:r>
              <w:t>Electronics t</w:t>
            </w:r>
            <w:r w:rsidR="00C9115F" w:rsidRPr="00C76089">
              <w:t xml:space="preserve">echnician </w:t>
            </w:r>
          </w:p>
        </w:tc>
        <w:tc>
          <w:tcPr>
            <w:tcW w:w="1134" w:type="dxa"/>
          </w:tcPr>
          <w:p w:rsidR="00C9115F" w:rsidRPr="00C76089" w:rsidRDefault="00C9115F" w:rsidP="00084229">
            <w:pPr>
              <w:pStyle w:val="Tabletext"/>
            </w:pPr>
            <w:r w:rsidRPr="00C76089">
              <w:t>31</w:t>
            </w:r>
          </w:p>
        </w:tc>
        <w:tc>
          <w:tcPr>
            <w:tcW w:w="1404" w:type="dxa"/>
          </w:tcPr>
          <w:p w:rsidR="00C9115F" w:rsidRPr="00C76089" w:rsidRDefault="00C9115F" w:rsidP="00084229">
            <w:pPr>
              <w:pStyle w:val="Tabletext"/>
            </w:pPr>
            <w:r w:rsidRPr="00C76089">
              <w:t>Male</w:t>
            </w:r>
          </w:p>
        </w:tc>
        <w:tc>
          <w:tcPr>
            <w:tcW w:w="3699" w:type="dxa"/>
          </w:tcPr>
          <w:p w:rsidR="00C9115F" w:rsidRPr="00C76089" w:rsidRDefault="00C9115F" w:rsidP="00084229">
            <w:pPr>
              <w:pStyle w:val="Tabletext"/>
            </w:pPr>
            <w:r w:rsidRPr="00C76089">
              <w:t xml:space="preserve">Diploma in </w:t>
            </w:r>
            <w:r w:rsidR="00CE400C" w:rsidRPr="00C76089">
              <w:t>Information Technology</w:t>
            </w:r>
            <w:r w:rsidRPr="00C76089">
              <w:t xml:space="preserve">, PC and network support; </w:t>
            </w:r>
          </w:p>
          <w:p w:rsidR="00C9115F" w:rsidRPr="00C76089" w:rsidRDefault="009423F1" w:rsidP="00084229">
            <w:pPr>
              <w:pStyle w:val="Tabletext"/>
            </w:pPr>
            <w:r>
              <w:t>Cert. IV Electro</w:t>
            </w:r>
            <w:r w:rsidR="00C9115F" w:rsidRPr="00C76089">
              <w:t xml:space="preserve">technology </w:t>
            </w:r>
          </w:p>
        </w:tc>
      </w:tr>
      <w:tr w:rsidR="00C9115F" w:rsidRPr="00C958CE" w:rsidTr="001936FD">
        <w:tc>
          <w:tcPr>
            <w:tcW w:w="2552" w:type="dxa"/>
          </w:tcPr>
          <w:p w:rsidR="00C9115F" w:rsidRPr="00C76089" w:rsidRDefault="00C9115F" w:rsidP="00084229">
            <w:pPr>
              <w:pStyle w:val="Tabletext"/>
            </w:pPr>
            <w:r w:rsidRPr="00C76089">
              <w:t>Process</w:t>
            </w:r>
            <w:r w:rsidR="00B6039E">
              <w:t xml:space="preserve"> </w:t>
            </w:r>
            <w:r w:rsidRPr="00C76089">
              <w:t xml:space="preserve">operator </w:t>
            </w:r>
          </w:p>
        </w:tc>
        <w:tc>
          <w:tcPr>
            <w:tcW w:w="1134" w:type="dxa"/>
          </w:tcPr>
          <w:p w:rsidR="00C9115F" w:rsidRPr="00C76089" w:rsidRDefault="00C9115F" w:rsidP="00084229">
            <w:pPr>
              <w:pStyle w:val="Tabletext"/>
            </w:pPr>
            <w:r w:rsidRPr="00C76089">
              <w:t>52</w:t>
            </w:r>
          </w:p>
        </w:tc>
        <w:tc>
          <w:tcPr>
            <w:tcW w:w="1404" w:type="dxa"/>
          </w:tcPr>
          <w:p w:rsidR="00C9115F" w:rsidRPr="00C76089" w:rsidRDefault="00C9115F" w:rsidP="00084229">
            <w:pPr>
              <w:pStyle w:val="Tabletext"/>
            </w:pPr>
            <w:r w:rsidRPr="00C76089">
              <w:t>Male</w:t>
            </w:r>
          </w:p>
        </w:tc>
        <w:tc>
          <w:tcPr>
            <w:tcW w:w="3699" w:type="dxa"/>
          </w:tcPr>
          <w:p w:rsidR="00C9115F" w:rsidRPr="00C76089" w:rsidRDefault="00C9115F" w:rsidP="00084229">
            <w:pPr>
              <w:pStyle w:val="Tabletext"/>
            </w:pPr>
            <w:r w:rsidRPr="00C76089">
              <w:t>Bobcat, forklift, elevated work platform and</w:t>
            </w:r>
            <w:r w:rsidR="00B6039E">
              <w:t xml:space="preserve"> </w:t>
            </w:r>
            <w:r w:rsidRPr="00C76089">
              <w:t xml:space="preserve">overhead crane licences </w:t>
            </w:r>
          </w:p>
        </w:tc>
      </w:tr>
      <w:tr w:rsidR="00C9115F" w:rsidRPr="00C958CE" w:rsidTr="001936FD">
        <w:tc>
          <w:tcPr>
            <w:tcW w:w="2552" w:type="dxa"/>
          </w:tcPr>
          <w:p w:rsidR="00C9115F" w:rsidRPr="00C76089" w:rsidRDefault="009423F1" w:rsidP="00084229">
            <w:pPr>
              <w:pStyle w:val="Tabletext"/>
            </w:pPr>
            <w:r>
              <w:t>Electrical e</w:t>
            </w:r>
            <w:r w:rsidR="00C9115F" w:rsidRPr="00C76089">
              <w:t>ngineer</w:t>
            </w:r>
          </w:p>
        </w:tc>
        <w:tc>
          <w:tcPr>
            <w:tcW w:w="1134" w:type="dxa"/>
          </w:tcPr>
          <w:p w:rsidR="00C9115F" w:rsidRPr="00C76089" w:rsidRDefault="00C9115F" w:rsidP="00084229">
            <w:pPr>
              <w:pStyle w:val="Tabletext"/>
            </w:pPr>
            <w:r w:rsidRPr="00C76089">
              <w:t>55</w:t>
            </w:r>
          </w:p>
        </w:tc>
        <w:tc>
          <w:tcPr>
            <w:tcW w:w="1404" w:type="dxa"/>
          </w:tcPr>
          <w:p w:rsidR="00C9115F" w:rsidRPr="00C76089" w:rsidRDefault="00C9115F" w:rsidP="00084229">
            <w:pPr>
              <w:pStyle w:val="Tabletext"/>
            </w:pPr>
            <w:r w:rsidRPr="00C76089">
              <w:t>Male</w:t>
            </w:r>
          </w:p>
        </w:tc>
        <w:tc>
          <w:tcPr>
            <w:tcW w:w="3699" w:type="dxa"/>
          </w:tcPr>
          <w:p w:rsidR="00C9115F" w:rsidRPr="00C76089" w:rsidRDefault="00C9115F" w:rsidP="00084229">
            <w:pPr>
              <w:pStyle w:val="Tabletext"/>
            </w:pPr>
            <w:r w:rsidRPr="00C76089">
              <w:t xml:space="preserve">Bachelor of Electrical Engineering </w:t>
            </w:r>
          </w:p>
        </w:tc>
      </w:tr>
    </w:tbl>
    <w:p w:rsidR="00C9115F" w:rsidRPr="001936FD" w:rsidRDefault="00C9115F" w:rsidP="001936FD">
      <w:pPr>
        <w:pStyle w:val="Textmorebefore"/>
        <w:ind w:left="284"/>
        <w:rPr>
          <w:i/>
        </w:rPr>
      </w:pPr>
      <w:r w:rsidRPr="001936FD">
        <w:rPr>
          <w:i/>
        </w:rPr>
        <w:lastRenderedPageBreak/>
        <w:t xml:space="preserve">The barriers to labour market mobility experienced by </w:t>
      </w:r>
      <w:r w:rsidR="0082555F" w:rsidRPr="001936FD">
        <w:rPr>
          <w:i/>
        </w:rPr>
        <w:t>low-skill</w:t>
      </w:r>
      <w:r w:rsidRPr="001936FD">
        <w:rPr>
          <w:i/>
        </w:rPr>
        <w:t xml:space="preserve"> labourers are complex and interconnected. These included high turnover in often marginal forms of employment</w:t>
      </w:r>
      <w:r w:rsidR="00CE400C" w:rsidRPr="001936FD">
        <w:rPr>
          <w:i/>
        </w:rPr>
        <w:t>,</w:t>
      </w:r>
      <w:r w:rsidRPr="001936FD">
        <w:rPr>
          <w:i/>
        </w:rPr>
        <w:t xml:space="preserve"> which diminished access to systematic training; lack of employer support or incentive to invest in training and development; and severe difficulties arising from being income</w:t>
      </w:r>
      <w:r w:rsidR="009423F1" w:rsidRPr="001936FD">
        <w:rPr>
          <w:i/>
        </w:rPr>
        <w:t>- and time-</w:t>
      </w:r>
      <w:r w:rsidRPr="001936FD">
        <w:rPr>
          <w:i/>
        </w:rPr>
        <w:t>poor (both at home and in the workplace).</w:t>
      </w:r>
    </w:p>
    <w:p w:rsidR="00C9115F" w:rsidRDefault="00C9115F" w:rsidP="00C9115F">
      <w:pPr>
        <w:pStyle w:val="Text"/>
      </w:pPr>
      <w:r>
        <w:t xml:space="preserve">Despite the existence of clear educational pathways, the experience of labourers and trades assistants in the HILDA data was characterised by minimal mobility into </w:t>
      </w:r>
      <w:r w:rsidR="00CE400C">
        <w:t>higher-</w:t>
      </w:r>
      <w:r>
        <w:t xml:space="preserve">skilled work or study. Where transitions occurred, </w:t>
      </w:r>
      <w:r w:rsidR="009423F1">
        <w:t>they were</w:t>
      </w:r>
      <w:r>
        <w:t xml:space="preserve"> characterised by high turnover and little accumulation of skills and knowledge. Such labour market churning, where</w:t>
      </w:r>
      <w:r w:rsidR="009423F1">
        <w:t>by</w:t>
      </w:r>
      <w:r>
        <w:t xml:space="preserve"> individuals cycle between unemployment </w:t>
      </w:r>
      <w:r w:rsidR="00CE400C">
        <w:t>and employment and through low-</w:t>
      </w:r>
      <w:r>
        <w:t>paid jobs, has been widely recognised a</w:t>
      </w:r>
      <w:r w:rsidR="00CE400C">
        <w:t>s a significant issue for lower-skilled workers (Watson</w:t>
      </w:r>
      <w:r>
        <w:t xml:space="preserve"> 2008) and was reflected in the responses of the labourers and </w:t>
      </w:r>
      <w:r w:rsidR="0082555F">
        <w:t>low-skill</w:t>
      </w:r>
      <w:r>
        <w:t xml:space="preserve">ed manual workers in this study. Their experiences saw either long episodes in one </w:t>
      </w:r>
      <w:r w:rsidR="0082555F">
        <w:t>low-skill</w:t>
      </w:r>
      <w:r>
        <w:t xml:space="preserve"> role, or significant job turnover between low-skill roles, unemployment, and periods out of the l</w:t>
      </w:r>
      <w:r w:rsidR="009423F1">
        <w:t>abour force due to serious work-</w:t>
      </w:r>
      <w:r>
        <w:t>related injuries and family responsibilities.</w:t>
      </w:r>
    </w:p>
    <w:p w:rsidR="00C9115F" w:rsidRDefault="00C9115F" w:rsidP="00C9115F">
      <w:pPr>
        <w:pStyle w:val="Text"/>
      </w:pPr>
      <w:r>
        <w:t>While trades assistants and labourers can theo</w:t>
      </w:r>
      <w:r w:rsidR="00CE400C">
        <w:t>retically transition to a trade-</w:t>
      </w:r>
      <w:r>
        <w:t xml:space="preserve">qualified role though the completion of </w:t>
      </w:r>
      <w:r w:rsidR="00527899">
        <w:t xml:space="preserve">an </w:t>
      </w:r>
      <w:r>
        <w:t>apprenticeship and certificate III or IV level qualifications, few participants in our study were interested in making such a transition. Indeed, their ability to progress in their current job relied strongly on the willingness of their employer to provide training. The interviewees</w:t>
      </w:r>
      <w:r w:rsidR="000B030C">
        <w:t>’</w:t>
      </w:r>
      <w:r>
        <w:t xml:space="preserve"> comments reflected the literature, which suggests that employees working on a part-time, casual or agency basis generally have less access to training opportunities (</w:t>
      </w:r>
      <w:r w:rsidR="00CE20E7">
        <w:t>for example,</w:t>
      </w:r>
      <w:r w:rsidR="00CE400C">
        <w:t xml:space="preserve"> Pocock</w:t>
      </w:r>
      <w:r>
        <w:t xml:space="preserve"> 2009). </w:t>
      </w:r>
    </w:p>
    <w:p w:rsidR="00C9115F" w:rsidRDefault="00C9115F" w:rsidP="00C9115F">
      <w:pPr>
        <w:pStyle w:val="Text"/>
      </w:pPr>
      <w:r>
        <w:t xml:space="preserve">It is difficult to untangle the disaffected attitudes towards further study and training amongst these </w:t>
      </w:r>
      <w:r w:rsidR="0082555F">
        <w:t>low-skill</w:t>
      </w:r>
      <w:r>
        <w:t xml:space="preserve"> workers. The literature suggests that the barriers to successfully undertaking</w:t>
      </w:r>
      <w:r w:rsidR="00CE400C">
        <w:t xml:space="preserve"> further education and training</w:t>
      </w:r>
      <w:r>
        <w:t xml:space="preserve"> and transitioning to higher</w:t>
      </w:r>
      <w:r w:rsidR="00871C3F">
        <w:t>-</w:t>
      </w:r>
      <w:r w:rsidR="00CE400C">
        <w:t>skilled work</w:t>
      </w:r>
      <w:r>
        <w:t xml:space="preserve"> are substantial. To start with, up</w:t>
      </w:r>
      <w:r w:rsidR="00CE400C">
        <w:t>skilling into the role of trade-</w:t>
      </w:r>
      <w:r>
        <w:t>qualified worker, for example, requires these workers to undertake fur</w:t>
      </w:r>
      <w:r w:rsidR="00CE400C">
        <w:t>ther study in the form of a low-</w:t>
      </w:r>
      <w:r>
        <w:t>paying apprenticeship of three to four years.</w:t>
      </w:r>
      <w:r>
        <w:rPr>
          <w:rStyle w:val="FootnoteReference"/>
        </w:rPr>
        <w:footnoteReference w:id="7"/>
      </w:r>
      <w:r w:rsidR="00B6039E">
        <w:t xml:space="preserve"> </w:t>
      </w:r>
      <w:r>
        <w:t>There is little evidence that initiatives such as adult apprentice wages or accelerated apprenticeships have become widespread.</w:t>
      </w:r>
      <w:r>
        <w:rPr>
          <w:rStyle w:val="FootnoteReference"/>
        </w:rPr>
        <w:footnoteReference w:id="8"/>
      </w:r>
      <w:r>
        <w:t xml:space="preserve"> In addition, research undertaken by Harris, Rainey and Sumner (2006) identified a range of reasons why particular work and study pathways are not taken up by individuals i</w:t>
      </w:r>
      <w:r w:rsidR="00871C3F">
        <w:t>ncluding: financial constraints;</w:t>
      </w:r>
      <w:r>
        <w:t xml:space="preserve"> the difficulty of juggling w</w:t>
      </w:r>
      <w:r w:rsidR="00871C3F">
        <w:t>ork and family responsibilities; the availability of transport; inflexible class schedules;</w:t>
      </w:r>
      <w:r>
        <w:t xml:space="preserve"> and lack of</w:t>
      </w:r>
      <w:r w:rsidR="007942E9">
        <w:t xml:space="preserve"> confidence to take study (2006, p.</w:t>
      </w:r>
      <w:r>
        <w:t xml:space="preserve">10). </w:t>
      </w:r>
      <w:r w:rsidR="00871C3F">
        <w:t>Pocock’s (2009) research on low-</w:t>
      </w:r>
      <w:r>
        <w:t>paid workers’ participation in education and training also highlighted a number of impe</w:t>
      </w:r>
      <w:r w:rsidR="007942E9">
        <w:t>diments to training including: ‘</w:t>
      </w:r>
      <w:r>
        <w:t>fear of change, low confidence, high care loads, exhaustion, age, gender and ch</w:t>
      </w:r>
      <w:r w:rsidR="007942E9">
        <w:t>urning between welfare and work’ (2009, p.</w:t>
      </w:r>
      <w:r>
        <w:t>7).</w:t>
      </w:r>
    </w:p>
    <w:p w:rsidR="00C9115F" w:rsidRDefault="00C9115F" w:rsidP="00C9115F">
      <w:pPr>
        <w:pStyle w:val="Text"/>
      </w:pPr>
      <w:r>
        <w:t>A number of these barriers</w:t>
      </w:r>
      <w:r w:rsidR="00871C3F">
        <w:t>, which</w:t>
      </w:r>
      <w:r>
        <w:t xml:space="preserve"> </w:t>
      </w:r>
      <w:r w:rsidR="00871C3F">
        <w:t xml:space="preserve">act as impediments to advancing into higher-skilled pathways, </w:t>
      </w:r>
      <w:r>
        <w:t>resonated with interviewees from labouring and proce</w:t>
      </w:r>
      <w:r w:rsidR="00871C3F">
        <w:t>ss manufacturing backgrounds</w:t>
      </w:r>
      <w:r>
        <w:t>. Pocock (2009) found that the combination of both income and t</w:t>
      </w:r>
      <w:r w:rsidR="007942E9">
        <w:t>ime poverty is a barrier to low-</w:t>
      </w:r>
      <w:r>
        <w:t>paid/</w:t>
      </w:r>
      <w:r w:rsidR="0082555F">
        <w:t>low-skill</w:t>
      </w:r>
      <w:r>
        <w:t>ed workers’ participation in VET, and these results are reflected in the comments below:</w:t>
      </w:r>
    </w:p>
    <w:p w:rsidR="001936FD" w:rsidRDefault="001936FD">
      <w:pPr>
        <w:spacing w:before="0" w:line="240" w:lineRule="auto"/>
        <w:rPr>
          <w:sz w:val="17"/>
        </w:rPr>
      </w:pPr>
      <w:r>
        <w:br w:type="page"/>
      </w:r>
    </w:p>
    <w:p w:rsidR="00C9115F" w:rsidRDefault="00C9115F" w:rsidP="00AD203F">
      <w:pPr>
        <w:pStyle w:val="Quote"/>
      </w:pPr>
      <w:r>
        <w:lastRenderedPageBreak/>
        <w:t>I’ve always got friends and</w:t>
      </w:r>
      <w:r w:rsidR="007942E9">
        <w:t xml:space="preserve"> family digging me in the back ‘</w:t>
      </w:r>
      <w:r>
        <w:t>Go do a</w:t>
      </w:r>
      <w:r w:rsidR="007942E9">
        <w:t xml:space="preserve"> course, go do this, go do that’</w:t>
      </w:r>
      <w:r>
        <w:t>, but I’ve got a wife that doesn’t drive, I’ve got four kids, three go to school, one doesn’t.</w:t>
      </w:r>
      <w:r w:rsidR="00B6039E">
        <w:t xml:space="preserve"> </w:t>
      </w:r>
      <w:r>
        <w:t>I just ain’t got the support to even think about it really and at the moment I just need money, I need a permanent job to get my security back up and where I am now, it’s really good</w:t>
      </w:r>
      <w:r w:rsidR="007942E9">
        <w:t xml:space="preserve"> </w:t>
      </w:r>
      <w:r w:rsidR="00C60B40">
        <w:t>…</w:t>
      </w:r>
      <w:r>
        <w:t xml:space="preserve"> To go back into a course</w:t>
      </w:r>
      <w:r w:rsidR="007942E9">
        <w:t xml:space="preserve"> </w:t>
      </w:r>
      <w:r w:rsidR="00C60B40">
        <w:t>…</w:t>
      </w:r>
      <w:r w:rsidR="007942E9">
        <w:t xml:space="preserve"> </w:t>
      </w:r>
      <w:r>
        <w:t>yeah, you know, the money drops and then you’ve go</w:t>
      </w:r>
      <w:r w:rsidR="007942E9">
        <w:t>t to make up for it with a part-</w:t>
      </w:r>
      <w:r>
        <w:t>time job elsewhere.</w:t>
      </w:r>
      <w:r>
        <w:tab/>
        <w:t>Labourer</w:t>
      </w:r>
    </w:p>
    <w:p w:rsidR="00C9115F" w:rsidRDefault="00C9115F" w:rsidP="00C9115F">
      <w:pPr>
        <w:pStyle w:val="Text"/>
      </w:pPr>
      <w:r>
        <w:t>Given the tight time and financial resources available, it is not surprising that undertaking a three</w:t>
      </w:r>
      <w:r w:rsidR="007942E9">
        <w:t>- or four-</w:t>
      </w:r>
      <w:r>
        <w:t xml:space="preserve">year apprenticeship </w:t>
      </w:r>
      <w:r w:rsidR="00871C3F">
        <w:t>for entry to</w:t>
      </w:r>
      <w:r>
        <w:t xml:space="preserve"> a qualified trade</w:t>
      </w:r>
      <w:r w:rsidR="007942E9">
        <w:t>s</w:t>
      </w:r>
      <w:r>
        <w:t xml:space="preserve"> role is out of the question for many </w:t>
      </w:r>
      <w:r w:rsidR="0082555F">
        <w:t>low-skill</w:t>
      </w:r>
      <w:r>
        <w:t>ed workers.</w:t>
      </w:r>
      <w:r w:rsidR="00B6039E">
        <w:t xml:space="preserve"> </w:t>
      </w:r>
      <w:r>
        <w:t xml:space="preserve">The exception in our study was one, notably young, electrician, who identified stronger income prospects and broke away from the cycle of </w:t>
      </w:r>
      <w:r w:rsidR="0082555F">
        <w:t>low-skill</w:t>
      </w:r>
      <w:r>
        <w:t xml:space="preserve"> work.</w:t>
      </w:r>
    </w:p>
    <w:p w:rsidR="00C9115F" w:rsidRDefault="00C9115F" w:rsidP="00C9115F">
      <w:pPr>
        <w:pStyle w:val="Text"/>
      </w:pPr>
      <w:r>
        <w:t xml:space="preserve">The workers in this research were more likely to undertake short courses or vocational certification such as tickets </w:t>
      </w:r>
      <w:r w:rsidR="00871C3F">
        <w:t>to comply</w:t>
      </w:r>
      <w:r>
        <w:t xml:space="preserve"> with state safety regulations requiring such licences and tickets </w:t>
      </w:r>
      <w:r w:rsidR="00871C3F">
        <w:t>rather than invest in longer-term courses</w:t>
      </w:r>
      <w:r>
        <w:t>. Interviewees talked of holding such tickets as being an investment in one’s em</w:t>
      </w:r>
      <w:r w:rsidR="000B030C">
        <w:t xml:space="preserve">ployment prospects and income. </w:t>
      </w:r>
      <w:r>
        <w:t xml:space="preserve">Holding tickets can lead to a slightly higher income return, as industrial agreements and awards usually stipulate higher rates or </w:t>
      </w:r>
      <w:r w:rsidR="00871C3F">
        <w:t xml:space="preserve">an </w:t>
      </w:r>
      <w:r>
        <w:t xml:space="preserve">allowance for undertaking work that </w:t>
      </w:r>
      <w:r w:rsidR="00871C3F">
        <w:t>requires</w:t>
      </w:r>
      <w:r>
        <w:t xml:space="preserve"> these tickets. </w:t>
      </w:r>
    </w:p>
    <w:p w:rsidR="00C9115F" w:rsidRDefault="00C9115F" w:rsidP="00C9115F">
      <w:pPr>
        <w:pStyle w:val="Text"/>
      </w:pPr>
      <w:r>
        <w:t>Watson’s analysis of VET student outcomes data found that 20</w:t>
      </w:r>
      <w:r w:rsidR="00577AA0">
        <w:t>%</w:t>
      </w:r>
      <w:r>
        <w:t xml:space="preserve"> of all labourers lacked the opportunity to improve their skills while at work compared with 10</w:t>
      </w:r>
      <w:r w:rsidR="00577AA0">
        <w:t>%</w:t>
      </w:r>
      <w:r>
        <w:t xml:space="preserve"> of associate professi</w:t>
      </w:r>
      <w:r w:rsidR="007942E9">
        <w:t xml:space="preserve">onals and tradespersons (Watson 2008 </w:t>
      </w:r>
      <w:r w:rsidR="00E228B3" w:rsidRPr="00E228B3">
        <w:t>cited in Pocock 2009</w:t>
      </w:r>
      <w:r w:rsidR="007942E9" w:rsidRPr="00E228B3">
        <w:t xml:space="preserve">, </w:t>
      </w:r>
      <w:r w:rsidR="007942E9">
        <w:t>p.</w:t>
      </w:r>
      <w:r>
        <w:t>26).</w:t>
      </w:r>
      <w:r w:rsidR="00B6039E">
        <w:t xml:space="preserve"> </w:t>
      </w:r>
      <w:r>
        <w:t>Our research corroborated this finding, with labouring workers given minimal time for coherent, sy</w:t>
      </w:r>
      <w:r w:rsidR="007942E9">
        <w:t>stematic development through on-the-</w:t>
      </w:r>
      <w:r>
        <w:t xml:space="preserve">job learning. Previous research shows that casual workers, by virtue of their employment status, tend to experience limitations </w:t>
      </w:r>
      <w:r w:rsidR="002B6CBB">
        <w:t>to</w:t>
      </w:r>
      <w:r>
        <w:t xml:space="preserve"> their access to employer-provided or sponsored training</w:t>
      </w:r>
      <w:r w:rsidR="002B6CBB">
        <w:t>,</w:t>
      </w:r>
      <w:r>
        <w:t xml:space="preserve"> as employers are less willin</w:t>
      </w:r>
      <w:r w:rsidR="00FB2CB1">
        <w:t xml:space="preserve">g to invest in training </w:t>
      </w:r>
      <w:r w:rsidR="00FB2CB1" w:rsidRPr="00E228B3">
        <w:t>(Pocock</w:t>
      </w:r>
      <w:r w:rsidR="00E228B3" w:rsidRPr="00E228B3">
        <w:t xml:space="preserve"> 2009</w:t>
      </w:r>
      <w:r>
        <w:t xml:space="preserve">). </w:t>
      </w:r>
    </w:p>
    <w:p w:rsidR="00C9115F" w:rsidRDefault="00C9115F" w:rsidP="00E95249">
      <w:pPr>
        <w:pStyle w:val="Text"/>
        <w:ind w:right="141"/>
      </w:pPr>
      <w:r>
        <w:t xml:space="preserve">The experience of most </w:t>
      </w:r>
      <w:r w:rsidR="0082555F">
        <w:t>low-skill</w:t>
      </w:r>
      <w:r>
        <w:t xml:space="preserve">ed manual workers in the study showed that </w:t>
      </w:r>
      <w:r w:rsidR="0082555F">
        <w:t>low-skill</w:t>
      </w:r>
      <w:r>
        <w:t>ed work was not a stepping stone into medium</w:t>
      </w:r>
      <w:r w:rsidR="00FB2CB1">
        <w:t>-</w:t>
      </w:r>
      <w:r>
        <w:t xml:space="preserve"> or </w:t>
      </w:r>
      <w:r w:rsidR="0082555F">
        <w:t>high-skill</w:t>
      </w:r>
      <w:r>
        <w:t>ed work due to an intimidating range of constraints. These constraints included the lack of systematic</w:t>
      </w:r>
      <w:r w:rsidR="00FB2CB1">
        <w:t xml:space="preserve"> on-the-job training, time and/or income poverty</w:t>
      </w:r>
      <w:r>
        <w:t xml:space="preserve"> and forms of engagement with the labour market (</w:t>
      </w:r>
      <w:r w:rsidR="00CE20E7">
        <w:t>for example,</w:t>
      </w:r>
      <w:r>
        <w:t xml:space="preserve"> casual employment, churning in and out of employment). Where labourers were employed continuously with one employer, there was little evidence of any upward trajectories of skill or career development. Rather, the interviewees reported being entrenched long term in roles which saw little task variety, changes in responsibility, or skill expansion.</w:t>
      </w:r>
    </w:p>
    <w:p w:rsidR="00C9115F" w:rsidRPr="00E95249" w:rsidRDefault="00C9115F" w:rsidP="00E95249">
      <w:pPr>
        <w:pStyle w:val="Text"/>
        <w:ind w:left="284" w:right="0"/>
        <w:rPr>
          <w:i/>
        </w:rPr>
      </w:pPr>
      <w:r w:rsidRPr="00E95249">
        <w:rPr>
          <w:i/>
        </w:rPr>
        <w:t>The articulation of qualified trades workers into professional engineering roles is limited by differences in learning models between engineering studies in the VET and university systems.</w:t>
      </w:r>
    </w:p>
    <w:p w:rsidR="00C9115F" w:rsidRDefault="00C9115F" w:rsidP="00C9115F">
      <w:pPr>
        <w:pStyle w:val="Text"/>
      </w:pPr>
      <w:r>
        <w:t>Analysis</w:t>
      </w:r>
      <w:r w:rsidR="00FB2CB1">
        <w:t xml:space="preserve"> of the HILDA data showed </w:t>
      </w:r>
      <w:r w:rsidR="00527899">
        <w:t>trade-</w:t>
      </w:r>
      <w:r>
        <w:t xml:space="preserve">qualified workers to be one of the most stable labour market groups. Trades workers are characterised by </w:t>
      </w:r>
      <w:r w:rsidR="0082555F">
        <w:t>high-skill</w:t>
      </w:r>
      <w:r>
        <w:t xml:space="preserve"> trajectories, having undertaken significant training</w:t>
      </w:r>
      <w:r w:rsidR="00FB2CB1">
        <w:t>,</w:t>
      </w:r>
      <w:r>
        <w:t xml:space="preserve"> including the completion of a three</w:t>
      </w:r>
      <w:r w:rsidR="00FB2CB1">
        <w:t>- or four-</w:t>
      </w:r>
      <w:r>
        <w:t>year apprenticeship and possessing a certificate III or IV. Specialised trades workers such as electricians, au</w:t>
      </w:r>
      <w:r w:rsidR="00FB2CB1">
        <w:t>tomotive mechanics and plumbers</w:t>
      </w:r>
      <w:r>
        <w:t xml:space="preserve"> are required to hold licences before they can undertake either residential or commercial work. Analysis by Karmel, Lim and Misko (2011) on attrition and mobility in the trades finds that attrition levels are broadly comparable </w:t>
      </w:r>
      <w:r w:rsidR="002B6CBB">
        <w:t>with</w:t>
      </w:r>
      <w:r>
        <w:t xml:space="preserve"> those in professional categories. </w:t>
      </w:r>
    </w:p>
    <w:p w:rsidR="00C9115F" w:rsidRDefault="00C9115F" w:rsidP="00C9115F">
      <w:pPr>
        <w:pStyle w:val="Text"/>
      </w:pPr>
      <w:r>
        <w:t>The linked structure of occupations and q</w:t>
      </w:r>
      <w:r w:rsidR="00FB2CB1">
        <w:t>ualifications means that trade-</w:t>
      </w:r>
      <w:r>
        <w:t>qualified workers have the ability to transition into engine</w:t>
      </w:r>
      <w:r w:rsidR="00FB2CB1">
        <w:t>ering occupations through cross-</w:t>
      </w:r>
      <w:r>
        <w:t xml:space="preserve">sector articulation. Entry to engineering is available through certain VET programs that qualify graduates or students for admission </w:t>
      </w:r>
      <w:r>
        <w:lastRenderedPageBreak/>
        <w:t xml:space="preserve">with credit into the university engineering schools. In some cases, universities will allow entry on the basis of trade qualifications into specific </w:t>
      </w:r>
      <w:r w:rsidR="00FB2CB1">
        <w:t xml:space="preserve">associate degree </w:t>
      </w:r>
      <w:r>
        <w:t>programs.</w:t>
      </w:r>
      <w:r>
        <w:rPr>
          <w:rStyle w:val="FootnoteReference"/>
        </w:rPr>
        <w:footnoteReference w:id="9"/>
      </w:r>
      <w:r>
        <w:t xml:space="preserve"> Despite these articulation path</w:t>
      </w:r>
      <w:r w:rsidR="00FB2CB1">
        <w:t xml:space="preserve">s, the HILDA data showed </w:t>
      </w:r>
      <w:r w:rsidR="00527899">
        <w:t>trade-</w:t>
      </w:r>
      <w:r>
        <w:t xml:space="preserve">qualified workers as </w:t>
      </w:r>
      <w:r w:rsidR="002B6CBB">
        <w:t>displaying</w:t>
      </w:r>
      <w:r>
        <w:t xml:space="preserve"> limited upward mobility into paraprofessional or professional engineering roles. The qualitative research explored some of the reasons for career, study and occupational transitions among trade</w:t>
      </w:r>
      <w:r w:rsidR="00D37A28">
        <w:t>-</w:t>
      </w:r>
      <w:r>
        <w:t>qualified workers.</w:t>
      </w:r>
      <w:r w:rsidR="00B6039E">
        <w:t xml:space="preserve"> </w:t>
      </w:r>
    </w:p>
    <w:p w:rsidR="00C9115F" w:rsidRDefault="00C9115F" w:rsidP="00C9115F">
      <w:pPr>
        <w:pStyle w:val="Text"/>
      </w:pPr>
      <w:r>
        <w:t>Previous research has highlighted that Australian universities currently do not have standard credit arrangements for VET graduates to enter tertiary education in the engineering field a</w:t>
      </w:r>
      <w:r w:rsidR="002B6CBB">
        <w:t>nd often grant credit on a case-by-</w:t>
      </w:r>
      <w:r>
        <w:t xml:space="preserve">case basis (King, Dowling </w:t>
      </w:r>
      <w:r w:rsidR="00C23499">
        <w:t>&amp; Godfrey</w:t>
      </w:r>
      <w:r>
        <w:t xml:space="preserve"> 2011). Other research has also identified the differences in learning models between vocational education and higher education, which may also be a disincentive for trades workers </w:t>
      </w:r>
      <w:r w:rsidR="002B6CBB">
        <w:t>seeking</w:t>
      </w:r>
      <w:r>
        <w:t xml:space="preserve"> to study at university. </w:t>
      </w:r>
      <w:r w:rsidRPr="00E228B3">
        <w:t>Buchanan et al</w:t>
      </w:r>
      <w:r w:rsidR="00EE4C3C" w:rsidRPr="00E228B3">
        <w:t>.</w:t>
      </w:r>
      <w:r>
        <w:t xml:space="preserve"> (2010) reported that Engineers Australia employs separate accreditation system</w:t>
      </w:r>
      <w:r w:rsidR="002B6CBB">
        <w:t>s</w:t>
      </w:r>
      <w:r>
        <w:t xml:space="preserve"> for VET-based advanced diplomas</w:t>
      </w:r>
      <w:r w:rsidR="00FB2CB1">
        <w:t xml:space="preserve"> and for university-</w:t>
      </w:r>
      <w:r>
        <w:t>based associate degrees for admission to their engineering designations, citing differences in learning models.</w:t>
      </w:r>
    </w:p>
    <w:p w:rsidR="00C9115F" w:rsidRDefault="00C9115F" w:rsidP="00AD203F">
      <w:pPr>
        <w:pStyle w:val="Quote"/>
      </w:pPr>
      <w:r>
        <w:t>Ideally</w:t>
      </w:r>
      <w:r w:rsidR="00FB2CB1">
        <w:t xml:space="preserve"> </w:t>
      </w:r>
      <w:r>
        <w:t>… an Advanced Diploma would give a year’s credit into a 3 year Bachelor of [Engineering] Technology, but this is another big issue at the moment, and the universities are really wrestling with this in a big way, because they have lost faith in the Advanced Diploma [graduates] coming out of the TAFE sector …</w:t>
      </w:r>
      <w:r w:rsidR="002B6CBB">
        <w:t xml:space="preserve"> </w:t>
      </w:r>
      <w:r>
        <w:t>simply because of the TAFE sector having to move to this competency based framework, there has been quite a loss of academic rigour.</w:t>
      </w:r>
      <w:r w:rsidR="00E95249">
        <w:br/>
      </w:r>
      <w:r>
        <w:tab/>
        <w:t>Engineers Austra</w:t>
      </w:r>
      <w:r w:rsidR="00FB2CB1">
        <w:t xml:space="preserve">lia, quoted in Buchanan et al. </w:t>
      </w:r>
      <w:r w:rsidR="00916441">
        <w:t>2010</w:t>
      </w:r>
    </w:p>
    <w:p w:rsidR="00C9115F" w:rsidRDefault="00C9115F" w:rsidP="00C9115F">
      <w:pPr>
        <w:pStyle w:val="Text"/>
      </w:pPr>
      <w:r w:rsidRPr="00664D61">
        <w:t>The difficulty of this pathway was illustrated by the one participant who had articulated into the engineering pathway. This interviewee has an electrical trades qualification (certificate III) and moved into an engineering role after completing university studies over a perio</w:t>
      </w:r>
      <w:r w:rsidR="00916441">
        <w:t>d of nine years, balancing full-time work, a family</w:t>
      </w:r>
      <w:r w:rsidRPr="00664D61">
        <w:t xml:space="preserve"> and study. Although he was successful in making the transition from trades worker to engineer, his experience illustrates the challenges posed by the strict entry requirements into engineering. His experience of nine years of u</w:t>
      </w:r>
      <w:r w:rsidR="002B6CBB">
        <w:t>niversity studies involved long-term part-time study</w:t>
      </w:r>
      <w:r w:rsidRPr="00664D61">
        <w:t xml:space="preserve"> and the services of a tutor to a</w:t>
      </w:r>
      <w:r w:rsidR="002B6CBB">
        <w:t>ssist with the higher-</w:t>
      </w:r>
      <w:r w:rsidRPr="00664D61">
        <w:t>order mathematical knowledge requirements. The transition was made possible due to strong financial and study leave support from his employer, who wanted to develop engineering expertise in-house.</w:t>
      </w:r>
      <w:r w:rsidR="00B6039E">
        <w:t xml:space="preserve"> </w:t>
      </w:r>
      <w:r w:rsidRPr="00664D61">
        <w:t>This example demonstrates the important role of</w:t>
      </w:r>
      <w:r w:rsidR="002B6CBB">
        <w:t xml:space="preserve"> strong internal labour markets</w:t>
      </w:r>
      <w:r w:rsidRPr="00664D61">
        <w:t xml:space="preserve"> and of employers in supporting workers’ opportunities to up-skill.</w:t>
      </w:r>
    </w:p>
    <w:p w:rsidR="00C9115F" w:rsidRPr="00E95249" w:rsidRDefault="00C9115F" w:rsidP="00E95249">
      <w:pPr>
        <w:pStyle w:val="Text"/>
        <w:ind w:left="284" w:right="0"/>
        <w:rPr>
          <w:i/>
        </w:rPr>
      </w:pPr>
      <w:r w:rsidRPr="00E95249">
        <w:rPr>
          <w:i/>
        </w:rPr>
        <w:t xml:space="preserve">More importantly, the articulation of qualified trades workers into professional engineering roles is attenuated by strong career growth within trades work itself, characterised by access to ongoing training, </w:t>
      </w:r>
      <w:r w:rsidR="002B6CBB" w:rsidRPr="00E95249">
        <w:rPr>
          <w:i/>
        </w:rPr>
        <w:t xml:space="preserve">a </w:t>
      </w:r>
      <w:r w:rsidRPr="00E95249">
        <w:rPr>
          <w:i/>
        </w:rPr>
        <w:t>broaden</w:t>
      </w:r>
      <w:r w:rsidR="002B6CBB" w:rsidRPr="00E95249">
        <w:rPr>
          <w:i/>
        </w:rPr>
        <w:t>ing skills base, strong incomes</w:t>
      </w:r>
      <w:r w:rsidRPr="00E95249">
        <w:rPr>
          <w:i/>
        </w:rPr>
        <w:t xml:space="preserve"> and movement into supervisory/</w:t>
      </w:r>
      <w:r w:rsidR="00E95249">
        <w:rPr>
          <w:i/>
        </w:rPr>
        <w:t xml:space="preserve"> </w:t>
      </w:r>
      <w:r w:rsidRPr="00E95249">
        <w:rPr>
          <w:i/>
        </w:rPr>
        <w:t>management roles.</w:t>
      </w:r>
    </w:p>
    <w:p w:rsidR="00C9115F" w:rsidRDefault="00C9115F" w:rsidP="00C9115F">
      <w:pPr>
        <w:pStyle w:val="Text"/>
      </w:pPr>
      <w:r>
        <w:t xml:space="preserve">The interviewees in trades roles had all considered moving into engineering but none had immediate plans or intentions to move </w:t>
      </w:r>
      <w:r w:rsidR="00C21A9C">
        <w:t>in that direction</w:t>
      </w:r>
      <w:r>
        <w:t xml:space="preserve">. There </w:t>
      </w:r>
      <w:r w:rsidR="00916441">
        <w:t>was</w:t>
      </w:r>
      <w:r>
        <w:t xml:space="preserve"> seemingly little impetus for the trade workers in our study to move into a career in engineering. Aside from the heavy burden of university study to become an engineer, e</w:t>
      </w:r>
      <w:r w:rsidR="002B6CBB">
        <w:t>xperienced trade-</w:t>
      </w:r>
      <w:r>
        <w:t>qualified employees are likely to suffer a temporary, or even permanent, loss of pay and conditions in moving to professional engineering, as illustrated by the following comment:</w:t>
      </w:r>
    </w:p>
    <w:p w:rsidR="00C9115F" w:rsidRDefault="00C9115F" w:rsidP="00AD203F">
      <w:pPr>
        <w:pStyle w:val="Quote"/>
      </w:pPr>
      <w:r>
        <w:t>But with the money, funnily enough, trades people earn more money than engineers. It’s a fact of life.</w:t>
      </w:r>
      <w:r>
        <w:tab/>
        <w:t>Electrical engineer</w:t>
      </w:r>
    </w:p>
    <w:p w:rsidR="00C9115F" w:rsidRDefault="00C9115F" w:rsidP="00C9115F">
      <w:pPr>
        <w:pStyle w:val="Text"/>
      </w:pPr>
      <w:r w:rsidRPr="00FD0BB3">
        <w:lastRenderedPageBreak/>
        <w:t>Indeed, ABS data released by the Department of Education, Employment and Workplace Relations indicated some overlap between the average earnings of those in the electrical trades and engi</w:t>
      </w:r>
      <w:r w:rsidR="00916441">
        <w:t>neeri</w:t>
      </w:r>
      <w:r w:rsidR="002B6CBB">
        <w:t>ng profession</w:t>
      </w:r>
      <w:r w:rsidR="00916441">
        <w:t xml:space="preserve"> </w:t>
      </w:r>
      <w:r w:rsidR="002B6CBB">
        <w:t>(</w:t>
      </w:r>
      <w:r w:rsidR="00916441">
        <w:t>t</w:t>
      </w:r>
      <w:r w:rsidRPr="00FD0BB3">
        <w:t>able 4</w:t>
      </w:r>
      <w:r w:rsidR="002B6CBB">
        <w:t>)</w:t>
      </w:r>
      <w:r w:rsidRPr="00FD0BB3">
        <w:t xml:space="preserve">. The overlap would also be more evident if we </w:t>
      </w:r>
      <w:r w:rsidR="00C21A9C">
        <w:t>considered interstate and inter</w:t>
      </w:r>
      <w:r w:rsidR="00EE4C3C">
        <w:t>-</w:t>
      </w:r>
      <w:r w:rsidRPr="00FD0BB3">
        <w:t>industry differences.</w:t>
      </w:r>
    </w:p>
    <w:p w:rsidR="00C9115F" w:rsidRDefault="00C9115F" w:rsidP="004C7736">
      <w:pPr>
        <w:pStyle w:val="tabletitle"/>
      </w:pPr>
      <w:bookmarkStart w:id="62" w:name="_Toc194650000"/>
      <w:bookmarkStart w:id="63" w:name="_Toc335752993"/>
      <w:r>
        <w:t>Table 4</w:t>
      </w:r>
      <w:r>
        <w:tab/>
      </w:r>
      <w:r w:rsidRPr="00FD0BB3">
        <w:t>Average weekly</w:t>
      </w:r>
      <w:r w:rsidR="00916441">
        <w:t xml:space="preserve"> gross earnings by occupation, e</w:t>
      </w:r>
      <w:r w:rsidRPr="00FD0BB3">
        <w:t>lectrical trades and engineering, 2010</w:t>
      </w:r>
      <w:bookmarkEnd w:id="62"/>
      <w:bookmarkEnd w:id="63"/>
    </w:p>
    <w:tbl>
      <w:tblPr>
        <w:tblW w:w="8237" w:type="dxa"/>
        <w:tblInd w:w="93" w:type="dxa"/>
        <w:tblLayout w:type="fixed"/>
        <w:tblLook w:val="04A0"/>
      </w:tblPr>
      <w:tblGrid>
        <w:gridCol w:w="3984"/>
        <w:gridCol w:w="4253"/>
      </w:tblGrid>
      <w:tr w:rsidR="00C9115F" w:rsidRPr="00756AE9" w:rsidTr="004C7736">
        <w:trPr>
          <w:trHeight w:val="282"/>
        </w:trPr>
        <w:tc>
          <w:tcPr>
            <w:tcW w:w="3984" w:type="dxa"/>
            <w:tcBorders>
              <w:top w:val="single" w:sz="4" w:space="0" w:color="auto"/>
              <w:left w:val="nil"/>
              <w:bottom w:val="single" w:sz="4" w:space="0" w:color="auto"/>
              <w:right w:val="nil"/>
            </w:tcBorders>
            <w:shd w:val="clear" w:color="auto" w:fill="auto"/>
            <w:noWrap/>
          </w:tcPr>
          <w:p w:rsidR="00C9115F" w:rsidRPr="00084229" w:rsidRDefault="00C9115F" w:rsidP="00084229">
            <w:pPr>
              <w:pStyle w:val="Tablehead1"/>
              <w:rPr>
                <w:szCs w:val="16"/>
              </w:rPr>
            </w:pPr>
            <w:r w:rsidRPr="00084229">
              <w:rPr>
                <w:szCs w:val="16"/>
              </w:rPr>
              <w:t>Occupation</w:t>
            </w:r>
          </w:p>
        </w:tc>
        <w:tc>
          <w:tcPr>
            <w:tcW w:w="4253" w:type="dxa"/>
            <w:tcBorders>
              <w:top w:val="single" w:sz="4" w:space="0" w:color="auto"/>
              <w:left w:val="nil"/>
              <w:bottom w:val="single" w:sz="4" w:space="0" w:color="auto"/>
              <w:right w:val="nil"/>
            </w:tcBorders>
            <w:shd w:val="clear" w:color="auto" w:fill="auto"/>
          </w:tcPr>
          <w:p w:rsidR="00C9115F" w:rsidRPr="00084229" w:rsidRDefault="00C9115F" w:rsidP="004C7736">
            <w:pPr>
              <w:pStyle w:val="Tablehead1"/>
              <w:jc w:val="center"/>
              <w:rPr>
                <w:szCs w:val="16"/>
              </w:rPr>
            </w:pPr>
            <w:r w:rsidRPr="00084229">
              <w:rPr>
                <w:szCs w:val="16"/>
              </w:rPr>
              <w:t>Average gross weekly FT earn</w:t>
            </w:r>
            <w:r w:rsidR="00C21A9C">
              <w:rPr>
                <w:szCs w:val="16"/>
              </w:rPr>
              <w:t>ings, $</w:t>
            </w:r>
          </w:p>
        </w:tc>
      </w:tr>
      <w:tr w:rsidR="00C9115F" w:rsidRPr="00756AE9" w:rsidTr="004C7736">
        <w:trPr>
          <w:trHeight w:val="300"/>
        </w:trPr>
        <w:tc>
          <w:tcPr>
            <w:tcW w:w="3984" w:type="dxa"/>
            <w:tcBorders>
              <w:top w:val="nil"/>
              <w:left w:val="nil"/>
              <w:bottom w:val="nil"/>
              <w:right w:val="nil"/>
            </w:tcBorders>
            <w:shd w:val="clear" w:color="auto" w:fill="auto"/>
            <w:noWrap/>
          </w:tcPr>
          <w:p w:rsidR="00C9115F" w:rsidRPr="00756AE9" w:rsidRDefault="00C9115F" w:rsidP="00084229">
            <w:pPr>
              <w:pStyle w:val="Tablehead2"/>
            </w:pPr>
            <w:r w:rsidRPr="00756AE9">
              <w:t>Electrician</w:t>
            </w:r>
          </w:p>
        </w:tc>
        <w:tc>
          <w:tcPr>
            <w:tcW w:w="4253" w:type="dxa"/>
            <w:tcBorders>
              <w:top w:val="nil"/>
              <w:left w:val="nil"/>
              <w:bottom w:val="nil"/>
              <w:right w:val="nil"/>
            </w:tcBorders>
            <w:shd w:val="clear" w:color="auto" w:fill="auto"/>
            <w:noWrap/>
          </w:tcPr>
          <w:p w:rsidR="00C9115F" w:rsidRPr="00756AE9" w:rsidRDefault="00C9115F" w:rsidP="004C7736">
            <w:pPr>
              <w:pStyle w:val="Tabletext"/>
              <w:jc w:val="center"/>
            </w:pPr>
            <w:r w:rsidRPr="00756AE9">
              <w:t>1200</w:t>
            </w:r>
          </w:p>
        </w:tc>
      </w:tr>
      <w:tr w:rsidR="00C9115F" w:rsidRPr="00756AE9" w:rsidTr="004C7736">
        <w:trPr>
          <w:trHeight w:val="300"/>
        </w:trPr>
        <w:tc>
          <w:tcPr>
            <w:tcW w:w="3984" w:type="dxa"/>
            <w:tcBorders>
              <w:top w:val="nil"/>
              <w:left w:val="nil"/>
              <w:bottom w:val="nil"/>
              <w:right w:val="nil"/>
            </w:tcBorders>
            <w:shd w:val="clear" w:color="auto" w:fill="auto"/>
            <w:noWrap/>
          </w:tcPr>
          <w:p w:rsidR="00C9115F" w:rsidRPr="00756AE9" w:rsidRDefault="00916441" w:rsidP="00084229">
            <w:pPr>
              <w:pStyle w:val="Tablehead2"/>
            </w:pPr>
            <w:r>
              <w:t>Electrical d</w:t>
            </w:r>
            <w:r w:rsidR="00C9115F">
              <w:t>istribution t</w:t>
            </w:r>
            <w:r w:rsidR="00C9115F" w:rsidRPr="00756AE9">
              <w:t>rades worker</w:t>
            </w:r>
          </w:p>
        </w:tc>
        <w:tc>
          <w:tcPr>
            <w:tcW w:w="4253" w:type="dxa"/>
            <w:tcBorders>
              <w:top w:val="nil"/>
              <w:left w:val="nil"/>
              <w:bottom w:val="nil"/>
              <w:right w:val="nil"/>
            </w:tcBorders>
            <w:shd w:val="clear" w:color="auto" w:fill="auto"/>
            <w:noWrap/>
          </w:tcPr>
          <w:p w:rsidR="00C9115F" w:rsidRPr="00756AE9" w:rsidRDefault="00C9115F" w:rsidP="004C7736">
            <w:pPr>
              <w:pStyle w:val="Tabletext"/>
              <w:jc w:val="center"/>
            </w:pPr>
            <w:r w:rsidRPr="00756AE9">
              <w:t>1500</w:t>
            </w:r>
          </w:p>
        </w:tc>
      </w:tr>
      <w:tr w:rsidR="00C9115F" w:rsidRPr="00756AE9" w:rsidTr="004C7736">
        <w:trPr>
          <w:trHeight w:val="300"/>
        </w:trPr>
        <w:tc>
          <w:tcPr>
            <w:tcW w:w="3984" w:type="dxa"/>
            <w:tcBorders>
              <w:top w:val="nil"/>
              <w:left w:val="nil"/>
              <w:bottom w:val="nil"/>
              <w:right w:val="nil"/>
            </w:tcBorders>
            <w:shd w:val="clear" w:color="auto" w:fill="auto"/>
            <w:noWrap/>
          </w:tcPr>
          <w:p w:rsidR="00C9115F" w:rsidRPr="00756AE9" w:rsidRDefault="00C9115F" w:rsidP="00084229">
            <w:pPr>
              <w:pStyle w:val="Tablehead2"/>
            </w:pPr>
            <w:r w:rsidRPr="00756AE9">
              <w:t>Electrical engineering draftsperson</w:t>
            </w:r>
          </w:p>
        </w:tc>
        <w:tc>
          <w:tcPr>
            <w:tcW w:w="4253" w:type="dxa"/>
            <w:tcBorders>
              <w:top w:val="nil"/>
              <w:left w:val="nil"/>
              <w:bottom w:val="nil"/>
              <w:right w:val="nil"/>
            </w:tcBorders>
            <w:shd w:val="clear" w:color="auto" w:fill="auto"/>
            <w:noWrap/>
          </w:tcPr>
          <w:p w:rsidR="00C9115F" w:rsidRPr="00756AE9" w:rsidRDefault="00C9115F" w:rsidP="004C7736">
            <w:pPr>
              <w:pStyle w:val="Tabletext"/>
              <w:jc w:val="center"/>
            </w:pPr>
            <w:r w:rsidRPr="00756AE9">
              <w:t>1518</w:t>
            </w:r>
          </w:p>
        </w:tc>
      </w:tr>
      <w:tr w:rsidR="00C9115F" w:rsidRPr="00756AE9" w:rsidTr="004C7736">
        <w:trPr>
          <w:trHeight w:val="300"/>
        </w:trPr>
        <w:tc>
          <w:tcPr>
            <w:tcW w:w="3984" w:type="dxa"/>
            <w:tcBorders>
              <w:top w:val="nil"/>
              <w:left w:val="nil"/>
              <w:bottom w:val="nil"/>
              <w:right w:val="nil"/>
            </w:tcBorders>
            <w:shd w:val="clear" w:color="auto" w:fill="auto"/>
            <w:noWrap/>
          </w:tcPr>
          <w:p w:rsidR="00C9115F" w:rsidRPr="00756AE9" w:rsidRDefault="00C9115F" w:rsidP="00084229">
            <w:pPr>
              <w:pStyle w:val="Tablehead2"/>
            </w:pPr>
            <w:r w:rsidRPr="00756AE9">
              <w:t>Electrical engineer</w:t>
            </w:r>
          </w:p>
        </w:tc>
        <w:tc>
          <w:tcPr>
            <w:tcW w:w="4253" w:type="dxa"/>
            <w:tcBorders>
              <w:top w:val="nil"/>
              <w:left w:val="nil"/>
              <w:bottom w:val="nil"/>
              <w:right w:val="nil"/>
            </w:tcBorders>
            <w:shd w:val="clear" w:color="auto" w:fill="auto"/>
            <w:noWrap/>
          </w:tcPr>
          <w:p w:rsidR="00C9115F" w:rsidRPr="00756AE9" w:rsidRDefault="00C9115F" w:rsidP="004C7736">
            <w:pPr>
              <w:pStyle w:val="Tabletext"/>
              <w:jc w:val="center"/>
            </w:pPr>
            <w:r w:rsidRPr="00756AE9">
              <w:t>1450</w:t>
            </w:r>
          </w:p>
        </w:tc>
      </w:tr>
      <w:tr w:rsidR="00C9115F" w:rsidRPr="00756AE9" w:rsidTr="004C7736">
        <w:trPr>
          <w:trHeight w:val="300"/>
        </w:trPr>
        <w:tc>
          <w:tcPr>
            <w:tcW w:w="3984" w:type="dxa"/>
            <w:tcBorders>
              <w:top w:val="nil"/>
              <w:left w:val="nil"/>
              <w:bottom w:val="nil"/>
              <w:right w:val="nil"/>
            </w:tcBorders>
            <w:shd w:val="clear" w:color="auto" w:fill="auto"/>
            <w:noWrap/>
          </w:tcPr>
          <w:p w:rsidR="00C9115F" w:rsidRPr="00756AE9" w:rsidRDefault="00C9115F" w:rsidP="00084229">
            <w:pPr>
              <w:pStyle w:val="Tablehead2"/>
            </w:pPr>
            <w:r w:rsidRPr="00756AE9">
              <w:t>Mining engineer</w:t>
            </w:r>
          </w:p>
        </w:tc>
        <w:tc>
          <w:tcPr>
            <w:tcW w:w="4253" w:type="dxa"/>
            <w:tcBorders>
              <w:top w:val="nil"/>
              <w:left w:val="nil"/>
              <w:bottom w:val="nil"/>
              <w:right w:val="nil"/>
            </w:tcBorders>
            <w:shd w:val="clear" w:color="auto" w:fill="auto"/>
            <w:noWrap/>
          </w:tcPr>
          <w:p w:rsidR="00C9115F" w:rsidRPr="00756AE9" w:rsidRDefault="00C9115F" w:rsidP="004C7736">
            <w:pPr>
              <w:pStyle w:val="Tabletext"/>
              <w:jc w:val="center"/>
            </w:pPr>
            <w:r w:rsidRPr="00756AE9">
              <w:t>2108</w:t>
            </w:r>
          </w:p>
        </w:tc>
      </w:tr>
      <w:tr w:rsidR="00C9115F" w:rsidRPr="00756AE9" w:rsidTr="004C7736">
        <w:trPr>
          <w:trHeight w:val="300"/>
        </w:trPr>
        <w:tc>
          <w:tcPr>
            <w:tcW w:w="3984" w:type="dxa"/>
            <w:tcBorders>
              <w:top w:val="nil"/>
              <w:left w:val="nil"/>
              <w:bottom w:val="single" w:sz="4" w:space="0" w:color="auto"/>
              <w:right w:val="nil"/>
            </w:tcBorders>
            <w:shd w:val="clear" w:color="auto" w:fill="auto"/>
            <w:noWrap/>
          </w:tcPr>
          <w:p w:rsidR="00C9115F" w:rsidRPr="00756AE9" w:rsidRDefault="00C9115F" w:rsidP="00084229">
            <w:pPr>
              <w:pStyle w:val="Tablehead2"/>
            </w:pPr>
            <w:r w:rsidRPr="00756AE9">
              <w:t>Engineering manager</w:t>
            </w:r>
          </w:p>
        </w:tc>
        <w:tc>
          <w:tcPr>
            <w:tcW w:w="4253" w:type="dxa"/>
            <w:tcBorders>
              <w:top w:val="nil"/>
              <w:left w:val="nil"/>
              <w:bottom w:val="single" w:sz="4" w:space="0" w:color="auto"/>
              <w:right w:val="nil"/>
            </w:tcBorders>
            <w:shd w:val="clear" w:color="auto" w:fill="auto"/>
            <w:noWrap/>
          </w:tcPr>
          <w:p w:rsidR="00C9115F" w:rsidRPr="00756AE9" w:rsidRDefault="00C9115F" w:rsidP="004C7736">
            <w:pPr>
              <w:pStyle w:val="Tabletext"/>
              <w:jc w:val="center"/>
            </w:pPr>
            <w:r w:rsidRPr="00756AE9">
              <w:t>2013</w:t>
            </w:r>
          </w:p>
        </w:tc>
      </w:tr>
    </w:tbl>
    <w:p w:rsidR="00C9115F" w:rsidRPr="00FD0BB3" w:rsidRDefault="00C9115F" w:rsidP="00C9115F">
      <w:pPr>
        <w:pStyle w:val="Source"/>
      </w:pPr>
      <w:r w:rsidRPr="00FD0BB3">
        <w:t>Source:</w:t>
      </w:r>
      <w:r w:rsidR="004C7736">
        <w:tab/>
      </w:r>
      <w:r w:rsidR="00916441" w:rsidRPr="00FD0BB3">
        <w:t>Department of Education, Employment and Workplace Relations</w:t>
      </w:r>
      <w:r w:rsidR="00916441">
        <w:t>,</w:t>
      </w:r>
      <w:r w:rsidRPr="00FD0BB3">
        <w:t xml:space="preserve"> Job Outlook database</w:t>
      </w:r>
      <w:r w:rsidR="00916441">
        <w:t>.</w:t>
      </w:r>
    </w:p>
    <w:p w:rsidR="00C9115F" w:rsidRDefault="00C9115F" w:rsidP="004C7736">
      <w:pPr>
        <w:pStyle w:val="Textmorebefore"/>
      </w:pPr>
      <w:r>
        <w:t>An allied issue is that study participants reported having access to strong opportunities for career progression in their current workplace. This was characterised by a number of key elements: op</w:t>
      </w:r>
      <w:r w:rsidR="00916441">
        <w:t>portunities for earnings growth;</w:t>
      </w:r>
      <w:r>
        <w:t xml:space="preserve"> horizontal career movement in the form of a growing techni</w:t>
      </w:r>
      <w:r w:rsidR="00916441">
        <w:t>cal skills base;</w:t>
      </w:r>
      <w:r>
        <w:t xml:space="preserve"> and/or vertical career movement in the form of greater managerial and organisational responsibil</w:t>
      </w:r>
      <w:r w:rsidR="00C21A9C">
        <w:t>ities. In contrast to the lower-</w:t>
      </w:r>
      <w:r>
        <w:t xml:space="preserve">skilled manual workers, these skilled tradespeople often had access to structured on-the-job training as well as employer-supported vocational training, and this contributed to a broadening of their vocational identities. One participant, </w:t>
      </w:r>
      <w:r w:rsidR="00916441">
        <w:t>for example, was undertaking a c</w:t>
      </w:r>
      <w:r>
        <w:t>ertificate III in water operations with the support of his organisation.</w:t>
      </w:r>
      <w:r w:rsidR="00B6039E">
        <w:t xml:space="preserve"> </w:t>
      </w:r>
      <w:r>
        <w:t xml:space="preserve">This qualification allowed him to broaden his skills so that he could work on both manual and automatic irrigation channels. The following excerpts </w:t>
      </w:r>
      <w:r w:rsidR="00C21A9C">
        <w:t>indicate</w:t>
      </w:r>
      <w:r>
        <w:t xml:space="preserve"> the broad range of career prospects open to trades workers: </w:t>
      </w:r>
    </w:p>
    <w:p w:rsidR="00C9115F" w:rsidRDefault="00C9115F" w:rsidP="00AD203F">
      <w:pPr>
        <w:pStyle w:val="Quote"/>
      </w:pPr>
      <w:r>
        <w:t>Well once you start going underground, you’re still doing a similar sort of job, but you get an extra $100,000 a year so.</w:t>
      </w:r>
      <w:r>
        <w:tab/>
        <w:t>Electrician</w:t>
      </w:r>
    </w:p>
    <w:p w:rsidR="00C9115F" w:rsidRDefault="00C9115F" w:rsidP="00C9115F">
      <w:pPr>
        <w:pStyle w:val="Text"/>
      </w:pPr>
      <w:r>
        <w:t>To summarise</w:t>
      </w:r>
      <w:r w:rsidR="00916441">
        <w:t>, the experience of most medium-</w:t>
      </w:r>
      <w:r w:rsidR="00C21A9C">
        <w:t>skilled trade-</w:t>
      </w:r>
      <w:r>
        <w:t xml:space="preserve">qualified workers showed that there is little impetus for them to articulate into engineering, given that they have access to career growth and high incomes in their current roles. The one interviewee who had made such a transition did so with the strong </w:t>
      </w:r>
      <w:r w:rsidR="00C21A9C">
        <w:t>support</w:t>
      </w:r>
      <w:r>
        <w:t xml:space="preserve"> of his family and employer over a nine-year period of university studies.</w:t>
      </w:r>
    </w:p>
    <w:p w:rsidR="00C9115F" w:rsidRPr="004C7736" w:rsidRDefault="00C9115F" w:rsidP="004C7736">
      <w:pPr>
        <w:pStyle w:val="Text"/>
        <w:ind w:left="284" w:right="0"/>
        <w:rPr>
          <w:i/>
        </w:rPr>
      </w:pPr>
      <w:r w:rsidRPr="004C7736">
        <w:rPr>
          <w:i/>
        </w:rPr>
        <w:t>Professional engineers are typically highly qualified individuals with signi</w:t>
      </w:r>
      <w:r w:rsidR="00C21A9C" w:rsidRPr="004C7736">
        <w:rPr>
          <w:i/>
        </w:rPr>
        <w:t xml:space="preserve">ficant career opportunities </w:t>
      </w:r>
      <w:r w:rsidRPr="004C7736">
        <w:rPr>
          <w:i/>
        </w:rPr>
        <w:t xml:space="preserve">in internal labour markets, as well as </w:t>
      </w:r>
      <w:r w:rsidR="00C21A9C" w:rsidRPr="004C7736">
        <w:rPr>
          <w:i/>
        </w:rPr>
        <w:t xml:space="preserve">in </w:t>
      </w:r>
      <w:r w:rsidRPr="004C7736">
        <w:rPr>
          <w:i/>
        </w:rPr>
        <w:t xml:space="preserve">external labour markets characterised by skill shortages. Moreover, these individuals possess </w:t>
      </w:r>
      <w:r w:rsidR="00916441" w:rsidRPr="004C7736">
        <w:rPr>
          <w:i/>
        </w:rPr>
        <w:t>advanced analytical and problem-</w:t>
      </w:r>
      <w:r w:rsidRPr="004C7736">
        <w:rPr>
          <w:i/>
        </w:rPr>
        <w:t>solving skills</w:t>
      </w:r>
      <w:r w:rsidR="00C21A9C" w:rsidRPr="004C7736">
        <w:rPr>
          <w:i/>
        </w:rPr>
        <w:t>,</w:t>
      </w:r>
      <w:r w:rsidRPr="004C7736">
        <w:rPr>
          <w:i/>
        </w:rPr>
        <w:t xml:space="preserve"> which create more diverse caree</w:t>
      </w:r>
      <w:r w:rsidR="00C21A9C" w:rsidRPr="004C7736">
        <w:rPr>
          <w:i/>
        </w:rPr>
        <w:t>r paths into project management</w:t>
      </w:r>
      <w:r w:rsidRPr="004C7736">
        <w:rPr>
          <w:i/>
        </w:rPr>
        <w:t xml:space="preserve"> and other industries such as financial services.</w:t>
      </w:r>
    </w:p>
    <w:p w:rsidR="00C9115F" w:rsidRDefault="00C9115F" w:rsidP="00C9115F">
      <w:pPr>
        <w:pStyle w:val="Text"/>
      </w:pPr>
      <w:r>
        <w:t>Professional engineers, like trades workers, are an example of relatively stable occupational markets, tied quite explicitly to standards of entry and practice governed by occupational bodies such as Engineers Au</w:t>
      </w:r>
      <w:r w:rsidR="00C21A9C">
        <w:t>stralia. According to the 2006 c</w:t>
      </w:r>
      <w:r>
        <w:t>ensus</w:t>
      </w:r>
      <w:r w:rsidR="000B030C">
        <w:t>, 72</w:t>
      </w:r>
      <w:r>
        <w:t>% of engineers have a bachelor</w:t>
      </w:r>
      <w:r w:rsidR="00C21A9C">
        <w:t>’</w:t>
      </w:r>
      <w:r>
        <w:t xml:space="preserve">s degree or higher, reflecting the </w:t>
      </w:r>
      <w:r w:rsidR="0082555F">
        <w:t>high-skill</w:t>
      </w:r>
      <w:r>
        <w:t xml:space="preserve"> trajectory of those with an engineering qualification (Wise</w:t>
      </w:r>
      <w:r w:rsidR="004C5B53">
        <w:t xml:space="preserve"> et al.</w:t>
      </w:r>
      <w:r w:rsidR="00C21A9C">
        <w:t xml:space="preserve"> 2011). Census data show</w:t>
      </w:r>
      <w:r>
        <w:t xml:space="preserve"> that engineers in older age cohorts are more likely to have associate degrees and diplomas as their highest level of quali</w:t>
      </w:r>
      <w:r w:rsidR="00F85D08">
        <w:t>fication (Wise et al.</w:t>
      </w:r>
      <w:r>
        <w:t xml:space="preserve"> 2011). This reflects previous practice</w:t>
      </w:r>
      <w:r w:rsidR="00F85D08">
        <w:t>,</w:t>
      </w:r>
      <w:r>
        <w:t xml:space="preserve"> whereby</w:t>
      </w:r>
      <w:r w:rsidR="00C21A9C">
        <w:t xml:space="preserve"> engineers could be non-degree-</w:t>
      </w:r>
      <w:r>
        <w:t xml:space="preserve">qualified and learn the profession through traineeships. Over time engineering skills requirements have been formalised so that university degrees now represent </w:t>
      </w:r>
      <w:r>
        <w:lastRenderedPageBreak/>
        <w:t>the main route into engineering. Most engineers currently enter university on the basis of their university admissions ranking and there are low levels of articulation from VET to engineering.</w:t>
      </w:r>
    </w:p>
    <w:p w:rsidR="00C9115F" w:rsidRDefault="00C9115F" w:rsidP="00C9115F">
      <w:pPr>
        <w:pStyle w:val="Text"/>
      </w:pPr>
      <w:r>
        <w:t>Given that engineers are highly educated and have spent considerable time studying, there appears to be little impetus to gain further qualifications. Furthermore, on–the-job training and experience enable engineers to access career progression (</w:t>
      </w:r>
      <w:r w:rsidR="00CE20E7">
        <w:t>for example,</w:t>
      </w:r>
      <w:r>
        <w:t xml:space="preserve"> from graduate to professional engineer to principal engineer), either within internal labour markets </w:t>
      </w:r>
      <w:r w:rsidR="000B030C">
        <w:t>or</w:t>
      </w:r>
      <w:r>
        <w:t xml:space="preserve"> externally. The engineering skills shortage in Australia contributes to strong job opportunities, as reflected in the very low unemployment rates amongst qualified</w:t>
      </w:r>
      <w:r w:rsidR="00F85D08">
        <w:t xml:space="preserve"> engineers (Wise et al.</w:t>
      </w:r>
      <w:r>
        <w:t xml:space="preserve"> 2011). The interviewees both felt that their employer offered good career opportunities for promotion and further development.</w:t>
      </w:r>
    </w:p>
    <w:p w:rsidR="00C9115F" w:rsidRDefault="00C9115F" w:rsidP="00C9115F">
      <w:pPr>
        <w:pStyle w:val="Text"/>
      </w:pPr>
      <w:r>
        <w:t>Both engineers also noted that they had the ability to transition from engineering roles into non-engineering management roles</w:t>
      </w:r>
      <w:r w:rsidR="000B030C">
        <w:t>, such as project manager</w:t>
      </w:r>
      <w:r>
        <w:t>. The project manager role invol</w:t>
      </w:r>
      <w:r w:rsidR="00F85D08">
        <w:t>ves the running of projects and co</w:t>
      </w:r>
      <w:r>
        <w:t>ordinating a</w:t>
      </w:r>
      <w:r w:rsidR="00C21A9C">
        <w:t>spects of the project and staff. It</w:t>
      </w:r>
      <w:r>
        <w:t xml:space="preserve"> is usually</w:t>
      </w:r>
      <w:r w:rsidR="00F85D08">
        <w:t xml:space="preserve"> more client</w:t>
      </w:r>
      <w:r w:rsidR="002D42C5">
        <w:t>- and contract-</w:t>
      </w:r>
      <w:r w:rsidR="00F85D08">
        <w:t>focus</w:t>
      </w:r>
      <w:r>
        <w:t xml:space="preserve">ed than technical engineering roles. Although the project manager role tends to be less about the ‘nuts and bolts’ of engineering design, a strong understanding of engineering principles is necessary to enable project managers to bring different </w:t>
      </w:r>
      <w:r w:rsidR="000B030C">
        <w:t xml:space="preserve">aspects of projects together. </w:t>
      </w:r>
      <w:r>
        <w:t>The role of project manager ca</w:t>
      </w:r>
      <w:r w:rsidR="00F85D08">
        <w:t>n be a stepping stone to higher-</w:t>
      </w:r>
      <w:r w:rsidR="002D42C5">
        <w:t>level line-</w:t>
      </w:r>
      <w:r>
        <w:t xml:space="preserve">management positions. </w:t>
      </w:r>
    </w:p>
    <w:p w:rsidR="00C9115F" w:rsidRDefault="00F85D08" w:rsidP="00C9115F">
      <w:pPr>
        <w:pStyle w:val="Text"/>
      </w:pPr>
      <w:r>
        <w:t>The strong problem-</w:t>
      </w:r>
      <w:r w:rsidR="00C9115F">
        <w:t xml:space="preserve">solving and analytical skills possessed by engineers often make them attractive in a variety of other occupations, particularly those that involve engineering project management. Moreover, these valuable skills were sought by interviewees from financial services, such that recruitment practice focused on engineering, maths, </w:t>
      </w:r>
      <w:r w:rsidR="00EE4C3C">
        <w:t>and science</w:t>
      </w:r>
      <w:r w:rsidR="00C9115F">
        <w:t xml:space="preserve"> as well as business school graduates. As Garner (2002) reports</w:t>
      </w:r>
      <w:r w:rsidR="002D42C5">
        <w:t>,</w:t>
      </w:r>
      <w:r w:rsidR="00C9115F">
        <w:t xml:space="preserve"> ‘engineers in the financial services industry draw on their knowledge of cost management and maximisation of resources. They also draw on their problem-solving skills and analytical abilities’ (2002, p.240).</w:t>
      </w:r>
    </w:p>
    <w:p w:rsidR="00C9115F" w:rsidRDefault="00C9115F" w:rsidP="00C9115F">
      <w:pPr>
        <w:pStyle w:val="Text"/>
      </w:pPr>
      <w:r>
        <w:t>Whether engineers want to take up such career opportunities is a matter of personal prefe</w:t>
      </w:r>
      <w:r w:rsidR="00F85D08">
        <w:t>rence. Census data also reflect</w:t>
      </w:r>
      <w:r>
        <w:t xml:space="preserve"> that there is a </w:t>
      </w:r>
      <w:r w:rsidR="007942E9">
        <w:t>‘</w:t>
      </w:r>
      <w:r>
        <w:t>sharp fall in participation rates for qualified engineers aged 55 years or over, with only about half of this older group remaining in the labour force</w:t>
      </w:r>
      <w:r w:rsidR="007942E9">
        <w:t>’</w:t>
      </w:r>
      <w:r>
        <w:t xml:space="preserve"> (Wise</w:t>
      </w:r>
      <w:r w:rsidR="00F85D08">
        <w:t xml:space="preserve"> et al. 2011, p.</w:t>
      </w:r>
      <w:r>
        <w:t xml:space="preserve">27). For those </w:t>
      </w:r>
      <w:r w:rsidR="00F85D08">
        <w:t>who</w:t>
      </w:r>
      <w:r>
        <w:t xml:space="preserve"> remain in the workforce, </w:t>
      </w:r>
      <w:r w:rsidR="002D42C5">
        <w:t>the</w:t>
      </w:r>
      <w:r w:rsidR="00B35442">
        <w:t xml:space="preserve"> data show</w:t>
      </w:r>
      <w:r>
        <w:t xml:space="preserve"> that over 40</w:t>
      </w:r>
      <w:r w:rsidR="00577AA0">
        <w:t>%</w:t>
      </w:r>
      <w:r>
        <w:t xml:space="preserve"> of engineers work extended hours</w:t>
      </w:r>
      <w:r w:rsidR="002D42C5">
        <w:t>,</w:t>
      </w:r>
      <w:r>
        <w:t xml:space="preserve"> of 45 hours or more per week</w:t>
      </w:r>
      <w:r w:rsidR="00B35442">
        <w:t>. Two interviewees in their mid-</w:t>
      </w:r>
      <w:r>
        <w:t>50s reporte</w:t>
      </w:r>
      <w:r w:rsidR="00B35442">
        <w:t>d that they did not have the desire</w:t>
      </w:r>
      <w:r>
        <w:t xml:space="preserve"> to progress up the career ladder</w:t>
      </w:r>
      <w:r w:rsidR="00B35442">
        <w:t>, but rather</w:t>
      </w:r>
      <w:r>
        <w:t xml:space="preserve"> they wanted to stay in their current job and retire in </w:t>
      </w:r>
      <w:r w:rsidR="000B030C">
        <w:t>five</w:t>
      </w:r>
      <w:r>
        <w:t xml:space="preserve"> to </w:t>
      </w:r>
      <w:r w:rsidR="000B030C">
        <w:t>ten</w:t>
      </w:r>
      <w:r>
        <w:t xml:space="preserve"> years.</w:t>
      </w:r>
    </w:p>
    <w:p w:rsidR="00C9115F" w:rsidRDefault="00C9115F" w:rsidP="00C9115F">
      <w:pPr>
        <w:pStyle w:val="Text"/>
      </w:pPr>
      <w:r>
        <w:t>These findings have helped to sharpen our understanding of the learning pathways and movements identified in the quantitative study. We have s</w:t>
      </w:r>
      <w:r w:rsidR="00B35442">
        <w:t>een that time and money poverty</w:t>
      </w:r>
      <w:r>
        <w:t xml:space="preserve"> and precarious attachment to the labour market</w:t>
      </w:r>
      <w:r w:rsidR="00B35442">
        <w:t xml:space="preserve"> entrench lower-</w:t>
      </w:r>
      <w:r>
        <w:t xml:space="preserve">skilled workers in the </w:t>
      </w:r>
      <w:r w:rsidR="0082555F">
        <w:t>low-skill</w:t>
      </w:r>
      <w:r>
        <w:t>ed trajectory. The difficulty of undertaking a three</w:t>
      </w:r>
      <w:r w:rsidR="00B35442">
        <w:t>- or four-</w:t>
      </w:r>
      <w:r>
        <w:t>year low</w:t>
      </w:r>
      <w:r w:rsidR="00D37A28">
        <w:t>-</w:t>
      </w:r>
      <w:r>
        <w:t>paid</w:t>
      </w:r>
      <w:r w:rsidR="00B35442">
        <w:t xml:space="preserve"> apprenticeship to become </w:t>
      </w:r>
      <w:r w:rsidR="00527899">
        <w:t>trade-</w:t>
      </w:r>
      <w:r>
        <w:t xml:space="preserve">qualified is clearly out of the question for many labourers. In terms of </w:t>
      </w:r>
      <w:r w:rsidR="00527899">
        <w:t>trade-</w:t>
      </w:r>
      <w:r>
        <w:t xml:space="preserve">qualified workers, the interviews illustrated that these workers were exposed to strong career prospects, in </w:t>
      </w:r>
      <w:r w:rsidR="00B35442">
        <w:t>relation to</w:t>
      </w:r>
      <w:r>
        <w:t xml:space="preserve"> training opportunities, earnings growth and changes in responsibilities. This contributed to the strong segmentation of trade</w:t>
      </w:r>
      <w:r w:rsidR="00D37A28">
        <w:t>s</w:t>
      </w:r>
      <w:r>
        <w:t xml:space="preserve"> workers, with little impetus to articulate into professional engineering. While the engineers were a group of highly qualified workers with strong career opportunities in a market characterised by skill shortages, long hours of work meant that some workers </w:t>
      </w:r>
      <w:r w:rsidR="002D42C5">
        <w:t xml:space="preserve">preferred </w:t>
      </w:r>
      <w:r>
        <w:t>to work more flexibly rather than to progress up the career ladder. A major theme that cut across the sub-s</w:t>
      </w:r>
      <w:r w:rsidR="000B030C">
        <w:t>egments is the importance of on-the-</w:t>
      </w:r>
      <w:r>
        <w:t>job learning and supportive employers for</w:t>
      </w:r>
      <w:r w:rsidR="00B35442">
        <w:t xml:space="preserve"> </w:t>
      </w:r>
      <w:r w:rsidR="002D42C5">
        <w:t xml:space="preserve">the </w:t>
      </w:r>
      <w:r w:rsidR="00B35442">
        <w:t>skill formation of all workers,</w:t>
      </w:r>
      <w:r>
        <w:t xml:space="preserve"> as well as the structured nature of pathways into the trades and engineering, mediated by strict standards of entry and practice.</w:t>
      </w:r>
    </w:p>
    <w:p w:rsidR="00C9115F" w:rsidRDefault="00C9115F" w:rsidP="00C9115F">
      <w:pPr>
        <w:pStyle w:val="Heading2"/>
      </w:pPr>
      <w:bookmarkStart w:id="64" w:name="_Toc194643910"/>
      <w:bookmarkStart w:id="65" w:name="_Toc335752938"/>
      <w:r w:rsidRPr="00837C7F">
        <w:lastRenderedPageBreak/>
        <w:t xml:space="preserve">Healthcare and </w:t>
      </w:r>
      <w:r>
        <w:t>community s</w:t>
      </w:r>
      <w:r w:rsidRPr="00837C7F">
        <w:t>ervices</w:t>
      </w:r>
      <w:bookmarkEnd w:id="64"/>
      <w:bookmarkEnd w:id="65"/>
    </w:p>
    <w:p w:rsidR="00C9115F" w:rsidRDefault="002D42C5" w:rsidP="00C9115F">
      <w:pPr>
        <w:pStyle w:val="Text"/>
      </w:pPr>
      <w:r>
        <w:t>For the last decade</w:t>
      </w:r>
      <w:r w:rsidR="00C9115F">
        <w:t xml:space="preserve"> much research has emphasised the importance of exploring and identifying the differences that separate and distinguish community service from health work (Connetica</w:t>
      </w:r>
      <w:r w:rsidR="00B35442">
        <w:t xml:space="preserve"> Consulting</w:t>
      </w:r>
      <w:r w:rsidR="00C9115F">
        <w:t xml:space="preserve"> 2009; Bretherton 2008; V</w:t>
      </w:r>
      <w:r w:rsidR="00B35442">
        <w:t>ictorian Council of Social Service</w:t>
      </w:r>
      <w:r w:rsidR="00C9115F">
        <w:t xml:space="preserve"> 2007; Meagher &amp; Healy 2005). In this exploration, great emphasis has been placed on differentiating the sectors </w:t>
      </w:r>
      <w:r>
        <w:t>in relation to</w:t>
      </w:r>
      <w:r w:rsidR="00C9115F">
        <w:t>: overarching management practices; ownership and funding models; operating environments</w:t>
      </w:r>
      <w:r w:rsidR="00B35442">
        <w:t>; and</w:t>
      </w:r>
      <w:r w:rsidR="00C9115F">
        <w:t xml:space="preserve"> the distinctly different occupational profiles that drive service delivery.</w:t>
      </w:r>
      <w:r w:rsidR="00B6039E">
        <w:t xml:space="preserve"> </w:t>
      </w:r>
      <w:r w:rsidR="00C9115F">
        <w:t xml:space="preserve">Implicit in these arguments is that community services and health reflect very different occupational </w:t>
      </w:r>
      <w:r w:rsidR="00B35442">
        <w:t>profiles (Meagher &amp; Healy 2005)</w:t>
      </w:r>
      <w:r w:rsidR="00C9115F">
        <w:t xml:space="preserve"> and therefore must yield very different career opportuniti</w:t>
      </w:r>
      <w:r>
        <w:t xml:space="preserve">es and pathways for workers </w:t>
      </w:r>
      <w:r w:rsidR="00C9115F">
        <w:t>in these sectors.</w:t>
      </w:r>
      <w:r w:rsidR="00B6039E">
        <w:t xml:space="preserve"> </w:t>
      </w:r>
      <w:r w:rsidR="00C9115F">
        <w:t>While there is value in continuing to explore diversity at the sectoral level, the workers interviewed for this study highlight that discussions of vocation and career can also be enhanced by considering the experience of these sectors together.</w:t>
      </w:r>
      <w:r w:rsidR="00B6039E">
        <w:t xml:space="preserve"> </w:t>
      </w:r>
      <w:r w:rsidR="00C9115F">
        <w:t>As a first and critical point of comparison and commonality, ‘care’ roles continue to form the basis of much work in both sectors.</w:t>
      </w:r>
      <w:r w:rsidR="00B6039E">
        <w:t xml:space="preserve"> </w:t>
      </w:r>
      <w:r w:rsidR="00C9115F">
        <w:t xml:space="preserve">In this discussion, worker experience and the ‘meaning’ of care are identified as important and defining issues for the vocational and career choices made by workers in </w:t>
      </w:r>
      <w:r>
        <w:t>both</w:t>
      </w:r>
      <w:r w:rsidR="00C9115F">
        <w:t xml:space="preserve"> sectors.</w:t>
      </w:r>
      <w:r w:rsidR="00B6039E">
        <w:t xml:space="preserve"> </w:t>
      </w:r>
    </w:p>
    <w:p w:rsidR="00C9115F" w:rsidRDefault="00C9115F" w:rsidP="00C9115F">
      <w:pPr>
        <w:pStyle w:val="Text"/>
      </w:pPr>
      <w:r>
        <w:t>Quantitative analysis of the healthcare and community services workforce in the first stage of this project involved 1657 individuals from the HILDA Survey. The sector showed the greatest level of occupational segmentation, consistent with the high level of specialisation in healthcare delivery. The analysis showed that high trajectory pathways were evident for those in, or entering, the health professions, such as nursing. In other low</w:t>
      </w:r>
      <w:r w:rsidR="00B35442">
        <w:t>- to medium-</w:t>
      </w:r>
      <w:r>
        <w:t>skill occupations</w:t>
      </w:r>
      <w:r w:rsidR="00B35442">
        <w:t>,</w:t>
      </w:r>
      <w:r>
        <w:t xml:space="preserve"> however, there was limited mobility, with</w:t>
      </w:r>
      <w:r w:rsidR="00B35442">
        <w:t>,</w:t>
      </w:r>
      <w:r>
        <w:t xml:space="preserve"> for example, relatively few care workers progressing to enrolled nurse and registered nurse roles. These k</w:t>
      </w:r>
      <w:r w:rsidR="00B35442">
        <w:t>ey clusters are illustrated in f</w:t>
      </w:r>
      <w:r>
        <w:t>igure 5</w:t>
      </w:r>
      <w:r w:rsidR="00B35442">
        <w:t>,</w:t>
      </w:r>
      <w:r>
        <w:t xml:space="preserve"> which depicts their sequence of movement over nine years.</w:t>
      </w:r>
    </w:p>
    <w:p w:rsidR="00C9115F" w:rsidRDefault="00C9115F" w:rsidP="00C9115F">
      <w:pPr>
        <w:pStyle w:val="Figuretitle"/>
      </w:pPr>
      <w:bookmarkStart w:id="66" w:name="_Toc335753101"/>
      <w:r>
        <w:t>Figure 5</w:t>
      </w:r>
      <w:r>
        <w:tab/>
      </w:r>
      <w:r w:rsidR="00B35442">
        <w:t>Key clusters, h</w:t>
      </w:r>
      <w:r w:rsidR="000B030C">
        <w:t>ealthcare and community s</w:t>
      </w:r>
      <w:r w:rsidRPr="00837C7F">
        <w:t>ervices</w:t>
      </w:r>
      <w:bookmarkEnd w:id="66"/>
    </w:p>
    <w:p w:rsidR="00C9115F" w:rsidRDefault="00C9115F" w:rsidP="004C7736">
      <w:pPr>
        <w:pStyle w:val="Tablehead1"/>
        <w:tabs>
          <w:tab w:val="left" w:pos="3402"/>
          <w:tab w:val="left" w:pos="6096"/>
        </w:tabs>
        <w:spacing w:before="160" w:after="40"/>
      </w:pPr>
      <w:r>
        <w:tab/>
        <w:t>Nurses</w:t>
      </w:r>
      <w:r w:rsidR="00084229">
        <w:tab/>
      </w:r>
      <w:r>
        <w:t>Carers</w:t>
      </w:r>
    </w:p>
    <w:p w:rsidR="00C9115F" w:rsidRPr="003D66BE" w:rsidRDefault="007C368E" w:rsidP="00C9115F">
      <w:pPr>
        <w:pStyle w:val="Text"/>
        <w:spacing w:line="240" w:lineRule="auto"/>
        <w:ind w:right="0"/>
      </w:pPr>
      <w:r>
        <w:rPr>
          <w:noProof/>
          <w:lang w:eastAsia="en-AU"/>
        </w:rPr>
        <w:drawing>
          <wp:inline distT="0" distB="0" distL="0" distR="0">
            <wp:extent cx="1896745" cy="2279015"/>
            <wp:effectExtent l="19050" t="0" r="8255" b="0"/>
            <wp:docPr id="1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srcRect/>
                    <a:stretch>
                      <a:fillRect/>
                    </a:stretch>
                  </pic:blipFill>
                  <pic:spPr bwMode="auto">
                    <a:xfrm>
                      <a:off x="0" y="0"/>
                      <a:ext cx="1896745" cy="2279015"/>
                    </a:xfrm>
                    <a:prstGeom prst="rect">
                      <a:avLst/>
                    </a:prstGeom>
                    <a:noFill/>
                    <a:ln w="9525">
                      <a:noFill/>
                      <a:miter lim="800000"/>
                      <a:headEnd/>
                      <a:tailEnd/>
                    </a:ln>
                  </pic:spPr>
                </pic:pic>
              </a:graphicData>
            </a:graphic>
          </wp:inline>
        </w:drawing>
      </w:r>
      <w:r>
        <w:rPr>
          <w:noProof/>
          <w:lang w:eastAsia="en-AU"/>
        </w:rPr>
        <w:drawing>
          <wp:inline distT="0" distB="0" distL="0" distR="0">
            <wp:extent cx="1664970" cy="2272665"/>
            <wp:effectExtent l="19050" t="0" r="0" b="0"/>
            <wp:docPr id="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srcRect/>
                    <a:stretch>
                      <a:fillRect/>
                    </a:stretch>
                  </pic:blipFill>
                  <pic:spPr bwMode="auto">
                    <a:xfrm>
                      <a:off x="0" y="0"/>
                      <a:ext cx="1664970" cy="2272665"/>
                    </a:xfrm>
                    <a:prstGeom prst="rect">
                      <a:avLst/>
                    </a:prstGeom>
                    <a:noFill/>
                    <a:ln w="9525">
                      <a:noFill/>
                      <a:miter lim="800000"/>
                      <a:headEnd/>
                      <a:tailEnd/>
                    </a:ln>
                  </pic:spPr>
                </pic:pic>
              </a:graphicData>
            </a:graphic>
          </wp:inline>
        </w:drawing>
      </w:r>
      <w:r>
        <w:rPr>
          <w:noProof/>
          <w:lang w:eastAsia="en-AU"/>
        </w:rPr>
        <w:drawing>
          <wp:inline distT="0" distB="0" distL="0" distR="0">
            <wp:extent cx="1774997" cy="2268000"/>
            <wp:effectExtent l="19050" t="0" r="0" b="0"/>
            <wp:docPr id="1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a:srcRect/>
                    <a:stretch>
                      <a:fillRect/>
                    </a:stretch>
                  </pic:blipFill>
                  <pic:spPr bwMode="auto">
                    <a:xfrm>
                      <a:off x="0" y="0"/>
                      <a:ext cx="1774997" cy="2268000"/>
                    </a:xfrm>
                    <a:prstGeom prst="rect">
                      <a:avLst/>
                    </a:prstGeom>
                    <a:noFill/>
                    <a:ln w="9525">
                      <a:noFill/>
                      <a:miter lim="800000"/>
                      <a:headEnd/>
                      <a:tailEnd/>
                    </a:ln>
                  </pic:spPr>
                </pic:pic>
              </a:graphicData>
            </a:graphic>
          </wp:inline>
        </w:drawing>
      </w:r>
    </w:p>
    <w:p w:rsidR="00C9115F" w:rsidRDefault="00C9115F" w:rsidP="004C7736">
      <w:pPr>
        <w:pStyle w:val="Textmorebefore"/>
      </w:pPr>
      <w:r w:rsidRPr="00837C7F">
        <w:t>As a first step in understanding the nature of career transition, the Community Services and Health Industry Skills Council (CSHISC) has done much work in the last decade to emphasise the commonalities in ‘care work’, with a view to offering or enhancing the capacity for individual workers to develop and build career paths from diverse starting points. Yet</w:t>
      </w:r>
      <w:r w:rsidR="00B35442">
        <w:t>,</w:t>
      </w:r>
      <w:r w:rsidRPr="00837C7F">
        <w:t xml:space="preserve"> despite attempts to structurally expand the opportunities for career development, there remains limited evidence that this is happening.</w:t>
      </w:r>
      <w:r w:rsidR="00B6039E">
        <w:t xml:space="preserve"> </w:t>
      </w:r>
      <w:r w:rsidRPr="00837C7F">
        <w:t>The interviews conducted for this study indic</w:t>
      </w:r>
      <w:r w:rsidR="0069670D">
        <w:t>ate that the ‘vocation’ of care</w:t>
      </w:r>
      <w:r w:rsidRPr="00837C7F">
        <w:t xml:space="preserve"> and whether </w:t>
      </w:r>
      <w:r w:rsidRPr="00837C7F">
        <w:lastRenderedPageBreak/>
        <w:t xml:space="preserve">this represents a motivating and driving force within job and training transitions </w:t>
      </w:r>
      <w:r w:rsidR="0069670D">
        <w:t>are</w:t>
      </w:r>
      <w:r w:rsidRPr="00837C7F">
        <w:t xml:space="preserve"> issue</w:t>
      </w:r>
      <w:r w:rsidR="0069670D">
        <w:t>s</w:t>
      </w:r>
      <w:r w:rsidRPr="00837C7F">
        <w:t xml:space="preserve"> </w:t>
      </w:r>
      <w:r w:rsidR="00D37A28">
        <w:t>that</w:t>
      </w:r>
      <w:r w:rsidRPr="00837C7F">
        <w:t xml:space="preserve"> warrant further consideration, particularly in the context of VE</w:t>
      </w:r>
      <w:r w:rsidR="002D42C5">
        <w:t>T, higher education transitions</w:t>
      </w:r>
      <w:r w:rsidRPr="00837C7F">
        <w:t xml:space="preserve"> and career formation.</w:t>
      </w:r>
      <w:r w:rsidR="00B6039E">
        <w:t xml:space="preserve"> </w:t>
      </w:r>
      <w:r w:rsidRPr="00837C7F">
        <w:t>The c</w:t>
      </w:r>
      <w:r w:rsidR="002D42C5">
        <w:t>ommentaries provided by workers</w:t>
      </w:r>
      <w:r w:rsidRPr="00837C7F">
        <w:t xml:space="preserve"> on their experience in job and career transition, also offer insight on the barriers which wor</w:t>
      </w:r>
      <w:r w:rsidR="002D42C5">
        <w:t>k to inhibit career development</w:t>
      </w:r>
      <w:r w:rsidRPr="00837C7F">
        <w:t xml:space="preserve"> and identify possible preconditions for successful career transition.</w:t>
      </w:r>
      <w:r w:rsidR="00B6039E">
        <w:t xml:space="preserve"> </w:t>
      </w:r>
      <w:r w:rsidRPr="00837C7F">
        <w:t>Eight in-depth interviews were conducted with those currently working in the healthcare and community services industries. A brief profile of the</w:t>
      </w:r>
      <w:r w:rsidR="0069670D">
        <w:t>se interviewees is provided in t</w:t>
      </w:r>
      <w:r w:rsidRPr="00837C7F">
        <w:t>able 5.</w:t>
      </w:r>
    </w:p>
    <w:p w:rsidR="00C9115F" w:rsidRDefault="00C9115F" w:rsidP="00C9115F">
      <w:pPr>
        <w:pStyle w:val="tabletitle"/>
      </w:pPr>
      <w:bookmarkStart w:id="67" w:name="_Toc194650001"/>
      <w:bookmarkStart w:id="68" w:name="_Toc335752994"/>
      <w:r>
        <w:t>Table 5</w:t>
      </w:r>
      <w:r>
        <w:tab/>
        <w:t>Profile of interviewees, h</w:t>
      </w:r>
      <w:r w:rsidRPr="00837C7F">
        <w:t xml:space="preserve">ealthcare and </w:t>
      </w:r>
      <w:r>
        <w:t>c</w:t>
      </w:r>
      <w:r w:rsidRPr="00837C7F">
        <w:t xml:space="preserve">ommunity </w:t>
      </w:r>
      <w:r>
        <w:t>s</w:t>
      </w:r>
      <w:r w:rsidRPr="00837C7F">
        <w:t>ervices</w:t>
      </w:r>
      <w:bookmarkEnd w:id="67"/>
      <w:bookmarkEnd w:id="68"/>
    </w:p>
    <w:tbl>
      <w:tblPr>
        <w:tblW w:w="8789" w:type="dxa"/>
        <w:tblInd w:w="108" w:type="dxa"/>
        <w:tblBorders>
          <w:bottom w:val="single" w:sz="4" w:space="0" w:color="auto"/>
        </w:tblBorders>
        <w:tblLayout w:type="fixed"/>
        <w:tblLook w:val="04A0"/>
      </w:tblPr>
      <w:tblGrid>
        <w:gridCol w:w="2410"/>
        <w:gridCol w:w="1134"/>
        <w:gridCol w:w="1300"/>
        <w:gridCol w:w="3945"/>
      </w:tblGrid>
      <w:tr w:rsidR="00C9115F" w:rsidRPr="00316228" w:rsidTr="004C7736">
        <w:tc>
          <w:tcPr>
            <w:tcW w:w="2410" w:type="dxa"/>
            <w:tcBorders>
              <w:top w:val="single" w:sz="4" w:space="0" w:color="auto"/>
              <w:bottom w:val="single" w:sz="4" w:space="0" w:color="auto"/>
            </w:tcBorders>
          </w:tcPr>
          <w:p w:rsidR="00C9115F" w:rsidRPr="00C76089" w:rsidRDefault="00C9115F" w:rsidP="00084229">
            <w:pPr>
              <w:pStyle w:val="Tablehead1"/>
            </w:pPr>
            <w:r w:rsidRPr="00C76089">
              <w:t>Occupation</w:t>
            </w:r>
          </w:p>
        </w:tc>
        <w:tc>
          <w:tcPr>
            <w:tcW w:w="1134" w:type="dxa"/>
            <w:tcBorders>
              <w:top w:val="single" w:sz="4" w:space="0" w:color="auto"/>
              <w:bottom w:val="single" w:sz="4" w:space="0" w:color="auto"/>
            </w:tcBorders>
          </w:tcPr>
          <w:p w:rsidR="00C9115F" w:rsidRPr="00C76089" w:rsidRDefault="00C9115F" w:rsidP="00084229">
            <w:pPr>
              <w:pStyle w:val="Tablehead1"/>
            </w:pPr>
            <w:r w:rsidRPr="00C76089">
              <w:t>Age</w:t>
            </w:r>
          </w:p>
        </w:tc>
        <w:tc>
          <w:tcPr>
            <w:tcW w:w="1300" w:type="dxa"/>
            <w:tcBorders>
              <w:top w:val="single" w:sz="4" w:space="0" w:color="auto"/>
              <w:bottom w:val="single" w:sz="4" w:space="0" w:color="auto"/>
            </w:tcBorders>
          </w:tcPr>
          <w:p w:rsidR="00C9115F" w:rsidRPr="00C76089" w:rsidRDefault="00C9115F" w:rsidP="00084229">
            <w:pPr>
              <w:pStyle w:val="Tablehead1"/>
            </w:pPr>
            <w:r w:rsidRPr="00C76089">
              <w:t>Gender</w:t>
            </w:r>
          </w:p>
        </w:tc>
        <w:tc>
          <w:tcPr>
            <w:tcW w:w="3945" w:type="dxa"/>
            <w:tcBorders>
              <w:top w:val="single" w:sz="4" w:space="0" w:color="auto"/>
              <w:bottom w:val="single" w:sz="4" w:space="0" w:color="auto"/>
            </w:tcBorders>
          </w:tcPr>
          <w:p w:rsidR="00C9115F" w:rsidRPr="00C76089" w:rsidRDefault="00C9115F" w:rsidP="00084229">
            <w:pPr>
              <w:pStyle w:val="Tablehead1"/>
            </w:pPr>
            <w:r w:rsidRPr="00C76089">
              <w:t>Qualifications</w:t>
            </w:r>
          </w:p>
        </w:tc>
      </w:tr>
      <w:tr w:rsidR="00C9115F" w:rsidRPr="00316228" w:rsidTr="004C7736">
        <w:tc>
          <w:tcPr>
            <w:tcW w:w="2410" w:type="dxa"/>
          </w:tcPr>
          <w:p w:rsidR="00C9115F" w:rsidRPr="00C76089" w:rsidRDefault="00C9115F" w:rsidP="004C7736">
            <w:pPr>
              <w:pStyle w:val="Tabletext"/>
            </w:pPr>
            <w:r w:rsidRPr="00C76089">
              <w:t xml:space="preserve">Residential </w:t>
            </w:r>
            <w:r w:rsidR="0069670D" w:rsidRPr="00C76089">
              <w:t>service manager</w:t>
            </w:r>
          </w:p>
        </w:tc>
        <w:tc>
          <w:tcPr>
            <w:tcW w:w="1134" w:type="dxa"/>
          </w:tcPr>
          <w:p w:rsidR="00C9115F" w:rsidRPr="00C76089" w:rsidRDefault="00C9115F" w:rsidP="004C7736">
            <w:pPr>
              <w:pStyle w:val="Tabletext"/>
            </w:pPr>
            <w:r w:rsidRPr="00C76089">
              <w:t>48</w:t>
            </w:r>
          </w:p>
        </w:tc>
        <w:tc>
          <w:tcPr>
            <w:tcW w:w="1300" w:type="dxa"/>
          </w:tcPr>
          <w:p w:rsidR="00C9115F" w:rsidRPr="00C76089" w:rsidRDefault="00C9115F" w:rsidP="004C7736">
            <w:pPr>
              <w:pStyle w:val="Tabletext"/>
            </w:pPr>
            <w:r w:rsidRPr="00C76089">
              <w:t>Female</w:t>
            </w:r>
          </w:p>
        </w:tc>
        <w:tc>
          <w:tcPr>
            <w:tcW w:w="3945" w:type="dxa"/>
          </w:tcPr>
          <w:p w:rsidR="004C7736" w:rsidRDefault="0069670D" w:rsidP="004C7736">
            <w:pPr>
              <w:pStyle w:val="Tabletext"/>
            </w:pPr>
            <w:r>
              <w:t>Registered n</w:t>
            </w:r>
            <w:r w:rsidR="00C9115F" w:rsidRPr="00C76089">
              <w:t xml:space="preserve">urse </w:t>
            </w:r>
          </w:p>
          <w:p w:rsidR="00C9115F" w:rsidRPr="00C76089" w:rsidRDefault="00C9115F" w:rsidP="004C7736">
            <w:pPr>
              <w:pStyle w:val="Tabletext"/>
            </w:pPr>
            <w:r w:rsidRPr="00C76089">
              <w:t xml:space="preserve">Endorsement in aged care practice </w:t>
            </w:r>
          </w:p>
        </w:tc>
      </w:tr>
      <w:tr w:rsidR="00C9115F" w:rsidRPr="00316228" w:rsidTr="004C7736">
        <w:tc>
          <w:tcPr>
            <w:tcW w:w="2410" w:type="dxa"/>
          </w:tcPr>
          <w:p w:rsidR="00C9115F" w:rsidRPr="00C76089" w:rsidRDefault="00C9115F" w:rsidP="004C7736">
            <w:pPr>
              <w:pStyle w:val="Tabletext"/>
            </w:pPr>
            <w:r w:rsidRPr="00C76089">
              <w:t xml:space="preserve">Aged </w:t>
            </w:r>
            <w:r w:rsidR="0069670D" w:rsidRPr="00C76089">
              <w:t xml:space="preserve">care worker </w:t>
            </w:r>
          </w:p>
        </w:tc>
        <w:tc>
          <w:tcPr>
            <w:tcW w:w="1134" w:type="dxa"/>
          </w:tcPr>
          <w:p w:rsidR="00C9115F" w:rsidRPr="00C76089" w:rsidRDefault="00C9115F" w:rsidP="004C7736">
            <w:pPr>
              <w:pStyle w:val="Tabletext"/>
            </w:pPr>
            <w:r w:rsidRPr="00C76089">
              <w:t>42</w:t>
            </w:r>
          </w:p>
        </w:tc>
        <w:tc>
          <w:tcPr>
            <w:tcW w:w="1300" w:type="dxa"/>
          </w:tcPr>
          <w:p w:rsidR="00C9115F" w:rsidRPr="00C76089" w:rsidRDefault="00C9115F" w:rsidP="004C7736">
            <w:pPr>
              <w:pStyle w:val="Tabletext"/>
            </w:pPr>
            <w:r w:rsidRPr="00C76089">
              <w:t>Female</w:t>
            </w:r>
          </w:p>
        </w:tc>
        <w:tc>
          <w:tcPr>
            <w:tcW w:w="3945" w:type="dxa"/>
          </w:tcPr>
          <w:p w:rsidR="00C9115F" w:rsidRPr="00C76089" w:rsidRDefault="00C9115F" w:rsidP="004C7736">
            <w:pPr>
              <w:pStyle w:val="Tabletext"/>
            </w:pPr>
            <w:r w:rsidRPr="00C76089">
              <w:t>Undertaking community service and disability care certification</w:t>
            </w:r>
          </w:p>
        </w:tc>
      </w:tr>
      <w:tr w:rsidR="00C9115F" w:rsidRPr="00316228" w:rsidTr="004C7736">
        <w:tc>
          <w:tcPr>
            <w:tcW w:w="2410" w:type="dxa"/>
          </w:tcPr>
          <w:p w:rsidR="00C9115F" w:rsidRPr="00C76089" w:rsidRDefault="00C9115F" w:rsidP="004C7736">
            <w:pPr>
              <w:pStyle w:val="Tabletext"/>
            </w:pPr>
            <w:r w:rsidRPr="00C76089">
              <w:t xml:space="preserve">Nursing </w:t>
            </w:r>
            <w:r w:rsidR="0069670D" w:rsidRPr="00C76089">
              <w:t>unit manager</w:t>
            </w:r>
          </w:p>
        </w:tc>
        <w:tc>
          <w:tcPr>
            <w:tcW w:w="1134" w:type="dxa"/>
          </w:tcPr>
          <w:p w:rsidR="00C9115F" w:rsidRPr="00C76089" w:rsidRDefault="00C9115F" w:rsidP="004C7736">
            <w:pPr>
              <w:pStyle w:val="Tabletext"/>
            </w:pPr>
            <w:r w:rsidRPr="00C76089">
              <w:t>57</w:t>
            </w:r>
          </w:p>
        </w:tc>
        <w:tc>
          <w:tcPr>
            <w:tcW w:w="1300" w:type="dxa"/>
          </w:tcPr>
          <w:p w:rsidR="00C9115F" w:rsidRPr="00C76089" w:rsidRDefault="00C9115F" w:rsidP="004C7736">
            <w:pPr>
              <w:pStyle w:val="Tabletext"/>
            </w:pPr>
            <w:r w:rsidRPr="00C76089">
              <w:t>Male</w:t>
            </w:r>
          </w:p>
        </w:tc>
        <w:tc>
          <w:tcPr>
            <w:tcW w:w="3945" w:type="dxa"/>
          </w:tcPr>
          <w:p w:rsidR="004C7736" w:rsidRDefault="00C9115F" w:rsidP="004C7736">
            <w:pPr>
              <w:pStyle w:val="Tabletext"/>
            </w:pPr>
            <w:r w:rsidRPr="00C76089">
              <w:t xml:space="preserve">Division 1 </w:t>
            </w:r>
            <w:r w:rsidR="0069670D" w:rsidRPr="00C76089">
              <w:t xml:space="preserve">registered nurse </w:t>
            </w:r>
          </w:p>
          <w:p w:rsidR="00C9115F" w:rsidRPr="00C76089" w:rsidRDefault="00C9115F" w:rsidP="004C7736">
            <w:pPr>
              <w:pStyle w:val="Tabletext"/>
            </w:pPr>
            <w:r w:rsidRPr="00C76089">
              <w:t xml:space="preserve">Endorsements in midwifery, rural and remote area care and practice </w:t>
            </w:r>
          </w:p>
        </w:tc>
      </w:tr>
      <w:tr w:rsidR="00C9115F" w:rsidRPr="00316228" w:rsidTr="004C7736">
        <w:tc>
          <w:tcPr>
            <w:tcW w:w="2410" w:type="dxa"/>
          </w:tcPr>
          <w:p w:rsidR="00C9115F" w:rsidRPr="00C76089" w:rsidRDefault="00C9115F" w:rsidP="004C7736">
            <w:pPr>
              <w:pStyle w:val="Tabletext"/>
            </w:pPr>
            <w:r w:rsidRPr="00C76089">
              <w:t xml:space="preserve">Home care nurse </w:t>
            </w:r>
          </w:p>
        </w:tc>
        <w:tc>
          <w:tcPr>
            <w:tcW w:w="1134" w:type="dxa"/>
          </w:tcPr>
          <w:p w:rsidR="00C9115F" w:rsidRPr="00C76089" w:rsidRDefault="00C9115F" w:rsidP="004C7736">
            <w:pPr>
              <w:pStyle w:val="Tabletext"/>
            </w:pPr>
            <w:r w:rsidRPr="00C76089">
              <w:t>40</w:t>
            </w:r>
          </w:p>
        </w:tc>
        <w:tc>
          <w:tcPr>
            <w:tcW w:w="1300" w:type="dxa"/>
          </w:tcPr>
          <w:p w:rsidR="00C9115F" w:rsidRPr="00C76089" w:rsidRDefault="00C9115F" w:rsidP="004C7736">
            <w:pPr>
              <w:pStyle w:val="Tabletext"/>
            </w:pPr>
            <w:r w:rsidRPr="00C76089">
              <w:t>Female</w:t>
            </w:r>
          </w:p>
        </w:tc>
        <w:tc>
          <w:tcPr>
            <w:tcW w:w="3945" w:type="dxa"/>
          </w:tcPr>
          <w:p w:rsidR="004C7736" w:rsidRDefault="0069670D" w:rsidP="004C7736">
            <w:pPr>
              <w:pStyle w:val="Tabletext"/>
            </w:pPr>
            <w:r>
              <w:t>Registered n</w:t>
            </w:r>
            <w:r w:rsidR="00C9115F" w:rsidRPr="00C76089">
              <w:t xml:space="preserve">urse </w:t>
            </w:r>
          </w:p>
          <w:p w:rsidR="00C9115F" w:rsidRPr="00C76089" w:rsidRDefault="00C9115F" w:rsidP="004C7736">
            <w:pPr>
              <w:pStyle w:val="Tabletext"/>
            </w:pPr>
            <w:r w:rsidRPr="00C76089">
              <w:t xml:space="preserve">Diploma in Health Science </w:t>
            </w:r>
          </w:p>
        </w:tc>
      </w:tr>
      <w:tr w:rsidR="00C9115F" w:rsidRPr="00316228" w:rsidTr="004C7736">
        <w:tc>
          <w:tcPr>
            <w:tcW w:w="2410" w:type="dxa"/>
          </w:tcPr>
          <w:p w:rsidR="00C9115F" w:rsidRPr="00C76089" w:rsidRDefault="00C9115F" w:rsidP="004C7736">
            <w:pPr>
              <w:pStyle w:val="Tabletext"/>
            </w:pPr>
            <w:r w:rsidRPr="00C76089">
              <w:t>Domestic aide and direct care worker</w:t>
            </w:r>
          </w:p>
        </w:tc>
        <w:tc>
          <w:tcPr>
            <w:tcW w:w="1134" w:type="dxa"/>
          </w:tcPr>
          <w:p w:rsidR="00C9115F" w:rsidRPr="00C76089" w:rsidRDefault="00C9115F" w:rsidP="004C7736">
            <w:pPr>
              <w:pStyle w:val="Tabletext"/>
            </w:pPr>
            <w:r w:rsidRPr="00C76089">
              <w:t>32</w:t>
            </w:r>
          </w:p>
        </w:tc>
        <w:tc>
          <w:tcPr>
            <w:tcW w:w="1300" w:type="dxa"/>
          </w:tcPr>
          <w:p w:rsidR="00C9115F" w:rsidRPr="00C76089" w:rsidRDefault="00C9115F" w:rsidP="004C7736">
            <w:pPr>
              <w:pStyle w:val="Tabletext"/>
            </w:pPr>
            <w:r w:rsidRPr="00C76089">
              <w:t>Male</w:t>
            </w:r>
          </w:p>
        </w:tc>
        <w:tc>
          <w:tcPr>
            <w:tcW w:w="3945" w:type="dxa"/>
          </w:tcPr>
          <w:p w:rsidR="00C9115F" w:rsidRPr="00C76089" w:rsidRDefault="00C9115F" w:rsidP="004C7736">
            <w:pPr>
              <w:pStyle w:val="Tabletext"/>
            </w:pPr>
            <w:r w:rsidRPr="00C76089">
              <w:t>None, beyond mandatory OH &amp; S, first aid and manual handling</w:t>
            </w:r>
          </w:p>
        </w:tc>
      </w:tr>
      <w:tr w:rsidR="00C9115F" w:rsidRPr="00316228" w:rsidTr="004C7736">
        <w:tc>
          <w:tcPr>
            <w:tcW w:w="2410" w:type="dxa"/>
          </w:tcPr>
          <w:p w:rsidR="00C9115F" w:rsidRPr="00C76089" w:rsidRDefault="00C9115F" w:rsidP="004C7736">
            <w:pPr>
              <w:pStyle w:val="Tabletext"/>
            </w:pPr>
            <w:r w:rsidRPr="00C76089">
              <w:t xml:space="preserve">Nursing </w:t>
            </w:r>
            <w:r w:rsidR="0069670D" w:rsidRPr="00C76089">
              <w:t>unit manager</w:t>
            </w:r>
          </w:p>
        </w:tc>
        <w:tc>
          <w:tcPr>
            <w:tcW w:w="1134" w:type="dxa"/>
          </w:tcPr>
          <w:p w:rsidR="00C9115F" w:rsidRPr="00C76089" w:rsidRDefault="00C9115F" w:rsidP="004C7736">
            <w:pPr>
              <w:pStyle w:val="Tabletext"/>
            </w:pPr>
            <w:r w:rsidRPr="00C76089">
              <w:t>60</w:t>
            </w:r>
          </w:p>
        </w:tc>
        <w:tc>
          <w:tcPr>
            <w:tcW w:w="1300" w:type="dxa"/>
          </w:tcPr>
          <w:p w:rsidR="00C9115F" w:rsidRPr="00C76089" w:rsidRDefault="00C9115F" w:rsidP="004C7736">
            <w:pPr>
              <w:pStyle w:val="Tabletext"/>
            </w:pPr>
            <w:r w:rsidRPr="00C76089">
              <w:t>Female</w:t>
            </w:r>
          </w:p>
        </w:tc>
        <w:tc>
          <w:tcPr>
            <w:tcW w:w="3945" w:type="dxa"/>
          </w:tcPr>
          <w:p w:rsidR="004C7736" w:rsidRDefault="0069670D" w:rsidP="004C7736">
            <w:pPr>
              <w:pStyle w:val="Tabletext"/>
            </w:pPr>
            <w:r>
              <w:t>Registered n</w:t>
            </w:r>
            <w:r w:rsidR="00C9115F" w:rsidRPr="00C76089">
              <w:t>urse</w:t>
            </w:r>
          </w:p>
          <w:p w:rsidR="004C7736" w:rsidRDefault="00C9115F" w:rsidP="004C7736">
            <w:pPr>
              <w:pStyle w:val="Tabletext"/>
            </w:pPr>
            <w:r w:rsidRPr="00C76089">
              <w:t xml:space="preserve">Masters in Management </w:t>
            </w:r>
          </w:p>
          <w:p w:rsidR="00C9115F" w:rsidRPr="00C76089" w:rsidRDefault="00C9115F" w:rsidP="004C7736">
            <w:pPr>
              <w:pStyle w:val="Tabletext"/>
            </w:pPr>
            <w:r w:rsidRPr="00C76089">
              <w:t>Endorsements in child and family health, and midwifery practice</w:t>
            </w:r>
          </w:p>
        </w:tc>
      </w:tr>
      <w:tr w:rsidR="00C9115F" w:rsidRPr="00316228" w:rsidTr="004C7736">
        <w:tc>
          <w:tcPr>
            <w:tcW w:w="2410" w:type="dxa"/>
          </w:tcPr>
          <w:p w:rsidR="00C9115F" w:rsidRPr="00C76089" w:rsidRDefault="00C9115F" w:rsidP="004C7736">
            <w:pPr>
              <w:pStyle w:val="Tabletext"/>
            </w:pPr>
            <w:r w:rsidRPr="00C76089">
              <w:t>Patient care assistant (aide)</w:t>
            </w:r>
          </w:p>
        </w:tc>
        <w:tc>
          <w:tcPr>
            <w:tcW w:w="1134" w:type="dxa"/>
          </w:tcPr>
          <w:p w:rsidR="00C9115F" w:rsidRPr="00C76089" w:rsidRDefault="00C9115F" w:rsidP="004C7736">
            <w:pPr>
              <w:pStyle w:val="Tabletext"/>
            </w:pPr>
            <w:r w:rsidRPr="00C76089">
              <w:t>23</w:t>
            </w:r>
          </w:p>
        </w:tc>
        <w:tc>
          <w:tcPr>
            <w:tcW w:w="1300" w:type="dxa"/>
          </w:tcPr>
          <w:p w:rsidR="00C9115F" w:rsidRPr="00C76089" w:rsidRDefault="00C9115F" w:rsidP="004C7736">
            <w:pPr>
              <w:pStyle w:val="Tabletext"/>
            </w:pPr>
            <w:r w:rsidRPr="00C76089">
              <w:t>Female</w:t>
            </w:r>
          </w:p>
        </w:tc>
        <w:tc>
          <w:tcPr>
            <w:tcW w:w="3945" w:type="dxa"/>
          </w:tcPr>
          <w:p w:rsidR="00C9115F" w:rsidRPr="00C76089" w:rsidRDefault="00C9115F" w:rsidP="004C7736">
            <w:pPr>
              <w:pStyle w:val="Tabletext"/>
            </w:pPr>
            <w:r w:rsidRPr="00C76089">
              <w:t>None, discontinu</w:t>
            </w:r>
            <w:r w:rsidR="002D42C5">
              <w:t>ed (non-completed) Bachelor of T</w:t>
            </w:r>
            <w:r w:rsidRPr="00C76089">
              <w:t>eaching</w:t>
            </w:r>
          </w:p>
        </w:tc>
      </w:tr>
      <w:tr w:rsidR="00C9115F" w:rsidRPr="00316228" w:rsidTr="004C7736">
        <w:tc>
          <w:tcPr>
            <w:tcW w:w="2410" w:type="dxa"/>
          </w:tcPr>
          <w:p w:rsidR="00C9115F" w:rsidRPr="00C76089" w:rsidRDefault="00C9115F" w:rsidP="004C7736">
            <w:pPr>
              <w:pStyle w:val="Tabletext"/>
            </w:pPr>
            <w:r w:rsidRPr="00C76089">
              <w:t>Aged care nurse</w:t>
            </w:r>
          </w:p>
        </w:tc>
        <w:tc>
          <w:tcPr>
            <w:tcW w:w="1134" w:type="dxa"/>
          </w:tcPr>
          <w:p w:rsidR="00C9115F" w:rsidRPr="00C76089" w:rsidRDefault="00C9115F" w:rsidP="004C7736">
            <w:pPr>
              <w:pStyle w:val="Tabletext"/>
            </w:pPr>
            <w:r w:rsidRPr="00C76089">
              <w:t>48</w:t>
            </w:r>
          </w:p>
        </w:tc>
        <w:tc>
          <w:tcPr>
            <w:tcW w:w="1300" w:type="dxa"/>
          </w:tcPr>
          <w:p w:rsidR="00C9115F" w:rsidRPr="00C76089" w:rsidRDefault="00C9115F" w:rsidP="004C7736">
            <w:pPr>
              <w:pStyle w:val="Tabletext"/>
            </w:pPr>
            <w:r w:rsidRPr="00C76089">
              <w:t>Female</w:t>
            </w:r>
          </w:p>
        </w:tc>
        <w:tc>
          <w:tcPr>
            <w:tcW w:w="3945" w:type="dxa"/>
          </w:tcPr>
          <w:p w:rsidR="004C7736" w:rsidRDefault="0069670D" w:rsidP="004C7736">
            <w:pPr>
              <w:pStyle w:val="Tabletext"/>
            </w:pPr>
            <w:r>
              <w:t>Registered n</w:t>
            </w:r>
            <w:r w:rsidR="00C9115F" w:rsidRPr="00C76089">
              <w:t>urse</w:t>
            </w:r>
          </w:p>
          <w:p w:rsidR="004C7736" w:rsidRDefault="00C9115F" w:rsidP="004C7736">
            <w:pPr>
              <w:pStyle w:val="Tabletext"/>
            </w:pPr>
            <w:r w:rsidRPr="00C76089">
              <w:t>Endorsement in aged care practice</w:t>
            </w:r>
          </w:p>
          <w:p w:rsidR="00C9115F" w:rsidRPr="00C76089" w:rsidRDefault="002D42C5" w:rsidP="004C7736">
            <w:pPr>
              <w:pStyle w:val="Tabletext"/>
            </w:pPr>
            <w:r>
              <w:t>Certificate IV in Training and A</w:t>
            </w:r>
            <w:r w:rsidR="00C9115F" w:rsidRPr="00C76089">
              <w:t>ssessment</w:t>
            </w:r>
          </w:p>
        </w:tc>
      </w:tr>
    </w:tbl>
    <w:p w:rsidR="00C9115F" w:rsidRDefault="00C9115F" w:rsidP="004C7736">
      <w:pPr>
        <w:pStyle w:val="Textmorebefore"/>
      </w:pPr>
      <w:r>
        <w:t xml:space="preserve">A thematic summary of the interviews identifies a number of key points, which are outlined below. </w:t>
      </w:r>
    </w:p>
    <w:p w:rsidR="00C9115F" w:rsidRPr="004C7736" w:rsidRDefault="00C9115F" w:rsidP="004C7736">
      <w:pPr>
        <w:pStyle w:val="Text"/>
        <w:ind w:left="284" w:right="0"/>
        <w:rPr>
          <w:i/>
        </w:rPr>
      </w:pPr>
      <w:r w:rsidRPr="004C7736">
        <w:rPr>
          <w:i/>
        </w:rPr>
        <w:t>There is strong consensus among workers that resource constraints, which are present in both sectors, serve to broadly c</w:t>
      </w:r>
      <w:r w:rsidR="002D42C5" w:rsidRPr="004C7736">
        <w:rPr>
          <w:i/>
        </w:rPr>
        <w:t>urtail</w:t>
      </w:r>
      <w:r w:rsidRPr="004C7736">
        <w:rPr>
          <w:i/>
        </w:rPr>
        <w:t xml:space="preserve"> career development. </w:t>
      </w:r>
    </w:p>
    <w:p w:rsidR="00C9115F" w:rsidRDefault="00C9115F" w:rsidP="00C9115F">
      <w:pPr>
        <w:pStyle w:val="Text"/>
      </w:pPr>
      <w:r>
        <w:t>Training, and the value of training to service delivery in community services and health, was acknowledged by all interviewees.</w:t>
      </w:r>
      <w:r w:rsidR="00B6039E">
        <w:t xml:space="preserve"> </w:t>
      </w:r>
      <w:r w:rsidR="0069670D">
        <w:t>In higher-</w:t>
      </w:r>
      <w:r>
        <w:t>skilled roles, the need to update skills in line with changing practice regimes is critical.</w:t>
      </w:r>
      <w:r w:rsidR="00B6039E">
        <w:t xml:space="preserve"> </w:t>
      </w:r>
      <w:r>
        <w:t>In this regard, licensing and registration agencies are essential (</w:t>
      </w:r>
      <w:r w:rsidR="00CE20E7">
        <w:t>for example,</w:t>
      </w:r>
      <w:r>
        <w:t xml:space="preserve"> the Australian Health Practitioners Registration Agency).</w:t>
      </w:r>
      <w:r w:rsidR="00B6039E">
        <w:t xml:space="preserve"> </w:t>
      </w:r>
      <w:r>
        <w:t>In the case of nurses, for example, the need to maintain and update training is present across all aspects of the practitioner role — basic and advanced life support training, medications training and</w:t>
      </w:r>
      <w:r w:rsidR="002D42C5">
        <w:t>,</w:t>
      </w:r>
      <w:r>
        <w:t xml:space="preserve"> at the state level, the need for additional endorsements</w:t>
      </w:r>
      <w:r>
        <w:rPr>
          <w:rStyle w:val="FootnoteReference"/>
        </w:rPr>
        <w:footnoteReference w:id="10"/>
      </w:r>
      <w:r>
        <w:t xml:space="preserve"> in order for nurses to undertake certain roles in public health service delivery (</w:t>
      </w:r>
      <w:r w:rsidR="00CE20E7">
        <w:t>for example,</w:t>
      </w:r>
      <w:r>
        <w:t xml:space="preserve"> child and family health, or rural and remote endorsements).</w:t>
      </w:r>
      <w:r w:rsidR="00B6039E">
        <w:t xml:space="preserve"> </w:t>
      </w:r>
    </w:p>
    <w:p w:rsidR="00C9115F" w:rsidRDefault="002D42C5" w:rsidP="00C9115F">
      <w:pPr>
        <w:pStyle w:val="Text"/>
      </w:pPr>
      <w:r>
        <w:t>In lower-</w:t>
      </w:r>
      <w:r w:rsidR="00C9115F">
        <w:t xml:space="preserve">skilled or ‘unqualified’ roles, training also plays an important role by ensuring </w:t>
      </w:r>
      <w:r>
        <w:t xml:space="preserve">that </w:t>
      </w:r>
      <w:r w:rsidR="00C9115F">
        <w:t>workers engaged in direct care roles particularly understand manual handling procedures</w:t>
      </w:r>
      <w:r w:rsidR="00D37A28">
        <w:t xml:space="preserve"> and</w:t>
      </w:r>
      <w:r w:rsidR="00C9115F">
        <w:t xml:space="preserve"> workplace health and safety</w:t>
      </w:r>
      <w:r w:rsidR="00D37A28">
        <w:t>,</w:t>
      </w:r>
      <w:r w:rsidR="00C9115F">
        <w:t xml:space="preserve"> and can give essential first aid in emergency situations.</w:t>
      </w:r>
      <w:r w:rsidR="00B6039E">
        <w:t xml:space="preserve"> </w:t>
      </w:r>
      <w:r w:rsidR="00C9115F">
        <w:t xml:space="preserve">Despite the recognition of a need to update clinical skills and ensure safety amongst workers and for patients and clients, </w:t>
      </w:r>
      <w:r w:rsidR="00C9115F">
        <w:lastRenderedPageBreak/>
        <w:t>workers universally noted the absence of employer financial support for training.</w:t>
      </w:r>
      <w:r w:rsidR="00B6039E">
        <w:t xml:space="preserve"> </w:t>
      </w:r>
      <w:r w:rsidR="00C9115F">
        <w:t xml:space="preserve">The following excerpts are representative of </w:t>
      </w:r>
      <w:r>
        <w:t>comments made on this point</w:t>
      </w:r>
      <w:r w:rsidR="00C9115F">
        <w:t xml:space="preserve"> and demonstrate how wide the impact for staff is.</w:t>
      </w:r>
    </w:p>
    <w:p w:rsidR="00C9115F" w:rsidRDefault="00C9115F" w:rsidP="00AD203F">
      <w:pPr>
        <w:pStyle w:val="Quote"/>
      </w:pPr>
      <w:r>
        <w:t>All of the training I’ve had, it’s occurred because I’ve decided I needed it, generally once I’m already in a role, and I’ve gone about getting it.</w:t>
      </w:r>
      <w:r>
        <w:tab/>
        <w:t xml:space="preserve">Nursing </w:t>
      </w:r>
      <w:r w:rsidR="0069670D">
        <w:t>unit manager</w:t>
      </w:r>
    </w:p>
    <w:p w:rsidR="00C9115F" w:rsidRDefault="00C9115F" w:rsidP="00C9115F">
      <w:pPr>
        <w:pStyle w:val="Text"/>
      </w:pPr>
      <w:r>
        <w:t xml:space="preserve">There is a strong body of work which indicates that this lack of financial support for training impacts </w:t>
      </w:r>
      <w:r w:rsidR="002D42C5">
        <w:t xml:space="preserve">negatively on </w:t>
      </w:r>
      <w:r>
        <w:t>workers in career terms.</w:t>
      </w:r>
      <w:r w:rsidR="00B6039E">
        <w:t xml:space="preserve"> </w:t>
      </w:r>
      <w:r>
        <w:t>As Kubiak</w:t>
      </w:r>
      <w:r w:rsidR="0069670D">
        <w:t xml:space="preserve">, </w:t>
      </w:r>
      <w:r w:rsidR="0069670D" w:rsidRPr="00E228B3">
        <w:t xml:space="preserve">Rogers </w:t>
      </w:r>
      <w:r w:rsidR="00E228B3">
        <w:t>and</w:t>
      </w:r>
      <w:r w:rsidR="0069670D" w:rsidRPr="00E228B3">
        <w:t xml:space="preserve"> Turner</w:t>
      </w:r>
      <w:r w:rsidR="007722B0" w:rsidRPr="00E228B3">
        <w:t xml:space="preserve"> </w:t>
      </w:r>
      <w:r>
        <w:t>(2010, p.375) not</w:t>
      </w:r>
      <w:r w:rsidRPr="00E228B3">
        <w:t>es,</w:t>
      </w:r>
      <w:r>
        <w:t xml:space="preserve"> resource deficits ‘militate against learning opportunities’.</w:t>
      </w:r>
      <w:r w:rsidR="00B6039E">
        <w:t xml:space="preserve"> </w:t>
      </w:r>
      <w:r>
        <w:t>At the higher end of the occupationa</w:t>
      </w:r>
      <w:r w:rsidR="0069670D">
        <w:t>l hierarchy, the impact of cost-</w:t>
      </w:r>
      <w:r>
        <w:t xml:space="preserve">cutting </w:t>
      </w:r>
      <w:r w:rsidR="0069670D">
        <w:t xml:space="preserve">on </w:t>
      </w:r>
      <w:r>
        <w:t xml:space="preserve">workers in health and community services </w:t>
      </w:r>
      <w:r w:rsidR="007722B0">
        <w:t xml:space="preserve">is felt </w:t>
      </w:r>
      <w:r>
        <w:t>most directly through work</w:t>
      </w:r>
      <w:r w:rsidR="002D42C5">
        <w:t xml:space="preserve"> intensification</w:t>
      </w:r>
      <w:r w:rsidR="00AF04F4">
        <w:t>,</w:t>
      </w:r>
      <w:r>
        <w:t xml:space="preserve"> which thereby reduces both formal and informal learning opportunities. </w:t>
      </w:r>
      <w:r w:rsidRPr="00E228B3">
        <w:t xml:space="preserve">Bretherton, Buchanan </w:t>
      </w:r>
      <w:r w:rsidR="000B030C" w:rsidRPr="00E228B3">
        <w:t>and</w:t>
      </w:r>
      <w:r w:rsidRPr="00E228B3">
        <w:t xml:space="preserve"> Gordon (2009) </w:t>
      </w:r>
      <w:r>
        <w:t>note tha</w:t>
      </w:r>
      <w:r w:rsidR="007722B0">
        <w:t>t work intensification and cost-</w:t>
      </w:r>
      <w:r>
        <w:t>cut</w:t>
      </w:r>
      <w:r w:rsidR="00AF04F4">
        <w:t>ting in health facilities limit</w:t>
      </w:r>
      <w:r>
        <w:t xml:space="preserve"> the ability of staff to access supports for training because there are </w:t>
      </w:r>
      <w:r w:rsidR="00AF04F4">
        <w:t>reduced</w:t>
      </w:r>
      <w:r>
        <w:t xml:space="preserve"> opportunities to attend training during work time, and there is often no financial support to meet course costs.</w:t>
      </w:r>
      <w:r w:rsidR="00B6039E">
        <w:t xml:space="preserve"> </w:t>
      </w:r>
      <w:r>
        <w:t>This is illustrated by the experience of a hi</w:t>
      </w:r>
      <w:r w:rsidR="00AF04F4">
        <w:t>ghly qualified registered nurse</w:t>
      </w:r>
      <w:r>
        <w:t xml:space="preserve"> who had already achieved a n</w:t>
      </w:r>
      <w:r w:rsidR="00AF04F4">
        <w:t>umber of endorsements to practis</w:t>
      </w:r>
      <w:r>
        <w:t>e in family and community care, home care and aged care and yet identified a barrier to further advancement without employer support:</w:t>
      </w:r>
      <w:r w:rsidR="00B6039E">
        <w:t xml:space="preserve"> </w:t>
      </w:r>
    </w:p>
    <w:p w:rsidR="00C9115F" w:rsidRDefault="00C9115F" w:rsidP="00AD203F">
      <w:pPr>
        <w:pStyle w:val="Quote"/>
      </w:pPr>
      <w:r>
        <w:t>I’ve reached a point where I’m almost 50 and to get to the next level, I would have to do a double degree to get to the next level of management in aged care</w:t>
      </w:r>
      <w:r w:rsidR="007722B0">
        <w:t xml:space="preserve"> </w:t>
      </w:r>
      <w:r w:rsidR="00C60B40">
        <w:t>…</w:t>
      </w:r>
      <w:r w:rsidR="007722B0">
        <w:t xml:space="preserve"> </w:t>
      </w:r>
      <w:r>
        <w:t>Ideally I would love to actually teach because it would be rewarding, and I believe I have skills and experience to impart</w:t>
      </w:r>
      <w:r w:rsidR="007722B0">
        <w:t xml:space="preserve"> … </w:t>
      </w:r>
      <w:r>
        <w:t>but again, a double degree.</w:t>
      </w:r>
      <w:r w:rsidR="00B6039E">
        <w:t xml:space="preserve"> </w:t>
      </w:r>
      <w:r>
        <w:t>I don’t want to take that on at my age, because it would mean trying to work at the same time.</w:t>
      </w:r>
      <w:r w:rsidR="00B6039E">
        <w:t xml:space="preserve"> </w:t>
      </w:r>
      <w:r>
        <w:t>That would be hard without family, and pretty much impo</w:t>
      </w:r>
      <w:r w:rsidR="007722B0">
        <w:t>ssible with family.</w:t>
      </w:r>
      <w:r w:rsidR="007722B0">
        <w:tab/>
        <w:t>Registered n</w:t>
      </w:r>
      <w:r>
        <w:t>urse</w:t>
      </w:r>
    </w:p>
    <w:p w:rsidR="00C9115F" w:rsidRDefault="00C9115F" w:rsidP="002860B5">
      <w:pPr>
        <w:pStyle w:val="Text"/>
        <w:ind w:right="-143"/>
      </w:pPr>
      <w:r>
        <w:t>Lack of employer support to acquire further qualifications can inhibit the ability of workers to advance</w:t>
      </w:r>
      <w:r w:rsidR="002860B5">
        <w:t> </w:t>
      </w:r>
      <w:r>
        <w:t>beyond the entry level in the long term. This challenge was explained by a domestic aide who</w:t>
      </w:r>
      <w:r w:rsidR="002860B5">
        <w:t xml:space="preserve"> </w:t>
      </w:r>
      <w:r>
        <w:t xml:space="preserve">had worked in aged care and disability direct care for eight years, yet remained at the entry level: </w:t>
      </w:r>
    </w:p>
    <w:p w:rsidR="00C9115F" w:rsidRDefault="00C9115F" w:rsidP="00AD203F">
      <w:pPr>
        <w:pStyle w:val="Quote"/>
      </w:pPr>
      <w:r>
        <w:t>In a perfect world, I’d do my nursing degree but I’ve worked out that it will cost me twenty grand, and I’d have to fit that around work.</w:t>
      </w:r>
      <w:r w:rsidR="00B6039E">
        <w:t xml:space="preserve"> </w:t>
      </w:r>
      <w:r>
        <w:t>The pay would be better, and personally you’d feel better because you’re ‘qualified’ but I’m not sure how I would make it happen because you have to keep working don’t you?</w:t>
      </w:r>
      <w:r w:rsidR="00B6039E">
        <w:t xml:space="preserve"> </w:t>
      </w:r>
      <w:r>
        <w:t>You have to bring money in.</w:t>
      </w:r>
      <w:r>
        <w:tab/>
        <w:t>Aged care worker</w:t>
      </w:r>
    </w:p>
    <w:p w:rsidR="00C9115F" w:rsidRDefault="00C9115F" w:rsidP="00C9115F">
      <w:pPr>
        <w:pStyle w:val="Text"/>
      </w:pPr>
      <w:r>
        <w:t>Care workers also noted that increased stress and pay were ‘not enough’ to justify a promotion, particularly to the management level:</w:t>
      </w:r>
    </w:p>
    <w:p w:rsidR="00C9115F" w:rsidRDefault="00C9115F" w:rsidP="00AD203F">
      <w:pPr>
        <w:pStyle w:val="Quote"/>
      </w:pPr>
      <w:r>
        <w:t>The pay and responsibility are better, but it still doesn’t seem to be worth it</w:t>
      </w:r>
      <w:r w:rsidR="007722B0">
        <w:t xml:space="preserve"> </w:t>
      </w:r>
      <w:r w:rsidR="00C60B40">
        <w:t>…</w:t>
      </w:r>
      <w:r w:rsidR="00AF04F4">
        <w:t xml:space="preserve"> </w:t>
      </w:r>
      <w:r>
        <w:t>To be honest with you it is a very poorly paid job and you need to work two jobs just to make ends meet.</w:t>
      </w:r>
      <w:r w:rsidR="002860B5">
        <w:br/>
      </w:r>
      <w:r w:rsidR="000B030C">
        <w:tab/>
      </w:r>
      <w:r w:rsidR="007722B0">
        <w:t>Care w</w:t>
      </w:r>
      <w:r>
        <w:t>orker</w:t>
      </w:r>
    </w:p>
    <w:p w:rsidR="00C9115F" w:rsidRDefault="00C9115F" w:rsidP="00C9115F">
      <w:pPr>
        <w:pStyle w:val="Text"/>
      </w:pPr>
      <w:r>
        <w:t>The low-pay conditions in community services are well established</w:t>
      </w:r>
      <w:r w:rsidR="007722B0">
        <w:t xml:space="preserve"> </w:t>
      </w:r>
      <w:r>
        <w:t>and were the subject of the recent Fair Work Australia decision in a key Equal Remuneration case for the social, community and disability services (SACS) industry</w:t>
      </w:r>
      <w:r>
        <w:rPr>
          <w:rStyle w:val="FootnoteReference"/>
        </w:rPr>
        <w:footnoteReference w:id="11"/>
      </w:r>
      <w:r>
        <w:t xml:space="preserve"> in</w:t>
      </w:r>
      <w:r w:rsidR="007722B0">
        <w:t xml:space="preserve"> May 2011 (Fair Work Australia</w:t>
      </w:r>
      <w:r>
        <w:t xml:space="preserve"> 2011). Table 6 presents the relative average weekly (gross) earnings for care workers in both the community services and healthcare </w:t>
      </w:r>
      <w:r w:rsidR="00AF04F4">
        <w:t>industries. Full-</w:t>
      </w:r>
      <w:r>
        <w:t>time and total earnings are given to illustrate the prevalence of part-time work particularly amongst lesser-qualified workers.</w:t>
      </w:r>
    </w:p>
    <w:p w:rsidR="002860B5" w:rsidRDefault="002860B5">
      <w:pPr>
        <w:spacing w:before="0" w:line="240" w:lineRule="auto"/>
        <w:rPr>
          <w:rFonts w:ascii="Tahoma" w:hAnsi="Tahoma"/>
          <w:b/>
          <w:sz w:val="17"/>
        </w:rPr>
      </w:pPr>
      <w:bookmarkStart w:id="69" w:name="_Toc194650002"/>
      <w:r>
        <w:br w:type="page"/>
      </w:r>
    </w:p>
    <w:p w:rsidR="00C9115F" w:rsidRDefault="007722B0" w:rsidP="00C9115F">
      <w:pPr>
        <w:pStyle w:val="tabletitle"/>
      </w:pPr>
      <w:bookmarkStart w:id="70" w:name="_Toc335752995"/>
      <w:r>
        <w:lastRenderedPageBreak/>
        <w:t>Table 6</w:t>
      </w:r>
      <w:r w:rsidR="002860B5">
        <w:tab/>
      </w:r>
      <w:r w:rsidR="00C9115F" w:rsidRPr="00142018">
        <w:t xml:space="preserve">Average weekly gross earnings by occupation, </w:t>
      </w:r>
      <w:r w:rsidRPr="00142018">
        <w:t>healthcare and community services</w:t>
      </w:r>
      <w:r w:rsidR="00C9115F" w:rsidRPr="00142018">
        <w:t>, 2010</w:t>
      </w:r>
      <w:bookmarkEnd w:id="69"/>
      <w:bookmarkEnd w:id="70"/>
    </w:p>
    <w:tbl>
      <w:tblPr>
        <w:tblW w:w="8789" w:type="dxa"/>
        <w:tblInd w:w="96" w:type="dxa"/>
        <w:tblLayout w:type="fixed"/>
        <w:tblLook w:val="04A0"/>
      </w:tblPr>
      <w:tblGrid>
        <w:gridCol w:w="3840"/>
        <w:gridCol w:w="2474"/>
        <w:gridCol w:w="2475"/>
      </w:tblGrid>
      <w:tr w:rsidR="00C9115F" w:rsidRPr="0089008E" w:rsidTr="002860B5">
        <w:tc>
          <w:tcPr>
            <w:tcW w:w="3840" w:type="dxa"/>
            <w:tcBorders>
              <w:top w:val="single" w:sz="4" w:space="0" w:color="auto"/>
              <w:left w:val="nil"/>
              <w:bottom w:val="single" w:sz="4" w:space="0" w:color="auto"/>
              <w:right w:val="nil"/>
            </w:tcBorders>
            <w:shd w:val="clear" w:color="auto" w:fill="auto"/>
            <w:noWrap/>
          </w:tcPr>
          <w:p w:rsidR="00C9115F" w:rsidRPr="0089008E" w:rsidRDefault="00C9115F" w:rsidP="00AD203F">
            <w:pPr>
              <w:pStyle w:val="Tablehead1"/>
            </w:pPr>
            <w:r w:rsidRPr="0089008E">
              <w:t>Occupation</w:t>
            </w:r>
          </w:p>
        </w:tc>
        <w:tc>
          <w:tcPr>
            <w:tcW w:w="2474" w:type="dxa"/>
            <w:tcBorders>
              <w:top w:val="single" w:sz="4" w:space="0" w:color="auto"/>
              <w:left w:val="nil"/>
              <w:bottom w:val="single" w:sz="4" w:space="0" w:color="auto"/>
              <w:right w:val="nil"/>
            </w:tcBorders>
            <w:shd w:val="clear" w:color="auto" w:fill="auto"/>
          </w:tcPr>
          <w:p w:rsidR="00C9115F" w:rsidRPr="0089008E" w:rsidRDefault="00C9115F" w:rsidP="002860B5">
            <w:pPr>
              <w:pStyle w:val="Tablehead1"/>
              <w:jc w:val="center"/>
            </w:pPr>
            <w:r w:rsidRPr="0089008E">
              <w:t>Average weekly full-time earnings $</w:t>
            </w:r>
          </w:p>
        </w:tc>
        <w:tc>
          <w:tcPr>
            <w:tcW w:w="2475" w:type="dxa"/>
            <w:tcBorders>
              <w:top w:val="single" w:sz="4" w:space="0" w:color="auto"/>
              <w:left w:val="nil"/>
              <w:bottom w:val="single" w:sz="4" w:space="0" w:color="auto"/>
              <w:right w:val="nil"/>
            </w:tcBorders>
            <w:shd w:val="clear" w:color="auto" w:fill="auto"/>
          </w:tcPr>
          <w:p w:rsidR="00C9115F" w:rsidRPr="0089008E" w:rsidRDefault="00C9115F" w:rsidP="002860B5">
            <w:pPr>
              <w:pStyle w:val="Tablehead1"/>
              <w:jc w:val="center"/>
            </w:pPr>
            <w:r w:rsidRPr="0089008E">
              <w:t>Average weekly total earnings $</w:t>
            </w:r>
          </w:p>
        </w:tc>
      </w:tr>
      <w:tr w:rsidR="00C9115F" w:rsidRPr="0089008E" w:rsidTr="002860B5">
        <w:tc>
          <w:tcPr>
            <w:tcW w:w="3840" w:type="dxa"/>
            <w:tcBorders>
              <w:top w:val="nil"/>
              <w:left w:val="nil"/>
              <w:bottom w:val="nil"/>
              <w:right w:val="nil"/>
            </w:tcBorders>
            <w:shd w:val="clear" w:color="auto" w:fill="auto"/>
            <w:noWrap/>
          </w:tcPr>
          <w:p w:rsidR="00C9115F" w:rsidRPr="0089008E" w:rsidRDefault="00C9115F" w:rsidP="002860B5">
            <w:pPr>
              <w:pStyle w:val="Tabletext"/>
            </w:pPr>
            <w:r w:rsidRPr="0089008E">
              <w:t xml:space="preserve">Aged or </w:t>
            </w:r>
            <w:r w:rsidR="007722B0" w:rsidRPr="0089008E">
              <w:t>disabled carer</w:t>
            </w:r>
          </w:p>
        </w:tc>
        <w:tc>
          <w:tcPr>
            <w:tcW w:w="2474"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800</w:t>
            </w:r>
          </w:p>
        </w:tc>
        <w:tc>
          <w:tcPr>
            <w:tcW w:w="2475"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560</w:t>
            </w:r>
          </w:p>
        </w:tc>
      </w:tr>
      <w:tr w:rsidR="00C9115F" w:rsidRPr="0089008E" w:rsidTr="002860B5">
        <w:tc>
          <w:tcPr>
            <w:tcW w:w="3840" w:type="dxa"/>
            <w:tcBorders>
              <w:top w:val="nil"/>
              <w:left w:val="nil"/>
              <w:bottom w:val="nil"/>
              <w:right w:val="nil"/>
            </w:tcBorders>
            <w:shd w:val="clear" w:color="auto" w:fill="auto"/>
            <w:noWrap/>
          </w:tcPr>
          <w:p w:rsidR="00C9115F" w:rsidRPr="0089008E" w:rsidRDefault="00C9115F" w:rsidP="002860B5">
            <w:pPr>
              <w:pStyle w:val="Tabletext"/>
            </w:pPr>
            <w:r w:rsidRPr="0089008E">
              <w:t xml:space="preserve">Personal </w:t>
            </w:r>
            <w:r w:rsidR="007722B0" w:rsidRPr="0089008E">
              <w:t>care worker</w:t>
            </w:r>
          </w:p>
        </w:tc>
        <w:tc>
          <w:tcPr>
            <w:tcW w:w="2474"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750</w:t>
            </w:r>
          </w:p>
        </w:tc>
        <w:tc>
          <w:tcPr>
            <w:tcW w:w="2475"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550</w:t>
            </w:r>
          </w:p>
        </w:tc>
      </w:tr>
      <w:tr w:rsidR="00C9115F" w:rsidRPr="0089008E" w:rsidTr="002860B5">
        <w:tc>
          <w:tcPr>
            <w:tcW w:w="3840" w:type="dxa"/>
            <w:tcBorders>
              <w:top w:val="nil"/>
              <w:left w:val="nil"/>
              <w:bottom w:val="nil"/>
              <w:right w:val="nil"/>
            </w:tcBorders>
            <w:shd w:val="clear" w:color="auto" w:fill="auto"/>
            <w:noWrap/>
          </w:tcPr>
          <w:p w:rsidR="00C9115F" w:rsidRPr="0089008E" w:rsidRDefault="00C9115F" w:rsidP="002860B5">
            <w:pPr>
              <w:pStyle w:val="Tabletext"/>
            </w:pPr>
            <w:r w:rsidRPr="0089008E">
              <w:t>Enrolled</w:t>
            </w:r>
            <w:r w:rsidR="007722B0" w:rsidRPr="0089008E">
              <w:t xml:space="preserve"> nurse</w:t>
            </w:r>
          </w:p>
        </w:tc>
        <w:tc>
          <w:tcPr>
            <w:tcW w:w="2474"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805</w:t>
            </w:r>
          </w:p>
        </w:tc>
        <w:tc>
          <w:tcPr>
            <w:tcW w:w="2475"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750</w:t>
            </w:r>
          </w:p>
        </w:tc>
      </w:tr>
      <w:tr w:rsidR="00C9115F" w:rsidRPr="0089008E" w:rsidTr="002860B5">
        <w:tc>
          <w:tcPr>
            <w:tcW w:w="3840" w:type="dxa"/>
            <w:tcBorders>
              <w:top w:val="nil"/>
              <w:left w:val="nil"/>
              <w:bottom w:val="nil"/>
              <w:right w:val="nil"/>
            </w:tcBorders>
            <w:shd w:val="clear" w:color="auto" w:fill="auto"/>
            <w:noWrap/>
          </w:tcPr>
          <w:p w:rsidR="00C9115F" w:rsidRPr="0089008E" w:rsidRDefault="00C9115F" w:rsidP="002860B5">
            <w:pPr>
              <w:pStyle w:val="Tabletext"/>
            </w:pPr>
            <w:r w:rsidRPr="0089008E">
              <w:t>Registered</w:t>
            </w:r>
            <w:r w:rsidR="007722B0" w:rsidRPr="0089008E">
              <w:t xml:space="preserve"> nurse</w:t>
            </w:r>
          </w:p>
        </w:tc>
        <w:tc>
          <w:tcPr>
            <w:tcW w:w="2474"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1150</w:t>
            </w:r>
          </w:p>
        </w:tc>
        <w:tc>
          <w:tcPr>
            <w:tcW w:w="2475"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960</w:t>
            </w:r>
          </w:p>
        </w:tc>
      </w:tr>
      <w:tr w:rsidR="00C9115F" w:rsidRPr="0089008E" w:rsidTr="002860B5">
        <w:tc>
          <w:tcPr>
            <w:tcW w:w="3840" w:type="dxa"/>
            <w:tcBorders>
              <w:top w:val="nil"/>
              <w:left w:val="nil"/>
              <w:bottom w:val="nil"/>
              <w:right w:val="nil"/>
            </w:tcBorders>
            <w:shd w:val="clear" w:color="auto" w:fill="auto"/>
            <w:noWrap/>
          </w:tcPr>
          <w:p w:rsidR="00C9115F" w:rsidRPr="0089008E" w:rsidRDefault="00C9115F" w:rsidP="002860B5">
            <w:pPr>
              <w:pStyle w:val="Tabletext"/>
            </w:pPr>
            <w:r w:rsidRPr="0089008E">
              <w:t xml:space="preserve">Nurse </w:t>
            </w:r>
            <w:r w:rsidR="007722B0" w:rsidRPr="0089008E">
              <w:t>manager</w:t>
            </w:r>
          </w:p>
        </w:tc>
        <w:tc>
          <w:tcPr>
            <w:tcW w:w="2474"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1500</w:t>
            </w:r>
          </w:p>
        </w:tc>
        <w:tc>
          <w:tcPr>
            <w:tcW w:w="2475" w:type="dxa"/>
            <w:tcBorders>
              <w:top w:val="nil"/>
              <w:left w:val="nil"/>
              <w:bottom w:val="nil"/>
              <w:right w:val="nil"/>
            </w:tcBorders>
            <w:shd w:val="clear" w:color="auto" w:fill="auto"/>
            <w:noWrap/>
          </w:tcPr>
          <w:p w:rsidR="00C9115F" w:rsidRPr="0089008E" w:rsidRDefault="00C9115F" w:rsidP="002860B5">
            <w:pPr>
              <w:pStyle w:val="Tabletext"/>
              <w:tabs>
                <w:tab w:val="decimal" w:pos="1276"/>
              </w:tabs>
            </w:pPr>
            <w:r w:rsidRPr="0089008E">
              <w:t>1500</w:t>
            </w:r>
          </w:p>
        </w:tc>
      </w:tr>
      <w:tr w:rsidR="00C9115F" w:rsidRPr="0089008E" w:rsidTr="002860B5">
        <w:tc>
          <w:tcPr>
            <w:tcW w:w="3840" w:type="dxa"/>
            <w:tcBorders>
              <w:top w:val="nil"/>
              <w:left w:val="nil"/>
              <w:bottom w:val="single" w:sz="4" w:space="0" w:color="auto"/>
              <w:right w:val="nil"/>
            </w:tcBorders>
            <w:shd w:val="clear" w:color="auto" w:fill="auto"/>
            <w:noWrap/>
          </w:tcPr>
          <w:p w:rsidR="00C9115F" w:rsidRPr="0089008E" w:rsidRDefault="00C9115F" w:rsidP="002860B5">
            <w:pPr>
              <w:pStyle w:val="Tabletext"/>
            </w:pPr>
            <w:r w:rsidRPr="0089008E">
              <w:t>Average Australian employee</w:t>
            </w:r>
          </w:p>
        </w:tc>
        <w:tc>
          <w:tcPr>
            <w:tcW w:w="2474" w:type="dxa"/>
            <w:tcBorders>
              <w:top w:val="nil"/>
              <w:left w:val="nil"/>
              <w:bottom w:val="single" w:sz="4" w:space="0" w:color="auto"/>
              <w:right w:val="nil"/>
            </w:tcBorders>
            <w:shd w:val="clear" w:color="auto" w:fill="auto"/>
            <w:noWrap/>
          </w:tcPr>
          <w:p w:rsidR="00C9115F" w:rsidRPr="0089008E" w:rsidRDefault="00C9115F" w:rsidP="002860B5">
            <w:pPr>
              <w:pStyle w:val="Tabletext"/>
              <w:tabs>
                <w:tab w:val="decimal" w:pos="1276"/>
              </w:tabs>
            </w:pPr>
            <w:r w:rsidRPr="0089008E">
              <w:t>1050</w:t>
            </w:r>
          </w:p>
        </w:tc>
        <w:tc>
          <w:tcPr>
            <w:tcW w:w="2475" w:type="dxa"/>
            <w:tcBorders>
              <w:top w:val="nil"/>
              <w:left w:val="nil"/>
              <w:bottom w:val="single" w:sz="4" w:space="0" w:color="auto"/>
              <w:right w:val="nil"/>
            </w:tcBorders>
            <w:shd w:val="clear" w:color="auto" w:fill="auto"/>
            <w:noWrap/>
          </w:tcPr>
          <w:p w:rsidR="00C9115F" w:rsidRPr="0089008E" w:rsidRDefault="00C9115F" w:rsidP="002860B5">
            <w:pPr>
              <w:pStyle w:val="Tabletext"/>
              <w:tabs>
                <w:tab w:val="decimal" w:pos="1276"/>
              </w:tabs>
            </w:pPr>
            <w:r w:rsidRPr="0089008E">
              <w:t>870</w:t>
            </w:r>
          </w:p>
        </w:tc>
      </w:tr>
    </w:tbl>
    <w:p w:rsidR="00C9115F" w:rsidRPr="002860B5" w:rsidRDefault="00C9115F" w:rsidP="002860B5">
      <w:pPr>
        <w:pStyle w:val="Textmorebefore"/>
        <w:ind w:left="284"/>
        <w:rPr>
          <w:b/>
          <w:i/>
          <w:iCs/>
        </w:rPr>
      </w:pPr>
      <w:r w:rsidRPr="002860B5">
        <w:rPr>
          <w:i/>
          <w:iCs/>
        </w:rPr>
        <w:t xml:space="preserve">Workers in both sectors expressed a shared ‘vocational narrative’, </w:t>
      </w:r>
      <w:r w:rsidR="007722B0" w:rsidRPr="002860B5">
        <w:rPr>
          <w:i/>
          <w:iCs/>
        </w:rPr>
        <w:t xml:space="preserve">located </w:t>
      </w:r>
      <w:r w:rsidRPr="002860B5">
        <w:rPr>
          <w:i/>
          <w:iCs/>
        </w:rPr>
        <w:t>around the concept of care.</w:t>
      </w:r>
      <w:r w:rsidR="00B6039E" w:rsidRPr="002860B5">
        <w:rPr>
          <w:i/>
          <w:iCs/>
        </w:rPr>
        <w:t xml:space="preserve"> </w:t>
      </w:r>
      <w:r w:rsidRPr="002860B5">
        <w:rPr>
          <w:i/>
          <w:iCs/>
        </w:rPr>
        <w:t>This appeared to offer a stabilising and directi</w:t>
      </w:r>
      <w:r w:rsidR="00AF04F4" w:rsidRPr="002860B5">
        <w:rPr>
          <w:i/>
          <w:iCs/>
        </w:rPr>
        <w:t>ng</w:t>
      </w:r>
      <w:r w:rsidRPr="002860B5">
        <w:rPr>
          <w:i/>
          <w:iCs/>
        </w:rPr>
        <w:t xml:space="preserve"> force for workers in giving meaning and </w:t>
      </w:r>
      <w:r w:rsidR="00AF04F4" w:rsidRPr="002860B5">
        <w:rPr>
          <w:i/>
          <w:iCs/>
        </w:rPr>
        <w:t>purpose</w:t>
      </w:r>
      <w:r w:rsidRPr="002860B5">
        <w:rPr>
          <w:i/>
          <w:iCs/>
        </w:rPr>
        <w:t xml:space="preserve"> to their job and career movements.</w:t>
      </w:r>
      <w:r w:rsidR="00B6039E" w:rsidRPr="002860B5">
        <w:rPr>
          <w:i/>
          <w:iCs/>
        </w:rPr>
        <w:t xml:space="preserve"> </w:t>
      </w:r>
      <w:r w:rsidRPr="002860B5">
        <w:rPr>
          <w:i/>
          <w:iCs/>
        </w:rPr>
        <w:t>The vocational narrative of ‘care’ also meant that on-the-job training was highly valued by workers in the secto</w:t>
      </w:r>
      <w:r w:rsidRPr="002860B5">
        <w:rPr>
          <w:b/>
          <w:i/>
          <w:iCs/>
        </w:rPr>
        <w:t>r.</w:t>
      </w:r>
      <w:r w:rsidR="00B6039E" w:rsidRPr="002860B5">
        <w:rPr>
          <w:b/>
          <w:i/>
          <w:iCs/>
        </w:rPr>
        <w:t xml:space="preserve"> </w:t>
      </w:r>
    </w:p>
    <w:p w:rsidR="00C9115F" w:rsidRDefault="00C9115F" w:rsidP="00C9115F">
      <w:pPr>
        <w:pStyle w:val="Text"/>
      </w:pPr>
      <w:r>
        <w:t>While both health and community services are defined by a high density of professional and ‘paraprofessionals’ (</w:t>
      </w:r>
      <w:r w:rsidR="00CE20E7">
        <w:t>for example,</w:t>
      </w:r>
      <w:r w:rsidR="007722B0">
        <w:t xml:space="preserve"> 60%</w:t>
      </w:r>
      <w:r>
        <w:t xml:space="preserve"> of health jobs are allied health professionals, and social work practitioners represent a comparable keystone occupational group in community service</w:t>
      </w:r>
      <w:r w:rsidR="00AF04F4">
        <w:t>s</w:t>
      </w:r>
      <w:r>
        <w:t>), it is possible that occupationally different roles within a sector can have common and vocational ‘shared meaning’ in the form of a commitment to client and/or patient care.</w:t>
      </w:r>
      <w:r w:rsidR="00B6039E">
        <w:t xml:space="preserve"> </w:t>
      </w:r>
      <w:r>
        <w:t>This is corroborated by Tsang’s (1998, p.23) work in community services and health</w:t>
      </w:r>
      <w:r w:rsidR="007722B0">
        <w:t>,</w:t>
      </w:r>
      <w:r>
        <w:t xml:space="preserve"> which highlights that both social work </w:t>
      </w:r>
      <w:r w:rsidR="007722B0">
        <w:t>and nursing are defined by self-</w:t>
      </w:r>
      <w:r>
        <w:t>reflection</w:t>
      </w:r>
      <w:r w:rsidR="007722B0">
        <w:t>,</w:t>
      </w:r>
      <w:r>
        <w:t xml:space="preserve"> which encourage</w:t>
      </w:r>
      <w:r w:rsidR="000B030C">
        <w:t>s</w:t>
      </w:r>
      <w:r>
        <w:t xml:space="preserve"> ‘vocational’ meaning.</w:t>
      </w:r>
      <w:r w:rsidR="00B6039E">
        <w:t xml:space="preserve"> </w:t>
      </w:r>
      <w:r>
        <w:t>This is particularly pertinent to discussions of community services and health work for</w:t>
      </w:r>
      <w:r w:rsidR="00AF04F4">
        <w:t>,</w:t>
      </w:r>
      <w:r>
        <w:t xml:space="preserve"> as </w:t>
      </w:r>
      <w:r w:rsidRPr="00E228B3">
        <w:t>Kubiak</w:t>
      </w:r>
      <w:r w:rsidR="00E228B3">
        <w:t>, Rogers and Turner</w:t>
      </w:r>
      <w:r>
        <w:t xml:space="preserve"> (2010) notes, there is a strong and</w:t>
      </w:r>
      <w:r w:rsidR="00B6039E">
        <w:t xml:space="preserve"> </w:t>
      </w:r>
      <w:r>
        <w:t>‘consistent thread of a vocation devoted to working with people’</w:t>
      </w:r>
      <w:r w:rsidR="00B6039E">
        <w:t xml:space="preserve"> </w:t>
      </w:r>
      <w:r>
        <w:t>which s</w:t>
      </w:r>
      <w:r w:rsidR="00AF04F4">
        <w:t>pans core roles such as nursing</w:t>
      </w:r>
      <w:r>
        <w:t xml:space="preserve"> and community care.</w:t>
      </w:r>
      <w:r w:rsidR="00B6039E">
        <w:t xml:space="preserve"> </w:t>
      </w:r>
      <w:r>
        <w:t>This voc</w:t>
      </w:r>
      <w:r w:rsidR="00AF04F4">
        <w:t>ation serves to ‘anchor’ people</w:t>
      </w:r>
      <w:r>
        <w:t xml:space="preserve"> and provides a way </w:t>
      </w:r>
      <w:r w:rsidR="00AF04F4">
        <w:t>by</w:t>
      </w:r>
      <w:r>
        <w:t xml:space="preserve"> which the meaning and value of work can be acknowledged and be made tangible for workers.</w:t>
      </w:r>
      <w:r w:rsidR="00B6039E">
        <w:t xml:space="preserve">  </w:t>
      </w:r>
    </w:p>
    <w:p w:rsidR="00C9115F" w:rsidRDefault="00C9115F" w:rsidP="00C9115F">
      <w:pPr>
        <w:pStyle w:val="Text"/>
      </w:pPr>
      <w:r>
        <w:t>In the context of health and community services, this process of ascribing ‘meaning’ to work is an essential component in understanding vocation</w:t>
      </w:r>
      <w:r w:rsidR="004B3CB4">
        <w:t>al pathways, career development</w:t>
      </w:r>
      <w:r>
        <w:t xml:space="preserve"> and the decisions that underpin these movements. These </w:t>
      </w:r>
      <w:r w:rsidR="00AF04F4">
        <w:t>factors</w:t>
      </w:r>
      <w:r>
        <w:t xml:space="preserve">, it is argued, can help </w:t>
      </w:r>
      <w:r w:rsidR="00AF04F4">
        <w:t xml:space="preserve">to </w:t>
      </w:r>
      <w:r>
        <w:t xml:space="preserve">explain why workers sustain commitment to </w:t>
      </w:r>
      <w:r w:rsidR="00AF04F4">
        <w:t>roles which may have low status</w:t>
      </w:r>
      <w:r>
        <w:t xml:space="preserve"> and persistent</w:t>
      </w:r>
      <w:r w:rsidR="00AF04F4">
        <w:t>ly</w:t>
      </w:r>
      <w:r>
        <w:t xml:space="preserve"> low pay. It is because workers themselves understand the significance of the</w:t>
      </w:r>
      <w:r w:rsidR="00AF04F4">
        <w:t>ir contribution to patient care</w:t>
      </w:r>
      <w:r>
        <w:t xml:space="preserve"> and this includes roles at the lower and higher ends of the occupational hierarchy.</w:t>
      </w:r>
      <w:r w:rsidR="00B6039E">
        <w:t xml:space="preserve"> </w:t>
      </w:r>
      <w:r w:rsidR="004B3CB4">
        <w:t>As Fejes and Nicholl (2010, p.</w:t>
      </w:r>
      <w:r w:rsidR="00AF04F4">
        <w:t xml:space="preserve">356) note, </w:t>
      </w:r>
      <w:r>
        <w:t xml:space="preserve">attending to the cleaning and basic care and hygiene of a patient can be seen as ‘instrumental’ to the quality of life of patients, or could simply </w:t>
      </w:r>
      <w:r w:rsidR="00AF04F4">
        <w:t>be perceived as</w:t>
      </w:r>
      <w:r>
        <w:t xml:space="preserve"> ‘dirty work’.</w:t>
      </w:r>
      <w:r w:rsidR="00B6039E">
        <w:t xml:space="preserve"> </w:t>
      </w:r>
    </w:p>
    <w:p w:rsidR="00C9115F" w:rsidRDefault="00C9115F" w:rsidP="00C9115F">
      <w:pPr>
        <w:pStyle w:val="Text"/>
      </w:pPr>
      <w:r>
        <w:t>While the pool of workers interviewed for this project is too small to make generalisations for all workers in these sectors, it is important to note that the workers in this study strongly identified with their role as ‘care’ workers.</w:t>
      </w:r>
      <w:r w:rsidR="00B6039E">
        <w:t xml:space="preserve"> </w:t>
      </w:r>
      <w:r>
        <w:t>Indeed, the notion of a ‘calling’ emerged as a common thread across the interviews.</w:t>
      </w:r>
      <w:r w:rsidR="00B6039E">
        <w:t xml:space="preserve"> </w:t>
      </w:r>
      <w:r>
        <w:t>The following comments are illustrative of this point.</w:t>
      </w:r>
      <w:r w:rsidR="00B6039E">
        <w:t xml:space="preserve"> </w:t>
      </w:r>
    </w:p>
    <w:p w:rsidR="00C9115F" w:rsidRDefault="00C9115F" w:rsidP="00AD203F">
      <w:pPr>
        <w:pStyle w:val="Quote"/>
      </w:pPr>
      <w:r>
        <w:t>My discovering this work was for me, kind of happened by accident.</w:t>
      </w:r>
      <w:r w:rsidR="00B6039E">
        <w:t xml:space="preserve"> </w:t>
      </w:r>
      <w:r>
        <w:t xml:space="preserve">There were a few incidents at work, a lady had a heart attack and another lady had stroke, and I was in the situation and I found that I was good at </w:t>
      </w:r>
      <w:r w:rsidR="004B3CB4">
        <w:t xml:space="preserve">it, I was confident, I was calm </w:t>
      </w:r>
      <w:r w:rsidR="00AF04F4">
        <w:t>…</w:t>
      </w:r>
      <w:r w:rsidR="004B3CB4">
        <w:t xml:space="preserve"> </w:t>
      </w:r>
      <w:r>
        <w:t>it was at that point I knew I was cut out for this kind of work.</w:t>
      </w:r>
      <w:r>
        <w:tab/>
        <w:t>Care worker</w:t>
      </w:r>
    </w:p>
    <w:p w:rsidR="00C9115F" w:rsidRDefault="00C9115F" w:rsidP="00AD203F">
      <w:pPr>
        <w:pStyle w:val="Quote"/>
      </w:pPr>
      <w:r>
        <w:t>I believe this work is not for everyone.</w:t>
      </w:r>
      <w:r w:rsidR="00B6039E">
        <w:t xml:space="preserve"> </w:t>
      </w:r>
      <w:r>
        <w:t>I do believe that nursing picks you, not th</w:t>
      </w:r>
      <w:r w:rsidR="004B3CB4">
        <w:t>e other way around.</w:t>
      </w:r>
      <w:r w:rsidR="004B3CB4">
        <w:tab/>
        <w:t>Registered n</w:t>
      </w:r>
      <w:r>
        <w:t>urse</w:t>
      </w:r>
    </w:p>
    <w:p w:rsidR="00C9115F" w:rsidRPr="004B3CB4" w:rsidRDefault="00C9115F" w:rsidP="002860B5">
      <w:pPr>
        <w:pStyle w:val="Textmorebefore"/>
        <w:ind w:left="284"/>
        <w:rPr>
          <w:i/>
        </w:rPr>
      </w:pPr>
      <w:r w:rsidRPr="004B3CB4">
        <w:rPr>
          <w:i/>
        </w:rPr>
        <w:lastRenderedPageBreak/>
        <w:t>Career paths in both health and community services could be described as ‘non-conventional’ in the sense that satisfaction among workers is delivered by lateral (horizontal) movements, in addition to vertical (ascending) movements.</w:t>
      </w:r>
    </w:p>
    <w:p w:rsidR="00C9115F" w:rsidRDefault="00C9115F" w:rsidP="00C9115F">
      <w:pPr>
        <w:pStyle w:val="Text"/>
      </w:pPr>
      <w:r>
        <w:t>Both health and community services are characterised by perspectives on career development in which career progression is not necessarily predicated on ‘ascending’ movements.</w:t>
      </w:r>
      <w:r w:rsidR="00B6039E">
        <w:t xml:space="preserve"> </w:t>
      </w:r>
      <w:r>
        <w:t>The reasons for this approach and attitude towards career development appeared to be driven by complex and interconnected factors.</w:t>
      </w:r>
      <w:r w:rsidR="00B6039E">
        <w:t xml:space="preserve"> </w:t>
      </w:r>
    </w:p>
    <w:p w:rsidR="00C9115F" w:rsidRDefault="00C9115F" w:rsidP="00C9115F">
      <w:pPr>
        <w:pStyle w:val="Text"/>
      </w:pPr>
      <w:r>
        <w:t>In some cases, workers transferred between sectors in order to maintain career momentum and expand their skill base, in r</w:t>
      </w:r>
      <w:r w:rsidR="004B3CB4">
        <w:t>esponse to job stress</w:t>
      </w:r>
      <w:r>
        <w:t xml:space="preserve"> and to delay burnout.</w:t>
      </w:r>
      <w:r w:rsidR="00B6039E">
        <w:t xml:space="preserve"> </w:t>
      </w:r>
      <w:r>
        <w:t>In other sectors, this might be described as a ‘hiatus’ in career movement.</w:t>
      </w:r>
      <w:r w:rsidR="00B6039E">
        <w:t xml:space="preserve"> </w:t>
      </w:r>
      <w:r>
        <w:t>In community services and health, these movements were viewed very differently, because of the underpinning attachment to a vocat</w:t>
      </w:r>
      <w:r w:rsidR="000B030C">
        <w:t>ional ‘care’ narrative.</w:t>
      </w:r>
      <w:r w:rsidR="00B6039E">
        <w:t xml:space="preserve"> </w:t>
      </w:r>
      <w:r w:rsidR="000B030C">
        <w:t>Worker</w:t>
      </w:r>
      <w:r>
        <w:t xml:space="preserve"> pe</w:t>
      </w:r>
      <w:r w:rsidR="004B3CB4">
        <w:t>rceptions of career experience —</w:t>
      </w:r>
      <w:r>
        <w:t xml:space="preserve"> including their own, and their observations</w:t>
      </w:r>
      <w:r w:rsidR="004B3CB4">
        <w:t xml:space="preserve"> of colleagues and senior staff —</w:t>
      </w:r>
      <w:r>
        <w:t xml:space="preserve"> are important in the pursuit of and decisions about vocational choice.</w:t>
      </w:r>
      <w:r w:rsidR="00B6039E">
        <w:t xml:space="preserve"> </w:t>
      </w:r>
      <w:r>
        <w:t xml:space="preserve">As Gunz and Jalland (1996) describe it, the </w:t>
      </w:r>
      <w:r w:rsidR="007942E9">
        <w:t>‘</w:t>
      </w:r>
      <w:r>
        <w:t>observable sequence of posts</w:t>
      </w:r>
      <w:r w:rsidR="007942E9">
        <w:t>’</w:t>
      </w:r>
      <w:r>
        <w:t xml:space="preserve"> within a sector is important in understanding how workers assess career development.</w:t>
      </w:r>
      <w:r w:rsidR="00B6039E">
        <w:t xml:space="preserve"> </w:t>
      </w:r>
      <w:r>
        <w:t>Gunz and Jalland (1996, p.745) note that a</w:t>
      </w:r>
      <w:r w:rsidR="00B90AE0">
        <w:t>t the</w:t>
      </w:r>
      <w:r>
        <w:t xml:space="preserve"> micro level, organisations experiencing resource constraints (</w:t>
      </w:r>
      <w:r w:rsidR="00CE20E7">
        <w:t>for example,</w:t>
      </w:r>
      <w:r>
        <w:t xml:space="preserve"> downsizing and restructuring) will often substitute progression by horizontal movements within a firm in order to maintain a ‘career stream’.</w:t>
      </w:r>
      <w:r w:rsidR="00B6039E">
        <w:t xml:space="preserve"> </w:t>
      </w:r>
      <w:r>
        <w:t xml:space="preserve">In </w:t>
      </w:r>
      <w:r w:rsidR="00AF04F4">
        <w:t>the</w:t>
      </w:r>
      <w:r>
        <w:t xml:space="preserve"> case study</w:t>
      </w:r>
      <w:r w:rsidR="00AF04F4">
        <w:t xml:space="preserve"> reported here</w:t>
      </w:r>
      <w:r>
        <w:t xml:space="preserve">, these lateral movements are encouraged and directed by the executive of the organisation </w:t>
      </w:r>
      <w:r w:rsidR="00AF04F4">
        <w:t xml:space="preserve">in order </w:t>
      </w:r>
      <w:r>
        <w:t>to retain committed staff.</w:t>
      </w:r>
      <w:r w:rsidR="00B6039E">
        <w:t xml:space="preserve"> </w:t>
      </w:r>
      <w:r>
        <w:t>The following comments indicate that clinicians wanted to stay in ‘care’ and ‘practice’ roles, and this underpinned a motivation to transfer sideways and expand the scope of practice to new realms, rather than pursue a management role.</w:t>
      </w:r>
      <w:r w:rsidR="00B6039E">
        <w:t xml:space="preserve"> </w:t>
      </w:r>
    </w:p>
    <w:p w:rsidR="00C9115F" w:rsidRDefault="00C9115F" w:rsidP="00AD203F">
      <w:pPr>
        <w:pStyle w:val="Quote"/>
      </w:pPr>
      <w:r>
        <w:t xml:space="preserve">I made it to executive director level, and then I felt I’d really burnt out from nursing, so I went to work for Queensland Health in a role that wasn’t </w:t>
      </w:r>
      <w:r w:rsidR="00B90AE0" w:rsidRPr="00E02C1E">
        <w:t>[a]</w:t>
      </w:r>
      <w:r w:rsidR="00B90AE0">
        <w:t xml:space="preserve"> </w:t>
      </w:r>
      <w:r>
        <w:t>clinical role.</w:t>
      </w:r>
      <w:r w:rsidR="00B6039E">
        <w:t xml:space="preserve"> </w:t>
      </w:r>
      <w:r>
        <w:t>But after about 9 months, I felt something was missing and it was the clinical practice, I knew I had to go back to it.</w:t>
      </w:r>
      <w:r w:rsidR="00B6039E">
        <w:t xml:space="preserve"> </w:t>
      </w:r>
      <w:r>
        <w:t>So, I’ve eventually ended up in aged care because it’s not the adrenalin pumping that you get in the hospital environment, but it still allows me to do the clinical work.</w:t>
      </w:r>
    </w:p>
    <w:p w:rsidR="00C9115F" w:rsidRDefault="00C9115F" w:rsidP="00C9115F">
      <w:pPr>
        <w:pStyle w:val="Text"/>
      </w:pPr>
      <w:r>
        <w:t>The wide range of specialisations available in community services, and more particularly health, offer professionals the opportunity to expand their skills base by moving laterally between highly specialised areas of care and practice (</w:t>
      </w:r>
      <w:r w:rsidR="004B3CB4">
        <w:t>for example,</w:t>
      </w:r>
      <w:r>
        <w:t xml:space="preserve"> midwifery, child and family health, rural and remote practice, or aged care and residential care practice). Nurses are a demonstrative case study of this process because the endorsements in each of these fields can be completed and</w:t>
      </w:r>
      <w:r w:rsidR="004B3CB4">
        <w:t xml:space="preserve"> accumulated as ‘add-ons’ to a b</w:t>
      </w:r>
      <w:r>
        <w:t xml:space="preserve">achelor degree. </w:t>
      </w:r>
    </w:p>
    <w:p w:rsidR="00C9115F" w:rsidRDefault="00C9115F" w:rsidP="00C9115F">
      <w:pPr>
        <w:pStyle w:val="Text"/>
      </w:pPr>
      <w:r>
        <w:t>Th</w:t>
      </w:r>
      <w:r w:rsidR="004B3CB4">
        <w:t>e commitment to ‘clinical care’</w:t>
      </w:r>
      <w:r>
        <w:t xml:space="preserve"> is perceived to represent the heart of ‘what it is to be a nurse’ and was expressed as </w:t>
      </w:r>
      <w:r w:rsidR="00296762">
        <w:t>the</w:t>
      </w:r>
      <w:r>
        <w:t xml:space="preserve"> main reason why workers remained satisfied with what appeared, superficially at least, to be static career progression.</w:t>
      </w:r>
      <w:r w:rsidR="00B6039E">
        <w:t xml:space="preserve"> </w:t>
      </w:r>
      <w:r>
        <w:t>As Skeggs (1997) notes, attachment to vocational identity can offer its own form of career reward.</w:t>
      </w:r>
      <w:r w:rsidR="00B6039E">
        <w:t xml:space="preserve"> </w:t>
      </w:r>
      <w:r>
        <w:t>This obser</w:t>
      </w:r>
      <w:r w:rsidR="00296762">
        <w:t xml:space="preserve">vation is certainly present </w:t>
      </w:r>
      <w:r>
        <w:t>in the commentaries provided by workers interviewed for this study.</w:t>
      </w:r>
      <w:r w:rsidR="00B6039E">
        <w:t xml:space="preserve"> </w:t>
      </w:r>
      <w:r>
        <w:t>In this scenario, the commitment to further study and the need to acquire new skills and expand experience is present and purposeful.</w:t>
      </w:r>
      <w:r w:rsidR="00B6039E">
        <w:t xml:space="preserve"> </w:t>
      </w:r>
      <w:r>
        <w:t xml:space="preserve">This is consistent with Wray </w:t>
      </w:r>
      <w:r w:rsidR="004B3CB4">
        <w:t>and</w:t>
      </w:r>
      <w:r>
        <w:t xml:space="preserve"> McCall’s (2007) observations o</w:t>
      </w:r>
      <w:r w:rsidR="004B3CB4">
        <w:t>n this process, in which worker-</w:t>
      </w:r>
      <w:r>
        <w:t>driven movements between jobs reflect wider vocational purpose rather than vertical aspiration.</w:t>
      </w:r>
      <w:r w:rsidR="00B6039E">
        <w:t xml:space="preserve"> </w:t>
      </w:r>
      <w:r>
        <w:t>In this scenario, advancements to lateral, different and more unique forms of clinical practice are valued as highly as promotion.</w:t>
      </w:r>
      <w:r w:rsidR="00B6039E">
        <w:t xml:space="preserve"> </w:t>
      </w:r>
      <w:r>
        <w:t>Workers acknowledge that specialisation, in which many nurses appear to accumulate endorsements in multiple fields of practice, also offered an intensely satisfying work experience.</w:t>
      </w:r>
      <w:r w:rsidR="00B6039E">
        <w:t xml:space="preserve"> </w:t>
      </w:r>
      <w:r>
        <w:t xml:space="preserve">The variety and the rewards derived from the diversity of clinical practice environments was argued to </w:t>
      </w:r>
      <w:r>
        <w:lastRenderedPageBreak/>
        <w:t xml:space="preserve">substitute for conventional career promotion and the recognition of professional status that a promotion to a higher role might otherwise bring. This </w:t>
      </w:r>
      <w:r w:rsidR="00296762">
        <w:t xml:space="preserve">also applied to </w:t>
      </w:r>
      <w:r w:rsidR="004B3CB4">
        <w:t>the unqualified and entry-</w:t>
      </w:r>
      <w:r>
        <w:t>level workers interviewed.</w:t>
      </w:r>
    </w:p>
    <w:p w:rsidR="00C9115F" w:rsidRDefault="00C9115F" w:rsidP="00C9115F">
      <w:pPr>
        <w:pStyle w:val="Text"/>
      </w:pPr>
      <w:r>
        <w:t>In summary, the health and community services sector was different</w:t>
      </w:r>
      <w:r w:rsidR="00296762">
        <w:t xml:space="preserve"> from the other industries</w:t>
      </w:r>
      <w:r>
        <w:t xml:space="preserve"> in our study because a strong vocational narrative</w:t>
      </w:r>
      <w:r w:rsidR="00296762">
        <w:t>,</w:t>
      </w:r>
      <w:r>
        <w:t xml:space="preserve"> </w:t>
      </w:r>
      <w:r w:rsidR="00296762">
        <w:t>centred on the notion of care, characterised</w:t>
      </w:r>
      <w:r>
        <w:t xml:space="preserve"> both high</w:t>
      </w:r>
      <w:r w:rsidR="004B3CB4">
        <w:t>-</w:t>
      </w:r>
      <w:r>
        <w:t xml:space="preserve"> and </w:t>
      </w:r>
      <w:r w:rsidR="0082555F">
        <w:t>low-skill</w:t>
      </w:r>
      <w:r>
        <w:t xml:space="preserve">ed workers. This was largely absent amongst the </w:t>
      </w:r>
      <w:r w:rsidR="0082555F">
        <w:t>low-skill</w:t>
      </w:r>
      <w:r>
        <w:t>ed workers in the other vocations. This vocational narrative appeared to drive a greater focus on horizontal career progression via the poss</w:t>
      </w:r>
      <w:r w:rsidR="00296762">
        <w:t>ibility of cross-specialisation</w:t>
      </w:r>
      <w:r>
        <w:t xml:space="preserve"> or mov</w:t>
      </w:r>
      <w:r w:rsidR="00296762">
        <w:t>ement</w:t>
      </w:r>
      <w:r>
        <w:t xml:space="preserve"> into different institutional settings. In terms of the overarching skills ecosystem setting, the prevalence of resource constraints </w:t>
      </w:r>
      <w:r w:rsidR="00296762">
        <w:t xml:space="preserve">meant </w:t>
      </w:r>
      <w:r>
        <w:t>diminishe</w:t>
      </w:r>
      <w:r w:rsidR="004B3CB4">
        <w:t>d skill formation amongst lower-skilled workers</w:t>
      </w:r>
      <w:r>
        <w:t xml:space="preserve"> and </w:t>
      </w:r>
      <w:r w:rsidR="00296762">
        <w:t>work intensification for higher-</w:t>
      </w:r>
      <w:r>
        <w:t>skilled workers, blunting both opportunity and aspiration for successful career paths.</w:t>
      </w:r>
    </w:p>
    <w:p w:rsidR="00C9115F" w:rsidRDefault="00C9115F" w:rsidP="00C9115F">
      <w:pPr>
        <w:pStyle w:val="Heading1"/>
      </w:pPr>
      <w:r>
        <w:br w:type="page"/>
      </w:r>
      <w:bookmarkStart w:id="71" w:name="_Toc194643911"/>
      <w:bookmarkStart w:id="72" w:name="_Toc335752939"/>
      <w:r>
        <w:lastRenderedPageBreak/>
        <w:t>Conclusion</w:t>
      </w:r>
      <w:bookmarkEnd w:id="71"/>
      <w:bookmarkEnd w:id="72"/>
    </w:p>
    <w:p w:rsidR="00C9115F" w:rsidRDefault="00C9115F" w:rsidP="00C9115F">
      <w:pPr>
        <w:pStyle w:val="Text"/>
      </w:pPr>
      <w:r>
        <w:t xml:space="preserve">The analyses contributing to this report framed the notion of vocational pathways along several key dimensions. First, the dominant theme was one of </w:t>
      </w:r>
      <w:r w:rsidRPr="004B3CB4">
        <w:rPr>
          <w:i/>
        </w:rPr>
        <w:t>occupational segmentation</w:t>
      </w:r>
      <w:r>
        <w:t xml:space="preserve">, characterised by very limited flows of workers between occupational silos. Within these occupationally segmented lines, the quantitative analysis identified two key trajectories: </w:t>
      </w:r>
      <w:r w:rsidR="0082555F" w:rsidRPr="004B3CB4">
        <w:rPr>
          <w:i/>
        </w:rPr>
        <w:t>high-skill</w:t>
      </w:r>
      <w:r w:rsidRPr="004B3CB4">
        <w:rPr>
          <w:i/>
        </w:rPr>
        <w:t xml:space="preserve"> trajectories </w:t>
      </w:r>
      <w:r w:rsidRPr="00296762">
        <w:t>and</w:t>
      </w:r>
      <w:r w:rsidRPr="004B3CB4">
        <w:rPr>
          <w:i/>
        </w:rPr>
        <w:t xml:space="preserve"> </w:t>
      </w:r>
      <w:r w:rsidR="0082555F" w:rsidRPr="004B3CB4">
        <w:rPr>
          <w:i/>
        </w:rPr>
        <w:t>low-skill</w:t>
      </w:r>
      <w:r w:rsidRPr="004B3CB4">
        <w:rPr>
          <w:i/>
        </w:rPr>
        <w:t xml:space="preserve"> trajectories</w:t>
      </w:r>
      <w:r>
        <w:t xml:space="preserve">. </w:t>
      </w:r>
    </w:p>
    <w:p w:rsidR="00C9115F" w:rsidRDefault="0082555F" w:rsidP="00C9115F">
      <w:pPr>
        <w:pStyle w:val="Text"/>
      </w:pPr>
      <w:r w:rsidRPr="006852F6">
        <w:rPr>
          <w:i/>
        </w:rPr>
        <w:t>High-skill</w:t>
      </w:r>
      <w:r w:rsidR="00C9115F" w:rsidRPr="006852F6">
        <w:rPr>
          <w:i/>
        </w:rPr>
        <w:t xml:space="preserve"> trajectories</w:t>
      </w:r>
      <w:r w:rsidR="00C9115F" w:rsidRPr="006B03A5">
        <w:rPr>
          <w:b/>
        </w:rPr>
        <w:t xml:space="preserve"> </w:t>
      </w:r>
      <w:r w:rsidR="00C9115F">
        <w:t xml:space="preserve">were characterised by access to </w:t>
      </w:r>
      <w:r>
        <w:t>high-skill</w:t>
      </w:r>
      <w:r w:rsidR="00C9115F">
        <w:t xml:space="preserve"> occupations, typically following long periods of specialised training. The delivery of this training, however, varied from setting to setting, ranging from the fluid, on-the-job training of farm managers and investment managers, to the highly structured training standards </w:t>
      </w:r>
      <w:r w:rsidR="006852F6">
        <w:t xml:space="preserve">characteristic of </w:t>
      </w:r>
      <w:r w:rsidR="00C9115F">
        <w:t>health and engineering professionals. The research found that those engaged in these pathways enjoyed employer-supported training and development opportunities, significant diver</w:t>
      </w:r>
      <w:r w:rsidR="006852F6">
        <w:t>sity and autonomy in their work</w:t>
      </w:r>
      <w:r w:rsidR="00C9115F">
        <w:t xml:space="preserve"> and strong career prospects (in terms of earnings, promotion and responsibility). Within these </w:t>
      </w:r>
      <w:r>
        <w:t>high-skill</w:t>
      </w:r>
      <w:r w:rsidR="00C9115F">
        <w:t xml:space="preserve"> trajectories, two notions of vocational pathways were apparent in the research. First, </w:t>
      </w:r>
      <w:r w:rsidR="00C9115F" w:rsidRPr="006852F6">
        <w:rPr>
          <w:i/>
        </w:rPr>
        <w:t>horizontal transitions</w:t>
      </w:r>
      <w:r w:rsidR="00C9115F" w:rsidRPr="006B03A5">
        <w:rPr>
          <w:b/>
        </w:rPr>
        <w:t xml:space="preserve"> </w:t>
      </w:r>
      <w:r w:rsidR="00C9115F">
        <w:t>involved later</w:t>
      </w:r>
      <w:r w:rsidR="00296762">
        <w:t>al movements into related roles and were</w:t>
      </w:r>
      <w:r w:rsidR="00C9115F">
        <w:t xml:space="preserve"> defined by an expansion of technical skills and knowledge. Importantly, horizontal transitions typically occurred within an occupational </w:t>
      </w:r>
      <w:r w:rsidR="00296762">
        <w:t>area</w:t>
      </w:r>
      <w:r w:rsidR="00C9115F">
        <w:t xml:space="preserve">, leveraging existing skills and knowledge with a greater breadth and depth of training and experience. Second, </w:t>
      </w:r>
      <w:r w:rsidR="00C9115F" w:rsidRPr="006852F6">
        <w:rPr>
          <w:i/>
        </w:rPr>
        <w:t>vertical transitions</w:t>
      </w:r>
      <w:r w:rsidR="00C9115F" w:rsidRPr="006B03A5">
        <w:rPr>
          <w:b/>
        </w:rPr>
        <w:t xml:space="preserve"> </w:t>
      </w:r>
      <w:r w:rsidR="00C9115F">
        <w:t xml:space="preserve">occurred where individuals moved into managerial/supervisory roles, taking on greater leadership and organisational responsibilities. Horizontal and vertical transitions were valued differently in different sectors but both contributed to individuals’ notions of vocation. </w:t>
      </w:r>
    </w:p>
    <w:p w:rsidR="00C9115F" w:rsidRDefault="0082555F" w:rsidP="00C9115F">
      <w:pPr>
        <w:pStyle w:val="Text"/>
      </w:pPr>
      <w:r w:rsidRPr="006852F6">
        <w:rPr>
          <w:i/>
        </w:rPr>
        <w:t>Low-skill</w:t>
      </w:r>
      <w:r w:rsidR="00C9115F" w:rsidRPr="006852F6">
        <w:rPr>
          <w:i/>
        </w:rPr>
        <w:t xml:space="preserve"> trajectories</w:t>
      </w:r>
      <w:r w:rsidR="00C9115F" w:rsidRPr="006B03A5">
        <w:rPr>
          <w:b/>
        </w:rPr>
        <w:t xml:space="preserve"> </w:t>
      </w:r>
      <w:r w:rsidR="006852F6">
        <w:t>were defined by long-</w:t>
      </w:r>
      <w:r w:rsidR="00C9115F">
        <w:t xml:space="preserve">term entrenchment in </w:t>
      </w:r>
      <w:r>
        <w:t>low-skill</w:t>
      </w:r>
      <w:r w:rsidR="00C9115F">
        <w:t xml:space="preserve"> occupations, either </w:t>
      </w:r>
      <w:r w:rsidR="00167A3A">
        <w:t>in</w:t>
      </w:r>
      <w:r w:rsidR="00C9115F">
        <w:t xml:space="preserve"> many unrelated </w:t>
      </w:r>
      <w:r>
        <w:t>low-skill</w:t>
      </w:r>
      <w:r w:rsidR="00C9115F">
        <w:t xml:space="preserve"> roles, or </w:t>
      </w:r>
      <w:r w:rsidR="00B90AE0">
        <w:t xml:space="preserve">being </w:t>
      </w:r>
      <w:r w:rsidR="00C9115F">
        <w:t xml:space="preserve">stuck in a long tenured role with little opportunity for progression. </w:t>
      </w:r>
      <w:r>
        <w:t>Low-skill</w:t>
      </w:r>
      <w:r w:rsidR="00C9115F">
        <w:t xml:space="preserve"> workers were most likely to face resource constraints, either through low earnings and/or low employer investment in train</w:t>
      </w:r>
      <w:r w:rsidR="006852F6">
        <w:t>ing. Many were employed on part-time, seasonal or casual terms</w:t>
      </w:r>
      <w:r w:rsidR="00C9115F">
        <w:t xml:space="preserve"> and had experienced periods of unemployment. Consequently, these workers’ transitions were associated with ensuring an ongoing livelihood rather than investment in career pathways. </w:t>
      </w:r>
      <w:r>
        <w:t>Low-skill</w:t>
      </w:r>
      <w:r w:rsidR="00C9115F">
        <w:t xml:space="preserve"> trajectories were often associated with diminished opportunities for skill forma</w:t>
      </w:r>
      <w:r w:rsidR="006852F6">
        <w:t>tion</w:t>
      </w:r>
      <w:r w:rsidR="00C9115F">
        <w:t xml:space="preserve"> and little attachment to a vocational identity or pathway. The key exception was care workers in community services, who shared a similar sense of meaning in their work to their qualified nursing counterparts, </w:t>
      </w:r>
      <w:r w:rsidR="00167A3A">
        <w:t>although</w:t>
      </w:r>
      <w:r w:rsidR="00C9115F">
        <w:t xml:space="preserve"> still experiencing few opportunities for career progression or training.</w:t>
      </w:r>
    </w:p>
    <w:p w:rsidR="00C9115F" w:rsidRDefault="00C9115F" w:rsidP="00C9115F">
      <w:pPr>
        <w:pStyle w:val="Text"/>
      </w:pPr>
      <w:r>
        <w:t>The stark differences seen between the four sectors highlighted the importance of institutional arrangements and business settings. Strong occupational associations</w:t>
      </w:r>
      <w:r w:rsidR="006852F6">
        <w:t>,</w:t>
      </w:r>
      <w:r>
        <w:t xml:space="preserve"> as well as labour market skill shortages</w:t>
      </w:r>
      <w:r w:rsidR="006852F6">
        <w:t>,</w:t>
      </w:r>
      <w:r>
        <w:t xml:space="preserve"> supported clear career paths and prospects</w:t>
      </w:r>
      <w:r w:rsidR="00167A3A">
        <w:t xml:space="preserve"> for qualified workers in the healthcare and trades and engineering </w:t>
      </w:r>
      <w:r>
        <w:t>sectors. Dynamic business settings in financial services placed a high premium on generic skills,</w:t>
      </w:r>
      <w:r w:rsidR="006852F6">
        <w:t xml:space="preserve"> such as analytical and problem-</w:t>
      </w:r>
      <w:r>
        <w:t>solving skills, in the recruitment of (mostly university) graduates. Resource deficits in healthcare and community services prevented less qualified workers from a</w:t>
      </w:r>
      <w:r w:rsidR="00167A3A">
        <w:t>ccessing training opportunities</w:t>
      </w:r>
      <w:r>
        <w:t xml:space="preserve"> and deterred senior nurses from taking on managerial positions. A p</w:t>
      </w:r>
      <w:r w:rsidR="006852F6">
        <w:t>revalence of small</w:t>
      </w:r>
      <w:r>
        <w:t xml:space="preserve"> rural businesses and seasonal work in </w:t>
      </w:r>
      <w:r w:rsidR="00167A3A">
        <w:t>the agricultural industries</w:t>
      </w:r>
      <w:r>
        <w:t xml:space="preserve"> required farm managers to work long hours as a ‘jack of all trades’, yet prevented labourers from building a cumulative skills base. </w:t>
      </w:r>
    </w:p>
    <w:p w:rsidR="00C9115F" w:rsidRDefault="00C9115F" w:rsidP="00C9115F">
      <w:pPr>
        <w:pStyle w:val="Text"/>
      </w:pPr>
      <w:r>
        <w:t>The findings of this report highlight a numbe</w:t>
      </w:r>
      <w:r w:rsidR="006852F6">
        <w:t>r of issues for both VET policy</w:t>
      </w:r>
      <w:r>
        <w:t xml:space="preserve"> and broader educational policy.</w:t>
      </w:r>
      <w:r w:rsidR="00B6039E">
        <w:t xml:space="preserve"> </w:t>
      </w:r>
      <w:r>
        <w:t>First, it must be noted that diver</w:t>
      </w:r>
      <w:r w:rsidR="006852F6">
        <w:t>sity in employer, institutional</w:t>
      </w:r>
      <w:r>
        <w:t xml:space="preserve"> and business arrangements prec</w:t>
      </w:r>
      <w:r w:rsidR="00167A3A">
        <w:t>lude</w:t>
      </w:r>
      <w:r w:rsidR="00B90AE0">
        <w:t>s</w:t>
      </w:r>
      <w:r w:rsidR="00167A3A">
        <w:t xml:space="preserve"> any one notion of vocation</w:t>
      </w:r>
      <w:r>
        <w:t xml:space="preserve"> or any one set of policies supporting </w:t>
      </w:r>
      <w:r w:rsidR="00167A3A">
        <w:t xml:space="preserve">the application of </w:t>
      </w:r>
      <w:r>
        <w:t xml:space="preserve">pathways across different fields of study, workplaces and sectors of employment. Put another way, while some </w:t>
      </w:r>
      <w:r>
        <w:lastRenderedPageBreak/>
        <w:t>workers may identify with a field of knowledge and practice, the notion of vocation does no</w:t>
      </w:r>
      <w:r w:rsidR="00167A3A">
        <w:t xml:space="preserve">t form part of the language </w:t>
      </w:r>
      <w:r>
        <w:t>in the industries at the h</w:t>
      </w:r>
      <w:r w:rsidR="006852F6">
        <w:t>eart of this study</w:t>
      </w:r>
      <w:r>
        <w:t xml:space="preserve"> and certainly not amongst employers.</w:t>
      </w:r>
      <w:r w:rsidR="00B6039E">
        <w:t xml:space="preserve"> </w:t>
      </w:r>
      <w:r>
        <w:t xml:space="preserve">This is important, because employers represent the gatekeepers for transitions between jobs, between sectors, </w:t>
      </w:r>
      <w:r w:rsidR="00167A3A">
        <w:t xml:space="preserve">and between different roles </w:t>
      </w:r>
      <w:r>
        <w:t xml:space="preserve">in a workplace. </w:t>
      </w:r>
    </w:p>
    <w:p w:rsidR="00C9115F" w:rsidRDefault="00C9115F" w:rsidP="00C9115F">
      <w:pPr>
        <w:pStyle w:val="Text"/>
      </w:pPr>
      <w:r>
        <w:t>Second, it must also be noted that a policy framework which might support or be responsive to this diversity in vocational pathways is a particularly challenging task for policy drafting.</w:t>
      </w:r>
      <w:r w:rsidR="00B6039E">
        <w:t xml:space="preserve"> </w:t>
      </w:r>
      <w:r>
        <w:t>This is because market, business (organisational) and workplace settings all deeply shape the context surrounding vocational pathw</w:t>
      </w:r>
      <w:r w:rsidR="006852F6">
        <w:t>ays, both in terms of the formation</w:t>
      </w:r>
      <w:r>
        <w:t xml:space="preserve"> and momentum of vocational progression.</w:t>
      </w:r>
      <w:r w:rsidR="00B6039E">
        <w:t xml:space="preserve"> </w:t>
      </w:r>
      <w:r>
        <w:t xml:space="preserve"> In addition, the links between educational progression and labour market progression (sequential, lateral and/or ascendant shifts in a career pa</w:t>
      </w:r>
      <w:r w:rsidR="00167A3A">
        <w:t>th) are not always well defined</w:t>
      </w:r>
      <w:r>
        <w:t xml:space="preserve"> and in many cases are not universally accepted, even within a single sector.</w:t>
      </w:r>
      <w:r w:rsidR="00B6039E">
        <w:t xml:space="preserve"> </w:t>
      </w:r>
      <w:r>
        <w:t xml:space="preserve">In policy terms, this means that both VET and </w:t>
      </w:r>
      <w:r w:rsidR="00167A3A">
        <w:t xml:space="preserve">higher </w:t>
      </w:r>
      <w:r>
        <w:t xml:space="preserve">educational policy approaches that might be drafted </w:t>
      </w:r>
      <w:r w:rsidR="00167A3A">
        <w:t xml:space="preserve">and which are </w:t>
      </w:r>
      <w:r>
        <w:t>s</w:t>
      </w:r>
      <w:r w:rsidR="006852F6">
        <w:t>ympathetic to a vocational path would at this point in time</w:t>
      </w:r>
      <w:r>
        <w:t xml:space="preserve"> be difficult to achieve.</w:t>
      </w:r>
      <w:r w:rsidR="00B6039E">
        <w:t xml:space="preserve"> </w:t>
      </w:r>
      <w:r>
        <w:t>Indeed, given the diversity of vocational pathways present in the case studies associated with this research, it suggests that uniform policy frameworks which might support vocational pathways across different occupations and industries would not be possible.</w:t>
      </w:r>
      <w:r w:rsidR="00B6039E">
        <w:t xml:space="preserve"> </w:t>
      </w:r>
      <w:r>
        <w:t>The skil</w:t>
      </w:r>
      <w:r w:rsidR="006852F6">
        <w:t xml:space="preserve">ls ecosystem framework used </w:t>
      </w:r>
      <w:r>
        <w:t>in this study highlighted the divergent nature of product markets and the way businesses choose to compete. These competitive strategies appear to be the primary driving force in the demand for skills and labour, which in turn affect</w:t>
      </w:r>
      <w:r w:rsidR="00167A3A">
        <w:t>s</w:t>
      </w:r>
      <w:r>
        <w:t xml:space="preserve"> job design, the form of employment, and the lev</w:t>
      </w:r>
      <w:r w:rsidR="006852F6">
        <w:t>el and type of skill formation —</w:t>
      </w:r>
      <w:r>
        <w:t xml:space="preserve"> and ult</w:t>
      </w:r>
      <w:r w:rsidR="006852F6">
        <w:t>imately the presence or absence</w:t>
      </w:r>
      <w:r>
        <w:t xml:space="preserve"> of an identifiable vocational pathway t</w:t>
      </w:r>
      <w:r w:rsidR="006852F6">
        <w:t>hat might exist within a sector</w:t>
      </w:r>
      <w:r>
        <w:t xml:space="preserve"> or between sectors. For example, in financial services, employers continue to sustain strong internal labour markets, while precarious working conditions and resource constraints affect the progression of care workers and agricultural labourers. Given this fundamental link between business settings and labour/skills demand, it is impossible to isolate the notion and pur</w:t>
      </w:r>
      <w:r w:rsidR="00167A3A">
        <w:t xml:space="preserve">suit of vocational pathways </w:t>
      </w:r>
      <w:r>
        <w:t xml:space="preserve">in one policy </w:t>
      </w:r>
      <w:r w:rsidR="00167A3A">
        <w:t>approach</w:t>
      </w:r>
      <w:r>
        <w:t xml:space="preserve">. Changes in </w:t>
      </w:r>
      <w:r w:rsidR="006852F6">
        <w:t>conditions as divergent as wage-</w:t>
      </w:r>
      <w:r>
        <w:t>setting practices, industry assistance, and investment in</w:t>
      </w:r>
      <w:r w:rsidR="00167A3A">
        <w:t xml:space="preserve"> technology have direct bearing</w:t>
      </w:r>
      <w:r>
        <w:t xml:space="preserve"> on the way businesses engage with their workforce. Educational policy (and institutions) is emb</w:t>
      </w:r>
      <w:r w:rsidR="00DE325A">
        <w:t>edded in this broader context and plays</w:t>
      </w:r>
      <w:r>
        <w:t xml:space="preserve"> a fundamental role in structuring educational pathways in such a way </w:t>
      </w:r>
      <w:r w:rsidR="00B90AE0">
        <w:t xml:space="preserve">as </w:t>
      </w:r>
      <w:r>
        <w:t>to be responsive to labour market needs.</w:t>
      </w:r>
    </w:p>
    <w:p w:rsidR="00C9115F" w:rsidRDefault="00C9115F" w:rsidP="00C9115F">
      <w:pPr>
        <w:pStyle w:val="Text"/>
      </w:pPr>
      <w:r>
        <w:t>Finally, it must be acknowledged that</w:t>
      </w:r>
      <w:r w:rsidR="006852F6">
        <w:t>,</w:t>
      </w:r>
      <w:r>
        <w:t xml:space="preserve"> while the findings of this report identify ‘vocation’ as a largely worker</w:t>
      </w:r>
      <w:r w:rsidR="00DE325A">
        <w:t>-</w:t>
      </w:r>
      <w:r>
        <w:t xml:space="preserve"> or employee-driven concept,</w:t>
      </w:r>
      <w:r w:rsidR="00DE325A">
        <w:t xml:space="preserve"> engagement</w:t>
      </w:r>
      <w:r>
        <w:t xml:space="preserve"> with employers and the conditions at the workplace level have a deep impact on whether workers ultimately realise their vocational goals and aspirations.</w:t>
      </w:r>
      <w:r w:rsidR="00B6039E">
        <w:t xml:space="preserve"> </w:t>
      </w:r>
      <w:r>
        <w:t>While many interviewees who participated in this study note that they have limited employer support for the additional qualifications and training that might be needed to realise their vocational goals, employer support for training remains essential if workers are to commit, develop and acquire h</w:t>
      </w:r>
      <w:r w:rsidR="00DE325A">
        <w:t xml:space="preserve">igher levels of proficiency </w:t>
      </w:r>
      <w:r>
        <w:t>in job roles and/or</w:t>
      </w:r>
      <w:r w:rsidR="00B6039E">
        <w:t xml:space="preserve"> </w:t>
      </w:r>
      <w:r>
        <w:t>vocations of practice.</w:t>
      </w:r>
      <w:r w:rsidR="00B6039E">
        <w:t xml:space="preserve"> </w:t>
      </w:r>
      <w:r>
        <w:t xml:space="preserve">This is where the concept of a vocation may present a useful way </w:t>
      </w:r>
      <w:r w:rsidR="00DE325A">
        <w:t>for</w:t>
      </w:r>
      <w:r>
        <w:t xml:space="preserve"> consider</w:t>
      </w:r>
      <w:r w:rsidR="00DE325A">
        <w:t>ing</w:t>
      </w:r>
      <w:r>
        <w:t xml:space="preserve"> and reflect</w:t>
      </w:r>
      <w:r w:rsidR="00DE325A">
        <w:t>ing</w:t>
      </w:r>
      <w:r>
        <w:t xml:space="preserve"> on </w:t>
      </w:r>
      <w:r w:rsidR="006852F6">
        <w:t>some core and common challenges</w:t>
      </w:r>
      <w:r>
        <w:t xml:space="preserve"> facing the sectors </w:t>
      </w:r>
      <w:r w:rsidR="00DE325A">
        <w:t>in</w:t>
      </w:r>
      <w:r>
        <w:t xml:space="preserve"> thi</w:t>
      </w:r>
      <w:r w:rsidR="006852F6">
        <w:t>s study. The notion of vocation</w:t>
      </w:r>
      <w:r>
        <w:t xml:space="preserve"> and th</w:t>
      </w:r>
      <w:r w:rsidR="006852F6">
        <w:t>e pride of craft attached to it</w:t>
      </w:r>
      <w:r>
        <w:t xml:space="preserve"> may be a concept through which both employer and employee commitment can be harnessed to bo</w:t>
      </w:r>
      <w:r w:rsidR="006852F6">
        <w:t>th encourage skill development —</w:t>
      </w:r>
      <w:r>
        <w:t xml:space="preserve"> hor</w:t>
      </w:r>
      <w:r w:rsidR="00DE325A">
        <w:t>izontally as well as vertically —</w:t>
      </w:r>
      <w:r>
        <w:t xml:space="preserve"> and retain workers (at least within a field of work). We suggest that vocation may present a concept through which employers and employees can share a common dialogue which need not rely on default notions of pathways. If employers can provide support for employees to undertake further training because they see the value of ‘vocation’, in terms of staff retention and the status of work, and employees see that further development might strengthen their</w:t>
      </w:r>
      <w:r w:rsidR="003C2687">
        <w:t xml:space="preserve"> affinity with a field of work,</w:t>
      </w:r>
      <w:r>
        <w:t xml:space="preserve"> the concept may be beneficial for both parties. It is no easy undertaking</w:t>
      </w:r>
      <w:r w:rsidR="003C2687">
        <w:t>,</w:t>
      </w:r>
      <w:r>
        <w:t xml:space="preserve"> however, as any dialogue must involve shifts in the skills and knowledge content underpinning training, the engagement between workplaces and educational institutions, and the </w:t>
      </w:r>
      <w:r>
        <w:lastRenderedPageBreak/>
        <w:t>engagement between the learner, teacher and lear</w:t>
      </w:r>
      <w:r w:rsidR="003C2687">
        <w:t xml:space="preserve">ning process itself </w:t>
      </w:r>
      <w:r w:rsidR="003C2687" w:rsidRPr="00E228B3">
        <w:t>(Bretherton</w:t>
      </w:r>
      <w:r w:rsidRPr="00E228B3">
        <w:t xml:space="preserve"> 2011).</w:t>
      </w:r>
      <w:r>
        <w:t xml:space="preserve"> Bretherton (2011) argues that in order to support the creation of vocations, training and work arrangements must focus more on ‘holistic competence’ rather than </w:t>
      </w:r>
      <w:r w:rsidR="00DE325A">
        <w:t xml:space="preserve">on </w:t>
      </w:r>
      <w:r>
        <w:t>disaggregated competencies. In some sectors, such as nursing and trades, successful systems of learning exist, fostered by strong relationships of trust between educational</w:t>
      </w:r>
      <w:r w:rsidR="003C2687">
        <w:t xml:space="preserve"> and occupational institutions. </w:t>
      </w:r>
      <w:r>
        <w:t>In others, such as financial services and farming, the institutional arrangements are more fragmented and dynamic, and the status of structured learning and qualifications more ambiguous. In order for vocational pathways to become more than an employee-driven notion</w:t>
      </w:r>
      <w:r w:rsidR="003C2687">
        <w:t>,</w:t>
      </w:r>
      <w:r>
        <w:t xml:space="preserve"> however, a commitment to vocations and fields of practice must extend beyond these individual and institutional settings, to </w:t>
      </w:r>
      <w:r w:rsidR="00DE325A">
        <w:t xml:space="preserve">the </w:t>
      </w:r>
      <w:r>
        <w:t>divergent work and market structures themselves. As we have emphasised, the divergent skills ecosystem profiles o</w:t>
      </w:r>
      <w:r w:rsidR="00DE325A">
        <w:t>f the four case studies suggest</w:t>
      </w:r>
      <w:r>
        <w:t xml:space="preserve"> that a uniform </w:t>
      </w:r>
      <w:r w:rsidR="00DE325A">
        <w:t>policy approach is not possible</w:t>
      </w:r>
      <w:r>
        <w:t xml:space="preserve"> and that a differentiated response would need to engage with a diverse set of labour market institutions.</w:t>
      </w:r>
    </w:p>
    <w:p w:rsidR="00C9115F" w:rsidRDefault="00C9115F" w:rsidP="00C9115F">
      <w:pPr>
        <w:pStyle w:val="Heading1"/>
      </w:pPr>
      <w:r>
        <w:br w:type="page"/>
      </w:r>
      <w:bookmarkStart w:id="73" w:name="_Toc194643912"/>
      <w:bookmarkStart w:id="74" w:name="_Toc335752940"/>
      <w:r>
        <w:lastRenderedPageBreak/>
        <w:t>References</w:t>
      </w:r>
      <w:bookmarkEnd w:id="73"/>
      <w:bookmarkEnd w:id="74"/>
    </w:p>
    <w:p w:rsidR="00C9115F" w:rsidRDefault="00C23499" w:rsidP="00C9115F">
      <w:pPr>
        <w:pStyle w:val="References"/>
      </w:pPr>
      <w:r>
        <w:t>Abbott, A</w:t>
      </w:r>
      <w:r w:rsidR="00C9115F">
        <w:t xml:space="preserve"> &amp; Hrycak, A 1990, ‘Measuring</w:t>
      </w:r>
      <w:r>
        <w:t xml:space="preserve"> resemblance in sequence data: a</w:t>
      </w:r>
      <w:r w:rsidR="00C9115F">
        <w:t xml:space="preserve">n optimal matching analysis of musicians’ careers’, </w:t>
      </w:r>
      <w:r w:rsidR="00C9115F" w:rsidRPr="006B03A5">
        <w:rPr>
          <w:i/>
        </w:rPr>
        <w:t>American Journal of Sociology</w:t>
      </w:r>
      <w:r>
        <w:t>, vol.</w:t>
      </w:r>
      <w:r w:rsidR="00C9115F">
        <w:t>96, no.1, pp</w:t>
      </w:r>
      <w:r>
        <w:t>.144—</w:t>
      </w:r>
      <w:r w:rsidR="00C9115F">
        <w:t>85.</w:t>
      </w:r>
    </w:p>
    <w:p w:rsidR="00E71DAB" w:rsidRDefault="00E71DAB" w:rsidP="00C9115F">
      <w:pPr>
        <w:pStyle w:val="References"/>
      </w:pPr>
      <w:r>
        <w:t>ABS (Australian Bureau of Statistics) Census 2006</w:t>
      </w:r>
      <w:r w:rsidR="002860B5">
        <w:t>,</w:t>
      </w:r>
      <w:r>
        <w:t xml:space="preserve"> </w:t>
      </w:r>
      <w:r w:rsidR="00E02C1E">
        <w:t>cat.no.2064.0, Canberra.</w:t>
      </w:r>
    </w:p>
    <w:p w:rsidR="00C9115F" w:rsidRDefault="00C9115F" w:rsidP="00C9115F">
      <w:pPr>
        <w:pStyle w:val="References"/>
      </w:pPr>
      <w:r>
        <w:t>Adams, R, Antonacopoulou, E &amp; Neely, A 2008, ‘A scoping study of contemporary and future challenges in UK Financial Services’, Economic and Social Research Council, United Kingdom.</w:t>
      </w:r>
    </w:p>
    <w:p w:rsidR="009839A7" w:rsidRDefault="00E71DAB" w:rsidP="00C9115F">
      <w:pPr>
        <w:pStyle w:val="References"/>
      </w:pPr>
      <w:r>
        <w:t>Apps, P &amp; Rees, R 2009,</w:t>
      </w:r>
      <w:r w:rsidRPr="009839A7">
        <w:rPr>
          <w:i/>
        </w:rPr>
        <w:t xml:space="preserve"> Public economics and the household</w:t>
      </w:r>
      <w:r w:rsidRPr="00E71DAB">
        <w:rPr>
          <w:i/>
        </w:rPr>
        <w:t xml:space="preserve">, </w:t>
      </w:r>
      <w:r>
        <w:t xml:space="preserve">Cambridge University Press, UK. </w:t>
      </w:r>
    </w:p>
    <w:p w:rsidR="00C9115F" w:rsidRDefault="00C9115F" w:rsidP="00C9115F">
      <w:pPr>
        <w:pStyle w:val="References"/>
      </w:pPr>
      <w:r>
        <w:t>Australian Qualif</w:t>
      </w:r>
      <w:r w:rsidR="00C23499">
        <w:t>ications Framework Council 2011,</w:t>
      </w:r>
      <w:r>
        <w:t xml:space="preserve"> </w:t>
      </w:r>
      <w:r w:rsidRPr="00DE325A">
        <w:rPr>
          <w:i/>
        </w:rPr>
        <w:t>Australian Qualifications Framework 2011</w:t>
      </w:r>
      <w:r>
        <w:t>, viewed 4 July 2011</w:t>
      </w:r>
      <w:r w:rsidR="00C23499">
        <w:t>,</w:t>
      </w:r>
      <w:r>
        <w:t xml:space="preserve"> &lt;http://www.aqf.edu.au/Portals/0/Documents/Handbook/AustQuals%20FrmwrkFirstEdition</w:t>
      </w:r>
      <w:r w:rsidR="002860B5">
        <w:t xml:space="preserve"> </w:t>
      </w:r>
      <w:r>
        <w:t>July2011_FINAL.pdf&gt;.</w:t>
      </w:r>
    </w:p>
    <w:p w:rsidR="00C9115F" w:rsidRDefault="00C9115F" w:rsidP="00C9115F">
      <w:pPr>
        <w:pStyle w:val="References"/>
      </w:pPr>
      <w:r>
        <w:t>Bosch</w:t>
      </w:r>
      <w:r w:rsidR="00C23499">
        <w:t>,</w:t>
      </w:r>
      <w:r>
        <w:t xml:space="preserve"> G &amp; Charest, J 2008, ‘Vocational training and the labour market in liberal and coordinated economies’</w:t>
      </w:r>
      <w:r w:rsidR="00C23499">
        <w:t>,</w:t>
      </w:r>
      <w:r>
        <w:t xml:space="preserve"> </w:t>
      </w:r>
      <w:r w:rsidRPr="00C23499">
        <w:rPr>
          <w:i/>
        </w:rPr>
        <w:t>Industrial Relations Journal</w:t>
      </w:r>
      <w:r>
        <w:t>, vol.39, no.5.</w:t>
      </w:r>
    </w:p>
    <w:p w:rsidR="00E71DAB" w:rsidRPr="00E71DAB" w:rsidRDefault="00E71DAB" w:rsidP="00C9115F">
      <w:pPr>
        <w:pStyle w:val="References"/>
      </w:pPr>
      <w:r>
        <w:t xml:space="preserve">Bradley, H &amp; Devadason, R 2008, ‘Fractured transitions: young adults’ pathways into contemporary labour markets’, </w:t>
      </w:r>
      <w:r>
        <w:rPr>
          <w:i/>
        </w:rPr>
        <w:t>Sociology</w:t>
      </w:r>
      <w:r>
        <w:t>, vol.42, no.1, pp.119—36.</w:t>
      </w:r>
    </w:p>
    <w:p w:rsidR="00C9115F" w:rsidRDefault="00C9115F" w:rsidP="00C9115F">
      <w:pPr>
        <w:pStyle w:val="References"/>
      </w:pPr>
      <w:r>
        <w:t>Bretherton</w:t>
      </w:r>
      <w:r w:rsidR="00C23499">
        <w:t>,</w:t>
      </w:r>
      <w:r>
        <w:t xml:space="preserve"> T 2008</w:t>
      </w:r>
      <w:r w:rsidR="00C23499">
        <w:t>,</w:t>
      </w:r>
      <w:r>
        <w:t xml:space="preserve"> ‘Identifying paths to skill atrophy or skill recession’, Community Services and Health Industry Skills Council, Sydney.</w:t>
      </w:r>
      <w:r w:rsidR="00B6039E">
        <w:t xml:space="preserve"> </w:t>
      </w:r>
    </w:p>
    <w:p w:rsidR="009839A7" w:rsidRPr="009839A7" w:rsidRDefault="00C76B1D" w:rsidP="00C9115F">
      <w:pPr>
        <w:pStyle w:val="References"/>
      </w:pPr>
      <w:r>
        <w:t>——</w:t>
      </w:r>
      <w:r w:rsidR="009839A7">
        <w:t xml:space="preserve">2011, </w:t>
      </w:r>
      <w:r w:rsidR="009839A7">
        <w:rPr>
          <w:i/>
        </w:rPr>
        <w:t xml:space="preserve">The role of VET in workforce development: a story of conflicting expectations, </w:t>
      </w:r>
      <w:r w:rsidR="009839A7">
        <w:t>NCVER, Adelaide.</w:t>
      </w:r>
    </w:p>
    <w:p w:rsidR="00C9115F" w:rsidRDefault="00C9115F" w:rsidP="00C9115F">
      <w:pPr>
        <w:pStyle w:val="References"/>
      </w:pPr>
      <w:r>
        <w:t>Brockmann, M, Clarke, L &amp; Winch, C 2008, ‘Knowledge, skills, competence: European divergences in vocationa</w:t>
      </w:r>
      <w:r w:rsidR="005A4256">
        <w:t>l education and training (VET) —</w:t>
      </w:r>
      <w:r>
        <w:t xml:space="preserve"> the English, German and Dutch cases’, </w:t>
      </w:r>
      <w:r w:rsidRPr="006B03A5">
        <w:rPr>
          <w:i/>
        </w:rPr>
        <w:t>Oxford Review of Education</w:t>
      </w:r>
      <w:r w:rsidR="005A4256">
        <w:t>, vol.</w:t>
      </w:r>
      <w:r>
        <w:t>34, no.5, pp</w:t>
      </w:r>
      <w:r w:rsidR="005A4256">
        <w:t>.547—</w:t>
      </w:r>
      <w:r>
        <w:t>67.</w:t>
      </w:r>
    </w:p>
    <w:p w:rsidR="00C9115F" w:rsidRDefault="005A4256" w:rsidP="00C9115F">
      <w:pPr>
        <w:pStyle w:val="References"/>
      </w:pPr>
      <w:r>
        <w:t>Brzinsky-Fay, C 2007, ‘Lost in t</w:t>
      </w:r>
      <w:r w:rsidR="00C9115F">
        <w:t>ransition? Labour market entry sequences of school leavers in Europe</w:t>
      </w:r>
      <w:r>
        <w:t>’,</w:t>
      </w:r>
      <w:r w:rsidR="00C9115F">
        <w:t xml:space="preserve"> </w:t>
      </w:r>
      <w:r w:rsidR="00C9115F" w:rsidRPr="006B03A5">
        <w:rPr>
          <w:i/>
        </w:rPr>
        <w:t>European Sociological Review</w:t>
      </w:r>
      <w:r>
        <w:t>, vol.23, no.4, pp.409—</w:t>
      </w:r>
      <w:r w:rsidR="00C9115F">
        <w:t>22.</w:t>
      </w:r>
    </w:p>
    <w:p w:rsidR="009839A7" w:rsidRPr="009839A7" w:rsidRDefault="009839A7" w:rsidP="00C9115F">
      <w:pPr>
        <w:pStyle w:val="References"/>
      </w:pPr>
      <w:r w:rsidRPr="009839A7">
        <w:t>Brzinsky-Fay, C</w:t>
      </w:r>
      <w:r>
        <w:t xml:space="preserve"> &amp; Kohler, U 2006, ‘Sequence analysis with Stata’, </w:t>
      </w:r>
      <w:r>
        <w:rPr>
          <w:i/>
        </w:rPr>
        <w:t xml:space="preserve">The Stata Journal, </w:t>
      </w:r>
      <w:r>
        <w:t>vol.6, no.4, pp.435—60.</w:t>
      </w:r>
    </w:p>
    <w:p w:rsidR="00C9115F" w:rsidRDefault="00C9115F" w:rsidP="00C9115F">
      <w:pPr>
        <w:pStyle w:val="References"/>
      </w:pPr>
      <w:r>
        <w:t>Buchanan, J 2006</w:t>
      </w:r>
      <w:r w:rsidR="005A4256">
        <w:t>,</w:t>
      </w:r>
      <w:r>
        <w:t xml:space="preserve"> ‘From skill shortages to decent work’, NSW Board of Vocational Education and Training, Sydney.</w:t>
      </w:r>
    </w:p>
    <w:p w:rsidR="00C9115F" w:rsidRDefault="00C76B1D" w:rsidP="00C9115F">
      <w:pPr>
        <w:pStyle w:val="References"/>
      </w:pPr>
      <w:r>
        <w:t>——</w:t>
      </w:r>
      <w:r w:rsidR="00C9115F">
        <w:t>Schofield, K, Briggs, C, Considine, G, Hager, P, Hawke, G, Kitay, J, Macintyre, J, Meagher, G, Mounier, A &amp; Ryan, S 2001</w:t>
      </w:r>
      <w:r w:rsidR="00865F3E">
        <w:t>,</w:t>
      </w:r>
      <w:r w:rsidR="00C9115F">
        <w:t xml:space="preserve"> ‘Beyond </w:t>
      </w:r>
      <w:r w:rsidR="00865F3E">
        <w:t>flexibility: skills and work in the future’</w:t>
      </w:r>
      <w:r w:rsidR="00C9115F">
        <w:t>, NSW Board of Vocational Education and Training, Sydney.</w:t>
      </w:r>
    </w:p>
    <w:p w:rsidR="00F9274A" w:rsidRDefault="00F9274A" w:rsidP="00F9274A">
      <w:pPr>
        <w:pStyle w:val="References"/>
      </w:pPr>
      <w:r w:rsidRPr="004029C0">
        <w:t>Bucha</w:t>
      </w:r>
      <w:r>
        <w:t>nan, J, Yu, S, Marginson, S &amp;</w:t>
      </w:r>
      <w:r w:rsidRPr="004029C0">
        <w:t xml:space="preserve"> Wheelahan, L 2009</w:t>
      </w:r>
      <w:r>
        <w:t>,</w:t>
      </w:r>
      <w:r w:rsidRPr="004029C0">
        <w:t xml:space="preserve"> </w:t>
      </w:r>
      <w:r w:rsidRPr="00AE4465">
        <w:rPr>
          <w:i/>
        </w:rPr>
        <w:t>Education, work and economic renewal: an issues paper prepared for the Australian Education Union,</w:t>
      </w:r>
      <w:r w:rsidRPr="004029C0">
        <w:t xml:space="preserve"> Workplace Research Centre, University of Sydney, Sydney, viewed 26 August 2009</w:t>
      </w:r>
      <w:r>
        <w:t xml:space="preserve">, </w:t>
      </w:r>
      <w:r w:rsidRPr="004029C0">
        <w:t>&lt;</w:t>
      </w:r>
      <w:hyperlink r:id="rId26" w:history="1">
        <w:r w:rsidR="00C76B1D" w:rsidRPr="00205FAF">
          <w:rPr>
            <w:rStyle w:val="Hyperlink"/>
            <w:sz w:val="18"/>
          </w:rPr>
          <w:t>http://www.aeufederal.org.au/Publications/2009/JBuchananreport2009.pdf</w:t>
        </w:r>
      </w:hyperlink>
      <w:r w:rsidRPr="004029C0">
        <w:t>&gt;.</w:t>
      </w:r>
    </w:p>
    <w:p w:rsidR="00E71DAB" w:rsidRPr="004029C0" w:rsidRDefault="009839A7" w:rsidP="00F9274A">
      <w:pPr>
        <w:pStyle w:val="References"/>
      </w:pPr>
      <w:r>
        <w:t xml:space="preserve">Buchanan, J, Yu, S, Wheelahan, L, </w:t>
      </w:r>
      <w:r w:rsidR="00E71DAB" w:rsidRPr="00E71DAB">
        <w:t>Marginson, S</w:t>
      </w:r>
      <w:r w:rsidR="00712B61">
        <w:t xml:space="preserve"> 2010, </w:t>
      </w:r>
      <w:r w:rsidRPr="00712B61">
        <w:rPr>
          <w:i/>
        </w:rPr>
        <w:t xml:space="preserve">Impact </w:t>
      </w:r>
      <w:r w:rsidR="00712B61" w:rsidRPr="00712B61">
        <w:rPr>
          <w:i/>
        </w:rPr>
        <w:t xml:space="preserve">analysis </w:t>
      </w:r>
      <w:r w:rsidRPr="00712B61">
        <w:rPr>
          <w:i/>
        </w:rPr>
        <w:t>of the proposed strengthened Aust</w:t>
      </w:r>
      <w:r w:rsidR="00712B61" w:rsidRPr="00712B61">
        <w:rPr>
          <w:i/>
        </w:rPr>
        <w:t>ralian Qualifications Framework</w:t>
      </w:r>
      <w:r w:rsidRPr="00712B61">
        <w:rPr>
          <w:i/>
        </w:rPr>
        <w:t>,</w:t>
      </w:r>
      <w:r>
        <w:t xml:space="preserve"> a report prepared for the Australian Qualifications Framework Council.</w:t>
      </w:r>
    </w:p>
    <w:p w:rsidR="00C9115F" w:rsidRDefault="00C9115F" w:rsidP="00C9115F">
      <w:pPr>
        <w:pStyle w:val="References"/>
      </w:pPr>
      <w:r>
        <w:t xml:space="preserve">Commonwealth of Australia 2009, </w:t>
      </w:r>
      <w:r w:rsidRPr="00DE325A">
        <w:rPr>
          <w:i/>
        </w:rPr>
        <w:t>Transforming Aust</w:t>
      </w:r>
      <w:r w:rsidR="00865F3E" w:rsidRPr="00DE325A">
        <w:rPr>
          <w:i/>
        </w:rPr>
        <w:t>ralia's higher education system</w:t>
      </w:r>
      <w:r w:rsidR="00865F3E">
        <w:t>,</w:t>
      </w:r>
      <w:r>
        <w:t xml:space="preserve"> Department of Education, Employment and Workplace Relations, viewed 22 May 2009, &lt;http://www.deewr.gov.au/HigherEducation/Pages/TransformingAustraliasHESystem.aspx&gt;.</w:t>
      </w:r>
    </w:p>
    <w:p w:rsidR="00C9115F" w:rsidRDefault="00C9115F" w:rsidP="00C9115F">
      <w:pPr>
        <w:pStyle w:val="References"/>
      </w:pPr>
      <w:r>
        <w:t>Connetica Consulting 2009, ‘Queensland non government organisation mental health workf</w:t>
      </w:r>
      <w:r w:rsidR="00DE325A">
        <w:t>orce training needs analysis’, r</w:t>
      </w:r>
      <w:r>
        <w:t>eport prepared fo</w:t>
      </w:r>
      <w:r w:rsidR="00865F3E">
        <w:t>r the Queensland Department of C</w:t>
      </w:r>
      <w:r>
        <w:t>ommunities, Brisbane.</w:t>
      </w:r>
      <w:r w:rsidR="00B6039E">
        <w:t xml:space="preserve"> </w:t>
      </w:r>
    </w:p>
    <w:p w:rsidR="00C9115F" w:rsidRDefault="00C9115F" w:rsidP="00C9115F">
      <w:pPr>
        <w:pStyle w:val="References"/>
      </w:pPr>
      <w:r>
        <w:t>Durrani, N &amp; Tariq, V 2008 ‘Employers’ and students’ perspectives on the importance of numeracy skills in the context of graduate employability’, CETL-MSOR Conf</w:t>
      </w:r>
      <w:r w:rsidR="00865F3E">
        <w:t>erence, Lancaster University, 8—9 September</w:t>
      </w:r>
      <w:r>
        <w:t xml:space="preserve"> 2008.</w:t>
      </w:r>
    </w:p>
    <w:p w:rsidR="00C9115F" w:rsidRDefault="00C9115F" w:rsidP="00C9115F">
      <w:pPr>
        <w:pStyle w:val="References"/>
      </w:pPr>
      <w:r>
        <w:t>Dwyer, P, Smith, G, Tyler, D &amp; Wyn, J 2003, ‘Life-patterns, career outcomes and adult choices’, Australian Youth Research Centre, University of Melbourne.</w:t>
      </w:r>
    </w:p>
    <w:p w:rsidR="00C9115F" w:rsidRDefault="00C9115F" w:rsidP="00C9115F">
      <w:pPr>
        <w:pStyle w:val="References"/>
      </w:pPr>
      <w:r>
        <w:t>Evesson, J, Jakubauskas, M &amp; Buchanan, J 2009, ‘</w:t>
      </w:r>
      <w:r w:rsidR="00865F3E">
        <w:t>Choosing a sustainable future: w</w:t>
      </w:r>
      <w:r>
        <w:t xml:space="preserve">orkforce development in </w:t>
      </w:r>
      <w:r w:rsidR="00865F3E">
        <w:t>Victorian primary industries’, r</w:t>
      </w:r>
      <w:r>
        <w:t>eport prepared by the Workplace Research Centre, University of Sydney for Skills Victoria.</w:t>
      </w:r>
    </w:p>
    <w:p w:rsidR="00C9115F" w:rsidRDefault="00C9115F" w:rsidP="00C9115F">
      <w:pPr>
        <w:pStyle w:val="References"/>
      </w:pPr>
      <w:r>
        <w:t>Fair Work Australi</w:t>
      </w:r>
      <w:r w:rsidR="00865F3E">
        <w:t>a 2011, ‘Decision: e</w:t>
      </w:r>
      <w:r>
        <w:t xml:space="preserve">qual remuneration case’, </w:t>
      </w:r>
      <w:r w:rsidR="00C76B1D">
        <w:t>a</w:t>
      </w:r>
      <w:r>
        <w:t>pplication made by the Australian Municipal, Administrative</w:t>
      </w:r>
      <w:r w:rsidR="00865F3E">
        <w:t>, Clerical and Services Union, viewed 15 September</w:t>
      </w:r>
      <w:r>
        <w:t xml:space="preserve"> 2011, &lt;http://www.fwa.gov.au/decisionssigned/html/2011fwafb2700.htm&gt;</w:t>
      </w:r>
      <w:r w:rsidR="00865F3E">
        <w:t>.</w:t>
      </w:r>
      <w:r w:rsidR="00B6039E">
        <w:t xml:space="preserve"> </w:t>
      </w:r>
    </w:p>
    <w:p w:rsidR="00C9115F" w:rsidRDefault="00C9115F" w:rsidP="00C9115F">
      <w:pPr>
        <w:pStyle w:val="References"/>
      </w:pPr>
      <w:r>
        <w:t>Fejes</w:t>
      </w:r>
      <w:r w:rsidR="00EE4C3C">
        <w:t>,</w:t>
      </w:r>
      <w:r>
        <w:t xml:space="preserve"> A &amp; Nicholl</w:t>
      </w:r>
      <w:r w:rsidR="00EE4C3C">
        <w:t>,</w:t>
      </w:r>
      <w:r>
        <w:t xml:space="preserve"> C 2010, ‘Vocational calling: exploring a caring technology in elderly care’, </w:t>
      </w:r>
      <w:r w:rsidRPr="006130F6">
        <w:rPr>
          <w:i/>
        </w:rPr>
        <w:t>Pedagogy, Culture and Society</w:t>
      </w:r>
      <w:r w:rsidR="00865F3E">
        <w:t>, vol.18, no.3, pp.353—</w:t>
      </w:r>
      <w:r>
        <w:t>70.</w:t>
      </w:r>
    </w:p>
    <w:p w:rsidR="00C9115F" w:rsidRDefault="00C9115F" w:rsidP="00C9115F">
      <w:pPr>
        <w:pStyle w:val="References"/>
      </w:pPr>
      <w:r>
        <w:lastRenderedPageBreak/>
        <w:t xml:space="preserve">Finegold, D 1999, ‘Creating </w:t>
      </w:r>
      <w:r w:rsidR="00865F3E">
        <w:t>self-sustaining high-skill ecosystems’</w:t>
      </w:r>
      <w:r>
        <w:t xml:space="preserve">, </w:t>
      </w:r>
      <w:r w:rsidRPr="006130F6">
        <w:rPr>
          <w:i/>
        </w:rPr>
        <w:t>Oxford Review of Economic Policy</w:t>
      </w:r>
      <w:r>
        <w:t>, vol.15, no.1.</w:t>
      </w:r>
    </w:p>
    <w:p w:rsidR="00C9115F" w:rsidRDefault="00C9115F" w:rsidP="00C9115F">
      <w:pPr>
        <w:pStyle w:val="References"/>
      </w:pPr>
      <w:r>
        <w:t xml:space="preserve">Garner, G 2002, </w:t>
      </w:r>
      <w:r w:rsidRPr="006130F6">
        <w:rPr>
          <w:i/>
        </w:rPr>
        <w:t>Great jobs for engineering majors</w:t>
      </w:r>
      <w:r w:rsidR="00865F3E">
        <w:t>, 2nd edn</w:t>
      </w:r>
      <w:r>
        <w:t xml:space="preserve">, McGraw Hill, </w:t>
      </w:r>
      <w:r w:rsidR="00865F3E">
        <w:t>New York</w:t>
      </w:r>
      <w:r>
        <w:t xml:space="preserve">. </w:t>
      </w:r>
    </w:p>
    <w:p w:rsidR="00C9115F" w:rsidRDefault="00865F3E" w:rsidP="00C9115F">
      <w:pPr>
        <w:pStyle w:val="References"/>
      </w:pPr>
      <w:r>
        <w:t xml:space="preserve">Gelade, S &amp; Fox, T 2005, </w:t>
      </w:r>
      <w:r w:rsidRPr="00865F3E">
        <w:rPr>
          <w:i/>
        </w:rPr>
        <w:t>Reality check: m</w:t>
      </w:r>
      <w:r w:rsidR="00C9115F" w:rsidRPr="00865F3E">
        <w:rPr>
          <w:i/>
        </w:rPr>
        <w:t xml:space="preserve">atching training to </w:t>
      </w:r>
      <w:r w:rsidRPr="00865F3E">
        <w:rPr>
          <w:i/>
        </w:rPr>
        <w:t>the needs of regional Australia</w:t>
      </w:r>
      <w:r w:rsidR="00C9115F">
        <w:t>, NCVER, Adelaide.</w:t>
      </w:r>
    </w:p>
    <w:p w:rsidR="009839A7" w:rsidRPr="009839A7" w:rsidRDefault="009839A7" w:rsidP="00C9115F">
      <w:pPr>
        <w:pStyle w:val="References"/>
      </w:pPr>
      <w:r>
        <w:t xml:space="preserve">Gordon, S, Buchanan, J &amp; Bretherton, T 2008, </w:t>
      </w:r>
      <w:r>
        <w:rPr>
          <w:i/>
        </w:rPr>
        <w:t xml:space="preserve">Safety in numbers: nurse-to-patient ratios and the future of health care, </w:t>
      </w:r>
      <w:r>
        <w:t>Cornell University Pres</w:t>
      </w:r>
      <w:r w:rsidRPr="00E02C1E">
        <w:t>s,</w:t>
      </w:r>
      <w:r w:rsidR="00E02C1E">
        <w:t xml:space="preserve"> Ithaca. New York.</w:t>
      </w:r>
    </w:p>
    <w:p w:rsidR="00C9115F" w:rsidRDefault="00C9115F" w:rsidP="00C9115F">
      <w:pPr>
        <w:pStyle w:val="References"/>
      </w:pPr>
      <w:r>
        <w:t>Gunz</w:t>
      </w:r>
      <w:r w:rsidR="00865F3E">
        <w:t>,</w:t>
      </w:r>
      <w:r>
        <w:t xml:space="preserve"> H &amp; Jalland</w:t>
      </w:r>
      <w:r w:rsidR="00865F3E">
        <w:t>,</w:t>
      </w:r>
      <w:r>
        <w:t xml:space="preserve"> M 1996, ‘Managerial careers and business strategies’ </w:t>
      </w:r>
      <w:r w:rsidRPr="00865F3E">
        <w:rPr>
          <w:i/>
        </w:rPr>
        <w:t>The Academy of Management Review</w:t>
      </w:r>
      <w:r w:rsidR="00865F3E">
        <w:t>, vol.21, no.3, pp.718—</w:t>
      </w:r>
      <w:r>
        <w:t>56.</w:t>
      </w:r>
      <w:r w:rsidR="00B6039E">
        <w:t xml:space="preserve"> </w:t>
      </w:r>
    </w:p>
    <w:p w:rsidR="00C9115F" w:rsidRDefault="00C9115F" w:rsidP="00C9115F">
      <w:pPr>
        <w:pStyle w:val="References"/>
      </w:pPr>
      <w:r>
        <w:t>Halpin</w:t>
      </w:r>
      <w:r w:rsidR="00865F3E">
        <w:t>,</w:t>
      </w:r>
      <w:r>
        <w:t xml:space="preserve"> B &amp; Chan</w:t>
      </w:r>
      <w:r w:rsidR="00865F3E">
        <w:t>,</w:t>
      </w:r>
      <w:r>
        <w:t xml:space="preserve"> TW 1998</w:t>
      </w:r>
      <w:r w:rsidR="00865F3E">
        <w:t>, ‘Class careers as sequences: a</w:t>
      </w:r>
      <w:r>
        <w:t xml:space="preserve">n optimal matching analysis of work-life histories’, </w:t>
      </w:r>
      <w:r w:rsidRPr="00865F3E">
        <w:rPr>
          <w:i/>
        </w:rPr>
        <w:t>European Sociological Review</w:t>
      </w:r>
      <w:r w:rsidR="00865F3E">
        <w:t>, vol.14, no.2, pp.111—</w:t>
      </w:r>
      <w:r>
        <w:t>30</w:t>
      </w:r>
      <w:r w:rsidR="00865F3E">
        <w:t>.</w:t>
      </w:r>
    </w:p>
    <w:p w:rsidR="00C9115F" w:rsidRDefault="00865F3E" w:rsidP="00C9115F">
      <w:pPr>
        <w:pStyle w:val="References"/>
      </w:pPr>
      <w:r>
        <w:t>Harris, R, Rainey, L &amp;</w:t>
      </w:r>
      <w:r w:rsidR="00C9115F">
        <w:t xml:space="preserve"> Sum</w:t>
      </w:r>
      <w:r>
        <w:t xml:space="preserve">ner, R 2006, </w:t>
      </w:r>
      <w:r w:rsidR="00C9115F" w:rsidRPr="00865F3E">
        <w:rPr>
          <w:i/>
        </w:rPr>
        <w:t>Crazy paving or stepping stones? Learning pathways within and between vocational education an</w:t>
      </w:r>
      <w:r w:rsidRPr="00865F3E">
        <w:rPr>
          <w:i/>
        </w:rPr>
        <w:t>d training and higher education</w:t>
      </w:r>
      <w:r w:rsidR="00C9115F">
        <w:t>, NCVER, Adelaide.</w:t>
      </w:r>
    </w:p>
    <w:p w:rsidR="00E71DAB" w:rsidRDefault="00E71DAB" w:rsidP="00C9115F">
      <w:pPr>
        <w:pStyle w:val="References"/>
      </w:pPr>
      <w:r>
        <w:t xml:space="preserve">IBSA (Innovation and Business Skills Australia) 2010, </w:t>
      </w:r>
      <w:r w:rsidRPr="009839A7">
        <w:rPr>
          <w:i/>
        </w:rPr>
        <w:t>Environment scan — 2010,</w:t>
      </w:r>
      <w:r>
        <w:t xml:space="preserve"> IBSA, </w:t>
      </w:r>
      <w:r w:rsidR="00E02C1E">
        <w:t>Melbourne.</w:t>
      </w:r>
    </w:p>
    <w:p w:rsidR="008F3D3B" w:rsidRDefault="008F3D3B" w:rsidP="008F3D3B">
      <w:pPr>
        <w:pStyle w:val="References"/>
      </w:pPr>
      <w:r w:rsidRPr="00EE4C3C">
        <w:t>Industries Development Committee Workforce, Sk</w:t>
      </w:r>
      <w:r>
        <w:t xml:space="preserve">ills and Training Working Group 2009, </w:t>
      </w:r>
      <w:r w:rsidRPr="008F3D3B">
        <w:rPr>
          <w:i/>
        </w:rPr>
        <w:t>Workforce, training and skills issues in agriculture</w:t>
      </w:r>
      <w:r w:rsidRPr="00EE4C3C">
        <w:t xml:space="preserve">, </w:t>
      </w:r>
      <w:r>
        <w:t>a</w:t>
      </w:r>
      <w:r w:rsidRPr="00EE4C3C">
        <w:t xml:space="preserve"> report to the Primary Industries Ministerial Council</w:t>
      </w:r>
      <w:r>
        <w:t xml:space="preserve">, Canberra. </w:t>
      </w:r>
    </w:p>
    <w:p w:rsidR="00C9115F" w:rsidRDefault="00865F3E" w:rsidP="00C9115F">
      <w:pPr>
        <w:pStyle w:val="References"/>
      </w:pPr>
      <w:r>
        <w:t xml:space="preserve">Karmel, T, Lim, P &amp; Misko, J 2011, </w:t>
      </w:r>
      <w:r w:rsidRPr="00865F3E">
        <w:rPr>
          <w:i/>
        </w:rPr>
        <w:t>Attrition in the trades</w:t>
      </w:r>
      <w:r w:rsidR="00C9115F">
        <w:t xml:space="preserve">, NCVER, Adelaide. </w:t>
      </w:r>
    </w:p>
    <w:p w:rsidR="00E71DAB" w:rsidRPr="00E71DAB" w:rsidRDefault="00E71DAB" w:rsidP="00C9115F">
      <w:pPr>
        <w:pStyle w:val="References"/>
      </w:pPr>
      <w:r>
        <w:t xml:space="preserve">Keep, E 2005, ‘Reflections on the curious absence of employers, labour market incentives and labour market regulation in English 14—19 policy: the beginnings of a change?’, </w:t>
      </w:r>
      <w:r>
        <w:rPr>
          <w:i/>
        </w:rPr>
        <w:t xml:space="preserve">Journal of Education Policy, </w:t>
      </w:r>
      <w:r>
        <w:t>vol.20, no.5, pp.533—53.</w:t>
      </w:r>
    </w:p>
    <w:p w:rsidR="00C9115F" w:rsidRDefault="00C76B1D" w:rsidP="00C9115F">
      <w:pPr>
        <w:pStyle w:val="References"/>
      </w:pPr>
      <w:r>
        <w:t xml:space="preserve">Keep, E </w:t>
      </w:r>
      <w:r w:rsidR="00C9115F">
        <w:t xml:space="preserve">&amp; Mayhew, K 1999, ‘The </w:t>
      </w:r>
      <w:r w:rsidR="00865F3E">
        <w:t>assessment: knowledge, skills, and competitiveness’</w:t>
      </w:r>
      <w:r w:rsidR="00C9115F">
        <w:t xml:space="preserve">, </w:t>
      </w:r>
      <w:r w:rsidR="00C9115F" w:rsidRPr="006130F6">
        <w:rPr>
          <w:i/>
        </w:rPr>
        <w:t>Oxford Review of Economic Policy</w:t>
      </w:r>
      <w:r w:rsidR="00865F3E">
        <w:t>, vol.15, no.1, pp</w:t>
      </w:r>
      <w:r w:rsidR="00FF70D4">
        <w:t>.</w:t>
      </w:r>
      <w:r w:rsidR="00865F3E">
        <w:t>1—</w:t>
      </w:r>
      <w:r w:rsidR="00C9115F">
        <w:t>15.</w:t>
      </w:r>
    </w:p>
    <w:p w:rsidR="00C9115F" w:rsidRDefault="00865F3E" w:rsidP="00C9115F">
      <w:pPr>
        <w:pStyle w:val="References"/>
      </w:pPr>
      <w:r>
        <w:t>——</w:t>
      </w:r>
      <w:r w:rsidR="00C9115F">
        <w:t xml:space="preserve">2005, ‘Reflections on the curious absence of employers, labour market incentives and labour </w:t>
      </w:r>
      <w:r>
        <w:t>market regulation in English 14—19 policy: f</w:t>
      </w:r>
      <w:r w:rsidR="00C9115F">
        <w:t xml:space="preserve">irst signs of a change in direction?’, </w:t>
      </w:r>
      <w:r w:rsidR="00C9115F" w:rsidRPr="006130F6">
        <w:rPr>
          <w:i/>
        </w:rPr>
        <w:t>Journal of Education Policy</w:t>
      </w:r>
      <w:r w:rsidR="00C9115F">
        <w:t>, vol.20, no.5</w:t>
      </w:r>
      <w:r>
        <w:t>, pp.533—</w:t>
      </w:r>
      <w:r w:rsidR="00C9115F">
        <w:t>53.</w:t>
      </w:r>
    </w:p>
    <w:p w:rsidR="00C9115F" w:rsidRDefault="00865F3E" w:rsidP="00C9115F">
      <w:pPr>
        <w:pStyle w:val="References"/>
      </w:pPr>
      <w:r>
        <w:t>King, R, Dowling, D &amp;</w:t>
      </w:r>
      <w:r w:rsidR="00C9115F">
        <w:t xml:space="preserve"> Godfrey, E 2011, ‘Pathways from VET </w:t>
      </w:r>
      <w:r>
        <w:t>awards to engineering degrees</w:t>
      </w:r>
      <w:r w:rsidR="00C9115F">
        <w:t xml:space="preserve">: a </w:t>
      </w:r>
      <w:r>
        <w:t>higher education perspective’, a</w:t>
      </w:r>
      <w:r w:rsidR="00C9115F">
        <w:t xml:space="preserve"> commissioned report for the Australian National Engineering Taskforce by the Australian Council of Engineering Deans.</w:t>
      </w:r>
    </w:p>
    <w:p w:rsidR="00C9115F" w:rsidRDefault="00DE325A" w:rsidP="00C9115F">
      <w:pPr>
        <w:pStyle w:val="References"/>
      </w:pPr>
      <w:r>
        <w:t>Kubiak, C, Rogers, A &amp;</w:t>
      </w:r>
      <w:r w:rsidR="00C9115F">
        <w:t xml:space="preserve"> Turner, A 2010</w:t>
      </w:r>
      <w:r w:rsidR="00FE6197">
        <w:t>,</w:t>
      </w:r>
      <w:r w:rsidR="00C9115F">
        <w:t xml:space="preserve"> ‘The learning experiences of health and social care paraprofessionals on a foundation degree’, </w:t>
      </w:r>
      <w:r w:rsidR="00C9115F" w:rsidRPr="006130F6">
        <w:rPr>
          <w:i/>
        </w:rPr>
        <w:t>International Journal of Lifelong Education</w:t>
      </w:r>
      <w:r w:rsidR="00FE6197">
        <w:t>, vol.29, no.3, pp.373—</w:t>
      </w:r>
      <w:r w:rsidR="00C9115F">
        <w:t>86.</w:t>
      </w:r>
    </w:p>
    <w:p w:rsidR="00C9115F" w:rsidRDefault="00C23499" w:rsidP="00C9115F">
      <w:pPr>
        <w:pStyle w:val="References"/>
      </w:pPr>
      <w:r>
        <w:t>Meagher</w:t>
      </w:r>
      <w:r w:rsidR="005A4256">
        <w:t>,</w:t>
      </w:r>
      <w:r>
        <w:t xml:space="preserve"> G &amp; Healy</w:t>
      </w:r>
      <w:r w:rsidR="00F64C11">
        <w:t>,</w:t>
      </w:r>
      <w:r>
        <w:t xml:space="preserve"> K 2005</w:t>
      </w:r>
      <w:r w:rsidR="00FE6197">
        <w:t>,</w:t>
      </w:r>
      <w:r>
        <w:t xml:space="preserve"> ‘Who c</w:t>
      </w:r>
      <w:r w:rsidR="00C9115F">
        <w:t>ares? A profile of care workers in Australia’s communi</w:t>
      </w:r>
      <w:r w:rsidR="00FE6197">
        <w:t>ty services industries’ ACOSS, p</w:t>
      </w:r>
      <w:r w:rsidR="00C9115F">
        <w:t>aper 140, June, Sydney.</w:t>
      </w:r>
      <w:r w:rsidR="00B6039E">
        <w:t xml:space="preserve"> </w:t>
      </w:r>
    </w:p>
    <w:p w:rsidR="00C9115F" w:rsidRDefault="00C9115F" w:rsidP="00C9115F">
      <w:pPr>
        <w:pStyle w:val="References"/>
      </w:pPr>
      <w:r>
        <w:t>Martin, B 2009</w:t>
      </w:r>
      <w:r w:rsidR="00FE6197">
        <w:t>, ‘</w:t>
      </w:r>
      <w:r>
        <w:t xml:space="preserve">Skill </w:t>
      </w:r>
      <w:r w:rsidR="00FE6197">
        <w:t>acquisition and use across the life course: current trends, future prospects’</w:t>
      </w:r>
      <w:r>
        <w:t xml:space="preserve">, </w:t>
      </w:r>
      <w:r w:rsidRPr="006130F6">
        <w:rPr>
          <w:i/>
        </w:rPr>
        <w:t>Australian Bulletin of Labour</w:t>
      </w:r>
      <w:r>
        <w:t>, vol.35, no.1.</w:t>
      </w:r>
    </w:p>
    <w:p w:rsidR="00C9115F" w:rsidRDefault="00FE6197" w:rsidP="00C9115F">
      <w:pPr>
        <w:pStyle w:val="References"/>
      </w:pPr>
      <w:r>
        <w:t xml:space="preserve">Pocock, B 2009, </w:t>
      </w:r>
      <w:r w:rsidR="00C9115F" w:rsidRPr="00FE6197">
        <w:rPr>
          <w:i/>
        </w:rPr>
        <w:t>Low-paid workers, changing patterns of work and life, and participation in vocational education and trai</w:t>
      </w:r>
      <w:r w:rsidRPr="00FE6197">
        <w:rPr>
          <w:i/>
        </w:rPr>
        <w:t xml:space="preserve">ning: </w:t>
      </w:r>
      <w:r w:rsidR="00FF70D4">
        <w:rPr>
          <w:i/>
        </w:rPr>
        <w:t>a</w:t>
      </w:r>
      <w:r w:rsidRPr="00FE6197">
        <w:rPr>
          <w:i/>
        </w:rPr>
        <w:t xml:space="preserve"> discussion starter</w:t>
      </w:r>
      <w:r w:rsidR="00C9115F">
        <w:t>, NCVER, Adelaide.</w:t>
      </w:r>
    </w:p>
    <w:p w:rsidR="00C9115F" w:rsidRDefault="00FE6197" w:rsidP="00C9115F">
      <w:pPr>
        <w:pStyle w:val="References"/>
      </w:pPr>
      <w:r>
        <w:t>Pollock, G, Antcliff, V</w:t>
      </w:r>
      <w:r w:rsidR="00C9115F">
        <w:t xml:space="preserve"> &amp; Ralphs, R 2002, ‘Work orders: Analysing employment histories using sequence data</w:t>
      </w:r>
      <w:r>
        <w:t>’,</w:t>
      </w:r>
      <w:r w:rsidR="00C9115F">
        <w:t xml:space="preserve"> </w:t>
      </w:r>
      <w:r w:rsidR="00C9115F" w:rsidRPr="006130F6">
        <w:rPr>
          <w:i/>
        </w:rPr>
        <w:t>International Journal of Social Research Methodology</w:t>
      </w:r>
      <w:r>
        <w:t>, vol.5, no.2, pp.90—</w:t>
      </w:r>
      <w:r w:rsidR="00C9115F">
        <w:t>105.</w:t>
      </w:r>
    </w:p>
    <w:p w:rsidR="00C9115F" w:rsidRDefault="00C9115F" w:rsidP="00C9115F">
      <w:pPr>
        <w:pStyle w:val="References"/>
      </w:pPr>
      <w:r>
        <w:t>Pratley, J 2008</w:t>
      </w:r>
      <w:r w:rsidR="00FE6197">
        <w:t>,</w:t>
      </w:r>
      <w:r>
        <w:t xml:space="preserve"> ‘Work</w:t>
      </w:r>
      <w:r w:rsidR="00FE6197">
        <w:t>force planning in agriculture: a</w:t>
      </w:r>
      <w:r>
        <w:t xml:space="preserve">gricultural education and capacity building at the crossroad’, </w:t>
      </w:r>
      <w:r w:rsidRPr="006130F6">
        <w:rPr>
          <w:i/>
        </w:rPr>
        <w:t>Farm Policy Journal</w:t>
      </w:r>
      <w:r w:rsidR="00FE6197">
        <w:t>, vol.5, no.</w:t>
      </w:r>
      <w:r>
        <w:t>3.</w:t>
      </w:r>
    </w:p>
    <w:p w:rsidR="005A4256" w:rsidRDefault="005A4256" w:rsidP="005A4256">
      <w:pPr>
        <w:pStyle w:val="References"/>
      </w:pPr>
      <w:r>
        <w:t>Rae, D 2008</w:t>
      </w:r>
      <w:r w:rsidR="00FE6197">
        <w:t>,</w:t>
      </w:r>
      <w:r>
        <w:t xml:space="preserve"> ‘Riding out the storm: graduates, enterprise and careers in turbulent economic times’, </w:t>
      </w:r>
      <w:r w:rsidRPr="006130F6">
        <w:rPr>
          <w:i/>
        </w:rPr>
        <w:t>Education and Training</w:t>
      </w:r>
      <w:r>
        <w:t>, v</w:t>
      </w:r>
      <w:r w:rsidR="00FE6197">
        <w:t>ol.50, no.</w:t>
      </w:r>
      <w:r>
        <w:t>8/9, pp</w:t>
      </w:r>
      <w:r w:rsidR="00FE6197">
        <w:t>.748—</w:t>
      </w:r>
      <w:r>
        <w:t>63.</w:t>
      </w:r>
    </w:p>
    <w:p w:rsidR="00C9115F" w:rsidRDefault="00C9115F" w:rsidP="00C9115F">
      <w:pPr>
        <w:pStyle w:val="References"/>
      </w:pPr>
      <w:r>
        <w:t>Scherer, S 2001, ‘Early career patterns: a comparison of Great Britain and West Germany</w:t>
      </w:r>
      <w:r w:rsidR="00B966D4">
        <w:t>’,</w:t>
      </w:r>
      <w:r>
        <w:t xml:space="preserve"> </w:t>
      </w:r>
      <w:r w:rsidRPr="006130F6">
        <w:rPr>
          <w:i/>
        </w:rPr>
        <w:t>European Sociological Review</w:t>
      </w:r>
      <w:r w:rsidR="00B966D4">
        <w:t>, vol.17, no.2, pp.119—</w:t>
      </w:r>
      <w:r>
        <w:t>44.</w:t>
      </w:r>
    </w:p>
    <w:p w:rsidR="00C9115F" w:rsidRDefault="00C9115F" w:rsidP="00C9115F">
      <w:pPr>
        <w:pStyle w:val="References"/>
      </w:pPr>
      <w:r>
        <w:t xml:space="preserve">Shah, C 2009 ‘Determinants of job separation and occupational mobility in Australia’, Working </w:t>
      </w:r>
      <w:r w:rsidR="00B966D4">
        <w:t>paper no</w:t>
      </w:r>
      <w:r>
        <w:t>.66, Centre for the Economics of Education and Training, Monash University.</w:t>
      </w:r>
    </w:p>
    <w:p w:rsidR="00FF70D4" w:rsidRDefault="00FF70D4" w:rsidP="00FF70D4">
      <w:pPr>
        <w:pStyle w:val="References"/>
      </w:pPr>
      <w:r>
        <w:t xml:space="preserve">Skeggs, B 1997, </w:t>
      </w:r>
      <w:r w:rsidRPr="00B966D4">
        <w:rPr>
          <w:i/>
        </w:rPr>
        <w:t>The formation of class and gender</w:t>
      </w:r>
      <w:r>
        <w:t xml:space="preserve">, Sage Publications, London. </w:t>
      </w:r>
    </w:p>
    <w:p w:rsidR="00C9115F" w:rsidRDefault="00B966D4" w:rsidP="00C9115F">
      <w:pPr>
        <w:pStyle w:val="References"/>
      </w:pPr>
      <w:r>
        <w:t>Skills Australia 2010, ‘</w:t>
      </w:r>
      <w:r w:rsidR="00C9115F">
        <w:t xml:space="preserve">Industry </w:t>
      </w:r>
      <w:r>
        <w:t>snapshot 2010: agriculture, forestry and fishing’, viewed 1 September</w:t>
      </w:r>
      <w:r w:rsidR="00C9115F">
        <w:t xml:space="preserve"> 2011, </w:t>
      </w:r>
      <w:r w:rsidR="00C9115F">
        <w:br/>
        <w:t>&lt;http://www.skillsaustralia.gov.au/IndustrySnapshots.shtml&gt;</w:t>
      </w:r>
      <w:r>
        <w:t>.</w:t>
      </w:r>
    </w:p>
    <w:p w:rsidR="00C9115F" w:rsidRDefault="00C9115F" w:rsidP="00C9115F">
      <w:pPr>
        <w:pStyle w:val="References"/>
      </w:pPr>
      <w:r>
        <w:t>Tsang, N 1998</w:t>
      </w:r>
      <w:r w:rsidR="00B966D4">
        <w:t>, ‘Re-examining reflection —</w:t>
      </w:r>
      <w:r>
        <w:t xml:space="preserve"> a common issue of professional concern in social work, teacher and nursing education</w:t>
      </w:r>
      <w:r w:rsidR="00B966D4">
        <w:t>’</w:t>
      </w:r>
      <w:r>
        <w:t xml:space="preserve">, </w:t>
      </w:r>
      <w:r w:rsidRPr="006130F6">
        <w:rPr>
          <w:i/>
        </w:rPr>
        <w:t>Journal of Interprofessional Care</w:t>
      </w:r>
      <w:r>
        <w:t>, vol</w:t>
      </w:r>
      <w:r w:rsidR="00B966D4">
        <w:t>.12, no.1, pp.21—</w:t>
      </w:r>
      <w:r>
        <w:t>31.</w:t>
      </w:r>
      <w:r w:rsidR="00B6039E">
        <w:t xml:space="preserve"> </w:t>
      </w:r>
    </w:p>
    <w:p w:rsidR="00C9115F" w:rsidRDefault="00C9115F" w:rsidP="00C9115F">
      <w:pPr>
        <w:pStyle w:val="References"/>
      </w:pPr>
      <w:r>
        <w:t>Watson, I 2008</w:t>
      </w:r>
      <w:r w:rsidR="00B966D4">
        <w:t>,</w:t>
      </w:r>
      <w:r w:rsidR="00B6039E">
        <w:t xml:space="preserve"> </w:t>
      </w:r>
      <w:r>
        <w:t xml:space="preserve">‘Low </w:t>
      </w:r>
      <w:r w:rsidR="00B966D4">
        <w:t xml:space="preserve">paid jobs and unemployment: churning in </w:t>
      </w:r>
      <w:r>
        <w:t xml:space="preserve">the Australian </w:t>
      </w:r>
      <w:r w:rsidR="00B966D4">
        <w:t>labour market</w:t>
      </w:r>
      <w:r>
        <w:t xml:space="preserve">, 2001 to 2006’, </w:t>
      </w:r>
      <w:r w:rsidRPr="006130F6">
        <w:rPr>
          <w:i/>
        </w:rPr>
        <w:t>Australian Journal of Labour Economics</w:t>
      </w:r>
      <w:r w:rsidR="00B966D4">
        <w:t>, vol.11, no.1, pp.71—</w:t>
      </w:r>
      <w:r>
        <w:t>96.</w:t>
      </w:r>
    </w:p>
    <w:p w:rsidR="00C9115F" w:rsidRDefault="00B966D4" w:rsidP="00C9115F">
      <w:pPr>
        <w:pStyle w:val="References"/>
      </w:pPr>
      <w:r>
        <w:t>Wise, S, Schutz, H, Healy, J &amp;</w:t>
      </w:r>
      <w:r w:rsidR="00FF70D4">
        <w:t xml:space="preserve"> </w:t>
      </w:r>
      <w:r>
        <w:t xml:space="preserve">Fitzpatrick, J 2011, </w:t>
      </w:r>
      <w:r w:rsidR="00C9115F" w:rsidRPr="00B966D4">
        <w:rPr>
          <w:i/>
        </w:rPr>
        <w:t xml:space="preserve">Engineering </w:t>
      </w:r>
      <w:r w:rsidRPr="00B966D4">
        <w:rPr>
          <w:i/>
        </w:rPr>
        <w:t>skills capacity in road and rail</w:t>
      </w:r>
      <w:r>
        <w:t>, a</w:t>
      </w:r>
      <w:r w:rsidR="00C9115F">
        <w:t xml:space="preserve"> commissioned report for the Australian National Engineering Taskforce.</w:t>
      </w:r>
    </w:p>
    <w:p w:rsidR="00C9115F" w:rsidRDefault="00C9115F" w:rsidP="00C9115F">
      <w:pPr>
        <w:pStyle w:val="References"/>
      </w:pPr>
      <w:r>
        <w:lastRenderedPageBreak/>
        <w:t>Wray, N &amp; McCall, L 2007</w:t>
      </w:r>
      <w:r w:rsidR="00DE325A">
        <w:t>,</w:t>
      </w:r>
      <w:r>
        <w:t xml:space="preserve"> ‘Plotting </w:t>
      </w:r>
      <w:r w:rsidR="008C7FF4">
        <w:t>careers in aged care: perspectives of medical, nursing, allied health students and new graduate</w:t>
      </w:r>
      <w:r>
        <w:t xml:space="preserve">s’, </w:t>
      </w:r>
      <w:r w:rsidRPr="006130F6">
        <w:rPr>
          <w:i/>
        </w:rPr>
        <w:t>Educational Gerontology</w:t>
      </w:r>
      <w:r>
        <w:t>, vol.33, no.11</w:t>
      </w:r>
      <w:r w:rsidR="008C7FF4">
        <w:t>, pp.939—</w:t>
      </w:r>
      <w:r>
        <w:t>54.</w:t>
      </w:r>
    </w:p>
    <w:p w:rsidR="00C9115F" w:rsidRDefault="00C9115F" w:rsidP="00C9115F">
      <w:pPr>
        <w:pStyle w:val="References"/>
      </w:pPr>
      <w:r>
        <w:t>V</w:t>
      </w:r>
      <w:r w:rsidR="008C7FF4">
        <w:t>ictorian Council of Social Service</w:t>
      </w:r>
      <w:r>
        <w:t xml:space="preserve"> 2007, ‘Recruitment and </w:t>
      </w:r>
      <w:r w:rsidR="008C7FF4">
        <w:t>retention in the community services sector’</w:t>
      </w:r>
      <w:r>
        <w:t>, VCOSS, Melbourne.</w:t>
      </w:r>
    </w:p>
    <w:p w:rsidR="008C7FF4" w:rsidRPr="008C7FF4" w:rsidRDefault="008C7FF4" w:rsidP="00FF70D4">
      <w:pPr>
        <w:pStyle w:val="References"/>
      </w:pPr>
      <w:r w:rsidRPr="008C7FF4">
        <w:t xml:space="preserve">Yu, </w:t>
      </w:r>
      <w:r>
        <w:t>S,</w:t>
      </w:r>
      <w:r w:rsidRPr="008C7FF4">
        <w:t xml:space="preserve"> Bretherton, </w:t>
      </w:r>
      <w:r>
        <w:t xml:space="preserve">T, </w:t>
      </w:r>
      <w:r w:rsidRPr="008C7FF4">
        <w:t>Schutz</w:t>
      </w:r>
      <w:r>
        <w:t>, J</w:t>
      </w:r>
      <w:r w:rsidRPr="008C7FF4">
        <w:t xml:space="preserve"> </w:t>
      </w:r>
      <w:r>
        <w:t>&amp;</w:t>
      </w:r>
      <w:r w:rsidRPr="008C7FF4">
        <w:t xml:space="preserve"> Buchanan</w:t>
      </w:r>
      <w:r>
        <w:t xml:space="preserve">, J 2012, </w:t>
      </w:r>
      <w:r w:rsidRPr="00FF70D4">
        <w:rPr>
          <w:i/>
        </w:rPr>
        <w:t>Understanding the nature of vocations today: exploring labour market pathways</w:t>
      </w:r>
      <w:r>
        <w:t>, NCVER, Adelaide.</w:t>
      </w:r>
    </w:p>
    <w:p w:rsidR="00C9115F" w:rsidRDefault="00C9115F" w:rsidP="00C9115F">
      <w:pPr>
        <w:pStyle w:val="References"/>
      </w:pPr>
    </w:p>
    <w:p w:rsidR="00C9115F" w:rsidRDefault="00C9115F" w:rsidP="00C9115F">
      <w:pPr>
        <w:pStyle w:val="Heading1"/>
      </w:pPr>
      <w:r>
        <w:br w:type="page"/>
      </w:r>
      <w:bookmarkStart w:id="75" w:name="_Toc194643913"/>
      <w:bookmarkStart w:id="76" w:name="_Toc335752941"/>
      <w:r>
        <w:lastRenderedPageBreak/>
        <w:t>Appendix A</w:t>
      </w:r>
      <w:bookmarkEnd w:id="75"/>
      <w:bookmarkEnd w:id="76"/>
    </w:p>
    <w:p w:rsidR="00C9115F" w:rsidRPr="006130F6" w:rsidRDefault="00C9115F" w:rsidP="00C9115F">
      <w:pPr>
        <w:pStyle w:val="Heading2"/>
      </w:pPr>
      <w:bookmarkStart w:id="77" w:name="_Toc194643914"/>
      <w:bookmarkStart w:id="78" w:name="_Toc335752942"/>
      <w:r w:rsidRPr="006130F6">
        <w:t>Optimal Matching Analysis</w:t>
      </w:r>
      <w:bookmarkEnd w:id="77"/>
      <w:bookmarkEnd w:id="78"/>
    </w:p>
    <w:p w:rsidR="00C9115F" w:rsidRDefault="00C9115F" w:rsidP="00C9115F">
      <w:pPr>
        <w:pStyle w:val="Text"/>
      </w:pPr>
      <w:r>
        <w:t xml:space="preserve">The first </w:t>
      </w:r>
      <w:r w:rsidR="000B030C">
        <w:t>working paper used sequence analysis</w:t>
      </w:r>
      <w:r>
        <w:t xml:space="preserve"> to empirically derive typologies of career patterns for</w:t>
      </w:r>
      <w:r w:rsidR="004C5B53">
        <w:t xml:space="preserve"> a more holistic investigation. </w:t>
      </w:r>
      <w:r>
        <w:t xml:space="preserve">Other studies in this area have included studies of class mobility (Halpin </w:t>
      </w:r>
      <w:r w:rsidR="008C7FF4">
        <w:t>&amp; Chan</w:t>
      </w:r>
      <w:r>
        <w:t xml:space="preserve"> 1998),</w:t>
      </w:r>
      <w:r w:rsidR="008C7FF4">
        <w:t xml:space="preserve"> early-career patterns (Scherer 2001; Brzinsky-Fay</w:t>
      </w:r>
      <w:r>
        <w:t xml:space="preserve"> 2007) and changes in labour force status (</w:t>
      </w:r>
      <w:r w:rsidR="00976007">
        <w:t>Pollock, Antcliff &amp; Ralphs 2002</w:t>
      </w:r>
      <w:r>
        <w:t xml:space="preserve">). </w:t>
      </w:r>
    </w:p>
    <w:p w:rsidR="00C9115F" w:rsidRDefault="00C9115F" w:rsidP="00C9115F">
      <w:pPr>
        <w:pStyle w:val="Text"/>
      </w:pPr>
      <w:r>
        <w:t>The research used a technique called Optimal Matching Analysis (OMA)</w:t>
      </w:r>
      <w:r w:rsidR="008C7FF4">
        <w:t>,</w:t>
      </w:r>
      <w:r>
        <w:t xml:space="preserve"> which was originally used in molecular biology and applied to DNA sequences. OMA was first used in the social sciences by Abbott and Hrycak (1990), who modelled the careers of German musicians.</w:t>
      </w:r>
      <w:r w:rsidR="00B6039E">
        <w:t xml:space="preserve"> </w:t>
      </w:r>
      <w:r>
        <w:t xml:space="preserve">The methodology has the advantage of considering a sequence of transitions through a life course and is most suitable </w:t>
      </w:r>
      <w:r w:rsidR="008C7FF4">
        <w:t>for a large number of sequences</w:t>
      </w:r>
      <w:r>
        <w:t xml:space="preserve"> and a complex structure and o</w:t>
      </w:r>
      <w:r w:rsidR="008C7FF4">
        <w:t>rdering of states (Brzinsky-Fay</w:t>
      </w:r>
      <w:r>
        <w:t xml:space="preserve"> 2007), as is typic</w:t>
      </w:r>
      <w:r w:rsidR="008C7FF4">
        <w:t>al of longitudinal data</w:t>
      </w:r>
      <w:r>
        <w:t xml:space="preserve">sets. While it is not a parametric statistical technique and does not produce predictive statements, it can be usefully applied to generate typologies of sequences (Halpin </w:t>
      </w:r>
      <w:r w:rsidR="008C7FF4">
        <w:t>&amp; Chan</w:t>
      </w:r>
      <w:r>
        <w:t xml:space="preserve"> 1998). In reviews of the careers literature, Abbott and colleagues illustrate the usefulness of OMA in avoiding the difficulties (and assumptions) of traditional models in modelling a sequence of events, including multiple and/or repeated transitions, and the independence of a series of events (Abbott </w:t>
      </w:r>
      <w:r w:rsidR="003B30A5">
        <w:t>&amp; Hrycak</w:t>
      </w:r>
      <w:r>
        <w:t xml:space="preserve"> 1990; Abbott </w:t>
      </w:r>
      <w:r w:rsidR="003B30A5">
        <w:t>&amp; Tsay</w:t>
      </w:r>
      <w:r>
        <w:t xml:space="preserve"> 2000).</w:t>
      </w:r>
    </w:p>
    <w:p w:rsidR="00C9115F" w:rsidRDefault="00C9115F" w:rsidP="00C9115F">
      <w:pPr>
        <w:pStyle w:val="Text"/>
      </w:pPr>
      <w:r>
        <w:t>The methodology seeks resemblance</w:t>
      </w:r>
      <w:r w:rsidR="004C5B53">
        <w:t>s</w:t>
      </w:r>
      <w:r>
        <w:t xml:space="preserve"> in pairs of sequences, by calculating the minimum ‘elementary operations’ (or steps) to transform one sequence</w:t>
      </w:r>
      <w:r w:rsidR="003B30A5">
        <w:t xml:space="preserve"> into another. For example, in f</w:t>
      </w:r>
      <w:r>
        <w:t xml:space="preserve">igure </w:t>
      </w:r>
      <w:r w:rsidR="003B30A5">
        <w:t>A</w:t>
      </w:r>
      <w:r>
        <w:t>1, two individuals move between ful</w:t>
      </w:r>
      <w:r w:rsidR="004C5B53">
        <w:t>l-</w:t>
      </w:r>
      <w:r w:rsidR="003B30A5">
        <w:t xml:space="preserve">time work (F) and not in the labour </w:t>
      </w:r>
      <w:r>
        <w:t>force (N). An elementary operation involves inserting a different status, deleting a status, or substituting one for another. By a series of elementary operations, sequence 2 is transformed into sequence 1. The ‘distance’ between the two individuals is 4, the total insertions and deletions. Performing this process on every pair of individuals</w:t>
      </w:r>
      <w:r w:rsidR="00F64C11">
        <w:t> </w:t>
      </w:r>
      <w:r>
        <w:t>generates a distance, or similarity, between each pair. These steps are then weighted by a</w:t>
      </w:r>
      <w:r w:rsidR="00F64C11">
        <w:t> </w:t>
      </w:r>
      <w:r>
        <w:t>subjective cost</w:t>
      </w:r>
      <w:r w:rsidR="00B6039E">
        <w:t xml:space="preserve"> </w:t>
      </w:r>
      <w:r>
        <w:t>and standardised, generating a distance matrix which measures similarity between every pair of sequences.</w:t>
      </w:r>
    </w:p>
    <w:p w:rsidR="00C9115F" w:rsidRDefault="00C9115F" w:rsidP="00F64C11">
      <w:pPr>
        <w:pStyle w:val="Figuretitle"/>
        <w:ind w:left="993" w:hanging="993"/>
      </w:pPr>
      <w:bookmarkStart w:id="79" w:name="_Toc335753102"/>
      <w:r>
        <w:t>Figure A1</w:t>
      </w:r>
      <w:r>
        <w:tab/>
      </w:r>
      <w:r w:rsidRPr="006130F6">
        <w:t>OMA elementary operations example</w:t>
      </w:r>
      <w:bookmarkEnd w:id="79"/>
    </w:p>
    <w:tbl>
      <w:tblPr>
        <w:tblW w:w="6536" w:type="dxa"/>
        <w:tblInd w:w="93"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tblPr>
      <w:tblGrid>
        <w:gridCol w:w="2142"/>
        <w:gridCol w:w="878"/>
        <w:gridCol w:w="879"/>
        <w:gridCol w:w="879"/>
        <w:gridCol w:w="879"/>
        <w:gridCol w:w="879"/>
      </w:tblGrid>
      <w:tr w:rsidR="00C9115F" w:rsidRPr="0077323D" w:rsidTr="008775AD">
        <w:trPr>
          <w:trHeight w:val="300"/>
        </w:trPr>
        <w:tc>
          <w:tcPr>
            <w:tcW w:w="2142" w:type="dxa"/>
            <w:shd w:val="clear" w:color="auto" w:fill="auto"/>
            <w:noWrap/>
          </w:tcPr>
          <w:p w:rsidR="00C9115F" w:rsidRPr="0077323D" w:rsidRDefault="00C9115F" w:rsidP="008775AD">
            <w:pPr>
              <w:pStyle w:val="Tablehead2"/>
              <w:spacing w:before="120"/>
            </w:pPr>
            <w:r w:rsidRPr="0077323D">
              <w:t>Sequence</w:t>
            </w:r>
          </w:p>
        </w:tc>
        <w:tc>
          <w:tcPr>
            <w:tcW w:w="878" w:type="dxa"/>
            <w:shd w:val="clear" w:color="auto" w:fill="auto"/>
            <w:noWrap/>
          </w:tcPr>
          <w:p w:rsidR="00C9115F" w:rsidRPr="0077323D" w:rsidRDefault="00C9115F" w:rsidP="008775AD">
            <w:pPr>
              <w:pStyle w:val="Tablehead2"/>
              <w:spacing w:before="120"/>
              <w:jc w:val="center"/>
              <w:rPr>
                <w:rFonts w:cs="Arial"/>
                <w:sz w:val="16"/>
                <w:szCs w:val="16"/>
              </w:rPr>
            </w:pPr>
          </w:p>
        </w:tc>
        <w:tc>
          <w:tcPr>
            <w:tcW w:w="879" w:type="dxa"/>
            <w:shd w:val="clear" w:color="auto" w:fill="auto"/>
            <w:noWrap/>
          </w:tcPr>
          <w:p w:rsidR="00C9115F" w:rsidRPr="0077323D" w:rsidRDefault="00C9115F" w:rsidP="008775AD">
            <w:pPr>
              <w:pStyle w:val="Tablehead2"/>
              <w:spacing w:before="120"/>
              <w:jc w:val="center"/>
              <w:rPr>
                <w:rFonts w:cs="Arial"/>
                <w:sz w:val="16"/>
                <w:szCs w:val="16"/>
              </w:rPr>
            </w:pPr>
          </w:p>
        </w:tc>
        <w:tc>
          <w:tcPr>
            <w:tcW w:w="879" w:type="dxa"/>
            <w:shd w:val="clear" w:color="auto" w:fill="auto"/>
            <w:noWrap/>
          </w:tcPr>
          <w:p w:rsidR="00C9115F" w:rsidRPr="0077323D" w:rsidRDefault="00C9115F" w:rsidP="008775AD">
            <w:pPr>
              <w:pStyle w:val="Tablehead2"/>
              <w:spacing w:before="120"/>
              <w:jc w:val="center"/>
              <w:rPr>
                <w:rFonts w:cs="Arial"/>
                <w:sz w:val="16"/>
                <w:szCs w:val="16"/>
              </w:rPr>
            </w:pPr>
          </w:p>
        </w:tc>
        <w:tc>
          <w:tcPr>
            <w:tcW w:w="879" w:type="dxa"/>
            <w:shd w:val="clear" w:color="auto" w:fill="auto"/>
            <w:noWrap/>
          </w:tcPr>
          <w:p w:rsidR="00C9115F" w:rsidRPr="0077323D" w:rsidRDefault="00C9115F" w:rsidP="008775AD">
            <w:pPr>
              <w:pStyle w:val="Tablehead2"/>
              <w:spacing w:before="120"/>
              <w:jc w:val="center"/>
              <w:rPr>
                <w:rFonts w:cs="Arial"/>
                <w:sz w:val="16"/>
                <w:szCs w:val="16"/>
              </w:rPr>
            </w:pPr>
          </w:p>
        </w:tc>
        <w:tc>
          <w:tcPr>
            <w:tcW w:w="879" w:type="dxa"/>
            <w:shd w:val="clear" w:color="auto" w:fill="auto"/>
            <w:noWrap/>
          </w:tcPr>
          <w:p w:rsidR="00C9115F" w:rsidRPr="0077323D" w:rsidRDefault="00C9115F" w:rsidP="008775AD">
            <w:pPr>
              <w:pStyle w:val="Tablehead2"/>
              <w:spacing w:before="120"/>
              <w:jc w:val="center"/>
              <w:rPr>
                <w:rFonts w:cs="Arial"/>
                <w:sz w:val="16"/>
                <w:szCs w:val="16"/>
              </w:rPr>
            </w:pPr>
          </w:p>
        </w:tc>
      </w:tr>
      <w:tr w:rsidR="00C9115F" w:rsidRPr="008775AD" w:rsidTr="008775AD">
        <w:trPr>
          <w:trHeight w:val="300"/>
        </w:trPr>
        <w:tc>
          <w:tcPr>
            <w:tcW w:w="2142" w:type="dxa"/>
            <w:shd w:val="clear" w:color="auto" w:fill="auto"/>
            <w:noWrap/>
          </w:tcPr>
          <w:p w:rsidR="00C9115F" w:rsidRPr="008775AD" w:rsidRDefault="00C9115F" w:rsidP="008775AD">
            <w:pPr>
              <w:pStyle w:val="Tabletext"/>
            </w:pPr>
            <w:r w:rsidRPr="008775AD">
              <w:t>Individual 1</w:t>
            </w:r>
          </w:p>
        </w:tc>
        <w:tc>
          <w:tcPr>
            <w:tcW w:w="878" w:type="dxa"/>
            <w:shd w:val="clear" w:color="auto" w:fill="auto"/>
            <w:noWrap/>
          </w:tcPr>
          <w:p w:rsidR="00C9115F" w:rsidRPr="008775AD" w:rsidRDefault="00C9115F" w:rsidP="008775AD">
            <w:pPr>
              <w:pStyle w:val="Tabletext"/>
              <w:jc w:val="center"/>
            </w:pPr>
            <w:r w:rsidRPr="008775AD">
              <w:t>N</w:t>
            </w:r>
          </w:p>
        </w:tc>
        <w:tc>
          <w:tcPr>
            <w:tcW w:w="879" w:type="dxa"/>
            <w:shd w:val="clear" w:color="auto" w:fill="auto"/>
            <w:noWrap/>
          </w:tcPr>
          <w:p w:rsidR="00C9115F" w:rsidRPr="008775AD" w:rsidRDefault="00C9115F" w:rsidP="008775AD">
            <w:pPr>
              <w:pStyle w:val="Tabletext"/>
              <w:jc w:val="center"/>
            </w:pPr>
            <w:r w:rsidRPr="008775AD">
              <w:t>F</w:t>
            </w:r>
          </w:p>
        </w:tc>
        <w:tc>
          <w:tcPr>
            <w:tcW w:w="879" w:type="dxa"/>
            <w:shd w:val="clear" w:color="auto" w:fill="auto"/>
            <w:noWrap/>
          </w:tcPr>
          <w:p w:rsidR="00C9115F" w:rsidRPr="008775AD" w:rsidRDefault="00C9115F" w:rsidP="008775AD">
            <w:pPr>
              <w:pStyle w:val="Tabletext"/>
              <w:jc w:val="center"/>
            </w:pPr>
            <w:r w:rsidRPr="008775AD">
              <w:t>F</w:t>
            </w:r>
          </w:p>
        </w:tc>
        <w:tc>
          <w:tcPr>
            <w:tcW w:w="879" w:type="dxa"/>
            <w:shd w:val="clear" w:color="auto" w:fill="auto"/>
            <w:noWrap/>
          </w:tcPr>
          <w:p w:rsidR="00C9115F" w:rsidRPr="008775AD" w:rsidRDefault="00C9115F" w:rsidP="008775AD">
            <w:pPr>
              <w:pStyle w:val="Tabletext"/>
              <w:jc w:val="center"/>
            </w:pPr>
            <w:r w:rsidRPr="008775AD">
              <w:t>F</w:t>
            </w:r>
          </w:p>
        </w:tc>
        <w:tc>
          <w:tcPr>
            <w:tcW w:w="879" w:type="dxa"/>
            <w:shd w:val="clear" w:color="auto" w:fill="auto"/>
            <w:noWrap/>
          </w:tcPr>
          <w:p w:rsidR="00C9115F" w:rsidRPr="008775AD" w:rsidRDefault="00C9115F" w:rsidP="008775AD">
            <w:pPr>
              <w:pStyle w:val="Tabletext"/>
              <w:jc w:val="center"/>
            </w:pPr>
            <w:r w:rsidRPr="008775AD">
              <w:t>F</w:t>
            </w:r>
          </w:p>
        </w:tc>
      </w:tr>
      <w:tr w:rsidR="00C9115F" w:rsidRPr="008775AD" w:rsidTr="008775AD">
        <w:trPr>
          <w:trHeight w:val="300"/>
        </w:trPr>
        <w:tc>
          <w:tcPr>
            <w:tcW w:w="2142" w:type="dxa"/>
            <w:shd w:val="clear" w:color="auto" w:fill="auto"/>
            <w:noWrap/>
          </w:tcPr>
          <w:p w:rsidR="00C9115F" w:rsidRPr="008775AD" w:rsidRDefault="00C9115F" w:rsidP="008775AD">
            <w:pPr>
              <w:pStyle w:val="Tabletext"/>
            </w:pPr>
            <w:r w:rsidRPr="008775AD">
              <w:t>Individual 2</w:t>
            </w:r>
          </w:p>
        </w:tc>
        <w:tc>
          <w:tcPr>
            <w:tcW w:w="878" w:type="dxa"/>
            <w:shd w:val="clear" w:color="auto" w:fill="auto"/>
            <w:noWrap/>
          </w:tcPr>
          <w:p w:rsidR="00C9115F" w:rsidRPr="008775AD" w:rsidRDefault="00C9115F" w:rsidP="008775AD">
            <w:pPr>
              <w:pStyle w:val="Tabletext"/>
              <w:jc w:val="center"/>
            </w:pPr>
            <w:r w:rsidRPr="008775AD">
              <w:t>N</w:t>
            </w:r>
          </w:p>
        </w:tc>
        <w:tc>
          <w:tcPr>
            <w:tcW w:w="879" w:type="dxa"/>
            <w:shd w:val="clear" w:color="auto" w:fill="auto"/>
            <w:noWrap/>
          </w:tcPr>
          <w:p w:rsidR="00C9115F" w:rsidRPr="008775AD" w:rsidRDefault="00C9115F" w:rsidP="008775AD">
            <w:pPr>
              <w:pStyle w:val="Tabletext"/>
              <w:jc w:val="center"/>
            </w:pPr>
            <w:r w:rsidRPr="008775AD">
              <w:t>N</w:t>
            </w:r>
          </w:p>
        </w:tc>
        <w:tc>
          <w:tcPr>
            <w:tcW w:w="879" w:type="dxa"/>
            <w:shd w:val="clear" w:color="auto" w:fill="auto"/>
            <w:noWrap/>
          </w:tcPr>
          <w:p w:rsidR="00C9115F" w:rsidRPr="008775AD" w:rsidRDefault="00C9115F" w:rsidP="008775AD">
            <w:pPr>
              <w:pStyle w:val="Tabletext"/>
              <w:jc w:val="center"/>
            </w:pPr>
            <w:r w:rsidRPr="008775AD">
              <w:t>N</w:t>
            </w:r>
          </w:p>
        </w:tc>
        <w:tc>
          <w:tcPr>
            <w:tcW w:w="879" w:type="dxa"/>
            <w:shd w:val="clear" w:color="auto" w:fill="auto"/>
            <w:noWrap/>
          </w:tcPr>
          <w:p w:rsidR="00C9115F" w:rsidRPr="008775AD" w:rsidRDefault="00C9115F" w:rsidP="008775AD">
            <w:pPr>
              <w:pStyle w:val="Tabletext"/>
              <w:jc w:val="center"/>
            </w:pPr>
            <w:r w:rsidRPr="008775AD">
              <w:t>F</w:t>
            </w:r>
          </w:p>
        </w:tc>
        <w:tc>
          <w:tcPr>
            <w:tcW w:w="879" w:type="dxa"/>
            <w:shd w:val="clear" w:color="auto" w:fill="auto"/>
            <w:noWrap/>
          </w:tcPr>
          <w:p w:rsidR="00C9115F" w:rsidRPr="008775AD" w:rsidRDefault="00C9115F" w:rsidP="008775AD">
            <w:pPr>
              <w:pStyle w:val="Tabletext"/>
              <w:jc w:val="center"/>
            </w:pPr>
            <w:r w:rsidRPr="008775AD">
              <w:t>F</w:t>
            </w:r>
          </w:p>
        </w:tc>
      </w:tr>
    </w:tbl>
    <w:p w:rsidR="00C9115F" w:rsidRDefault="00C9115F" w:rsidP="00C9115F">
      <w:pPr>
        <w:pStyle w:val="Text"/>
      </w:pPr>
    </w:p>
    <w:tbl>
      <w:tblPr>
        <w:tblW w:w="8300" w:type="dxa"/>
        <w:tblInd w:w="93"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4A0"/>
      </w:tblPr>
      <w:tblGrid>
        <w:gridCol w:w="2140"/>
        <w:gridCol w:w="880"/>
        <w:gridCol w:w="880"/>
        <w:gridCol w:w="880"/>
        <w:gridCol w:w="880"/>
        <w:gridCol w:w="880"/>
        <w:gridCol w:w="880"/>
        <w:gridCol w:w="880"/>
      </w:tblGrid>
      <w:tr w:rsidR="00C9115F" w:rsidRPr="0077323D" w:rsidTr="008775AD">
        <w:trPr>
          <w:trHeight w:val="300"/>
        </w:trPr>
        <w:tc>
          <w:tcPr>
            <w:tcW w:w="2140" w:type="dxa"/>
            <w:shd w:val="clear" w:color="auto" w:fill="auto"/>
            <w:noWrap/>
          </w:tcPr>
          <w:p w:rsidR="00C9115F" w:rsidRPr="0077323D" w:rsidRDefault="00C9115F" w:rsidP="008775AD">
            <w:pPr>
              <w:pStyle w:val="Tablehead2"/>
              <w:spacing w:before="120"/>
            </w:pPr>
            <w:r w:rsidRPr="0077323D">
              <w:t>Conversion of 2 to 1</w:t>
            </w:r>
          </w:p>
        </w:tc>
        <w:tc>
          <w:tcPr>
            <w:tcW w:w="880" w:type="dxa"/>
            <w:shd w:val="clear" w:color="auto" w:fill="auto"/>
            <w:noWrap/>
          </w:tcPr>
          <w:p w:rsidR="00C9115F" w:rsidRPr="0077323D" w:rsidRDefault="00C9115F" w:rsidP="008775AD">
            <w:pPr>
              <w:pStyle w:val="Tablehead2"/>
              <w:spacing w:before="120"/>
              <w:jc w:val="center"/>
              <w:rPr>
                <w:rFonts w:cs="Arial"/>
                <w:sz w:val="16"/>
                <w:szCs w:val="16"/>
              </w:rPr>
            </w:pPr>
          </w:p>
        </w:tc>
        <w:tc>
          <w:tcPr>
            <w:tcW w:w="880" w:type="dxa"/>
            <w:shd w:val="clear" w:color="auto" w:fill="auto"/>
            <w:noWrap/>
          </w:tcPr>
          <w:p w:rsidR="00C9115F" w:rsidRPr="0077323D" w:rsidRDefault="00C9115F" w:rsidP="008775AD">
            <w:pPr>
              <w:pStyle w:val="Tablehead2"/>
              <w:spacing w:before="120"/>
              <w:jc w:val="center"/>
              <w:rPr>
                <w:rFonts w:cs="Arial"/>
                <w:sz w:val="16"/>
                <w:szCs w:val="16"/>
              </w:rPr>
            </w:pPr>
          </w:p>
        </w:tc>
        <w:tc>
          <w:tcPr>
            <w:tcW w:w="880" w:type="dxa"/>
            <w:shd w:val="clear" w:color="auto" w:fill="auto"/>
            <w:noWrap/>
          </w:tcPr>
          <w:p w:rsidR="00C9115F" w:rsidRPr="0077323D" w:rsidRDefault="00C9115F" w:rsidP="008775AD">
            <w:pPr>
              <w:pStyle w:val="Tablehead2"/>
              <w:spacing w:before="120"/>
              <w:jc w:val="center"/>
              <w:rPr>
                <w:rFonts w:cs="Arial"/>
                <w:sz w:val="16"/>
                <w:szCs w:val="16"/>
              </w:rPr>
            </w:pPr>
          </w:p>
        </w:tc>
        <w:tc>
          <w:tcPr>
            <w:tcW w:w="880" w:type="dxa"/>
            <w:shd w:val="clear" w:color="auto" w:fill="auto"/>
            <w:noWrap/>
          </w:tcPr>
          <w:p w:rsidR="00C9115F" w:rsidRPr="0077323D" w:rsidRDefault="00C9115F" w:rsidP="008775AD">
            <w:pPr>
              <w:pStyle w:val="Tablehead2"/>
              <w:spacing w:before="120"/>
              <w:jc w:val="center"/>
              <w:rPr>
                <w:rFonts w:cs="Arial"/>
                <w:sz w:val="16"/>
                <w:szCs w:val="16"/>
              </w:rPr>
            </w:pPr>
          </w:p>
        </w:tc>
        <w:tc>
          <w:tcPr>
            <w:tcW w:w="880" w:type="dxa"/>
            <w:shd w:val="clear" w:color="auto" w:fill="auto"/>
            <w:noWrap/>
          </w:tcPr>
          <w:p w:rsidR="00C9115F" w:rsidRPr="0077323D" w:rsidRDefault="00C9115F" w:rsidP="008775AD">
            <w:pPr>
              <w:pStyle w:val="Tablehead2"/>
              <w:spacing w:before="120"/>
              <w:jc w:val="center"/>
              <w:rPr>
                <w:rFonts w:cs="Arial"/>
                <w:sz w:val="16"/>
                <w:szCs w:val="16"/>
              </w:rPr>
            </w:pPr>
          </w:p>
        </w:tc>
        <w:tc>
          <w:tcPr>
            <w:tcW w:w="880" w:type="dxa"/>
            <w:shd w:val="clear" w:color="auto" w:fill="auto"/>
            <w:noWrap/>
          </w:tcPr>
          <w:p w:rsidR="00C9115F" w:rsidRPr="0077323D" w:rsidRDefault="00C9115F" w:rsidP="008775AD">
            <w:pPr>
              <w:pStyle w:val="Tablehead2"/>
              <w:spacing w:before="120"/>
              <w:jc w:val="center"/>
              <w:rPr>
                <w:rFonts w:cs="Arial"/>
                <w:sz w:val="16"/>
                <w:szCs w:val="16"/>
              </w:rPr>
            </w:pPr>
          </w:p>
        </w:tc>
        <w:tc>
          <w:tcPr>
            <w:tcW w:w="880" w:type="dxa"/>
            <w:shd w:val="clear" w:color="auto" w:fill="auto"/>
            <w:noWrap/>
          </w:tcPr>
          <w:p w:rsidR="00C9115F" w:rsidRPr="0077323D" w:rsidRDefault="00C9115F" w:rsidP="008775AD">
            <w:pPr>
              <w:pStyle w:val="Tablehead2"/>
              <w:spacing w:before="120"/>
              <w:jc w:val="center"/>
              <w:rPr>
                <w:rFonts w:cs="Arial"/>
                <w:sz w:val="16"/>
                <w:szCs w:val="16"/>
              </w:rPr>
            </w:pPr>
          </w:p>
        </w:tc>
      </w:tr>
      <w:tr w:rsidR="00C9115F" w:rsidRPr="008775AD" w:rsidTr="008775AD">
        <w:trPr>
          <w:trHeight w:val="300"/>
        </w:trPr>
        <w:tc>
          <w:tcPr>
            <w:tcW w:w="2140" w:type="dxa"/>
            <w:shd w:val="clear" w:color="auto" w:fill="auto"/>
            <w:noWrap/>
          </w:tcPr>
          <w:p w:rsidR="00C9115F" w:rsidRPr="008775AD" w:rsidRDefault="00C9115F" w:rsidP="008775AD">
            <w:pPr>
              <w:pStyle w:val="Tabletext"/>
            </w:pPr>
            <w:r w:rsidRPr="008775AD">
              <w:t>Individual 1</w:t>
            </w:r>
          </w:p>
        </w:tc>
        <w:tc>
          <w:tcPr>
            <w:tcW w:w="880" w:type="dxa"/>
            <w:shd w:val="clear" w:color="auto" w:fill="auto"/>
            <w:noWrap/>
          </w:tcPr>
          <w:p w:rsidR="00C9115F" w:rsidRPr="008775AD" w:rsidRDefault="00C9115F" w:rsidP="008775AD">
            <w:pPr>
              <w:pStyle w:val="Tabletext"/>
              <w:jc w:val="center"/>
            </w:pPr>
            <w:r w:rsidRPr="008775AD">
              <w:t>N</w:t>
            </w:r>
          </w:p>
        </w:tc>
        <w:tc>
          <w:tcPr>
            <w:tcW w:w="880" w:type="dxa"/>
            <w:shd w:val="clear" w:color="auto" w:fill="auto"/>
            <w:noWrap/>
          </w:tcPr>
          <w:p w:rsidR="00C9115F" w:rsidRPr="008775AD" w:rsidRDefault="00C9115F" w:rsidP="008775AD">
            <w:pPr>
              <w:pStyle w:val="Tabletext"/>
              <w:jc w:val="center"/>
            </w:pPr>
            <w:r w:rsidRPr="008775AD">
              <w:t>F</w:t>
            </w:r>
          </w:p>
        </w:tc>
        <w:tc>
          <w:tcPr>
            <w:tcW w:w="880" w:type="dxa"/>
            <w:shd w:val="clear" w:color="auto" w:fill="auto"/>
            <w:noWrap/>
          </w:tcPr>
          <w:p w:rsidR="00C9115F" w:rsidRPr="008775AD" w:rsidRDefault="00C9115F" w:rsidP="008775AD">
            <w:pPr>
              <w:pStyle w:val="Tabletext"/>
              <w:jc w:val="center"/>
            </w:pPr>
            <w:r w:rsidRPr="008775AD">
              <w:t>F</w:t>
            </w:r>
          </w:p>
        </w:tc>
        <w:tc>
          <w:tcPr>
            <w:tcW w:w="880" w:type="dxa"/>
            <w:shd w:val="clear" w:color="auto" w:fill="auto"/>
            <w:noWrap/>
          </w:tcPr>
          <w:p w:rsidR="00C9115F" w:rsidRPr="008775AD" w:rsidRDefault="00C9115F" w:rsidP="008775AD">
            <w:pPr>
              <w:pStyle w:val="Tabletext"/>
              <w:jc w:val="center"/>
            </w:pPr>
            <w:r w:rsidRPr="008775AD">
              <w:t>F</w:t>
            </w:r>
          </w:p>
        </w:tc>
        <w:tc>
          <w:tcPr>
            <w:tcW w:w="880" w:type="dxa"/>
            <w:shd w:val="clear" w:color="auto" w:fill="auto"/>
            <w:noWrap/>
          </w:tcPr>
          <w:p w:rsidR="00C9115F" w:rsidRPr="008775AD" w:rsidRDefault="00C9115F" w:rsidP="008775AD">
            <w:pPr>
              <w:pStyle w:val="Tabletext"/>
              <w:jc w:val="center"/>
            </w:pPr>
            <w:r w:rsidRPr="008775AD">
              <w:t>F</w:t>
            </w:r>
          </w:p>
        </w:tc>
        <w:tc>
          <w:tcPr>
            <w:tcW w:w="880" w:type="dxa"/>
            <w:shd w:val="clear" w:color="auto" w:fill="auto"/>
            <w:noWrap/>
          </w:tcPr>
          <w:p w:rsidR="00C9115F" w:rsidRPr="008775AD" w:rsidRDefault="00C9115F" w:rsidP="008775AD">
            <w:pPr>
              <w:pStyle w:val="Tabletext"/>
              <w:jc w:val="center"/>
            </w:pPr>
          </w:p>
        </w:tc>
        <w:tc>
          <w:tcPr>
            <w:tcW w:w="880" w:type="dxa"/>
            <w:shd w:val="clear" w:color="auto" w:fill="auto"/>
            <w:noWrap/>
          </w:tcPr>
          <w:p w:rsidR="00C9115F" w:rsidRPr="008775AD" w:rsidRDefault="00C9115F" w:rsidP="008775AD">
            <w:pPr>
              <w:pStyle w:val="Tabletext"/>
              <w:jc w:val="center"/>
            </w:pPr>
          </w:p>
        </w:tc>
      </w:tr>
      <w:tr w:rsidR="00C9115F" w:rsidRPr="008775AD" w:rsidTr="008775AD">
        <w:trPr>
          <w:trHeight w:val="300"/>
        </w:trPr>
        <w:tc>
          <w:tcPr>
            <w:tcW w:w="2140" w:type="dxa"/>
            <w:shd w:val="clear" w:color="auto" w:fill="auto"/>
            <w:noWrap/>
          </w:tcPr>
          <w:p w:rsidR="00C9115F" w:rsidRPr="008775AD" w:rsidRDefault="00C9115F" w:rsidP="008775AD">
            <w:pPr>
              <w:pStyle w:val="Tabletext"/>
            </w:pPr>
            <w:r w:rsidRPr="008775AD">
              <w:t>Individual 2</w:t>
            </w:r>
          </w:p>
        </w:tc>
        <w:tc>
          <w:tcPr>
            <w:tcW w:w="880" w:type="dxa"/>
            <w:shd w:val="clear" w:color="auto" w:fill="auto"/>
            <w:noWrap/>
          </w:tcPr>
          <w:p w:rsidR="00C9115F" w:rsidRPr="008775AD" w:rsidRDefault="00C9115F" w:rsidP="008775AD">
            <w:pPr>
              <w:pStyle w:val="Tabletext"/>
              <w:jc w:val="center"/>
            </w:pPr>
            <w:r w:rsidRPr="008775AD">
              <w:t>N</w:t>
            </w:r>
          </w:p>
        </w:tc>
        <w:tc>
          <w:tcPr>
            <w:tcW w:w="880" w:type="dxa"/>
            <w:shd w:val="clear" w:color="auto" w:fill="auto"/>
            <w:noWrap/>
          </w:tcPr>
          <w:p w:rsidR="00C9115F" w:rsidRPr="008775AD" w:rsidRDefault="00C9115F" w:rsidP="008775AD">
            <w:pPr>
              <w:pStyle w:val="Tabletext"/>
              <w:jc w:val="center"/>
            </w:pPr>
            <w:r w:rsidRPr="008775AD">
              <w:t>N(del)</w:t>
            </w:r>
          </w:p>
        </w:tc>
        <w:tc>
          <w:tcPr>
            <w:tcW w:w="880" w:type="dxa"/>
            <w:shd w:val="clear" w:color="auto" w:fill="auto"/>
            <w:noWrap/>
          </w:tcPr>
          <w:p w:rsidR="00C9115F" w:rsidRPr="008775AD" w:rsidRDefault="00C9115F" w:rsidP="008775AD">
            <w:pPr>
              <w:pStyle w:val="Tabletext"/>
              <w:jc w:val="center"/>
            </w:pPr>
            <w:r w:rsidRPr="008775AD">
              <w:t>N(del)</w:t>
            </w:r>
          </w:p>
        </w:tc>
        <w:tc>
          <w:tcPr>
            <w:tcW w:w="880" w:type="dxa"/>
            <w:shd w:val="clear" w:color="auto" w:fill="auto"/>
            <w:noWrap/>
          </w:tcPr>
          <w:p w:rsidR="00C9115F" w:rsidRPr="008775AD" w:rsidRDefault="00C9115F" w:rsidP="008775AD">
            <w:pPr>
              <w:pStyle w:val="Tabletext"/>
              <w:jc w:val="center"/>
            </w:pPr>
            <w:r w:rsidRPr="008775AD">
              <w:t>F(ins)</w:t>
            </w:r>
          </w:p>
        </w:tc>
        <w:tc>
          <w:tcPr>
            <w:tcW w:w="880" w:type="dxa"/>
            <w:shd w:val="clear" w:color="auto" w:fill="auto"/>
            <w:noWrap/>
          </w:tcPr>
          <w:p w:rsidR="00C9115F" w:rsidRPr="008775AD" w:rsidRDefault="00C9115F" w:rsidP="008775AD">
            <w:pPr>
              <w:pStyle w:val="Tabletext"/>
              <w:jc w:val="center"/>
            </w:pPr>
            <w:r w:rsidRPr="008775AD">
              <w:t>F(ins)</w:t>
            </w:r>
          </w:p>
        </w:tc>
        <w:tc>
          <w:tcPr>
            <w:tcW w:w="880" w:type="dxa"/>
            <w:shd w:val="clear" w:color="auto" w:fill="auto"/>
            <w:noWrap/>
          </w:tcPr>
          <w:p w:rsidR="00C9115F" w:rsidRPr="008775AD" w:rsidRDefault="00C9115F" w:rsidP="008775AD">
            <w:pPr>
              <w:pStyle w:val="Tabletext"/>
              <w:jc w:val="center"/>
            </w:pPr>
            <w:r w:rsidRPr="008775AD">
              <w:t>F</w:t>
            </w:r>
          </w:p>
        </w:tc>
        <w:tc>
          <w:tcPr>
            <w:tcW w:w="880" w:type="dxa"/>
            <w:shd w:val="clear" w:color="auto" w:fill="auto"/>
            <w:noWrap/>
          </w:tcPr>
          <w:p w:rsidR="00C9115F" w:rsidRPr="008775AD" w:rsidRDefault="00C9115F" w:rsidP="008775AD">
            <w:pPr>
              <w:pStyle w:val="Tabletext"/>
              <w:jc w:val="center"/>
            </w:pPr>
            <w:r w:rsidRPr="008775AD">
              <w:t>F</w:t>
            </w:r>
          </w:p>
        </w:tc>
      </w:tr>
    </w:tbl>
    <w:p w:rsidR="00C9115F" w:rsidRDefault="00C9115F" w:rsidP="008775AD">
      <w:pPr>
        <w:pStyle w:val="Textmorebefore"/>
      </w:pPr>
      <w:r>
        <w:t xml:space="preserve">Cluster analysis is then performed on this matrix to classify the data into groups which minimise the smallest within-cluster variation, while maximising between-cluster variation. Following previous studies, we have used Ward’s clustering algorithm. A detailed discussion of this and alternative </w:t>
      </w:r>
      <w:r>
        <w:lastRenderedPageBreak/>
        <w:t xml:space="preserve">techniques is provided by Abbott and Hrycak (1990), </w:t>
      </w:r>
      <w:r w:rsidR="00976007">
        <w:t xml:space="preserve">Pollock, Antcliff and Ralphs (2002) </w:t>
      </w:r>
      <w:r>
        <w:t xml:space="preserve">and Brzinsky-Fay (2007). We have implemented the methodology in STATA, using the sq package created by </w:t>
      </w:r>
      <w:r w:rsidRPr="00E228B3">
        <w:t>Brzinsky-Fay</w:t>
      </w:r>
      <w:r w:rsidR="00E228B3">
        <w:t xml:space="preserve"> and Kohler</w:t>
      </w:r>
      <w:r w:rsidRPr="00E228B3">
        <w:t xml:space="preserve"> (2006).</w:t>
      </w:r>
    </w:p>
    <w:p w:rsidR="00C9115F" w:rsidRDefault="00C9115F" w:rsidP="00C9115F">
      <w:pPr>
        <w:pStyle w:val="Text"/>
      </w:pPr>
      <w:r>
        <w:t>For each individual, we have nine observations (one per wave in HILDA). We have defined the state space available to each observation as:</w:t>
      </w:r>
    </w:p>
    <w:p w:rsidR="00C9115F" w:rsidRDefault="00C9115F" w:rsidP="00C9115F">
      <w:pPr>
        <w:pStyle w:val="NumberedListContinuing"/>
        <w:numPr>
          <w:ilvl w:val="0"/>
          <w:numId w:val="8"/>
        </w:numPr>
      </w:pPr>
      <w:r>
        <w:t>Studying at school</w:t>
      </w:r>
    </w:p>
    <w:p w:rsidR="00C9115F" w:rsidRDefault="000B030C" w:rsidP="00084229">
      <w:pPr>
        <w:pStyle w:val="NumberedListContinuing"/>
        <w:numPr>
          <w:ilvl w:val="0"/>
          <w:numId w:val="23"/>
        </w:numPr>
      </w:pPr>
      <w:r>
        <w:t xml:space="preserve">Studying for </w:t>
      </w:r>
      <w:r w:rsidR="00C9115F">
        <w:t xml:space="preserve">a VET qualification </w:t>
      </w:r>
    </w:p>
    <w:p w:rsidR="00C9115F" w:rsidRDefault="00C9115F" w:rsidP="00C9115F">
      <w:pPr>
        <w:pStyle w:val="NumberedListContinuing"/>
      </w:pPr>
      <w:r>
        <w:t>Studying for a higher education qualification</w:t>
      </w:r>
    </w:p>
    <w:p w:rsidR="00C9115F" w:rsidRDefault="00C9115F" w:rsidP="00C9115F">
      <w:pPr>
        <w:pStyle w:val="NumberedListContinuing"/>
      </w:pPr>
      <w:r>
        <w:t>Employed as a manager</w:t>
      </w:r>
    </w:p>
    <w:p w:rsidR="00C9115F" w:rsidRDefault="00C9115F" w:rsidP="00C9115F">
      <w:pPr>
        <w:pStyle w:val="NumberedListContinuing"/>
      </w:pPr>
      <w:r>
        <w:t>Employed as a professional</w:t>
      </w:r>
    </w:p>
    <w:p w:rsidR="00C9115F" w:rsidRDefault="003B30A5" w:rsidP="00C9115F">
      <w:pPr>
        <w:pStyle w:val="NumberedListContinuing"/>
      </w:pPr>
      <w:r>
        <w:t>Employed as a technician/</w:t>
      </w:r>
      <w:r w:rsidR="00C9115F">
        <w:t>trades worker</w:t>
      </w:r>
    </w:p>
    <w:p w:rsidR="00C9115F" w:rsidRDefault="00C9115F" w:rsidP="00C9115F">
      <w:pPr>
        <w:pStyle w:val="NumberedListContinuing"/>
      </w:pPr>
      <w:r>
        <w:t>Employed as a community/personal services worker</w:t>
      </w:r>
    </w:p>
    <w:p w:rsidR="00C9115F" w:rsidRDefault="00C9115F" w:rsidP="00C9115F">
      <w:pPr>
        <w:pStyle w:val="NumberedListContinuing"/>
      </w:pPr>
      <w:r>
        <w:t>Employed as a clerical/administrative worker</w:t>
      </w:r>
    </w:p>
    <w:p w:rsidR="00C9115F" w:rsidRDefault="00C9115F" w:rsidP="00C9115F">
      <w:pPr>
        <w:pStyle w:val="NumberedListContinuing"/>
      </w:pPr>
      <w:r>
        <w:t>Employed as a sales worker</w:t>
      </w:r>
    </w:p>
    <w:p w:rsidR="00C9115F" w:rsidRDefault="00C9115F" w:rsidP="00C9115F">
      <w:pPr>
        <w:pStyle w:val="NumberedListContinuing"/>
      </w:pPr>
      <w:r>
        <w:t>Employed as a machinery operator</w:t>
      </w:r>
    </w:p>
    <w:p w:rsidR="00C9115F" w:rsidRDefault="00C9115F" w:rsidP="00C9115F">
      <w:pPr>
        <w:pStyle w:val="NumberedListContinuing"/>
      </w:pPr>
      <w:r>
        <w:t>Employed as a labourer</w:t>
      </w:r>
    </w:p>
    <w:p w:rsidR="00C9115F" w:rsidRDefault="00C9115F" w:rsidP="00C9115F">
      <w:pPr>
        <w:pStyle w:val="NumberedListContinuing"/>
      </w:pPr>
      <w:r>
        <w:t>Unemployed (and not studying)</w:t>
      </w:r>
    </w:p>
    <w:p w:rsidR="00C9115F" w:rsidRDefault="00C9115F" w:rsidP="00C9115F">
      <w:pPr>
        <w:pStyle w:val="NumberedListContinuing"/>
      </w:pPr>
      <w:r>
        <w:t>Not in the labour force (and not studying)</w:t>
      </w:r>
      <w:r w:rsidR="003B30A5">
        <w:t>.</w:t>
      </w:r>
    </w:p>
    <w:p w:rsidR="00C9115F" w:rsidRDefault="00C9115F" w:rsidP="00C9115F">
      <w:pPr>
        <w:pStyle w:val="Text"/>
      </w:pPr>
      <w:r>
        <w:t xml:space="preserve">These states are assigned to each individual, in each year, based on their student status, labour force status, and occupational status in each wave of the HILDA </w:t>
      </w:r>
      <w:r w:rsidR="004C5B53">
        <w:t>S</w:t>
      </w:r>
      <w:r>
        <w:t>urvey.</w:t>
      </w:r>
    </w:p>
    <w:p w:rsidR="00C9115F" w:rsidRDefault="00C9115F" w:rsidP="00C9115F">
      <w:pPr>
        <w:pStyle w:val="Text"/>
      </w:pPr>
      <w:r>
        <w:t>The research used d</w:t>
      </w:r>
      <w:r w:rsidR="00976007">
        <w:t>ata from W</w:t>
      </w:r>
      <w:r w:rsidR="003B30A5">
        <w:t>aves 1 to 9 (2001—</w:t>
      </w:r>
      <w:r>
        <w:t xml:space="preserve">09) from the Household, Income and Labour Dynamics in </w:t>
      </w:r>
      <w:r w:rsidR="003B30A5">
        <w:t>Australia (HILDA) S</w:t>
      </w:r>
      <w:r>
        <w:t>urvey</w:t>
      </w:r>
      <w:r w:rsidR="000B030C">
        <w:t>.</w:t>
      </w:r>
      <w:r w:rsidR="003B30A5">
        <w:t xml:space="preserve"> The HILDA S</w:t>
      </w:r>
      <w:r>
        <w:t>urvey is an Australian panel study which collects information about economic and subjective w</w:t>
      </w:r>
      <w:r w:rsidR="003B30A5">
        <w:t>ellbeing and</w:t>
      </w:r>
      <w:r>
        <w:t xml:space="preserve"> labour market and family dynamics. The s</w:t>
      </w:r>
      <w:r w:rsidR="003B30A5">
        <w:t xml:space="preserve">urvey commenced in 2001 with 19 </w:t>
      </w:r>
      <w:r>
        <w:t>914 individuals and 7682 households.</w:t>
      </w:r>
    </w:p>
    <w:p w:rsidR="00C9115F" w:rsidRDefault="00C9115F" w:rsidP="00C9115F">
      <w:pPr>
        <w:pStyle w:val="Text"/>
      </w:pPr>
      <w:r>
        <w:t>The key variables used were related to education</w:t>
      </w:r>
      <w:r w:rsidR="004C5B53">
        <w:t>al participation and attainment</w:t>
      </w:r>
      <w:r>
        <w:t xml:space="preserve"> and occupational and industrial classification. The relevant classifications of these variables are provided by the Australian Standard Classification of Education (ASCED), Australian and New Zealand Standard Classification of Occupations (ANZSCO) and Australian and New Zealand Standard Industrial Classification (ANZSIC). </w:t>
      </w:r>
    </w:p>
    <w:p w:rsidR="00C9115F" w:rsidRDefault="00C9115F" w:rsidP="00C9115F">
      <w:pPr>
        <w:pStyle w:val="Text"/>
      </w:pPr>
      <w:r>
        <w:t xml:space="preserve">The OMA methodology requires complete sequences of work/study histories (Halpin </w:t>
      </w:r>
      <w:r w:rsidR="00976007">
        <w:t xml:space="preserve">&amp; Chan 1998). Of the 11 </w:t>
      </w:r>
      <w:r>
        <w:t xml:space="preserve">260 in-scope individuals in Wave 1 (less than 65 years old and of working age), a total of 5234 (44%) were excluded due to attrition or incomplete sequences. This produced a sample of 6726 valid sequences for analysis. </w:t>
      </w:r>
      <w:r w:rsidRPr="00E228B3">
        <w:t xml:space="preserve">Studies in this area typically </w:t>
      </w:r>
      <w:r w:rsidR="00E228B3">
        <w:t>use samples of</w:t>
      </w:r>
      <w:r w:rsidRPr="00E228B3">
        <w:t xml:space="preserve"> only dozens, or hundreds of observations.</w:t>
      </w:r>
      <w:r>
        <w:t xml:space="preserve"> On</w:t>
      </w:r>
      <w:r w:rsidR="00976007">
        <w:t>e of the largest (Brzyinsky-Fay</w:t>
      </w:r>
      <w:r>
        <w:t xml:space="preserve"> 2007) analysed 3089 individuals across </w:t>
      </w:r>
      <w:r w:rsidR="00976007">
        <w:t>ten</w:t>
      </w:r>
      <w:r>
        <w:t xml:space="preserve"> European countries. </w:t>
      </w:r>
      <w:r w:rsidR="00FF70D4">
        <w:t>Because</w:t>
      </w:r>
      <w:r>
        <w:t xml:space="preserve"> our focus is exclusively o</w:t>
      </w:r>
      <w:r w:rsidR="00976007">
        <w:t>n sequences of categorical data</w:t>
      </w:r>
      <w:r>
        <w:t xml:space="preserve"> and the methodology does not involve the use of inferential statistics, we have used unweighted, unimputed data. This is strongly in accord with existing studies using OMA (Abbott </w:t>
      </w:r>
      <w:r w:rsidR="00976007">
        <w:t>&amp; Hrycak</w:t>
      </w:r>
      <w:r>
        <w:t xml:space="preserve"> 1990; Halpin </w:t>
      </w:r>
      <w:r w:rsidR="00976007">
        <w:t>&amp; Chan 1998; Pollock, Antcliff &amp; Ralphs</w:t>
      </w:r>
      <w:r>
        <w:t xml:space="preserve"> 2002; Scherer</w:t>
      </w:r>
      <w:r w:rsidR="00976007">
        <w:t xml:space="preserve"> </w:t>
      </w:r>
      <w:r>
        <w:t>1999).</w:t>
      </w:r>
    </w:p>
    <w:p w:rsidR="00C9115F" w:rsidRDefault="00C9115F" w:rsidP="00C9115F">
      <w:pPr>
        <w:pStyle w:val="Heading1"/>
      </w:pPr>
      <w:r>
        <w:br w:type="page"/>
      </w:r>
      <w:bookmarkStart w:id="80" w:name="_Toc194643915"/>
      <w:bookmarkStart w:id="81" w:name="_Toc335752943"/>
      <w:r>
        <w:lastRenderedPageBreak/>
        <w:t>Appendix B</w:t>
      </w:r>
      <w:bookmarkEnd w:id="80"/>
      <w:bookmarkEnd w:id="81"/>
    </w:p>
    <w:p w:rsidR="00FF70D4" w:rsidRPr="00FF70D4" w:rsidRDefault="00FF70D4" w:rsidP="00FF70D4">
      <w:pPr>
        <w:pStyle w:val="Heading2"/>
      </w:pPr>
      <w:r>
        <w:t>Vocational cluster trajectories</w:t>
      </w:r>
    </w:p>
    <w:p w:rsidR="00C9115F" w:rsidRDefault="00C9115F" w:rsidP="00E221D9">
      <w:pPr>
        <w:pStyle w:val="Figuretitle"/>
        <w:spacing w:before="240"/>
        <w:ind w:left="992" w:hanging="992"/>
      </w:pPr>
      <w:bookmarkStart w:id="82" w:name="_Toc335753103"/>
      <w:r>
        <w:t>Figure B1</w:t>
      </w:r>
      <w:r>
        <w:tab/>
      </w:r>
      <w:r w:rsidRPr="00B61072">
        <w:t xml:space="preserve">Sequence plots, </w:t>
      </w:r>
      <w:r w:rsidR="0082555F">
        <w:t>high-skill</w:t>
      </w:r>
      <w:r w:rsidRPr="00B61072">
        <w:t xml:space="preserve"> trajectories</w:t>
      </w:r>
      <w:bookmarkEnd w:id="82"/>
    </w:p>
    <w:p w:rsidR="00C9115F" w:rsidRDefault="00C9115F" w:rsidP="008775AD">
      <w:pPr>
        <w:pStyle w:val="Tablehead1"/>
        <w:spacing w:before="160" w:after="0"/>
      </w:pPr>
      <w:r>
        <w:tab/>
      </w:r>
      <w:r>
        <w:tab/>
      </w:r>
      <w:r>
        <w:tab/>
      </w:r>
      <w:r>
        <w:tab/>
      </w:r>
      <w:r>
        <w:tab/>
      </w:r>
      <w:r>
        <w:tab/>
        <w:t xml:space="preserve">Cluster </w:t>
      </w:r>
      <w:r w:rsidR="005137F7">
        <w:t>1</w:t>
      </w:r>
      <w:r>
        <w:t xml:space="preserve">: </w:t>
      </w:r>
      <w:r w:rsidR="005137F7">
        <w:t>Professionals</w:t>
      </w:r>
    </w:p>
    <w:p w:rsidR="00C9115F" w:rsidRDefault="007C368E" w:rsidP="00C9115F">
      <w:pPr>
        <w:pStyle w:val="Text"/>
        <w:spacing w:line="240" w:lineRule="auto"/>
        <w:ind w:right="0"/>
      </w:pPr>
      <w:r>
        <w:rPr>
          <w:noProof/>
          <w:lang w:eastAsia="en-AU"/>
        </w:rPr>
        <w:drawing>
          <wp:inline distT="0" distB="0" distL="0" distR="0">
            <wp:extent cx="1869440" cy="22860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1869440" cy="2286000"/>
                    </a:xfrm>
                    <a:prstGeom prst="rect">
                      <a:avLst/>
                    </a:prstGeom>
                    <a:noFill/>
                    <a:ln w="9525">
                      <a:noFill/>
                      <a:miter lim="800000"/>
                      <a:headEnd/>
                      <a:tailEnd/>
                    </a:ln>
                  </pic:spPr>
                </pic:pic>
              </a:graphicData>
            </a:graphic>
          </wp:inline>
        </w:drawing>
      </w:r>
      <w:r w:rsidR="00C9115F">
        <w:tab/>
      </w:r>
      <w:r w:rsidR="00C9115F">
        <w:tab/>
      </w:r>
      <w:r w:rsidR="005137F7">
        <w:rPr>
          <w:noProof/>
          <w:lang w:eastAsia="en-AU"/>
        </w:rPr>
        <w:drawing>
          <wp:inline distT="0" distB="0" distL="0" distR="0">
            <wp:extent cx="1808480" cy="2286000"/>
            <wp:effectExtent l="19050" t="0" r="127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1808480" cy="2286000"/>
                    </a:xfrm>
                    <a:prstGeom prst="rect">
                      <a:avLst/>
                    </a:prstGeom>
                    <a:noFill/>
                    <a:ln w="9525">
                      <a:noFill/>
                      <a:miter lim="800000"/>
                      <a:headEnd/>
                      <a:tailEnd/>
                    </a:ln>
                  </pic:spPr>
                </pic:pic>
              </a:graphicData>
            </a:graphic>
          </wp:inline>
        </w:drawing>
      </w:r>
    </w:p>
    <w:p w:rsidR="00C9115F" w:rsidRDefault="00AD203F" w:rsidP="008775AD">
      <w:pPr>
        <w:pStyle w:val="Tablehead1"/>
        <w:spacing w:before="160" w:after="0"/>
      </w:pPr>
      <w:r>
        <w:t xml:space="preserve">Cluster </w:t>
      </w:r>
      <w:r w:rsidR="005137F7">
        <w:t>4</w:t>
      </w:r>
      <w:r w:rsidR="00C9115F">
        <w:t xml:space="preserve">: </w:t>
      </w:r>
      <w:r w:rsidR="005137F7">
        <w:t>Trades workers</w:t>
      </w:r>
      <w:r w:rsidR="00C9115F">
        <w:tab/>
      </w:r>
      <w:r w:rsidR="00C9115F">
        <w:tab/>
      </w:r>
      <w:r w:rsidR="00C9115F">
        <w:tab/>
      </w:r>
      <w:r w:rsidR="00C9115F">
        <w:tab/>
        <w:t xml:space="preserve">Cluster </w:t>
      </w:r>
      <w:r w:rsidR="005137F7">
        <w:t>6</w:t>
      </w:r>
      <w:r w:rsidR="00C9115F">
        <w:t xml:space="preserve">: </w:t>
      </w:r>
      <w:r w:rsidR="00FE2B65">
        <w:t>Higher education graduates</w:t>
      </w:r>
    </w:p>
    <w:p w:rsidR="00C9115F" w:rsidRDefault="005137F7" w:rsidP="00C9115F">
      <w:pPr>
        <w:pStyle w:val="Text"/>
        <w:spacing w:line="240" w:lineRule="auto"/>
        <w:ind w:right="0"/>
      </w:pPr>
      <w:r>
        <w:rPr>
          <w:noProof/>
          <w:lang w:eastAsia="en-AU"/>
        </w:rPr>
        <w:drawing>
          <wp:inline distT="0" distB="0" distL="0" distR="0">
            <wp:extent cx="1876425" cy="2286000"/>
            <wp:effectExtent l="19050" t="0" r="9525"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1876425" cy="2286000"/>
                    </a:xfrm>
                    <a:prstGeom prst="rect">
                      <a:avLst/>
                    </a:prstGeom>
                    <a:noFill/>
                    <a:ln w="9525">
                      <a:noFill/>
                      <a:miter lim="800000"/>
                      <a:headEnd/>
                      <a:tailEnd/>
                    </a:ln>
                  </pic:spPr>
                </pic:pic>
              </a:graphicData>
            </a:graphic>
          </wp:inline>
        </w:drawing>
      </w:r>
      <w:r w:rsidR="00C9115F">
        <w:tab/>
      </w:r>
      <w:r w:rsidR="00C9115F">
        <w:tab/>
      </w:r>
      <w:r>
        <w:rPr>
          <w:noProof/>
          <w:lang w:eastAsia="en-AU"/>
        </w:rPr>
        <w:drawing>
          <wp:inline distT="0" distB="0" distL="0" distR="0">
            <wp:extent cx="1849120" cy="2286000"/>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1849120" cy="2286000"/>
                    </a:xfrm>
                    <a:prstGeom prst="rect">
                      <a:avLst/>
                    </a:prstGeom>
                    <a:noFill/>
                    <a:ln w="9525">
                      <a:noFill/>
                      <a:miter lim="800000"/>
                      <a:headEnd/>
                      <a:tailEnd/>
                    </a:ln>
                  </pic:spPr>
                </pic:pic>
              </a:graphicData>
            </a:graphic>
          </wp:inline>
        </w:drawing>
      </w:r>
    </w:p>
    <w:p w:rsidR="00C9115F" w:rsidRDefault="00C9115F" w:rsidP="008775AD">
      <w:pPr>
        <w:pStyle w:val="Tablehead1"/>
        <w:spacing w:before="160" w:after="0"/>
      </w:pPr>
      <w:r>
        <w:t xml:space="preserve">Cluster </w:t>
      </w:r>
      <w:r w:rsidR="00FE2B65">
        <w:t>9</w:t>
      </w:r>
      <w:r>
        <w:t xml:space="preserve">: </w:t>
      </w:r>
      <w:r w:rsidR="00FE2B65">
        <w:t>Managers</w:t>
      </w:r>
    </w:p>
    <w:p w:rsidR="007A276E" w:rsidRPr="00E221D9" w:rsidRDefault="005137F7" w:rsidP="00E221D9">
      <w:pPr>
        <w:pStyle w:val="Text"/>
        <w:spacing w:line="240" w:lineRule="auto"/>
        <w:ind w:right="0"/>
      </w:pPr>
      <w:r>
        <w:rPr>
          <w:noProof/>
          <w:lang w:eastAsia="en-AU"/>
        </w:rPr>
        <w:drawing>
          <wp:inline distT="0" distB="0" distL="0" distR="0">
            <wp:extent cx="1869440" cy="2286000"/>
            <wp:effectExtent l="1905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1869440" cy="2286000"/>
                    </a:xfrm>
                    <a:prstGeom prst="rect">
                      <a:avLst/>
                    </a:prstGeom>
                    <a:noFill/>
                    <a:ln w="9525">
                      <a:noFill/>
                      <a:miter lim="800000"/>
                      <a:headEnd/>
                      <a:tailEnd/>
                    </a:ln>
                  </pic:spPr>
                </pic:pic>
              </a:graphicData>
            </a:graphic>
          </wp:inline>
        </w:drawing>
      </w:r>
      <w:bookmarkStart w:id="83" w:name="_Toc319328754"/>
      <w:bookmarkStart w:id="84" w:name="_Toc319936374"/>
      <w:bookmarkStart w:id="85" w:name="_Toc319936659"/>
      <w:r w:rsidR="007A276E">
        <w:br w:type="page"/>
      </w:r>
    </w:p>
    <w:p w:rsidR="00C9115F" w:rsidRPr="00D742CE" w:rsidRDefault="00C9115F" w:rsidP="008775AD">
      <w:pPr>
        <w:pStyle w:val="Figuretitle"/>
        <w:ind w:left="993" w:hanging="993"/>
      </w:pPr>
      <w:bookmarkStart w:id="86" w:name="_Toc335753104"/>
      <w:r w:rsidRPr="00D742CE">
        <w:lastRenderedPageBreak/>
        <w:t xml:space="preserve">Figure </w:t>
      </w:r>
      <w:r>
        <w:t>B2</w:t>
      </w:r>
      <w:r>
        <w:tab/>
      </w:r>
      <w:r w:rsidRPr="00D742CE">
        <w:t xml:space="preserve">Sequence plots, </w:t>
      </w:r>
      <w:r w:rsidR="0082555F">
        <w:t>low-skill</w:t>
      </w:r>
      <w:r w:rsidRPr="00D742CE">
        <w:t xml:space="preserve"> trajectories</w:t>
      </w:r>
      <w:bookmarkEnd w:id="83"/>
      <w:bookmarkEnd w:id="84"/>
      <w:bookmarkEnd w:id="85"/>
      <w:bookmarkEnd w:id="86"/>
    </w:p>
    <w:p w:rsidR="00C9115F" w:rsidRPr="00FC1C49" w:rsidRDefault="00850C3E" w:rsidP="00850C3E">
      <w:pPr>
        <w:pStyle w:val="Tablehead1"/>
        <w:spacing w:before="160" w:after="120"/>
        <w:rPr>
          <w:i/>
        </w:rPr>
      </w:pPr>
      <w:r>
        <w:tab/>
      </w:r>
      <w:r>
        <w:tab/>
      </w:r>
      <w:r>
        <w:tab/>
      </w:r>
      <w:r>
        <w:tab/>
      </w:r>
      <w:r>
        <w:tab/>
      </w:r>
      <w:r>
        <w:tab/>
      </w:r>
      <w:r w:rsidR="00C9115F" w:rsidRPr="00AD203F">
        <w:t>Cluster 2:</w:t>
      </w:r>
      <w:r w:rsidR="00C9115F" w:rsidRPr="00A86E9F">
        <w:t xml:space="preserve"> </w:t>
      </w:r>
      <w:r>
        <w:t>Labourers</w:t>
      </w:r>
    </w:p>
    <w:p w:rsidR="00E221D9" w:rsidRDefault="00E221D9" w:rsidP="00C9115F">
      <w:pPr>
        <w:spacing w:before="0" w:line="240" w:lineRule="auto"/>
        <w:rPr>
          <w:rFonts w:ascii="Garamond" w:hAnsi="Garamond"/>
          <w:sz w:val="22"/>
        </w:rPr>
      </w:pPr>
      <w:r>
        <w:rPr>
          <w:rFonts w:ascii="Garamond" w:hAnsi="Garamond"/>
          <w:noProof/>
          <w:sz w:val="22"/>
          <w:lang w:eastAsia="en-AU"/>
        </w:rPr>
        <w:drawing>
          <wp:inline distT="0" distB="0" distL="0" distR="0">
            <wp:extent cx="1876425" cy="2286000"/>
            <wp:effectExtent l="19050" t="0" r="9525"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1876425" cy="2286000"/>
                    </a:xfrm>
                    <a:prstGeom prst="rect">
                      <a:avLst/>
                    </a:prstGeom>
                    <a:noFill/>
                    <a:ln w="9525">
                      <a:noFill/>
                      <a:miter lim="800000"/>
                      <a:headEnd/>
                      <a:tailEnd/>
                    </a:ln>
                  </pic:spPr>
                </pic:pic>
              </a:graphicData>
            </a:graphic>
          </wp:inline>
        </w:drawing>
      </w:r>
      <w:r w:rsidR="00C9115F">
        <w:rPr>
          <w:rFonts w:ascii="Garamond" w:hAnsi="Garamond"/>
          <w:sz w:val="22"/>
        </w:rPr>
        <w:tab/>
      </w:r>
      <w:r w:rsidR="00C9115F">
        <w:rPr>
          <w:rFonts w:ascii="Garamond" w:hAnsi="Garamond"/>
          <w:sz w:val="22"/>
        </w:rPr>
        <w:tab/>
      </w:r>
      <w:r>
        <w:rPr>
          <w:rFonts w:ascii="Garamond" w:hAnsi="Garamond"/>
          <w:noProof/>
          <w:sz w:val="22"/>
          <w:lang w:eastAsia="en-AU"/>
        </w:rPr>
        <w:drawing>
          <wp:inline distT="0" distB="0" distL="0" distR="0">
            <wp:extent cx="1863090" cy="2286000"/>
            <wp:effectExtent l="19050" t="0" r="381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1863090" cy="2286000"/>
                    </a:xfrm>
                    <a:prstGeom prst="rect">
                      <a:avLst/>
                    </a:prstGeom>
                    <a:noFill/>
                    <a:ln w="9525">
                      <a:noFill/>
                      <a:miter lim="800000"/>
                      <a:headEnd/>
                      <a:tailEnd/>
                    </a:ln>
                  </pic:spPr>
                </pic:pic>
              </a:graphicData>
            </a:graphic>
          </wp:inline>
        </w:drawing>
      </w:r>
    </w:p>
    <w:p w:rsidR="00E221D9" w:rsidRDefault="00E221D9" w:rsidP="00850C3E">
      <w:pPr>
        <w:pStyle w:val="Tablehead1"/>
        <w:spacing w:before="240" w:after="120"/>
        <w:rPr>
          <w:i/>
        </w:rPr>
      </w:pPr>
      <w:r w:rsidRPr="00A86E9F">
        <w:t>Cluster 3: Machinery</w:t>
      </w:r>
      <w:r w:rsidRPr="00AD203F">
        <w:t xml:space="preserve"> operators</w:t>
      </w:r>
      <w:r>
        <w:tab/>
      </w:r>
      <w:r>
        <w:tab/>
      </w:r>
      <w:r>
        <w:tab/>
      </w:r>
      <w:r w:rsidRPr="00A86E9F">
        <w:t xml:space="preserve">Cluster </w:t>
      </w:r>
      <w:r w:rsidR="00850C3E">
        <w:t>5</w:t>
      </w:r>
      <w:r w:rsidRPr="00A86E9F">
        <w:t xml:space="preserve">: </w:t>
      </w:r>
      <w:r w:rsidR="00850C3E">
        <w:t>Clerical workers</w:t>
      </w:r>
      <w:r w:rsidRPr="00B506E8">
        <w:rPr>
          <w:i/>
        </w:rPr>
        <w:t xml:space="preserve"> </w:t>
      </w:r>
    </w:p>
    <w:p w:rsidR="00C9115F" w:rsidRDefault="00850C3E" w:rsidP="00850C3E">
      <w:pPr>
        <w:pStyle w:val="Tablehead1"/>
        <w:rPr>
          <w:rFonts w:ascii="Garamond" w:hAnsi="Garamond"/>
          <w:sz w:val="22"/>
        </w:rPr>
      </w:pPr>
      <w:r>
        <w:rPr>
          <w:rFonts w:ascii="Garamond" w:hAnsi="Garamond"/>
          <w:noProof/>
          <w:sz w:val="22"/>
          <w:lang w:eastAsia="en-AU"/>
        </w:rPr>
        <w:drawing>
          <wp:inline distT="0" distB="0" distL="0" distR="0">
            <wp:extent cx="1835785" cy="2286000"/>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1835785" cy="2286000"/>
                    </a:xfrm>
                    <a:prstGeom prst="rect">
                      <a:avLst/>
                    </a:prstGeom>
                    <a:noFill/>
                    <a:ln w="9525">
                      <a:noFill/>
                      <a:miter lim="800000"/>
                      <a:headEnd/>
                      <a:tailEnd/>
                    </a:ln>
                  </pic:spPr>
                </pic:pic>
              </a:graphicData>
            </a:graphic>
          </wp:inline>
        </w:drawing>
      </w:r>
      <w:r>
        <w:tab/>
      </w:r>
      <w:r>
        <w:tab/>
      </w:r>
      <w:r>
        <w:rPr>
          <w:rFonts w:ascii="Garamond" w:hAnsi="Garamond"/>
          <w:noProof/>
          <w:sz w:val="22"/>
          <w:lang w:eastAsia="en-AU"/>
        </w:rPr>
        <w:drawing>
          <wp:inline distT="0" distB="0" distL="0" distR="0">
            <wp:extent cx="1883410" cy="2286000"/>
            <wp:effectExtent l="19050" t="0" r="254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1883410" cy="2286000"/>
                    </a:xfrm>
                    <a:prstGeom prst="rect">
                      <a:avLst/>
                    </a:prstGeom>
                    <a:noFill/>
                    <a:ln w="9525">
                      <a:noFill/>
                      <a:miter lim="800000"/>
                      <a:headEnd/>
                      <a:tailEnd/>
                    </a:ln>
                  </pic:spPr>
                </pic:pic>
              </a:graphicData>
            </a:graphic>
          </wp:inline>
        </w:drawing>
      </w:r>
      <w:r w:rsidR="00E221D9">
        <w:t xml:space="preserve"> </w:t>
      </w:r>
    </w:p>
    <w:p w:rsidR="00C9115F" w:rsidRDefault="00C9115F" w:rsidP="00850C3E">
      <w:pPr>
        <w:pStyle w:val="Tablehead1"/>
        <w:tabs>
          <w:tab w:val="left" w:pos="720"/>
          <w:tab w:val="left" w:pos="1440"/>
          <w:tab w:val="left" w:pos="2160"/>
          <w:tab w:val="left" w:pos="2880"/>
          <w:tab w:val="left" w:pos="3600"/>
        </w:tabs>
        <w:spacing w:before="240" w:after="120"/>
        <w:rPr>
          <w:rFonts w:ascii="Garamond" w:hAnsi="Garamond"/>
          <w:sz w:val="22"/>
        </w:rPr>
      </w:pPr>
      <w:r>
        <w:t xml:space="preserve">Cluster 7: Sales workers </w:t>
      </w:r>
      <w:r w:rsidR="00850C3E">
        <w:tab/>
      </w:r>
      <w:r w:rsidR="00850C3E">
        <w:tab/>
      </w:r>
      <w:r w:rsidR="00850C3E">
        <w:tab/>
      </w:r>
      <w:r w:rsidR="00850C3E">
        <w:tab/>
        <w:t>Cluster 8: Community service workers</w:t>
      </w:r>
    </w:p>
    <w:p w:rsidR="00C9115F" w:rsidRDefault="00E221D9" w:rsidP="00C9115F">
      <w:pPr>
        <w:spacing w:before="0" w:line="240" w:lineRule="auto"/>
        <w:rPr>
          <w:rFonts w:ascii="Garamond" w:hAnsi="Garamond"/>
          <w:sz w:val="22"/>
        </w:rPr>
      </w:pPr>
      <w:r>
        <w:rPr>
          <w:rFonts w:ascii="Garamond" w:hAnsi="Garamond"/>
          <w:noProof/>
          <w:sz w:val="22"/>
          <w:lang w:eastAsia="en-AU"/>
        </w:rPr>
        <w:drawing>
          <wp:inline distT="0" distB="0" distL="0" distR="0">
            <wp:extent cx="1835785" cy="2286000"/>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835785" cy="2286000"/>
                    </a:xfrm>
                    <a:prstGeom prst="rect">
                      <a:avLst/>
                    </a:prstGeom>
                    <a:noFill/>
                    <a:ln w="9525">
                      <a:noFill/>
                      <a:miter lim="800000"/>
                      <a:headEnd/>
                      <a:tailEnd/>
                    </a:ln>
                  </pic:spPr>
                </pic:pic>
              </a:graphicData>
            </a:graphic>
          </wp:inline>
        </w:drawing>
      </w:r>
      <w:r w:rsidR="00C9115F">
        <w:rPr>
          <w:rFonts w:ascii="Garamond" w:hAnsi="Garamond"/>
          <w:sz w:val="22"/>
        </w:rPr>
        <w:tab/>
      </w:r>
      <w:r w:rsidR="00C9115F">
        <w:rPr>
          <w:rFonts w:ascii="Garamond" w:hAnsi="Garamond"/>
          <w:sz w:val="22"/>
        </w:rPr>
        <w:tab/>
      </w:r>
      <w:r>
        <w:rPr>
          <w:rFonts w:ascii="Garamond" w:hAnsi="Garamond"/>
          <w:noProof/>
          <w:sz w:val="22"/>
          <w:lang w:eastAsia="en-AU"/>
        </w:rPr>
        <w:drawing>
          <wp:inline distT="0" distB="0" distL="0" distR="0">
            <wp:extent cx="1842135" cy="2286000"/>
            <wp:effectExtent l="19050" t="0" r="5715" b="0"/>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1842135" cy="2286000"/>
                    </a:xfrm>
                    <a:prstGeom prst="rect">
                      <a:avLst/>
                    </a:prstGeom>
                    <a:noFill/>
                    <a:ln w="9525">
                      <a:noFill/>
                      <a:miter lim="800000"/>
                      <a:headEnd/>
                      <a:tailEnd/>
                    </a:ln>
                  </pic:spPr>
                </pic:pic>
              </a:graphicData>
            </a:graphic>
          </wp:inline>
        </w:drawing>
      </w:r>
    </w:p>
    <w:p w:rsidR="00C9115F" w:rsidRDefault="00C9115F" w:rsidP="00C9115F">
      <w:pPr>
        <w:spacing w:before="0"/>
        <w:rPr>
          <w:rFonts w:ascii="Arial" w:hAnsi="Arial"/>
          <w:i/>
          <w:sz w:val="17"/>
        </w:rPr>
      </w:pPr>
    </w:p>
    <w:p w:rsidR="00C9115F" w:rsidRDefault="00C9115F" w:rsidP="00C9115F">
      <w:pPr>
        <w:rPr>
          <w:rFonts w:ascii="Garamond" w:hAnsi="Garamond"/>
          <w:sz w:val="22"/>
        </w:rPr>
      </w:pPr>
    </w:p>
    <w:p w:rsidR="007A276E" w:rsidRDefault="007A276E">
      <w:pPr>
        <w:spacing w:before="0" w:line="240" w:lineRule="auto"/>
        <w:rPr>
          <w:rFonts w:ascii="Garamond" w:hAnsi="Garamond"/>
          <w:sz w:val="22"/>
        </w:rPr>
      </w:pPr>
      <w:r>
        <w:rPr>
          <w:rFonts w:ascii="Garamond" w:hAnsi="Garamond"/>
          <w:sz w:val="22"/>
        </w:rPr>
        <w:br w:type="page"/>
      </w:r>
    </w:p>
    <w:p w:rsidR="00C9115F" w:rsidRPr="00D742CE" w:rsidRDefault="00C9115F" w:rsidP="008775AD">
      <w:pPr>
        <w:pStyle w:val="Figuretitle"/>
        <w:ind w:left="993" w:hanging="993"/>
      </w:pPr>
      <w:bookmarkStart w:id="87" w:name="_Toc319328755"/>
      <w:bookmarkStart w:id="88" w:name="_Toc319936375"/>
      <w:bookmarkStart w:id="89" w:name="_Toc319936660"/>
      <w:bookmarkStart w:id="90" w:name="_Toc335753105"/>
      <w:r w:rsidRPr="00D742CE">
        <w:lastRenderedPageBreak/>
        <w:t xml:space="preserve">Figure </w:t>
      </w:r>
      <w:r>
        <w:t>B3</w:t>
      </w:r>
      <w:r>
        <w:tab/>
        <w:t xml:space="preserve">Sequence plot, </w:t>
      </w:r>
      <w:r w:rsidRPr="00D742CE">
        <w:t>pathways</w:t>
      </w:r>
      <w:r>
        <w:t xml:space="preserve"> of marginal attachment</w:t>
      </w:r>
      <w:bookmarkEnd w:id="87"/>
      <w:bookmarkEnd w:id="88"/>
      <w:bookmarkEnd w:id="89"/>
      <w:bookmarkEnd w:id="90"/>
    </w:p>
    <w:p w:rsidR="00850C3E" w:rsidRDefault="00850C3E" w:rsidP="008775AD">
      <w:pPr>
        <w:pStyle w:val="Tablehead1"/>
        <w:spacing w:before="160" w:after="0"/>
      </w:pPr>
      <w:r>
        <w:tab/>
      </w:r>
      <w:r>
        <w:tab/>
      </w:r>
      <w:r>
        <w:tab/>
      </w:r>
      <w:r>
        <w:tab/>
      </w:r>
      <w:r>
        <w:tab/>
      </w:r>
      <w:r>
        <w:tab/>
      </w:r>
      <w:r w:rsidR="00C9115F">
        <w:t xml:space="preserve">Cluster 10: Not in the labour force </w:t>
      </w:r>
    </w:p>
    <w:p w:rsidR="00C9115F" w:rsidRDefault="00850C3E" w:rsidP="00850C3E">
      <w:pPr>
        <w:pStyle w:val="Tablehead1"/>
        <w:spacing w:before="160" w:after="0"/>
        <w:rPr>
          <w:rFonts w:ascii="Garamond" w:hAnsi="Garamond"/>
          <w:sz w:val="22"/>
        </w:rPr>
      </w:pPr>
      <w:r w:rsidRPr="00850C3E">
        <w:rPr>
          <w:noProof/>
          <w:lang w:eastAsia="en-AU"/>
        </w:rPr>
        <w:drawing>
          <wp:inline distT="0" distB="0" distL="0" distR="0">
            <wp:extent cx="2182240" cy="2664000"/>
            <wp:effectExtent l="19050" t="0" r="851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182240" cy="2664000"/>
                    </a:xfrm>
                    <a:prstGeom prst="rect">
                      <a:avLst/>
                    </a:prstGeom>
                    <a:noFill/>
                    <a:ln w="9525">
                      <a:noFill/>
                      <a:miter lim="800000"/>
                      <a:headEnd/>
                      <a:tailEnd/>
                    </a:ln>
                  </pic:spPr>
                </pic:pic>
              </a:graphicData>
            </a:graphic>
          </wp:inline>
        </w:drawing>
      </w:r>
      <w:r>
        <w:rPr>
          <w:rFonts w:ascii="Garamond" w:hAnsi="Garamond"/>
          <w:sz w:val="22"/>
        </w:rPr>
        <w:tab/>
      </w:r>
      <w:r>
        <w:rPr>
          <w:rFonts w:ascii="Garamond" w:hAnsi="Garamond"/>
          <w:sz w:val="22"/>
        </w:rPr>
        <w:tab/>
      </w:r>
      <w:r w:rsidRPr="00850C3E">
        <w:rPr>
          <w:rFonts w:ascii="Garamond" w:hAnsi="Garamond"/>
          <w:noProof/>
          <w:sz w:val="22"/>
          <w:lang w:eastAsia="en-AU"/>
        </w:rPr>
        <w:drawing>
          <wp:inline distT="0" distB="0" distL="0" distR="0">
            <wp:extent cx="2087880" cy="2654300"/>
            <wp:effectExtent l="19050" t="0" r="762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2087880" cy="2654300"/>
                    </a:xfrm>
                    <a:prstGeom prst="rect">
                      <a:avLst/>
                    </a:prstGeom>
                    <a:noFill/>
                    <a:ln w="9525">
                      <a:noFill/>
                      <a:miter lim="800000"/>
                      <a:headEnd/>
                      <a:tailEnd/>
                    </a:ln>
                  </pic:spPr>
                </pic:pic>
              </a:graphicData>
            </a:graphic>
          </wp:inline>
        </w:drawing>
      </w:r>
    </w:p>
    <w:p w:rsidR="00C9115F" w:rsidRDefault="00C9115F" w:rsidP="008775AD">
      <w:pPr>
        <w:pStyle w:val="Textmorebefore"/>
        <w:ind w:right="141"/>
      </w:pPr>
      <w:r>
        <w:t>Here e</w:t>
      </w:r>
      <w:r w:rsidRPr="00443C48">
        <w:t>ach horizontal line represents t</w:t>
      </w:r>
      <w:r>
        <w:t>he traje</w:t>
      </w:r>
      <w:r w:rsidR="00976007">
        <w:t>ctory of one individual, colour-</w:t>
      </w:r>
      <w:r>
        <w:t>coded to reflect different state</w:t>
      </w:r>
      <w:r w:rsidR="00976007">
        <w:t>s of study, labour force status</w:t>
      </w:r>
      <w:r>
        <w:t xml:space="preserve"> and occupation.</w:t>
      </w:r>
      <w:r w:rsidRPr="00443C48">
        <w:t xml:space="preserve"> We can see that</w:t>
      </w:r>
      <w:r w:rsidR="00011D01">
        <w:t>,</w:t>
      </w:r>
      <w:r w:rsidRPr="00443C48">
        <w:t xml:space="preserve"> for most of these clusters, the similarity in trajectories was characterised by long episodes in the original state, or occupational group.</w:t>
      </w:r>
    </w:p>
    <w:p w:rsidR="00C9115F" w:rsidRDefault="00C9115F" w:rsidP="00C9115F">
      <w:pPr>
        <w:pStyle w:val="Heading1"/>
      </w:pPr>
      <w:r>
        <w:br w:type="page"/>
      </w:r>
      <w:bookmarkStart w:id="91" w:name="_Toc194643916"/>
      <w:bookmarkStart w:id="92" w:name="_Toc335752944"/>
      <w:r>
        <w:lastRenderedPageBreak/>
        <w:t>Appendix C</w:t>
      </w:r>
      <w:bookmarkEnd w:id="91"/>
      <w:bookmarkEnd w:id="92"/>
    </w:p>
    <w:p w:rsidR="00BC28D3" w:rsidRDefault="00BC28D3" w:rsidP="00BC28D3">
      <w:pPr>
        <w:pStyle w:val="Heading2"/>
      </w:pPr>
      <w:bookmarkStart w:id="93" w:name="_Toc194650003"/>
      <w:bookmarkStart w:id="94" w:name="_Toc335752996"/>
      <w:r>
        <w:t>Additional descriptive tables</w:t>
      </w:r>
    </w:p>
    <w:p w:rsidR="00C9115F" w:rsidRDefault="00C9115F" w:rsidP="00C9115F">
      <w:pPr>
        <w:pStyle w:val="tabletitle"/>
      </w:pPr>
      <w:r>
        <w:t>Table C1</w:t>
      </w:r>
      <w:r>
        <w:tab/>
      </w:r>
      <w:r w:rsidRPr="00A86E9F">
        <w:t>Prevalence of unchanging states</w:t>
      </w:r>
      <w:bookmarkEnd w:id="93"/>
      <w:bookmarkEnd w:id="94"/>
    </w:p>
    <w:tbl>
      <w:tblPr>
        <w:tblW w:w="8789" w:type="dxa"/>
        <w:tblInd w:w="93" w:type="dxa"/>
        <w:tblLayout w:type="fixed"/>
        <w:tblLook w:val="04A0"/>
      </w:tblPr>
      <w:tblGrid>
        <w:gridCol w:w="5118"/>
        <w:gridCol w:w="1223"/>
        <w:gridCol w:w="1224"/>
        <w:gridCol w:w="1224"/>
      </w:tblGrid>
      <w:tr w:rsidR="00C9115F" w:rsidRPr="00F57BE7" w:rsidTr="000D4023">
        <w:trPr>
          <w:trHeight w:val="270"/>
        </w:trPr>
        <w:tc>
          <w:tcPr>
            <w:tcW w:w="5118" w:type="dxa"/>
            <w:tcBorders>
              <w:top w:val="single" w:sz="4" w:space="0" w:color="auto"/>
              <w:left w:val="nil"/>
              <w:bottom w:val="single" w:sz="8" w:space="0" w:color="auto"/>
              <w:right w:val="nil"/>
            </w:tcBorders>
            <w:shd w:val="clear" w:color="auto" w:fill="auto"/>
            <w:noWrap/>
          </w:tcPr>
          <w:p w:rsidR="00C9115F" w:rsidRPr="00AE3D11" w:rsidRDefault="00976007" w:rsidP="00084229">
            <w:pPr>
              <w:pStyle w:val="Tablehead1"/>
            </w:pPr>
            <w:r>
              <w:t>Sequence p</w:t>
            </w:r>
            <w:r w:rsidR="00C9115F" w:rsidRPr="00AE3D11">
              <w:t xml:space="preserve">attern </w:t>
            </w:r>
          </w:p>
        </w:tc>
        <w:tc>
          <w:tcPr>
            <w:tcW w:w="1223" w:type="dxa"/>
            <w:tcBorders>
              <w:top w:val="single" w:sz="4" w:space="0" w:color="auto"/>
              <w:left w:val="nil"/>
              <w:bottom w:val="single" w:sz="8" w:space="0" w:color="auto"/>
              <w:right w:val="nil"/>
            </w:tcBorders>
            <w:shd w:val="clear" w:color="auto" w:fill="auto"/>
            <w:noWrap/>
          </w:tcPr>
          <w:p w:rsidR="00C9115F" w:rsidRPr="00AE3D11" w:rsidRDefault="00C9115F" w:rsidP="000D4023">
            <w:pPr>
              <w:pStyle w:val="Tablehead1"/>
              <w:jc w:val="center"/>
            </w:pPr>
            <w:r w:rsidRPr="00AE3D11">
              <w:t>Frequency</w:t>
            </w:r>
          </w:p>
        </w:tc>
        <w:tc>
          <w:tcPr>
            <w:tcW w:w="1224" w:type="dxa"/>
            <w:tcBorders>
              <w:top w:val="single" w:sz="4" w:space="0" w:color="auto"/>
              <w:left w:val="nil"/>
              <w:bottom w:val="single" w:sz="8" w:space="0" w:color="auto"/>
              <w:right w:val="nil"/>
            </w:tcBorders>
            <w:shd w:val="clear" w:color="auto" w:fill="auto"/>
            <w:noWrap/>
          </w:tcPr>
          <w:p w:rsidR="00C9115F" w:rsidRPr="00AE3D11" w:rsidRDefault="00C9115F" w:rsidP="000D4023">
            <w:pPr>
              <w:pStyle w:val="Tablehead1"/>
              <w:jc w:val="center"/>
            </w:pPr>
            <w:r w:rsidRPr="00AE3D11">
              <w:t>Per</w:t>
            </w:r>
            <w:r w:rsidR="00976007">
              <w:t xml:space="preserve"> </w:t>
            </w:r>
            <w:r w:rsidRPr="00AE3D11">
              <w:t>cent</w:t>
            </w:r>
          </w:p>
        </w:tc>
        <w:tc>
          <w:tcPr>
            <w:tcW w:w="1224" w:type="dxa"/>
            <w:tcBorders>
              <w:top w:val="single" w:sz="4" w:space="0" w:color="auto"/>
              <w:left w:val="nil"/>
              <w:bottom w:val="single" w:sz="8" w:space="0" w:color="auto"/>
              <w:right w:val="nil"/>
            </w:tcBorders>
            <w:shd w:val="clear" w:color="auto" w:fill="auto"/>
            <w:noWrap/>
          </w:tcPr>
          <w:p w:rsidR="00C9115F" w:rsidRPr="00AE3D11" w:rsidRDefault="00C9115F" w:rsidP="000D4023">
            <w:pPr>
              <w:pStyle w:val="Tablehead1"/>
              <w:jc w:val="center"/>
            </w:pPr>
            <w:r w:rsidRPr="00AE3D11">
              <w:t>Cumulative</w:t>
            </w:r>
            <w:r w:rsidR="00976007">
              <w:t xml:space="preserve"> per cent</w:t>
            </w:r>
          </w:p>
        </w:tc>
      </w:tr>
      <w:tr w:rsidR="00C9115F" w:rsidRPr="00F57BE7" w:rsidTr="000D4023">
        <w:trPr>
          <w:trHeight w:val="255"/>
        </w:trPr>
        <w:tc>
          <w:tcPr>
            <w:tcW w:w="5118" w:type="dxa"/>
            <w:tcBorders>
              <w:top w:val="nil"/>
              <w:left w:val="nil"/>
              <w:bottom w:val="nil"/>
              <w:right w:val="nil"/>
            </w:tcBorders>
            <w:shd w:val="clear" w:color="auto" w:fill="auto"/>
            <w:noWrap/>
          </w:tcPr>
          <w:p w:rsidR="00C9115F" w:rsidRPr="00AE3D11" w:rsidRDefault="00C9115F" w:rsidP="000D4023">
            <w:pPr>
              <w:pStyle w:val="Tabletext"/>
            </w:pPr>
            <w:r w:rsidRPr="00AE3D11">
              <w:t>Not in the labo</w:t>
            </w:r>
            <w:r w:rsidR="00976007">
              <w:t>ur force (and not studying) –</w:t>
            </w:r>
            <w:r w:rsidRPr="00AE3D11">
              <w:t xml:space="preserve"> all 9 waves</w:t>
            </w:r>
          </w:p>
        </w:tc>
        <w:tc>
          <w:tcPr>
            <w:tcW w:w="1223" w:type="dxa"/>
            <w:tcBorders>
              <w:top w:val="nil"/>
              <w:left w:val="nil"/>
              <w:bottom w:val="nil"/>
              <w:right w:val="nil"/>
            </w:tcBorders>
            <w:shd w:val="clear" w:color="auto" w:fill="auto"/>
            <w:noWrap/>
          </w:tcPr>
          <w:p w:rsidR="00C9115F" w:rsidRPr="00AE3D11" w:rsidRDefault="00C9115F" w:rsidP="000D4023">
            <w:pPr>
              <w:pStyle w:val="Tabletext"/>
              <w:tabs>
                <w:tab w:val="decimal" w:pos="652"/>
              </w:tabs>
            </w:pPr>
            <w:r w:rsidRPr="00AE3D11">
              <w:t>749</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11.1%</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11.1%</w:t>
            </w:r>
          </w:p>
        </w:tc>
      </w:tr>
      <w:tr w:rsidR="00C9115F" w:rsidRPr="00F57BE7" w:rsidTr="000D4023">
        <w:trPr>
          <w:trHeight w:val="255"/>
        </w:trPr>
        <w:tc>
          <w:tcPr>
            <w:tcW w:w="5118" w:type="dxa"/>
            <w:tcBorders>
              <w:top w:val="nil"/>
              <w:left w:val="nil"/>
              <w:bottom w:val="nil"/>
              <w:right w:val="nil"/>
            </w:tcBorders>
            <w:shd w:val="clear" w:color="auto" w:fill="auto"/>
            <w:noWrap/>
          </w:tcPr>
          <w:p w:rsidR="00C9115F" w:rsidRPr="00AE3D11" w:rsidRDefault="00976007" w:rsidP="000D4023">
            <w:pPr>
              <w:pStyle w:val="Tabletext"/>
            </w:pPr>
            <w:r>
              <w:t>Employed as professional –</w:t>
            </w:r>
            <w:r w:rsidR="00C9115F" w:rsidRPr="00AE3D11">
              <w:t xml:space="preserve"> all 9 waves</w:t>
            </w:r>
          </w:p>
        </w:tc>
        <w:tc>
          <w:tcPr>
            <w:tcW w:w="1223" w:type="dxa"/>
            <w:tcBorders>
              <w:top w:val="nil"/>
              <w:left w:val="nil"/>
              <w:bottom w:val="nil"/>
              <w:right w:val="nil"/>
            </w:tcBorders>
            <w:shd w:val="clear" w:color="auto" w:fill="auto"/>
            <w:noWrap/>
          </w:tcPr>
          <w:p w:rsidR="00C9115F" w:rsidRPr="00AE3D11" w:rsidRDefault="00C9115F" w:rsidP="000D4023">
            <w:pPr>
              <w:pStyle w:val="Tabletext"/>
              <w:tabs>
                <w:tab w:val="decimal" w:pos="652"/>
              </w:tabs>
            </w:pPr>
            <w:r w:rsidRPr="00AE3D11">
              <w:t>400</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5.9%</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17.1%</w:t>
            </w:r>
          </w:p>
        </w:tc>
      </w:tr>
      <w:tr w:rsidR="00C9115F" w:rsidRPr="00F57BE7" w:rsidTr="000D4023">
        <w:trPr>
          <w:trHeight w:val="255"/>
        </w:trPr>
        <w:tc>
          <w:tcPr>
            <w:tcW w:w="5118" w:type="dxa"/>
            <w:tcBorders>
              <w:top w:val="nil"/>
              <w:left w:val="nil"/>
              <w:bottom w:val="nil"/>
              <w:right w:val="nil"/>
            </w:tcBorders>
            <w:shd w:val="clear" w:color="auto" w:fill="auto"/>
            <w:noWrap/>
          </w:tcPr>
          <w:p w:rsidR="00C9115F" w:rsidRPr="00AE3D11" w:rsidRDefault="00C9115F" w:rsidP="000D4023">
            <w:pPr>
              <w:pStyle w:val="Tabletext"/>
            </w:pPr>
            <w:r w:rsidRPr="00AE3D11">
              <w:t xml:space="preserve">Employed as a </w:t>
            </w:r>
            <w:r w:rsidR="00976007">
              <w:t>clerical/administrative worker –</w:t>
            </w:r>
            <w:r w:rsidRPr="00AE3D11">
              <w:t xml:space="preserve"> all 9 waves</w:t>
            </w:r>
          </w:p>
        </w:tc>
        <w:tc>
          <w:tcPr>
            <w:tcW w:w="1223" w:type="dxa"/>
            <w:tcBorders>
              <w:top w:val="nil"/>
              <w:left w:val="nil"/>
              <w:bottom w:val="nil"/>
              <w:right w:val="nil"/>
            </w:tcBorders>
            <w:shd w:val="clear" w:color="auto" w:fill="auto"/>
            <w:noWrap/>
          </w:tcPr>
          <w:p w:rsidR="00C9115F" w:rsidRPr="00AE3D11" w:rsidRDefault="00C9115F" w:rsidP="000D4023">
            <w:pPr>
              <w:pStyle w:val="Tabletext"/>
              <w:tabs>
                <w:tab w:val="decimal" w:pos="652"/>
              </w:tabs>
            </w:pPr>
            <w:r w:rsidRPr="00AE3D11">
              <w:t>188</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2.8%</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19.9%</w:t>
            </w:r>
          </w:p>
        </w:tc>
      </w:tr>
      <w:tr w:rsidR="00C9115F" w:rsidRPr="00F57BE7" w:rsidTr="000D4023">
        <w:trPr>
          <w:trHeight w:val="255"/>
        </w:trPr>
        <w:tc>
          <w:tcPr>
            <w:tcW w:w="5118" w:type="dxa"/>
            <w:tcBorders>
              <w:top w:val="nil"/>
              <w:left w:val="nil"/>
              <w:bottom w:val="nil"/>
              <w:right w:val="nil"/>
            </w:tcBorders>
            <w:shd w:val="clear" w:color="auto" w:fill="auto"/>
            <w:noWrap/>
          </w:tcPr>
          <w:p w:rsidR="00C9115F" w:rsidRPr="00AE3D11" w:rsidRDefault="00C9115F" w:rsidP="005C6043">
            <w:pPr>
              <w:pStyle w:val="Tabletext"/>
            </w:pPr>
            <w:r w:rsidRPr="00AE3D11">
              <w:t xml:space="preserve">Employed </w:t>
            </w:r>
            <w:r w:rsidR="00976007">
              <w:t>as a technician/trades worker –</w:t>
            </w:r>
            <w:r w:rsidRPr="00AE3D11">
              <w:t xml:space="preserve"> all 9 waves</w:t>
            </w:r>
          </w:p>
        </w:tc>
        <w:tc>
          <w:tcPr>
            <w:tcW w:w="1223" w:type="dxa"/>
            <w:tcBorders>
              <w:top w:val="nil"/>
              <w:left w:val="nil"/>
              <w:bottom w:val="nil"/>
              <w:right w:val="nil"/>
            </w:tcBorders>
            <w:shd w:val="clear" w:color="auto" w:fill="auto"/>
            <w:noWrap/>
          </w:tcPr>
          <w:p w:rsidR="00C9115F" w:rsidRPr="00AE3D11" w:rsidRDefault="00C9115F" w:rsidP="000D4023">
            <w:pPr>
              <w:pStyle w:val="Tabletext"/>
              <w:tabs>
                <w:tab w:val="decimal" w:pos="652"/>
              </w:tabs>
            </w:pPr>
            <w:r w:rsidRPr="00AE3D11">
              <w:t>174</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2.6%</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22.5%</w:t>
            </w:r>
          </w:p>
        </w:tc>
      </w:tr>
      <w:tr w:rsidR="00C9115F" w:rsidRPr="00F57BE7" w:rsidTr="000D4023">
        <w:trPr>
          <w:trHeight w:val="255"/>
        </w:trPr>
        <w:tc>
          <w:tcPr>
            <w:tcW w:w="5118" w:type="dxa"/>
            <w:tcBorders>
              <w:top w:val="nil"/>
              <w:left w:val="nil"/>
              <w:bottom w:val="nil"/>
              <w:right w:val="nil"/>
            </w:tcBorders>
            <w:shd w:val="clear" w:color="auto" w:fill="auto"/>
            <w:noWrap/>
          </w:tcPr>
          <w:p w:rsidR="00C9115F" w:rsidRPr="00AE3D11" w:rsidRDefault="00976007" w:rsidP="000D4023">
            <w:pPr>
              <w:pStyle w:val="Tabletext"/>
            </w:pPr>
            <w:r>
              <w:t>Employed as manager –</w:t>
            </w:r>
            <w:r w:rsidR="00C9115F" w:rsidRPr="00AE3D11">
              <w:t xml:space="preserve"> all 9 waves</w:t>
            </w:r>
          </w:p>
        </w:tc>
        <w:tc>
          <w:tcPr>
            <w:tcW w:w="1223" w:type="dxa"/>
            <w:tcBorders>
              <w:top w:val="nil"/>
              <w:left w:val="nil"/>
              <w:bottom w:val="nil"/>
              <w:right w:val="nil"/>
            </w:tcBorders>
            <w:shd w:val="clear" w:color="auto" w:fill="auto"/>
            <w:noWrap/>
          </w:tcPr>
          <w:p w:rsidR="00C9115F" w:rsidRPr="00AE3D11" w:rsidRDefault="00C9115F" w:rsidP="000D4023">
            <w:pPr>
              <w:pStyle w:val="Tabletext"/>
              <w:tabs>
                <w:tab w:val="decimal" w:pos="652"/>
              </w:tabs>
            </w:pPr>
            <w:r w:rsidRPr="00AE3D11">
              <w:t>112</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1.7%</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24.1%</w:t>
            </w:r>
          </w:p>
        </w:tc>
      </w:tr>
      <w:tr w:rsidR="00C9115F" w:rsidRPr="00F57BE7" w:rsidTr="000D4023">
        <w:trPr>
          <w:trHeight w:val="255"/>
        </w:trPr>
        <w:tc>
          <w:tcPr>
            <w:tcW w:w="5118" w:type="dxa"/>
            <w:tcBorders>
              <w:top w:val="nil"/>
              <w:left w:val="nil"/>
              <w:bottom w:val="nil"/>
              <w:right w:val="nil"/>
            </w:tcBorders>
            <w:shd w:val="clear" w:color="auto" w:fill="auto"/>
            <w:noWrap/>
          </w:tcPr>
          <w:p w:rsidR="00C9115F" w:rsidRPr="00AE3D11" w:rsidRDefault="00C9115F" w:rsidP="000D4023">
            <w:pPr>
              <w:pStyle w:val="Tabletext"/>
            </w:pPr>
            <w:r w:rsidRPr="00AE3D11">
              <w:t>Employed as a comm</w:t>
            </w:r>
            <w:r w:rsidR="00976007">
              <w:t>unity/personal services worker –</w:t>
            </w:r>
            <w:r w:rsidRPr="00AE3D11">
              <w:t xml:space="preserve"> all 9 waves</w:t>
            </w:r>
          </w:p>
        </w:tc>
        <w:tc>
          <w:tcPr>
            <w:tcW w:w="1223" w:type="dxa"/>
            <w:tcBorders>
              <w:top w:val="nil"/>
              <w:left w:val="nil"/>
              <w:bottom w:val="nil"/>
              <w:right w:val="nil"/>
            </w:tcBorders>
            <w:shd w:val="clear" w:color="auto" w:fill="auto"/>
            <w:noWrap/>
          </w:tcPr>
          <w:p w:rsidR="00C9115F" w:rsidRPr="00AE3D11" w:rsidRDefault="00C9115F" w:rsidP="000D4023">
            <w:pPr>
              <w:pStyle w:val="Tabletext"/>
              <w:tabs>
                <w:tab w:val="decimal" w:pos="652"/>
              </w:tabs>
            </w:pPr>
            <w:r w:rsidRPr="00AE3D11">
              <w:t>84</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1.2%</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25.4%</w:t>
            </w:r>
          </w:p>
        </w:tc>
      </w:tr>
      <w:tr w:rsidR="00C9115F" w:rsidRPr="00F57BE7" w:rsidTr="000D4023">
        <w:trPr>
          <w:trHeight w:val="255"/>
        </w:trPr>
        <w:tc>
          <w:tcPr>
            <w:tcW w:w="5118" w:type="dxa"/>
            <w:tcBorders>
              <w:top w:val="nil"/>
              <w:left w:val="nil"/>
              <w:bottom w:val="nil"/>
              <w:right w:val="nil"/>
            </w:tcBorders>
            <w:shd w:val="clear" w:color="auto" w:fill="auto"/>
            <w:noWrap/>
          </w:tcPr>
          <w:p w:rsidR="00C9115F" w:rsidRPr="00AE3D11" w:rsidRDefault="00C9115F" w:rsidP="000D4023">
            <w:pPr>
              <w:pStyle w:val="Tabletext"/>
            </w:pPr>
            <w:r w:rsidRPr="00AE3D11">
              <w:t>Em</w:t>
            </w:r>
            <w:r w:rsidR="00976007">
              <w:t xml:space="preserve">ployed as a machinery operator – </w:t>
            </w:r>
            <w:r w:rsidRPr="00AE3D11">
              <w:t>all 9 waves</w:t>
            </w:r>
          </w:p>
        </w:tc>
        <w:tc>
          <w:tcPr>
            <w:tcW w:w="1223" w:type="dxa"/>
            <w:tcBorders>
              <w:top w:val="nil"/>
              <w:left w:val="nil"/>
              <w:bottom w:val="nil"/>
              <w:right w:val="nil"/>
            </w:tcBorders>
            <w:shd w:val="clear" w:color="auto" w:fill="auto"/>
            <w:noWrap/>
          </w:tcPr>
          <w:p w:rsidR="00C9115F" w:rsidRPr="00AE3D11" w:rsidRDefault="00C9115F" w:rsidP="000D4023">
            <w:pPr>
              <w:pStyle w:val="Tabletext"/>
              <w:tabs>
                <w:tab w:val="decimal" w:pos="652"/>
              </w:tabs>
            </w:pPr>
            <w:r w:rsidRPr="00AE3D11">
              <w:t>67</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1.0%</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26.4%</w:t>
            </w:r>
          </w:p>
        </w:tc>
      </w:tr>
      <w:tr w:rsidR="00C9115F" w:rsidRPr="00F57BE7" w:rsidTr="000D4023">
        <w:trPr>
          <w:trHeight w:val="255"/>
        </w:trPr>
        <w:tc>
          <w:tcPr>
            <w:tcW w:w="5118" w:type="dxa"/>
            <w:tcBorders>
              <w:top w:val="nil"/>
              <w:left w:val="nil"/>
              <w:bottom w:val="nil"/>
              <w:right w:val="nil"/>
            </w:tcBorders>
            <w:shd w:val="clear" w:color="auto" w:fill="auto"/>
            <w:noWrap/>
          </w:tcPr>
          <w:p w:rsidR="00C9115F" w:rsidRPr="00AE3D11" w:rsidRDefault="00976007" w:rsidP="000D4023">
            <w:pPr>
              <w:pStyle w:val="Tabletext"/>
            </w:pPr>
            <w:r>
              <w:t>Employed as a labourer –</w:t>
            </w:r>
            <w:r w:rsidR="00C9115F" w:rsidRPr="00AE3D11">
              <w:t xml:space="preserve"> all 9 waves</w:t>
            </w:r>
          </w:p>
        </w:tc>
        <w:tc>
          <w:tcPr>
            <w:tcW w:w="1223" w:type="dxa"/>
            <w:tcBorders>
              <w:top w:val="nil"/>
              <w:left w:val="nil"/>
              <w:bottom w:val="nil"/>
              <w:right w:val="nil"/>
            </w:tcBorders>
            <w:shd w:val="clear" w:color="auto" w:fill="auto"/>
            <w:noWrap/>
          </w:tcPr>
          <w:p w:rsidR="00C9115F" w:rsidRPr="00AE3D11" w:rsidRDefault="00C9115F" w:rsidP="000D4023">
            <w:pPr>
              <w:pStyle w:val="Tabletext"/>
              <w:tabs>
                <w:tab w:val="decimal" w:pos="652"/>
              </w:tabs>
            </w:pPr>
            <w:r w:rsidRPr="00AE3D11">
              <w:t>45</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0.7%</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27.0%</w:t>
            </w:r>
          </w:p>
        </w:tc>
      </w:tr>
      <w:tr w:rsidR="00C9115F" w:rsidRPr="00F57BE7" w:rsidTr="000D4023">
        <w:trPr>
          <w:trHeight w:val="255"/>
        </w:trPr>
        <w:tc>
          <w:tcPr>
            <w:tcW w:w="5118" w:type="dxa"/>
            <w:tcBorders>
              <w:top w:val="nil"/>
              <w:left w:val="nil"/>
              <w:bottom w:val="nil"/>
              <w:right w:val="nil"/>
            </w:tcBorders>
            <w:shd w:val="clear" w:color="auto" w:fill="auto"/>
            <w:noWrap/>
          </w:tcPr>
          <w:p w:rsidR="00C9115F" w:rsidRPr="00AE3D11" w:rsidRDefault="00C9115F" w:rsidP="000D4023">
            <w:pPr>
              <w:pStyle w:val="Tabletext"/>
            </w:pPr>
            <w:r w:rsidRPr="00AE3D11">
              <w:t xml:space="preserve">Employed as </w:t>
            </w:r>
            <w:r w:rsidR="00976007">
              <w:t>a sales worker –</w:t>
            </w:r>
            <w:r w:rsidRPr="00AE3D11">
              <w:t xml:space="preserve"> all 9 waves</w:t>
            </w:r>
          </w:p>
        </w:tc>
        <w:tc>
          <w:tcPr>
            <w:tcW w:w="1223" w:type="dxa"/>
            <w:tcBorders>
              <w:top w:val="nil"/>
              <w:left w:val="nil"/>
              <w:bottom w:val="nil"/>
              <w:right w:val="nil"/>
            </w:tcBorders>
            <w:shd w:val="clear" w:color="auto" w:fill="auto"/>
            <w:noWrap/>
          </w:tcPr>
          <w:p w:rsidR="00C9115F" w:rsidRPr="00AE3D11" w:rsidRDefault="00C9115F" w:rsidP="000D4023">
            <w:pPr>
              <w:pStyle w:val="Tabletext"/>
              <w:tabs>
                <w:tab w:val="decimal" w:pos="652"/>
              </w:tabs>
            </w:pPr>
            <w:r w:rsidRPr="00AE3D11">
              <w:t>30</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0.4%</w:t>
            </w:r>
          </w:p>
        </w:tc>
        <w:tc>
          <w:tcPr>
            <w:tcW w:w="1224" w:type="dxa"/>
            <w:tcBorders>
              <w:top w:val="nil"/>
              <w:left w:val="nil"/>
              <w:bottom w:val="nil"/>
              <w:right w:val="nil"/>
            </w:tcBorders>
            <w:shd w:val="clear" w:color="auto" w:fill="auto"/>
            <w:noWrap/>
          </w:tcPr>
          <w:p w:rsidR="00C9115F" w:rsidRPr="00AE3D11" w:rsidRDefault="00C9115F" w:rsidP="000D4023">
            <w:pPr>
              <w:pStyle w:val="Tabletext"/>
              <w:tabs>
                <w:tab w:val="decimal" w:pos="454"/>
              </w:tabs>
            </w:pPr>
            <w:r w:rsidRPr="00AE3D11">
              <w:t>27.5%</w:t>
            </w:r>
          </w:p>
        </w:tc>
      </w:tr>
      <w:tr w:rsidR="00C9115F" w:rsidRPr="000D4023" w:rsidTr="000D4023">
        <w:trPr>
          <w:trHeight w:val="255"/>
        </w:trPr>
        <w:tc>
          <w:tcPr>
            <w:tcW w:w="5118" w:type="dxa"/>
            <w:tcBorders>
              <w:top w:val="nil"/>
              <w:left w:val="nil"/>
              <w:bottom w:val="single" w:sz="4" w:space="0" w:color="auto"/>
              <w:right w:val="nil"/>
            </w:tcBorders>
            <w:shd w:val="clear" w:color="auto" w:fill="auto"/>
            <w:noWrap/>
          </w:tcPr>
          <w:p w:rsidR="00C9115F" w:rsidRPr="000D4023" w:rsidRDefault="00C9115F" w:rsidP="000D4023">
            <w:pPr>
              <w:pStyle w:val="Tabletext"/>
              <w:rPr>
                <w:b/>
              </w:rPr>
            </w:pPr>
            <w:r w:rsidRPr="000D4023">
              <w:rPr>
                <w:b/>
              </w:rPr>
              <w:t>Total</w:t>
            </w:r>
          </w:p>
        </w:tc>
        <w:tc>
          <w:tcPr>
            <w:tcW w:w="1223" w:type="dxa"/>
            <w:tcBorders>
              <w:top w:val="nil"/>
              <w:left w:val="nil"/>
              <w:bottom w:val="single" w:sz="4" w:space="0" w:color="auto"/>
              <w:right w:val="nil"/>
            </w:tcBorders>
            <w:shd w:val="clear" w:color="auto" w:fill="auto"/>
            <w:noWrap/>
          </w:tcPr>
          <w:p w:rsidR="00C9115F" w:rsidRPr="000D4023" w:rsidRDefault="00C9115F" w:rsidP="000D4023">
            <w:pPr>
              <w:pStyle w:val="Tabletext"/>
              <w:tabs>
                <w:tab w:val="decimal" w:pos="652"/>
              </w:tabs>
              <w:rPr>
                <w:b/>
              </w:rPr>
            </w:pPr>
            <w:r w:rsidRPr="000D4023">
              <w:rPr>
                <w:b/>
              </w:rPr>
              <w:t>6726</w:t>
            </w:r>
          </w:p>
        </w:tc>
        <w:tc>
          <w:tcPr>
            <w:tcW w:w="1224" w:type="dxa"/>
            <w:tcBorders>
              <w:top w:val="nil"/>
              <w:left w:val="nil"/>
              <w:bottom w:val="single" w:sz="4" w:space="0" w:color="auto"/>
              <w:right w:val="nil"/>
            </w:tcBorders>
            <w:shd w:val="clear" w:color="auto" w:fill="auto"/>
            <w:noWrap/>
          </w:tcPr>
          <w:p w:rsidR="00C9115F" w:rsidRPr="000D4023" w:rsidRDefault="00C9115F" w:rsidP="000D4023">
            <w:pPr>
              <w:pStyle w:val="Tabletext"/>
              <w:tabs>
                <w:tab w:val="decimal" w:pos="454"/>
              </w:tabs>
              <w:rPr>
                <w:b/>
              </w:rPr>
            </w:pPr>
            <w:r w:rsidRPr="000D4023">
              <w:rPr>
                <w:b/>
              </w:rPr>
              <w:t>27.5% </w:t>
            </w:r>
          </w:p>
        </w:tc>
        <w:tc>
          <w:tcPr>
            <w:tcW w:w="1224" w:type="dxa"/>
            <w:tcBorders>
              <w:top w:val="nil"/>
              <w:left w:val="nil"/>
              <w:bottom w:val="single" w:sz="4" w:space="0" w:color="auto"/>
              <w:right w:val="nil"/>
            </w:tcBorders>
            <w:shd w:val="clear" w:color="auto" w:fill="auto"/>
            <w:noWrap/>
          </w:tcPr>
          <w:p w:rsidR="00C9115F" w:rsidRPr="000D4023" w:rsidRDefault="00C9115F" w:rsidP="000D4023">
            <w:pPr>
              <w:pStyle w:val="Tabletext"/>
              <w:tabs>
                <w:tab w:val="decimal" w:pos="454"/>
              </w:tabs>
              <w:rPr>
                <w:b/>
              </w:rPr>
            </w:pPr>
            <w:r w:rsidRPr="000D4023">
              <w:rPr>
                <w:b/>
              </w:rPr>
              <w:t> </w:t>
            </w:r>
          </w:p>
        </w:tc>
      </w:tr>
    </w:tbl>
    <w:p w:rsidR="00C9115F" w:rsidRDefault="00C9115F" w:rsidP="00C9115F">
      <w:pPr>
        <w:pStyle w:val="Text"/>
        <w:sectPr w:rsidR="00C9115F">
          <w:footerReference w:type="even" r:id="rId38"/>
          <w:footerReference w:type="default" r:id="rId39"/>
          <w:pgSz w:w="11907" w:h="16840" w:code="9"/>
          <w:pgMar w:top="1276" w:right="1701" w:bottom="1276" w:left="1418" w:header="709" w:footer="556" w:gutter="0"/>
          <w:cols w:space="708"/>
          <w:docGrid w:linePitch="360"/>
        </w:sectPr>
      </w:pPr>
    </w:p>
    <w:p w:rsidR="00C9115F" w:rsidRDefault="00C9115F" w:rsidP="00C9115F">
      <w:pPr>
        <w:pStyle w:val="tabletitle"/>
      </w:pPr>
      <w:bookmarkStart w:id="95" w:name="_Toc319936662"/>
      <w:bookmarkStart w:id="96" w:name="_Toc194650004"/>
      <w:bookmarkStart w:id="97" w:name="_Toc335752997"/>
      <w:r>
        <w:lastRenderedPageBreak/>
        <w:t>Table C2</w:t>
      </w:r>
      <w:r>
        <w:tab/>
      </w:r>
      <w:r w:rsidRPr="00896156">
        <w:t>Distribution of clusters by gender</w:t>
      </w:r>
      <w:bookmarkEnd w:id="95"/>
      <w:bookmarkEnd w:id="96"/>
      <w:bookmarkEnd w:id="97"/>
    </w:p>
    <w:tbl>
      <w:tblPr>
        <w:tblW w:w="14005" w:type="dxa"/>
        <w:tblInd w:w="93" w:type="dxa"/>
        <w:tblBorders>
          <w:bottom w:val="single" w:sz="4" w:space="0" w:color="auto"/>
        </w:tblBorders>
        <w:tblLayout w:type="fixed"/>
        <w:tblLook w:val="04A0"/>
      </w:tblPr>
      <w:tblGrid>
        <w:gridCol w:w="1031"/>
        <w:gridCol w:w="811"/>
        <w:gridCol w:w="1216"/>
        <w:gridCol w:w="1216"/>
        <w:gridCol w:w="1216"/>
        <w:gridCol w:w="1217"/>
        <w:gridCol w:w="1216"/>
        <w:gridCol w:w="1216"/>
        <w:gridCol w:w="1217"/>
        <w:gridCol w:w="1216"/>
        <w:gridCol w:w="1216"/>
        <w:gridCol w:w="1217"/>
      </w:tblGrid>
      <w:tr w:rsidR="00C9115F" w:rsidRPr="00F57BE7" w:rsidTr="000D4023">
        <w:tc>
          <w:tcPr>
            <w:tcW w:w="1031" w:type="dxa"/>
            <w:vMerge w:val="restart"/>
            <w:tcBorders>
              <w:top w:val="single" w:sz="4" w:space="0" w:color="auto"/>
              <w:bottom w:val="nil"/>
            </w:tcBorders>
            <w:shd w:val="clear" w:color="auto" w:fill="auto"/>
            <w:noWrap/>
          </w:tcPr>
          <w:p w:rsidR="00C9115F" w:rsidRPr="0000270B" w:rsidRDefault="00C9115F" w:rsidP="00084229">
            <w:pPr>
              <w:pStyle w:val="Tablehead1"/>
            </w:pPr>
            <w:r w:rsidRPr="0000270B">
              <w:t>Gender</w:t>
            </w:r>
          </w:p>
        </w:tc>
        <w:tc>
          <w:tcPr>
            <w:tcW w:w="811" w:type="dxa"/>
            <w:vMerge w:val="restart"/>
            <w:tcBorders>
              <w:top w:val="single" w:sz="4" w:space="0" w:color="auto"/>
              <w:bottom w:val="nil"/>
              <w:right w:val="single" w:sz="4" w:space="0" w:color="auto"/>
            </w:tcBorders>
            <w:shd w:val="clear" w:color="auto" w:fill="auto"/>
            <w:noWrap/>
          </w:tcPr>
          <w:p w:rsidR="00C9115F" w:rsidRPr="0000270B" w:rsidRDefault="00C9115F" w:rsidP="000D4023">
            <w:pPr>
              <w:pStyle w:val="Tablehead1"/>
              <w:jc w:val="center"/>
            </w:pPr>
            <w:r w:rsidRPr="0000270B">
              <w:t>N</w:t>
            </w:r>
          </w:p>
        </w:tc>
        <w:tc>
          <w:tcPr>
            <w:tcW w:w="12163" w:type="dxa"/>
            <w:gridSpan w:val="10"/>
            <w:tcBorders>
              <w:top w:val="single" w:sz="4" w:space="0" w:color="auto"/>
              <w:left w:val="single" w:sz="4" w:space="0" w:color="auto"/>
              <w:bottom w:val="nil"/>
            </w:tcBorders>
            <w:shd w:val="clear" w:color="auto" w:fill="auto"/>
            <w:noWrap/>
          </w:tcPr>
          <w:p w:rsidR="00C9115F" w:rsidRPr="0000270B" w:rsidRDefault="00C9115F" w:rsidP="00084229">
            <w:pPr>
              <w:pStyle w:val="Tablehead1"/>
              <w:jc w:val="center"/>
            </w:pPr>
            <w:r w:rsidRPr="0000270B">
              <w:t>Cluster</w:t>
            </w:r>
          </w:p>
        </w:tc>
      </w:tr>
      <w:tr w:rsidR="00C9115F" w:rsidRPr="00F57BE7" w:rsidTr="000D4023">
        <w:tc>
          <w:tcPr>
            <w:tcW w:w="1031" w:type="dxa"/>
            <w:vMerge/>
            <w:tcBorders>
              <w:bottom w:val="single" w:sz="4" w:space="0" w:color="auto"/>
            </w:tcBorders>
          </w:tcPr>
          <w:p w:rsidR="00C9115F" w:rsidRPr="00F57BE7" w:rsidRDefault="00C9115F" w:rsidP="00C9115F">
            <w:pPr>
              <w:rPr>
                <w:color w:val="000000"/>
                <w:sz w:val="16"/>
              </w:rPr>
            </w:pPr>
          </w:p>
        </w:tc>
        <w:tc>
          <w:tcPr>
            <w:tcW w:w="811" w:type="dxa"/>
            <w:vMerge/>
            <w:tcBorders>
              <w:bottom w:val="single" w:sz="4" w:space="0" w:color="auto"/>
              <w:right w:val="single" w:sz="4" w:space="0" w:color="auto"/>
            </w:tcBorders>
          </w:tcPr>
          <w:p w:rsidR="00C9115F" w:rsidRPr="00F57BE7" w:rsidRDefault="00C9115F" w:rsidP="00C9115F">
            <w:pPr>
              <w:rPr>
                <w:color w:val="000000"/>
                <w:sz w:val="16"/>
              </w:rPr>
            </w:pPr>
          </w:p>
        </w:tc>
        <w:tc>
          <w:tcPr>
            <w:tcW w:w="1216" w:type="dxa"/>
            <w:tcBorders>
              <w:left w:val="single" w:sz="4" w:space="0" w:color="auto"/>
              <w:bottom w:val="single" w:sz="4" w:space="0" w:color="auto"/>
            </w:tcBorders>
            <w:shd w:val="clear" w:color="auto" w:fill="auto"/>
            <w:tcMar>
              <w:left w:w="0" w:type="dxa"/>
              <w:right w:w="0" w:type="dxa"/>
            </w:tcMar>
          </w:tcPr>
          <w:p w:rsidR="00C9115F" w:rsidRPr="00084229" w:rsidRDefault="00C9115F" w:rsidP="000D4023">
            <w:pPr>
              <w:pStyle w:val="Tablehead2"/>
              <w:jc w:val="center"/>
            </w:pPr>
            <w:r w:rsidRPr="00084229">
              <w:t>Professionals</w:t>
            </w:r>
          </w:p>
        </w:tc>
        <w:tc>
          <w:tcPr>
            <w:tcW w:w="1216" w:type="dxa"/>
            <w:tcBorders>
              <w:bottom w:val="single" w:sz="4" w:space="0" w:color="auto"/>
            </w:tcBorders>
            <w:shd w:val="clear" w:color="auto" w:fill="auto"/>
            <w:tcMar>
              <w:left w:w="0" w:type="dxa"/>
              <w:right w:w="0" w:type="dxa"/>
            </w:tcMar>
          </w:tcPr>
          <w:p w:rsidR="00C9115F" w:rsidRPr="00084229" w:rsidRDefault="00C9115F" w:rsidP="000D4023">
            <w:pPr>
              <w:pStyle w:val="Tablehead2"/>
              <w:jc w:val="center"/>
            </w:pPr>
            <w:r w:rsidRPr="00084229">
              <w:t>Labourers</w:t>
            </w:r>
          </w:p>
        </w:tc>
        <w:tc>
          <w:tcPr>
            <w:tcW w:w="1216" w:type="dxa"/>
            <w:tcBorders>
              <w:bottom w:val="single" w:sz="4" w:space="0" w:color="auto"/>
            </w:tcBorders>
            <w:shd w:val="clear" w:color="auto" w:fill="auto"/>
            <w:tcMar>
              <w:left w:w="0" w:type="dxa"/>
              <w:right w:w="0" w:type="dxa"/>
            </w:tcMar>
          </w:tcPr>
          <w:p w:rsidR="00C9115F" w:rsidRPr="00084229" w:rsidRDefault="00BA6AF0" w:rsidP="000D4023">
            <w:pPr>
              <w:pStyle w:val="Tablehead2"/>
              <w:jc w:val="center"/>
            </w:pPr>
            <w:r>
              <w:t>Machinery o</w:t>
            </w:r>
            <w:r w:rsidR="00C9115F" w:rsidRPr="00084229">
              <w:t>perators</w:t>
            </w:r>
          </w:p>
        </w:tc>
        <w:tc>
          <w:tcPr>
            <w:tcW w:w="1217" w:type="dxa"/>
            <w:tcBorders>
              <w:bottom w:val="single" w:sz="4" w:space="0" w:color="auto"/>
            </w:tcBorders>
            <w:shd w:val="clear" w:color="auto" w:fill="auto"/>
            <w:tcMar>
              <w:left w:w="0" w:type="dxa"/>
              <w:right w:w="0" w:type="dxa"/>
            </w:tcMar>
          </w:tcPr>
          <w:p w:rsidR="00C9115F" w:rsidRPr="00084229" w:rsidRDefault="00C9115F" w:rsidP="000D4023">
            <w:pPr>
              <w:pStyle w:val="Tablehead2"/>
              <w:jc w:val="center"/>
            </w:pPr>
            <w:r w:rsidRPr="00084229">
              <w:t xml:space="preserve">Technician/ </w:t>
            </w:r>
            <w:r w:rsidR="00BA6AF0" w:rsidRPr="00084229">
              <w:t xml:space="preserve">trades </w:t>
            </w:r>
            <w:r w:rsidR="000D4023">
              <w:br/>
            </w:r>
            <w:r w:rsidR="00BA6AF0" w:rsidRPr="00084229">
              <w:t>workers</w:t>
            </w:r>
          </w:p>
        </w:tc>
        <w:tc>
          <w:tcPr>
            <w:tcW w:w="1216" w:type="dxa"/>
            <w:tcBorders>
              <w:bottom w:val="single" w:sz="4" w:space="0" w:color="auto"/>
            </w:tcBorders>
            <w:shd w:val="clear" w:color="auto" w:fill="auto"/>
            <w:tcMar>
              <w:left w:w="0" w:type="dxa"/>
              <w:right w:w="0" w:type="dxa"/>
            </w:tcMar>
          </w:tcPr>
          <w:p w:rsidR="00C9115F" w:rsidRPr="00084229" w:rsidRDefault="00C9115F" w:rsidP="000D4023">
            <w:pPr>
              <w:pStyle w:val="Tablehead2"/>
              <w:jc w:val="center"/>
            </w:pPr>
            <w:r w:rsidRPr="00084229">
              <w:t xml:space="preserve">Clerical/ </w:t>
            </w:r>
            <w:r w:rsidR="00BA6AF0" w:rsidRPr="00084229">
              <w:t>administrative workers</w:t>
            </w:r>
          </w:p>
        </w:tc>
        <w:tc>
          <w:tcPr>
            <w:tcW w:w="1216" w:type="dxa"/>
            <w:tcBorders>
              <w:bottom w:val="single" w:sz="4" w:space="0" w:color="auto"/>
            </w:tcBorders>
            <w:shd w:val="clear" w:color="auto" w:fill="auto"/>
            <w:tcMar>
              <w:left w:w="0" w:type="dxa"/>
              <w:right w:w="0" w:type="dxa"/>
            </w:tcMar>
          </w:tcPr>
          <w:p w:rsidR="00C9115F" w:rsidRPr="00084229" w:rsidRDefault="00C9115F" w:rsidP="000D4023">
            <w:pPr>
              <w:pStyle w:val="Tablehead2"/>
              <w:jc w:val="center"/>
            </w:pPr>
            <w:r w:rsidRPr="00084229">
              <w:t xml:space="preserve">Higher education </w:t>
            </w:r>
            <w:r w:rsidRPr="00084229">
              <w:sym w:font="Wingdings" w:char="F0E0"/>
            </w:r>
            <w:r w:rsidRPr="00084229">
              <w:t xml:space="preserve"> professional</w:t>
            </w:r>
          </w:p>
        </w:tc>
        <w:tc>
          <w:tcPr>
            <w:tcW w:w="1217" w:type="dxa"/>
            <w:tcBorders>
              <w:bottom w:val="single" w:sz="4" w:space="0" w:color="auto"/>
            </w:tcBorders>
            <w:shd w:val="clear" w:color="auto" w:fill="auto"/>
            <w:tcMar>
              <w:left w:w="0" w:type="dxa"/>
              <w:right w:w="0" w:type="dxa"/>
            </w:tcMar>
          </w:tcPr>
          <w:p w:rsidR="00C9115F" w:rsidRPr="00084229" w:rsidRDefault="00BA6AF0" w:rsidP="000D4023">
            <w:pPr>
              <w:pStyle w:val="Tablehead2"/>
              <w:jc w:val="center"/>
            </w:pPr>
            <w:r>
              <w:t xml:space="preserve">Sales </w:t>
            </w:r>
            <w:r w:rsidR="000D4023">
              <w:br/>
            </w:r>
            <w:r>
              <w:t>w</w:t>
            </w:r>
            <w:r w:rsidR="00C9115F" w:rsidRPr="00084229">
              <w:t>orkers</w:t>
            </w:r>
          </w:p>
        </w:tc>
        <w:tc>
          <w:tcPr>
            <w:tcW w:w="1216" w:type="dxa"/>
            <w:tcBorders>
              <w:bottom w:val="single" w:sz="4" w:space="0" w:color="auto"/>
            </w:tcBorders>
            <w:shd w:val="clear" w:color="auto" w:fill="auto"/>
            <w:tcMar>
              <w:left w:w="0" w:type="dxa"/>
              <w:right w:w="0" w:type="dxa"/>
            </w:tcMar>
          </w:tcPr>
          <w:p w:rsidR="00C9115F" w:rsidRPr="00084229" w:rsidRDefault="00C9115F" w:rsidP="000D4023">
            <w:pPr>
              <w:pStyle w:val="Tablehead2"/>
              <w:jc w:val="center"/>
            </w:pPr>
            <w:r w:rsidRPr="00084229">
              <w:t xml:space="preserve">Community/ </w:t>
            </w:r>
            <w:r w:rsidR="00BA6AF0" w:rsidRPr="00084229">
              <w:t>personal services workers</w:t>
            </w:r>
          </w:p>
        </w:tc>
        <w:tc>
          <w:tcPr>
            <w:tcW w:w="1216" w:type="dxa"/>
            <w:tcBorders>
              <w:bottom w:val="single" w:sz="4" w:space="0" w:color="auto"/>
            </w:tcBorders>
            <w:shd w:val="clear" w:color="auto" w:fill="auto"/>
            <w:tcMar>
              <w:left w:w="0" w:type="dxa"/>
              <w:right w:w="0" w:type="dxa"/>
            </w:tcMar>
          </w:tcPr>
          <w:p w:rsidR="00C9115F" w:rsidRPr="00084229" w:rsidRDefault="00C9115F" w:rsidP="000D4023">
            <w:pPr>
              <w:pStyle w:val="Tablehead2"/>
              <w:jc w:val="center"/>
            </w:pPr>
            <w:r w:rsidRPr="00084229">
              <w:t>Managers</w:t>
            </w:r>
          </w:p>
        </w:tc>
        <w:tc>
          <w:tcPr>
            <w:tcW w:w="1217" w:type="dxa"/>
            <w:tcBorders>
              <w:bottom w:val="single" w:sz="4" w:space="0" w:color="auto"/>
            </w:tcBorders>
            <w:shd w:val="clear" w:color="auto" w:fill="auto"/>
            <w:tcMar>
              <w:left w:w="0" w:type="dxa"/>
              <w:right w:w="0" w:type="dxa"/>
            </w:tcMar>
          </w:tcPr>
          <w:p w:rsidR="00C9115F" w:rsidRPr="00084229" w:rsidRDefault="00C9115F" w:rsidP="000D4023">
            <w:pPr>
              <w:pStyle w:val="Tablehead2"/>
              <w:jc w:val="center"/>
            </w:pPr>
            <w:r w:rsidRPr="00084229">
              <w:t xml:space="preserve">Not in the </w:t>
            </w:r>
            <w:r w:rsidR="00BA6AF0" w:rsidRPr="00084229">
              <w:t>labour force</w:t>
            </w:r>
          </w:p>
        </w:tc>
      </w:tr>
      <w:tr w:rsidR="00C9115F" w:rsidRPr="008C7F46" w:rsidTr="000D4023">
        <w:tc>
          <w:tcPr>
            <w:tcW w:w="1031" w:type="dxa"/>
            <w:tcBorders>
              <w:top w:val="single" w:sz="4" w:space="0" w:color="auto"/>
            </w:tcBorders>
            <w:shd w:val="clear" w:color="auto" w:fill="auto"/>
            <w:noWrap/>
          </w:tcPr>
          <w:p w:rsidR="00C9115F" w:rsidRPr="008C7F46" w:rsidRDefault="00C9115F" w:rsidP="00084229">
            <w:pPr>
              <w:pStyle w:val="Tablehead2"/>
            </w:pPr>
            <w:r w:rsidRPr="008C7F46">
              <w:t>Male</w:t>
            </w:r>
          </w:p>
        </w:tc>
        <w:tc>
          <w:tcPr>
            <w:tcW w:w="811" w:type="dxa"/>
            <w:tcBorders>
              <w:top w:val="single" w:sz="4" w:space="0" w:color="auto"/>
              <w:right w:val="single" w:sz="4" w:space="0" w:color="auto"/>
            </w:tcBorders>
            <w:shd w:val="clear" w:color="auto" w:fill="auto"/>
            <w:noWrap/>
          </w:tcPr>
          <w:p w:rsidR="00C9115F" w:rsidRPr="008C7F46" w:rsidRDefault="00C9115F" w:rsidP="000D4023">
            <w:pPr>
              <w:pStyle w:val="Tablehead2"/>
              <w:jc w:val="center"/>
            </w:pPr>
            <w:r w:rsidRPr="008C7F46">
              <w:t>3087</w:t>
            </w:r>
          </w:p>
        </w:tc>
        <w:tc>
          <w:tcPr>
            <w:tcW w:w="1216" w:type="dxa"/>
            <w:tcBorders>
              <w:top w:val="single" w:sz="4" w:space="0" w:color="auto"/>
              <w:left w:val="single" w:sz="4" w:space="0" w:color="auto"/>
            </w:tcBorders>
            <w:shd w:val="clear" w:color="auto" w:fill="auto"/>
            <w:noWrap/>
          </w:tcPr>
          <w:p w:rsidR="00C9115F" w:rsidRPr="008C7F46" w:rsidRDefault="00C9115F" w:rsidP="000D4023">
            <w:pPr>
              <w:pStyle w:val="Tabletext"/>
              <w:tabs>
                <w:tab w:val="decimal" w:pos="454"/>
              </w:tabs>
            </w:pPr>
            <w:r w:rsidRPr="008C7F46">
              <w:t>43.4%</w:t>
            </w:r>
          </w:p>
        </w:tc>
        <w:tc>
          <w:tcPr>
            <w:tcW w:w="1216" w:type="dxa"/>
            <w:tcBorders>
              <w:top w:val="single" w:sz="4" w:space="0" w:color="auto"/>
            </w:tcBorders>
            <w:shd w:val="clear" w:color="000000" w:fill="D8D8D8"/>
            <w:noWrap/>
          </w:tcPr>
          <w:p w:rsidR="00C9115F" w:rsidRPr="008C7F46" w:rsidRDefault="00C9115F" w:rsidP="000D4023">
            <w:pPr>
              <w:pStyle w:val="Tabletext"/>
              <w:tabs>
                <w:tab w:val="decimal" w:pos="454"/>
              </w:tabs>
              <w:rPr>
                <w:b/>
              </w:rPr>
            </w:pPr>
            <w:r w:rsidRPr="008C7F46">
              <w:rPr>
                <w:b/>
              </w:rPr>
              <w:t>61.0%</w:t>
            </w:r>
          </w:p>
        </w:tc>
        <w:tc>
          <w:tcPr>
            <w:tcW w:w="1216" w:type="dxa"/>
            <w:tcBorders>
              <w:top w:val="single" w:sz="4" w:space="0" w:color="auto"/>
            </w:tcBorders>
            <w:shd w:val="clear" w:color="000000" w:fill="D8D8D8"/>
            <w:noWrap/>
          </w:tcPr>
          <w:p w:rsidR="00C9115F" w:rsidRPr="008C7F46" w:rsidRDefault="00C9115F" w:rsidP="000D4023">
            <w:pPr>
              <w:pStyle w:val="Tabletext"/>
              <w:tabs>
                <w:tab w:val="decimal" w:pos="454"/>
              </w:tabs>
              <w:rPr>
                <w:b/>
              </w:rPr>
            </w:pPr>
            <w:r w:rsidRPr="008C7F46">
              <w:rPr>
                <w:b/>
              </w:rPr>
              <w:t>94.1%</w:t>
            </w:r>
          </w:p>
        </w:tc>
        <w:tc>
          <w:tcPr>
            <w:tcW w:w="1217" w:type="dxa"/>
            <w:tcBorders>
              <w:top w:val="single" w:sz="4" w:space="0" w:color="auto"/>
            </w:tcBorders>
            <w:shd w:val="clear" w:color="000000" w:fill="D8D8D8"/>
            <w:noWrap/>
          </w:tcPr>
          <w:p w:rsidR="00C9115F" w:rsidRPr="008C7F46" w:rsidRDefault="00C9115F" w:rsidP="000D4023">
            <w:pPr>
              <w:pStyle w:val="Tabletext"/>
              <w:tabs>
                <w:tab w:val="decimal" w:pos="454"/>
              </w:tabs>
              <w:rPr>
                <w:b/>
              </w:rPr>
            </w:pPr>
            <w:r w:rsidRPr="008C7F46">
              <w:rPr>
                <w:b/>
              </w:rPr>
              <w:t>87.8%</w:t>
            </w:r>
          </w:p>
        </w:tc>
        <w:tc>
          <w:tcPr>
            <w:tcW w:w="1216" w:type="dxa"/>
            <w:tcBorders>
              <w:top w:val="single" w:sz="4" w:space="0" w:color="auto"/>
            </w:tcBorders>
            <w:shd w:val="clear" w:color="auto" w:fill="auto"/>
            <w:noWrap/>
          </w:tcPr>
          <w:p w:rsidR="00C9115F" w:rsidRPr="008C7F46" w:rsidRDefault="00C9115F" w:rsidP="000D4023">
            <w:pPr>
              <w:pStyle w:val="Tabletext"/>
              <w:tabs>
                <w:tab w:val="decimal" w:pos="454"/>
              </w:tabs>
            </w:pPr>
            <w:r w:rsidRPr="008C7F46">
              <w:t>19.1%</w:t>
            </w:r>
          </w:p>
        </w:tc>
        <w:tc>
          <w:tcPr>
            <w:tcW w:w="1216" w:type="dxa"/>
            <w:tcBorders>
              <w:top w:val="single" w:sz="4" w:space="0" w:color="auto"/>
            </w:tcBorders>
            <w:shd w:val="clear" w:color="auto" w:fill="auto"/>
            <w:noWrap/>
          </w:tcPr>
          <w:p w:rsidR="00C9115F" w:rsidRPr="008C7F46" w:rsidRDefault="00C9115F" w:rsidP="000D4023">
            <w:pPr>
              <w:pStyle w:val="Tabletext"/>
              <w:tabs>
                <w:tab w:val="decimal" w:pos="454"/>
              </w:tabs>
            </w:pPr>
            <w:r w:rsidRPr="008C7F46">
              <w:t>39.2%</w:t>
            </w:r>
          </w:p>
        </w:tc>
        <w:tc>
          <w:tcPr>
            <w:tcW w:w="1217" w:type="dxa"/>
            <w:tcBorders>
              <w:top w:val="single" w:sz="4" w:space="0" w:color="auto"/>
            </w:tcBorders>
            <w:shd w:val="clear" w:color="auto" w:fill="auto"/>
            <w:noWrap/>
          </w:tcPr>
          <w:p w:rsidR="00C9115F" w:rsidRPr="008C7F46" w:rsidRDefault="00C9115F" w:rsidP="000D4023">
            <w:pPr>
              <w:pStyle w:val="Tabletext"/>
              <w:tabs>
                <w:tab w:val="decimal" w:pos="454"/>
              </w:tabs>
            </w:pPr>
            <w:r w:rsidRPr="008C7F46">
              <w:t>39.0%</w:t>
            </w:r>
          </w:p>
        </w:tc>
        <w:tc>
          <w:tcPr>
            <w:tcW w:w="1216" w:type="dxa"/>
            <w:tcBorders>
              <w:top w:val="single" w:sz="4" w:space="0" w:color="auto"/>
            </w:tcBorders>
            <w:shd w:val="clear" w:color="auto" w:fill="auto"/>
            <w:noWrap/>
          </w:tcPr>
          <w:p w:rsidR="00C9115F" w:rsidRPr="008C7F46" w:rsidRDefault="00C9115F" w:rsidP="000D4023">
            <w:pPr>
              <w:pStyle w:val="Tabletext"/>
              <w:tabs>
                <w:tab w:val="decimal" w:pos="454"/>
              </w:tabs>
            </w:pPr>
            <w:r w:rsidRPr="008C7F46">
              <w:t>30.1%</w:t>
            </w:r>
          </w:p>
        </w:tc>
        <w:tc>
          <w:tcPr>
            <w:tcW w:w="1216" w:type="dxa"/>
            <w:tcBorders>
              <w:top w:val="single" w:sz="4" w:space="0" w:color="auto"/>
            </w:tcBorders>
            <w:shd w:val="clear" w:color="000000" w:fill="D8D8D8"/>
            <w:noWrap/>
          </w:tcPr>
          <w:p w:rsidR="00C9115F" w:rsidRPr="008C7F46" w:rsidRDefault="00C9115F" w:rsidP="000D4023">
            <w:pPr>
              <w:pStyle w:val="Tabletext"/>
              <w:tabs>
                <w:tab w:val="decimal" w:pos="454"/>
              </w:tabs>
              <w:rPr>
                <w:b/>
              </w:rPr>
            </w:pPr>
            <w:r w:rsidRPr="008C7F46">
              <w:rPr>
                <w:b/>
              </w:rPr>
              <w:t>65.4%</w:t>
            </w:r>
          </w:p>
        </w:tc>
        <w:tc>
          <w:tcPr>
            <w:tcW w:w="1217" w:type="dxa"/>
            <w:tcBorders>
              <w:top w:val="single" w:sz="4" w:space="0" w:color="auto"/>
            </w:tcBorders>
            <w:shd w:val="clear" w:color="auto" w:fill="auto"/>
            <w:noWrap/>
          </w:tcPr>
          <w:p w:rsidR="00C9115F" w:rsidRPr="008C7F46" w:rsidRDefault="00C9115F" w:rsidP="000D4023">
            <w:pPr>
              <w:pStyle w:val="Tabletext"/>
              <w:tabs>
                <w:tab w:val="decimal" w:pos="454"/>
              </w:tabs>
            </w:pPr>
            <w:r w:rsidRPr="008C7F46">
              <w:t>32.4%</w:t>
            </w:r>
          </w:p>
        </w:tc>
      </w:tr>
      <w:tr w:rsidR="00C9115F" w:rsidRPr="008C7F46" w:rsidTr="000D4023">
        <w:tc>
          <w:tcPr>
            <w:tcW w:w="1031" w:type="dxa"/>
            <w:shd w:val="clear" w:color="auto" w:fill="auto"/>
            <w:noWrap/>
          </w:tcPr>
          <w:p w:rsidR="00C9115F" w:rsidRPr="008C7F46" w:rsidRDefault="00C9115F" w:rsidP="00084229">
            <w:pPr>
              <w:pStyle w:val="Tablehead2"/>
            </w:pPr>
            <w:r w:rsidRPr="008C7F46">
              <w:t>Female</w:t>
            </w:r>
          </w:p>
        </w:tc>
        <w:tc>
          <w:tcPr>
            <w:tcW w:w="811" w:type="dxa"/>
            <w:tcBorders>
              <w:right w:val="single" w:sz="4" w:space="0" w:color="auto"/>
            </w:tcBorders>
            <w:shd w:val="clear" w:color="auto" w:fill="auto"/>
            <w:noWrap/>
          </w:tcPr>
          <w:p w:rsidR="00C9115F" w:rsidRPr="008C7F46" w:rsidRDefault="00C9115F" w:rsidP="000D4023">
            <w:pPr>
              <w:pStyle w:val="Tablehead2"/>
              <w:jc w:val="center"/>
            </w:pPr>
            <w:r w:rsidRPr="008C7F46">
              <w:t>3639</w:t>
            </w:r>
          </w:p>
        </w:tc>
        <w:tc>
          <w:tcPr>
            <w:tcW w:w="1216" w:type="dxa"/>
            <w:tcBorders>
              <w:left w:val="single" w:sz="4" w:space="0" w:color="auto"/>
            </w:tcBorders>
            <w:shd w:val="clear" w:color="auto" w:fill="auto"/>
            <w:noWrap/>
          </w:tcPr>
          <w:p w:rsidR="00C9115F" w:rsidRPr="008C7F46" w:rsidRDefault="00C9115F" w:rsidP="000D4023">
            <w:pPr>
              <w:pStyle w:val="Tabletext"/>
              <w:tabs>
                <w:tab w:val="decimal" w:pos="454"/>
              </w:tabs>
            </w:pPr>
            <w:r w:rsidRPr="008C7F46">
              <w:t>56.6%</w:t>
            </w:r>
          </w:p>
        </w:tc>
        <w:tc>
          <w:tcPr>
            <w:tcW w:w="1216" w:type="dxa"/>
            <w:shd w:val="clear" w:color="auto" w:fill="auto"/>
            <w:noWrap/>
          </w:tcPr>
          <w:p w:rsidR="00C9115F" w:rsidRPr="008C7F46" w:rsidRDefault="00C9115F" w:rsidP="000D4023">
            <w:pPr>
              <w:pStyle w:val="Tabletext"/>
              <w:tabs>
                <w:tab w:val="decimal" w:pos="454"/>
              </w:tabs>
            </w:pPr>
            <w:r w:rsidRPr="008C7F46">
              <w:t>39.0%</w:t>
            </w:r>
          </w:p>
        </w:tc>
        <w:tc>
          <w:tcPr>
            <w:tcW w:w="1216" w:type="dxa"/>
            <w:shd w:val="clear" w:color="auto" w:fill="auto"/>
            <w:noWrap/>
          </w:tcPr>
          <w:p w:rsidR="00C9115F" w:rsidRPr="008C7F46" w:rsidRDefault="00C9115F" w:rsidP="000D4023">
            <w:pPr>
              <w:pStyle w:val="Tabletext"/>
              <w:tabs>
                <w:tab w:val="decimal" w:pos="454"/>
              </w:tabs>
            </w:pPr>
            <w:r w:rsidRPr="008C7F46">
              <w:t>5.9%</w:t>
            </w:r>
          </w:p>
        </w:tc>
        <w:tc>
          <w:tcPr>
            <w:tcW w:w="1217" w:type="dxa"/>
            <w:shd w:val="clear" w:color="auto" w:fill="auto"/>
            <w:noWrap/>
          </w:tcPr>
          <w:p w:rsidR="00C9115F" w:rsidRPr="008C7F46" w:rsidRDefault="00C9115F" w:rsidP="000D4023">
            <w:pPr>
              <w:pStyle w:val="Tabletext"/>
              <w:tabs>
                <w:tab w:val="decimal" w:pos="454"/>
              </w:tabs>
            </w:pPr>
            <w:r w:rsidRPr="008C7F46">
              <w:t>12.2%</w:t>
            </w:r>
          </w:p>
        </w:tc>
        <w:tc>
          <w:tcPr>
            <w:tcW w:w="1216" w:type="dxa"/>
            <w:shd w:val="clear" w:color="000000" w:fill="D8D8D8"/>
            <w:noWrap/>
          </w:tcPr>
          <w:p w:rsidR="00C9115F" w:rsidRPr="008C7F46" w:rsidRDefault="00C9115F" w:rsidP="000D4023">
            <w:pPr>
              <w:pStyle w:val="Tabletext"/>
              <w:tabs>
                <w:tab w:val="decimal" w:pos="454"/>
              </w:tabs>
              <w:rPr>
                <w:b/>
              </w:rPr>
            </w:pPr>
            <w:r w:rsidRPr="008C7F46">
              <w:rPr>
                <w:b/>
              </w:rPr>
              <w:t>80.9%</w:t>
            </w:r>
          </w:p>
        </w:tc>
        <w:tc>
          <w:tcPr>
            <w:tcW w:w="1216" w:type="dxa"/>
            <w:shd w:val="clear" w:color="000000" w:fill="D8D8D8"/>
            <w:noWrap/>
          </w:tcPr>
          <w:p w:rsidR="00C9115F" w:rsidRPr="008C7F46" w:rsidRDefault="00C9115F" w:rsidP="000D4023">
            <w:pPr>
              <w:pStyle w:val="Tabletext"/>
              <w:tabs>
                <w:tab w:val="decimal" w:pos="454"/>
              </w:tabs>
              <w:rPr>
                <w:b/>
              </w:rPr>
            </w:pPr>
            <w:r w:rsidRPr="008C7F46">
              <w:rPr>
                <w:b/>
              </w:rPr>
              <w:t>60.8%</w:t>
            </w:r>
          </w:p>
        </w:tc>
        <w:tc>
          <w:tcPr>
            <w:tcW w:w="1217" w:type="dxa"/>
            <w:shd w:val="clear" w:color="000000" w:fill="D8D8D8"/>
            <w:noWrap/>
          </w:tcPr>
          <w:p w:rsidR="00C9115F" w:rsidRPr="008C7F46" w:rsidRDefault="00C9115F" w:rsidP="000D4023">
            <w:pPr>
              <w:pStyle w:val="Tabletext"/>
              <w:tabs>
                <w:tab w:val="decimal" w:pos="454"/>
              </w:tabs>
              <w:rPr>
                <w:b/>
              </w:rPr>
            </w:pPr>
            <w:r w:rsidRPr="008C7F46">
              <w:rPr>
                <w:b/>
              </w:rPr>
              <w:t>61.0%</w:t>
            </w:r>
          </w:p>
        </w:tc>
        <w:tc>
          <w:tcPr>
            <w:tcW w:w="1216" w:type="dxa"/>
            <w:shd w:val="clear" w:color="000000" w:fill="D8D8D8"/>
            <w:noWrap/>
          </w:tcPr>
          <w:p w:rsidR="00C9115F" w:rsidRPr="008C7F46" w:rsidRDefault="00C9115F" w:rsidP="000D4023">
            <w:pPr>
              <w:pStyle w:val="Tabletext"/>
              <w:tabs>
                <w:tab w:val="decimal" w:pos="454"/>
              </w:tabs>
              <w:rPr>
                <w:b/>
              </w:rPr>
            </w:pPr>
            <w:r w:rsidRPr="008C7F46">
              <w:rPr>
                <w:b/>
              </w:rPr>
              <w:t>69.9%</w:t>
            </w:r>
          </w:p>
        </w:tc>
        <w:tc>
          <w:tcPr>
            <w:tcW w:w="1216" w:type="dxa"/>
            <w:shd w:val="clear" w:color="auto" w:fill="auto"/>
            <w:noWrap/>
          </w:tcPr>
          <w:p w:rsidR="00C9115F" w:rsidRPr="008C7F46" w:rsidRDefault="00C9115F" w:rsidP="000D4023">
            <w:pPr>
              <w:pStyle w:val="Tabletext"/>
              <w:tabs>
                <w:tab w:val="decimal" w:pos="454"/>
              </w:tabs>
            </w:pPr>
            <w:r w:rsidRPr="008C7F46">
              <w:t>34.6%</w:t>
            </w:r>
          </w:p>
        </w:tc>
        <w:tc>
          <w:tcPr>
            <w:tcW w:w="1217" w:type="dxa"/>
            <w:shd w:val="clear" w:color="000000" w:fill="D8D8D8"/>
            <w:noWrap/>
          </w:tcPr>
          <w:p w:rsidR="00C9115F" w:rsidRPr="008C7F46" w:rsidRDefault="00C9115F" w:rsidP="000D4023">
            <w:pPr>
              <w:pStyle w:val="Tabletext"/>
              <w:tabs>
                <w:tab w:val="decimal" w:pos="454"/>
              </w:tabs>
              <w:rPr>
                <w:b/>
              </w:rPr>
            </w:pPr>
            <w:r w:rsidRPr="008C7F46">
              <w:rPr>
                <w:b/>
              </w:rPr>
              <w:t>67.6%</w:t>
            </w:r>
          </w:p>
        </w:tc>
      </w:tr>
      <w:tr w:rsidR="00C9115F" w:rsidRPr="008C7F46" w:rsidTr="000D4023">
        <w:tc>
          <w:tcPr>
            <w:tcW w:w="1031" w:type="dxa"/>
            <w:shd w:val="clear" w:color="auto" w:fill="auto"/>
            <w:noWrap/>
          </w:tcPr>
          <w:p w:rsidR="00C9115F" w:rsidRPr="008C7F46" w:rsidRDefault="00C9115F" w:rsidP="00084229">
            <w:pPr>
              <w:pStyle w:val="Tablehead2"/>
            </w:pPr>
            <w:r w:rsidRPr="008C7F46">
              <w:t>Total</w:t>
            </w:r>
          </w:p>
        </w:tc>
        <w:tc>
          <w:tcPr>
            <w:tcW w:w="811" w:type="dxa"/>
            <w:tcBorders>
              <w:right w:val="single" w:sz="4" w:space="0" w:color="auto"/>
            </w:tcBorders>
            <w:shd w:val="clear" w:color="auto" w:fill="auto"/>
            <w:noWrap/>
          </w:tcPr>
          <w:p w:rsidR="00C9115F" w:rsidRPr="008C7F46" w:rsidRDefault="00C9115F" w:rsidP="000D4023">
            <w:pPr>
              <w:pStyle w:val="Tablehead2"/>
              <w:jc w:val="center"/>
            </w:pPr>
            <w:r w:rsidRPr="008C7F46">
              <w:t>6726</w:t>
            </w:r>
          </w:p>
        </w:tc>
        <w:tc>
          <w:tcPr>
            <w:tcW w:w="1216" w:type="dxa"/>
            <w:tcBorders>
              <w:left w:val="single" w:sz="4" w:space="0" w:color="auto"/>
              <w:bottom w:val="single" w:sz="4" w:space="0" w:color="auto"/>
            </w:tcBorders>
            <w:shd w:val="clear" w:color="auto" w:fill="auto"/>
            <w:noWrap/>
          </w:tcPr>
          <w:p w:rsidR="00C9115F" w:rsidRPr="008C7F46" w:rsidRDefault="00C9115F" w:rsidP="000D4023">
            <w:pPr>
              <w:pStyle w:val="Tabletext"/>
              <w:tabs>
                <w:tab w:val="decimal" w:pos="454"/>
              </w:tabs>
            </w:pPr>
            <w:r w:rsidRPr="008C7F46">
              <w:t>100%</w:t>
            </w:r>
          </w:p>
        </w:tc>
        <w:tc>
          <w:tcPr>
            <w:tcW w:w="1216" w:type="dxa"/>
            <w:shd w:val="clear" w:color="auto" w:fill="auto"/>
            <w:noWrap/>
          </w:tcPr>
          <w:p w:rsidR="00C9115F" w:rsidRPr="008C7F46" w:rsidRDefault="00C9115F" w:rsidP="000D4023">
            <w:pPr>
              <w:pStyle w:val="Tabletext"/>
              <w:tabs>
                <w:tab w:val="decimal" w:pos="454"/>
              </w:tabs>
            </w:pPr>
            <w:r w:rsidRPr="008C7F46">
              <w:t>100%</w:t>
            </w:r>
          </w:p>
        </w:tc>
        <w:tc>
          <w:tcPr>
            <w:tcW w:w="1216" w:type="dxa"/>
            <w:shd w:val="clear" w:color="auto" w:fill="auto"/>
            <w:noWrap/>
          </w:tcPr>
          <w:p w:rsidR="00C9115F" w:rsidRPr="008C7F46" w:rsidRDefault="00C9115F" w:rsidP="000D4023">
            <w:pPr>
              <w:pStyle w:val="Tabletext"/>
              <w:tabs>
                <w:tab w:val="decimal" w:pos="454"/>
              </w:tabs>
            </w:pPr>
            <w:r w:rsidRPr="008C7F46">
              <w:t>100%</w:t>
            </w:r>
          </w:p>
        </w:tc>
        <w:tc>
          <w:tcPr>
            <w:tcW w:w="1217" w:type="dxa"/>
            <w:shd w:val="clear" w:color="auto" w:fill="auto"/>
            <w:noWrap/>
          </w:tcPr>
          <w:p w:rsidR="00C9115F" w:rsidRPr="008C7F46" w:rsidRDefault="00C9115F" w:rsidP="000D4023">
            <w:pPr>
              <w:pStyle w:val="Tabletext"/>
              <w:tabs>
                <w:tab w:val="decimal" w:pos="454"/>
              </w:tabs>
            </w:pPr>
            <w:r w:rsidRPr="008C7F46">
              <w:t>100%</w:t>
            </w:r>
          </w:p>
        </w:tc>
        <w:tc>
          <w:tcPr>
            <w:tcW w:w="1216" w:type="dxa"/>
            <w:shd w:val="clear" w:color="auto" w:fill="auto"/>
            <w:noWrap/>
          </w:tcPr>
          <w:p w:rsidR="00C9115F" w:rsidRPr="008C7F46" w:rsidRDefault="00C9115F" w:rsidP="000D4023">
            <w:pPr>
              <w:pStyle w:val="Tabletext"/>
              <w:tabs>
                <w:tab w:val="decimal" w:pos="454"/>
              </w:tabs>
            </w:pPr>
            <w:r w:rsidRPr="008C7F46">
              <w:t>100%</w:t>
            </w:r>
          </w:p>
        </w:tc>
        <w:tc>
          <w:tcPr>
            <w:tcW w:w="1216" w:type="dxa"/>
            <w:shd w:val="clear" w:color="auto" w:fill="auto"/>
            <w:noWrap/>
          </w:tcPr>
          <w:p w:rsidR="00C9115F" w:rsidRPr="008C7F46" w:rsidRDefault="00C9115F" w:rsidP="000D4023">
            <w:pPr>
              <w:pStyle w:val="Tabletext"/>
              <w:tabs>
                <w:tab w:val="decimal" w:pos="454"/>
              </w:tabs>
            </w:pPr>
            <w:r w:rsidRPr="008C7F46">
              <w:t>100%</w:t>
            </w:r>
          </w:p>
        </w:tc>
        <w:tc>
          <w:tcPr>
            <w:tcW w:w="1217" w:type="dxa"/>
            <w:shd w:val="clear" w:color="auto" w:fill="auto"/>
            <w:noWrap/>
          </w:tcPr>
          <w:p w:rsidR="00C9115F" w:rsidRPr="008C7F46" w:rsidRDefault="00C9115F" w:rsidP="000D4023">
            <w:pPr>
              <w:pStyle w:val="Tabletext"/>
              <w:tabs>
                <w:tab w:val="decimal" w:pos="454"/>
              </w:tabs>
            </w:pPr>
            <w:r w:rsidRPr="008C7F46">
              <w:t>100%</w:t>
            </w:r>
          </w:p>
        </w:tc>
        <w:tc>
          <w:tcPr>
            <w:tcW w:w="1216" w:type="dxa"/>
            <w:shd w:val="clear" w:color="auto" w:fill="auto"/>
            <w:noWrap/>
          </w:tcPr>
          <w:p w:rsidR="00C9115F" w:rsidRPr="008C7F46" w:rsidRDefault="00C9115F" w:rsidP="000D4023">
            <w:pPr>
              <w:pStyle w:val="Tabletext"/>
              <w:tabs>
                <w:tab w:val="decimal" w:pos="454"/>
              </w:tabs>
            </w:pPr>
            <w:r w:rsidRPr="008C7F46">
              <w:t>100%</w:t>
            </w:r>
          </w:p>
        </w:tc>
        <w:tc>
          <w:tcPr>
            <w:tcW w:w="1216" w:type="dxa"/>
            <w:shd w:val="clear" w:color="auto" w:fill="auto"/>
            <w:noWrap/>
          </w:tcPr>
          <w:p w:rsidR="00C9115F" w:rsidRPr="008C7F46" w:rsidRDefault="00C9115F" w:rsidP="000D4023">
            <w:pPr>
              <w:pStyle w:val="Tabletext"/>
              <w:tabs>
                <w:tab w:val="decimal" w:pos="454"/>
              </w:tabs>
            </w:pPr>
            <w:r w:rsidRPr="008C7F46">
              <w:t>100%</w:t>
            </w:r>
          </w:p>
        </w:tc>
        <w:tc>
          <w:tcPr>
            <w:tcW w:w="1217" w:type="dxa"/>
            <w:shd w:val="clear" w:color="auto" w:fill="auto"/>
            <w:noWrap/>
          </w:tcPr>
          <w:p w:rsidR="00C9115F" w:rsidRPr="008C7F46" w:rsidRDefault="00C9115F" w:rsidP="000D4023">
            <w:pPr>
              <w:pStyle w:val="Tabletext"/>
              <w:tabs>
                <w:tab w:val="decimal" w:pos="454"/>
              </w:tabs>
            </w:pPr>
            <w:r w:rsidRPr="008C7F46">
              <w:t>100%</w:t>
            </w:r>
          </w:p>
        </w:tc>
      </w:tr>
    </w:tbl>
    <w:p w:rsidR="00C9115F" w:rsidRDefault="00C9115F" w:rsidP="00C9115F">
      <w:pPr>
        <w:pStyle w:val="tabletitle"/>
      </w:pPr>
      <w:bookmarkStart w:id="98" w:name="_Toc194650005"/>
      <w:bookmarkStart w:id="99" w:name="_Toc335752998"/>
      <w:r>
        <w:t>Table C3</w:t>
      </w:r>
      <w:r>
        <w:tab/>
      </w:r>
      <w:r w:rsidRPr="00A86E9F">
        <w:t>Distribution of time by cluster</w:t>
      </w:r>
      <w:bookmarkEnd w:id="98"/>
      <w:bookmarkEnd w:id="99"/>
    </w:p>
    <w:tbl>
      <w:tblPr>
        <w:tblW w:w="14005" w:type="dxa"/>
        <w:tblInd w:w="57" w:type="dxa"/>
        <w:tblLayout w:type="fixed"/>
        <w:tblCellMar>
          <w:left w:w="57" w:type="dxa"/>
          <w:right w:w="57" w:type="dxa"/>
        </w:tblCellMar>
        <w:tblLook w:val="04A0"/>
      </w:tblPr>
      <w:tblGrid>
        <w:gridCol w:w="1985"/>
        <w:gridCol w:w="567"/>
        <w:gridCol w:w="779"/>
        <w:gridCol w:w="780"/>
        <w:gridCol w:w="919"/>
        <w:gridCol w:w="782"/>
        <w:gridCol w:w="985"/>
        <w:gridCol w:w="925"/>
        <w:gridCol w:w="925"/>
        <w:gridCol w:w="717"/>
        <w:gridCol w:w="718"/>
        <w:gridCol w:w="842"/>
        <w:gridCol w:w="842"/>
        <w:gridCol w:w="746"/>
        <w:gridCol w:w="746"/>
        <w:gridCol w:w="747"/>
      </w:tblGrid>
      <w:tr w:rsidR="00C9115F" w:rsidRPr="00F41888" w:rsidTr="00D809FA">
        <w:tc>
          <w:tcPr>
            <w:tcW w:w="1985" w:type="dxa"/>
            <w:vMerge w:val="restart"/>
            <w:tcBorders>
              <w:top w:val="single" w:sz="4" w:space="0" w:color="auto"/>
            </w:tcBorders>
            <w:shd w:val="clear" w:color="auto" w:fill="auto"/>
            <w:noWrap/>
          </w:tcPr>
          <w:p w:rsidR="00C9115F" w:rsidRPr="00896156" w:rsidRDefault="00C9115F" w:rsidP="00D809FA">
            <w:pPr>
              <w:pStyle w:val="Tablehead1"/>
            </w:pPr>
            <w:bookmarkStart w:id="100" w:name="_Toc293939223"/>
            <w:bookmarkStart w:id="101" w:name="_Toc293995364"/>
            <w:bookmarkStart w:id="102" w:name="_Toc293995402"/>
            <w:bookmarkStart w:id="103" w:name="_Toc293995748"/>
            <w:bookmarkStart w:id="104" w:name="_Toc293995931"/>
            <w:bookmarkStart w:id="105" w:name="_Toc293996119"/>
            <w:bookmarkStart w:id="106" w:name="_Toc293996493"/>
            <w:r w:rsidRPr="00896156">
              <w:t>Cluster</w:t>
            </w:r>
            <w:bookmarkEnd w:id="100"/>
            <w:bookmarkEnd w:id="101"/>
            <w:bookmarkEnd w:id="102"/>
            <w:bookmarkEnd w:id="103"/>
            <w:bookmarkEnd w:id="104"/>
            <w:bookmarkEnd w:id="105"/>
            <w:bookmarkEnd w:id="106"/>
          </w:p>
        </w:tc>
        <w:tc>
          <w:tcPr>
            <w:tcW w:w="567" w:type="dxa"/>
            <w:vMerge w:val="restart"/>
            <w:tcBorders>
              <w:top w:val="single" w:sz="4" w:space="0" w:color="auto"/>
              <w:right w:val="single" w:sz="4" w:space="0" w:color="auto"/>
            </w:tcBorders>
            <w:shd w:val="clear" w:color="auto" w:fill="auto"/>
          </w:tcPr>
          <w:p w:rsidR="00C9115F" w:rsidRPr="00896156" w:rsidRDefault="00C9115F" w:rsidP="00D809FA">
            <w:pPr>
              <w:pStyle w:val="Tablehead1"/>
              <w:jc w:val="center"/>
            </w:pPr>
            <w:bookmarkStart w:id="107" w:name="_Toc293939224"/>
            <w:bookmarkStart w:id="108" w:name="_Toc293995365"/>
            <w:bookmarkStart w:id="109" w:name="_Toc293995403"/>
            <w:bookmarkStart w:id="110" w:name="_Toc293995749"/>
            <w:bookmarkStart w:id="111" w:name="_Toc293995932"/>
            <w:bookmarkStart w:id="112" w:name="_Toc293996120"/>
            <w:bookmarkStart w:id="113" w:name="_Toc293996494"/>
            <w:r w:rsidRPr="00896156">
              <w:t>N</w:t>
            </w:r>
            <w:bookmarkEnd w:id="107"/>
            <w:bookmarkEnd w:id="108"/>
            <w:bookmarkEnd w:id="109"/>
            <w:bookmarkEnd w:id="110"/>
            <w:bookmarkEnd w:id="111"/>
            <w:bookmarkEnd w:id="112"/>
            <w:bookmarkEnd w:id="113"/>
          </w:p>
        </w:tc>
        <w:tc>
          <w:tcPr>
            <w:tcW w:w="11453" w:type="dxa"/>
            <w:gridSpan w:val="14"/>
            <w:tcBorders>
              <w:top w:val="single" w:sz="4" w:space="0" w:color="auto"/>
              <w:left w:val="single" w:sz="4" w:space="0" w:color="auto"/>
            </w:tcBorders>
            <w:shd w:val="clear" w:color="auto" w:fill="auto"/>
            <w:noWrap/>
          </w:tcPr>
          <w:p w:rsidR="00C9115F" w:rsidRPr="00084229" w:rsidRDefault="00C9115F" w:rsidP="00D809FA">
            <w:pPr>
              <w:pStyle w:val="Tablehead1"/>
              <w:jc w:val="center"/>
            </w:pPr>
            <w:bookmarkStart w:id="114" w:name="_Toc293939225"/>
            <w:bookmarkStart w:id="115" w:name="_Toc293995366"/>
            <w:bookmarkStart w:id="116" w:name="_Toc293995404"/>
            <w:bookmarkStart w:id="117" w:name="_Toc293995750"/>
            <w:bookmarkStart w:id="118" w:name="_Toc293995933"/>
            <w:bookmarkStart w:id="119" w:name="_Toc293996121"/>
            <w:bookmarkStart w:id="120" w:name="_Toc293996495"/>
            <w:r w:rsidRPr="00084229">
              <w:t>Proportion of time in</w:t>
            </w:r>
            <w:r w:rsidR="00D809FA">
              <w:t xml:space="preserve"> </w:t>
            </w:r>
            <w:bookmarkEnd w:id="114"/>
            <w:bookmarkEnd w:id="115"/>
            <w:bookmarkEnd w:id="116"/>
            <w:bookmarkEnd w:id="117"/>
            <w:bookmarkEnd w:id="118"/>
            <w:bookmarkEnd w:id="119"/>
            <w:bookmarkEnd w:id="120"/>
            <w:r w:rsidR="00D809FA">
              <w:t>…</w:t>
            </w:r>
          </w:p>
        </w:tc>
      </w:tr>
      <w:tr w:rsidR="00D809FA" w:rsidRPr="00F41888" w:rsidTr="00D809FA">
        <w:tc>
          <w:tcPr>
            <w:tcW w:w="1985" w:type="dxa"/>
            <w:vMerge/>
            <w:tcBorders>
              <w:bottom w:val="single" w:sz="4" w:space="0" w:color="auto"/>
            </w:tcBorders>
          </w:tcPr>
          <w:p w:rsidR="00C9115F" w:rsidRPr="00F41888" w:rsidRDefault="00C9115F" w:rsidP="00D809FA">
            <w:pPr>
              <w:rPr>
                <w:rFonts w:ascii="Arial" w:hAnsi="Arial" w:cs="Arial"/>
                <w:color w:val="000000"/>
                <w:sz w:val="16"/>
                <w:szCs w:val="16"/>
              </w:rPr>
            </w:pPr>
          </w:p>
        </w:tc>
        <w:tc>
          <w:tcPr>
            <w:tcW w:w="567" w:type="dxa"/>
            <w:vMerge/>
            <w:tcBorders>
              <w:bottom w:val="single" w:sz="4" w:space="0" w:color="auto"/>
              <w:right w:val="single" w:sz="4" w:space="0" w:color="auto"/>
            </w:tcBorders>
          </w:tcPr>
          <w:p w:rsidR="00C9115F" w:rsidRPr="00F41888" w:rsidRDefault="00C9115F" w:rsidP="00D809FA">
            <w:pPr>
              <w:rPr>
                <w:rFonts w:ascii="Arial" w:hAnsi="Arial" w:cs="Arial"/>
                <w:color w:val="000000"/>
                <w:sz w:val="16"/>
                <w:szCs w:val="16"/>
              </w:rPr>
            </w:pPr>
          </w:p>
        </w:tc>
        <w:tc>
          <w:tcPr>
            <w:tcW w:w="779" w:type="dxa"/>
            <w:tcBorders>
              <w:left w:val="single" w:sz="4" w:space="0" w:color="auto"/>
              <w:bottom w:val="single" w:sz="4" w:space="0" w:color="auto"/>
            </w:tcBorders>
            <w:shd w:val="clear" w:color="auto" w:fill="auto"/>
            <w:noWrap/>
            <w:tcMar>
              <w:left w:w="0" w:type="dxa"/>
              <w:right w:w="0" w:type="dxa"/>
            </w:tcMar>
          </w:tcPr>
          <w:p w:rsidR="00C9115F" w:rsidRPr="00084229" w:rsidRDefault="00C9115F" w:rsidP="00D809FA">
            <w:pPr>
              <w:pStyle w:val="Tablehead2"/>
              <w:jc w:val="center"/>
            </w:pPr>
            <w:r w:rsidRPr="00084229">
              <w:t>School</w:t>
            </w:r>
          </w:p>
        </w:tc>
        <w:tc>
          <w:tcPr>
            <w:tcW w:w="780"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 xml:space="preserve">VET </w:t>
            </w:r>
            <w:r w:rsidR="00D809FA">
              <w:br/>
            </w:r>
            <w:r w:rsidRPr="00084229">
              <w:t>study</w:t>
            </w:r>
          </w:p>
        </w:tc>
        <w:tc>
          <w:tcPr>
            <w:tcW w:w="919"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Higher education study</w:t>
            </w:r>
          </w:p>
        </w:tc>
        <w:tc>
          <w:tcPr>
            <w:tcW w:w="782"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Manager</w:t>
            </w:r>
          </w:p>
        </w:tc>
        <w:tc>
          <w:tcPr>
            <w:tcW w:w="985"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Professional</w:t>
            </w:r>
          </w:p>
        </w:tc>
        <w:tc>
          <w:tcPr>
            <w:tcW w:w="925"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Technician/ trades</w:t>
            </w:r>
          </w:p>
        </w:tc>
        <w:tc>
          <w:tcPr>
            <w:tcW w:w="925"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Community services</w:t>
            </w:r>
          </w:p>
        </w:tc>
        <w:tc>
          <w:tcPr>
            <w:tcW w:w="717"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Admin worker</w:t>
            </w:r>
          </w:p>
        </w:tc>
        <w:tc>
          <w:tcPr>
            <w:tcW w:w="718"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Sales worker</w:t>
            </w:r>
          </w:p>
        </w:tc>
        <w:tc>
          <w:tcPr>
            <w:tcW w:w="842"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Machin</w:t>
            </w:r>
            <w:r w:rsidR="00BA6AF0">
              <w:t>ery o</w:t>
            </w:r>
            <w:r w:rsidRPr="00084229">
              <w:t>perator</w:t>
            </w:r>
          </w:p>
        </w:tc>
        <w:tc>
          <w:tcPr>
            <w:tcW w:w="842"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Labourer</w:t>
            </w:r>
          </w:p>
        </w:tc>
        <w:tc>
          <w:tcPr>
            <w:tcW w:w="746"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U/E</w:t>
            </w:r>
          </w:p>
        </w:tc>
        <w:tc>
          <w:tcPr>
            <w:tcW w:w="746" w:type="dxa"/>
            <w:tcBorders>
              <w:bottom w:val="single" w:sz="4" w:space="0" w:color="auto"/>
            </w:tcBorders>
            <w:shd w:val="clear" w:color="auto" w:fill="auto"/>
            <w:tcMar>
              <w:left w:w="0" w:type="dxa"/>
              <w:right w:w="0" w:type="dxa"/>
            </w:tcMar>
          </w:tcPr>
          <w:p w:rsidR="00C9115F" w:rsidRPr="00084229" w:rsidRDefault="00C9115F" w:rsidP="00D809FA">
            <w:pPr>
              <w:pStyle w:val="Tablehead2"/>
              <w:jc w:val="center"/>
            </w:pPr>
            <w:r w:rsidRPr="00084229">
              <w:t>NILF</w:t>
            </w:r>
          </w:p>
        </w:tc>
        <w:tc>
          <w:tcPr>
            <w:tcW w:w="747" w:type="dxa"/>
            <w:tcBorders>
              <w:bottom w:val="single" w:sz="4" w:space="0" w:color="auto"/>
            </w:tcBorders>
            <w:shd w:val="clear" w:color="auto" w:fill="auto"/>
            <w:noWrap/>
            <w:tcMar>
              <w:left w:w="0" w:type="dxa"/>
              <w:right w:w="0" w:type="dxa"/>
            </w:tcMar>
          </w:tcPr>
          <w:p w:rsidR="00C9115F" w:rsidRPr="00084229" w:rsidRDefault="00C9115F" w:rsidP="00D809FA">
            <w:pPr>
              <w:pStyle w:val="Tablehead2"/>
              <w:jc w:val="center"/>
            </w:pPr>
            <w:r w:rsidRPr="00084229">
              <w:t>Total</w:t>
            </w:r>
          </w:p>
        </w:tc>
      </w:tr>
      <w:tr w:rsidR="00D809FA" w:rsidRPr="00F41888" w:rsidTr="00D809FA">
        <w:tc>
          <w:tcPr>
            <w:tcW w:w="1985" w:type="dxa"/>
            <w:tcBorders>
              <w:top w:val="single" w:sz="4" w:space="0" w:color="auto"/>
              <w:bottom w:val="nil"/>
            </w:tcBorders>
            <w:shd w:val="clear" w:color="auto" w:fill="auto"/>
            <w:noWrap/>
            <w:tcMar>
              <w:right w:w="0" w:type="dxa"/>
            </w:tcMar>
          </w:tcPr>
          <w:p w:rsidR="00C9115F" w:rsidRPr="00F41888" w:rsidRDefault="00C9115F" w:rsidP="00D809FA">
            <w:pPr>
              <w:pStyle w:val="Tablehead2"/>
              <w:ind w:left="227" w:hanging="227"/>
            </w:pPr>
            <w:r w:rsidRPr="00F41888">
              <w:t>1</w:t>
            </w:r>
            <w:r w:rsidR="00D809FA">
              <w:tab/>
            </w:r>
            <w:r w:rsidRPr="00F41888">
              <w:t>Professionals</w:t>
            </w:r>
          </w:p>
        </w:tc>
        <w:tc>
          <w:tcPr>
            <w:tcW w:w="567" w:type="dxa"/>
            <w:tcBorders>
              <w:top w:val="single" w:sz="4" w:space="0" w:color="auto"/>
              <w:bottom w:val="nil"/>
              <w:right w:val="single" w:sz="4" w:space="0" w:color="auto"/>
            </w:tcBorders>
            <w:shd w:val="clear" w:color="auto" w:fill="auto"/>
            <w:noWrap/>
          </w:tcPr>
          <w:p w:rsidR="00C9115F" w:rsidRPr="00F41888" w:rsidRDefault="00C9115F" w:rsidP="00D809FA">
            <w:pPr>
              <w:pStyle w:val="Tablehead2"/>
              <w:ind w:right="57"/>
              <w:jc w:val="right"/>
            </w:pPr>
            <w:r w:rsidRPr="00F41888">
              <w:t>1066</w:t>
            </w:r>
          </w:p>
        </w:tc>
        <w:tc>
          <w:tcPr>
            <w:tcW w:w="779" w:type="dxa"/>
            <w:tcBorders>
              <w:top w:val="single" w:sz="4" w:space="0" w:color="auto"/>
              <w:left w:val="single" w:sz="4" w:space="0" w:color="auto"/>
              <w:bottom w:val="nil"/>
            </w:tcBorders>
            <w:shd w:val="clear" w:color="auto" w:fill="auto"/>
            <w:noWrap/>
          </w:tcPr>
          <w:p w:rsidR="00C9115F" w:rsidRPr="00F41888" w:rsidRDefault="00C9115F" w:rsidP="00D809FA">
            <w:pPr>
              <w:pStyle w:val="Tabletext"/>
              <w:tabs>
                <w:tab w:val="decimal" w:pos="226"/>
              </w:tabs>
            </w:pPr>
            <w:r w:rsidRPr="00F41888">
              <w:t>0.0%</w:t>
            </w:r>
          </w:p>
        </w:tc>
        <w:tc>
          <w:tcPr>
            <w:tcW w:w="780" w:type="dxa"/>
            <w:tcBorders>
              <w:top w:val="single" w:sz="4" w:space="0" w:color="auto"/>
              <w:bottom w:val="nil"/>
            </w:tcBorders>
            <w:shd w:val="clear" w:color="auto" w:fill="auto"/>
            <w:noWrap/>
          </w:tcPr>
          <w:p w:rsidR="00C9115F" w:rsidRPr="00F41888" w:rsidRDefault="00C9115F" w:rsidP="00D809FA">
            <w:pPr>
              <w:pStyle w:val="Tabletext"/>
              <w:tabs>
                <w:tab w:val="decimal" w:pos="226"/>
              </w:tabs>
            </w:pPr>
            <w:r w:rsidRPr="00F41888">
              <w:t>0.6%</w:t>
            </w:r>
          </w:p>
        </w:tc>
        <w:tc>
          <w:tcPr>
            <w:tcW w:w="919" w:type="dxa"/>
            <w:tcBorders>
              <w:top w:val="single" w:sz="4" w:space="0" w:color="auto"/>
              <w:bottom w:val="nil"/>
            </w:tcBorders>
            <w:shd w:val="clear" w:color="auto" w:fill="auto"/>
            <w:noWrap/>
          </w:tcPr>
          <w:p w:rsidR="00C9115F" w:rsidRPr="00F41888" w:rsidRDefault="00C9115F" w:rsidP="00002B9E">
            <w:pPr>
              <w:pStyle w:val="Tabletext"/>
              <w:tabs>
                <w:tab w:val="decimal" w:pos="284"/>
              </w:tabs>
            </w:pPr>
            <w:r w:rsidRPr="00F41888">
              <w:t>0.8%</w:t>
            </w:r>
          </w:p>
        </w:tc>
        <w:tc>
          <w:tcPr>
            <w:tcW w:w="782" w:type="dxa"/>
            <w:tcBorders>
              <w:top w:val="single" w:sz="4" w:space="0" w:color="auto"/>
              <w:bottom w:val="nil"/>
            </w:tcBorders>
            <w:shd w:val="clear" w:color="auto" w:fill="auto"/>
            <w:noWrap/>
          </w:tcPr>
          <w:p w:rsidR="00C9115F" w:rsidRPr="00F41888" w:rsidRDefault="00C9115F" w:rsidP="00D809FA">
            <w:pPr>
              <w:pStyle w:val="Tabletext"/>
              <w:tabs>
                <w:tab w:val="decimal" w:pos="226"/>
              </w:tabs>
            </w:pPr>
            <w:r w:rsidRPr="00F41888">
              <w:t>3.6%</w:t>
            </w:r>
          </w:p>
        </w:tc>
        <w:tc>
          <w:tcPr>
            <w:tcW w:w="985" w:type="dxa"/>
            <w:tcBorders>
              <w:top w:val="single" w:sz="4" w:space="0" w:color="auto"/>
              <w:bottom w:val="nil"/>
            </w:tcBorders>
            <w:shd w:val="clear" w:color="000000" w:fill="D8D8D8"/>
            <w:noWrap/>
          </w:tcPr>
          <w:p w:rsidR="00C9115F" w:rsidRPr="00F41888" w:rsidRDefault="00C9115F" w:rsidP="00002B9E">
            <w:pPr>
              <w:pStyle w:val="Tabletext"/>
              <w:tabs>
                <w:tab w:val="decimal" w:pos="340"/>
              </w:tabs>
              <w:rPr>
                <w:b/>
              </w:rPr>
            </w:pPr>
            <w:r w:rsidRPr="00F41888">
              <w:rPr>
                <w:b/>
              </w:rPr>
              <w:t>83.1%</w:t>
            </w:r>
          </w:p>
        </w:tc>
        <w:tc>
          <w:tcPr>
            <w:tcW w:w="925" w:type="dxa"/>
            <w:tcBorders>
              <w:top w:val="single" w:sz="4" w:space="0" w:color="auto"/>
              <w:bottom w:val="nil"/>
            </w:tcBorders>
            <w:shd w:val="clear" w:color="auto" w:fill="auto"/>
            <w:noWrap/>
          </w:tcPr>
          <w:p w:rsidR="00C9115F" w:rsidRPr="00F41888" w:rsidRDefault="00C9115F" w:rsidP="00002B9E">
            <w:pPr>
              <w:pStyle w:val="Tabletext"/>
              <w:tabs>
                <w:tab w:val="decimal" w:pos="284"/>
              </w:tabs>
            </w:pPr>
            <w:r w:rsidRPr="00F41888">
              <w:t>1.9%</w:t>
            </w:r>
          </w:p>
        </w:tc>
        <w:tc>
          <w:tcPr>
            <w:tcW w:w="925" w:type="dxa"/>
            <w:tcBorders>
              <w:top w:val="single" w:sz="4" w:space="0" w:color="auto"/>
              <w:bottom w:val="nil"/>
            </w:tcBorders>
            <w:shd w:val="clear" w:color="auto" w:fill="auto"/>
            <w:noWrap/>
          </w:tcPr>
          <w:p w:rsidR="00C9115F" w:rsidRPr="00F41888" w:rsidRDefault="00C9115F" w:rsidP="00002B9E">
            <w:pPr>
              <w:pStyle w:val="Tabletext"/>
              <w:tabs>
                <w:tab w:val="decimal" w:pos="284"/>
              </w:tabs>
            </w:pPr>
            <w:r w:rsidRPr="00F41888">
              <w:t>0.9%</w:t>
            </w:r>
          </w:p>
        </w:tc>
        <w:tc>
          <w:tcPr>
            <w:tcW w:w="717" w:type="dxa"/>
            <w:tcBorders>
              <w:top w:val="single" w:sz="4" w:space="0" w:color="auto"/>
              <w:bottom w:val="nil"/>
            </w:tcBorders>
            <w:shd w:val="clear" w:color="auto" w:fill="auto"/>
            <w:noWrap/>
          </w:tcPr>
          <w:p w:rsidR="00C9115F" w:rsidRPr="00F41888" w:rsidRDefault="00C9115F" w:rsidP="00D809FA">
            <w:pPr>
              <w:pStyle w:val="Tabletext"/>
              <w:tabs>
                <w:tab w:val="decimal" w:pos="226"/>
              </w:tabs>
            </w:pPr>
            <w:r w:rsidRPr="00F41888">
              <w:t>2.0%</w:t>
            </w:r>
          </w:p>
        </w:tc>
        <w:tc>
          <w:tcPr>
            <w:tcW w:w="718" w:type="dxa"/>
            <w:tcBorders>
              <w:top w:val="single" w:sz="4" w:space="0" w:color="auto"/>
              <w:bottom w:val="nil"/>
            </w:tcBorders>
            <w:shd w:val="clear" w:color="auto" w:fill="auto"/>
            <w:noWrap/>
          </w:tcPr>
          <w:p w:rsidR="00C9115F" w:rsidRPr="00F41888" w:rsidRDefault="00C9115F" w:rsidP="00D809FA">
            <w:pPr>
              <w:pStyle w:val="Tabletext"/>
              <w:tabs>
                <w:tab w:val="decimal" w:pos="226"/>
              </w:tabs>
            </w:pPr>
            <w:r w:rsidRPr="00F41888">
              <w:t>0.6%</w:t>
            </w:r>
          </w:p>
        </w:tc>
        <w:tc>
          <w:tcPr>
            <w:tcW w:w="842" w:type="dxa"/>
            <w:tcBorders>
              <w:top w:val="single" w:sz="4" w:space="0" w:color="auto"/>
              <w:bottom w:val="nil"/>
            </w:tcBorders>
            <w:shd w:val="clear" w:color="auto" w:fill="auto"/>
            <w:noWrap/>
          </w:tcPr>
          <w:p w:rsidR="00C9115F" w:rsidRPr="00F41888" w:rsidRDefault="00C9115F" w:rsidP="00002B9E">
            <w:pPr>
              <w:pStyle w:val="Tabletext"/>
              <w:tabs>
                <w:tab w:val="decimal" w:pos="284"/>
              </w:tabs>
            </w:pPr>
            <w:r w:rsidRPr="00F41888">
              <w:t>0.1%</w:t>
            </w:r>
          </w:p>
        </w:tc>
        <w:tc>
          <w:tcPr>
            <w:tcW w:w="842" w:type="dxa"/>
            <w:tcBorders>
              <w:top w:val="single" w:sz="4" w:space="0" w:color="auto"/>
              <w:bottom w:val="nil"/>
            </w:tcBorders>
            <w:shd w:val="clear" w:color="auto" w:fill="auto"/>
            <w:noWrap/>
          </w:tcPr>
          <w:p w:rsidR="00C9115F" w:rsidRPr="00F41888" w:rsidRDefault="00C9115F" w:rsidP="00002B9E">
            <w:pPr>
              <w:pStyle w:val="Tabletext"/>
              <w:tabs>
                <w:tab w:val="decimal" w:pos="284"/>
              </w:tabs>
            </w:pPr>
            <w:r w:rsidRPr="00F41888">
              <w:t>0.4%</w:t>
            </w:r>
          </w:p>
        </w:tc>
        <w:tc>
          <w:tcPr>
            <w:tcW w:w="746" w:type="dxa"/>
            <w:tcBorders>
              <w:top w:val="single" w:sz="4" w:space="0" w:color="auto"/>
              <w:bottom w:val="nil"/>
            </w:tcBorders>
            <w:shd w:val="clear" w:color="auto" w:fill="auto"/>
            <w:noWrap/>
          </w:tcPr>
          <w:p w:rsidR="00C9115F" w:rsidRPr="00F41888" w:rsidRDefault="00C9115F" w:rsidP="00D809FA">
            <w:pPr>
              <w:pStyle w:val="Tabletext"/>
              <w:tabs>
                <w:tab w:val="decimal" w:pos="226"/>
              </w:tabs>
            </w:pPr>
            <w:r w:rsidRPr="00F41888">
              <w:t>0.8%</w:t>
            </w:r>
          </w:p>
        </w:tc>
        <w:tc>
          <w:tcPr>
            <w:tcW w:w="746" w:type="dxa"/>
            <w:tcBorders>
              <w:top w:val="single" w:sz="4" w:space="0" w:color="auto"/>
              <w:bottom w:val="nil"/>
            </w:tcBorders>
            <w:shd w:val="clear" w:color="000000" w:fill="D8D8D8"/>
            <w:noWrap/>
          </w:tcPr>
          <w:p w:rsidR="00C9115F" w:rsidRPr="00F41888" w:rsidRDefault="00C9115F" w:rsidP="00D809FA">
            <w:pPr>
              <w:pStyle w:val="Tabletext"/>
              <w:tabs>
                <w:tab w:val="decimal" w:pos="226"/>
              </w:tabs>
              <w:rPr>
                <w:b/>
              </w:rPr>
            </w:pPr>
            <w:r w:rsidRPr="00F41888">
              <w:rPr>
                <w:b/>
              </w:rPr>
              <w:t>4.9%</w:t>
            </w:r>
          </w:p>
        </w:tc>
        <w:tc>
          <w:tcPr>
            <w:tcW w:w="747" w:type="dxa"/>
            <w:tcBorders>
              <w:top w:val="single" w:sz="4" w:space="0" w:color="auto"/>
              <w:bottom w:val="nil"/>
            </w:tcBorders>
            <w:shd w:val="clear" w:color="auto" w:fill="auto"/>
            <w:noWrap/>
          </w:tcPr>
          <w:p w:rsidR="00C9115F" w:rsidRPr="00F41888" w:rsidRDefault="00C9115F" w:rsidP="00D809FA">
            <w:pPr>
              <w:pStyle w:val="Tabletext"/>
              <w:tabs>
                <w:tab w:val="decimal" w:pos="369"/>
              </w:tabs>
            </w:pPr>
            <w:r w:rsidRPr="00F41888">
              <w:t>100%</w:t>
            </w:r>
          </w:p>
        </w:tc>
      </w:tr>
      <w:tr w:rsidR="00D809FA" w:rsidRPr="00F41888" w:rsidTr="00D809FA">
        <w:tc>
          <w:tcPr>
            <w:tcW w:w="1985" w:type="dxa"/>
            <w:tcBorders>
              <w:top w:val="nil"/>
              <w:bottom w:val="nil"/>
            </w:tcBorders>
            <w:shd w:val="clear" w:color="auto" w:fill="auto"/>
            <w:noWrap/>
            <w:tcMar>
              <w:right w:w="0" w:type="dxa"/>
            </w:tcMar>
          </w:tcPr>
          <w:p w:rsidR="00C9115F" w:rsidRPr="00F41888" w:rsidRDefault="00C9115F" w:rsidP="00D809FA">
            <w:pPr>
              <w:pStyle w:val="Tablehead2"/>
              <w:ind w:left="227" w:hanging="227"/>
            </w:pPr>
            <w:r w:rsidRPr="00F41888">
              <w:t>2</w:t>
            </w:r>
            <w:r w:rsidR="00D809FA">
              <w:tab/>
            </w:r>
            <w:r w:rsidRPr="00F41888">
              <w:t>Labourers</w:t>
            </w:r>
          </w:p>
        </w:tc>
        <w:tc>
          <w:tcPr>
            <w:tcW w:w="567" w:type="dxa"/>
            <w:tcBorders>
              <w:top w:val="nil"/>
              <w:bottom w:val="nil"/>
              <w:right w:val="single" w:sz="4" w:space="0" w:color="auto"/>
            </w:tcBorders>
            <w:shd w:val="clear" w:color="auto" w:fill="auto"/>
            <w:noWrap/>
          </w:tcPr>
          <w:p w:rsidR="00C9115F" w:rsidRPr="00F41888" w:rsidRDefault="00C9115F" w:rsidP="00D809FA">
            <w:pPr>
              <w:pStyle w:val="Tablehead2"/>
              <w:ind w:right="57"/>
              <w:jc w:val="right"/>
            </w:pPr>
            <w:r w:rsidRPr="00F41888">
              <w:t>356</w:t>
            </w:r>
          </w:p>
        </w:tc>
        <w:tc>
          <w:tcPr>
            <w:tcW w:w="779" w:type="dxa"/>
            <w:tcBorders>
              <w:top w:val="nil"/>
              <w:left w:val="single" w:sz="4" w:space="0" w:color="auto"/>
              <w:bottom w:val="nil"/>
            </w:tcBorders>
            <w:shd w:val="clear" w:color="auto" w:fill="auto"/>
            <w:noWrap/>
          </w:tcPr>
          <w:p w:rsidR="00C9115F" w:rsidRPr="00F41888" w:rsidRDefault="00C9115F" w:rsidP="00D809FA">
            <w:pPr>
              <w:pStyle w:val="Tabletext"/>
              <w:tabs>
                <w:tab w:val="decimal" w:pos="226"/>
              </w:tabs>
            </w:pPr>
            <w:r w:rsidRPr="00F41888">
              <w:t>0.1%</w:t>
            </w:r>
          </w:p>
        </w:tc>
        <w:tc>
          <w:tcPr>
            <w:tcW w:w="780" w:type="dxa"/>
            <w:tcBorders>
              <w:top w:val="nil"/>
              <w:bottom w:val="nil"/>
            </w:tcBorders>
            <w:shd w:val="clear" w:color="auto" w:fill="auto"/>
            <w:noWrap/>
          </w:tcPr>
          <w:p w:rsidR="00C9115F" w:rsidRPr="00F41888" w:rsidRDefault="00C9115F" w:rsidP="00D809FA">
            <w:pPr>
              <w:pStyle w:val="Tabletext"/>
              <w:tabs>
                <w:tab w:val="decimal" w:pos="226"/>
              </w:tabs>
            </w:pPr>
            <w:r w:rsidRPr="00F41888">
              <w:t>0.5%</w:t>
            </w:r>
          </w:p>
        </w:tc>
        <w:tc>
          <w:tcPr>
            <w:tcW w:w="919" w:type="dxa"/>
            <w:tcBorders>
              <w:top w:val="nil"/>
              <w:bottom w:val="nil"/>
            </w:tcBorders>
            <w:shd w:val="clear" w:color="auto" w:fill="auto"/>
            <w:noWrap/>
          </w:tcPr>
          <w:p w:rsidR="00C9115F" w:rsidRPr="00F41888" w:rsidRDefault="00C9115F" w:rsidP="00002B9E">
            <w:pPr>
              <w:pStyle w:val="Tabletext"/>
              <w:tabs>
                <w:tab w:val="decimal" w:pos="284"/>
              </w:tabs>
            </w:pPr>
            <w:r w:rsidRPr="00F41888">
              <w:t>0.6%</w:t>
            </w:r>
          </w:p>
        </w:tc>
        <w:tc>
          <w:tcPr>
            <w:tcW w:w="782" w:type="dxa"/>
            <w:tcBorders>
              <w:top w:val="nil"/>
              <w:bottom w:val="nil"/>
            </w:tcBorders>
            <w:shd w:val="clear" w:color="auto" w:fill="auto"/>
            <w:noWrap/>
          </w:tcPr>
          <w:p w:rsidR="00C9115F" w:rsidRPr="00F41888" w:rsidRDefault="00C9115F" w:rsidP="00D809FA">
            <w:pPr>
              <w:pStyle w:val="Tabletext"/>
              <w:tabs>
                <w:tab w:val="decimal" w:pos="226"/>
              </w:tabs>
            </w:pPr>
            <w:r w:rsidRPr="00F41888">
              <w:t>2.2%</w:t>
            </w:r>
          </w:p>
        </w:tc>
        <w:tc>
          <w:tcPr>
            <w:tcW w:w="985" w:type="dxa"/>
            <w:tcBorders>
              <w:top w:val="nil"/>
              <w:bottom w:val="nil"/>
            </w:tcBorders>
            <w:shd w:val="clear" w:color="auto" w:fill="auto"/>
            <w:noWrap/>
          </w:tcPr>
          <w:p w:rsidR="00C9115F" w:rsidRPr="00F41888" w:rsidRDefault="00C9115F" w:rsidP="00002B9E">
            <w:pPr>
              <w:pStyle w:val="Tabletext"/>
              <w:tabs>
                <w:tab w:val="decimal" w:pos="340"/>
              </w:tabs>
            </w:pPr>
            <w:r w:rsidRPr="00F41888">
              <w:t>0.8%</w:t>
            </w:r>
          </w:p>
        </w:tc>
        <w:tc>
          <w:tcPr>
            <w:tcW w:w="925" w:type="dxa"/>
            <w:tcBorders>
              <w:top w:val="nil"/>
              <w:bottom w:val="nil"/>
            </w:tcBorders>
            <w:shd w:val="clear" w:color="000000" w:fill="D8D8D8"/>
            <w:noWrap/>
          </w:tcPr>
          <w:p w:rsidR="00C9115F" w:rsidRPr="00F41888" w:rsidRDefault="00C9115F" w:rsidP="00002B9E">
            <w:pPr>
              <w:pStyle w:val="Tabletext"/>
              <w:tabs>
                <w:tab w:val="decimal" w:pos="284"/>
              </w:tabs>
              <w:rPr>
                <w:b/>
              </w:rPr>
            </w:pPr>
            <w:r w:rsidRPr="00F41888">
              <w:rPr>
                <w:b/>
              </w:rPr>
              <w:t>10.0%</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4.7%</w:t>
            </w:r>
          </w:p>
        </w:tc>
        <w:tc>
          <w:tcPr>
            <w:tcW w:w="717" w:type="dxa"/>
            <w:tcBorders>
              <w:top w:val="nil"/>
              <w:bottom w:val="nil"/>
            </w:tcBorders>
            <w:shd w:val="clear" w:color="auto" w:fill="auto"/>
            <w:noWrap/>
          </w:tcPr>
          <w:p w:rsidR="00C9115F" w:rsidRPr="00F41888" w:rsidRDefault="00C9115F" w:rsidP="00D809FA">
            <w:pPr>
              <w:pStyle w:val="Tabletext"/>
              <w:tabs>
                <w:tab w:val="decimal" w:pos="226"/>
              </w:tabs>
            </w:pPr>
            <w:r w:rsidRPr="00F41888">
              <w:t>2.2%</w:t>
            </w:r>
          </w:p>
        </w:tc>
        <w:tc>
          <w:tcPr>
            <w:tcW w:w="718" w:type="dxa"/>
            <w:tcBorders>
              <w:top w:val="nil"/>
              <w:bottom w:val="nil"/>
            </w:tcBorders>
            <w:shd w:val="clear" w:color="auto" w:fill="auto"/>
            <w:noWrap/>
          </w:tcPr>
          <w:p w:rsidR="00C9115F" w:rsidRPr="00F41888" w:rsidRDefault="00C9115F" w:rsidP="00D809FA">
            <w:pPr>
              <w:pStyle w:val="Tabletext"/>
              <w:tabs>
                <w:tab w:val="decimal" w:pos="226"/>
              </w:tabs>
            </w:pPr>
            <w:r w:rsidRPr="00F41888">
              <w:t>1.6%</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5.3%</w:t>
            </w:r>
          </w:p>
        </w:tc>
        <w:tc>
          <w:tcPr>
            <w:tcW w:w="842" w:type="dxa"/>
            <w:tcBorders>
              <w:top w:val="nil"/>
              <w:bottom w:val="nil"/>
            </w:tcBorders>
            <w:shd w:val="clear" w:color="000000" w:fill="D8D8D8"/>
            <w:noWrap/>
          </w:tcPr>
          <w:p w:rsidR="00C9115F" w:rsidRPr="00F41888" w:rsidRDefault="00C9115F" w:rsidP="00002B9E">
            <w:pPr>
              <w:pStyle w:val="Tabletext"/>
              <w:tabs>
                <w:tab w:val="decimal" w:pos="284"/>
              </w:tabs>
              <w:rPr>
                <w:b/>
              </w:rPr>
            </w:pPr>
            <w:r w:rsidRPr="00F41888">
              <w:rPr>
                <w:b/>
              </w:rPr>
              <w:t>65.2%</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2.9%</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3.8%</w:t>
            </w:r>
          </w:p>
        </w:tc>
        <w:tc>
          <w:tcPr>
            <w:tcW w:w="747" w:type="dxa"/>
            <w:tcBorders>
              <w:top w:val="nil"/>
              <w:bottom w:val="nil"/>
            </w:tcBorders>
            <w:shd w:val="clear" w:color="auto" w:fill="auto"/>
            <w:noWrap/>
          </w:tcPr>
          <w:p w:rsidR="00C9115F" w:rsidRPr="00F41888" w:rsidRDefault="00C9115F" w:rsidP="00D809FA">
            <w:pPr>
              <w:pStyle w:val="Tabletext"/>
              <w:tabs>
                <w:tab w:val="decimal" w:pos="369"/>
              </w:tabs>
            </w:pPr>
            <w:r w:rsidRPr="00F41888">
              <w:t>100%</w:t>
            </w:r>
          </w:p>
        </w:tc>
      </w:tr>
      <w:tr w:rsidR="00D809FA" w:rsidRPr="00F41888" w:rsidTr="00D809FA">
        <w:tc>
          <w:tcPr>
            <w:tcW w:w="1985" w:type="dxa"/>
            <w:tcBorders>
              <w:top w:val="nil"/>
              <w:bottom w:val="nil"/>
            </w:tcBorders>
            <w:shd w:val="clear" w:color="auto" w:fill="auto"/>
            <w:noWrap/>
            <w:tcMar>
              <w:right w:w="0" w:type="dxa"/>
            </w:tcMar>
          </w:tcPr>
          <w:p w:rsidR="00C9115F" w:rsidRPr="00F41888" w:rsidRDefault="00BA6AF0" w:rsidP="00D809FA">
            <w:pPr>
              <w:pStyle w:val="Tablehead2"/>
              <w:ind w:left="227" w:hanging="227"/>
            </w:pPr>
            <w:r>
              <w:t>3</w:t>
            </w:r>
            <w:r w:rsidR="00D809FA">
              <w:tab/>
            </w:r>
            <w:r>
              <w:t>Machinery o</w:t>
            </w:r>
            <w:r w:rsidR="00C9115F" w:rsidRPr="00F41888">
              <w:t>perators</w:t>
            </w:r>
          </w:p>
        </w:tc>
        <w:tc>
          <w:tcPr>
            <w:tcW w:w="567" w:type="dxa"/>
            <w:tcBorders>
              <w:top w:val="nil"/>
              <w:bottom w:val="nil"/>
              <w:right w:val="single" w:sz="4" w:space="0" w:color="auto"/>
            </w:tcBorders>
            <w:shd w:val="clear" w:color="auto" w:fill="auto"/>
            <w:noWrap/>
          </w:tcPr>
          <w:p w:rsidR="00C9115F" w:rsidRPr="00F41888" w:rsidRDefault="00C9115F" w:rsidP="00D809FA">
            <w:pPr>
              <w:pStyle w:val="Tablehead2"/>
              <w:ind w:right="57"/>
              <w:jc w:val="right"/>
            </w:pPr>
            <w:r w:rsidRPr="00F41888">
              <w:t>306</w:t>
            </w:r>
          </w:p>
        </w:tc>
        <w:tc>
          <w:tcPr>
            <w:tcW w:w="779" w:type="dxa"/>
            <w:tcBorders>
              <w:top w:val="nil"/>
              <w:left w:val="single" w:sz="4" w:space="0" w:color="auto"/>
              <w:bottom w:val="nil"/>
            </w:tcBorders>
            <w:shd w:val="clear" w:color="auto" w:fill="auto"/>
            <w:noWrap/>
          </w:tcPr>
          <w:p w:rsidR="00C9115F" w:rsidRPr="00F41888" w:rsidRDefault="00C9115F" w:rsidP="00D809FA">
            <w:pPr>
              <w:pStyle w:val="Tabletext"/>
              <w:tabs>
                <w:tab w:val="decimal" w:pos="226"/>
              </w:tabs>
            </w:pPr>
            <w:r w:rsidRPr="00F41888">
              <w:t>0.0%</w:t>
            </w:r>
          </w:p>
        </w:tc>
        <w:tc>
          <w:tcPr>
            <w:tcW w:w="780" w:type="dxa"/>
            <w:tcBorders>
              <w:top w:val="nil"/>
              <w:bottom w:val="nil"/>
            </w:tcBorders>
            <w:shd w:val="clear" w:color="auto" w:fill="auto"/>
            <w:noWrap/>
          </w:tcPr>
          <w:p w:rsidR="00C9115F" w:rsidRPr="00F41888" w:rsidRDefault="00C9115F" w:rsidP="00D809FA">
            <w:pPr>
              <w:pStyle w:val="Tabletext"/>
              <w:tabs>
                <w:tab w:val="decimal" w:pos="226"/>
              </w:tabs>
            </w:pPr>
            <w:r w:rsidRPr="00F41888">
              <w:t>0.5%</w:t>
            </w:r>
          </w:p>
        </w:tc>
        <w:tc>
          <w:tcPr>
            <w:tcW w:w="919" w:type="dxa"/>
            <w:tcBorders>
              <w:top w:val="nil"/>
              <w:bottom w:val="nil"/>
            </w:tcBorders>
            <w:shd w:val="clear" w:color="auto" w:fill="auto"/>
            <w:noWrap/>
          </w:tcPr>
          <w:p w:rsidR="00C9115F" w:rsidRPr="00F41888" w:rsidRDefault="00C9115F" w:rsidP="00002B9E">
            <w:pPr>
              <w:pStyle w:val="Tabletext"/>
              <w:tabs>
                <w:tab w:val="decimal" w:pos="284"/>
              </w:tabs>
            </w:pPr>
            <w:r w:rsidRPr="00F41888">
              <w:t>0.2%</w:t>
            </w:r>
          </w:p>
        </w:tc>
        <w:tc>
          <w:tcPr>
            <w:tcW w:w="782" w:type="dxa"/>
            <w:tcBorders>
              <w:top w:val="nil"/>
              <w:bottom w:val="nil"/>
            </w:tcBorders>
            <w:shd w:val="clear" w:color="auto" w:fill="auto"/>
            <w:noWrap/>
          </w:tcPr>
          <w:p w:rsidR="00C9115F" w:rsidRPr="00F41888" w:rsidRDefault="00C9115F" w:rsidP="00D809FA">
            <w:pPr>
              <w:pStyle w:val="Tabletext"/>
              <w:tabs>
                <w:tab w:val="decimal" w:pos="226"/>
              </w:tabs>
            </w:pPr>
            <w:r w:rsidRPr="00F41888">
              <w:t>4.4%</w:t>
            </w:r>
          </w:p>
        </w:tc>
        <w:tc>
          <w:tcPr>
            <w:tcW w:w="985" w:type="dxa"/>
            <w:tcBorders>
              <w:top w:val="nil"/>
              <w:bottom w:val="nil"/>
            </w:tcBorders>
            <w:shd w:val="clear" w:color="auto" w:fill="auto"/>
            <w:noWrap/>
          </w:tcPr>
          <w:p w:rsidR="00C9115F" w:rsidRPr="00F41888" w:rsidRDefault="00C9115F" w:rsidP="00002B9E">
            <w:pPr>
              <w:pStyle w:val="Tabletext"/>
              <w:tabs>
                <w:tab w:val="decimal" w:pos="340"/>
              </w:tabs>
            </w:pPr>
            <w:r w:rsidRPr="00F41888">
              <w:t>1.2%</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4.1%</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1.0%</w:t>
            </w:r>
          </w:p>
        </w:tc>
        <w:tc>
          <w:tcPr>
            <w:tcW w:w="717" w:type="dxa"/>
            <w:tcBorders>
              <w:top w:val="nil"/>
              <w:bottom w:val="nil"/>
            </w:tcBorders>
            <w:shd w:val="clear" w:color="auto" w:fill="auto"/>
            <w:noWrap/>
          </w:tcPr>
          <w:p w:rsidR="00C9115F" w:rsidRPr="00F41888" w:rsidRDefault="00C9115F" w:rsidP="00D809FA">
            <w:pPr>
              <w:pStyle w:val="Tabletext"/>
              <w:tabs>
                <w:tab w:val="decimal" w:pos="226"/>
              </w:tabs>
            </w:pPr>
            <w:r w:rsidRPr="00F41888">
              <w:t>2.2%</w:t>
            </w:r>
          </w:p>
        </w:tc>
        <w:tc>
          <w:tcPr>
            <w:tcW w:w="718" w:type="dxa"/>
            <w:tcBorders>
              <w:top w:val="nil"/>
              <w:bottom w:val="nil"/>
            </w:tcBorders>
            <w:shd w:val="clear" w:color="auto" w:fill="auto"/>
            <w:noWrap/>
          </w:tcPr>
          <w:p w:rsidR="00C9115F" w:rsidRPr="00F41888" w:rsidRDefault="00C9115F" w:rsidP="00D809FA">
            <w:pPr>
              <w:pStyle w:val="Tabletext"/>
              <w:tabs>
                <w:tab w:val="decimal" w:pos="226"/>
              </w:tabs>
            </w:pPr>
            <w:r w:rsidRPr="00F41888">
              <w:t>0.9%</w:t>
            </w:r>
          </w:p>
        </w:tc>
        <w:tc>
          <w:tcPr>
            <w:tcW w:w="842" w:type="dxa"/>
            <w:tcBorders>
              <w:top w:val="nil"/>
              <w:bottom w:val="nil"/>
            </w:tcBorders>
            <w:shd w:val="clear" w:color="000000" w:fill="D8D8D8"/>
            <w:noWrap/>
          </w:tcPr>
          <w:p w:rsidR="00C9115F" w:rsidRPr="00F41888" w:rsidRDefault="00C9115F" w:rsidP="00002B9E">
            <w:pPr>
              <w:pStyle w:val="Tabletext"/>
              <w:tabs>
                <w:tab w:val="decimal" w:pos="284"/>
              </w:tabs>
              <w:rPr>
                <w:b/>
              </w:rPr>
            </w:pPr>
            <w:r w:rsidRPr="00F41888">
              <w:rPr>
                <w:b/>
              </w:rPr>
              <w:t>71.3%</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5.0%</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2.8%</w:t>
            </w:r>
          </w:p>
        </w:tc>
        <w:tc>
          <w:tcPr>
            <w:tcW w:w="746" w:type="dxa"/>
            <w:tcBorders>
              <w:top w:val="nil"/>
              <w:bottom w:val="nil"/>
            </w:tcBorders>
            <w:shd w:val="clear" w:color="000000" w:fill="D8D8D8"/>
            <w:noWrap/>
          </w:tcPr>
          <w:p w:rsidR="00C9115F" w:rsidRPr="00F41888" w:rsidRDefault="00C9115F" w:rsidP="00D809FA">
            <w:pPr>
              <w:pStyle w:val="Tabletext"/>
              <w:tabs>
                <w:tab w:val="decimal" w:pos="226"/>
              </w:tabs>
              <w:rPr>
                <w:b/>
              </w:rPr>
            </w:pPr>
            <w:r w:rsidRPr="00F41888">
              <w:rPr>
                <w:b/>
              </w:rPr>
              <w:t>6.4%</w:t>
            </w:r>
          </w:p>
        </w:tc>
        <w:tc>
          <w:tcPr>
            <w:tcW w:w="747" w:type="dxa"/>
            <w:tcBorders>
              <w:top w:val="nil"/>
              <w:bottom w:val="nil"/>
            </w:tcBorders>
            <w:shd w:val="clear" w:color="auto" w:fill="auto"/>
            <w:noWrap/>
          </w:tcPr>
          <w:p w:rsidR="00C9115F" w:rsidRPr="00F41888" w:rsidRDefault="00C9115F" w:rsidP="00D809FA">
            <w:pPr>
              <w:pStyle w:val="Tabletext"/>
              <w:tabs>
                <w:tab w:val="decimal" w:pos="369"/>
              </w:tabs>
            </w:pPr>
            <w:r w:rsidRPr="00F41888">
              <w:t>100%</w:t>
            </w:r>
          </w:p>
        </w:tc>
      </w:tr>
      <w:tr w:rsidR="00D809FA" w:rsidRPr="00F41888" w:rsidTr="00D809FA">
        <w:tc>
          <w:tcPr>
            <w:tcW w:w="1985" w:type="dxa"/>
            <w:tcBorders>
              <w:top w:val="nil"/>
              <w:bottom w:val="nil"/>
            </w:tcBorders>
            <w:shd w:val="clear" w:color="auto" w:fill="auto"/>
            <w:noWrap/>
            <w:tcMar>
              <w:right w:w="0" w:type="dxa"/>
            </w:tcMar>
          </w:tcPr>
          <w:p w:rsidR="00C9115F" w:rsidRPr="00F41888" w:rsidRDefault="00C9115F" w:rsidP="00D809FA">
            <w:pPr>
              <w:pStyle w:val="Tablehead2"/>
              <w:ind w:left="227" w:hanging="227"/>
            </w:pPr>
            <w:r w:rsidRPr="00F41888">
              <w:t>4</w:t>
            </w:r>
            <w:r w:rsidR="00D809FA">
              <w:tab/>
            </w:r>
            <w:r w:rsidRPr="00F41888">
              <w:t>Technician/</w:t>
            </w:r>
            <w:r w:rsidR="00BA6AF0" w:rsidRPr="00F41888">
              <w:t>trades workers</w:t>
            </w:r>
          </w:p>
        </w:tc>
        <w:tc>
          <w:tcPr>
            <w:tcW w:w="567" w:type="dxa"/>
            <w:tcBorders>
              <w:top w:val="nil"/>
              <w:bottom w:val="nil"/>
              <w:right w:val="single" w:sz="4" w:space="0" w:color="auto"/>
            </w:tcBorders>
            <w:shd w:val="clear" w:color="auto" w:fill="auto"/>
            <w:noWrap/>
          </w:tcPr>
          <w:p w:rsidR="00C9115F" w:rsidRPr="00F41888" w:rsidRDefault="00C9115F" w:rsidP="00D809FA">
            <w:pPr>
              <w:pStyle w:val="Tablehead2"/>
              <w:ind w:right="57"/>
              <w:jc w:val="right"/>
            </w:pPr>
            <w:r w:rsidRPr="00F41888">
              <w:t>548</w:t>
            </w:r>
          </w:p>
        </w:tc>
        <w:tc>
          <w:tcPr>
            <w:tcW w:w="779" w:type="dxa"/>
            <w:tcBorders>
              <w:top w:val="nil"/>
              <w:left w:val="single" w:sz="4" w:space="0" w:color="auto"/>
              <w:bottom w:val="nil"/>
            </w:tcBorders>
            <w:shd w:val="clear" w:color="auto" w:fill="auto"/>
            <w:noWrap/>
          </w:tcPr>
          <w:p w:rsidR="00C9115F" w:rsidRPr="00F41888" w:rsidRDefault="00C9115F" w:rsidP="00D809FA">
            <w:pPr>
              <w:pStyle w:val="Tabletext"/>
              <w:tabs>
                <w:tab w:val="decimal" w:pos="226"/>
              </w:tabs>
            </w:pPr>
            <w:r w:rsidRPr="00F41888">
              <w:t>0.0%</w:t>
            </w:r>
          </w:p>
        </w:tc>
        <w:tc>
          <w:tcPr>
            <w:tcW w:w="780" w:type="dxa"/>
            <w:tcBorders>
              <w:top w:val="nil"/>
              <w:bottom w:val="nil"/>
            </w:tcBorders>
            <w:shd w:val="clear" w:color="auto" w:fill="auto"/>
            <w:noWrap/>
          </w:tcPr>
          <w:p w:rsidR="00C9115F" w:rsidRPr="00F41888" w:rsidRDefault="00C9115F" w:rsidP="00D809FA">
            <w:pPr>
              <w:pStyle w:val="Tabletext"/>
              <w:tabs>
                <w:tab w:val="decimal" w:pos="226"/>
              </w:tabs>
            </w:pPr>
            <w:r w:rsidRPr="00F41888">
              <w:t>1.1%</w:t>
            </w:r>
          </w:p>
        </w:tc>
        <w:tc>
          <w:tcPr>
            <w:tcW w:w="919" w:type="dxa"/>
            <w:tcBorders>
              <w:top w:val="nil"/>
              <w:bottom w:val="nil"/>
            </w:tcBorders>
            <w:shd w:val="clear" w:color="auto" w:fill="auto"/>
            <w:noWrap/>
          </w:tcPr>
          <w:p w:rsidR="00C9115F" w:rsidRPr="00F41888" w:rsidRDefault="00C9115F" w:rsidP="00002B9E">
            <w:pPr>
              <w:pStyle w:val="Tabletext"/>
              <w:tabs>
                <w:tab w:val="decimal" w:pos="284"/>
              </w:tabs>
            </w:pPr>
            <w:r w:rsidRPr="00F41888">
              <w:t>0.4%</w:t>
            </w:r>
          </w:p>
        </w:tc>
        <w:tc>
          <w:tcPr>
            <w:tcW w:w="782" w:type="dxa"/>
            <w:tcBorders>
              <w:top w:val="nil"/>
              <w:bottom w:val="nil"/>
            </w:tcBorders>
            <w:shd w:val="clear" w:color="000000" w:fill="D8D8D8"/>
            <w:noWrap/>
          </w:tcPr>
          <w:p w:rsidR="00C9115F" w:rsidRPr="00F41888" w:rsidRDefault="00C9115F" w:rsidP="00D809FA">
            <w:pPr>
              <w:pStyle w:val="Tabletext"/>
              <w:tabs>
                <w:tab w:val="decimal" w:pos="226"/>
              </w:tabs>
              <w:rPr>
                <w:b/>
              </w:rPr>
            </w:pPr>
            <w:r w:rsidRPr="00F41888">
              <w:rPr>
                <w:b/>
              </w:rPr>
              <w:t>5.0%</w:t>
            </w:r>
          </w:p>
        </w:tc>
        <w:tc>
          <w:tcPr>
            <w:tcW w:w="985" w:type="dxa"/>
            <w:tcBorders>
              <w:top w:val="nil"/>
              <w:bottom w:val="nil"/>
            </w:tcBorders>
            <w:shd w:val="clear" w:color="auto" w:fill="auto"/>
            <w:noWrap/>
          </w:tcPr>
          <w:p w:rsidR="00C9115F" w:rsidRPr="00F41888" w:rsidRDefault="00C9115F" w:rsidP="00002B9E">
            <w:pPr>
              <w:pStyle w:val="Tabletext"/>
              <w:tabs>
                <w:tab w:val="decimal" w:pos="340"/>
              </w:tabs>
            </w:pPr>
            <w:r w:rsidRPr="00F41888">
              <w:t>2.5%</w:t>
            </w:r>
          </w:p>
        </w:tc>
        <w:tc>
          <w:tcPr>
            <w:tcW w:w="925" w:type="dxa"/>
            <w:tcBorders>
              <w:top w:val="nil"/>
              <w:bottom w:val="nil"/>
            </w:tcBorders>
            <w:shd w:val="clear" w:color="000000" w:fill="D8D8D8"/>
            <w:noWrap/>
          </w:tcPr>
          <w:p w:rsidR="00C9115F" w:rsidRPr="00F41888" w:rsidRDefault="00C9115F" w:rsidP="00002B9E">
            <w:pPr>
              <w:pStyle w:val="Tabletext"/>
              <w:tabs>
                <w:tab w:val="decimal" w:pos="284"/>
              </w:tabs>
              <w:rPr>
                <w:b/>
              </w:rPr>
            </w:pPr>
            <w:r w:rsidRPr="00F41888">
              <w:rPr>
                <w:b/>
              </w:rPr>
              <w:t>78.5%</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0.5%</w:t>
            </w:r>
          </w:p>
        </w:tc>
        <w:tc>
          <w:tcPr>
            <w:tcW w:w="717" w:type="dxa"/>
            <w:tcBorders>
              <w:top w:val="nil"/>
              <w:bottom w:val="nil"/>
            </w:tcBorders>
            <w:shd w:val="clear" w:color="auto" w:fill="auto"/>
            <w:noWrap/>
          </w:tcPr>
          <w:p w:rsidR="00C9115F" w:rsidRPr="00F41888" w:rsidRDefault="00C9115F" w:rsidP="00D809FA">
            <w:pPr>
              <w:pStyle w:val="Tabletext"/>
              <w:tabs>
                <w:tab w:val="decimal" w:pos="226"/>
              </w:tabs>
            </w:pPr>
            <w:r w:rsidRPr="00F41888">
              <w:t>1.5%</w:t>
            </w:r>
          </w:p>
        </w:tc>
        <w:tc>
          <w:tcPr>
            <w:tcW w:w="718" w:type="dxa"/>
            <w:tcBorders>
              <w:top w:val="nil"/>
              <w:bottom w:val="nil"/>
            </w:tcBorders>
            <w:shd w:val="clear" w:color="auto" w:fill="auto"/>
            <w:noWrap/>
          </w:tcPr>
          <w:p w:rsidR="00C9115F" w:rsidRPr="00F41888" w:rsidRDefault="00C9115F" w:rsidP="00D809FA">
            <w:pPr>
              <w:pStyle w:val="Tabletext"/>
              <w:tabs>
                <w:tab w:val="decimal" w:pos="226"/>
              </w:tabs>
            </w:pPr>
            <w:r w:rsidRPr="00F41888">
              <w:t>1.1%</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2.1%</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3.2%</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1.3%</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2.6%</w:t>
            </w:r>
          </w:p>
        </w:tc>
        <w:tc>
          <w:tcPr>
            <w:tcW w:w="747" w:type="dxa"/>
            <w:tcBorders>
              <w:top w:val="nil"/>
              <w:bottom w:val="nil"/>
            </w:tcBorders>
            <w:shd w:val="clear" w:color="auto" w:fill="auto"/>
            <w:noWrap/>
          </w:tcPr>
          <w:p w:rsidR="00C9115F" w:rsidRPr="00F41888" w:rsidRDefault="00C9115F" w:rsidP="00D809FA">
            <w:pPr>
              <w:pStyle w:val="Tabletext"/>
              <w:tabs>
                <w:tab w:val="decimal" w:pos="369"/>
              </w:tabs>
            </w:pPr>
            <w:r w:rsidRPr="00F41888">
              <w:t>100%</w:t>
            </w:r>
          </w:p>
        </w:tc>
      </w:tr>
      <w:tr w:rsidR="00D809FA" w:rsidRPr="00F41888" w:rsidTr="00D809FA">
        <w:tc>
          <w:tcPr>
            <w:tcW w:w="1985" w:type="dxa"/>
            <w:tcBorders>
              <w:top w:val="nil"/>
              <w:bottom w:val="nil"/>
            </w:tcBorders>
            <w:shd w:val="clear" w:color="auto" w:fill="auto"/>
            <w:noWrap/>
            <w:tcMar>
              <w:right w:w="0" w:type="dxa"/>
            </w:tcMar>
          </w:tcPr>
          <w:p w:rsidR="00C9115F" w:rsidRPr="00F41888" w:rsidRDefault="00C9115F" w:rsidP="00D809FA">
            <w:pPr>
              <w:pStyle w:val="Tablehead2"/>
              <w:ind w:left="227" w:hanging="227"/>
            </w:pPr>
            <w:r w:rsidRPr="00F41888">
              <w:t>5</w:t>
            </w:r>
            <w:r w:rsidR="00D809FA">
              <w:tab/>
              <w:t>Clerical/</w:t>
            </w:r>
            <w:r w:rsidR="00BA6AF0" w:rsidRPr="00F41888">
              <w:t>administrative workers</w:t>
            </w:r>
          </w:p>
        </w:tc>
        <w:tc>
          <w:tcPr>
            <w:tcW w:w="567" w:type="dxa"/>
            <w:tcBorders>
              <w:top w:val="nil"/>
              <w:bottom w:val="nil"/>
              <w:right w:val="single" w:sz="4" w:space="0" w:color="auto"/>
            </w:tcBorders>
            <w:shd w:val="clear" w:color="auto" w:fill="auto"/>
            <w:noWrap/>
          </w:tcPr>
          <w:p w:rsidR="00C9115F" w:rsidRPr="00F41888" w:rsidRDefault="00C9115F" w:rsidP="00D809FA">
            <w:pPr>
              <w:pStyle w:val="Tablehead2"/>
              <w:ind w:right="57"/>
              <w:jc w:val="right"/>
            </w:pPr>
            <w:r w:rsidRPr="00F41888">
              <w:t>761</w:t>
            </w:r>
          </w:p>
        </w:tc>
        <w:tc>
          <w:tcPr>
            <w:tcW w:w="779" w:type="dxa"/>
            <w:tcBorders>
              <w:top w:val="nil"/>
              <w:left w:val="single" w:sz="4" w:space="0" w:color="auto"/>
              <w:bottom w:val="nil"/>
            </w:tcBorders>
            <w:shd w:val="clear" w:color="auto" w:fill="auto"/>
            <w:noWrap/>
          </w:tcPr>
          <w:p w:rsidR="00C9115F" w:rsidRPr="00F41888" w:rsidRDefault="00C9115F" w:rsidP="00D809FA">
            <w:pPr>
              <w:pStyle w:val="Tabletext"/>
              <w:tabs>
                <w:tab w:val="decimal" w:pos="226"/>
              </w:tabs>
            </w:pPr>
            <w:r w:rsidRPr="00F41888">
              <w:t>0.0%</w:t>
            </w:r>
          </w:p>
        </w:tc>
        <w:tc>
          <w:tcPr>
            <w:tcW w:w="780" w:type="dxa"/>
            <w:tcBorders>
              <w:top w:val="nil"/>
              <w:bottom w:val="nil"/>
            </w:tcBorders>
            <w:shd w:val="clear" w:color="auto" w:fill="auto"/>
            <w:noWrap/>
          </w:tcPr>
          <w:p w:rsidR="00C9115F" w:rsidRPr="00F41888" w:rsidRDefault="00C9115F" w:rsidP="00D809FA">
            <w:pPr>
              <w:pStyle w:val="Tabletext"/>
              <w:tabs>
                <w:tab w:val="decimal" w:pos="226"/>
              </w:tabs>
            </w:pPr>
            <w:r w:rsidRPr="00F41888">
              <w:t>0.5%</w:t>
            </w:r>
          </w:p>
        </w:tc>
        <w:tc>
          <w:tcPr>
            <w:tcW w:w="919" w:type="dxa"/>
            <w:tcBorders>
              <w:top w:val="nil"/>
              <w:bottom w:val="nil"/>
            </w:tcBorders>
            <w:shd w:val="clear" w:color="auto" w:fill="auto"/>
            <w:noWrap/>
          </w:tcPr>
          <w:p w:rsidR="00C9115F" w:rsidRPr="00F41888" w:rsidRDefault="00C9115F" w:rsidP="00002B9E">
            <w:pPr>
              <w:pStyle w:val="Tabletext"/>
              <w:tabs>
                <w:tab w:val="decimal" w:pos="284"/>
              </w:tabs>
            </w:pPr>
            <w:r w:rsidRPr="00F41888">
              <w:t>0.4%</w:t>
            </w:r>
          </w:p>
        </w:tc>
        <w:tc>
          <w:tcPr>
            <w:tcW w:w="782" w:type="dxa"/>
            <w:tcBorders>
              <w:top w:val="nil"/>
              <w:bottom w:val="nil"/>
            </w:tcBorders>
            <w:shd w:val="clear" w:color="auto" w:fill="auto"/>
            <w:noWrap/>
          </w:tcPr>
          <w:p w:rsidR="00C9115F" w:rsidRPr="00F41888" w:rsidRDefault="00C9115F" w:rsidP="00D809FA">
            <w:pPr>
              <w:pStyle w:val="Tabletext"/>
              <w:tabs>
                <w:tab w:val="decimal" w:pos="226"/>
              </w:tabs>
            </w:pPr>
            <w:r w:rsidRPr="00F41888">
              <w:t>3.2%</w:t>
            </w:r>
          </w:p>
        </w:tc>
        <w:tc>
          <w:tcPr>
            <w:tcW w:w="985" w:type="dxa"/>
            <w:tcBorders>
              <w:top w:val="nil"/>
              <w:bottom w:val="nil"/>
            </w:tcBorders>
            <w:shd w:val="clear" w:color="auto" w:fill="auto"/>
            <w:noWrap/>
          </w:tcPr>
          <w:p w:rsidR="00C9115F" w:rsidRPr="00F41888" w:rsidRDefault="00C9115F" w:rsidP="00002B9E">
            <w:pPr>
              <w:pStyle w:val="Tabletext"/>
              <w:tabs>
                <w:tab w:val="decimal" w:pos="340"/>
              </w:tabs>
            </w:pPr>
            <w:r w:rsidRPr="00F41888">
              <w:t>4.6%</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1.5%</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2.0%</w:t>
            </w:r>
          </w:p>
        </w:tc>
        <w:tc>
          <w:tcPr>
            <w:tcW w:w="717" w:type="dxa"/>
            <w:tcBorders>
              <w:top w:val="nil"/>
              <w:bottom w:val="nil"/>
            </w:tcBorders>
            <w:shd w:val="clear" w:color="000000" w:fill="D8D8D8"/>
            <w:noWrap/>
          </w:tcPr>
          <w:p w:rsidR="00C9115F" w:rsidRPr="00F41888" w:rsidRDefault="00C9115F" w:rsidP="00D809FA">
            <w:pPr>
              <w:pStyle w:val="Tabletext"/>
              <w:tabs>
                <w:tab w:val="decimal" w:pos="226"/>
              </w:tabs>
              <w:rPr>
                <w:b/>
              </w:rPr>
            </w:pPr>
            <w:r w:rsidRPr="00F41888">
              <w:rPr>
                <w:b/>
              </w:rPr>
              <w:t>73.1%</w:t>
            </w:r>
          </w:p>
        </w:tc>
        <w:tc>
          <w:tcPr>
            <w:tcW w:w="718" w:type="dxa"/>
            <w:tcBorders>
              <w:top w:val="nil"/>
              <w:bottom w:val="nil"/>
            </w:tcBorders>
            <w:shd w:val="clear" w:color="auto" w:fill="auto"/>
            <w:noWrap/>
          </w:tcPr>
          <w:p w:rsidR="00C9115F" w:rsidRPr="00F41888" w:rsidRDefault="00C9115F" w:rsidP="00D809FA">
            <w:pPr>
              <w:pStyle w:val="Tabletext"/>
              <w:tabs>
                <w:tab w:val="decimal" w:pos="226"/>
              </w:tabs>
            </w:pPr>
            <w:r w:rsidRPr="00F41888">
              <w:t>1.8%</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2.1%</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1.1%</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1.5%</w:t>
            </w:r>
          </w:p>
        </w:tc>
        <w:tc>
          <w:tcPr>
            <w:tcW w:w="746" w:type="dxa"/>
            <w:tcBorders>
              <w:top w:val="nil"/>
              <w:bottom w:val="nil"/>
            </w:tcBorders>
            <w:shd w:val="clear" w:color="000000" w:fill="D8D8D8"/>
            <w:noWrap/>
          </w:tcPr>
          <w:p w:rsidR="00C9115F" w:rsidRPr="00F41888" w:rsidRDefault="00C9115F" w:rsidP="00D809FA">
            <w:pPr>
              <w:pStyle w:val="Tabletext"/>
              <w:tabs>
                <w:tab w:val="decimal" w:pos="226"/>
              </w:tabs>
              <w:rPr>
                <w:b/>
              </w:rPr>
            </w:pPr>
            <w:r w:rsidRPr="00F41888">
              <w:rPr>
                <w:b/>
              </w:rPr>
              <w:t>8.1%</w:t>
            </w:r>
          </w:p>
        </w:tc>
        <w:tc>
          <w:tcPr>
            <w:tcW w:w="747" w:type="dxa"/>
            <w:tcBorders>
              <w:top w:val="nil"/>
              <w:bottom w:val="nil"/>
            </w:tcBorders>
            <w:shd w:val="clear" w:color="auto" w:fill="auto"/>
            <w:noWrap/>
          </w:tcPr>
          <w:p w:rsidR="00C9115F" w:rsidRPr="00F41888" w:rsidRDefault="00C9115F" w:rsidP="00D809FA">
            <w:pPr>
              <w:pStyle w:val="Tabletext"/>
              <w:tabs>
                <w:tab w:val="decimal" w:pos="369"/>
              </w:tabs>
            </w:pPr>
            <w:r w:rsidRPr="00F41888">
              <w:t>100%</w:t>
            </w:r>
          </w:p>
        </w:tc>
      </w:tr>
      <w:tr w:rsidR="00D809FA" w:rsidRPr="00F41888" w:rsidTr="00D809FA">
        <w:tc>
          <w:tcPr>
            <w:tcW w:w="1985" w:type="dxa"/>
            <w:tcBorders>
              <w:top w:val="nil"/>
              <w:bottom w:val="nil"/>
            </w:tcBorders>
            <w:shd w:val="clear" w:color="auto" w:fill="auto"/>
            <w:noWrap/>
            <w:tcMar>
              <w:right w:w="0" w:type="dxa"/>
            </w:tcMar>
          </w:tcPr>
          <w:p w:rsidR="00C9115F" w:rsidRPr="00F41888" w:rsidRDefault="00C9115F" w:rsidP="00D809FA">
            <w:pPr>
              <w:pStyle w:val="Tablehead2"/>
              <w:ind w:left="227" w:hanging="227"/>
            </w:pPr>
            <w:r w:rsidRPr="00F41888">
              <w:t>6</w:t>
            </w:r>
            <w:r w:rsidR="00D809FA">
              <w:tab/>
            </w:r>
            <w:r w:rsidRPr="00F41888">
              <w:t xml:space="preserve">Higher education </w:t>
            </w:r>
            <w:r w:rsidRPr="00F41888">
              <w:sym w:font="Wingdings" w:char="F0E0"/>
            </w:r>
            <w:r w:rsidRPr="00F41888">
              <w:t xml:space="preserve"> professional</w:t>
            </w:r>
          </w:p>
        </w:tc>
        <w:tc>
          <w:tcPr>
            <w:tcW w:w="567" w:type="dxa"/>
            <w:tcBorders>
              <w:top w:val="nil"/>
              <w:bottom w:val="nil"/>
              <w:right w:val="single" w:sz="4" w:space="0" w:color="auto"/>
            </w:tcBorders>
            <w:shd w:val="clear" w:color="auto" w:fill="auto"/>
            <w:noWrap/>
          </w:tcPr>
          <w:p w:rsidR="00C9115F" w:rsidRPr="00F41888" w:rsidRDefault="00C9115F" w:rsidP="00D809FA">
            <w:pPr>
              <w:pStyle w:val="Tablehead2"/>
              <w:ind w:right="57"/>
              <w:jc w:val="right"/>
            </w:pPr>
            <w:r w:rsidRPr="00F41888">
              <w:t>367</w:t>
            </w:r>
          </w:p>
        </w:tc>
        <w:tc>
          <w:tcPr>
            <w:tcW w:w="779" w:type="dxa"/>
            <w:tcBorders>
              <w:top w:val="nil"/>
              <w:left w:val="single" w:sz="4" w:space="0" w:color="auto"/>
              <w:bottom w:val="nil"/>
            </w:tcBorders>
            <w:shd w:val="clear" w:color="auto" w:fill="auto"/>
            <w:noWrap/>
          </w:tcPr>
          <w:p w:rsidR="00C9115F" w:rsidRPr="00F41888" w:rsidRDefault="00C9115F" w:rsidP="00D809FA">
            <w:pPr>
              <w:pStyle w:val="Tabletext"/>
              <w:tabs>
                <w:tab w:val="decimal" w:pos="226"/>
              </w:tabs>
            </w:pPr>
            <w:r w:rsidRPr="00F41888">
              <w:t>0.0%</w:t>
            </w:r>
          </w:p>
        </w:tc>
        <w:tc>
          <w:tcPr>
            <w:tcW w:w="780" w:type="dxa"/>
            <w:tcBorders>
              <w:top w:val="nil"/>
              <w:bottom w:val="nil"/>
            </w:tcBorders>
            <w:shd w:val="clear" w:color="auto" w:fill="auto"/>
            <w:noWrap/>
          </w:tcPr>
          <w:p w:rsidR="00C9115F" w:rsidRPr="00F41888" w:rsidRDefault="00C9115F" w:rsidP="00D809FA">
            <w:pPr>
              <w:pStyle w:val="Tabletext"/>
              <w:tabs>
                <w:tab w:val="decimal" w:pos="226"/>
              </w:tabs>
            </w:pPr>
            <w:r w:rsidRPr="00F41888">
              <w:t>0.8%</w:t>
            </w:r>
          </w:p>
        </w:tc>
        <w:tc>
          <w:tcPr>
            <w:tcW w:w="919" w:type="dxa"/>
            <w:tcBorders>
              <w:top w:val="nil"/>
              <w:bottom w:val="nil"/>
            </w:tcBorders>
            <w:shd w:val="clear" w:color="000000" w:fill="D8D8D8"/>
            <w:noWrap/>
          </w:tcPr>
          <w:p w:rsidR="00C9115F" w:rsidRPr="00F41888" w:rsidRDefault="00C9115F" w:rsidP="00002B9E">
            <w:pPr>
              <w:pStyle w:val="Tabletext"/>
              <w:tabs>
                <w:tab w:val="decimal" w:pos="284"/>
              </w:tabs>
              <w:rPr>
                <w:b/>
              </w:rPr>
            </w:pPr>
            <w:r w:rsidRPr="00F41888">
              <w:rPr>
                <w:b/>
              </w:rPr>
              <w:t>43.2%</w:t>
            </w:r>
          </w:p>
        </w:tc>
        <w:tc>
          <w:tcPr>
            <w:tcW w:w="782" w:type="dxa"/>
            <w:tcBorders>
              <w:top w:val="nil"/>
              <w:bottom w:val="nil"/>
            </w:tcBorders>
            <w:shd w:val="clear" w:color="auto" w:fill="auto"/>
            <w:noWrap/>
          </w:tcPr>
          <w:p w:rsidR="00C9115F" w:rsidRPr="00F41888" w:rsidRDefault="00C9115F" w:rsidP="00D809FA">
            <w:pPr>
              <w:pStyle w:val="Tabletext"/>
              <w:tabs>
                <w:tab w:val="decimal" w:pos="226"/>
              </w:tabs>
            </w:pPr>
            <w:r w:rsidRPr="00F41888">
              <w:t>2.9%</w:t>
            </w:r>
          </w:p>
        </w:tc>
        <w:tc>
          <w:tcPr>
            <w:tcW w:w="985" w:type="dxa"/>
            <w:tcBorders>
              <w:top w:val="nil"/>
              <w:bottom w:val="nil"/>
            </w:tcBorders>
            <w:shd w:val="clear" w:color="auto" w:fill="D9D9D9"/>
            <w:noWrap/>
          </w:tcPr>
          <w:p w:rsidR="00C9115F" w:rsidRPr="00F41888" w:rsidRDefault="00C9115F" w:rsidP="00002B9E">
            <w:pPr>
              <w:pStyle w:val="Tabletext"/>
              <w:tabs>
                <w:tab w:val="decimal" w:pos="340"/>
              </w:tabs>
              <w:rPr>
                <w:b/>
              </w:rPr>
            </w:pPr>
            <w:r w:rsidRPr="00F41888">
              <w:rPr>
                <w:b/>
              </w:rPr>
              <w:t>22.0%</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2.6%</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3.8%</w:t>
            </w:r>
          </w:p>
        </w:tc>
        <w:tc>
          <w:tcPr>
            <w:tcW w:w="717" w:type="dxa"/>
            <w:tcBorders>
              <w:top w:val="nil"/>
              <w:bottom w:val="nil"/>
            </w:tcBorders>
            <w:shd w:val="clear" w:color="auto" w:fill="auto"/>
            <w:noWrap/>
          </w:tcPr>
          <w:p w:rsidR="00C9115F" w:rsidRPr="00F41888" w:rsidRDefault="00C9115F" w:rsidP="00D809FA">
            <w:pPr>
              <w:pStyle w:val="Tabletext"/>
              <w:tabs>
                <w:tab w:val="decimal" w:pos="226"/>
              </w:tabs>
            </w:pPr>
            <w:r w:rsidRPr="00F41888">
              <w:t>6.4%</w:t>
            </w:r>
          </w:p>
        </w:tc>
        <w:tc>
          <w:tcPr>
            <w:tcW w:w="718" w:type="dxa"/>
            <w:tcBorders>
              <w:top w:val="nil"/>
              <w:bottom w:val="nil"/>
            </w:tcBorders>
            <w:shd w:val="clear" w:color="auto" w:fill="auto"/>
            <w:noWrap/>
          </w:tcPr>
          <w:p w:rsidR="00C9115F" w:rsidRPr="00F41888" w:rsidRDefault="00C9115F" w:rsidP="00D809FA">
            <w:pPr>
              <w:pStyle w:val="Tabletext"/>
              <w:tabs>
                <w:tab w:val="decimal" w:pos="226"/>
              </w:tabs>
            </w:pPr>
            <w:r w:rsidRPr="00F41888">
              <w:t>4.1%</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0.5%</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2.3%</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1.8%</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9.5%</w:t>
            </w:r>
          </w:p>
        </w:tc>
        <w:tc>
          <w:tcPr>
            <w:tcW w:w="747" w:type="dxa"/>
            <w:tcBorders>
              <w:top w:val="nil"/>
              <w:bottom w:val="nil"/>
            </w:tcBorders>
            <w:shd w:val="clear" w:color="auto" w:fill="auto"/>
            <w:noWrap/>
          </w:tcPr>
          <w:p w:rsidR="00C9115F" w:rsidRPr="00F41888" w:rsidRDefault="00C9115F" w:rsidP="00D809FA">
            <w:pPr>
              <w:pStyle w:val="Tabletext"/>
              <w:tabs>
                <w:tab w:val="decimal" w:pos="369"/>
              </w:tabs>
            </w:pPr>
            <w:r w:rsidRPr="00F41888">
              <w:t>100%</w:t>
            </w:r>
          </w:p>
        </w:tc>
      </w:tr>
      <w:tr w:rsidR="00D809FA" w:rsidRPr="00F41888" w:rsidTr="00D809FA">
        <w:tc>
          <w:tcPr>
            <w:tcW w:w="1985" w:type="dxa"/>
            <w:tcBorders>
              <w:top w:val="nil"/>
              <w:bottom w:val="nil"/>
            </w:tcBorders>
            <w:shd w:val="clear" w:color="auto" w:fill="auto"/>
            <w:noWrap/>
            <w:tcMar>
              <w:right w:w="0" w:type="dxa"/>
            </w:tcMar>
          </w:tcPr>
          <w:p w:rsidR="00C9115F" w:rsidRPr="00F41888" w:rsidRDefault="00BA6AF0" w:rsidP="00D809FA">
            <w:pPr>
              <w:pStyle w:val="Tablehead2"/>
              <w:ind w:left="227" w:hanging="227"/>
            </w:pPr>
            <w:r>
              <w:t>7</w:t>
            </w:r>
            <w:r w:rsidR="00D809FA">
              <w:tab/>
            </w:r>
            <w:r>
              <w:t>Sales w</w:t>
            </w:r>
            <w:r w:rsidR="00C9115F" w:rsidRPr="00F41888">
              <w:t>orkers</w:t>
            </w:r>
          </w:p>
        </w:tc>
        <w:tc>
          <w:tcPr>
            <w:tcW w:w="567" w:type="dxa"/>
            <w:tcBorders>
              <w:top w:val="nil"/>
              <w:bottom w:val="nil"/>
              <w:right w:val="single" w:sz="4" w:space="0" w:color="auto"/>
            </w:tcBorders>
            <w:shd w:val="clear" w:color="auto" w:fill="auto"/>
            <w:noWrap/>
          </w:tcPr>
          <w:p w:rsidR="00C9115F" w:rsidRPr="00F41888" w:rsidRDefault="00C9115F" w:rsidP="00D809FA">
            <w:pPr>
              <w:pStyle w:val="Tablehead2"/>
              <w:ind w:right="57"/>
              <w:jc w:val="right"/>
            </w:pPr>
            <w:r w:rsidRPr="00F41888">
              <w:t>364</w:t>
            </w:r>
          </w:p>
        </w:tc>
        <w:tc>
          <w:tcPr>
            <w:tcW w:w="779" w:type="dxa"/>
            <w:tcBorders>
              <w:top w:val="nil"/>
              <w:left w:val="single" w:sz="4" w:space="0" w:color="auto"/>
              <w:bottom w:val="nil"/>
            </w:tcBorders>
            <w:shd w:val="clear" w:color="auto" w:fill="auto"/>
            <w:noWrap/>
          </w:tcPr>
          <w:p w:rsidR="00C9115F" w:rsidRPr="00F41888" w:rsidRDefault="00C9115F" w:rsidP="00D809FA">
            <w:pPr>
              <w:pStyle w:val="Tabletext"/>
              <w:tabs>
                <w:tab w:val="decimal" w:pos="226"/>
              </w:tabs>
            </w:pPr>
            <w:r w:rsidRPr="00F41888">
              <w:t>0.0%</w:t>
            </w:r>
          </w:p>
        </w:tc>
        <w:tc>
          <w:tcPr>
            <w:tcW w:w="780" w:type="dxa"/>
            <w:tcBorders>
              <w:top w:val="nil"/>
              <w:bottom w:val="nil"/>
            </w:tcBorders>
            <w:shd w:val="clear" w:color="auto" w:fill="auto"/>
            <w:noWrap/>
          </w:tcPr>
          <w:p w:rsidR="00C9115F" w:rsidRPr="00F41888" w:rsidRDefault="00C9115F" w:rsidP="00D809FA">
            <w:pPr>
              <w:pStyle w:val="Tabletext"/>
              <w:tabs>
                <w:tab w:val="decimal" w:pos="226"/>
              </w:tabs>
            </w:pPr>
            <w:r w:rsidRPr="00F41888">
              <w:t>1.3%</w:t>
            </w:r>
          </w:p>
        </w:tc>
        <w:tc>
          <w:tcPr>
            <w:tcW w:w="919" w:type="dxa"/>
            <w:tcBorders>
              <w:top w:val="nil"/>
              <w:bottom w:val="nil"/>
            </w:tcBorders>
            <w:shd w:val="clear" w:color="auto" w:fill="auto"/>
            <w:noWrap/>
          </w:tcPr>
          <w:p w:rsidR="00C9115F" w:rsidRPr="00F41888" w:rsidRDefault="00C9115F" w:rsidP="00002B9E">
            <w:pPr>
              <w:pStyle w:val="Tabletext"/>
              <w:tabs>
                <w:tab w:val="decimal" w:pos="284"/>
              </w:tabs>
            </w:pPr>
            <w:r w:rsidRPr="00F41888">
              <w:t>1.1%</w:t>
            </w:r>
          </w:p>
        </w:tc>
        <w:tc>
          <w:tcPr>
            <w:tcW w:w="782" w:type="dxa"/>
            <w:tcBorders>
              <w:top w:val="nil"/>
              <w:bottom w:val="nil"/>
            </w:tcBorders>
            <w:shd w:val="clear" w:color="auto" w:fill="auto"/>
            <w:noWrap/>
          </w:tcPr>
          <w:p w:rsidR="00C9115F" w:rsidRPr="00F41888" w:rsidRDefault="00C9115F" w:rsidP="00D809FA">
            <w:pPr>
              <w:pStyle w:val="Tabletext"/>
              <w:tabs>
                <w:tab w:val="decimal" w:pos="226"/>
              </w:tabs>
            </w:pPr>
            <w:r w:rsidRPr="00F41888">
              <w:t>8.6%</w:t>
            </w:r>
          </w:p>
        </w:tc>
        <w:tc>
          <w:tcPr>
            <w:tcW w:w="985" w:type="dxa"/>
            <w:tcBorders>
              <w:top w:val="nil"/>
              <w:bottom w:val="nil"/>
            </w:tcBorders>
            <w:shd w:val="clear" w:color="auto" w:fill="auto"/>
            <w:noWrap/>
          </w:tcPr>
          <w:p w:rsidR="00C9115F" w:rsidRPr="00F41888" w:rsidRDefault="00C9115F" w:rsidP="00002B9E">
            <w:pPr>
              <w:pStyle w:val="Tabletext"/>
              <w:tabs>
                <w:tab w:val="decimal" w:pos="340"/>
              </w:tabs>
            </w:pPr>
            <w:r w:rsidRPr="00F41888">
              <w:t>4.4%</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2.9%</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3.1%</w:t>
            </w:r>
          </w:p>
        </w:tc>
        <w:tc>
          <w:tcPr>
            <w:tcW w:w="717" w:type="dxa"/>
            <w:tcBorders>
              <w:top w:val="nil"/>
              <w:bottom w:val="nil"/>
            </w:tcBorders>
            <w:shd w:val="clear" w:color="000000" w:fill="D8D8D8"/>
            <w:noWrap/>
          </w:tcPr>
          <w:p w:rsidR="00C9115F" w:rsidRPr="00F41888" w:rsidRDefault="00C9115F" w:rsidP="00D809FA">
            <w:pPr>
              <w:pStyle w:val="Tabletext"/>
              <w:tabs>
                <w:tab w:val="decimal" w:pos="226"/>
              </w:tabs>
              <w:rPr>
                <w:b/>
              </w:rPr>
            </w:pPr>
            <w:r w:rsidRPr="00F41888">
              <w:rPr>
                <w:b/>
              </w:rPr>
              <w:t>8.5%</w:t>
            </w:r>
          </w:p>
        </w:tc>
        <w:tc>
          <w:tcPr>
            <w:tcW w:w="718" w:type="dxa"/>
            <w:tcBorders>
              <w:top w:val="nil"/>
              <w:bottom w:val="nil"/>
            </w:tcBorders>
            <w:shd w:val="clear" w:color="000000" w:fill="D8D8D8"/>
            <w:noWrap/>
          </w:tcPr>
          <w:p w:rsidR="00C9115F" w:rsidRPr="00F41888" w:rsidRDefault="00C9115F" w:rsidP="00D809FA">
            <w:pPr>
              <w:pStyle w:val="Tabletext"/>
              <w:tabs>
                <w:tab w:val="decimal" w:pos="226"/>
              </w:tabs>
              <w:rPr>
                <w:b/>
              </w:rPr>
            </w:pPr>
            <w:r w:rsidRPr="00F41888">
              <w:rPr>
                <w:b/>
              </w:rPr>
              <w:t>54.7%</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1.5%</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4.4%</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3.4%</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6.0%</w:t>
            </w:r>
          </w:p>
        </w:tc>
        <w:tc>
          <w:tcPr>
            <w:tcW w:w="747" w:type="dxa"/>
            <w:tcBorders>
              <w:top w:val="nil"/>
              <w:bottom w:val="nil"/>
            </w:tcBorders>
            <w:shd w:val="clear" w:color="auto" w:fill="auto"/>
            <w:noWrap/>
          </w:tcPr>
          <w:p w:rsidR="00C9115F" w:rsidRPr="00F41888" w:rsidRDefault="00C9115F" w:rsidP="00D809FA">
            <w:pPr>
              <w:pStyle w:val="Tabletext"/>
              <w:tabs>
                <w:tab w:val="decimal" w:pos="369"/>
              </w:tabs>
            </w:pPr>
            <w:r w:rsidRPr="00F41888">
              <w:t>100%</w:t>
            </w:r>
          </w:p>
        </w:tc>
      </w:tr>
      <w:tr w:rsidR="00D809FA" w:rsidRPr="00F41888" w:rsidTr="00D809FA">
        <w:tc>
          <w:tcPr>
            <w:tcW w:w="1985" w:type="dxa"/>
            <w:tcBorders>
              <w:top w:val="nil"/>
              <w:bottom w:val="nil"/>
            </w:tcBorders>
            <w:shd w:val="clear" w:color="auto" w:fill="auto"/>
            <w:noWrap/>
            <w:tcMar>
              <w:right w:w="0" w:type="dxa"/>
            </w:tcMar>
          </w:tcPr>
          <w:p w:rsidR="00C9115F" w:rsidRPr="00F41888" w:rsidRDefault="00C9115F" w:rsidP="00D809FA">
            <w:pPr>
              <w:pStyle w:val="Tablehead2"/>
              <w:ind w:left="227" w:hanging="227"/>
            </w:pPr>
            <w:r w:rsidRPr="00F41888">
              <w:t>8</w:t>
            </w:r>
            <w:r w:rsidR="00D809FA">
              <w:tab/>
            </w:r>
            <w:r w:rsidRPr="00F41888">
              <w:t>Community/</w:t>
            </w:r>
            <w:r w:rsidR="00BA6AF0" w:rsidRPr="00F41888">
              <w:t>personal services workers</w:t>
            </w:r>
          </w:p>
        </w:tc>
        <w:tc>
          <w:tcPr>
            <w:tcW w:w="567" w:type="dxa"/>
            <w:tcBorders>
              <w:top w:val="nil"/>
              <w:bottom w:val="nil"/>
              <w:right w:val="single" w:sz="4" w:space="0" w:color="auto"/>
            </w:tcBorders>
            <w:shd w:val="clear" w:color="auto" w:fill="auto"/>
            <w:noWrap/>
          </w:tcPr>
          <w:p w:rsidR="00C9115F" w:rsidRPr="00F41888" w:rsidRDefault="00C9115F" w:rsidP="00D809FA">
            <w:pPr>
              <w:pStyle w:val="Tablehead2"/>
              <w:ind w:right="57"/>
              <w:jc w:val="right"/>
            </w:pPr>
            <w:r w:rsidRPr="00F41888">
              <w:t>471</w:t>
            </w:r>
          </w:p>
        </w:tc>
        <w:tc>
          <w:tcPr>
            <w:tcW w:w="779" w:type="dxa"/>
            <w:tcBorders>
              <w:top w:val="nil"/>
              <w:left w:val="single" w:sz="4" w:space="0" w:color="auto"/>
              <w:bottom w:val="nil"/>
            </w:tcBorders>
            <w:shd w:val="clear" w:color="auto" w:fill="auto"/>
            <w:noWrap/>
          </w:tcPr>
          <w:p w:rsidR="00C9115F" w:rsidRPr="00F41888" w:rsidRDefault="00C9115F" w:rsidP="00D809FA">
            <w:pPr>
              <w:pStyle w:val="Tabletext"/>
              <w:tabs>
                <w:tab w:val="decimal" w:pos="226"/>
              </w:tabs>
            </w:pPr>
            <w:r w:rsidRPr="00F41888">
              <w:t>0.0%</w:t>
            </w:r>
          </w:p>
        </w:tc>
        <w:tc>
          <w:tcPr>
            <w:tcW w:w="780" w:type="dxa"/>
            <w:tcBorders>
              <w:top w:val="nil"/>
              <w:bottom w:val="nil"/>
            </w:tcBorders>
            <w:shd w:val="clear" w:color="auto" w:fill="auto"/>
            <w:noWrap/>
          </w:tcPr>
          <w:p w:rsidR="00C9115F" w:rsidRPr="00F41888" w:rsidRDefault="00C9115F" w:rsidP="00D809FA">
            <w:pPr>
              <w:pStyle w:val="Tabletext"/>
              <w:tabs>
                <w:tab w:val="decimal" w:pos="226"/>
              </w:tabs>
            </w:pPr>
            <w:r w:rsidRPr="00F41888">
              <w:t>0.8%</w:t>
            </w:r>
          </w:p>
        </w:tc>
        <w:tc>
          <w:tcPr>
            <w:tcW w:w="919" w:type="dxa"/>
            <w:tcBorders>
              <w:top w:val="nil"/>
              <w:bottom w:val="nil"/>
            </w:tcBorders>
            <w:shd w:val="clear" w:color="auto" w:fill="auto"/>
            <w:noWrap/>
          </w:tcPr>
          <w:p w:rsidR="00C9115F" w:rsidRPr="00F41888" w:rsidRDefault="00C9115F" w:rsidP="00002B9E">
            <w:pPr>
              <w:pStyle w:val="Tabletext"/>
              <w:tabs>
                <w:tab w:val="decimal" w:pos="284"/>
              </w:tabs>
            </w:pPr>
            <w:r w:rsidRPr="00F41888">
              <w:t>1.6%</w:t>
            </w:r>
          </w:p>
        </w:tc>
        <w:tc>
          <w:tcPr>
            <w:tcW w:w="782" w:type="dxa"/>
            <w:tcBorders>
              <w:top w:val="nil"/>
              <w:bottom w:val="nil"/>
            </w:tcBorders>
            <w:shd w:val="clear" w:color="auto" w:fill="auto"/>
            <w:noWrap/>
          </w:tcPr>
          <w:p w:rsidR="00C9115F" w:rsidRPr="00F41888" w:rsidRDefault="00C9115F" w:rsidP="00D809FA">
            <w:pPr>
              <w:pStyle w:val="Tabletext"/>
              <w:tabs>
                <w:tab w:val="decimal" w:pos="226"/>
              </w:tabs>
            </w:pPr>
            <w:r w:rsidRPr="00F41888">
              <w:t>4.5%</w:t>
            </w:r>
          </w:p>
        </w:tc>
        <w:tc>
          <w:tcPr>
            <w:tcW w:w="985" w:type="dxa"/>
            <w:tcBorders>
              <w:top w:val="nil"/>
              <w:bottom w:val="nil"/>
            </w:tcBorders>
            <w:shd w:val="clear" w:color="auto" w:fill="auto"/>
            <w:noWrap/>
          </w:tcPr>
          <w:p w:rsidR="00C9115F" w:rsidRPr="00F41888" w:rsidRDefault="00C9115F" w:rsidP="00002B9E">
            <w:pPr>
              <w:pStyle w:val="Tabletext"/>
              <w:tabs>
                <w:tab w:val="decimal" w:pos="340"/>
              </w:tabs>
            </w:pPr>
            <w:r w:rsidRPr="00F41888">
              <w:t>5.2%</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1.4%</w:t>
            </w:r>
          </w:p>
        </w:tc>
        <w:tc>
          <w:tcPr>
            <w:tcW w:w="925" w:type="dxa"/>
            <w:tcBorders>
              <w:top w:val="nil"/>
              <w:bottom w:val="nil"/>
            </w:tcBorders>
            <w:shd w:val="clear" w:color="000000" w:fill="D8D8D8"/>
            <w:noWrap/>
          </w:tcPr>
          <w:p w:rsidR="00C9115F" w:rsidRPr="00F41888" w:rsidRDefault="00C9115F" w:rsidP="00002B9E">
            <w:pPr>
              <w:pStyle w:val="Tabletext"/>
              <w:tabs>
                <w:tab w:val="decimal" w:pos="284"/>
              </w:tabs>
              <w:rPr>
                <w:b/>
              </w:rPr>
            </w:pPr>
            <w:r w:rsidRPr="00F41888">
              <w:rPr>
                <w:b/>
              </w:rPr>
              <w:t>65.7%</w:t>
            </w:r>
          </w:p>
        </w:tc>
        <w:tc>
          <w:tcPr>
            <w:tcW w:w="717" w:type="dxa"/>
            <w:tcBorders>
              <w:top w:val="nil"/>
              <w:bottom w:val="nil"/>
            </w:tcBorders>
            <w:shd w:val="clear" w:color="auto" w:fill="auto"/>
            <w:noWrap/>
          </w:tcPr>
          <w:p w:rsidR="00C9115F" w:rsidRPr="00F41888" w:rsidRDefault="00C9115F" w:rsidP="00D809FA">
            <w:pPr>
              <w:pStyle w:val="Tabletext"/>
              <w:tabs>
                <w:tab w:val="decimal" w:pos="226"/>
              </w:tabs>
            </w:pPr>
            <w:r w:rsidRPr="00F41888">
              <w:t>2.9%</w:t>
            </w:r>
          </w:p>
        </w:tc>
        <w:tc>
          <w:tcPr>
            <w:tcW w:w="718" w:type="dxa"/>
            <w:tcBorders>
              <w:top w:val="nil"/>
              <w:bottom w:val="nil"/>
            </w:tcBorders>
            <w:shd w:val="clear" w:color="auto" w:fill="auto"/>
            <w:noWrap/>
          </w:tcPr>
          <w:p w:rsidR="00C9115F" w:rsidRPr="00F41888" w:rsidRDefault="00C9115F" w:rsidP="00D809FA">
            <w:pPr>
              <w:pStyle w:val="Tabletext"/>
              <w:tabs>
                <w:tab w:val="decimal" w:pos="226"/>
              </w:tabs>
            </w:pPr>
            <w:r w:rsidRPr="00F41888">
              <w:t>2.5%</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0.6%</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2.3%</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2.6%</w:t>
            </w:r>
          </w:p>
        </w:tc>
        <w:tc>
          <w:tcPr>
            <w:tcW w:w="746" w:type="dxa"/>
            <w:tcBorders>
              <w:top w:val="nil"/>
              <w:bottom w:val="nil"/>
            </w:tcBorders>
            <w:shd w:val="clear" w:color="000000" w:fill="D8D8D8"/>
            <w:noWrap/>
          </w:tcPr>
          <w:p w:rsidR="00C9115F" w:rsidRPr="00F41888" w:rsidRDefault="00C9115F" w:rsidP="00D809FA">
            <w:pPr>
              <w:pStyle w:val="Tabletext"/>
              <w:tabs>
                <w:tab w:val="decimal" w:pos="226"/>
              </w:tabs>
              <w:rPr>
                <w:b/>
              </w:rPr>
            </w:pPr>
            <w:r w:rsidRPr="00F41888">
              <w:rPr>
                <w:b/>
              </w:rPr>
              <w:t>9.8%</w:t>
            </w:r>
          </w:p>
        </w:tc>
        <w:tc>
          <w:tcPr>
            <w:tcW w:w="747" w:type="dxa"/>
            <w:tcBorders>
              <w:top w:val="nil"/>
              <w:bottom w:val="nil"/>
            </w:tcBorders>
            <w:shd w:val="clear" w:color="auto" w:fill="auto"/>
            <w:noWrap/>
          </w:tcPr>
          <w:p w:rsidR="00C9115F" w:rsidRPr="00F41888" w:rsidRDefault="00C9115F" w:rsidP="00D809FA">
            <w:pPr>
              <w:pStyle w:val="Tabletext"/>
              <w:tabs>
                <w:tab w:val="decimal" w:pos="369"/>
              </w:tabs>
            </w:pPr>
            <w:r w:rsidRPr="00F41888">
              <w:t>100%</w:t>
            </w:r>
          </w:p>
        </w:tc>
      </w:tr>
      <w:tr w:rsidR="00D809FA" w:rsidRPr="00F41888" w:rsidTr="00D809FA">
        <w:tc>
          <w:tcPr>
            <w:tcW w:w="1985" w:type="dxa"/>
            <w:tcBorders>
              <w:top w:val="nil"/>
              <w:bottom w:val="nil"/>
            </w:tcBorders>
            <w:shd w:val="clear" w:color="auto" w:fill="auto"/>
            <w:noWrap/>
            <w:tcMar>
              <w:right w:w="0" w:type="dxa"/>
            </w:tcMar>
          </w:tcPr>
          <w:p w:rsidR="00C9115F" w:rsidRPr="00F41888" w:rsidRDefault="00C9115F" w:rsidP="00D809FA">
            <w:pPr>
              <w:pStyle w:val="Tablehead2"/>
              <w:ind w:left="227" w:hanging="227"/>
            </w:pPr>
            <w:r w:rsidRPr="00F41888">
              <w:t>9</w:t>
            </w:r>
            <w:r w:rsidR="00D809FA">
              <w:tab/>
            </w:r>
            <w:r w:rsidRPr="00F41888">
              <w:t>Managers</w:t>
            </w:r>
          </w:p>
        </w:tc>
        <w:tc>
          <w:tcPr>
            <w:tcW w:w="567" w:type="dxa"/>
            <w:tcBorders>
              <w:top w:val="nil"/>
              <w:bottom w:val="nil"/>
              <w:right w:val="single" w:sz="4" w:space="0" w:color="auto"/>
            </w:tcBorders>
            <w:shd w:val="clear" w:color="auto" w:fill="auto"/>
            <w:noWrap/>
          </w:tcPr>
          <w:p w:rsidR="00C9115F" w:rsidRPr="00F41888" w:rsidRDefault="00C9115F" w:rsidP="00D809FA">
            <w:pPr>
              <w:pStyle w:val="Tablehead2"/>
              <w:ind w:right="57"/>
              <w:jc w:val="right"/>
            </w:pPr>
            <w:r w:rsidRPr="00F41888">
              <w:t>786</w:t>
            </w:r>
          </w:p>
        </w:tc>
        <w:tc>
          <w:tcPr>
            <w:tcW w:w="779" w:type="dxa"/>
            <w:tcBorders>
              <w:top w:val="nil"/>
              <w:left w:val="single" w:sz="4" w:space="0" w:color="auto"/>
              <w:bottom w:val="nil"/>
            </w:tcBorders>
            <w:shd w:val="clear" w:color="auto" w:fill="auto"/>
            <w:noWrap/>
          </w:tcPr>
          <w:p w:rsidR="00C9115F" w:rsidRPr="00F41888" w:rsidRDefault="00C9115F" w:rsidP="00D809FA">
            <w:pPr>
              <w:pStyle w:val="Tabletext"/>
              <w:tabs>
                <w:tab w:val="decimal" w:pos="226"/>
              </w:tabs>
            </w:pPr>
            <w:r w:rsidRPr="00F41888">
              <w:t>0.0%</w:t>
            </w:r>
          </w:p>
        </w:tc>
        <w:tc>
          <w:tcPr>
            <w:tcW w:w="780" w:type="dxa"/>
            <w:tcBorders>
              <w:top w:val="nil"/>
              <w:bottom w:val="nil"/>
            </w:tcBorders>
            <w:shd w:val="clear" w:color="auto" w:fill="auto"/>
            <w:noWrap/>
          </w:tcPr>
          <w:p w:rsidR="00C9115F" w:rsidRPr="00F41888" w:rsidRDefault="00C9115F" w:rsidP="00D809FA">
            <w:pPr>
              <w:pStyle w:val="Tabletext"/>
              <w:tabs>
                <w:tab w:val="decimal" w:pos="226"/>
              </w:tabs>
            </w:pPr>
            <w:r w:rsidRPr="00F41888">
              <w:t>0.6%</w:t>
            </w:r>
          </w:p>
        </w:tc>
        <w:tc>
          <w:tcPr>
            <w:tcW w:w="919" w:type="dxa"/>
            <w:tcBorders>
              <w:top w:val="nil"/>
              <w:bottom w:val="nil"/>
            </w:tcBorders>
            <w:shd w:val="clear" w:color="auto" w:fill="auto"/>
            <w:noWrap/>
          </w:tcPr>
          <w:p w:rsidR="00C9115F" w:rsidRPr="00F41888" w:rsidRDefault="00C9115F" w:rsidP="00002B9E">
            <w:pPr>
              <w:pStyle w:val="Tabletext"/>
              <w:tabs>
                <w:tab w:val="decimal" w:pos="284"/>
              </w:tabs>
            </w:pPr>
            <w:r w:rsidRPr="00F41888">
              <w:t>0.5%</w:t>
            </w:r>
          </w:p>
        </w:tc>
        <w:tc>
          <w:tcPr>
            <w:tcW w:w="782" w:type="dxa"/>
            <w:tcBorders>
              <w:top w:val="nil"/>
              <w:bottom w:val="nil"/>
            </w:tcBorders>
            <w:shd w:val="clear" w:color="000000" w:fill="D8D8D8"/>
            <w:noWrap/>
          </w:tcPr>
          <w:p w:rsidR="00C9115F" w:rsidRPr="00F41888" w:rsidRDefault="00C9115F" w:rsidP="00D809FA">
            <w:pPr>
              <w:pStyle w:val="Tabletext"/>
              <w:tabs>
                <w:tab w:val="decimal" w:pos="226"/>
              </w:tabs>
              <w:rPr>
                <w:b/>
              </w:rPr>
            </w:pPr>
            <w:r w:rsidRPr="00F41888">
              <w:rPr>
                <w:b/>
              </w:rPr>
              <w:t>64.0%</w:t>
            </w:r>
          </w:p>
        </w:tc>
        <w:tc>
          <w:tcPr>
            <w:tcW w:w="985" w:type="dxa"/>
            <w:tcBorders>
              <w:top w:val="nil"/>
              <w:bottom w:val="nil"/>
            </w:tcBorders>
            <w:shd w:val="clear" w:color="000000" w:fill="D8D8D8"/>
            <w:noWrap/>
          </w:tcPr>
          <w:p w:rsidR="00C9115F" w:rsidRPr="00F41888" w:rsidRDefault="00C9115F" w:rsidP="00002B9E">
            <w:pPr>
              <w:pStyle w:val="Tabletext"/>
              <w:tabs>
                <w:tab w:val="decimal" w:pos="340"/>
              </w:tabs>
              <w:rPr>
                <w:b/>
              </w:rPr>
            </w:pPr>
            <w:r w:rsidRPr="00F41888">
              <w:rPr>
                <w:b/>
              </w:rPr>
              <w:t>11.5%</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2.3%</w:t>
            </w:r>
          </w:p>
        </w:tc>
        <w:tc>
          <w:tcPr>
            <w:tcW w:w="925" w:type="dxa"/>
            <w:tcBorders>
              <w:top w:val="nil"/>
              <w:bottom w:val="nil"/>
            </w:tcBorders>
            <w:shd w:val="clear" w:color="auto" w:fill="auto"/>
            <w:noWrap/>
          </w:tcPr>
          <w:p w:rsidR="00C9115F" w:rsidRPr="00F41888" w:rsidRDefault="00C9115F" w:rsidP="00002B9E">
            <w:pPr>
              <w:pStyle w:val="Tabletext"/>
              <w:tabs>
                <w:tab w:val="decimal" w:pos="284"/>
              </w:tabs>
            </w:pPr>
            <w:r w:rsidRPr="00F41888">
              <w:t>1.0%</w:t>
            </w:r>
          </w:p>
        </w:tc>
        <w:tc>
          <w:tcPr>
            <w:tcW w:w="717" w:type="dxa"/>
            <w:tcBorders>
              <w:top w:val="nil"/>
              <w:bottom w:val="nil"/>
            </w:tcBorders>
            <w:shd w:val="clear" w:color="auto" w:fill="auto"/>
            <w:noWrap/>
          </w:tcPr>
          <w:p w:rsidR="00C9115F" w:rsidRPr="00F41888" w:rsidRDefault="00C9115F" w:rsidP="00D809FA">
            <w:pPr>
              <w:pStyle w:val="Tabletext"/>
              <w:tabs>
                <w:tab w:val="decimal" w:pos="226"/>
              </w:tabs>
            </w:pPr>
            <w:r w:rsidRPr="00F41888">
              <w:t>6.8%</w:t>
            </w:r>
          </w:p>
        </w:tc>
        <w:tc>
          <w:tcPr>
            <w:tcW w:w="718" w:type="dxa"/>
            <w:tcBorders>
              <w:top w:val="nil"/>
              <w:bottom w:val="nil"/>
            </w:tcBorders>
            <w:shd w:val="clear" w:color="auto" w:fill="auto"/>
            <w:noWrap/>
          </w:tcPr>
          <w:p w:rsidR="00C9115F" w:rsidRPr="00F41888" w:rsidRDefault="00C9115F" w:rsidP="00D809FA">
            <w:pPr>
              <w:pStyle w:val="Tabletext"/>
              <w:tabs>
                <w:tab w:val="decimal" w:pos="226"/>
              </w:tabs>
            </w:pPr>
            <w:r w:rsidRPr="00F41888">
              <w:t>2.6%</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0.7%</w:t>
            </w:r>
          </w:p>
        </w:tc>
        <w:tc>
          <w:tcPr>
            <w:tcW w:w="842" w:type="dxa"/>
            <w:tcBorders>
              <w:top w:val="nil"/>
              <w:bottom w:val="nil"/>
            </w:tcBorders>
            <w:shd w:val="clear" w:color="auto" w:fill="auto"/>
            <w:noWrap/>
          </w:tcPr>
          <w:p w:rsidR="00C9115F" w:rsidRPr="00F41888" w:rsidRDefault="00C9115F" w:rsidP="00002B9E">
            <w:pPr>
              <w:pStyle w:val="Tabletext"/>
              <w:tabs>
                <w:tab w:val="decimal" w:pos="284"/>
              </w:tabs>
            </w:pPr>
            <w:r w:rsidRPr="00F41888">
              <w:t>3.2%</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0.9%</w:t>
            </w:r>
          </w:p>
        </w:tc>
        <w:tc>
          <w:tcPr>
            <w:tcW w:w="746" w:type="dxa"/>
            <w:tcBorders>
              <w:top w:val="nil"/>
              <w:bottom w:val="nil"/>
            </w:tcBorders>
            <w:shd w:val="clear" w:color="auto" w:fill="auto"/>
            <w:noWrap/>
          </w:tcPr>
          <w:p w:rsidR="00C9115F" w:rsidRPr="00F41888" w:rsidRDefault="00C9115F" w:rsidP="00D809FA">
            <w:pPr>
              <w:pStyle w:val="Tabletext"/>
              <w:tabs>
                <w:tab w:val="decimal" w:pos="226"/>
              </w:tabs>
            </w:pPr>
            <w:r w:rsidRPr="00F41888">
              <w:t>5.9%</w:t>
            </w:r>
          </w:p>
        </w:tc>
        <w:tc>
          <w:tcPr>
            <w:tcW w:w="747" w:type="dxa"/>
            <w:tcBorders>
              <w:top w:val="nil"/>
              <w:bottom w:val="nil"/>
            </w:tcBorders>
            <w:shd w:val="clear" w:color="auto" w:fill="auto"/>
            <w:noWrap/>
          </w:tcPr>
          <w:p w:rsidR="00C9115F" w:rsidRPr="00F41888" w:rsidRDefault="00C9115F" w:rsidP="00D809FA">
            <w:pPr>
              <w:pStyle w:val="Tabletext"/>
              <w:tabs>
                <w:tab w:val="decimal" w:pos="369"/>
              </w:tabs>
            </w:pPr>
            <w:r w:rsidRPr="00F41888">
              <w:t>100%</w:t>
            </w:r>
          </w:p>
        </w:tc>
      </w:tr>
      <w:tr w:rsidR="00D809FA" w:rsidRPr="00F41888" w:rsidTr="00D809FA">
        <w:tc>
          <w:tcPr>
            <w:tcW w:w="1985" w:type="dxa"/>
            <w:tcBorders>
              <w:top w:val="nil"/>
              <w:bottom w:val="single" w:sz="4" w:space="0" w:color="auto"/>
            </w:tcBorders>
            <w:shd w:val="clear" w:color="auto" w:fill="auto"/>
            <w:noWrap/>
            <w:tcMar>
              <w:right w:w="0" w:type="dxa"/>
            </w:tcMar>
          </w:tcPr>
          <w:p w:rsidR="00C9115F" w:rsidRPr="00F41888" w:rsidRDefault="00C9115F" w:rsidP="00D809FA">
            <w:pPr>
              <w:pStyle w:val="Tablehead2"/>
              <w:ind w:left="227" w:hanging="227"/>
            </w:pPr>
            <w:r w:rsidRPr="00F41888">
              <w:t>10</w:t>
            </w:r>
            <w:r w:rsidR="00D809FA">
              <w:tab/>
            </w:r>
            <w:r w:rsidRPr="00F41888">
              <w:t xml:space="preserve">Not in </w:t>
            </w:r>
            <w:r w:rsidR="00BA6AF0" w:rsidRPr="00F41888">
              <w:t>the labour force</w:t>
            </w:r>
          </w:p>
        </w:tc>
        <w:tc>
          <w:tcPr>
            <w:tcW w:w="567" w:type="dxa"/>
            <w:tcBorders>
              <w:top w:val="nil"/>
              <w:bottom w:val="single" w:sz="4" w:space="0" w:color="auto"/>
              <w:right w:val="single" w:sz="4" w:space="0" w:color="auto"/>
            </w:tcBorders>
            <w:shd w:val="clear" w:color="auto" w:fill="auto"/>
            <w:noWrap/>
          </w:tcPr>
          <w:p w:rsidR="00C9115F" w:rsidRPr="00F41888" w:rsidRDefault="00C9115F" w:rsidP="00D809FA">
            <w:pPr>
              <w:pStyle w:val="Tablehead2"/>
              <w:ind w:right="57"/>
              <w:jc w:val="right"/>
            </w:pPr>
            <w:r w:rsidRPr="00F41888">
              <w:t>1701</w:t>
            </w:r>
          </w:p>
        </w:tc>
        <w:tc>
          <w:tcPr>
            <w:tcW w:w="779" w:type="dxa"/>
            <w:tcBorders>
              <w:top w:val="nil"/>
              <w:left w:val="single" w:sz="4" w:space="0" w:color="auto"/>
              <w:bottom w:val="single" w:sz="4" w:space="0" w:color="auto"/>
            </w:tcBorders>
            <w:shd w:val="clear" w:color="auto" w:fill="auto"/>
            <w:noWrap/>
          </w:tcPr>
          <w:p w:rsidR="00C9115F" w:rsidRPr="00F41888" w:rsidRDefault="00C9115F" w:rsidP="00D809FA">
            <w:pPr>
              <w:pStyle w:val="Tabletext"/>
              <w:tabs>
                <w:tab w:val="decimal" w:pos="226"/>
              </w:tabs>
            </w:pPr>
            <w:r w:rsidRPr="00F41888">
              <w:t>0.0%</w:t>
            </w:r>
          </w:p>
        </w:tc>
        <w:tc>
          <w:tcPr>
            <w:tcW w:w="780" w:type="dxa"/>
            <w:tcBorders>
              <w:top w:val="nil"/>
              <w:bottom w:val="single" w:sz="4" w:space="0" w:color="auto"/>
            </w:tcBorders>
            <w:shd w:val="clear" w:color="auto" w:fill="auto"/>
            <w:noWrap/>
          </w:tcPr>
          <w:p w:rsidR="00C9115F" w:rsidRPr="00F41888" w:rsidRDefault="00C9115F" w:rsidP="00D809FA">
            <w:pPr>
              <w:pStyle w:val="Tabletext"/>
              <w:tabs>
                <w:tab w:val="decimal" w:pos="226"/>
              </w:tabs>
            </w:pPr>
            <w:r w:rsidRPr="00F41888">
              <w:t>0.5%</w:t>
            </w:r>
          </w:p>
        </w:tc>
        <w:tc>
          <w:tcPr>
            <w:tcW w:w="919" w:type="dxa"/>
            <w:tcBorders>
              <w:top w:val="nil"/>
              <w:bottom w:val="single" w:sz="4" w:space="0" w:color="auto"/>
            </w:tcBorders>
            <w:shd w:val="clear" w:color="auto" w:fill="auto"/>
            <w:noWrap/>
          </w:tcPr>
          <w:p w:rsidR="00C9115F" w:rsidRPr="00F41888" w:rsidRDefault="00C9115F" w:rsidP="00002B9E">
            <w:pPr>
              <w:pStyle w:val="Tabletext"/>
              <w:tabs>
                <w:tab w:val="decimal" w:pos="284"/>
              </w:tabs>
            </w:pPr>
            <w:r w:rsidRPr="00F41888">
              <w:t>0.2%</w:t>
            </w:r>
          </w:p>
        </w:tc>
        <w:tc>
          <w:tcPr>
            <w:tcW w:w="782" w:type="dxa"/>
            <w:tcBorders>
              <w:top w:val="nil"/>
              <w:bottom w:val="single" w:sz="4" w:space="0" w:color="auto"/>
            </w:tcBorders>
            <w:shd w:val="clear" w:color="auto" w:fill="auto"/>
            <w:noWrap/>
          </w:tcPr>
          <w:p w:rsidR="00C9115F" w:rsidRPr="00F41888" w:rsidRDefault="00C9115F" w:rsidP="00D809FA">
            <w:pPr>
              <w:pStyle w:val="Tabletext"/>
              <w:tabs>
                <w:tab w:val="decimal" w:pos="226"/>
              </w:tabs>
            </w:pPr>
            <w:r w:rsidRPr="00F41888">
              <w:t>0.7%</w:t>
            </w:r>
          </w:p>
        </w:tc>
        <w:tc>
          <w:tcPr>
            <w:tcW w:w="985" w:type="dxa"/>
            <w:tcBorders>
              <w:top w:val="nil"/>
              <w:bottom w:val="single" w:sz="4" w:space="0" w:color="auto"/>
            </w:tcBorders>
            <w:shd w:val="clear" w:color="auto" w:fill="auto"/>
            <w:noWrap/>
          </w:tcPr>
          <w:p w:rsidR="00C9115F" w:rsidRPr="00F41888" w:rsidRDefault="00C9115F" w:rsidP="00002B9E">
            <w:pPr>
              <w:pStyle w:val="Tabletext"/>
              <w:tabs>
                <w:tab w:val="decimal" w:pos="340"/>
              </w:tabs>
            </w:pPr>
            <w:r w:rsidRPr="00F41888">
              <w:t>1.7%</w:t>
            </w:r>
          </w:p>
        </w:tc>
        <w:tc>
          <w:tcPr>
            <w:tcW w:w="925" w:type="dxa"/>
            <w:tcBorders>
              <w:top w:val="nil"/>
              <w:bottom w:val="single" w:sz="4" w:space="0" w:color="auto"/>
            </w:tcBorders>
            <w:shd w:val="clear" w:color="auto" w:fill="auto"/>
            <w:noWrap/>
          </w:tcPr>
          <w:p w:rsidR="00C9115F" w:rsidRPr="00F41888" w:rsidRDefault="00C9115F" w:rsidP="00002B9E">
            <w:pPr>
              <w:pStyle w:val="Tabletext"/>
              <w:tabs>
                <w:tab w:val="decimal" w:pos="284"/>
              </w:tabs>
            </w:pPr>
            <w:r w:rsidRPr="00F41888">
              <w:t>2.1%</w:t>
            </w:r>
          </w:p>
        </w:tc>
        <w:tc>
          <w:tcPr>
            <w:tcW w:w="925" w:type="dxa"/>
            <w:tcBorders>
              <w:top w:val="nil"/>
              <w:bottom w:val="single" w:sz="4" w:space="0" w:color="auto"/>
            </w:tcBorders>
            <w:shd w:val="clear" w:color="auto" w:fill="auto"/>
            <w:noWrap/>
          </w:tcPr>
          <w:p w:rsidR="00C9115F" w:rsidRPr="00F41888" w:rsidRDefault="00C9115F" w:rsidP="00002B9E">
            <w:pPr>
              <w:pStyle w:val="Tabletext"/>
              <w:tabs>
                <w:tab w:val="decimal" w:pos="284"/>
              </w:tabs>
            </w:pPr>
            <w:r w:rsidRPr="00F41888">
              <w:t>1.9%</w:t>
            </w:r>
          </w:p>
        </w:tc>
        <w:tc>
          <w:tcPr>
            <w:tcW w:w="717" w:type="dxa"/>
            <w:tcBorders>
              <w:top w:val="nil"/>
              <w:bottom w:val="single" w:sz="4" w:space="0" w:color="auto"/>
            </w:tcBorders>
            <w:shd w:val="clear" w:color="auto" w:fill="auto"/>
            <w:noWrap/>
          </w:tcPr>
          <w:p w:rsidR="00C9115F" w:rsidRPr="00F41888" w:rsidRDefault="00C9115F" w:rsidP="00D809FA">
            <w:pPr>
              <w:pStyle w:val="Tabletext"/>
              <w:tabs>
                <w:tab w:val="decimal" w:pos="226"/>
              </w:tabs>
            </w:pPr>
            <w:r w:rsidRPr="00F41888">
              <w:t>2.2%</w:t>
            </w:r>
          </w:p>
        </w:tc>
        <w:tc>
          <w:tcPr>
            <w:tcW w:w="718" w:type="dxa"/>
            <w:tcBorders>
              <w:top w:val="nil"/>
              <w:bottom w:val="single" w:sz="4" w:space="0" w:color="auto"/>
            </w:tcBorders>
            <w:shd w:val="clear" w:color="auto" w:fill="auto"/>
            <w:noWrap/>
          </w:tcPr>
          <w:p w:rsidR="00C9115F" w:rsidRPr="00F41888" w:rsidRDefault="00C9115F" w:rsidP="00D809FA">
            <w:pPr>
              <w:pStyle w:val="Tabletext"/>
              <w:tabs>
                <w:tab w:val="decimal" w:pos="226"/>
              </w:tabs>
            </w:pPr>
            <w:r w:rsidRPr="00F41888">
              <w:t>1.8%</w:t>
            </w:r>
          </w:p>
        </w:tc>
        <w:tc>
          <w:tcPr>
            <w:tcW w:w="842" w:type="dxa"/>
            <w:tcBorders>
              <w:top w:val="nil"/>
              <w:bottom w:val="single" w:sz="4" w:space="0" w:color="auto"/>
            </w:tcBorders>
            <w:shd w:val="clear" w:color="auto" w:fill="auto"/>
            <w:noWrap/>
          </w:tcPr>
          <w:p w:rsidR="00C9115F" w:rsidRPr="00F41888" w:rsidRDefault="00C9115F" w:rsidP="00002B9E">
            <w:pPr>
              <w:pStyle w:val="Tabletext"/>
              <w:tabs>
                <w:tab w:val="decimal" w:pos="284"/>
              </w:tabs>
            </w:pPr>
            <w:r w:rsidRPr="00F41888">
              <w:t>0.8%</w:t>
            </w:r>
          </w:p>
        </w:tc>
        <w:tc>
          <w:tcPr>
            <w:tcW w:w="842" w:type="dxa"/>
            <w:tcBorders>
              <w:top w:val="nil"/>
              <w:bottom w:val="single" w:sz="4" w:space="0" w:color="auto"/>
            </w:tcBorders>
            <w:shd w:val="clear" w:color="auto" w:fill="auto"/>
            <w:noWrap/>
          </w:tcPr>
          <w:p w:rsidR="00C9115F" w:rsidRPr="00F41888" w:rsidRDefault="00C9115F" w:rsidP="00002B9E">
            <w:pPr>
              <w:pStyle w:val="Tabletext"/>
              <w:tabs>
                <w:tab w:val="decimal" w:pos="284"/>
              </w:tabs>
            </w:pPr>
            <w:r w:rsidRPr="00F41888">
              <w:t>4.6%</w:t>
            </w:r>
          </w:p>
        </w:tc>
        <w:tc>
          <w:tcPr>
            <w:tcW w:w="746" w:type="dxa"/>
            <w:tcBorders>
              <w:top w:val="nil"/>
              <w:bottom w:val="single" w:sz="4" w:space="0" w:color="auto"/>
            </w:tcBorders>
            <w:shd w:val="clear" w:color="auto" w:fill="auto"/>
            <w:noWrap/>
          </w:tcPr>
          <w:p w:rsidR="00C9115F" w:rsidRPr="00F41888" w:rsidRDefault="00C9115F" w:rsidP="00D809FA">
            <w:pPr>
              <w:pStyle w:val="Tabletext"/>
              <w:tabs>
                <w:tab w:val="decimal" w:pos="226"/>
              </w:tabs>
            </w:pPr>
            <w:r w:rsidRPr="00F41888">
              <w:t>4.8%</w:t>
            </w:r>
          </w:p>
        </w:tc>
        <w:tc>
          <w:tcPr>
            <w:tcW w:w="746" w:type="dxa"/>
            <w:tcBorders>
              <w:top w:val="nil"/>
              <w:bottom w:val="single" w:sz="4" w:space="0" w:color="auto"/>
            </w:tcBorders>
            <w:shd w:val="clear" w:color="000000" w:fill="D8D8D8"/>
            <w:noWrap/>
          </w:tcPr>
          <w:p w:rsidR="00C9115F" w:rsidRPr="00F41888" w:rsidRDefault="00C9115F" w:rsidP="00D809FA">
            <w:pPr>
              <w:pStyle w:val="Tabletext"/>
              <w:tabs>
                <w:tab w:val="decimal" w:pos="226"/>
              </w:tabs>
              <w:rPr>
                <w:b/>
              </w:rPr>
            </w:pPr>
            <w:r w:rsidRPr="00F41888">
              <w:rPr>
                <w:b/>
              </w:rPr>
              <w:t>78.7%</w:t>
            </w:r>
          </w:p>
        </w:tc>
        <w:tc>
          <w:tcPr>
            <w:tcW w:w="747" w:type="dxa"/>
            <w:tcBorders>
              <w:top w:val="nil"/>
              <w:bottom w:val="single" w:sz="4" w:space="0" w:color="auto"/>
            </w:tcBorders>
            <w:shd w:val="clear" w:color="auto" w:fill="auto"/>
            <w:noWrap/>
          </w:tcPr>
          <w:p w:rsidR="00C9115F" w:rsidRPr="00F41888" w:rsidRDefault="00C9115F" w:rsidP="00D809FA">
            <w:pPr>
              <w:pStyle w:val="Tabletext"/>
              <w:tabs>
                <w:tab w:val="decimal" w:pos="369"/>
              </w:tabs>
            </w:pPr>
            <w:r w:rsidRPr="00F41888">
              <w:t>100%</w:t>
            </w:r>
          </w:p>
        </w:tc>
      </w:tr>
    </w:tbl>
    <w:p w:rsidR="00C9115F" w:rsidRDefault="00C9115F" w:rsidP="00C9115F">
      <w:pPr>
        <w:spacing w:before="0" w:line="240" w:lineRule="auto"/>
      </w:pPr>
    </w:p>
    <w:p w:rsidR="00C9115F" w:rsidRDefault="00C9115F" w:rsidP="00C9115F">
      <w:pPr>
        <w:spacing w:before="0" w:line="240" w:lineRule="auto"/>
      </w:pPr>
    </w:p>
    <w:bookmarkEnd w:id="36"/>
    <w:bookmarkEnd w:id="37"/>
    <w:bookmarkEnd w:id="38"/>
    <w:p w:rsidR="00C9115F" w:rsidRDefault="00C9115F" w:rsidP="00C9115F">
      <w:pPr>
        <w:pStyle w:val="Heading1"/>
        <w:sectPr w:rsidR="00C9115F" w:rsidSect="000D4023">
          <w:footerReference w:type="even" r:id="rId40"/>
          <w:footerReference w:type="default" r:id="rId41"/>
          <w:pgSz w:w="16838" w:h="11899" w:orient="landscape" w:code="9"/>
          <w:pgMar w:top="1418" w:right="1418" w:bottom="567" w:left="1418" w:header="709" w:footer="556" w:gutter="0"/>
          <w:cols w:space="708"/>
          <w:docGrid w:linePitch="360"/>
        </w:sectPr>
      </w:pPr>
    </w:p>
    <w:p w:rsidR="000D4023" w:rsidRDefault="000D4023" w:rsidP="000D4023">
      <w:pPr>
        <w:pStyle w:val="Heading1"/>
      </w:pPr>
      <w:bookmarkStart w:id="121" w:name="_Toc316371590"/>
      <w:bookmarkStart w:id="122" w:name="_Toc335752945"/>
      <w:r>
        <w:lastRenderedPageBreak/>
        <w:t>NVETR Program funding</w:t>
      </w:r>
      <w:bookmarkEnd w:id="121"/>
      <w:bookmarkEnd w:id="122"/>
      <w:r>
        <w:t xml:space="preserve"> </w:t>
      </w:r>
    </w:p>
    <w:p w:rsidR="000D4023" w:rsidRDefault="000D4023" w:rsidP="000D4023">
      <w:pPr>
        <w:pStyle w:val="Text"/>
      </w:pPr>
      <w:r w:rsidRPr="003716FE">
        <w:t>This work has been produced by NCVER under the National Vocational Education and Training</w:t>
      </w:r>
      <w:r>
        <w:t xml:space="preserve"> Research (NVETR</w:t>
      </w:r>
      <w:r w:rsidRPr="003716FE">
        <w:t xml:space="preserve">) Program, which is coordinated and managed by NCVER on behalf of the Australian Government and state and territory governments. Funding is provided through the </w:t>
      </w:r>
      <w:r w:rsidRPr="00013AF5">
        <w:t>Department of Industry, Innovation, Science, Research and Tertiary Education</w:t>
      </w:r>
      <w:r w:rsidRPr="003716FE">
        <w:t xml:space="preserve">. </w:t>
      </w:r>
    </w:p>
    <w:p w:rsidR="000D4023" w:rsidRPr="003716FE" w:rsidRDefault="000D4023" w:rsidP="000D4023">
      <w:pPr>
        <w:pStyle w:val="Text"/>
      </w:pPr>
      <w:r>
        <w:t>The NVETR</w:t>
      </w:r>
      <w:r w:rsidRPr="003716FE">
        <w:t xml:space="preserve"> </w:t>
      </w:r>
      <w:r>
        <w:t>P</w:t>
      </w:r>
      <w:r w:rsidRPr="003716FE">
        <w:t xml:space="preserve">rogram is based </w:t>
      </w:r>
      <w:r>
        <w:t>on</w:t>
      </w:r>
      <w:r w:rsidRPr="003716FE">
        <w:t xml:space="preserve"> priorities approved by ministers with responsibility for vocational education and training. This research aims to improve policy and practice in the VET sector. For further information about the program go to the NCVER website &lt;http://www.ncver.edu.au&gt;. The author/project team was funded to undertake this resea</w:t>
      </w:r>
      <w:r>
        <w:t>rch via a grant under the NVETR</w:t>
      </w:r>
      <w:r w:rsidRPr="003716FE">
        <w:t xml:space="preserve"> </w:t>
      </w:r>
      <w:r>
        <w:t>P</w:t>
      </w:r>
      <w:r w:rsidRPr="003716FE">
        <w:t xml:space="preserve">rogram. These grants are awarded to organisations through a competitive process, in which NCVER does not participate. </w:t>
      </w:r>
    </w:p>
    <w:bookmarkEnd w:id="17"/>
    <w:bookmarkEnd w:id="18"/>
    <w:bookmarkEnd w:id="19"/>
    <w:bookmarkEnd w:id="20"/>
    <w:p w:rsidR="00C9115F" w:rsidRDefault="00C9115F">
      <w:pPr>
        <w:spacing w:before="0" w:line="240" w:lineRule="auto"/>
      </w:pPr>
    </w:p>
    <w:sectPr w:rsidR="00C9115F" w:rsidSect="00C9115F">
      <w:footerReference w:type="even" r:id="rId42"/>
      <w:pgSz w:w="11899" w:h="16838"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625" w:rsidRDefault="00B17625">
      <w:r>
        <w:separator/>
      </w:r>
    </w:p>
  </w:endnote>
  <w:endnote w:type="continuationSeparator" w:id="0">
    <w:p w:rsidR="00B17625" w:rsidRDefault="00B176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625" w:rsidRPr="008C0A74" w:rsidRDefault="00A7118D" w:rsidP="00C9115F">
    <w:pPr>
      <w:pStyle w:val="Footer"/>
      <w:tabs>
        <w:tab w:val="clear" w:pos="8505"/>
        <w:tab w:val="right" w:pos="8789"/>
      </w:tabs>
      <w:rPr>
        <w:b/>
      </w:rPr>
    </w:pPr>
    <w:r w:rsidRPr="00A7118D">
      <w:rPr>
        <w:b/>
        <w:noProof/>
        <w:color w:val="FFFFFF"/>
        <w:lang w:eastAsia="en-AU"/>
      </w:rPr>
      <w:pict>
        <v:rect id="_x0000_s2051" style="position:absolute;margin-left:-85.05pt;margin-top:-2.45pt;width:99pt;height:18.75pt;z-index:-251658752" fillcolor="black" stroked="f" strokecolor="#bfbfbf"/>
      </w:pict>
    </w:r>
    <w:r w:rsidRPr="008C0A74">
      <w:rPr>
        <w:b/>
        <w:color w:val="FFFFFF"/>
      </w:rPr>
      <w:fldChar w:fldCharType="begin"/>
    </w:r>
    <w:r w:rsidR="00B17625" w:rsidRPr="008C0A74">
      <w:rPr>
        <w:b/>
        <w:color w:val="FFFFFF"/>
      </w:rPr>
      <w:instrText xml:space="preserve"> PAGE </w:instrText>
    </w:r>
    <w:r w:rsidRPr="008C0A74">
      <w:rPr>
        <w:b/>
        <w:color w:val="FFFFFF"/>
      </w:rPr>
      <w:fldChar w:fldCharType="separate"/>
    </w:r>
    <w:r w:rsidR="00803284">
      <w:rPr>
        <w:b/>
        <w:noProof/>
        <w:color w:val="FFFFFF"/>
      </w:rPr>
      <w:t>48</w:t>
    </w:r>
    <w:r w:rsidRPr="008C0A74">
      <w:rPr>
        <w:b/>
        <w:color w:val="FFFFFF"/>
      </w:rPr>
      <w:fldChar w:fldCharType="end"/>
    </w:r>
    <w:r w:rsidR="00B17625" w:rsidRPr="008C0A74">
      <w:rPr>
        <w:b/>
        <w:color w:val="FFFFFF"/>
      </w:rPr>
      <w:tab/>
    </w:r>
    <w:r w:rsidR="00B17625" w:rsidRPr="00ED16B9">
      <w:rPr>
        <w:b/>
      </w:rPr>
      <w:t>Vocational trajectories within the Australian labour market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625" w:rsidRPr="009775C7" w:rsidRDefault="00A7118D" w:rsidP="00C9115F">
    <w:pPr>
      <w:pStyle w:val="Footer"/>
      <w:tabs>
        <w:tab w:val="clear" w:pos="8505"/>
        <w:tab w:val="right" w:pos="8789"/>
      </w:tabs>
      <w:rPr>
        <w:color w:val="FFFFFF"/>
      </w:rPr>
    </w:pPr>
    <w:r w:rsidRPr="00A7118D">
      <w:rPr>
        <w:b/>
        <w:noProof/>
        <w:lang w:eastAsia="en-AU"/>
      </w:rPr>
      <w:pict>
        <v:rect id="_x0000_s2052" style="position:absolute;margin-left:425.6pt;margin-top:-2.45pt;width:99pt;height:18.75pt;z-index:-251657728" fillcolor="black" stroked="f" strokecolor="#bfbfbf"/>
      </w:pict>
    </w:r>
    <w:r w:rsidR="00B17625" w:rsidRPr="009775C7">
      <w:rPr>
        <w:b/>
      </w:rPr>
      <w:t>NCVER</w:t>
    </w:r>
    <w:r w:rsidR="00B17625" w:rsidRPr="009775C7">
      <w:tab/>
    </w:r>
    <w:r w:rsidRPr="009775C7">
      <w:rPr>
        <w:rStyle w:val="PageNumber"/>
        <w:rFonts w:cs="Tahoma"/>
        <w:b/>
        <w:color w:val="FFFFFF"/>
        <w:sz w:val="17"/>
      </w:rPr>
      <w:fldChar w:fldCharType="begin"/>
    </w:r>
    <w:r w:rsidR="00B17625" w:rsidRPr="009775C7">
      <w:rPr>
        <w:rStyle w:val="PageNumber"/>
        <w:rFonts w:cs="Tahoma"/>
        <w:b/>
        <w:color w:val="FFFFFF"/>
        <w:sz w:val="17"/>
      </w:rPr>
      <w:instrText xml:space="preserve"> PAGE </w:instrText>
    </w:r>
    <w:r w:rsidRPr="009775C7">
      <w:rPr>
        <w:rStyle w:val="PageNumber"/>
        <w:rFonts w:cs="Tahoma"/>
        <w:b/>
        <w:color w:val="FFFFFF"/>
        <w:sz w:val="17"/>
      </w:rPr>
      <w:fldChar w:fldCharType="separate"/>
    </w:r>
    <w:r w:rsidR="00803284">
      <w:rPr>
        <w:rStyle w:val="PageNumber"/>
        <w:rFonts w:cs="Tahoma"/>
        <w:b/>
        <w:noProof/>
        <w:color w:val="FFFFFF"/>
        <w:sz w:val="17"/>
      </w:rPr>
      <w:t>49</w:t>
    </w:r>
    <w:r w:rsidRPr="009775C7">
      <w:rPr>
        <w:rStyle w:val="PageNumber"/>
        <w:rFonts w:cs="Tahoma"/>
        <w:b/>
        <w:color w:val="FFFFFF"/>
        <w:sz w:val="1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625" w:rsidRPr="008C0A74" w:rsidRDefault="00B17625" w:rsidP="00C9115F">
    <w:pPr>
      <w:pStyle w:val="Footer"/>
      <w:tabs>
        <w:tab w:val="clear" w:pos="8505"/>
        <w:tab w:val="right" w:pos="8789"/>
      </w:tabs>
      <w:rPr>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625" w:rsidRPr="009775C7" w:rsidRDefault="00B17625" w:rsidP="00C9115F">
    <w:pPr>
      <w:pStyle w:val="Footer"/>
      <w:tabs>
        <w:tab w:val="clear" w:pos="8505"/>
        <w:tab w:val="right" w:pos="8789"/>
      </w:tabs>
      <w:rPr>
        <w:color w:val="FFFFFF"/>
      </w:rPr>
    </w:pPr>
    <w:r w:rsidRPr="009775C7">
      <w:rPr>
        <w:color w:val="FFFFFF"/>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625" w:rsidRPr="008C0A74" w:rsidRDefault="00A7118D" w:rsidP="00C9115F">
    <w:pPr>
      <w:pStyle w:val="Footer"/>
      <w:tabs>
        <w:tab w:val="clear" w:pos="8505"/>
        <w:tab w:val="right" w:pos="8789"/>
      </w:tabs>
      <w:rPr>
        <w:b/>
      </w:rPr>
    </w:pPr>
    <w:r w:rsidRPr="00A7118D">
      <w:rPr>
        <w:b/>
        <w:noProof/>
        <w:color w:val="FFFFFF"/>
        <w:lang w:eastAsia="en-AU"/>
      </w:rPr>
      <w:pict>
        <v:rect id="_x0000_s2054" style="position:absolute;margin-left:-85.05pt;margin-top:-2.45pt;width:99pt;height:18.75pt;z-index:-251655680" fillcolor="black" stroked="f" strokecolor="#bfbfbf"/>
      </w:pict>
    </w:r>
    <w:r w:rsidRPr="008C0A74">
      <w:rPr>
        <w:b/>
        <w:color w:val="FFFFFF"/>
      </w:rPr>
      <w:fldChar w:fldCharType="begin"/>
    </w:r>
    <w:r w:rsidR="00B17625" w:rsidRPr="008C0A74">
      <w:rPr>
        <w:b/>
        <w:color w:val="FFFFFF"/>
      </w:rPr>
      <w:instrText xml:space="preserve"> PAGE </w:instrText>
    </w:r>
    <w:r w:rsidRPr="008C0A74">
      <w:rPr>
        <w:b/>
        <w:color w:val="FFFFFF"/>
      </w:rPr>
      <w:fldChar w:fldCharType="separate"/>
    </w:r>
    <w:r w:rsidR="00B17625">
      <w:rPr>
        <w:b/>
        <w:noProof/>
        <w:color w:val="FFFFFF"/>
      </w:rPr>
      <w:t>52</w:t>
    </w:r>
    <w:r w:rsidRPr="008C0A74">
      <w:rPr>
        <w:b/>
        <w:color w:val="FFFFFF"/>
      </w:rPr>
      <w:fldChar w:fldCharType="end"/>
    </w:r>
    <w:r w:rsidR="00B17625" w:rsidRPr="008C0A74">
      <w:rPr>
        <w:b/>
        <w:color w:val="FFFFFF"/>
      </w:rPr>
      <w:tab/>
    </w:r>
    <w:r w:rsidR="00B17625" w:rsidRPr="00ED16B9">
      <w:rPr>
        <w:b/>
      </w:rPr>
      <w:t>Vocational trajectories within the Australian labour market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625" w:rsidRDefault="00B17625">
      <w:r>
        <w:separator/>
      </w:r>
    </w:p>
  </w:footnote>
  <w:footnote w:type="continuationSeparator" w:id="0">
    <w:p w:rsidR="00B17625" w:rsidRDefault="00B17625">
      <w:r>
        <w:continuationSeparator/>
      </w:r>
    </w:p>
  </w:footnote>
  <w:footnote w:id="1">
    <w:p w:rsidR="00B17625" w:rsidRDefault="00B17625">
      <w:pPr>
        <w:pStyle w:val="FootnoteText"/>
      </w:pPr>
      <w:r>
        <w:rPr>
          <w:rStyle w:val="FootnoteReference"/>
        </w:rPr>
        <w:footnoteRef/>
      </w:r>
      <w:r>
        <w:tab/>
        <w:t>ANZSCO = Australian and New Zealand Standard Classification of Occupations.</w:t>
      </w:r>
    </w:p>
  </w:footnote>
  <w:footnote w:id="2">
    <w:p w:rsidR="00B17625" w:rsidRDefault="00B17625" w:rsidP="00C9115F">
      <w:pPr>
        <w:pStyle w:val="FootnoteText"/>
      </w:pPr>
      <w:r>
        <w:rPr>
          <w:rStyle w:val="FootnoteReference"/>
        </w:rPr>
        <w:footnoteRef/>
      </w:r>
      <w:r>
        <w:tab/>
      </w:r>
      <w:r w:rsidRPr="006F4FE8">
        <w:t xml:space="preserve">An AFS </w:t>
      </w:r>
      <w:r>
        <w:t xml:space="preserve">licence </w:t>
      </w:r>
      <w:r w:rsidRPr="006F4FE8">
        <w:t>is required by those who provide financial product advice, deal in</w:t>
      </w:r>
      <w:r>
        <w:t xml:space="preserve"> financial products, are market </w:t>
      </w:r>
      <w:r w:rsidRPr="006F4FE8">
        <w:t>makers in financial products, operate a registered investment scheme, or provide custodial or depository services.</w:t>
      </w:r>
    </w:p>
  </w:footnote>
  <w:footnote w:id="3">
    <w:p w:rsidR="00B17625" w:rsidRDefault="00B17625" w:rsidP="00C9115F">
      <w:pPr>
        <w:pStyle w:val="FootnoteText"/>
      </w:pPr>
      <w:r>
        <w:rPr>
          <w:rStyle w:val="FootnoteReference"/>
        </w:rPr>
        <w:footnoteRef/>
      </w:r>
      <w:r>
        <w:tab/>
      </w:r>
      <w:r w:rsidRPr="006F4FE8">
        <w:t xml:space="preserve">Other licensing requirements include the Registrable Superannuation Entity (RSE) licence for superannuation fund trustees, which is issued by </w:t>
      </w:r>
      <w:r>
        <w:t>the Australian Prudential Regulation Authority</w:t>
      </w:r>
      <w:r w:rsidRPr="006F4FE8">
        <w:t xml:space="preserve"> and focuses on the adequacy of organi</w:t>
      </w:r>
      <w:r>
        <w:t>sational resources and planning; and the credit licence</w:t>
      </w:r>
      <w:r w:rsidRPr="006F4FE8">
        <w:t xml:space="preserve"> issued by </w:t>
      </w:r>
      <w:r>
        <w:t>the Australian Securities and Investments Commission</w:t>
      </w:r>
      <w:r w:rsidRPr="006F4FE8">
        <w:t xml:space="preserve"> to those engaged in credit activity. The credit licence requires credit </w:t>
      </w:r>
      <w:r>
        <w:t>industry qualifications to the c</w:t>
      </w:r>
      <w:r w:rsidRPr="006F4FE8">
        <w:t>ertificate IV level.</w:t>
      </w:r>
    </w:p>
  </w:footnote>
  <w:footnote w:id="4">
    <w:p w:rsidR="00B17625" w:rsidRDefault="00B17625" w:rsidP="00C9115F">
      <w:pPr>
        <w:pStyle w:val="FootnoteText"/>
      </w:pPr>
      <w:r>
        <w:rPr>
          <w:rStyle w:val="FootnoteReference"/>
        </w:rPr>
        <w:footnoteRef/>
      </w:r>
      <w:r>
        <w:tab/>
        <w:t>Diploma-</w:t>
      </w:r>
      <w:r w:rsidRPr="00501161">
        <w:t>level qualifications are required by those who provide advice on more complex ‘Tier 1’ financial products. Certificate III level is required for those advising on the less complex ‘Tier 2’ products.</w:t>
      </w:r>
    </w:p>
  </w:footnote>
  <w:footnote w:id="5">
    <w:p w:rsidR="00B17625" w:rsidRDefault="00B17625" w:rsidP="00C9115F">
      <w:pPr>
        <w:pStyle w:val="FootnoteText"/>
      </w:pPr>
      <w:r>
        <w:rPr>
          <w:rStyle w:val="FootnoteReference"/>
        </w:rPr>
        <w:footnoteRef/>
      </w:r>
      <w:r>
        <w:tab/>
      </w:r>
      <w:r w:rsidRPr="00501161">
        <w:t>These include designations such as Chartered Accountant (CA), Fellow Chartered Financial Practitioner (FChFP), Certified Credit Adviser (CCA) and Chartered Financial Analyst (CFA)</w:t>
      </w:r>
      <w:r>
        <w:t>.</w:t>
      </w:r>
    </w:p>
  </w:footnote>
  <w:footnote w:id="6">
    <w:p w:rsidR="00B17625" w:rsidRDefault="00B17625" w:rsidP="00C9115F">
      <w:pPr>
        <w:pStyle w:val="FootnoteText"/>
      </w:pPr>
      <w:r>
        <w:rPr>
          <w:rStyle w:val="FootnoteReference"/>
        </w:rPr>
        <w:footnoteRef/>
      </w:r>
      <w:r>
        <w:tab/>
      </w:r>
      <w:r w:rsidRPr="00ED713D">
        <w:t xml:space="preserve">See for example, the ‘Fabrication Career Pathways’ document produced by South Western Sydney Institute. Details can be found at </w:t>
      </w:r>
      <w:r>
        <w:t>&lt;</w:t>
      </w:r>
      <w:r w:rsidRPr="00ED713D">
        <w:t>http://www.swsi.tafensw.edu.au/files/Career%20Pathway/EMES_Fabrication%20Pathway%20Flyer.pdf</w:t>
      </w:r>
      <w:r>
        <w:t>&gt;.</w:t>
      </w:r>
    </w:p>
  </w:footnote>
  <w:footnote w:id="7">
    <w:p w:rsidR="00B17625" w:rsidRDefault="00B17625" w:rsidP="00C9115F">
      <w:pPr>
        <w:pStyle w:val="FootnoteText"/>
      </w:pPr>
      <w:r>
        <w:rPr>
          <w:rStyle w:val="FootnoteReference"/>
        </w:rPr>
        <w:footnoteRef/>
      </w:r>
      <w:r>
        <w:tab/>
      </w:r>
      <w:r w:rsidRPr="001C7C56">
        <w:t>For example, under the Electrical, Electronic and Communications Contracting Industry Award 2010, a</w:t>
      </w:r>
      <w:r>
        <w:t xml:space="preserve"> first year apprentice earns $</w:t>
      </w:r>
      <w:r w:rsidRPr="001C7C56">
        <w:t xml:space="preserve">255.04 per week, while a </w:t>
      </w:r>
      <w:r>
        <w:t>fourth year apprentice earns $</w:t>
      </w:r>
      <w:r w:rsidRPr="001C7C56">
        <w:t>522.83</w:t>
      </w:r>
      <w:r>
        <w:t>.</w:t>
      </w:r>
    </w:p>
  </w:footnote>
  <w:footnote w:id="8">
    <w:p w:rsidR="00B17625" w:rsidRDefault="00B17625" w:rsidP="001936FD">
      <w:pPr>
        <w:pStyle w:val="FootnoteText"/>
        <w:keepLines/>
        <w:ind w:right="0"/>
      </w:pPr>
      <w:r>
        <w:rPr>
          <w:rStyle w:val="FootnoteReference"/>
        </w:rPr>
        <w:footnoteRef/>
      </w:r>
      <w:r>
        <w:tab/>
      </w:r>
      <w:r w:rsidRPr="00664D61">
        <w:t>Furthermore, not all modern awards contain adult apprenticeship rates. For example, the Electrical, Electronic and Communications Contracting Industry Award 2010 does not contain adult apprenticeship rates. Under clause 12.8</w:t>
      </w:r>
      <w:r>
        <w:t>,</w:t>
      </w:r>
      <w:r w:rsidRPr="00664D61">
        <w:t xml:space="preserve"> however, apprentices can commence at a later wage point </w:t>
      </w:r>
      <w:r>
        <w:t>‘</w:t>
      </w:r>
      <w:r w:rsidRPr="00664D61">
        <w:t>with approval of the apprenticeship authority provided that any credits granted will be counted as part of the apprenticeship for the purpose of wage progression</w:t>
      </w:r>
      <w:r>
        <w:t>’</w:t>
      </w:r>
      <w:r w:rsidRPr="00664D61">
        <w:t>.</w:t>
      </w:r>
    </w:p>
  </w:footnote>
  <w:footnote w:id="9">
    <w:p w:rsidR="00B17625" w:rsidRDefault="00B17625" w:rsidP="00C9115F">
      <w:pPr>
        <w:pStyle w:val="FootnoteText"/>
      </w:pPr>
      <w:r>
        <w:rPr>
          <w:rStyle w:val="FootnoteReference"/>
        </w:rPr>
        <w:footnoteRef/>
      </w:r>
      <w:r>
        <w:tab/>
      </w:r>
      <w:r w:rsidRPr="00FD0BB3">
        <w:t>The University of South Australia, for example, will accept students into the associate degree with at least five years work experience as technicians, or equivalent</w:t>
      </w:r>
      <w:r>
        <w:t>,</w:t>
      </w:r>
      <w:r w:rsidRPr="00FD0BB3">
        <w:t xml:space="preserve"> and curre</w:t>
      </w:r>
      <w:r>
        <w:t>nt employment</w:t>
      </w:r>
      <w:r w:rsidRPr="00FD0BB3">
        <w:t xml:space="preserve"> in </w:t>
      </w:r>
      <w:r>
        <w:t xml:space="preserve">the </w:t>
      </w:r>
      <w:r w:rsidRPr="00FD0BB3">
        <w:t>industry.</w:t>
      </w:r>
    </w:p>
  </w:footnote>
  <w:footnote w:id="10">
    <w:p w:rsidR="00B17625" w:rsidRDefault="00B17625" w:rsidP="00C9115F">
      <w:pPr>
        <w:pStyle w:val="FootnoteText"/>
      </w:pPr>
      <w:r>
        <w:rPr>
          <w:rStyle w:val="FootnoteReference"/>
        </w:rPr>
        <w:footnoteRef/>
      </w:r>
      <w:r>
        <w:tab/>
      </w:r>
      <w:r w:rsidRPr="005E3E7B">
        <w:t>Endorsements are additional qualifications with</w:t>
      </w:r>
      <w:r>
        <w:t xml:space="preserve">in a defined field of nursing. </w:t>
      </w:r>
      <w:r w:rsidRPr="005E3E7B">
        <w:t>For example, endorsements in midwifery can include additional qualifications and training in ‘scheduled medicines’ or ‘supply scheduled medicines specifically for rural and isolated practice’.</w:t>
      </w:r>
    </w:p>
  </w:footnote>
  <w:footnote w:id="11">
    <w:p w:rsidR="00B17625" w:rsidRDefault="00B17625" w:rsidP="00C9115F">
      <w:pPr>
        <w:pStyle w:val="FootnoteText"/>
      </w:pPr>
      <w:r>
        <w:rPr>
          <w:rStyle w:val="FootnoteReference"/>
        </w:rPr>
        <w:footnoteRef/>
      </w:r>
      <w:r>
        <w:tab/>
      </w:r>
      <w:r w:rsidRPr="00903681">
        <w:t>Fair Work Australia is Australia’s national workplace relations tribunal. It is an independent body whose functions include presiding over a safety net of minimum wages and employment conditions.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EA348B8A"/>
    <w:lvl w:ilvl="0" w:tplc="8E6ADF7A">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327314D"/>
    <w:multiLevelType w:val="hybridMultilevel"/>
    <w:tmpl w:val="8C4E3152"/>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6FC202B"/>
    <w:multiLevelType w:val="hybridMultilevel"/>
    <w:tmpl w:val="7328689C"/>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34324D2"/>
    <w:multiLevelType w:val="hybridMultilevel"/>
    <w:tmpl w:val="A34AEA60"/>
    <w:lvl w:ilvl="0" w:tplc="0C090001">
      <w:start w:val="1"/>
      <w:numFmt w:val="bullet"/>
      <w:lvlText w:val=""/>
      <w:lvlJc w:val="left"/>
      <w:pPr>
        <w:tabs>
          <w:tab w:val="num" w:pos="284"/>
        </w:tabs>
        <w:ind w:left="0" w:firstLine="0"/>
      </w:pPr>
      <w:rPr>
        <w:rFonts w:ascii="Symbol" w:hAnsi="Symbol" w:hint="default"/>
        <w:b/>
        <w:bCs/>
        <w:i w:val="0"/>
        <w:iCs w:val="0"/>
        <w:caps w:val="0"/>
        <w:smallCaps w:val="0"/>
        <w:strike w:val="0"/>
        <w:dstrike w:val="0"/>
        <w:outline w:val="0"/>
        <w:shadow w:val="0"/>
        <w:emboss w:val="0"/>
        <w:imprint w:val="0"/>
        <w:noProof w:val="0"/>
        <w:vanish w:val="0"/>
        <w:color w:val="auto"/>
        <w:spacing w:val="0"/>
        <w:w w:val="100"/>
        <w:kern w:val="0"/>
        <w:position w:val="0"/>
        <w:sz w:val="19"/>
        <w:u w:val="none"/>
        <w:effect w:val="none"/>
        <w:bdr w:val="none" w:sz="0" w:space="0" w:color="auto"/>
        <w:shd w:val="clear" w:color="auto" w:fill="auto"/>
        <w:vertAlign w:val="baseline"/>
        <w:em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2BC90A1A"/>
    <w:multiLevelType w:val="hybridMultilevel"/>
    <w:tmpl w:val="5A586020"/>
    <w:lvl w:ilvl="0" w:tplc="0C090001">
      <w:start w:val="1"/>
      <w:numFmt w:val="bullet"/>
      <w:lvlText w:val=""/>
      <w:lvlJc w:val="left"/>
      <w:pPr>
        <w:tabs>
          <w:tab w:val="num" w:pos="284"/>
        </w:tabs>
        <w:ind w:left="0" w:firstLine="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2DD6138D"/>
    <w:multiLevelType w:val="hybridMultilevel"/>
    <w:tmpl w:val="85B848D6"/>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2E7B514A"/>
    <w:multiLevelType w:val="hybridMultilevel"/>
    <w:tmpl w:val="B14E77F2"/>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4065177C"/>
    <w:multiLevelType w:val="hybridMultilevel"/>
    <w:tmpl w:val="69CE7724"/>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425D2749"/>
    <w:multiLevelType w:val="hybridMultilevel"/>
    <w:tmpl w:val="74E6F71E"/>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507907C9"/>
    <w:multiLevelType w:val="hybridMultilevel"/>
    <w:tmpl w:val="9BBAB6DA"/>
    <w:lvl w:ilvl="0" w:tplc="47808F04">
      <w:start w:val="1"/>
      <w:numFmt w:val="decimal"/>
      <w:lvlText w:val="%1"/>
      <w:lvlJc w:val="left"/>
      <w:pPr>
        <w:tabs>
          <w:tab w:val="num" w:pos="284"/>
        </w:tabs>
        <w:ind w:left="0" w:firstLine="0"/>
      </w:pPr>
      <w:rPr>
        <w:rFonts w:ascii="Trebuchet MS" w:hAnsi="Trebuchet MS" w:cs="Times New Roman" w:hint="default"/>
        <w:b/>
        <w:bCs/>
        <w:i w:val="0"/>
        <w:iCs w:val="0"/>
        <w:caps w:val="0"/>
        <w:smallCaps w:val="0"/>
        <w:strike w:val="0"/>
        <w:dstrike w:val="0"/>
        <w:outline w:val="0"/>
        <w:shadow w:val="0"/>
        <w:emboss w:val="0"/>
        <w:imprint w:val="0"/>
        <w:noProof w:val="0"/>
        <w:vanish w:val="0"/>
        <w:color w:val="auto"/>
        <w:spacing w:val="0"/>
        <w:w w:val="100"/>
        <w:kern w:val="0"/>
        <w:position w:val="0"/>
        <w:sz w:val="19"/>
        <w:u w:val="none"/>
        <w:effect w:val="none"/>
        <w:bdr w:val="none" w:sz="0" w:space="0" w:color="auto"/>
        <w:shd w:val="clear" w:color="auto" w:fill="auto"/>
        <w:vertAlign w:val="baseline"/>
        <w:em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5BD1332E"/>
    <w:multiLevelType w:val="hybridMultilevel"/>
    <w:tmpl w:val="E30E116C"/>
    <w:lvl w:ilvl="0" w:tplc="BB5E89EE">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5C5B5B6B"/>
    <w:multiLevelType w:val="hybridMultilevel"/>
    <w:tmpl w:val="A6FEF6D2"/>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5F5745EE"/>
    <w:multiLevelType w:val="hybridMultilevel"/>
    <w:tmpl w:val="DFEC00A2"/>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5FFA33A8"/>
    <w:multiLevelType w:val="hybridMultilevel"/>
    <w:tmpl w:val="F1ECAE0C"/>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610A02C5"/>
    <w:multiLevelType w:val="hybridMultilevel"/>
    <w:tmpl w:val="B84CC4F0"/>
    <w:lvl w:ilvl="0" w:tplc="08090001">
      <w:start w:val="1"/>
      <w:numFmt w:val="bullet"/>
      <w:pStyle w:val="Dotpoint2"/>
      <w:lvlText w:val="-"/>
      <w:lvlJc w:val="left"/>
      <w:pPr>
        <w:ind w:left="1800" w:hanging="360"/>
      </w:pPr>
      <w:rPr>
        <w:rFonts w:ascii="Courier New" w:hAnsi="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6E6568BB"/>
    <w:multiLevelType w:val="hybridMultilevel"/>
    <w:tmpl w:val="7D744170"/>
    <w:lvl w:ilvl="0" w:tplc="0C090001">
      <w:start w:val="1"/>
      <w:numFmt w:val="bullet"/>
      <w:pStyle w:val="Dotpoint1"/>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6F43E33"/>
    <w:multiLevelType w:val="hybridMultilevel"/>
    <w:tmpl w:val="D5A80F88"/>
    <w:lvl w:ilvl="0" w:tplc="0C090001">
      <w:start w:val="1"/>
      <w:numFmt w:val="bullet"/>
      <w:lvlText w:val=""/>
      <w:lvlJc w:val="left"/>
      <w:pPr>
        <w:tabs>
          <w:tab w:val="num" w:pos="284"/>
        </w:tabs>
        <w:ind w:left="0" w:firstLine="0"/>
      </w:pPr>
      <w:rPr>
        <w:rFonts w:ascii="Symbol" w:hAnsi="Symbol" w:hint="default"/>
        <w:b/>
        <w:bCs/>
        <w:i w:val="0"/>
        <w:iCs w:val="0"/>
        <w:caps w:val="0"/>
        <w:smallCaps w:val="0"/>
        <w:strike w:val="0"/>
        <w:dstrike w:val="0"/>
        <w:outline w:val="0"/>
        <w:shadow w:val="0"/>
        <w:emboss w:val="0"/>
        <w:imprint w:val="0"/>
        <w:noProof w:val="0"/>
        <w:vanish w:val="0"/>
        <w:color w:val="auto"/>
        <w:spacing w:val="0"/>
        <w:w w:val="100"/>
        <w:kern w:val="0"/>
        <w:position w:val="0"/>
        <w:sz w:val="19"/>
        <w:u w:val="none"/>
        <w:effect w:val="none"/>
        <w:bdr w:val="none" w:sz="0" w:space="0" w:color="auto"/>
        <w:shd w:val="clear" w:color="auto" w:fill="auto"/>
        <w:vertAlign w:val="baseline"/>
        <w:em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77F53D21"/>
    <w:multiLevelType w:val="hybridMultilevel"/>
    <w:tmpl w:val="D6ECBC1A"/>
    <w:lvl w:ilvl="0" w:tplc="0C090001">
      <w:start w:val="1"/>
      <w:numFmt w:val="bullet"/>
      <w:lvlText w:val=""/>
      <w:lvlJc w:val="left"/>
      <w:pPr>
        <w:tabs>
          <w:tab w:val="num" w:pos="284"/>
        </w:tabs>
        <w:ind w:left="0" w:firstLine="0"/>
      </w:pPr>
      <w:rPr>
        <w:rFonts w:ascii="Symbol" w:hAnsi="Symbo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7CA463D5"/>
    <w:multiLevelType w:val="hybridMultilevel"/>
    <w:tmpl w:val="3EE89626"/>
    <w:lvl w:ilvl="0" w:tplc="0C090001">
      <w:start w:val="1"/>
      <w:numFmt w:val="bullet"/>
      <w:lvlText w:val=""/>
      <w:lvlJc w:val="left"/>
      <w:pPr>
        <w:tabs>
          <w:tab w:val="num" w:pos="284"/>
        </w:tabs>
        <w:ind w:left="0" w:firstLine="0"/>
      </w:pPr>
      <w:rPr>
        <w:rFonts w:ascii="Symbol" w:hAnsi="Symbol" w:hint="default"/>
        <w:b/>
        <w:bCs/>
        <w:i w:val="0"/>
        <w:iCs w:val="0"/>
        <w:caps w:val="0"/>
        <w:smallCaps w:val="0"/>
        <w:strike w:val="0"/>
        <w:dstrike w:val="0"/>
        <w:outline w:val="0"/>
        <w:shadow w:val="0"/>
        <w:emboss w:val="0"/>
        <w:imprint w:val="0"/>
        <w:noProof w:val="0"/>
        <w:vanish w:val="0"/>
        <w:color w:val="auto"/>
        <w:spacing w:val="0"/>
        <w:w w:val="100"/>
        <w:kern w:val="0"/>
        <w:position w:val="0"/>
        <w:sz w:val="19"/>
        <w:u w:val="none"/>
        <w:effect w:val="none"/>
        <w:bdr w:val="none" w:sz="0" w:space="0" w:color="auto"/>
        <w:shd w:val="clear" w:color="auto" w:fill="auto"/>
        <w:vertAlign w:val="baseline"/>
        <w:em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5"/>
  </w:num>
  <w:num w:numId="2">
    <w:abstractNumId w:val="14"/>
  </w:num>
  <w:num w:numId="3">
    <w:abstractNumId w:val="0"/>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9"/>
  </w:num>
  <w:num w:numId="8">
    <w:abstractNumId w:val="9"/>
    <w:lvlOverride w:ilvl="0">
      <w:startOverride w:val="1"/>
    </w:lvlOverride>
  </w:num>
  <w:num w:numId="9">
    <w:abstractNumId w:val="0"/>
  </w:num>
  <w:num w:numId="10">
    <w:abstractNumId w:val="9"/>
    <w:lvlOverride w:ilvl="0">
      <w:startOverride w:val="2"/>
    </w:lvlOverride>
  </w:num>
  <w:num w:numId="11">
    <w:abstractNumId w:val="10"/>
  </w:num>
  <w:num w:numId="12">
    <w:abstractNumId w:val="9"/>
    <w:lvlOverride w:ilvl="0">
      <w:startOverride w:val="2"/>
    </w:lvlOverride>
  </w:num>
  <w:num w:numId="13">
    <w:abstractNumId w:val="9"/>
    <w:lvlOverride w:ilvl="0">
      <w:startOverride w:val="2"/>
    </w:lvlOverride>
  </w:num>
  <w:num w:numId="14">
    <w:abstractNumId w:val="9"/>
    <w:lvlOverride w:ilvl="0">
      <w:startOverride w:val="2"/>
    </w:lvlOverride>
  </w:num>
  <w:num w:numId="15">
    <w:abstractNumId w:val="15"/>
  </w:num>
  <w:num w:numId="16">
    <w:abstractNumId w:val="14"/>
  </w:num>
  <w:num w:numId="17">
    <w:abstractNumId w:val="0"/>
  </w:num>
  <w:num w:numId="18">
    <w:abstractNumId w:val="0"/>
  </w:num>
  <w:num w:numId="19">
    <w:abstractNumId w:val="15"/>
  </w:num>
  <w:num w:numId="20">
    <w:abstractNumId w:val="14"/>
  </w:num>
  <w:num w:numId="21">
    <w:abstractNumId w:val="0"/>
  </w:num>
  <w:num w:numId="22">
    <w:abstractNumId w:val="0"/>
  </w:num>
  <w:num w:numId="23">
    <w:abstractNumId w:val="0"/>
    <w:lvlOverride w:ilvl="0">
      <w:startOverride w:val="2"/>
    </w:lvlOverride>
  </w:num>
  <w:num w:numId="24">
    <w:abstractNumId w:val="0"/>
    <w:lvlOverride w:ilvl="0">
      <w:startOverride w:val="1"/>
    </w:lvlOverride>
  </w:num>
  <w:num w:numId="25">
    <w:abstractNumId w:val="0"/>
    <w:lvlOverride w:ilvl="0">
      <w:startOverride w:val="3"/>
    </w:lvlOverride>
  </w:num>
  <w:num w:numId="26">
    <w:abstractNumId w:val="0"/>
    <w:lvlOverride w:ilvl="0">
      <w:startOverride w:val="3"/>
    </w:lvlOverride>
  </w:num>
  <w:num w:numId="27">
    <w:abstractNumId w:val="0"/>
    <w:lvlOverride w:ilvl="0">
      <w:startOverride w:val="3"/>
    </w:lvlOverride>
  </w:num>
  <w:num w:numId="28">
    <w:abstractNumId w:val="0"/>
    <w:lvlOverride w:ilvl="0">
      <w:startOverride w:val="3"/>
    </w:lvlOverride>
  </w:num>
  <w:num w:numId="29">
    <w:abstractNumId w:val="11"/>
  </w:num>
  <w:num w:numId="30">
    <w:abstractNumId w:val="1"/>
  </w:num>
  <w:num w:numId="31">
    <w:abstractNumId w:val="6"/>
  </w:num>
  <w:num w:numId="32">
    <w:abstractNumId w:val="18"/>
  </w:num>
  <w:num w:numId="33">
    <w:abstractNumId w:val="7"/>
  </w:num>
  <w:num w:numId="34">
    <w:abstractNumId w:val="4"/>
  </w:num>
  <w:num w:numId="35">
    <w:abstractNumId w:val="3"/>
  </w:num>
  <w:num w:numId="36">
    <w:abstractNumId w:val="17"/>
  </w:num>
  <w:num w:numId="37">
    <w:abstractNumId w:val="8"/>
  </w:num>
  <w:num w:numId="38">
    <w:abstractNumId w:val="12"/>
  </w:num>
  <w:num w:numId="39">
    <w:abstractNumId w:val="13"/>
  </w:num>
  <w:num w:numId="40">
    <w:abstractNumId w:val="5"/>
  </w:num>
  <w:num w:numId="41">
    <w:abstractNumId w:val="16"/>
  </w:num>
  <w:num w:numId="4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5704"/>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255EA5"/>
    <w:rsid w:val="00002B9E"/>
    <w:rsid w:val="00011D01"/>
    <w:rsid w:val="000162A9"/>
    <w:rsid w:val="00026D41"/>
    <w:rsid w:val="00030D31"/>
    <w:rsid w:val="00040FD5"/>
    <w:rsid w:val="00043FF7"/>
    <w:rsid w:val="0004500D"/>
    <w:rsid w:val="00084229"/>
    <w:rsid w:val="000863D6"/>
    <w:rsid w:val="000968E5"/>
    <w:rsid w:val="000A1B2C"/>
    <w:rsid w:val="000B030C"/>
    <w:rsid w:val="000D4023"/>
    <w:rsid w:val="001269EC"/>
    <w:rsid w:val="0015406D"/>
    <w:rsid w:val="001557FE"/>
    <w:rsid w:val="00156083"/>
    <w:rsid w:val="00163870"/>
    <w:rsid w:val="00167A3A"/>
    <w:rsid w:val="001936FD"/>
    <w:rsid w:val="001A30D3"/>
    <w:rsid w:val="001A4E98"/>
    <w:rsid w:val="001B26BC"/>
    <w:rsid w:val="001C7644"/>
    <w:rsid w:val="001E4961"/>
    <w:rsid w:val="001E6213"/>
    <w:rsid w:val="0020489B"/>
    <w:rsid w:val="00246FB9"/>
    <w:rsid w:val="00254528"/>
    <w:rsid w:val="00255EA5"/>
    <w:rsid w:val="00264034"/>
    <w:rsid w:val="002714A5"/>
    <w:rsid w:val="002860B5"/>
    <w:rsid w:val="00296762"/>
    <w:rsid w:val="002B469E"/>
    <w:rsid w:val="002B6CBB"/>
    <w:rsid w:val="002D3120"/>
    <w:rsid w:val="002D42C5"/>
    <w:rsid w:val="002D60A0"/>
    <w:rsid w:val="002E781E"/>
    <w:rsid w:val="00317870"/>
    <w:rsid w:val="003606BA"/>
    <w:rsid w:val="00372866"/>
    <w:rsid w:val="00372DD8"/>
    <w:rsid w:val="00375506"/>
    <w:rsid w:val="00396F4B"/>
    <w:rsid w:val="00397FA5"/>
    <w:rsid w:val="003B30A5"/>
    <w:rsid w:val="003B39A1"/>
    <w:rsid w:val="003C079E"/>
    <w:rsid w:val="003C2687"/>
    <w:rsid w:val="003C2E52"/>
    <w:rsid w:val="003D5F96"/>
    <w:rsid w:val="003D69A3"/>
    <w:rsid w:val="004328F2"/>
    <w:rsid w:val="00437F55"/>
    <w:rsid w:val="0044401E"/>
    <w:rsid w:val="00447796"/>
    <w:rsid w:val="00451459"/>
    <w:rsid w:val="0045161B"/>
    <w:rsid w:val="0045241D"/>
    <w:rsid w:val="004623F9"/>
    <w:rsid w:val="004864EF"/>
    <w:rsid w:val="004B3CB4"/>
    <w:rsid w:val="004C436A"/>
    <w:rsid w:val="004C5B53"/>
    <w:rsid w:val="004C7736"/>
    <w:rsid w:val="004D7C9F"/>
    <w:rsid w:val="004E7BAA"/>
    <w:rsid w:val="004F2507"/>
    <w:rsid w:val="005137F7"/>
    <w:rsid w:val="00527899"/>
    <w:rsid w:val="00577AA0"/>
    <w:rsid w:val="00587FCA"/>
    <w:rsid w:val="005A4256"/>
    <w:rsid w:val="005B5818"/>
    <w:rsid w:val="005C6043"/>
    <w:rsid w:val="005C7FA8"/>
    <w:rsid w:val="005E3DBD"/>
    <w:rsid w:val="005E42BB"/>
    <w:rsid w:val="0061162A"/>
    <w:rsid w:val="00622475"/>
    <w:rsid w:val="006253B9"/>
    <w:rsid w:val="00642124"/>
    <w:rsid w:val="00650796"/>
    <w:rsid w:val="00653DE4"/>
    <w:rsid w:val="00662A92"/>
    <w:rsid w:val="00671E1C"/>
    <w:rsid w:val="006852F6"/>
    <w:rsid w:val="0069670D"/>
    <w:rsid w:val="006E6EA9"/>
    <w:rsid w:val="007129B6"/>
    <w:rsid w:val="00712B61"/>
    <w:rsid w:val="0072129F"/>
    <w:rsid w:val="0072188E"/>
    <w:rsid w:val="0072426E"/>
    <w:rsid w:val="0073081A"/>
    <w:rsid w:val="00743F00"/>
    <w:rsid w:val="007722B0"/>
    <w:rsid w:val="00784CFB"/>
    <w:rsid w:val="007874DD"/>
    <w:rsid w:val="007942E9"/>
    <w:rsid w:val="007A276E"/>
    <w:rsid w:val="007C0892"/>
    <w:rsid w:val="007C368E"/>
    <w:rsid w:val="007C45B4"/>
    <w:rsid w:val="007D610B"/>
    <w:rsid w:val="007D7C65"/>
    <w:rsid w:val="007F2B52"/>
    <w:rsid w:val="00803284"/>
    <w:rsid w:val="00816238"/>
    <w:rsid w:val="0082555F"/>
    <w:rsid w:val="00837520"/>
    <w:rsid w:val="00850C3E"/>
    <w:rsid w:val="00865F3E"/>
    <w:rsid w:val="00871C3F"/>
    <w:rsid w:val="008775AD"/>
    <w:rsid w:val="008A60BA"/>
    <w:rsid w:val="008C7FF4"/>
    <w:rsid w:val="008D27AC"/>
    <w:rsid w:val="008D5AAD"/>
    <w:rsid w:val="008F16C1"/>
    <w:rsid w:val="008F3D3B"/>
    <w:rsid w:val="00916441"/>
    <w:rsid w:val="0092118A"/>
    <w:rsid w:val="0092686C"/>
    <w:rsid w:val="009415BE"/>
    <w:rsid w:val="009423F1"/>
    <w:rsid w:val="009428AB"/>
    <w:rsid w:val="00953A7B"/>
    <w:rsid w:val="00960E2E"/>
    <w:rsid w:val="009650BB"/>
    <w:rsid w:val="00976007"/>
    <w:rsid w:val="009839A7"/>
    <w:rsid w:val="009E0BA9"/>
    <w:rsid w:val="00A279C6"/>
    <w:rsid w:val="00A553E9"/>
    <w:rsid w:val="00A7118D"/>
    <w:rsid w:val="00A747A4"/>
    <w:rsid w:val="00A92DD3"/>
    <w:rsid w:val="00AA7765"/>
    <w:rsid w:val="00AB30A7"/>
    <w:rsid w:val="00AB71A4"/>
    <w:rsid w:val="00AC7C04"/>
    <w:rsid w:val="00AD203F"/>
    <w:rsid w:val="00AE1200"/>
    <w:rsid w:val="00AF04F4"/>
    <w:rsid w:val="00AF38C2"/>
    <w:rsid w:val="00B17625"/>
    <w:rsid w:val="00B20E72"/>
    <w:rsid w:val="00B35442"/>
    <w:rsid w:val="00B354A0"/>
    <w:rsid w:val="00B6039E"/>
    <w:rsid w:val="00B6689B"/>
    <w:rsid w:val="00B90AE0"/>
    <w:rsid w:val="00B966D4"/>
    <w:rsid w:val="00BA6AF0"/>
    <w:rsid w:val="00BA71F6"/>
    <w:rsid w:val="00BC28D3"/>
    <w:rsid w:val="00BD3B0A"/>
    <w:rsid w:val="00BE26BD"/>
    <w:rsid w:val="00C21A9C"/>
    <w:rsid w:val="00C23499"/>
    <w:rsid w:val="00C25632"/>
    <w:rsid w:val="00C27528"/>
    <w:rsid w:val="00C42A05"/>
    <w:rsid w:val="00C52A85"/>
    <w:rsid w:val="00C552B1"/>
    <w:rsid w:val="00C60B40"/>
    <w:rsid w:val="00C611BA"/>
    <w:rsid w:val="00C76B1D"/>
    <w:rsid w:val="00C8686C"/>
    <w:rsid w:val="00C9115F"/>
    <w:rsid w:val="00CC585B"/>
    <w:rsid w:val="00CD4A97"/>
    <w:rsid w:val="00CE20E7"/>
    <w:rsid w:val="00CE400C"/>
    <w:rsid w:val="00CE5BBE"/>
    <w:rsid w:val="00CF064D"/>
    <w:rsid w:val="00D16C16"/>
    <w:rsid w:val="00D204A6"/>
    <w:rsid w:val="00D37A28"/>
    <w:rsid w:val="00D53BC7"/>
    <w:rsid w:val="00D8024C"/>
    <w:rsid w:val="00D809FA"/>
    <w:rsid w:val="00D964B3"/>
    <w:rsid w:val="00DA6156"/>
    <w:rsid w:val="00DD44AC"/>
    <w:rsid w:val="00DE325A"/>
    <w:rsid w:val="00E02C1E"/>
    <w:rsid w:val="00E2190B"/>
    <w:rsid w:val="00E221D9"/>
    <w:rsid w:val="00E228B3"/>
    <w:rsid w:val="00E50AC0"/>
    <w:rsid w:val="00E53D60"/>
    <w:rsid w:val="00E54BD2"/>
    <w:rsid w:val="00E71DAB"/>
    <w:rsid w:val="00E83C2E"/>
    <w:rsid w:val="00E95249"/>
    <w:rsid w:val="00EB0854"/>
    <w:rsid w:val="00ED7BB9"/>
    <w:rsid w:val="00EE4C3C"/>
    <w:rsid w:val="00EF388B"/>
    <w:rsid w:val="00F03811"/>
    <w:rsid w:val="00F55892"/>
    <w:rsid w:val="00F64C11"/>
    <w:rsid w:val="00F83543"/>
    <w:rsid w:val="00F83FC5"/>
    <w:rsid w:val="00F85D08"/>
    <w:rsid w:val="00F91907"/>
    <w:rsid w:val="00F9274A"/>
    <w:rsid w:val="00FA2175"/>
    <w:rsid w:val="00FA32AD"/>
    <w:rsid w:val="00FA7384"/>
    <w:rsid w:val="00FB07E3"/>
    <w:rsid w:val="00FB2CB1"/>
    <w:rsid w:val="00FC3DB6"/>
    <w:rsid w:val="00FC5378"/>
    <w:rsid w:val="00FD6C7B"/>
    <w:rsid w:val="00FE2B65"/>
    <w:rsid w:val="00FE6197"/>
    <w:rsid w:val="00FF63C5"/>
    <w:rsid w:val="00FF70D4"/>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footnote text" w:uiPriority="0" w:unhideWhenUsed="1"/>
    <w:lsdException w:name="header" w:unhideWhenUsed="1"/>
    <w:lsdException w:name="footer" w:uiPriority="0" w:unhideWhenUsed="1"/>
    <w:lsdException w:name="caption" w:uiPriority="35" w:unhideWhenUsed="1" w:qFormat="1"/>
    <w:lsdException w:name="table of figures" w:unhideWhenUsed="1"/>
    <w:lsdException w:name="footnote reference" w:uiPriority="0"/>
    <w:lsdException w:name="page number" w:uiPriority="0" w:unhideWhenUsed="1"/>
    <w:lsdException w:name="Title" w:semiHidden="0" w:uiPriority="10" w:qFormat="1"/>
    <w:lsdException w:name="Default Paragraph Font" w:uiPriority="1" w:unhideWhenUsed="1"/>
    <w:lsdException w:name="Body Text" w:uiPriority="0"/>
    <w:lsdException w:name="Body Text Indent" w:uiPriority="0"/>
    <w:lsdException w:name="Subtitle" w:semiHidden="0" w:uiPriority="11" w:qFormat="1"/>
    <w:lsdException w:name="Body Text 2" w:uiPriority="0"/>
    <w:lsdException w:name="Hyperlink" w:uiPriority="0" w:unhideWhenUsed="1"/>
    <w:lsdException w:name="Strong" w:semiHidden="0" w:uiPriority="22" w:qFormat="1"/>
    <w:lsdException w:name="Emphasis" w:semiHidden="0"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qFormat="1"/>
    <w:lsdException w:name="Medium Grid 2"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0"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List Accent 1" w:semiHidden="0" w:uiPriority="34" w:qFormat="1"/>
    <w:lsdException w:name="Colorful Grid Accent 1" w:semiHidden="0" w:uiPriority="0" w:qFormat="1"/>
    <w:lsdException w:name="Light Shading Accent 2" w:uiPriority="3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Normal">
    <w:name w:val="Normal"/>
    <w:uiPriority w:val="1"/>
    <w:qFormat/>
    <w:rsid w:val="00AD203F"/>
    <w:pPr>
      <w:spacing w:before="160" w:line="260" w:lineRule="exact"/>
    </w:pPr>
    <w:rPr>
      <w:rFonts w:ascii="Trebuchet MS" w:hAnsi="Trebuchet MS"/>
      <w:sz w:val="19"/>
      <w:lang w:eastAsia="en-US"/>
    </w:rPr>
  </w:style>
  <w:style w:type="paragraph" w:styleId="Heading1">
    <w:name w:val="heading 1"/>
    <w:next w:val="Text"/>
    <w:link w:val="Heading1Char"/>
    <w:qFormat/>
    <w:rsid w:val="00AD203F"/>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AD203F"/>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AD203F"/>
    <w:pPr>
      <w:spacing w:before="280" w:line="320" w:lineRule="exact"/>
      <w:outlineLvl w:val="2"/>
    </w:pPr>
    <w:rPr>
      <w:rFonts w:ascii="Tahoma" w:hAnsi="Tahoma" w:cs="Tahoma"/>
      <w:color w:val="000000"/>
      <w:sz w:val="24"/>
      <w:lang w:eastAsia="en-US"/>
    </w:rPr>
  </w:style>
  <w:style w:type="paragraph" w:styleId="Heading4">
    <w:name w:val="heading 4"/>
    <w:next w:val="Text"/>
    <w:qFormat/>
    <w:rsid w:val="00AD203F"/>
    <w:pPr>
      <w:spacing w:before="240"/>
      <w:outlineLvl w:val="3"/>
    </w:pPr>
    <w:rPr>
      <w:rFonts w:ascii="Tahoma" w:hAnsi="Tahoma"/>
      <w:i/>
      <w:sz w:val="24"/>
      <w:lang w:eastAsia="en-US"/>
    </w:rPr>
  </w:style>
  <w:style w:type="paragraph" w:styleId="Heading5">
    <w:name w:val="heading 5"/>
    <w:basedOn w:val="Normal"/>
    <w:next w:val="Normal"/>
    <w:qFormat/>
    <w:rsid w:val="00AD203F"/>
    <w:pPr>
      <w:keepNext/>
      <w:outlineLvl w:val="4"/>
    </w:pPr>
    <w:rPr>
      <w:rFonts w:ascii="Tahoma" w:hAnsi="Tahoma"/>
      <w:b/>
    </w:rPr>
  </w:style>
  <w:style w:type="paragraph" w:styleId="Heading6">
    <w:name w:val="heading 6"/>
    <w:basedOn w:val="Normal"/>
    <w:next w:val="Normal"/>
    <w:qFormat/>
    <w:rsid w:val="00AD203F"/>
    <w:pPr>
      <w:keepNext/>
      <w:ind w:left="2977"/>
      <w:outlineLvl w:val="5"/>
    </w:pPr>
    <w:rPr>
      <w:rFonts w:ascii="Tahoma" w:hAnsi="Tahoma"/>
      <w:sz w:val="20"/>
    </w:rPr>
  </w:style>
  <w:style w:type="paragraph" w:styleId="Heading7">
    <w:name w:val="heading 7"/>
    <w:basedOn w:val="Normal"/>
    <w:next w:val="Normal"/>
    <w:qFormat/>
    <w:rsid w:val="00AD203F"/>
    <w:pPr>
      <w:keepNext/>
      <w:jc w:val="center"/>
      <w:outlineLvl w:val="6"/>
    </w:pPr>
    <w:rPr>
      <w:rFonts w:ascii="Tahoma" w:hAnsi="Tahoma"/>
      <w:spacing w:val="20"/>
      <w:sz w:val="20"/>
    </w:rPr>
  </w:style>
  <w:style w:type="paragraph" w:styleId="Heading8">
    <w:name w:val="heading 8"/>
    <w:basedOn w:val="Normal"/>
    <w:next w:val="Normal"/>
    <w:qFormat/>
    <w:rsid w:val="00AD203F"/>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AD203F"/>
    <w:pPr>
      <w:spacing w:before="160" w:line="300" w:lineRule="exact"/>
      <w:ind w:right="-1"/>
    </w:pPr>
    <w:rPr>
      <w:rFonts w:ascii="Trebuchet MS" w:hAnsi="Trebuchet MS"/>
      <w:sz w:val="19"/>
      <w:lang w:eastAsia="en-US"/>
    </w:rPr>
  </w:style>
  <w:style w:type="character" w:customStyle="1" w:styleId="TextChar">
    <w:name w:val="Text Char"/>
    <w:basedOn w:val="DefaultParagraphFont"/>
    <w:link w:val="Text"/>
    <w:rsid w:val="0048643A"/>
    <w:rPr>
      <w:rFonts w:ascii="Trebuchet MS" w:hAnsi="Trebuchet MS"/>
      <w:sz w:val="19"/>
      <w:lang w:eastAsia="en-US"/>
    </w:rPr>
  </w:style>
  <w:style w:type="character" w:styleId="PageNumber">
    <w:name w:val="page number"/>
    <w:basedOn w:val="DefaultParagraphFont"/>
    <w:rsid w:val="00AD203F"/>
    <w:rPr>
      <w:rFonts w:ascii="Tahoma" w:hAnsi="Tahoma"/>
      <w:sz w:val="18"/>
    </w:rPr>
  </w:style>
  <w:style w:type="paragraph" w:styleId="Footer">
    <w:name w:val="footer"/>
    <w:basedOn w:val="Normal"/>
    <w:rsid w:val="00AD203F"/>
    <w:pPr>
      <w:tabs>
        <w:tab w:val="right" w:pos="8505"/>
      </w:tabs>
      <w:spacing w:before="0"/>
    </w:pPr>
    <w:rPr>
      <w:rFonts w:ascii="Tahoma" w:hAnsi="Tahoma"/>
      <w:sz w:val="17"/>
      <w:szCs w:val="17"/>
    </w:rPr>
  </w:style>
  <w:style w:type="paragraph" w:styleId="TOC1">
    <w:name w:val="toc 1"/>
    <w:uiPriority w:val="39"/>
    <w:rsid w:val="00AD203F"/>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AD203F"/>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AD203F"/>
    <w:pPr>
      <w:spacing w:before="360" w:after="80"/>
      <w:ind w:left="851" w:hanging="851"/>
    </w:pPr>
    <w:rPr>
      <w:rFonts w:ascii="Tahoma" w:hAnsi="Tahoma"/>
      <w:b/>
      <w:sz w:val="17"/>
      <w:lang w:eastAsia="en-US"/>
    </w:rPr>
  </w:style>
  <w:style w:type="paragraph" w:customStyle="1" w:styleId="Tabletext">
    <w:name w:val="Table text"/>
    <w:next w:val="Text"/>
    <w:rsid w:val="00AD203F"/>
    <w:pPr>
      <w:spacing w:before="40" w:after="40"/>
    </w:pPr>
    <w:rPr>
      <w:rFonts w:ascii="Arial" w:hAnsi="Arial"/>
      <w:sz w:val="16"/>
      <w:lang w:eastAsia="en-US"/>
    </w:rPr>
  </w:style>
  <w:style w:type="paragraph" w:customStyle="1" w:styleId="Tablehead1">
    <w:name w:val="Tablehead1"/>
    <w:rsid w:val="00AD203F"/>
    <w:pPr>
      <w:spacing w:before="80" w:after="80"/>
    </w:pPr>
    <w:rPr>
      <w:rFonts w:ascii="Arial" w:hAnsi="Arial"/>
      <w:b/>
      <w:sz w:val="17"/>
      <w:lang w:eastAsia="en-US"/>
    </w:rPr>
  </w:style>
  <w:style w:type="paragraph" w:customStyle="1" w:styleId="ColorfulGrid-Accent11">
    <w:name w:val="Colorful Grid - Accent 11"/>
    <w:basedOn w:val="Text"/>
    <w:qFormat/>
    <w:rsid w:val="009C22BE"/>
    <w:pPr>
      <w:tabs>
        <w:tab w:val="right" w:pos="7853"/>
      </w:tabs>
      <w:spacing w:before="80"/>
      <w:ind w:left="567" w:right="652"/>
    </w:pPr>
    <w:rPr>
      <w:sz w:val="17"/>
    </w:rPr>
  </w:style>
  <w:style w:type="paragraph" w:customStyle="1" w:styleId="References">
    <w:name w:val="References"/>
    <w:rsid w:val="002860B5"/>
    <w:pPr>
      <w:spacing w:before="80"/>
      <w:ind w:left="284" w:hanging="284"/>
    </w:pPr>
    <w:rPr>
      <w:rFonts w:ascii="Trebuchet MS" w:hAnsi="Trebuchet MS"/>
      <w:sz w:val="18"/>
      <w:lang w:eastAsia="en-US"/>
    </w:rPr>
  </w:style>
  <w:style w:type="paragraph" w:customStyle="1" w:styleId="Tablehead2">
    <w:name w:val="Tablehead2"/>
    <w:basedOn w:val="Tablehead1"/>
    <w:rsid w:val="00AD203F"/>
    <w:pPr>
      <w:tabs>
        <w:tab w:val="left" w:pos="992"/>
      </w:tabs>
      <w:spacing w:before="20" w:after="20"/>
    </w:pPr>
    <w:rPr>
      <w:b w:val="0"/>
    </w:rPr>
  </w:style>
  <w:style w:type="paragraph" w:customStyle="1" w:styleId="Tablehead3">
    <w:name w:val="Tablehead3"/>
    <w:basedOn w:val="Tablehead2"/>
    <w:rsid w:val="00AD203F"/>
    <w:rPr>
      <w:i/>
    </w:rPr>
  </w:style>
  <w:style w:type="paragraph" w:styleId="TableofFigures">
    <w:name w:val="table of figures"/>
    <w:basedOn w:val="TOC1"/>
    <w:next w:val="Normal"/>
    <w:uiPriority w:val="99"/>
    <w:rsid w:val="003606BA"/>
    <w:pPr>
      <w:spacing w:before="80"/>
      <w:ind w:left="425" w:right="1985" w:hanging="425"/>
    </w:pPr>
  </w:style>
  <w:style w:type="paragraph" w:customStyle="1" w:styleId="Imprint">
    <w:name w:val="Imprint"/>
    <w:basedOn w:val="Normal"/>
    <w:rsid w:val="00AD203F"/>
    <w:pPr>
      <w:spacing w:line="260" w:lineRule="atLeast"/>
    </w:pPr>
    <w:rPr>
      <w:sz w:val="16"/>
    </w:rPr>
  </w:style>
  <w:style w:type="paragraph" w:customStyle="1" w:styleId="Figuretitle">
    <w:name w:val="Figuretitle"/>
    <w:basedOn w:val="tabletitle"/>
    <w:rsid w:val="00AD203F"/>
  </w:style>
  <w:style w:type="paragraph" w:customStyle="1" w:styleId="Dotpoint1">
    <w:name w:val="Dotpoint1"/>
    <w:rsid w:val="007C45B4"/>
    <w:pPr>
      <w:numPr>
        <w:numId w:val="19"/>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AD203F"/>
    <w:pPr>
      <w:numPr>
        <w:numId w:val="20"/>
      </w:numPr>
      <w:tabs>
        <w:tab w:val="clear" w:pos="284"/>
        <w:tab w:val="left" w:pos="567"/>
      </w:tabs>
    </w:pPr>
  </w:style>
  <w:style w:type="paragraph" w:customStyle="1" w:styleId="NumberedListContinuing">
    <w:name w:val="NumberedListContinuing"/>
    <w:rsid w:val="00AD203F"/>
    <w:pPr>
      <w:numPr>
        <w:numId w:val="22"/>
      </w:numPr>
      <w:spacing w:before="120" w:line="300" w:lineRule="exact"/>
    </w:pPr>
    <w:rPr>
      <w:rFonts w:ascii="Trebuchet MS" w:hAnsi="Trebuchet MS"/>
      <w:sz w:val="19"/>
    </w:rPr>
  </w:style>
  <w:style w:type="paragraph" w:customStyle="1" w:styleId="Source">
    <w:name w:val="Source"/>
    <w:rsid w:val="00AD203F"/>
    <w:pPr>
      <w:spacing w:before="40"/>
      <w:ind w:left="567" w:hanging="567"/>
    </w:pPr>
    <w:rPr>
      <w:rFonts w:ascii="Arial" w:hAnsi="Arial"/>
      <w:sz w:val="15"/>
      <w:lang w:eastAsia="en-US"/>
    </w:rPr>
  </w:style>
  <w:style w:type="paragraph" w:styleId="FootnoteText">
    <w:name w:val="footnote text"/>
    <w:basedOn w:val="Text"/>
    <w:rsid w:val="00AD203F"/>
    <w:pPr>
      <w:tabs>
        <w:tab w:val="left" w:pos="1418"/>
      </w:tabs>
      <w:spacing w:before="0" w:line="220" w:lineRule="exact"/>
      <w:ind w:left="170" w:hanging="170"/>
    </w:pPr>
    <w:rPr>
      <w:sz w:val="16"/>
    </w:rPr>
  </w:style>
  <w:style w:type="paragraph" w:styleId="NormalWeb">
    <w:name w:val="Normal (Web)"/>
    <w:basedOn w:val="Normal"/>
    <w:uiPriority w:val="1"/>
    <w:semiHidden/>
    <w:rsid w:val="00AD203F"/>
    <w:pPr>
      <w:spacing w:before="100" w:beforeAutospacing="1" w:after="240"/>
    </w:pPr>
    <w:rPr>
      <w:sz w:val="18"/>
      <w:szCs w:val="18"/>
    </w:rPr>
  </w:style>
  <w:style w:type="paragraph" w:customStyle="1" w:styleId="PublicationTitle">
    <w:name w:val="Publication Title"/>
    <w:qFormat/>
    <w:rsid w:val="00AD203F"/>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unhideWhenUsed/>
    <w:rsid w:val="00AD203F"/>
    <w:pPr>
      <w:ind w:left="440"/>
    </w:pPr>
  </w:style>
  <w:style w:type="paragraph" w:styleId="TOC4">
    <w:name w:val="toc 4"/>
    <w:basedOn w:val="TOC3"/>
    <w:next w:val="Normal"/>
    <w:autoRedefine/>
    <w:semiHidden/>
    <w:unhideWhenUsed/>
    <w:rsid w:val="00AD203F"/>
    <w:pPr>
      <w:ind w:left="660"/>
    </w:pPr>
  </w:style>
  <w:style w:type="paragraph" w:styleId="BalloonText">
    <w:name w:val="Balloon Text"/>
    <w:basedOn w:val="Normal"/>
    <w:link w:val="BalloonTextChar"/>
    <w:uiPriority w:val="99"/>
    <w:semiHidden/>
    <w:rsid w:val="00AD203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eastAsia="en-US"/>
    </w:rPr>
  </w:style>
  <w:style w:type="table" w:styleId="TableGrid">
    <w:name w:val="Table Grid"/>
    <w:basedOn w:val="TableNormal"/>
    <w:uiPriority w:val="59"/>
    <w:rsid w:val="00AD203F"/>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AD203F"/>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eastAsia="en-US"/>
    </w:rPr>
  </w:style>
  <w:style w:type="character" w:customStyle="1" w:styleId="Heading3Char">
    <w:name w:val="Heading 3 Char"/>
    <w:basedOn w:val="DefaultParagraphFont"/>
    <w:link w:val="Heading3"/>
    <w:rsid w:val="00800A2B"/>
    <w:rPr>
      <w:rFonts w:ascii="Tahoma" w:hAnsi="Tahoma" w:cs="Tahoma"/>
      <w:color w:val="000000"/>
      <w:sz w:val="24"/>
      <w:lang w:eastAsia="en-US"/>
    </w:rPr>
  </w:style>
  <w:style w:type="character" w:styleId="Hyperlink">
    <w:name w:val="Hyperlink"/>
    <w:basedOn w:val="DefaultParagraphFont"/>
    <w:unhideWhenUsed/>
    <w:rsid w:val="00AD203F"/>
    <w:rPr>
      <w:rFonts w:ascii="Trebuchet MS" w:hAnsi="Trebuchet MS"/>
      <w:color w:val="auto"/>
      <w:sz w:val="19"/>
      <w:u w:val="none"/>
    </w:rPr>
  </w:style>
  <w:style w:type="paragraph" w:customStyle="1" w:styleId="ColorfulList-Accent11">
    <w:name w:val="Colorful List - Accent 11"/>
    <w:basedOn w:val="Normal"/>
    <w:uiPriority w:val="34"/>
    <w:semiHidden/>
    <w:qFormat/>
    <w:rsid w:val="007037A4"/>
    <w:pPr>
      <w:ind w:left="720"/>
      <w:contextualSpacing/>
    </w:pPr>
  </w:style>
  <w:style w:type="paragraph" w:styleId="BodyText">
    <w:name w:val="Body Text"/>
    <w:basedOn w:val="Normal"/>
    <w:link w:val="BodyTextChar"/>
    <w:rsid w:val="00AD203F"/>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val="en-US" w:eastAsia="ko-KR"/>
    </w:rPr>
  </w:style>
  <w:style w:type="paragraph" w:styleId="BodyText2">
    <w:name w:val="Body Text 2"/>
    <w:basedOn w:val="Normal"/>
    <w:link w:val="BodyText2Char"/>
    <w:rsid w:val="00AD203F"/>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val="en-US" w:eastAsia="ko-KR"/>
    </w:rPr>
  </w:style>
  <w:style w:type="paragraph" w:styleId="BodyTextIndent">
    <w:name w:val="Body Text Indent"/>
    <w:basedOn w:val="Normal"/>
    <w:link w:val="BodyTextIndentChar"/>
    <w:rsid w:val="00AD203F"/>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rPr>
  </w:style>
  <w:style w:type="paragraph" w:customStyle="1" w:styleId="Authors">
    <w:name w:val="Authors"/>
    <w:qFormat/>
    <w:rsid w:val="00AD203F"/>
    <w:pPr>
      <w:ind w:left="1701" w:right="-1"/>
    </w:pPr>
    <w:rPr>
      <w:rFonts w:ascii="Tahoma" w:hAnsi="Tahoma" w:cs="Tahoma"/>
      <w:sz w:val="28"/>
      <w:lang w:eastAsia="en-US"/>
    </w:rPr>
  </w:style>
  <w:style w:type="paragraph" w:customStyle="1" w:styleId="Contents">
    <w:name w:val="Contents"/>
    <w:qFormat/>
    <w:rsid w:val="00AD203F"/>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AD203F"/>
    <w:pPr>
      <w:spacing w:before="360"/>
    </w:pPr>
    <w:rPr>
      <w:rFonts w:ascii="Tahoma" w:hAnsi="Tahoma" w:cs="Tahoma"/>
      <w:i/>
      <w:sz w:val="28"/>
      <w:lang w:eastAsia="en-US"/>
    </w:rPr>
  </w:style>
  <w:style w:type="paragraph" w:customStyle="1" w:styleId="Abouttheresearch">
    <w:name w:val="About the research"/>
    <w:uiPriority w:val="1"/>
    <w:qFormat/>
    <w:rsid w:val="00AD203F"/>
    <w:rPr>
      <w:rFonts w:ascii="Tahoma" w:hAnsi="Tahoma" w:cs="Tahoma"/>
      <w:color w:val="000000"/>
      <w:kern w:val="28"/>
      <w:sz w:val="56"/>
      <w:szCs w:val="56"/>
      <w:lang w:eastAsia="en-US"/>
    </w:rPr>
  </w:style>
  <w:style w:type="paragraph" w:customStyle="1" w:styleId="Keymessages">
    <w:name w:val="Key messages"/>
    <w:uiPriority w:val="1"/>
    <w:qFormat/>
    <w:rsid w:val="00AD203F"/>
    <w:pPr>
      <w:spacing w:before="360"/>
    </w:pPr>
    <w:rPr>
      <w:rFonts w:ascii="Tahoma" w:hAnsi="Tahoma" w:cs="Tahoma"/>
      <w:sz w:val="28"/>
      <w:lang w:eastAsia="en-US"/>
    </w:rPr>
  </w:style>
  <w:style w:type="paragraph" w:customStyle="1" w:styleId="Organisation">
    <w:name w:val="Organisation"/>
    <w:basedOn w:val="Authors"/>
    <w:uiPriority w:val="1"/>
    <w:qFormat/>
    <w:rsid w:val="00AD203F"/>
    <w:pPr>
      <w:spacing w:before="120"/>
      <w:ind w:right="0"/>
    </w:pPr>
    <w:rPr>
      <w:sz w:val="24"/>
    </w:rPr>
  </w:style>
  <w:style w:type="character" w:styleId="FollowedHyperlink">
    <w:name w:val="FollowedHyperlink"/>
    <w:basedOn w:val="DefaultParagraphFont"/>
    <w:uiPriority w:val="99"/>
    <w:semiHidden/>
    <w:rsid w:val="00AD203F"/>
    <w:rPr>
      <w:color w:val="800080" w:themeColor="followedHyperlink"/>
      <w:u w:val="single"/>
    </w:rPr>
  </w:style>
  <w:style w:type="character" w:styleId="FootnoteReference">
    <w:name w:val="footnote reference"/>
    <w:basedOn w:val="DefaultParagraphFont"/>
    <w:rsid w:val="00452CE2"/>
    <w:rPr>
      <w:vertAlign w:val="superscript"/>
    </w:rPr>
  </w:style>
  <w:style w:type="character" w:customStyle="1" w:styleId="Heading1Char">
    <w:name w:val="Heading 1 Char"/>
    <w:basedOn w:val="DefaultParagraphFont"/>
    <w:link w:val="Heading1"/>
    <w:rsid w:val="00452CE2"/>
    <w:rPr>
      <w:rFonts w:ascii="Tahoma" w:hAnsi="Tahoma" w:cs="Tahoma"/>
      <w:color w:val="000000"/>
      <w:kern w:val="28"/>
      <w:sz w:val="56"/>
      <w:szCs w:val="56"/>
      <w:lang w:eastAsia="en-US"/>
    </w:rPr>
  </w:style>
  <w:style w:type="paragraph" w:customStyle="1" w:styleId="TOCHeading1">
    <w:name w:val="TOC Heading1"/>
    <w:basedOn w:val="Heading1"/>
    <w:next w:val="Normal"/>
    <w:uiPriority w:val="39"/>
    <w:unhideWhenUsed/>
    <w:qFormat/>
    <w:rsid w:val="00452CE2"/>
    <w:pPr>
      <w:keepLines/>
      <w:spacing w:before="480" w:after="0" w:line="276" w:lineRule="auto"/>
      <w:outlineLvl w:val="9"/>
    </w:pPr>
    <w:rPr>
      <w:rFonts w:ascii="Calibri" w:hAnsi="Calibri" w:cs="Times New Roman"/>
      <w:b/>
      <w:bCs/>
      <w:color w:val="365F91"/>
      <w:kern w:val="0"/>
      <w:sz w:val="28"/>
      <w:szCs w:val="28"/>
      <w:lang w:val="en-US"/>
    </w:rPr>
  </w:style>
  <w:style w:type="paragraph" w:styleId="TOC5">
    <w:name w:val="toc 5"/>
    <w:basedOn w:val="Normal"/>
    <w:next w:val="Normal"/>
    <w:autoRedefine/>
    <w:rsid w:val="00452CE2"/>
    <w:pPr>
      <w:spacing w:before="0"/>
      <w:ind w:left="760"/>
    </w:pPr>
    <w:rPr>
      <w:rFonts w:ascii="Cambria" w:hAnsi="Cambria"/>
      <w:sz w:val="20"/>
    </w:rPr>
  </w:style>
  <w:style w:type="paragraph" w:styleId="TOC6">
    <w:name w:val="toc 6"/>
    <w:basedOn w:val="Normal"/>
    <w:next w:val="Normal"/>
    <w:autoRedefine/>
    <w:rsid w:val="00452CE2"/>
    <w:pPr>
      <w:spacing w:before="0"/>
      <w:ind w:left="950"/>
    </w:pPr>
    <w:rPr>
      <w:rFonts w:ascii="Cambria" w:hAnsi="Cambria"/>
      <w:sz w:val="20"/>
    </w:rPr>
  </w:style>
  <w:style w:type="paragraph" w:styleId="TOC7">
    <w:name w:val="toc 7"/>
    <w:basedOn w:val="Normal"/>
    <w:next w:val="Normal"/>
    <w:autoRedefine/>
    <w:rsid w:val="00452CE2"/>
    <w:pPr>
      <w:spacing w:before="0"/>
      <w:ind w:left="1140"/>
    </w:pPr>
    <w:rPr>
      <w:rFonts w:ascii="Cambria" w:hAnsi="Cambria"/>
      <w:sz w:val="20"/>
    </w:rPr>
  </w:style>
  <w:style w:type="paragraph" w:styleId="TOC8">
    <w:name w:val="toc 8"/>
    <w:basedOn w:val="Normal"/>
    <w:next w:val="Normal"/>
    <w:autoRedefine/>
    <w:rsid w:val="00452CE2"/>
    <w:pPr>
      <w:spacing w:before="0"/>
      <w:ind w:left="1330"/>
    </w:pPr>
    <w:rPr>
      <w:rFonts w:ascii="Cambria" w:hAnsi="Cambria"/>
      <w:sz w:val="20"/>
    </w:rPr>
  </w:style>
  <w:style w:type="paragraph" w:styleId="TOC9">
    <w:name w:val="toc 9"/>
    <w:basedOn w:val="Normal"/>
    <w:next w:val="Normal"/>
    <w:autoRedefine/>
    <w:rsid w:val="00452CE2"/>
    <w:pPr>
      <w:spacing w:before="0"/>
      <w:ind w:left="1520"/>
    </w:pPr>
    <w:rPr>
      <w:rFonts w:ascii="Cambria" w:hAnsi="Cambria"/>
      <w:sz w:val="20"/>
    </w:rPr>
  </w:style>
  <w:style w:type="character" w:styleId="CommentReference">
    <w:name w:val="annotation reference"/>
    <w:basedOn w:val="DefaultParagraphFont"/>
    <w:uiPriority w:val="99"/>
    <w:semiHidden/>
    <w:rsid w:val="00650796"/>
    <w:rPr>
      <w:sz w:val="16"/>
      <w:szCs w:val="16"/>
    </w:rPr>
  </w:style>
  <w:style w:type="paragraph" w:styleId="CommentText">
    <w:name w:val="annotation text"/>
    <w:basedOn w:val="Normal"/>
    <w:link w:val="CommentTextChar"/>
    <w:uiPriority w:val="99"/>
    <w:semiHidden/>
    <w:rsid w:val="00650796"/>
    <w:pPr>
      <w:spacing w:line="240" w:lineRule="auto"/>
    </w:pPr>
    <w:rPr>
      <w:sz w:val="20"/>
    </w:rPr>
  </w:style>
  <w:style w:type="character" w:customStyle="1" w:styleId="CommentTextChar">
    <w:name w:val="Comment Text Char"/>
    <w:basedOn w:val="DefaultParagraphFont"/>
    <w:link w:val="CommentText"/>
    <w:uiPriority w:val="99"/>
    <w:semiHidden/>
    <w:rsid w:val="00650796"/>
    <w:rPr>
      <w:rFonts w:ascii="Trebuchet MS" w:hAnsi="Trebuchet MS"/>
      <w:lang w:eastAsia="en-US"/>
    </w:rPr>
  </w:style>
  <w:style w:type="paragraph" w:styleId="CommentSubject">
    <w:name w:val="annotation subject"/>
    <w:basedOn w:val="CommentText"/>
    <w:next w:val="CommentText"/>
    <w:link w:val="CommentSubjectChar"/>
    <w:uiPriority w:val="99"/>
    <w:semiHidden/>
    <w:rsid w:val="00650796"/>
    <w:rPr>
      <w:b/>
      <w:bCs/>
    </w:rPr>
  </w:style>
  <w:style w:type="character" w:customStyle="1" w:styleId="CommentSubjectChar">
    <w:name w:val="Comment Subject Char"/>
    <w:basedOn w:val="CommentTextChar"/>
    <w:link w:val="CommentSubject"/>
    <w:uiPriority w:val="99"/>
    <w:semiHidden/>
    <w:rsid w:val="00650796"/>
    <w:rPr>
      <w:b/>
      <w:bCs/>
    </w:rPr>
  </w:style>
  <w:style w:type="paragraph" w:styleId="ListParagraph">
    <w:name w:val="List Paragraph"/>
    <w:basedOn w:val="Normal"/>
    <w:uiPriority w:val="34"/>
    <w:qFormat/>
    <w:rsid w:val="00AD203F"/>
    <w:pPr>
      <w:ind w:left="720"/>
      <w:contextualSpacing/>
    </w:pPr>
  </w:style>
  <w:style w:type="paragraph" w:customStyle="1" w:styleId="NumberedAlphaLevel2">
    <w:name w:val="NumberedAlphaLevel2"/>
    <w:basedOn w:val="NumberedListContinuing"/>
    <w:uiPriority w:val="1"/>
    <w:qFormat/>
    <w:rsid w:val="00AD203F"/>
    <w:pPr>
      <w:numPr>
        <w:ilvl w:val="1"/>
      </w:numPr>
    </w:pPr>
  </w:style>
  <w:style w:type="paragraph" w:styleId="Quote">
    <w:name w:val="Quote"/>
    <w:basedOn w:val="Text"/>
    <w:link w:val="QuoteChar"/>
    <w:qFormat/>
    <w:rsid w:val="0061162A"/>
    <w:pPr>
      <w:tabs>
        <w:tab w:val="right" w:pos="8136"/>
      </w:tabs>
      <w:spacing w:before="80"/>
      <w:ind w:left="567" w:right="652"/>
    </w:pPr>
    <w:rPr>
      <w:sz w:val="17"/>
    </w:rPr>
  </w:style>
  <w:style w:type="character" w:customStyle="1" w:styleId="QuoteChar">
    <w:name w:val="Quote Char"/>
    <w:basedOn w:val="DefaultParagraphFont"/>
    <w:link w:val="Quote"/>
    <w:rsid w:val="0061162A"/>
    <w:rPr>
      <w:rFonts w:ascii="Trebuchet MS" w:hAnsi="Trebuchet MS"/>
      <w:sz w:val="17"/>
      <w:lang w:eastAsia="en-US"/>
    </w:rPr>
  </w:style>
  <w:style w:type="paragraph" w:customStyle="1" w:styleId="Textmorebefore">
    <w:name w:val="Text more # before"/>
    <w:basedOn w:val="Text"/>
    <w:uiPriority w:val="1"/>
    <w:qFormat/>
    <w:rsid w:val="001C7644"/>
    <w:pPr>
      <w:spacing w:before="360"/>
      <w:ind w:right="0"/>
    </w:pPr>
  </w:style>
</w:styles>
</file>

<file path=word/webSettings.xml><?xml version="1.0" encoding="utf-8"?>
<w:webSettings xmlns:r="http://schemas.openxmlformats.org/officeDocument/2006/relationships" xmlns:w="http://schemas.openxmlformats.org/wordprocessingml/2006/main">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hyperlink" Target="http://www.aeufederal.org.au/Publications/2009/JBuchananreport2009.pd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www.voced.edu.au/"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C1B4D0-7FEB-42DC-867C-36A98F0D8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18954</Words>
  <Characters>110472</Characters>
  <Application>Microsoft Office Word</Application>
  <DocSecurity>0</DocSecurity>
  <Lines>920</Lines>
  <Paragraphs>258</Paragraphs>
  <ScaleCrop>false</ScaleCrop>
  <HeadingPairs>
    <vt:vector size="2" baseType="variant">
      <vt:variant>
        <vt:lpstr>Title</vt:lpstr>
      </vt:variant>
      <vt:variant>
        <vt:i4>1</vt:i4>
      </vt:variant>
    </vt:vector>
  </HeadingPairs>
  <TitlesOfParts>
    <vt:vector size="1" baseType="lpstr">
      <vt:lpstr>Vocational trajectories</vt:lpstr>
    </vt:vector>
  </TitlesOfParts>
  <Company>UQ</Company>
  <LinksUpToDate>false</LinksUpToDate>
  <CharactersWithSpaces>129168</CharactersWithSpaces>
  <SharedDoc>false</SharedDoc>
  <HLinks>
    <vt:vector size="12" baseType="variant">
      <vt:variant>
        <vt:i4>262219</vt:i4>
      </vt:variant>
      <vt:variant>
        <vt:i4>3</vt:i4>
      </vt:variant>
      <vt:variant>
        <vt:i4>0</vt:i4>
      </vt:variant>
      <vt:variant>
        <vt:i4>5</vt:i4>
      </vt:variant>
      <vt:variant>
        <vt:lpwstr>http://www.voced.edu.au/</vt:lpwstr>
      </vt:variant>
      <vt:variant>
        <vt:lpwstr/>
      </vt:variant>
      <vt:variant>
        <vt:i4>3801121</vt:i4>
      </vt:variant>
      <vt:variant>
        <vt:i4>0</vt:i4>
      </vt:variant>
      <vt:variant>
        <vt:i4>0</vt:i4>
      </vt:variant>
      <vt:variant>
        <vt:i4>5</vt:i4>
      </vt:variant>
      <vt:variant>
        <vt:lpwstr>http://www.ncver.edu.au/publications/MERLIN ID.html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Vocational trajectories</dc:title>
  <dc:creator>Yu et al.</dc:creator>
  <cp:lastModifiedBy>katrinamatheos</cp:lastModifiedBy>
  <cp:revision>2</cp:revision>
  <cp:lastPrinted>2012-10-21T23:35:00Z</cp:lastPrinted>
  <dcterms:created xsi:type="dcterms:W3CDTF">2013-11-15T06:07:00Z</dcterms:created>
  <dcterms:modified xsi:type="dcterms:W3CDTF">2013-11-15T06:07:00Z</dcterms:modified>
</cp:coreProperties>
</file>