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Pr="00B07B55" w:rsidRDefault="00177827" w:rsidP="00177827">
      <w:pPr>
        <w:pStyle w:val="PublicationTitle"/>
        <w:spacing w:before="0"/>
        <w:rPr>
          <w:lang w:val="en-GB"/>
        </w:rPr>
      </w:pPr>
      <w:bookmarkStart w:id="0" w:name="_Toc296423677"/>
      <w:bookmarkStart w:id="1" w:name="_Toc296497508"/>
    </w:p>
    <w:p w:rsidR="00177827" w:rsidRPr="00B07B55" w:rsidRDefault="00177827" w:rsidP="00177827">
      <w:pPr>
        <w:pStyle w:val="PublicationTitle"/>
        <w:spacing w:before="0"/>
        <w:rPr>
          <w:lang w:val="en-GB"/>
        </w:rPr>
      </w:pPr>
    </w:p>
    <w:p w:rsidR="009E231A" w:rsidRPr="00B07B55" w:rsidRDefault="00177827" w:rsidP="00177827">
      <w:pPr>
        <w:pStyle w:val="PublicationTitle"/>
        <w:spacing w:before="0"/>
        <w:rPr>
          <w:lang w:val="en-GB"/>
        </w:rPr>
      </w:pPr>
      <w:bookmarkStart w:id="2" w:name="_Toc98394872"/>
      <w:r w:rsidRPr="00B07B55">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2"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8"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0"/>
      <w:bookmarkEnd w:id="1"/>
      <w:bookmarkEnd w:id="2"/>
      <w:r w:rsidR="00EB1616">
        <w:rPr>
          <w:lang w:val="en-GB"/>
        </w:rPr>
        <w:t xml:space="preserve">Studying beyond age 25: who does it and what do they </w:t>
      </w:r>
      <w:r w:rsidR="005C57CE">
        <w:rPr>
          <w:lang w:val="en-GB"/>
        </w:rPr>
        <w:t>gain</w:t>
      </w:r>
      <w:r w:rsidR="00EB1616">
        <w:rPr>
          <w:lang w:val="en-GB"/>
        </w:rPr>
        <w:t>?</w:t>
      </w:r>
    </w:p>
    <w:p w:rsidR="00234CE2" w:rsidRPr="003960D4" w:rsidRDefault="00234CE2" w:rsidP="00234CE2">
      <w:pPr>
        <w:pStyle w:val="Organisation"/>
        <w:rPr>
          <w:sz w:val="28"/>
          <w:lang w:val="it-IT"/>
        </w:rPr>
      </w:pPr>
      <w:bookmarkStart w:id="3" w:name="_Toc296423678"/>
      <w:bookmarkStart w:id="4" w:name="_Toc296497509"/>
      <w:r w:rsidRPr="003960D4">
        <w:rPr>
          <w:sz w:val="28"/>
          <w:lang w:val="it-IT"/>
        </w:rPr>
        <w:t>Michael Coelli</w:t>
      </w:r>
      <w:r w:rsidR="006E0598">
        <w:rPr>
          <w:sz w:val="28"/>
          <w:lang w:val="it-IT"/>
        </w:rPr>
        <w:br/>
      </w:r>
      <w:r w:rsidRPr="003960D4">
        <w:rPr>
          <w:sz w:val="28"/>
          <w:lang w:val="it-IT"/>
        </w:rPr>
        <w:t>Domenico Tabasso</w:t>
      </w:r>
      <w:r w:rsidR="006E0598">
        <w:rPr>
          <w:sz w:val="28"/>
          <w:lang w:val="it-IT"/>
        </w:rPr>
        <w:br/>
      </w:r>
      <w:r w:rsidRPr="003960D4">
        <w:rPr>
          <w:sz w:val="28"/>
          <w:lang w:val="it-IT"/>
        </w:rPr>
        <w:t>Rezida Zakirova</w:t>
      </w:r>
    </w:p>
    <w:bookmarkEnd w:id="3"/>
    <w:bookmarkEnd w:id="4"/>
    <w:p w:rsidR="00234CE2" w:rsidRPr="00B07B55" w:rsidRDefault="006E0598" w:rsidP="00234CE2">
      <w:pPr>
        <w:pStyle w:val="Organisation"/>
        <w:rPr>
          <w:lang w:val="en-GB"/>
        </w:rPr>
      </w:pPr>
      <w:r w:rsidRPr="00B07B55">
        <w:rPr>
          <w:lang w:val="en-GB"/>
        </w:rPr>
        <w:t>Department of Economics, University of Melbourne</w:t>
      </w:r>
      <w:r w:rsidR="00226BCD">
        <w:rPr>
          <w:lang w:val="en-GB"/>
        </w:rPr>
        <w:t>,</w:t>
      </w:r>
      <w:r w:rsidRPr="00B07B55">
        <w:rPr>
          <w:lang w:val="en-GB"/>
        </w:rPr>
        <w:t xml:space="preserve"> and </w:t>
      </w:r>
      <w:r>
        <w:rPr>
          <w:lang w:val="en-GB"/>
        </w:rPr>
        <w:br/>
      </w:r>
      <w:r w:rsidRPr="00B07B55">
        <w:rPr>
          <w:lang w:val="en-GB"/>
        </w:rPr>
        <w:t>Melbourne Institute of Applied Economic and Social Research</w:t>
      </w:r>
    </w:p>
    <w:p w:rsidR="000315D7" w:rsidRPr="00B07B55" w:rsidRDefault="000315D7" w:rsidP="00177827">
      <w:pPr>
        <w:pStyle w:val="Organisation"/>
        <w:rPr>
          <w:lang w:val="en-GB"/>
        </w:rPr>
      </w:pPr>
    </w:p>
    <w:p w:rsidR="00382C09" w:rsidRPr="00CA2F63" w:rsidRDefault="00382C09" w:rsidP="00382C09">
      <w:pPr>
        <w:pStyle w:val="Organisation"/>
        <w:spacing w:before="600"/>
        <w:rPr>
          <w:color w:val="FF0000"/>
        </w:rPr>
      </w:pPr>
      <w:r w:rsidRPr="00CA2F63">
        <w:rPr>
          <w:color w:val="FF0000"/>
        </w:rPr>
        <w:t>FOR CLARITY WITH FIGURES,</w:t>
      </w:r>
      <w:r w:rsidRPr="00CA2F63">
        <w:rPr>
          <w:color w:val="FF0000"/>
        </w:rPr>
        <w:br/>
        <w:t>PLEASE PRINT IN COLOUR</w:t>
      </w:r>
    </w:p>
    <w:p w:rsidR="009E231A" w:rsidRPr="00B07B55" w:rsidRDefault="0067274E" w:rsidP="00EB199B">
      <w:pPr>
        <w:pStyle w:val="Heading3"/>
        <w:rPr>
          <w:lang w:val="en-GB"/>
        </w:rPr>
      </w:pPr>
      <w:r w:rsidRPr="0067274E">
        <w:rPr>
          <w:noProof/>
          <w:lang w:val="en-GB" w:eastAsia="en-AU"/>
        </w:rPr>
        <w:pict>
          <v:shapetype id="_x0000_t202" coordsize="21600,21600" o:spt="202" path="m,l,21600r21600,l21600,xe">
            <v:stroke joinstyle="miter"/>
            <v:path gradientshapeok="t" o:connecttype="rect"/>
          </v:shapetype>
          <v:shape id="_x0000_s1036" type="#_x0000_t202" style="position:absolute;margin-left:79.95pt;margin-top:508.55pt;width:218.15pt;height:83pt;z-index:251660288;mso-position-vertical-relative:margin" filled="f" stroked="f">
            <v:textbox style="mso-next-textbox:#_x0000_s1036">
              <w:txbxContent>
                <w:p w:rsidR="00AC0556" w:rsidRPr="006E0598" w:rsidRDefault="00AC0556" w:rsidP="006E0598">
                  <w:pPr>
                    <w:pStyle w:val="Heading3"/>
                    <w:rPr>
                      <w:rFonts w:ascii="Trebuchet MS" w:hAnsi="Trebuchet MS"/>
                      <w:szCs w:val="24"/>
                    </w:rPr>
                  </w:pPr>
                  <w:r w:rsidRPr="006E0598">
                    <w:rPr>
                      <w:rFonts w:ascii="Trebuchet MS" w:hAnsi="Trebuchet MS"/>
                      <w:szCs w:val="24"/>
                    </w:rPr>
                    <w:t xml:space="preserve">NATIONAL VOCATIONAL EDUCATION AND TRAINING RESEARCH PROGRAM </w:t>
                  </w:r>
                </w:p>
                <w:p w:rsidR="00AC0556" w:rsidRPr="006E0598" w:rsidRDefault="00AC0556" w:rsidP="006E0598">
                  <w:pPr>
                    <w:pStyle w:val="Heading3"/>
                    <w:spacing w:before="80"/>
                    <w:rPr>
                      <w:rFonts w:ascii="Trebuchet MS" w:hAnsi="Trebuchet MS"/>
                      <w:szCs w:val="24"/>
                    </w:rPr>
                  </w:pPr>
                  <w:r w:rsidRPr="006E0598">
                    <w:rPr>
                      <w:rFonts w:ascii="Trebuchet MS" w:hAnsi="Trebuchet MS"/>
                      <w:b/>
                      <w:szCs w:val="24"/>
                    </w:rPr>
                    <w:t>RESEARCH REPORT</w:t>
                  </w:r>
                </w:p>
                <w:p w:rsidR="00AC0556" w:rsidRDefault="00AC0556" w:rsidP="009E2F64">
                  <w:pPr>
                    <w:pStyle w:val="Heading3"/>
                  </w:pPr>
                </w:p>
              </w:txbxContent>
            </v:textbox>
            <w10:wrap anchory="margin"/>
          </v:shape>
        </w:pict>
      </w:r>
      <w:r w:rsidRPr="0067274E">
        <w:rPr>
          <w:noProof/>
          <w:lang w:val="en-GB" w:eastAsia="en-AU"/>
        </w:rPr>
        <w:pict>
          <v:shape id="_x0000_s1034" type="#_x0000_t202" style="position:absolute;margin-left:73.1pt;margin-top:607.75pt;width:357pt;height:130.15pt;z-index:251658240;mso-position-vertical-relative:margin" filled="f" stroked="f">
            <v:textbox style="mso-next-textbox:#_x0000_s1034">
              <w:txbxContent>
                <w:p w:rsidR="00AC0556" w:rsidRDefault="00AC0556" w:rsidP="006C5DA9">
                  <w:pPr>
                    <w:pStyle w:val="Imprint"/>
                    <w:spacing w:before="0"/>
                    <w:ind w:left="142" w:right="10"/>
                    <w:rPr>
                      <w:color w:val="000000"/>
                    </w:rPr>
                  </w:pPr>
                  <w:r w:rsidRPr="005C2FCF">
                    <w:rPr>
                      <w:color w:val="000000"/>
                    </w:rPr>
                    <w:t>The views and opinions expressed in this document are those of the author</w:t>
                  </w:r>
                  <w:r>
                    <w:rPr>
                      <w:color w:val="000000"/>
                    </w:rPr>
                    <w:t>s</w:t>
                  </w:r>
                  <w:r w:rsidRPr="005C2FCF">
                    <w:rPr>
                      <w:color w:val="000000"/>
                    </w:rPr>
                    <w:t xml:space="preserve"> and do not necessarily reflect the views of the Australian Government,</w:t>
                  </w:r>
                  <w:r>
                    <w:rPr>
                      <w:color w:val="000000"/>
                    </w:rPr>
                    <w:t xml:space="preserve"> </w:t>
                  </w:r>
                  <w:r w:rsidRPr="005C2FCF">
                    <w:rPr>
                      <w:color w:val="000000"/>
                    </w:rPr>
                    <w:t xml:space="preserve">state and territory governments or NCVER. </w:t>
                  </w:r>
                </w:p>
                <w:p w:rsidR="00AC0556" w:rsidRDefault="00AC0556" w:rsidP="00226BCD">
                  <w:pPr>
                    <w:pStyle w:val="Imprint"/>
                    <w:spacing w:before="120"/>
                    <w:ind w:left="142" w:right="11"/>
                  </w:pPr>
                  <w:r w:rsidRPr="006C266B">
                    <w:rPr>
                      <w:color w:val="000000"/>
                    </w:rPr>
                    <w:t>Central to the analysis are unit record data from the</w:t>
                  </w:r>
                  <w:r>
                    <w:rPr>
                      <w:color w:val="000000"/>
                    </w:rPr>
                    <w:t xml:space="preserve"> </w:t>
                  </w:r>
                  <w:r w:rsidRPr="006C266B">
                    <w:rPr>
                      <w:color w:val="000000"/>
                    </w:rPr>
                    <w:t>Household, Income and Labour Dynamics in Australia (HILDA) Survey</w:t>
                  </w:r>
                  <w:r>
                    <w:rPr>
                      <w:color w:val="000000"/>
                    </w:rPr>
                    <w:t xml:space="preserve">. </w:t>
                  </w:r>
                  <w:r w:rsidRPr="006C266B">
                    <w:rPr>
                      <w:color w:val="000000"/>
                    </w:rPr>
                    <w:t>The HILDA Survey is funded by the Australian Government Department of Families, Housing,</w:t>
                  </w:r>
                  <w:r>
                    <w:rPr>
                      <w:color w:val="000000"/>
                    </w:rPr>
                    <w:t xml:space="preserve"> </w:t>
                  </w:r>
                  <w:r w:rsidRPr="006C266B">
                    <w:rPr>
                      <w:color w:val="000000"/>
                    </w:rPr>
                    <w:t>Community Services and Indigenous Affairs and managed by the Melbourne Institute of</w:t>
                  </w:r>
                  <w:r>
                    <w:rPr>
                      <w:color w:val="000000"/>
                    </w:rPr>
                    <w:t xml:space="preserve"> </w:t>
                  </w:r>
                  <w:r w:rsidRPr="006C266B">
                    <w:rPr>
                      <w:color w:val="000000"/>
                    </w:rPr>
                    <w:t>Applied Economic and Social Research (University of Melbourne)</w:t>
                  </w:r>
                  <w:r>
                    <w:rPr>
                      <w:color w:val="000000"/>
                    </w:rPr>
                    <w:t xml:space="preserve">. </w:t>
                  </w:r>
                  <w:r w:rsidRPr="009B000B">
                    <w:rPr>
                      <w:color w:val="000000"/>
                    </w:rPr>
                    <w:t>Any interpretation of data is the responsibility of the authors.</w:t>
                  </w:r>
                </w:p>
              </w:txbxContent>
            </v:textbox>
            <w10:wrap anchory="margin"/>
          </v:shape>
        </w:pict>
      </w:r>
      <w:r w:rsidR="00FE4A2D" w:rsidRPr="00B07B55">
        <w:rPr>
          <w:lang w:val="en-GB"/>
        </w:rPr>
        <w:br w:type="page"/>
      </w:r>
      <w:r w:rsidR="00FE4A2D" w:rsidRPr="00B07B55">
        <w:rPr>
          <w:lang w:val="en-GB"/>
        </w:rPr>
        <w:lastRenderedPageBreak/>
        <w:t>Publisher’s note</w:t>
      </w:r>
    </w:p>
    <w:p w:rsidR="00233BFA" w:rsidRPr="00B07B55" w:rsidRDefault="00233BFA" w:rsidP="005008BD">
      <w:pPr>
        <w:pStyle w:val="Imprint"/>
        <w:ind w:right="1133"/>
        <w:rPr>
          <w:lang w:val="en-GB"/>
        </w:rPr>
      </w:pPr>
      <w:r w:rsidRPr="00B07B55">
        <w:rPr>
          <w:lang w:val="en-GB"/>
        </w:rPr>
        <w:t>To find other material of interest, search VOCED (the UNESCO/NCVER international database &lt;</w:t>
      </w:r>
      <w:hyperlink r:id="rId9" w:history="1">
        <w:r w:rsidRPr="00B07B55">
          <w:rPr>
            <w:lang w:val="en-GB"/>
          </w:rPr>
          <w:t>http://www.voced.edu.au</w:t>
        </w:r>
      </w:hyperlink>
      <w:r w:rsidRPr="00B07B55">
        <w:rPr>
          <w:lang w:val="en-GB"/>
        </w:rPr>
        <w:t>&gt;)</w:t>
      </w:r>
      <w:r w:rsidR="008516D4">
        <w:rPr>
          <w:lang w:val="en-GB"/>
        </w:rPr>
        <w:t xml:space="preserve"> using the following keywords: adult education; education and training opportunity; employment; labour market; older person; older worker; skill development; social inclusion.</w:t>
      </w:r>
    </w:p>
    <w:p w:rsidR="00FF5931" w:rsidRPr="00B07B55" w:rsidRDefault="00FF5931" w:rsidP="00233BFA">
      <w:pPr>
        <w:pStyle w:val="Imprint"/>
        <w:rPr>
          <w:sz w:val="19"/>
          <w:szCs w:val="19"/>
          <w:lang w:val="en-GB"/>
        </w:rPr>
      </w:pPr>
    </w:p>
    <w:p w:rsidR="009E231A" w:rsidRPr="00FF6682" w:rsidRDefault="0067274E" w:rsidP="0049453B">
      <w:pPr>
        <w:pStyle w:val="Abouttheresearch"/>
        <w:rPr>
          <w:lang w:val="en-GB"/>
        </w:rPr>
      </w:pPr>
      <w:r w:rsidRPr="0067274E">
        <w:rPr>
          <w:lang w:val="en-GB"/>
        </w:rPr>
        <w:pict>
          <v:shape id="_x0000_s1038" type="#_x0000_t202" style="position:absolute;margin-left:0;margin-top:108.35pt;width:381.45pt;height:456pt;z-index:251661312;v-text-anchor:bottom" filled="f" stroked="f">
            <v:textbox style="mso-next-textbox:#_x0000_s1038" inset="0,,0">
              <w:txbxContent>
                <w:p w:rsidR="00AC0556" w:rsidRPr="006E0598" w:rsidRDefault="00AC0556" w:rsidP="006E0598">
                  <w:pPr>
                    <w:pStyle w:val="Imprint"/>
                    <w:rPr>
                      <w:b/>
                    </w:rPr>
                  </w:pPr>
                  <w:r w:rsidRPr="006E0598">
                    <w:rPr>
                      <w:b/>
                    </w:rPr>
                    <w:t>© Commonwealth of Australia, 2012</w:t>
                  </w:r>
                </w:p>
                <w:p w:rsidR="00AC0556" w:rsidRDefault="00AC0556" w:rsidP="006E0598">
                  <w:pPr>
                    <w:pStyle w:val="Imprint"/>
                    <w:rPr>
                      <w:sz w:val="20"/>
                    </w:rPr>
                  </w:pPr>
                  <w:r w:rsidRPr="00E80270">
                    <w:rPr>
                      <w:noProof/>
                      <w:sz w:val="20"/>
                      <w:lang w:eastAsia="en-AU"/>
                    </w:rPr>
                    <w:drawing>
                      <wp:inline distT="0" distB="0" distL="0" distR="0">
                        <wp:extent cx="850265" cy="302895"/>
                        <wp:effectExtent l="19050" t="0" r="6985" b="0"/>
                        <wp:docPr id="10"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AC0556" w:rsidRPr="006E0598" w:rsidRDefault="00AC0556" w:rsidP="006E0598">
                  <w:pPr>
                    <w:pStyle w:val="Imprint"/>
                    <w:rPr>
                      <w:szCs w:val="16"/>
                    </w:rPr>
                  </w:pPr>
                  <w:r w:rsidRPr="006E0598">
                    <w:rPr>
                      <w:szCs w:val="16"/>
                    </w:rP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AC0556" w:rsidRPr="006E0598" w:rsidRDefault="00AC0556" w:rsidP="00EB199B">
                  <w:pPr>
                    <w:pStyle w:val="Imprint"/>
                    <w:spacing w:before="80"/>
                    <w:rPr>
                      <w:szCs w:val="16"/>
                    </w:rPr>
                  </w:pPr>
                  <w:r w:rsidRPr="006E0598">
                    <w:rPr>
                      <w:szCs w:val="16"/>
                    </w:rPr>
                    <w:t>The details of the relevant licence conditions are available on the Creative Commons website (accessible</w:t>
                  </w:r>
                  <w:r>
                    <w:rPr>
                      <w:szCs w:val="16"/>
                    </w:rPr>
                    <w:t> </w:t>
                  </w:r>
                  <w:r w:rsidRPr="006E0598">
                    <w:rPr>
                      <w:szCs w:val="16"/>
                    </w:rPr>
                    <w:t>using the links provided) as is the full legal code for the CC BY 3.0 AU licence &lt;http://creativecommons.org/licenses/by/3.0/legalcode&gt;.</w:t>
                  </w:r>
                </w:p>
                <w:p w:rsidR="00AC0556" w:rsidRPr="006E0598" w:rsidRDefault="00AC0556" w:rsidP="00EB199B">
                  <w:pPr>
                    <w:pStyle w:val="Imprint"/>
                    <w:spacing w:before="80"/>
                    <w:rPr>
                      <w:szCs w:val="16"/>
                    </w:rPr>
                  </w:pPr>
                  <w:r w:rsidRPr="006E0598">
                    <w:rPr>
                      <w:szCs w:val="16"/>
                    </w:rPr>
                    <w:t>The Creative Commons licence conditions do not apply to all logos, graphic design, artwork and photographs. Requests and enquiries concerning other reproduction and rights should be directed to the</w:t>
                  </w:r>
                  <w:r>
                    <w:rPr>
                      <w:szCs w:val="16"/>
                    </w:rPr>
                    <w:t> </w:t>
                  </w:r>
                  <w:r w:rsidRPr="006E0598">
                    <w:rPr>
                      <w:szCs w:val="16"/>
                    </w:rPr>
                    <w:t>National Centre for Vocational Education Research (NCVER).</w:t>
                  </w:r>
                </w:p>
                <w:p w:rsidR="00AC0556" w:rsidRPr="006E0598" w:rsidRDefault="00AC0556" w:rsidP="006E0598">
                  <w:pPr>
                    <w:pStyle w:val="Imprint"/>
                    <w:rPr>
                      <w:szCs w:val="16"/>
                    </w:rPr>
                  </w:pPr>
                  <w:r w:rsidRPr="006E0598">
                    <w:rPr>
                      <w:szCs w:val="16"/>
                    </w:rPr>
                    <w:t xml:space="preserve">This document should be attributed as </w:t>
                  </w:r>
                  <w:r w:rsidRPr="003960D4">
                    <w:rPr>
                      <w:lang w:val="it-IT"/>
                    </w:rPr>
                    <w:t>Coelli</w:t>
                  </w:r>
                  <w:r>
                    <w:rPr>
                      <w:lang w:val="it-IT"/>
                    </w:rPr>
                    <w:t xml:space="preserve">, M, </w:t>
                  </w:r>
                  <w:r w:rsidRPr="003960D4">
                    <w:rPr>
                      <w:lang w:val="it-IT"/>
                    </w:rPr>
                    <w:t>Tabasso</w:t>
                  </w:r>
                  <w:r>
                    <w:rPr>
                      <w:lang w:val="it-IT"/>
                    </w:rPr>
                    <w:t xml:space="preserve">, D &amp; </w:t>
                  </w:r>
                  <w:r w:rsidRPr="003960D4">
                    <w:rPr>
                      <w:lang w:val="it-IT"/>
                    </w:rPr>
                    <w:t>Zakirova</w:t>
                  </w:r>
                  <w:r>
                    <w:rPr>
                      <w:lang w:val="it-IT"/>
                    </w:rPr>
                    <w:t xml:space="preserve">, R 2012, </w:t>
                  </w:r>
                  <w:r w:rsidRPr="00EB199B">
                    <w:rPr>
                      <w:i/>
                      <w:lang w:val="en-GB"/>
                    </w:rPr>
                    <w:t xml:space="preserve">Studying beyond age 25: who does it and what do they </w:t>
                  </w:r>
                  <w:r w:rsidR="00994D14">
                    <w:rPr>
                      <w:i/>
                      <w:lang w:val="en-GB"/>
                    </w:rPr>
                    <w:t>gain</w:t>
                  </w:r>
                  <w:r w:rsidRPr="00EB199B">
                    <w:rPr>
                      <w:i/>
                      <w:lang w:val="en-GB"/>
                    </w:rPr>
                    <w:t>?</w:t>
                  </w:r>
                  <w:r>
                    <w:rPr>
                      <w:lang w:val="en-GB"/>
                    </w:rPr>
                    <w:t xml:space="preserve">, </w:t>
                  </w:r>
                  <w:r w:rsidRPr="006E0598">
                    <w:rPr>
                      <w:szCs w:val="16"/>
                    </w:rPr>
                    <w:t>NCVER, Adelaide.</w:t>
                  </w:r>
                </w:p>
                <w:p w:rsidR="00AC0556" w:rsidRPr="005C2FCF" w:rsidRDefault="00AC0556" w:rsidP="00EB199B">
                  <w:pPr>
                    <w:pStyle w:val="Imprint"/>
                    <w:spacing w:before="80"/>
                    <w:rPr>
                      <w:color w:val="000000"/>
                    </w:rPr>
                  </w:pPr>
                  <w:r w:rsidRPr="005C2FCF">
                    <w:rPr>
                      <w:color w:val="000000"/>
                    </w:rPr>
                    <w:t>ISBN</w:t>
                  </w:r>
                  <w:r w:rsidRPr="005C2FCF">
                    <w:rPr>
                      <w:color w:val="000000"/>
                    </w:rPr>
                    <w:tab/>
                  </w:r>
                  <w:r w:rsidRPr="001C7034">
                    <w:rPr>
                      <w:color w:val="000000"/>
                    </w:rPr>
                    <w:t>978 1 922056 25 2</w:t>
                  </w:r>
                  <w:r>
                    <w:rPr>
                      <w:color w:val="000000"/>
                    </w:rPr>
                    <w:br/>
                  </w:r>
                  <w:r w:rsidRPr="005C2FCF">
                    <w:rPr>
                      <w:color w:val="000000"/>
                    </w:rPr>
                    <w:t>TD/TNC</w:t>
                  </w:r>
                  <w:r w:rsidRPr="005C2FCF">
                    <w:rPr>
                      <w:color w:val="000000"/>
                    </w:rPr>
                    <w:tab/>
                  </w:r>
                  <w:r>
                    <w:rPr>
                      <w:color w:val="000000"/>
                    </w:rPr>
                    <w:t>109.27</w:t>
                  </w:r>
                </w:p>
                <w:p w:rsidR="00AC0556" w:rsidRPr="005C2FCF" w:rsidRDefault="00AC0556" w:rsidP="00EB199B">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AC0556" w:rsidRPr="005C2FCF" w:rsidRDefault="00AC0556" w:rsidP="00EB199B">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AC0556" w:rsidRPr="002C51FA" w:rsidRDefault="00AC0556" w:rsidP="00EB199B">
                  <w:pPr>
                    <w:pStyle w:val="Imprint"/>
                    <w:spacing w:before="80"/>
                    <w:rPr>
                      <w:color w:val="000000"/>
                      <w:lang w:val="it-IT"/>
                    </w:rPr>
                  </w:pPr>
                  <w:r w:rsidRPr="00EB199B">
                    <w:rPr>
                      <w:b/>
                      <w:color w:val="000000"/>
                      <w:lang w:val="it-IT"/>
                    </w:rPr>
                    <w:t>P</w:t>
                  </w:r>
                  <w:r w:rsidRPr="002C51FA">
                    <w:rPr>
                      <w:color w:val="000000"/>
                      <w:lang w:val="it-IT"/>
                    </w:rPr>
                    <w:t xml:space="preserve"> +61 8 8230 8400   </w:t>
                  </w:r>
                  <w:r w:rsidRPr="00EB199B">
                    <w:rPr>
                      <w:b/>
                      <w:color w:val="000000"/>
                      <w:lang w:val="it-IT"/>
                    </w:rPr>
                    <w:t>F</w:t>
                  </w:r>
                  <w:r w:rsidRPr="002C51FA">
                    <w:rPr>
                      <w:color w:val="000000"/>
                      <w:lang w:val="it-IT"/>
                    </w:rPr>
                    <w:t xml:space="preserve"> +61 8 8212 3436   </w:t>
                  </w:r>
                  <w:r w:rsidRPr="00EB199B">
                    <w:rPr>
                      <w:b/>
                      <w:color w:val="000000"/>
                      <w:lang w:val="it-IT"/>
                    </w:rPr>
                    <w:t>E</w:t>
                  </w:r>
                  <w:r w:rsidRPr="003960D4">
                    <w:rPr>
                      <w:lang w:val="it-IT"/>
                    </w:rPr>
                    <w:t xml:space="preserve"> ncver@ncver.edu.au</w:t>
                  </w:r>
                  <w:r w:rsidRPr="002C51FA">
                    <w:rPr>
                      <w:color w:val="000000"/>
                      <w:lang w:val="it-IT"/>
                    </w:rPr>
                    <w:t xml:space="preserve">   </w:t>
                  </w:r>
                  <w:r w:rsidRPr="00EB199B">
                    <w:rPr>
                      <w:b/>
                      <w:color w:val="000000"/>
                      <w:lang w:val="it-IT"/>
                    </w:rPr>
                    <w:t>W</w:t>
                  </w:r>
                  <w:r w:rsidRPr="002C51FA">
                    <w:rPr>
                      <w:color w:val="000000"/>
                      <w:lang w:val="it-IT"/>
                    </w:rPr>
                    <w:t xml:space="preserve"> &lt;http://www.ncver.edu.au&gt; </w:t>
                  </w:r>
                </w:p>
              </w:txbxContent>
            </v:textbox>
          </v:shape>
        </w:pict>
      </w:r>
      <w:r w:rsidR="00FE4A2D" w:rsidRPr="00B07B55">
        <w:rPr>
          <w:lang w:val="en-GB"/>
        </w:rPr>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bookmarkStart w:id="18" w:name="_Toc495748330"/>
      <w:bookmarkStart w:id="19" w:name="_Toc495810630"/>
      <w:bookmarkStart w:id="20" w:name="_Toc6031787"/>
      <w:bookmarkStart w:id="21" w:name="_Toc6031844"/>
      <w:r w:rsidR="00FE4A2D" w:rsidRPr="00FF6682">
        <w:rPr>
          <w:lang w:val="en-GB"/>
        </w:rPr>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0F6232" w:rsidRPr="00FF6682" w:rsidRDefault="00EB1616" w:rsidP="000F6232">
      <w:pPr>
        <w:pStyle w:val="Abouttheresearchpubtitle"/>
        <w:rPr>
          <w:lang w:val="en-GB"/>
        </w:rPr>
      </w:pPr>
      <w:r>
        <w:rPr>
          <w:lang w:val="en-GB"/>
        </w:rPr>
        <w:t>Studying beyond age</w:t>
      </w:r>
      <w:r w:rsidR="00060506">
        <w:rPr>
          <w:lang w:val="en-GB"/>
        </w:rPr>
        <w:t xml:space="preserve"> 25: who does it and what do they</w:t>
      </w:r>
      <w:r>
        <w:rPr>
          <w:lang w:val="en-GB"/>
        </w:rPr>
        <w:t xml:space="preserve"> </w:t>
      </w:r>
      <w:r w:rsidR="005C57CE">
        <w:rPr>
          <w:lang w:val="en-GB"/>
        </w:rPr>
        <w:t>gain</w:t>
      </w:r>
      <w:r>
        <w:rPr>
          <w:lang w:val="en-GB"/>
        </w:rPr>
        <w:t>?</w:t>
      </w:r>
    </w:p>
    <w:p w:rsidR="000F6232" w:rsidRPr="00FF6682" w:rsidRDefault="000F6232" w:rsidP="000F6232">
      <w:pPr>
        <w:pStyle w:val="Heading3"/>
        <w:rPr>
          <w:lang w:val="en-GB"/>
        </w:rPr>
      </w:pPr>
      <w:r w:rsidRPr="00FF6682">
        <w:rPr>
          <w:lang w:val="it-IT"/>
        </w:rPr>
        <w:t>Michael Coelli, Domenico Tabasso and Rezida Zakirova</w:t>
      </w:r>
      <w:r w:rsidR="00FF6682">
        <w:rPr>
          <w:lang w:val="it-IT"/>
        </w:rPr>
        <w:t xml:space="preserve">, </w:t>
      </w:r>
      <w:r w:rsidRPr="00FF6682">
        <w:rPr>
          <w:lang w:val="en-GB"/>
        </w:rPr>
        <w:t>Department of Economics, University of Melbourne</w:t>
      </w:r>
      <w:r w:rsidR="0064101E">
        <w:rPr>
          <w:lang w:val="en-GB"/>
        </w:rPr>
        <w:t>,</w:t>
      </w:r>
      <w:r w:rsidRPr="00FF6682">
        <w:rPr>
          <w:lang w:val="en-GB"/>
        </w:rPr>
        <w:t xml:space="preserve"> and the Melbourne Institute of Applied Economic and Social Research</w:t>
      </w:r>
    </w:p>
    <w:p w:rsidR="000F6232" w:rsidRPr="00FF6682" w:rsidRDefault="00FF6682" w:rsidP="00FF6682">
      <w:pPr>
        <w:pStyle w:val="Text"/>
        <w:ind w:right="0"/>
        <w:rPr>
          <w:lang w:val="en-GB"/>
        </w:rPr>
      </w:pPr>
      <w:r>
        <w:rPr>
          <w:lang w:val="en-GB"/>
        </w:rPr>
        <w:t xml:space="preserve">Why should we keep </w:t>
      </w:r>
      <w:r w:rsidR="00C874D5">
        <w:rPr>
          <w:lang w:val="en-GB"/>
        </w:rPr>
        <w:t>studying beyond our mid-20s</w:t>
      </w:r>
      <w:r>
        <w:rPr>
          <w:lang w:val="en-GB"/>
        </w:rPr>
        <w:t xml:space="preserve">? </w:t>
      </w:r>
      <w:r w:rsidR="004A79B9">
        <w:rPr>
          <w:lang w:val="en-GB"/>
        </w:rPr>
        <w:t>After all, education and training at a younger age provide for the longest period over which the return on the investment can be harvested. On the other hand</w:t>
      </w:r>
      <w:r w:rsidR="00B55717">
        <w:rPr>
          <w:lang w:val="en-GB"/>
        </w:rPr>
        <w:t xml:space="preserve">, individuals in their </w:t>
      </w:r>
      <w:r w:rsidR="00C874D5">
        <w:rPr>
          <w:lang w:val="en-GB"/>
        </w:rPr>
        <w:t>40s</w:t>
      </w:r>
      <w:r w:rsidR="00B55717">
        <w:rPr>
          <w:lang w:val="en-GB"/>
        </w:rPr>
        <w:t xml:space="preserve"> (</w:t>
      </w:r>
      <w:r w:rsidR="004A79B9">
        <w:rPr>
          <w:lang w:val="en-GB"/>
        </w:rPr>
        <w:t xml:space="preserve">or even </w:t>
      </w:r>
      <w:r w:rsidR="00C874D5">
        <w:rPr>
          <w:lang w:val="en-GB"/>
        </w:rPr>
        <w:t>50s</w:t>
      </w:r>
      <w:r w:rsidR="004A79B9">
        <w:rPr>
          <w:lang w:val="en-GB"/>
        </w:rPr>
        <w:t>)</w:t>
      </w:r>
      <w:r w:rsidR="0064101E">
        <w:rPr>
          <w:lang w:val="en-GB"/>
        </w:rPr>
        <w:t xml:space="preserve"> </w:t>
      </w:r>
      <w:r w:rsidR="004A79B9">
        <w:rPr>
          <w:lang w:val="en-GB"/>
        </w:rPr>
        <w:t>can expect to work for another 20 years or so, allowing plenty of time to recoup the cost of the investment in education and training.</w:t>
      </w:r>
      <w:r w:rsidR="001C73D5">
        <w:rPr>
          <w:lang w:val="en-GB"/>
        </w:rPr>
        <w:t xml:space="preserve"> </w:t>
      </w:r>
    </w:p>
    <w:p w:rsidR="000F6232" w:rsidRPr="00FF6682" w:rsidRDefault="001F4451" w:rsidP="00FF6682">
      <w:pPr>
        <w:pStyle w:val="Text"/>
        <w:ind w:right="0"/>
        <w:rPr>
          <w:lang w:val="en-GB"/>
        </w:rPr>
      </w:pPr>
      <w:r>
        <w:rPr>
          <w:lang w:val="en-GB"/>
        </w:rPr>
        <w:t>Using data from the Household</w:t>
      </w:r>
      <w:r w:rsidR="00C874D5">
        <w:rPr>
          <w:lang w:val="en-GB"/>
        </w:rPr>
        <w:t>,</w:t>
      </w:r>
      <w:r>
        <w:rPr>
          <w:lang w:val="en-GB"/>
        </w:rPr>
        <w:t xml:space="preserve"> Income and Labour Dynamics </w:t>
      </w:r>
      <w:r w:rsidR="00C874D5">
        <w:rPr>
          <w:lang w:val="en-GB"/>
        </w:rPr>
        <w:t>in</w:t>
      </w:r>
      <w:r>
        <w:rPr>
          <w:lang w:val="en-GB"/>
        </w:rPr>
        <w:t xml:space="preserve"> Australia </w:t>
      </w:r>
      <w:r w:rsidR="0064101E">
        <w:rPr>
          <w:lang w:val="en-GB"/>
        </w:rPr>
        <w:t>(HILDA) S</w:t>
      </w:r>
      <w:r>
        <w:rPr>
          <w:lang w:val="en-GB"/>
        </w:rPr>
        <w:t>urvey and the Survey of Education and Training</w:t>
      </w:r>
      <w:r w:rsidR="00226BCD">
        <w:rPr>
          <w:lang w:val="en-GB"/>
        </w:rPr>
        <w:t xml:space="preserve"> (SET)</w:t>
      </w:r>
      <w:r>
        <w:rPr>
          <w:lang w:val="en-GB"/>
        </w:rPr>
        <w:t>, t</w:t>
      </w:r>
      <w:r w:rsidR="000F6232" w:rsidRPr="00FF6682">
        <w:rPr>
          <w:lang w:val="en-GB"/>
        </w:rPr>
        <w:t xml:space="preserve">his study investigates </w:t>
      </w:r>
      <w:r>
        <w:rPr>
          <w:lang w:val="en-GB"/>
        </w:rPr>
        <w:t>what prompts people to participate in education and training at more mature ages</w:t>
      </w:r>
      <w:r w:rsidR="00226BCD">
        <w:rPr>
          <w:lang w:val="en-GB"/>
        </w:rPr>
        <w:t>,</w:t>
      </w:r>
      <w:r>
        <w:rPr>
          <w:lang w:val="en-GB"/>
        </w:rPr>
        <w:t xml:space="preserve"> </w:t>
      </w:r>
      <w:r w:rsidR="000F6232" w:rsidRPr="00FF6682">
        <w:rPr>
          <w:lang w:val="en-GB"/>
        </w:rPr>
        <w:t xml:space="preserve">and </w:t>
      </w:r>
      <w:r>
        <w:rPr>
          <w:lang w:val="en-GB"/>
        </w:rPr>
        <w:t xml:space="preserve">the impact of this participation on </w:t>
      </w:r>
      <w:r w:rsidR="009A4E17">
        <w:rPr>
          <w:lang w:val="en-GB"/>
        </w:rPr>
        <w:t>their labour markets outcomes</w:t>
      </w:r>
      <w:r w:rsidR="000F6232" w:rsidRPr="00FF6682">
        <w:rPr>
          <w:lang w:val="en-GB"/>
        </w:rPr>
        <w:t xml:space="preserve">. The report describes the main characteristics of Australians </w:t>
      </w:r>
      <w:r w:rsidR="007B7800">
        <w:rPr>
          <w:lang w:val="en-GB"/>
        </w:rPr>
        <w:t>who</w:t>
      </w:r>
      <w:r w:rsidR="000F6232" w:rsidRPr="00FF6682">
        <w:rPr>
          <w:lang w:val="en-GB"/>
        </w:rPr>
        <w:t xml:space="preserve"> choose to participate in formal education at more mature ages, investigates a number of potenti</w:t>
      </w:r>
      <w:r w:rsidR="00C874D5">
        <w:rPr>
          <w:lang w:val="en-GB"/>
        </w:rPr>
        <w:t>al outcomes of such investments</w:t>
      </w:r>
      <w:r w:rsidR="000F6232" w:rsidRPr="00FF6682">
        <w:rPr>
          <w:lang w:val="en-GB"/>
        </w:rPr>
        <w:t xml:space="preserve"> and explores why Australian participation rates are higher than those in other </w:t>
      </w:r>
      <w:r w:rsidR="0064101E">
        <w:rPr>
          <w:lang w:val="en-GB"/>
        </w:rPr>
        <w:t>Organisation for Economic Co-operation and Development (</w:t>
      </w:r>
      <w:r w:rsidR="000F6232" w:rsidRPr="00FF6682">
        <w:rPr>
          <w:lang w:val="en-GB"/>
        </w:rPr>
        <w:t>OECD</w:t>
      </w:r>
      <w:r w:rsidR="0064101E">
        <w:rPr>
          <w:lang w:val="en-GB"/>
        </w:rPr>
        <w:t>)</w:t>
      </w:r>
      <w:r w:rsidR="000F6232" w:rsidRPr="00FF6682">
        <w:rPr>
          <w:lang w:val="en-GB"/>
        </w:rPr>
        <w:t xml:space="preserve"> countries.</w:t>
      </w:r>
      <w:r w:rsidR="00C36CB7">
        <w:rPr>
          <w:lang w:val="en-GB"/>
        </w:rPr>
        <w:t xml:space="preserve"> </w:t>
      </w:r>
      <w:r w:rsidR="007B7800">
        <w:rPr>
          <w:lang w:val="en-GB"/>
        </w:rPr>
        <w:t>T</w:t>
      </w:r>
      <w:r w:rsidR="00C36CB7">
        <w:rPr>
          <w:lang w:val="en-GB"/>
        </w:rPr>
        <w:t xml:space="preserve">he authors find </w:t>
      </w:r>
      <w:r w:rsidR="009F69B2">
        <w:rPr>
          <w:lang w:val="en-GB"/>
        </w:rPr>
        <w:t>that</w:t>
      </w:r>
      <w:r w:rsidR="00EA744D">
        <w:rPr>
          <w:lang w:val="en-GB"/>
        </w:rPr>
        <w:t xml:space="preserve"> more educated individuals </w:t>
      </w:r>
      <w:r w:rsidR="00C874D5">
        <w:rPr>
          <w:lang w:val="en-GB"/>
        </w:rPr>
        <w:t>a</w:t>
      </w:r>
      <w:r w:rsidR="009F69B2">
        <w:rPr>
          <w:lang w:val="en-GB"/>
        </w:rPr>
        <w:t>re</w:t>
      </w:r>
      <w:r w:rsidR="00EA744D">
        <w:rPr>
          <w:lang w:val="en-GB"/>
        </w:rPr>
        <w:t xml:space="preserve"> more likely to undertake further education or training.</w:t>
      </w:r>
      <w:r w:rsidR="00351417">
        <w:rPr>
          <w:lang w:val="en-GB"/>
        </w:rPr>
        <w:t xml:space="preserve"> </w:t>
      </w:r>
    </w:p>
    <w:p w:rsidR="000F6232" w:rsidRPr="00FF6682" w:rsidRDefault="000F6232" w:rsidP="000F6232">
      <w:pPr>
        <w:pStyle w:val="Keymessages"/>
        <w:rPr>
          <w:lang w:val="en-GB"/>
        </w:rPr>
      </w:pPr>
      <w:r w:rsidRPr="00FF6682">
        <w:rPr>
          <w:lang w:val="en-GB"/>
        </w:rPr>
        <w:t>Key messages</w:t>
      </w:r>
    </w:p>
    <w:p w:rsidR="000F6232" w:rsidRPr="00FF6682" w:rsidRDefault="007A027B" w:rsidP="000F6232">
      <w:pPr>
        <w:pStyle w:val="Dotpoint1"/>
        <w:numPr>
          <w:ilvl w:val="0"/>
          <w:numId w:val="37"/>
        </w:numPr>
        <w:tabs>
          <w:tab w:val="clear" w:pos="284"/>
        </w:tabs>
        <w:ind w:left="284" w:hanging="284"/>
        <w:rPr>
          <w:lang w:val="en-GB"/>
        </w:rPr>
      </w:pPr>
      <w:r>
        <w:rPr>
          <w:lang w:val="en-GB"/>
        </w:rPr>
        <w:t xml:space="preserve">For males, the </w:t>
      </w:r>
      <w:r w:rsidR="003807E5">
        <w:rPr>
          <w:lang w:val="en-GB"/>
        </w:rPr>
        <w:t>desire to change the</w:t>
      </w:r>
      <w:r w:rsidR="0064101E">
        <w:rPr>
          <w:lang w:val="en-GB"/>
        </w:rPr>
        <w:t xml:space="preserve">ir current employment situation </w:t>
      </w:r>
      <w:r w:rsidR="003807E5">
        <w:rPr>
          <w:lang w:val="en-GB"/>
        </w:rPr>
        <w:t>(</w:t>
      </w:r>
      <w:r w:rsidR="0064101E">
        <w:rPr>
          <w:lang w:val="en-GB"/>
        </w:rPr>
        <w:t>for example,</w:t>
      </w:r>
      <w:r w:rsidR="003807E5">
        <w:rPr>
          <w:lang w:val="en-GB"/>
        </w:rPr>
        <w:t xml:space="preserve"> gain a promotion or </w:t>
      </w:r>
      <w:r w:rsidR="0064101E">
        <w:rPr>
          <w:lang w:val="en-GB"/>
        </w:rPr>
        <w:t>obtain</w:t>
      </w:r>
      <w:r w:rsidR="00905571">
        <w:rPr>
          <w:lang w:val="en-GB"/>
        </w:rPr>
        <w:t xml:space="preserve"> a different job</w:t>
      </w:r>
      <w:r w:rsidR="00D2113B">
        <w:rPr>
          <w:lang w:val="en-GB"/>
        </w:rPr>
        <w:t xml:space="preserve">) was a key </w:t>
      </w:r>
      <w:r>
        <w:rPr>
          <w:lang w:val="en-GB"/>
        </w:rPr>
        <w:t>motivator</w:t>
      </w:r>
      <w:r w:rsidR="0064101E">
        <w:rPr>
          <w:lang w:val="en-GB"/>
        </w:rPr>
        <w:t xml:space="preserve"> for</w:t>
      </w:r>
      <w:r w:rsidR="00066D15">
        <w:rPr>
          <w:lang w:val="en-GB"/>
        </w:rPr>
        <w:t xml:space="preserve"> studying after the age of 25 years</w:t>
      </w:r>
      <w:r w:rsidR="00D870DF">
        <w:rPr>
          <w:lang w:val="en-GB"/>
        </w:rPr>
        <w:t>. F</w:t>
      </w:r>
      <w:r>
        <w:rPr>
          <w:lang w:val="en-GB"/>
        </w:rPr>
        <w:t>or</w:t>
      </w:r>
      <w:r w:rsidR="00905571">
        <w:rPr>
          <w:lang w:val="en-GB"/>
        </w:rPr>
        <w:t xml:space="preserve"> females, simply getting a job wa</w:t>
      </w:r>
      <w:r>
        <w:rPr>
          <w:lang w:val="en-GB"/>
        </w:rPr>
        <w:t xml:space="preserve">s </w:t>
      </w:r>
      <w:r w:rsidR="00D870DF">
        <w:rPr>
          <w:lang w:val="en-GB"/>
        </w:rPr>
        <w:t xml:space="preserve">a </w:t>
      </w:r>
      <w:r w:rsidR="00066D15">
        <w:rPr>
          <w:lang w:val="en-GB"/>
        </w:rPr>
        <w:t xml:space="preserve">major </w:t>
      </w:r>
      <w:r>
        <w:rPr>
          <w:lang w:val="en-GB"/>
        </w:rPr>
        <w:t>drive</w:t>
      </w:r>
      <w:r w:rsidR="00587FE2">
        <w:rPr>
          <w:lang w:val="en-GB"/>
        </w:rPr>
        <w:t>r</w:t>
      </w:r>
      <w:r w:rsidR="00066D15">
        <w:rPr>
          <w:lang w:val="en-GB"/>
        </w:rPr>
        <w:t xml:space="preserve">, especially for </w:t>
      </w:r>
      <w:r w:rsidR="00D870DF">
        <w:rPr>
          <w:lang w:val="en-GB"/>
        </w:rPr>
        <w:t xml:space="preserve">women </w:t>
      </w:r>
      <w:r w:rsidR="007804EA">
        <w:rPr>
          <w:lang w:val="en-GB"/>
        </w:rPr>
        <w:t>who were divorced or separated</w:t>
      </w:r>
      <w:r>
        <w:rPr>
          <w:lang w:val="en-GB"/>
        </w:rPr>
        <w:t xml:space="preserve">. </w:t>
      </w:r>
      <w:r w:rsidR="000F6232" w:rsidRPr="00FF6682">
        <w:rPr>
          <w:lang w:val="en-GB"/>
        </w:rPr>
        <w:t xml:space="preserve"> </w:t>
      </w:r>
    </w:p>
    <w:p w:rsidR="006C0127" w:rsidRDefault="00012E4E" w:rsidP="000F6232">
      <w:pPr>
        <w:pStyle w:val="Dotpoint1"/>
        <w:numPr>
          <w:ilvl w:val="0"/>
          <w:numId w:val="37"/>
        </w:numPr>
        <w:tabs>
          <w:tab w:val="clear" w:pos="284"/>
        </w:tabs>
        <w:ind w:left="284" w:hanging="284"/>
        <w:rPr>
          <w:lang w:val="en-GB"/>
        </w:rPr>
      </w:pPr>
      <w:r>
        <w:rPr>
          <w:lang w:val="en-GB"/>
        </w:rPr>
        <w:t>Labour market outcomes differ</w:t>
      </w:r>
      <w:r w:rsidR="001E221C">
        <w:rPr>
          <w:lang w:val="en-GB"/>
        </w:rPr>
        <w:t>ed</w:t>
      </w:r>
      <w:r>
        <w:rPr>
          <w:lang w:val="en-GB"/>
        </w:rPr>
        <w:t xml:space="preserve"> </w:t>
      </w:r>
      <w:r w:rsidR="00C874D5">
        <w:rPr>
          <w:lang w:val="en-GB"/>
        </w:rPr>
        <w:t>also</w:t>
      </w:r>
      <w:r>
        <w:rPr>
          <w:lang w:val="en-GB"/>
        </w:rPr>
        <w:t xml:space="preserve"> by gender</w:t>
      </w:r>
      <w:r w:rsidR="006C0127">
        <w:rPr>
          <w:lang w:val="en-GB"/>
        </w:rPr>
        <w:t xml:space="preserve">. For women who were </w:t>
      </w:r>
      <w:r w:rsidR="007804EA">
        <w:rPr>
          <w:lang w:val="en-GB"/>
        </w:rPr>
        <w:t xml:space="preserve">not employed </w:t>
      </w:r>
      <w:r w:rsidR="006C0127">
        <w:rPr>
          <w:lang w:val="en-GB"/>
        </w:rPr>
        <w:t>previously, enrolling in</w:t>
      </w:r>
      <w:r w:rsidR="007804EA">
        <w:rPr>
          <w:lang w:val="en-GB"/>
        </w:rPr>
        <w:t>, or completing,</w:t>
      </w:r>
      <w:r w:rsidR="006C0127">
        <w:rPr>
          <w:lang w:val="en-GB"/>
        </w:rPr>
        <w:t xml:space="preserve"> a </w:t>
      </w:r>
      <w:r w:rsidR="0064101E">
        <w:rPr>
          <w:lang w:val="en-GB"/>
        </w:rPr>
        <w:t>vocational education and training (</w:t>
      </w:r>
      <w:r w:rsidR="006C0127">
        <w:rPr>
          <w:lang w:val="en-GB"/>
        </w:rPr>
        <w:t>VET</w:t>
      </w:r>
      <w:r w:rsidR="0064101E">
        <w:rPr>
          <w:lang w:val="en-GB"/>
        </w:rPr>
        <w:t>)</w:t>
      </w:r>
      <w:r w:rsidR="006C0127">
        <w:rPr>
          <w:lang w:val="en-GB"/>
        </w:rPr>
        <w:t xml:space="preserve"> course increased the likelih</w:t>
      </w:r>
      <w:r w:rsidR="007804EA">
        <w:rPr>
          <w:lang w:val="en-GB"/>
        </w:rPr>
        <w:t xml:space="preserve">ood of finding a job by around one-third. For men, </w:t>
      </w:r>
      <w:r w:rsidR="005C0DD7">
        <w:rPr>
          <w:lang w:val="en-GB"/>
        </w:rPr>
        <w:t xml:space="preserve">completion of university qualifications resulted in higher hourly wages. </w:t>
      </w:r>
    </w:p>
    <w:p w:rsidR="000F6232" w:rsidRPr="005C0DD7" w:rsidRDefault="006C0127" w:rsidP="000F6232">
      <w:pPr>
        <w:pStyle w:val="Dotpoint1"/>
        <w:numPr>
          <w:ilvl w:val="0"/>
          <w:numId w:val="37"/>
        </w:numPr>
        <w:tabs>
          <w:tab w:val="clear" w:pos="284"/>
        </w:tabs>
        <w:ind w:left="284" w:hanging="284"/>
        <w:rPr>
          <w:lang w:val="en-GB"/>
        </w:rPr>
      </w:pPr>
      <w:r w:rsidRPr="005C0DD7">
        <w:rPr>
          <w:lang w:val="en-GB"/>
        </w:rPr>
        <w:t xml:space="preserve">A </w:t>
      </w:r>
      <w:r w:rsidR="00905571" w:rsidRPr="005C0DD7">
        <w:rPr>
          <w:lang w:val="en-GB"/>
        </w:rPr>
        <w:t>shared</w:t>
      </w:r>
      <w:r w:rsidRPr="005C0DD7">
        <w:rPr>
          <w:lang w:val="en-GB"/>
        </w:rPr>
        <w:t xml:space="preserve"> outc</w:t>
      </w:r>
      <w:r w:rsidR="001E221C">
        <w:rPr>
          <w:lang w:val="en-GB"/>
        </w:rPr>
        <w:t>ome for both males and females wa</w:t>
      </w:r>
      <w:r w:rsidRPr="005C0DD7">
        <w:rPr>
          <w:lang w:val="en-GB"/>
        </w:rPr>
        <w:t>s a sustained increase in j</w:t>
      </w:r>
      <w:r w:rsidR="000F6232" w:rsidRPr="005C0DD7">
        <w:rPr>
          <w:lang w:val="en-GB"/>
        </w:rPr>
        <w:t xml:space="preserve">ob satisfaction </w:t>
      </w:r>
      <w:r w:rsidRPr="005C0DD7">
        <w:rPr>
          <w:lang w:val="en-GB"/>
        </w:rPr>
        <w:t xml:space="preserve">following the </w:t>
      </w:r>
      <w:r w:rsidR="00C874D5">
        <w:rPr>
          <w:lang w:val="en-GB"/>
        </w:rPr>
        <w:t xml:space="preserve">course of </w:t>
      </w:r>
      <w:r w:rsidRPr="005C0DD7">
        <w:rPr>
          <w:lang w:val="en-GB"/>
        </w:rPr>
        <w:t>study</w:t>
      </w:r>
      <w:r w:rsidR="002D2BF3">
        <w:rPr>
          <w:lang w:val="en-GB"/>
        </w:rPr>
        <w:t>,</w:t>
      </w:r>
      <w:r w:rsidRPr="005C0DD7">
        <w:rPr>
          <w:lang w:val="en-GB"/>
        </w:rPr>
        <w:t xml:space="preserve"> which may be </w:t>
      </w:r>
      <w:r w:rsidR="000F6232" w:rsidRPr="005C0DD7">
        <w:rPr>
          <w:lang w:val="en-GB"/>
        </w:rPr>
        <w:t xml:space="preserve">related to increases in levels of skills </w:t>
      </w:r>
      <w:r w:rsidR="00EA744D" w:rsidRPr="005C0DD7">
        <w:rPr>
          <w:lang w:val="en-GB"/>
        </w:rPr>
        <w:t>use</w:t>
      </w:r>
      <w:r w:rsidR="000F6232" w:rsidRPr="005C0DD7">
        <w:rPr>
          <w:lang w:val="en-GB"/>
        </w:rPr>
        <w:t xml:space="preserve"> in the job. The increases in reported skill</w:t>
      </w:r>
      <w:r w:rsidR="00C874D5">
        <w:rPr>
          <w:lang w:val="en-GB"/>
        </w:rPr>
        <w:t>s</w:t>
      </w:r>
      <w:r w:rsidR="000F6232" w:rsidRPr="005C0DD7">
        <w:rPr>
          <w:lang w:val="en-GB"/>
        </w:rPr>
        <w:t xml:space="preserve"> use during and after study are sizeable, particularly for men, and persist after training has been completed.</w:t>
      </w:r>
    </w:p>
    <w:p w:rsidR="009E231A" w:rsidRDefault="004A79B9" w:rsidP="00EB199B">
      <w:pPr>
        <w:pStyle w:val="Text"/>
        <w:ind w:right="141"/>
        <w:rPr>
          <w:lang w:val="en-GB"/>
        </w:rPr>
      </w:pPr>
      <w:r>
        <w:rPr>
          <w:lang w:val="en-GB"/>
        </w:rPr>
        <w:t>Overall, Coelli and his colleagues conclude that</w:t>
      </w:r>
      <w:r w:rsidR="002D2BF3">
        <w:rPr>
          <w:lang w:val="en-GB"/>
        </w:rPr>
        <w:t xml:space="preserve"> the positive effects of mature-</w:t>
      </w:r>
      <w:r>
        <w:rPr>
          <w:lang w:val="en-GB"/>
        </w:rPr>
        <w:t>age education are quite modes</w:t>
      </w:r>
      <w:r w:rsidR="002D2BF3">
        <w:rPr>
          <w:lang w:val="en-GB"/>
        </w:rPr>
        <w:t>t</w:t>
      </w:r>
      <w:r>
        <w:rPr>
          <w:lang w:val="en-GB"/>
        </w:rPr>
        <w:t>, although there are clear examples of positive payoff</w:t>
      </w:r>
      <w:r w:rsidR="002D2BF3">
        <w:rPr>
          <w:lang w:val="en-GB"/>
        </w:rPr>
        <w:t xml:space="preserve"> </w:t>
      </w:r>
      <w:r>
        <w:rPr>
          <w:lang w:val="en-GB"/>
        </w:rPr>
        <w:t>—</w:t>
      </w:r>
      <w:r w:rsidR="002D2BF3">
        <w:rPr>
          <w:lang w:val="en-GB"/>
        </w:rPr>
        <w:t xml:space="preserve"> </w:t>
      </w:r>
      <w:r>
        <w:rPr>
          <w:lang w:val="en-GB"/>
        </w:rPr>
        <w:t>women who are not employed, for example. They suggest this supports the notion of targeted, as opposed to universal, government</w:t>
      </w:r>
      <w:r w:rsidR="00EB199B">
        <w:rPr>
          <w:lang w:val="en-GB"/>
        </w:rPr>
        <w:t> </w:t>
      </w:r>
      <w:r>
        <w:rPr>
          <w:lang w:val="en-GB"/>
        </w:rPr>
        <w:t>support.</w:t>
      </w:r>
      <w:r w:rsidR="001C73D5">
        <w:rPr>
          <w:lang w:val="en-GB"/>
        </w:rPr>
        <w:t xml:space="preserve"> </w:t>
      </w:r>
    </w:p>
    <w:p w:rsidR="004A79B9" w:rsidRPr="00FF6682" w:rsidRDefault="004A79B9" w:rsidP="0048643A">
      <w:pPr>
        <w:pStyle w:val="Text"/>
        <w:rPr>
          <w:lang w:val="en-GB"/>
        </w:rPr>
      </w:pPr>
    </w:p>
    <w:p w:rsidR="009E231A" w:rsidRPr="00B07B55" w:rsidRDefault="00FE4A2D" w:rsidP="0048643A">
      <w:pPr>
        <w:pStyle w:val="Text"/>
        <w:rPr>
          <w:lang w:val="en-GB"/>
        </w:rPr>
      </w:pPr>
      <w:r w:rsidRPr="00FF6682">
        <w:rPr>
          <w:lang w:val="en-GB"/>
        </w:rPr>
        <w:t>Tom Karmel</w:t>
      </w:r>
      <w:r w:rsidRPr="00FF6682">
        <w:rPr>
          <w:lang w:val="en-GB"/>
        </w:rPr>
        <w:br/>
        <w:t>Managing Director, NCVER</w:t>
      </w:r>
    </w:p>
    <w:p w:rsidR="00E94BDE" w:rsidRDefault="00177827">
      <w:pPr>
        <w:spacing w:before="0" w:line="240" w:lineRule="auto"/>
        <w:rPr>
          <w:lang w:val="en-GB"/>
        </w:rPr>
      </w:pPr>
      <w:r w:rsidRPr="00B07B55">
        <w:rPr>
          <w:lang w:val="en-GB"/>
        </w:rPr>
        <w:br w:type="page"/>
      </w:r>
      <w:r w:rsidR="0073677C">
        <w:rPr>
          <w:lang w:val="en-GB"/>
        </w:rPr>
        <w:lastRenderedPageBreak/>
        <w:br w:type="page"/>
      </w:r>
    </w:p>
    <w:p w:rsidR="0073677C" w:rsidRDefault="0073677C">
      <w:pPr>
        <w:spacing w:before="0" w:line="240" w:lineRule="auto"/>
        <w:rPr>
          <w:lang w:val="en-GB"/>
        </w:rPr>
        <w:sectPr w:rsidR="0073677C" w:rsidSect="00E650F2">
          <w:footerReference w:type="default" r:id="rId11"/>
          <w:type w:val="continuous"/>
          <w:pgSz w:w="11907" w:h="16840" w:code="9"/>
          <w:pgMar w:top="1276" w:right="1701" w:bottom="1276" w:left="1418" w:header="709" w:footer="556" w:gutter="0"/>
          <w:cols w:space="708"/>
          <w:docGrid w:linePitch="360"/>
        </w:sectPr>
      </w:pPr>
    </w:p>
    <w:p w:rsidR="009E231A" w:rsidRPr="00B07B55" w:rsidRDefault="00FE4A2D" w:rsidP="00874DA5">
      <w:pPr>
        <w:pStyle w:val="Contents"/>
        <w:rPr>
          <w:lang w:val="en-GB"/>
        </w:rPr>
      </w:pPr>
      <w:bookmarkStart w:id="22" w:name="_Toc98394880"/>
      <w:bookmarkStart w:id="23" w:name="_Toc296423683"/>
      <w:bookmarkStart w:id="24" w:name="_Toc296497514"/>
      <w:r w:rsidRPr="00B07B55">
        <w:rPr>
          <w:lang w:val="en-GB"/>
        </w:rPr>
        <w:lastRenderedPageBreak/>
        <w:t>Contents</w:t>
      </w:r>
      <w:bookmarkEnd w:id="22"/>
      <w:bookmarkEnd w:id="23"/>
      <w:bookmarkEnd w:id="24"/>
    </w:p>
    <w:p w:rsidR="00E94BDE" w:rsidRDefault="0067274E">
      <w:pPr>
        <w:pStyle w:val="TOC1"/>
        <w:rPr>
          <w:rFonts w:asciiTheme="minorHAnsi" w:eastAsiaTheme="minorEastAsia" w:hAnsiTheme="minorHAnsi" w:cstheme="minorBidi"/>
          <w:color w:val="auto"/>
          <w:sz w:val="22"/>
          <w:szCs w:val="22"/>
          <w:lang w:eastAsia="en-AU"/>
        </w:rPr>
      </w:pPr>
      <w:r w:rsidRPr="0067274E">
        <w:rPr>
          <w:rFonts w:ascii="Avant Garde" w:hAnsi="Avant Garde"/>
          <w:lang w:val="en-GB"/>
        </w:rPr>
        <w:fldChar w:fldCharType="begin"/>
      </w:r>
      <w:r w:rsidR="00FE4A2D" w:rsidRPr="00B07B55">
        <w:rPr>
          <w:rFonts w:ascii="Avant Garde" w:hAnsi="Avant Garde"/>
          <w:lang w:val="en-GB"/>
        </w:rPr>
        <w:instrText xml:space="preserve"> TOC \o "1-2" </w:instrText>
      </w:r>
      <w:r w:rsidRPr="0067274E">
        <w:rPr>
          <w:rFonts w:ascii="Avant Garde" w:hAnsi="Avant Garde"/>
          <w:lang w:val="en-GB"/>
        </w:rPr>
        <w:fldChar w:fldCharType="separate"/>
      </w:r>
      <w:r w:rsidR="00E94BDE" w:rsidRPr="00C62DF2">
        <w:rPr>
          <w:lang w:val="en-GB"/>
        </w:rPr>
        <w:t>Tables</w:t>
      </w:r>
      <w:r w:rsidR="00226BCD">
        <w:rPr>
          <w:lang w:val="en-GB"/>
        </w:rPr>
        <w:t xml:space="preserve"> and figures</w:t>
      </w:r>
      <w:r w:rsidR="00E94BDE">
        <w:tab/>
      </w:r>
      <w:r>
        <w:fldChar w:fldCharType="begin"/>
      </w:r>
      <w:r w:rsidR="00E94BDE">
        <w:instrText xml:space="preserve"> PAGEREF _Toc334101002 \h </w:instrText>
      </w:r>
      <w:r>
        <w:fldChar w:fldCharType="separate"/>
      </w:r>
      <w:r w:rsidR="00D50701">
        <w:t>6</w:t>
      </w:r>
      <w:r>
        <w:fldChar w:fldCharType="end"/>
      </w:r>
    </w:p>
    <w:p w:rsidR="00E94BDE" w:rsidRDefault="00E94BDE">
      <w:pPr>
        <w:pStyle w:val="TOC1"/>
        <w:rPr>
          <w:rFonts w:asciiTheme="minorHAnsi" w:eastAsiaTheme="minorEastAsia" w:hAnsiTheme="minorHAnsi" w:cstheme="minorBidi"/>
          <w:color w:val="auto"/>
          <w:sz w:val="22"/>
          <w:szCs w:val="22"/>
          <w:lang w:eastAsia="en-AU"/>
        </w:rPr>
      </w:pPr>
      <w:r>
        <w:t>Executive summary</w:t>
      </w:r>
      <w:r>
        <w:tab/>
      </w:r>
      <w:r w:rsidR="0067274E">
        <w:fldChar w:fldCharType="begin"/>
      </w:r>
      <w:r>
        <w:instrText xml:space="preserve"> PAGEREF _Toc334101004 \h </w:instrText>
      </w:r>
      <w:r w:rsidR="0067274E">
        <w:fldChar w:fldCharType="separate"/>
      </w:r>
      <w:r w:rsidR="00D50701">
        <w:t>8</w:t>
      </w:r>
      <w:r w:rsidR="0067274E">
        <w:fldChar w:fldCharType="end"/>
      </w:r>
    </w:p>
    <w:p w:rsidR="00E94BDE" w:rsidRDefault="00E94BDE">
      <w:pPr>
        <w:pStyle w:val="TOC1"/>
        <w:rPr>
          <w:rFonts w:asciiTheme="minorHAnsi" w:eastAsiaTheme="minorEastAsia" w:hAnsiTheme="minorHAnsi" w:cstheme="minorBidi"/>
          <w:color w:val="auto"/>
          <w:sz w:val="22"/>
          <w:szCs w:val="22"/>
          <w:lang w:eastAsia="en-AU"/>
        </w:rPr>
      </w:pPr>
      <w:r w:rsidRPr="00C62DF2">
        <w:rPr>
          <w:lang w:val="en-GB"/>
        </w:rPr>
        <w:t>Introduction</w:t>
      </w:r>
      <w:r>
        <w:tab/>
      </w:r>
      <w:r w:rsidR="0067274E">
        <w:fldChar w:fldCharType="begin"/>
      </w:r>
      <w:r>
        <w:instrText xml:space="preserve"> PAGEREF _Toc334101007 \h </w:instrText>
      </w:r>
      <w:r w:rsidR="0067274E">
        <w:fldChar w:fldCharType="separate"/>
      </w:r>
      <w:r w:rsidR="00D50701">
        <w:t>11</w:t>
      </w:r>
      <w:r w:rsidR="0067274E">
        <w:fldChar w:fldCharType="end"/>
      </w:r>
    </w:p>
    <w:p w:rsidR="00E94BDE" w:rsidRDefault="00E94BDE">
      <w:pPr>
        <w:pStyle w:val="TOC1"/>
        <w:rPr>
          <w:rFonts w:asciiTheme="minorHAnsi" w:eastAsiaTheme="minorEastAsia" w:hAnsiTheme="minorHAnsi" w:cstheme="minorBidi"/>
          <w:color w:val="auto"/>
          <w:sz w:val="22"/>
          <w:szCs w:val="22"/>
          <w:lang w:eastAsia="en-AU"/>
        </w:rPr>
      </w:pPr>
      <w:r w:rsidRPr="00C62DF2">
        <w:rPr>
          <w:lang w:val="en-GB"/>
        </w:rPr>
        <w:t xml:space="preserve">Related </w:t>
      </w:r>
      <w:r>
        <w:t>literature</w:t>
      </w:r>
      <w:r>
        <w:tab/>
      </w:r>
      <w:r w:rsidR="0067274E">
        <w:fldChar w:fldCharType="begin"/>
      </w:r>
      <w:r>
        <w:instrText xml:space="preserve"> PAGEREF _Toc334101008 \h </w:instrText>
      </w:r>
      <w:r w:rsidR="0067274E">
        <w:fldChar w:fldCharType="separate"/>
      </w:r>
      <w:r w:rsidR="00D50701">
        <w:t>13</w:t>
      </w:r>
      <w:r w:rsidR="0067274E">
        <w:fldChar w:fldCharType="end"/>
      </w:r>
    </w:p>
    <w:p w:rsidR="00E94BDE" w:rsidRDefault="00E94BDE">
      <w:pPr>
        <w:pStyle w:val="TOC1"/>
        <w:rPr>
          <w:rFonts w:asciiTheme="minorHAnsi" w:eastAsiaTheme="minorEastAsia" w:hAnsiTheme="minorHAnsi" w:cstheme="minorBidi"/>
          <w:color w:val="auto"/>
          <w:sz w:val="22"/>
          <w:szCs w:val="22"/>
          <w:lang w:eastAsia="en-AU"/>
        </w:rPr>
      </w:pPr>
      <w:r w:rsidRPr="00C62DF2">
        <w:rPr>
          <w:lang w:val="en-GB"/>
        </w:rPr>
        <w:t>Data and participation rates</w:t>
      </w:r>
      <w:r>
        <w:tab/>
      </w:r>
      <w:r w:rsidR="0067274E">
        <w:fldChar w:fldCharType="begin"/>
      </w:r>
      <w:r>
        <w:instrText xml:space="preserve"> PAGEREF _Toc334101009 \h </w:instrText>
      </w:r>
      <w:r w:rsidR="0067274E">
        <w:fldChar w:fldCharType="separate"/>
      </w:r>
      <w:r w:rsidR="00D50701">
        <w:t>16</w:t>
      </w:r>
      <w:r w:rsidR="0067274E">
        <w:fldChar w:fldCharType="end"/>
      </w:r>
    </w:p>
    <w:p w:rsidR="00E94BDE" w:rsidRDefault="00E94BDE">
      <w:pPr>
        <w:pStyle w:val="TOC2"/>
        <w:rPr>
          <w:rFonts w:asciiTheme="minorHAnsi" w:eastAsiaTheme="minorEastAsia" w:hAnsiTheme="minorHAnsi" w:cstheme="minorBidi"/>
          <w:color w:val="auto"/>
          <w:sz w:val="22"/>
          <w:szCs w:val="22"/>
          <w:lang w:eastAsia="en-AU"/>
        </w:rPr>
      </w:pPr>
      <w:r w:rsidRPr="00C62DF2">
        <w:rPr>
          <w:lang w:val="en-GB"/>
        </w:rPr>
        <w:t>The British data</w:t>
      </w:r>
      <w:r>
        <w:tab/>
      </w:r>
      <w:r w:rsidR="0067274E">
        <w:fldChar w:fldCharType="begin"/>
      </w:r>
      <w:r>
        <w:instrText xml:space="preserve"> PAGEREF _Toc334101010 \h </w:instrText>
      </w:r>
      <w:r w:rsidR="0067274E">
        <w:fldChar w:fldCharType="separate"/>
      </w:r>
      <w:r w:rsidR="00D50701">
        <w:t>21</w:t>
      </w:r>
      <w:r w:rsidR="0067274E">
        <w:fldChar w:fldCharType="end"/>
      </w:r>
    </w:p>
    <w:p w:rsidR="00E94BDE" w:rsidRDefault="00E94BDE">
      <w:pPr>
        <w:pStyle w:val="TOC1"/>
        <w:rPr>
          <w:rFonts w:asciiTheme="minorHAnsi" w:eastAsiaTheme="minorEastAsia" w:hAnsiTheme="minorHAnsi" w:cstheme="minorBidi"/>
          <w:color w:val="auto"/>
          <w:sz w:val="22"/>
          <w:szCs w:val="22"/>
          <w:lang w:eastAsia="en-AU"/>
        </w:rPr>
      </w:pPr>
      <w:r w:rsidRPr="00C62DF2">
        <w:rPr>
          <w:lang w:val="en-GB"/>
        </w:rPr>
        <w:t>Methodology</w:t>
      </w:r>
      <w:r>
        <w:tab/>
      </w:r>
      <w:r w:rsidR="0067274E">
        <w:fldChar w:fldCharType="begin"/>
      </w:r>
      <w:r>
        <w:instrText xml:space="preserve"> PAGEREF _Toc334101011 \h </w:instrText>
      </w:r>
      <w:r w:rsidR="0067274E">
        <w:fldChar w:fldCharType="separate"/>
      </w:r>
      <w:r w:rsidR="00D50701">
        <w:t>25</w:t>
      </w:r>
      <w:r w:rsidR="0067274E">
        <w:fldChar w:fldCharType="end"/>
      </w:r>
    </w:p>
    <w:p w:rsidR="00E94BDE" w:rsidRDefault="00E94BDE">
      <w:pPr>
        <w:pStyle w:val="TOC1"/>
        <w:rPr>
          <w:rFonts w:asciiTheme="minorHAnsi" w:eastAsiaTheme="minorEastAsia" w:hAnsiTheme="minorHAnsi" w:cstheme="minorBidi"/>
          <w:color w:val="auto"/>
          <w:sz w:val="22"/>
          <w:szCs w:val="22"/>
          <w:lang w:eastAsia="en-AU"/>
        </w:rPr>
      </w:pPr>
      <w:r w:rsidRPr="00C62DF2">
        <w:rPr>
          <w:lang w:val="en-GB"/>
        </w:rPr>
        <w:t>Multivariate regressions results</w:t>
      </w:r>
      <w:r>
        <w:tab/>
      </w:r>
      <w:r w:rsidR="0067274E">
        <w:fldChar w:fldCharType="begin"/>
      </w:r>
      <w:r>
        <w:instrText xml:space="preserve"> PAGEREF _Toc334101012 \h </w:instrText>
      </w:r>
      <w:r w:rsidR="0067274E">
        <w:fldChar w:fldCharType="separate"/>
      </w:r>
      <w:r w:rsidR="00D50701">
        <w:t>28</w:t>
      </w:r>
      <w:r w:rsidR="0067274E">
        <w:fldChar w:fldCharType="end"/>
      </w:r>
    </w:p>
    <w:p w:rsidR="00E94BDE" w:rsidRDefault="00E94BDE">
      <w:pPr>
        <w:pStyle w:val="TOC2"/>
        <w:rPr>
          <w:rFonts w:asciiTheme="minorHAnsi" w:eastAsiaTheme="minorEastAsia" w:hAnsiTheme="minorHAnsi" w:cstheme="minorBidi"/>
          <w:color w:val="auto"/>
          <w:sz w:val="22"/>
          <w:szCs w:val="22"/>
          <w:lang w:eastAsia="en-AU"/>
        </w:rPr>
      </w:pPr>
      <w:r w:rsidRPr="00C62DF2">
        <w:rPr>
          <w:lang w:val="en-GB"/>
        </w:rPr>
        <w:t>The decision to enrol in education</w:t>
      </w:r>
      <w:r>
        <w:tab/>
      </w:r>
      <w:r w:rsidR="0067274E">
        <w:fldChar w:fldCharType="begin"/>
      </w:r>
      <w:r>
        <w:instrText xml:space="preserve"> PAGEREF _Toc334101013 \h </w:instrText>
      </w:r>
      <w:r w:rsidR="0067274E">
        <w:fldChar w:fldCharType="separate"/>
      </w:r>
      <w:r w:rsidR="00D50701">
        <w:t>28</w:t>
      </w:r>
      <w:r w:rsidR="0067274E">
        <w:fldChar w:fldCharType="end"/>
      </w:r>
    </w:p>
    <w:p w:rsidR="00E94BDE" w:rsidRDefault="00E94BDE">
      <w:pPr>
        <w:pStyle w:val="TOC2"/>
        <w:rPr>
          <w:rFonts w:asciiTheme="minorHAnsi" w:eastAsiaTheme="minorEastAsia" w:hAnsiTheme="minorHAnsi" w:cstheme="minorBidi"/>
          <w:color w:val="auto"/>
          <w:sz w:val="22"/>
          <w:szCs w:val="22"/>
          <w:lang w:eastAsia="en-AU"/>
        </w:rPr>
      </w:pPr>
      <w:r w:rsidRPr="00C62DF2">
        <w:rPr>
          <w:lang w:val="en-GB"/>
        </w:rPr>
        <w:t>The outcomes of education</w:t>
      </w:r>
      <w:r>
        <w:tab/>
      </w:r>
      <w:r w:rsidR="0067274E">
        <w:fldChar w:fldCharType="begin"/>
      </w:r>
      <w:r>
        <w:instrText xml:space="preserve"> PAGEREF _Toc334101014 \h </w:instrText>
      </w:r>
      <w:r w:rsidR="0067274E">
        <w:fldChar w:fldCharType="separate"/>
      </w:r>
      <w:r w:rsidR="00D50701">
        <w:t>33</w:t>
      </w:r>
      <w:r w:rsidR="0067274E">
        <w:fldChar w:fldCharType="end"/>
      </w:r>
    </w:p>
    <w:p w:rsidR="00E94BDE" w:rsidRDefault="00E94BDE">
      <w:pPr>
        <w:pStyle w:val="TOC2"/>
        <w:rPr>
          <w:rFonts w:asciiTheme="minorHAnsi" w:eastAsiaTheme="minorEastAsia" w:hAnsiTheme="minorHAnsi" w:cstheme="minorBidi"/>
          <w:color w:val="auto"/>
          <w:sz w:val="22"/>
          <w:szCs w:val="22"/>
          <w:lang w:eastAsia="en-AU"/>
        </w:rPr>
      </w:pPr>
      <w:r w:rsidRPr="00C62DF2">
        <w:rPr>
          <w:lang w:val="en-GB"/>
        </w:rPr>
        <w:t>The Australian experience in an international context</w:t>
      </w:r>
      <w:r>
        <w:tab/>
      </w:r>
      <w:r w:rsidR="0067274E">
        <w:fldChar w:fldCharType="begin"/>
      </w:r>
      <w:r>
        <w:instrText xml:space="preserve"> PAGEREF _Toc334101015 \h </w:instrText>
      </w:r>
      <w:r w:rsidR="0067274E">
        <w:fldChar w:fldCharType="separate"/>
      </w:r>
      <w:r w:rsidR="00D50701">
        <w:t>38</w:t>
      </w:r>
      <w:r w:rsidR="0067274E">
        <w:fldChar w:fldCharType="end"/>
      </w:r>
    </w:p>
    <w:p w:rsidR="00E94BDE" w:rsidRDefault="00E94BDE">
      <w:pPr>
        <w:pStyle w:val="TOC1"/>
        <w:rPr>
          <w:rFonts w:asciiTheme="minorHAnsi" w:eastAsiaTheme="minorEastAsia" w:hAnsiTheme="minorHAnsi" w:cstheme="minorBidi"/>
          <w:color w:val="auto"/>
          <w:sz w:val="22"/>
          <w:szCs w:val="22"/>
          <w:lang w:eastAsia="en-AU"/>
        </w:rPr>
      </w:pPr>
      <w:r w:rsidRPr="00C62DF2">
        <w:rPr>
          <w:lang w:val="en-GB"/>
        </w:rPr>
        <w:t>Concluding remarks</w:t>
      </w:r>
      <w:r>
        <w:tab/>
      </w:r>
      <w:r w:rsidR="0067274E">
        <w:fldChar w:fldCharType="begin"/>
      </w:r>
      <w:r>
        <w:instrText xml:space="preserve"> PAGEREF _Toc334101016 \h </w:instrText>
      </w:r>
      <w:r w:rsidR="0067274E">
        <w:fldChar w:fldCharType="separate"/>
      </w:r>
      <w:r w:rsidR="00D50701">
        <w:t>44</w:t>
      </w:r>
      <w:r w:rsidR="0067274E">
        <w:fldChar w:fldCharType="end"/>
      </w:r>
    </w:p>
    <w:p w:rsidR="00E94BDE" w:rsidRDefault="00E94BDE">
      <w:pPr>
        <w:pStyle w:val="TOC1"/>
        <w:rPr>
          <w:rFonts w:asciiTheme="minorHAnsi" w:eastAsiaTheme="minorEastAsia" w:hAnsiTheme="minorHAnsi" w:cstheme="minorBidi"/>
          <w:color w:val="auto"/>
          <w:sz w:val="22"/>
          <w:szCs w:val="22"/>
          <w:lang w:eastAsia="en-AU"/>
        </w:rPr>
      </w:pPr>
      <w:r w:rsidRPr="00C62DF2">
        <w:rPr>
          <w:lang w:val="en-GB"/>
        </w:rPr>
        <w:t>References</w:t>
      </w:r>
      <w:r>
        <w:tab/>
      </w:r>
      <w:r w:rsidR="0067274E">
        <w:fldChar w:fldCharType="begin"/>
      </w:r>
      <w:r>
        <w:instrText xml:space="preserve"> PAGEREF _Toc334101017 \h </w:instrText>
      </w:r>
      <w:r w:rsidR="0067274E">
        <w:fldChar w:fldCharType="separate"/>
      </w:r>
      <w:r w:rsidR="00D50701">
        <w:t>46</w:t>
      </w:r>
      <w:r w:rsidR="0067274E">
        <w:fldChar w:fldCharType="end"/>
      </w:r>
    </w:p>
    <w:p w:rsidR="00E94BDE" w:rsidRDefault="00E94BDE">
      <w:pPr>
        <w:pStyle w:val="TOC1"/>
        <w:rPr>
          <w:lang w:val="en-GB"/>
        </w:rPr>
      </w:pPr>
      <w:r w:rsidRPr="00C62DF2">
        <w:rPr>
          <w:lang w:val="en-GB"/>
        </w:rPr>
        <w:t>Appendi</w:t>
      </w:r>
      <w:r>
        <w:rPr>
          <w:lang w:val="en-GB"/>
        </w:rPr>
        <w:t>ces</w:t>
      </w:r>
    </w:p>
    <w:p w:rsidR="00E94BDE" w:rsidRDefault="00E94BDE" w:rsidP="00E94BDE">
      <w:pPr>
        <w:pStyle w:val="TOC2"/>
        <w:rPr>
          <w:rFonts w:asciiTheme="minorHAnsi" w:eastAsiaTheme="minorEastAsia" w:hAnsiTheme="minorHAnsi" w:cstheme="minorBidi"/>
          <w:color w:val="auto"/>
          <w:sz w:val="22"/>
          <w:szCs w:val="22"/>
          <w:lang w:eastAsia="en-AU"/>
        </w:rPr>
      </w:pPr>
      <w:r w:rsidRPr="00C62DF2">
        <w:rPr>
          <w:lang w:val="en-GB"/>
        </w:rPr>
        <w:t>A</w:t>
      </w:r>
      <w:r>
        <w:tab/>
      </w:r>
      <w:r w:rsidR="0067274E">
        <w:fldChar w:fldCharType="begin"/>
      </w:r>
      <w:r>
        <w:instrText xml:space="preserve"> PAGEREF _Toc334101018 \h </w:instrText>
      </w:r>
      <w:r w:rsidR="0067274E">
        <w:fldChar w:fldCharType="separate"/>
      </w:r>
      <w:r w:rsidR="00D50701">
        <w:t>48</w:t>
      </w:r>
      <w:r w:rsidR="0067274E">
        <w:fldChar w:fldCharType="end"/>
      </w:r>
    </w:p>
    <w:p w:rsidR="00E94BDE" w:rsidRDefault="00E94BDE" w:rsidP="00E94BDE">
      <w:pPr>
        <w:pStyle w:val="TOC2"/>
        <w:rPr>
          <w:rFonts w:asciiTheme="minorHAnsi" w:eastAsiaTheme="minorEastAsia" w:hAnsiTheme="minorHAnsi" w:cstheme="minorBidi"/>
          <w:color w:val="auto"/>
          <w:sz w:val="22"/>
          <w:szCs w:val="22"/>
          <w:lang w:eastAsia="en-AU"/>
        </w:rPr>
      </w:pPr>
      <w:r w:rsidRPr="00C62DF2">
        <w:rPr>
          <w:lang w:val="en-GB"/>
        </w:rPr>
        <w:t>B</w:t>
      </w:r>
      <w:r>
        <w:tab/>
      </w:r>
      <w:r w:rsidR="0067274E">
        <w:fldChar w:fldCharType="begin"/>
      </w:r>
      <w:r>
        <w:instrText xml:space="preserve"> PAGEREF _Toc334101019 \h </w:instrText>
      </w:r>
      <w:r w:rsidR="0067274E">
        <w:fldChar w:fldCharType="separate"/>
      </w:r>
      <w:r w:rsidR="00D50701">
        <w:t>54</w:t>
      </w:r>
      <w:r w:rsidR="0067274E">
        <w:fldChar w:fldCharType="end"/>
      </w:r>
    </w:p>
    <w:p w:rsidR="00E94BDE" w:rsidRDefault="00E94BDE">
      <w:pPr>
        <w:pStyle w:val="TOC1"/>
        <w:rPr>
          <w:rFonts w:asciiTheme="minorHAnsi" w:eastAsiaTheme="minorEastAsia" w:hAnsiTheme="minorHAnsi" w:cstheme="minorBidi"/>
          <w:color w:val="auto"/>
          <w:sz w:val="22"/>
          <w:szCs w:val="22"/>
          <w:lang w:eastAsia="en-AU"/>
        </w:rPr>
      </w:pPr>
      <w:r>
        <w:t>NVETR Program funding</w:t>
      </w:r>
      <w:r>
        <w:tab/>
      </w:r>
      <w:r w:rsidR="0067274E">
        <w:fldChar w:fldCharType="begin"/>
      </w:r>
      <w:r>
        <w:instrText xml:space="preserve"> PAGEREF _Toc334101020 \h </w:instrText>
      </w:r>
      <w:r w:rsidR="0067274E">
        <w:fldChar w:fldCharType="separate"/>
      </w:r>
      <w:r w:rsidR="00D50701">
        <w:t>63</w:t>
      </w:r>
      <w:r w:rsidR="0067274E">
        <w:fldChar w:fldCharType="end"/>
      </w:r>
    </w:p>
    <w:p w:rsidR="004E7227" w:rsidRPr="00B07B55" w:rsidRDefault="0067274E" w:rsidP="002B5F36">
      <w:pPr>
        <w:pStyle w:val="Text"/>
        <w:jc w:val="center"/>
        <w:rPr>
          <w:lang w:val="en-GB"/>
        </w:rPr>
      </w:pPr>
      <w:r w:rsidRPr="00B07B55">
        <w:rPr>
          <w:lang w:val="en-GB"/>
        </w:rPr>
        <w:fldChar w:fldCharType="end"/>
      </w:r>
    </w:p>
    <w:p w:rsidR="004E7227" w:rsidRPr="00B07B55" w:rsidRDefault="004E7227" w:rsidP="0048643A">
      <w:pPr>
        <w:pStyle w:val="Text"/>
        <w:rPr>
          <w:rFonts w:ascii="Tahoma" w:hAnsi="Tahoma" w:cs="Tahoma"/>
          <w:color w:val="000000"/>
          <w:kern w:val="28"/>
          <w:sz w:val="56"/>
          <w:szCs w:val="56"/>
          <w:lang w:val="en-GB"/>
        </w:rPr>
      </w:pPr>
      <w:r w:rsidRPr="00B07B55">
        <w:rPr>
          <w:lang w:val="en-GB"/>
        </w:rPr>
        <w:br w:type="page"/>
      </w:r>
    </w:p>
    <w:p w:rsidR="004E7227" w:rsidRPr="00B07B55" w:rsidRDefault="004E7227" w:rsidP="004E7227">
      <w:pPr>
        <w:pStyle w:val="Heading1"/>
        <w:rPr>
          <w:lang w:val="en-GB"/>
        </w:rPr>
      </w:pPr>
      <w:bookmarkStart w:id="25" w:name="_Toc334101002"/>
      <w:r w:rsidRPr="00B07B55">
        <w:rPr>
          <w:lang w:val="en-GB"/>
        </w:rPr>
        <w:t>Tables</w:t>
      </w:r>
      <w:bookmarkEnd w:id="25"/>
      <w:r w:rsidRPr="00B07B55">
        <w:rPr>
          <w:lang w:val="en-GB"/>
        </w:rPr>
        <w:t xml:space="preserve"> </w:t>
      </w:r>
      <w:r w:rsidR="00226BCD">
        <w:rPr>
          <w:lang w:val="en-GB"/>
        </w:rPr>
        <w:t>and figures</w:t>
      </w:r>
    </w:p>
    <w:p w:rsidR="00A41677" w:rsidRDefault="00A41677" w:rsidP="00A41677">
      <w:pPr>
        <w:pStyle w:val="Heading2"/>
      </w:pPr>
      <w:bookmarkStart w:id="26" w:name="_Toc296497516"/>
      <w:bookmarkStart w:id="27" w:name="_Toc298162801"/>
      <w:bookmarkStart w:id="28" w:name="_Toc334021116"/>
      <w:bookmarkStart w:id="29" w:name="_Toc334101003"/>
      <w:r>
        <w:t>Tables</w:t>
      </w:r>
      <w:bookmarkEnd w:id="26"/>
      <w:bookmarkEnd w:id="27"/>
      <w:bookmarkEnd w:id="28"/>
      <w:bookmarkEnd w:id="29"/>
    </w:p>
    <w:p w:rsidR="0073677C" w:rsidRDefault="0067274E" w:rsidP="0073677C">
      <w:pPr>
        <w:pStyle w:val="TableofFigures"/>
        <w:rPr>
          <w:rFonts w:asciiTheme="minorHAnsi" w:eastAsiaTheme="minorEastAsia" w:hAnsiTheme="minorHAnsi" w:cstheme="minorBidi"/>
          <w:color w:val="auto"/>
          <w:sz w:val="22"/>
          <w:szCs w:val="22"/>
          <w:lang w:eastAsia="en-AU"/>
        </w:rPr>
      </w:pPr>
      <w:r w:rsidRPr="0067274E">
        <w:fldChar w:fldCharType="begin"/>
      </w:r>
      <w:r w:rsidR="00A41677">
        <w:instrText xml:space="preserve"> TOC \f F \t "tabletitle" \c </w:instrText>
      </w:r>
      <w:r w:rsidRPr="0067274E">
        <w:fldChar w:fldCharType="separate"/>
      </w:r>
      <w:r w:rsidR="0073677C" w:rsidRPr="00A5516C">
        <w:rPr>
          <w:lang w:val="en-GB"/>
        </w:rPr>
        <w:t>1</w:t>
      </w:r>
      <w:r w:rsidR="0073677C">
        <w:rPr>
          <w:rFonts w:asciiTheme="minorHAnsi" w:eastAsiaTheme="minorEastAsia" w:hAnsiTheme="minorHAnsi" w:cstheme="minorBidi"/>
          <w:color w:val="auto"/>
          <w:sz w:val="22"/>
          <w:szCs w:val="22"/>
          <w:lang w:eastAsia="en-AU"/>
        </w:rPr>
        <w:tab/>
      </w:r>
      <w:r w:rsidR="0073677C" w:rsidRPr="00A5516C">
        <w:rPr>
          <w:lang w:val="en-GB"/>
        </w:rPr>
        <w:t xml:space="preserve">Percentage of </w:t>
      </w:r>
      <w:r w:rsidR="0073677C">
        <w:t>individuals</w:t>
      </w:r>
      <w:r w:rsidR="0073677C" w:rsidRPr="00A5516C">
        <w:rPr>
          <w:lang w:val="en-GB"/>
        </w:rPr>
        <w:t xml:space="preserve"> enrolled in formal education by age group, </w:t>
      </w:r>
      <w:r w:rsidR="0073677C">
        <w:rPr>
          <w:lang w:val="en-GB"/>
        </w:rPr>
        <w:br/>
      </w:r>
      <w:r w:rsidR="0073677C" w:rsidRPr="00A5516C">
        <w:rPr>
          <w:lang w:val="en-GB"/>
        </w:rPr>
        <w:t>2008</w:t>
      </w:r>
      <w:r w:rsidR="0073677C">
        <w:tab/>
      </w:r>
      <w:r>
        <w:fldChar w:fldCharType="begin"/>
      </w:r>
      <w:r w:rsidR="0073677C">
        <w:instrText xml:space="preserve"> PAGEREF _Toc334021168 \h </w:instrText>
      </w:r>
      <w:r>
        <w:fldChar w:fldCharType="separate"/>
      </w:r>
      <w:r w:rsidR="00D50701">
        <w:t>11</w:t>
      </w:r>
      <w:r>
        <w:fldChar w:fldCharType="end"/>
      </w:r>
    </w:p>
    <w:p w:rsidR="0073677C" w:rsidRDefault="0073677C">
      <w:pPr>
        <w:pStyle w:val="TableofFigures"/>
        <w:tabs>
          <w:tab w:val="left" w:pos="880"/>
        </w:tabs>
        <w:rPr>
          <w:rFonts w:asciiTheme="minorHAnsi" w:eastAsiaTheme="minorEastAsia" w:hAnsiTheme="minorHAnsi" w:cstheme="minorBidi"/>
          <w:color w:val="auto"/>
          <w:sz w:val="22"/>
          <w:szCs w:val="22"/>
          <w:lang w:eastAsia="en-AU"/>
        </w:rPr>
      </w:pPr>
      <w:r w:rsidRPr="00A5516C">
        <w:rPr>
          <w:lang w:val="en-GB"/>
        </w:rPr>
        <w:t>2</w:t>
      </w:r>
      <w:r>
        <w:rPr>
          <w:rFonts w:asciiTheme="minorHAnsi" w:eastAsiaTheme="minorEastAsia" w:hAnsiTheme="minorHAnsi" w:cstheme="minorBidi"/>
          <w:color w:val="auto"/>
          <w:sz w:val="22"/>
          <w:szCs w:val="22"/>
          <w:lang w:eastAsia="en-AU"/>
        </w:rPr>
        <w:tab/>
      </w:r>
      <w:r w:rsidRPr="00A5516C">
        <w:rPr>
          <w:lang w:val="en-GB"/>
        </w:rPr>
        <w:t>Summary matrix of empirical approaches employed</w:t>
      </w:r>
      <w:r>
        <w:tab/>
      </w:r>
      <w:r w:rsidR="0067274E">
        <w:fldChar w:fldCharType="begin"/>
      </w:r>
      <w:r>
        <w:instrText xml:space="preserve"> PAGEREF _Toc334021169 \h </w:instrText>
      </w:r>
      <w:r w:rsidR="0067274E">
        <w:fldChar w:fldCharType="separate"/>
      </w:r>
      <w:r w:rsidR="00D50701">
        <w:t>12</w:t>
      </w:r>
      <w:r w:rsidR="0067274E">
        <w:fldChar w:fldCharType="end"/>
      </w:r>
    </w:p>
    <w:p w:rsidR="0073677C" w:rsidRDefault="0073677C">
      <w:pPr>
        <w:pStyle w:val="TableofFigures"/>
        <w:tabs>
          <w:tab w:val="left" w:pos="880"/>
        </w:tabs>
        <w:rPr>
          <w:rFonts w:asciiTheme="minorHAnsi" w:eastAsiaTheme="minorEastAsia" w:hAnsiTheme="minorHAnsi" w:cstheme="minorBidi"/>
          <w:color w:val="auto"/>
          <w:sz w:val="22"/>
          <w:szCs w:val="22"/>
          <w:lang w:eastAsia="en-AU"/>
        </w:rPr>
      </w:pPr>
      <w:r w:rsidRPr="00A5516C">
        <w:rPr>
          <w:lang w:val="en-GB"/>
        </w:rPr>
        <w:t>3</w:t>
      </w:r>
      <w:r>
        <w:rPr>
          <w:rFonts w:asciiTheme="minorHAnsi" w:eastAsiaTheme="minorEastAsia" w:hAnsiTheme="minorHAnsi" w:cstheme="minorBidi"/>
          <w:color w:val="auto"/>
          <w:sz w:val="22"/>
          <w:szCs w:val="22"/>
          <w:lang w:eastAsia="en-AU"/>
        </w:rPr>
        <w:tab/>
      </w:r>
      <w:r w:rsidRPr="00A5516C">
        <w:rPr>
          <w:lang w:val="en-GB"/>
        </w:rPr>
        <w:t xml:space="preserve">Current enrolment rates in formal education and training, males, </w:t>
      </w:r>
      <w:r>
        <w:rPr>
          <w:lang w:val="en-GB"/>
        </w:rPr>
        <w:br/>
      </w:r>
      <w:r w:rsidRPr="00A5516C">
        <w:rPr>
          <w:lang w:val="en-GB"/>
        </w:rPr>
        <w:t>2009 SET, %</w:t>
      </w:r>
      <w:r>
        <w:tab/>
      </w:r>
      <w:r w:rsidR="0067274E">
        <w:fldChar w:fldCharType="begin"/>
      </w:r>
      <w:r>
        <w:instrText xml:space="preserve"> PAGEREF _Toc334021170 \h </w:instrText>
      </w:r>
      <w:r w:rsidR="0067274E">
        <w:fldChar w:fldCharType="separate"/>
      </w:r>
      <w:r w:rsidR="00D50701">
        <w:t>17</w:t>
      </w:r>
      <w:r w:rsidR="0067274E">
        <w:fldChar w:fldCharType="end"/>
      </w:r>
    </w:p>
    <w:p w:rsidR="0073677C" w:rsidRDefault="0073677C">
      <w:pPr>
        <w:pStyle w:val="TableofFigures"/>
        <w:tabs>
          <w:tab w:val="left" w:pos="880"/>
        </w:tabs>
        <w:rPr>
          <w:rFonts w:asciiTheme="minorHAnsi" w:eastAsiaTheme="minorEastAsia" w:hAnsiTheme="minorHAnsi" w:cstheme="minorBidi"/>
          <w:color w:val="auto"/>
          <w:sz w:val="22"/>
          <w:szCs w:val="22"/>
          <w:lang w:eastAsia="en-AU"/>
        </w:rPr>
      </w:pPr>
      <w:r w:rsidRPr="00A5516C">
        <w:rPr>
          <w:lang w:val="en-GB"/>
        </w:rPr>
        <w:t>4</w:t>
      </w:r>
      <w:r>
        <w:rPr>
          <w:rFonts w:asciiTheme="minorHAnsi" w:eastAsiaTheme="minorEastAsia" w:hAnsiTheme="minorHAnsi" w:cstheme="minorBidi"/>
          <w:color w:val="auto"/>
          <w:sz w:val="22"/>
          <w:szCs w:val="22"/>
          <w:lang w:eastAsia="en-AU"/>
        </w:rPr>
        <w:tab/>
      </w:r>
      <w:r w:rsidRPr="00A5516C">
        <w:rPr>
          <w:lang w:val="en-GB"/>
        </w:rPr>
        <w:t xml:space="preserve">Current enrolment rates in formal education and training, females, </w:t>
      </w:r>
      <w:r>
        <w:rPr>
          <w:lang w:val="en-GB"/>
        </w:rPr>
        <w:br/>
      </w:r>
      <w:r w:rsidRPr="00A5516C">
        <w:rPr>
          <w:lang w:val="en-GB"/>
        </w:rPr>
        <w:t>2009 SET, %</w:t>
      </w:r>
      <w:r>
        <w:tab/>
      </w:r>
      <w:r w:rsidR="0067274E">
        <w:fldChar w:fldCharType="begin"/>
      </w:r>
      <w:r>
        <w:instrText xml:space="preserve"> PAGEREF _Toc334021171 \h </w:instrText>
      </w:r>
      <w:r w:rsidR="0067274E">
        <w:fldChar w:fldCharType="separate"/>
      </w:r>
      <w:r w:rsidR="00D50701">
        <w:t>17</w:t>
      </w:r>
      <w:r w:rsidR="0067274E">
        <w:fldChar w:fldCharType="end"/>
      </w:r>
    </w:p>
    <w:p w:rsidR="0073677C" w:rsidRDefault="0073677C">
      <w:pPr>
        <w:pStyle w:val="TableofFigures"/>
        <w:tabs>
          <w:tab w:val="left" w:pos="880"/>
        </w:tabs>
        <w:rPr>
          <w:rFonts w:asciiTheme="minorHAnsi" w:eastAsiaTheme="minorEastAsia" w:hAnsiTheme="minorHAnsi" w:cstheme="minorBidi"/>
          <w:color w:val="auto"/>
          <w:sz w:val="22"/>
          <w:szCs w:val="22"/>
          <w:lang w:eastAsia="en-AU"/>
        </w:rPr>
      </w:pPr>
      <w:r w:rsidRPr="00A5516C">
        <w:rPr>
          <w:lang w:val="en-GB"/>
        </w:rPr>
        <w:t>5</w:t>
      </w:r>
      <w:r>
        <w:rPr>
          <w:rFonts w:asciiTheme="minorHAnsi" w:eastAsiaTheme="minorEastAsia" w:hAnsiTheme="minorHAnsi" w:cstheme="minorBidi"/>
          <w:color w:val="auto"/>
          <w:sz w:val="22"/>
          <w:szCs w:val="22"/>
          <w:lang w:eastAsia="en-AU"/>
        </w:rPr>
        <w:tab/>
      </w:r>
      <w:r w:rsidRPr="00A5516C">
        <w:rPr>
          <w:lang w:val="en-GB"/>
        </w:rPr>
        <w:t xml:space="preserve">Rates of enrolment in formal education at any wave between 2002 </w:t>
      </w:r>
      <w:r w:rsidR="00F8152A">
        <w:rPr>
          <w:lang w:val="en-GB"/>
        </w:rPr>
        <w:br/>
      </w:r>
      <w:r w:rsidR="00226BCD">
        <w:rPr>
          <w:lang w:val="en-GB"/>
        </w:rPr>
        <w:t>and</w:t>
      </w:r>
      <w:r w:rsidRPr="00A5516C">
        <w:rPr>
          <w:lang w:val="en-GB"/>
        </w:rPr>
        <w:t xml:space="preserve"> 2009, HILDA, %</w:t>
      </w:r>
      <w:r>
        <w:tab/>
      </w:r>
      <w:r w:rsidR="0067274E">
        <w:fldChar w:fldCharType="begin"/>
      </w:r>
      <w:r>
        <w:instrText xml:space="preserve"> PAGEREF _Toc334021172 \h </w:instrText>
      </w:r>
      <w:r w:rsidR="0067274E">
        <w:fldChar w:fldCharType="separate"/>
      </w:r>
      <w:r w:rsidR="00D50701">
        <w:t>19</w:t>
      </w:r>
      <w:r w:rsidR="0067274E">
        <w:fldChar w:fldCharType="end"/>
      </w:r>
    </w:p>
    <w:p w:rsidR="0073677C" w:rsidRDefault="0073677C">
      <w:pPr>
        <w:pStyle w:val="TableofFigures"/>
        <w:tabs>
          <w:tab w:val="left" w:pos="880"/>
        </w:tabs>
        <w:rPr>
          <w:rFonts w:asciiTheme="minorHAnsi" w:eastAsiaTheme="minorEastAsia" w:hAnsiTheme="minorHAnsi" w:cstheme="minorBidi"/>
          <w:color w:val="auto"/>
          <w:sz w:val="22"/>
          <w:szCs w:val="22"/>
          <w:lang w:eastAsia="en-AU"/>
        </w:rPr>
      </w:pPr>
      <w:r w:rsidRPr="00A5516C">
        <w:rPr>
          <w:lang w:val="en-GB"/>
        </w:rPr>
        <w:t>6</w:t>
      </w:r>
      <w:r>
        <w:rPr>
          <w:rFonts w:asciiTheme="minorHAnsi" w:eastAsiaTheme="minorEastAsia" w:hAnsiTheme="minorHAnsi" w:cstheme="minorBidi"/>
          <w:color w:val="auto"/>
          <w:sz w:val="22"/>
          <w:szCs w:val="22"/>
          <w:lang w:eastAsia="en-AU"/>
        </w:rPr>
        <w:tab/>
      </w:r>
      <w:r w:rsidRPr="00A5516C">
        <w:rPr>
          <w:lang w:val="en-GB"/>
        </w:rPr>
        <w:t>Initial education levels and employment status of certificate</w:t>
      </w:r>
      <w:r w:rsidR="00226BCD">
        <w:rPr>
          <w:lang w:val="en-GB"/>
        </w:rPr>
        <w:t>-</w:t>
      </w:r>
      <w:r w:rsidRPr="00A5516C">
        <w:rPr>
          <w:lang w:val="en-GB"/>
        </w:rPr>
        <w:t>level students, HILDA</w:t>
      </w:r>
      <w:r>
        <w:tab/>
      </w:r>
      <w:r w:rsidR="0067274E">
        <w:fldChar w:fldCharType="begin"/>
      </w:r>
      <w:r>
        <w:instrText xml:space="preserve"> PAGEREF _Toc334021173 \h </w:instrText>
      </w:r>
      <w:r w:rsidR="0067274E">
        <w:fldChar w:fldCharType="separate"/>
      </w:r>
      <w:r w:rsidR="00D50701">
        <w:t>20</w:t>
      </w:r>
      <w:r w:rsidR="0067274E">
        <w:fldChar w:fldCharType="end"/>
      </w:r>
    </w:p>
    <w:p w:rsidR="0073677C" w:rsidRDefault="0073677C">
      <w:pPr>
        <w:pStyle w:val="TableofFigures"/>
        <w:tabs>
          <w:tab w:val="left" w:pos="880"/>
        </w:tabs>
        <w:rPr>
          <w:rFonts w:asciiTheme="minorHAnsi" w:eastAsiaTheme="minorEastAsia" w:hAnsiTheme="minorHAnsi" w:cstheme="minorBidi"/>
          <w:color w:val="auto"/>
          <w:sz w:val="22"/>
          <w:szCs w:val="22"/>
          <w:lang w:eastAsia="en-AU"/>
        </w:rPr>
      </w:pPr>
      <w:r w:rsidRPr="00A5516C">
        <w:rPr>
          <w:lang w:val="en-GB"/>
        </w:rPr>
        <w:t>7</w:t>
      </w:r>
      <w:r>
        <w:rPr>
          <w:rFonts w:asciiTheme="minorHAnsi" w:eastAsiaTheme="minorEastAsia" w:hAnsiTheme="minorHAnsi" w:cstheme="minorBidi"/>
          <w:color w:val="auto"/>
          <w:sz w:val="22"/>
          <w:szCs w:val="22"/>
          <w:lang w:eastAsia="en-AU"/>
        </w:rPr>
        <w:tab/>
      </w:r>
      <w:r w:rsidRPr="00A5516C">
        <w:rPr>
          <w:lang w:val="en-GB"/>
        </w:rPr>
        <w:t>Education levels and employment status by study status, HILDA</w:t>
      </w:r>
      <w:r>
        <w:tab/>
      </w:r>
      <w:r w:rsidR="0067274E">
        <w:fldChar w:fldCharType="begin"/>
      </w:r>
      <w:r>
        <w:instrText xml:space="preserve"> PAGEREF _Toc334021174 \h </w:instrText>
      </w:r>
      <w:r w:rsidR="0067274E">
        <w:fldChar w:fldCharType="separate"/>
      </w:r>
      <w:r w:rsidR="00D50701">
        <w:t>21</w:t>
      </w:r>
      <w:r w:rsidR="0067274E">
        <w:fldChar w:fldCharType="end"/>
      </w:r>
    </w:p>
    <w:p w:rsidR="0073677C" w:rsidRDefault="0073677C">
      <w:pPr>
        <w:pStyle w:val="TableofFigures"/>
        <w:tabs>
          <w:tab w:val="left" w:pos="880"/>
        </w:tabs>
        <w:rPr>
          <w:rFonts w:asciiTheme="minorHAnsi" w:eastAsiaTheme="minorEastAsia" w:hAnsiTheme="minorHAnsi" w:cstheme="minorBidi"/>
          <w:color w:val="auto"/>
          <w:sz w:val="22"/>
          <w:szCs w:val="22"/>
          <w:lang w:eastAsia="en-AU"/>
        </w:rPr>
      </w:pPr>
      <w:r w:rsidRPr="00A5516C">
        <w:rPr>
          <w:lang w:val="en-GB"/>
        </w:rPr>
        <w:t>8</w:t>
      </w:r>
      <w:r>
        <w:rPr>
          <w:rFonts w:asciiTheme="minorHAnsi" w:eastAsiaTheme="minorEastAsia" w:hAnsiTheme="minorHAnsi" w:cstheme="minorBidi"/>
          <w:color w:val="auto"/>
          <w:sz w:val="22"/>
          <w:szCs w:val="22"/>
          <w:lang w:eastAsia="en-AU"/>
        </w:rPr>
        <w:tab/>
      </w:r>
      <w:r w:rsidRPr="00A5516C">
        <w:rPr>
          <w:lang w:val="en-GB"/>
        </w:rPr>
        <w:t>Percentages of individuals enrolled in education, British survey</w:t>
      </w:r>
      <w:r>
        <w:tab/>
      </w:r>
      <w:r w:rsidR="0067274E">
        <w:fldChar w:fldCharType="begin"/>
      </w:r>
      <w:r>
        <w:instrText xml:space="preserve"> PAGEREF _Toc334021175 \h </w:instrText>
      </w:r>
      <w:r w:rsidR="0067274E">
        <w:fldChar w:fldCharType="separate"/>
      </w:r>
      <w:r w:rsidR="00D50701">
        <w:t>23</w:t>
      </w:r>
      <w:r w:rsidR="0067274E">
        <w:fldChar w:fldCharType="end"/>
      </w:r>
    </w:p>
    <w:p w:rsidR="0073677C" w:rsidRDefault="0073677C">
      <w:pPr>
        <w:pStyle w:val="TableofFigures"/>
        <w:tabs>
          <w:tab w:val="left" w:pos="880"/>
        </w:tabs>
        <w:rPr>
          <w:rFonts w:asciiTheme="minorHAnsi" w:eastAsiaTheme="minorEastAsia" w:hAnsiTheme="minorHAnsi" w:cstheme="minorBidi"/>
          <w:color w:val="auto"/>
          <w:sz w:val="22"/>
          <w:szCs w:val="22"/>
          <w:lang w:eastAsia="en-AU"/>
        </w:rPr>
      </w:pPr>
      <w:r w:rsidRPr="00A5516C">
        <w:rPr>
          <w:lang w:val="en-GB"/>
        </w:rPr>
        <w:t>9</w:t>
      </w:r>
      <w:r>
        <w:rPr>
          <w:rFonts w:asciiTheme="minorHAnsi" w:eastAsiaTheme="minorEastAsia" w:hAnsiTheme="minorHAnsi" w:cstheme="minorBidi"/>
          <w:color w:val="auto"/>
          <w:sz w:val="22"/>
          <w:szCs w:val="22"/>
          <w:lang w:eastAsia="en-AU"/>
        </w:rPr>
        <w:tab/>
      </w:r>
      <w:r w:rsidRPr="00A5516C">
        <w:rPr>
          <w:lang w:val="en-GB"/>
        </w:rPr>
        <w:t xml:space="preserve">Population composition, Australia and the UK: age groups and </w:t>
      </w:r>
      <w:r w:rsidR="00F8152A">
        <w:rPr>
          <w:lang w:val="en-GB"/>
        </w:rPr>
        <w:br/>
      </w:r>
      <w:r w:rsidRPr="00A5516C">
        <w:rPr>
          <w:lang w:val="en-GB"/>
        </w:rPr>
        <w:t>country of origin</w:t>
      </w:r>
      <w:r>
        <w:tab/>
      </w:r>
      <w:r w:rsidR="0067274E">
        <w:fldChar w:fldCharType="begin"/>
      </w:r>
      <w:r>
        <w:instrText xml:space="preserve"> PAGEREF _Toc334021176 \h </w:instrText>
      </w:r>
      <w:r w:rsidR="0067274E">
        <w:fldChar w:fldCharType="separate"/>
      </w:r>
      <w:r w:rsidR="00D50701">
        <w:t>24</w:t>
      </w:r>
      <w:r w:rsidR="0067274E">
        <w:fldChar w:fldCharType="end"/>
      </w:r>
    </w:p>
    <w:p w:rsidR="0073677C" w:rsidRDefault="0073677C">
      <w:pPr>
        <w:pStyle w:val="TableofFigures"/>
        <w:tabs>
          <w:tab w:val="left" w:pos="1100"/>
        </w:tabs>
        <w:rPr>
          <w:rFonts w:asciiTheme="minorHAnsi" w:eastAsiaTheme="minorEastAsia" w:hAnsiTheme="minorHAnsi" w:cstheme="minorBidi"/>
          <w:color w:val="auto"/>
          <w:sz w:val="22"/>
          <w:szCs w:val="22"/>
          <w:lang w:eastAsia="en-AU"/>
        </w:rPr>
      </w:pPr>
      <w:r w:rsidRPr="00A5516C">
        <w:rPr>
          <w:lang w:val="en-GB"/>
        </w:rPr>
        <w:t>10</w:t>
      </w:r>
      <w:r>
        <w:rPr>
          <w:rFonts w:asciiTheme="minorHAnsi" w:eastAsiaTheme="minorEastAsia" w:hAnsiTheme="minorHAnsi" w:cstheme="minorBidi"/>
          <w:color w:val="auto"/>
          <w:sz w:val="22"/>
          <w:szCs w:val="22"/>
          <w:lang w:eastAsia="en-AU"/>
        </w:rPr>
        <w:tab/>
      </w:r>
      <w:r w:rsidRPr="00A5516C">
        <w:rPr>
          <w:lang w:val="en-GB"/>
        </w:rPr>
        <w:t>Impacts on the probability of engaging in education: males, HILDA</w:t>
      </w:r>
      <w:r>
        <w:tab/>
      </w:r>
      <w:r w:rsidR="0067274E">
        <w:fldChar w:fldCharType="begin"/>
      </w:r>
      <w:r>
        <w:instrText xml:space="preserve"> PAGEREF _Toc334021177 \h </w:instrText>
      </w:r>
      <w:r w:rsidR="0067274E">
        <w:fldChar w:fldCharType="separate"/>
      </w:r>
      <w:r w:rsidR="00D50701">
        <w:t>29</w:t>
      </w:r>
      <w:r w:rsidR="0067274E">
        <w:fldChar w:fldCharType="end"/>
      </w:r>
    </w:p>
    <w:p w:rsidR="0073677C" w:rsidRDefault="0073677C">
      <w:pPr>
        <w:pStyle w:val="TableofFigures"/>
        <w:tabs>
          <w:tab w:val="left" w:pos="1100"/>
        </w:tabs>
        <w:rPr>
          <w:rFonts w:asciiTheme="minorHAnsi" w:eastAsiaTheme="minorEastAsia" w:hAnsiTheme="minorHAnsi" w:cstheme="minorBidi"/>
          <w:color w:val="auto"/>
          <w:sz w:val="22"/>
          <w:szCs w:val="22"/>
          <w:lang w:eastAsia="en-AU"/>
        </w:rPr>
      </w:pPr>
      <w:r w:rsidRPr="00A5516C">
        <w:rPr>
          <w:lang w:val="en-GB"/>
        </w:rPr>
        <w:t>11</w:t>
      </w:r>
      <w:r>
        <w:rPr>
          <w:rFonts w:asciiTheme="minorHAnsi" w:eastAsiaTheme="minorEastAsia" w:hAnsiTheme="minorHAnsi" w:cstheme="minorBidi"/>
          <w:color w:val="auto"/>
          <w:sz w:val="22"/>
          <w:szCs w:val="22"/>
          <w:lang w:eastAsia="en-AU"/>
        </w:rPr>
        <w:tab/>
      </w:r>
      <w:r w:rsidRPr="00A5516C">
        <w:rPr>
          <w:lang w:val="en-GB"/>
        </w:rPr>
        <w:t>Impacts on the probability of engaging in education: females, HILDA</w:t>
      </w:r>
      <w:r>
        <w:tab/>
      </w:r>
      <w:r w:rsidR="0067274E">
        <w:fldChar w:fldCharType="begin"/>
      </w:r>
      <w:r>
        <w:instrText xml:space="preserve"> PAGEREF _Toc334021178 \h </w:instrText>
      </w:r>
      <w:r w:rsidR="0067274E">
        <w:fldChar w:fldCharType="separate"/>
      </w:r>
      <w:r w:rsidR="00D50701">
        <w:t>30</w:t>
      </w:r>
      <w:r w:rsidR="0067274E">
        <w:fldChar w:fldCharType="end"/>
      </w:r>
    </w:p>
    <w:p w:rsidR="0073677C" w:rsidRDefault="0073677C" w:rsidP="00F8152A">
      <w:pPr>
        <w:pStyle w:val="TableofFigures"/>
        <w:rPr>
          <w:rFonts w:asciiTheme="minorHAnsi" w:eastAsiaTheme="minorEastAsia" w:hAnsiTheme="minorHAnsi" w:cstheme="minorBidi"/>
          <w:color w:val="auto"/>
          <w:sz w:val="22"/>
          <w:szCs w:val="22"/>
          <w:lang w:eastAsia="en-AU"/>
        </w:rPr>
      </w:pPr>
      <w:r w:rsidRPr="00A5516C">
        <w:rPr>
          <w:lang w:val="en-GB"/>
        </w:rPr>
        <w:t>12</w:t>
      </w:r>
      <w:r>
        <w:rPr>
          <w:rFonts w:asciiTheme="minorHAnsi" w:eastAsiaTheme="minorEastAsia" w:hAnsiTheme="minorHAnsi" w:cstheme="minorBidi"/>
          <w:color w:val="auto"/>
          <w:sz w:val="22"/>
          <w:szCs w:val="22"/>
          <w:lang w:eastAsia="en-AU"/>
        </w:rPr>
        <w:tab/>
      </w:r>
      <w:r w:rsidRPr="00A5516C">
        <w:rPr>
          <w:lang w:val="en-GB"/>
        </w:rPr>
        <w:t xml:space="preserve">Effect of education on labour market outcomes by type of course, </w:t>
      </w:r>
      <w:r w:rsidR="00F8152A">
        <w:rPr>
          <w:lang w:val="en-GB"/>
        </w:rPr>
        <w:br/>
      </w:r>
      <w:r w:rsidRPr="00A5516C">
        <w:rPr>
          <w:lang w:val="en-GB"/>
        </w:rPr>
        <w:t>HILDA</w:t>
      </w:r>
      <w:r>
        <w:tab/>
      </w:r>
      <w:r w:rsidR="0067274E">
        <w:fldChar w:fldCharType="begin"/>
      </w:r>
      <w:r>
        <w:instrText xml:space="preserve"> PAGEREF _Toc334021179 \h </w:instrText>
      </w:r>
      <w:r w:rsidR="0067274E">
        <w:fldChar w:fldCharType="separate"/>
      </w:r>
      <w:r w:rsidR="00D50701">
        <w:t>34</w:t>
      </w:r>
      <w:r w:rsidR="0067274E">
        <w:fldChar w:fldCharType="end"/>
      </w:r>
    </w:p>
    <w:p w:rsidR="0073677C" w:rsidRDefault="0073677C">
      <w:pPr>
        <w:pStyle w:val="TableofFigures"/>
        <w:tabs>
          <w:tab w:val="left" w:pos="1100"/>
        </w:tabs>
        <w:rPr>
          <w:rFonts w:asciiTheme="minorHAnsi" w:eastAsiaTheme="minorEastAsia" w:hAnsiTheme="minorHAnsi" w:cstheme="minorBidi"/>
          <w:color w:val="auto"/>
          <w:sz w:val="22"/>
          <w:szCs w:val="22"/>
          <w:lang w:eastAsia="en-AU"/>
        </w:rPr>
      </w:pPr>
      <w:r w:rsidRPr="00A5516C">
        <w:rPr>
          <w:lang w:val="en-GB"/>
        </w:rPr>
        <w:t>13</w:t>
      </w:r>
      <w:r>
        <w:rPr>
          <w:rFonts w:asciiTheme="minorHAnsi" w:eastAsiaTheme="minorEastAsia" w:hAnsiTheme="minorHAnsi" w:cstheme="minorBidi"/>
          <w:color w:val="auto"/>
          <w:sz w:val="22"/>
          <w:szCs w:val="22"/>
          <w:lang w:eastAsia="en-AU"/>
        </w:rPr>
        <w:tab/>
      </w:r>
      <w:r w:rsidRPr="00A5516C">
        <w:rPr>
          <w:lang w:val="en-GB"/>
        </w:rPr>
        <w:t xml:space="preserve">Impacts on the probability of enrolling in mature-age education: </w:t>
      </w:r>
      <w:r w:rsidR="00F8152A">
        <w:rPr>
          <w:lang w:val="en-GB"/>
        </w:rPr>
        <w:br/>
      </w:r>
      <w:r w:rsidRPr="00A5516C">
        <w:rPr>
          <w:lang w:val="en-GB"/>
        </w:rPr>
        <w:t>males, British survey and HILDA</w:t>
      </w:r>
      <w:r>
        <w:tab/>
      </w:r>
      <w:r w:rsidR="0067274E">
        <w:fldChar w:fldCharType="begin"/>
      </w:r>
      <w:r>
        <w:instrText xml:space="preserve"> PAGEREF _Toc334021180 \h </w:instrText>
      </w:r>
      <w:r w:rsidR="0067274E">
        <w:fldChar w:fldCharType="separate"/>
      </w:r>
      <w:r w:rsidR="00D50701">
        <w:t>40</w:t>
      </w:r>
      <w:r w:rsidR="0067274E">
        <w:fldChar w:fldCharType="end"/>
      </w:r>
    </w:p>
    <w:p w:rsidR="0073677C" w:rsidRDefault="0073677C">
      <w:pPr>
        <w:pStyle w:val="TableofFigures"/>
        <w:tabs>
          <w:tab w:val="left" w:pos="1100"/>
        </w:tabs>
        <w:rPr>
          <w:rFonts w:asciiTheme="minorHAnsi" w:eastAsiaTheme="minorEastAsia" w:hAnsiTheme="minorHAnsi" w:cstheme="minorBidi"/>
          <w:color w:val="auto"/>
          <w:sz w:val="22"/>
          <w:szCs w:val="22"/>
          <w:lang w:eastAsia="en-AU"/>
        </w:rPr>
      </w:pPr>
      <w:r w:rsidRPr="00A5516C">
        <w:rPr>
          <w:lang w:val="en-GB"/>
        </w:rPr>
        <w:t>14</w:t>
      </w:r>
      <w:r>
        <w:rPr>
          <w:rFonts w:asciiTheme="minorHAnsi" w:eastAsiaTheme="minorEastAsia" w:hAnsiTheme="minorHAnsi" w:cstheme="minorBidi"/>
          <w:color w:val="auto"/>
          <w:sz w:val="22"/>
          <w:szCs w:val="22"/>
          <w:lang w:eastAsia="en-AU"/>
        </w:rPr>
        <w:tab/>
      </w:r>
      <w:r w:rsidRPr="00A5516C">
        <w:rPr>
          <w:lang w:val="en-GB"/>
        </w:rPr>
        <w:t xml:space="preserve">Impacts on the probability of enrolling in mature-age education: </w:t>
      </w:r>
      <w:r w:rsidR="00F8152A">
        <w:rPr>
          <w:lang w:val="en-GB"/>
        </w:rPr>
        <w:br/>
      </w:r>
      <w:r w:rsidRPr="00A5516C">
        <w:rPr>
          <w:lang w:val="en-GB"/>
        </w:rPr>
        <w:t>females, British survey and HILDA</w:t>
      </w:r>
      <w:r>
        <w:tab/>
      </w:r>
      <w:r w:rsidR="0067274E">
        <w:fldChar w:fldCharType="begin"/>
      </w:r>
      <w:r>
        <w:instrText xml:space="preserve"> PAGEREF _Toc334021181 \h </w:instrText>
      </w:r>
      <w:r w:rsidR="0067274E">
        <w:fldChar w:fldCharType="separate"/>
      </w:r>
      <w:r w:rsidR="00D50701">
        <w:t>41</w:t>
      </w:r>
      <w:r w:rsidR="0067274E">
        <w:fldChar w:fldCharType="end"/>
      </w:r>
    </w:p>
    <w:p w:rsidR="0073677C" w:rsidRDefault="0073677C">
      <w:pPr>
        <w:pStyle w:val="TableofFigures"/>
        <w:tabs>
          <w:tab w:val="left" w:pos="1100"/>
        </w:tabs>
        <w:rPr>
          <w:rFonts w:asciiTheme="minorHAnsi" w:eastAsiaTheme="minorEastAsia" w:hAnsiTheme="minorHAnsi" w:cstheme="minorBidi"/>
          <w:color w:val="auto"/>
          <w:sz w:val="22"/>
          <w:szCs w:val="22"/>
          <w:lang w:eastAsia="en-AU"/>
        </w:rPr>
      </w:pPr>
      <w:r w:rsidRPr="00A5516C">
        <w:rPr>
          <w:lang w:val="en-GB"/>
        </w:rPr>
        <w:t>15</w:t>
      </w:r>
      <w:r>
        <w:rPr>
          <w:rFonts w:asciiTheme="minorHAnsi" w:eastAsiaTheme="minorEastAsia" w:hAnsiTheme="minorHAnsi" w:cstheme="minorBidi"/>
          <w:color w:val="auto"/>
          <w:sz w:val="22"/>
          <w:szCs w:val="22"/>
          <w:lang w:eastAsia="en-AU"/>
        </w:rPr>
        <w:tab/>
      </w:r>
      <w:r w:rsidRPr="00A5516C">
        <w:rPr>
          <w:lang w:val="en-GB"/>
        </w:rPr>
        <w:t>Blinder-Oaxaca decomposition: British survey and HILDA</w:t>
      </w:r>
      <w:r>
        <w:tab/>
      </w:r>
      <w:r w:rsidR="0067274E">
        <w:fldChar w:fldCharType="begin"/>
      </w:r>
      <w:r>
        <w:instrText xml:space="preserve"> PAGEREF _Toc334021182 \h </w:instrText>
      </w:r>
      <w:r w:rsidR="0067274E">
        <w:fldChar w:fldCharType="separate"/>
      </w:r>
      <w:r w:rsidR="00D50701">
        <w:t>43</w:t>
      </w:r>
      <w:r w:rsidR="0067274E">
        <w:fldChar w:fldCharType="end"/>
      </w:r>
    </w:p>
    <w:p w:rsidR="0073677C" w:rsidRDefault="0073677C">
      <w:pPr>
        <w:pStyle w:val="TableofFigures"/>
        <w:tabs>
          <w:tab w:val="left" w:pos="1100"/>
        </w:tabs>
        <w:rPr>
          <w:rFonts w:asciiTheme="minorHAnsi" w:eastAsiaTheme="minorEastAsia" w:hAnsiTheme="minorHAnsi" w:cstheme="minorBidi"/>
          <w:color w:val="auto"/>
          <w:sz w:val="22"/>
          <w:szCs w:val="22"/>
          <w:lang w:eastAsia="en-AU"/>
        </w:rPr>
      </w:pPr>
      <w:r w:rsidRPr="00A5516C">
        <w:rPr>
          <w:lang w:val="en-GB"/>
        </w:rPr>
        <w:t>A1</w:t>
      </w:r>
      <w:r>
        <w:rPr>
          <w:rFonts w:asciiTheme="minorHAnsi" w:eastAsiaTheme="minorEastAsia" w:hAnsiTheme="minorHAnsi" w:cstheme="minorBidi"/>
          <w:color w:val="auto"/>
          <w:sz w:val="22"/>
          <w:szCs w:val="22"/>
          <w:lang w:eastAsia="en-AU"/>
        </w:rPr>
        <w:tab/>
      </w:r>
      <w:r w:rsidRPr="00A5516C">
        <w:rPr>
          <w:lang w:val="en-GB"/>
        </w:rPr>
        <w:t>Participation in education over the previous 12 months, 2009 SET</w:t>
      </w:r>
      <w:r>
        <w:tab/>
      </w:r>
      <w:r w:rsidR="0067274E">
        <w:fldChar w:fldCharType="begin"/>
      </w:r>
      <w:r>
        <w:instrText xml:space="preserve"> PAGEREF _Toc334021183 \h </w:instrText>
      </w:r>
      <w:r w:rsidR="0067274E">
        <w:fldChar w:fldCharType="separate"/>
      </w:r>
      <w:r w:rsidR="00D50701">
        <w:t>48</w:t>
      </w:r>
      <w:r w:rsidR="0067274E">
        <w:fldChar w:fldCharType="end"/>
      </w:r>
    </w:p>
    <w:p w:rsidR="0073677C" w:rsidRDefault="0073677C">
      <w:pPr>
        <w:pStyle w:val="TableofFigures"/>
        <w:tabs>
          <w:tab w:val="left" w:pos="1100"/>
        </w:tabs>
        <w:rPr>
          <w:rFonts w:asciiTheme="minorHAnsi" w:eastAsiaTheme="minorEastAsia" w:hAnsiTheme="minorHAnsi" w:cstheme="minorBidi"/>
          <w:color w:val="auto"/>
          <w:sz w:val="22"/>
          <w:szCs w:val="22"/>
          <w:lang w:eastAsia="en-AU"/>
        </w:rPr>
      </w:pPr>
      <w:r w:rsidRPr="00A5516C">
        <w:rPr>
          <w:lang w:val="en-GB"/>
        </w:rPr>
        <w:t>A2</w:t>
      </w:r>
      <w:r>
        <w:rPr>
          <w:rFonts w:asciiTheme="minorHAnsi" w:eastAsiaTheme="minorEastAsia" w:hAnsiTheme="minorHAnsi" w:cstheme="minorBidi"/>
          <w:color w:val="auto"/>
          <w:sz w:val="22"/>
          <w:szCs w:val="22"/>
          <w:lang w:eastAsia="en-AU"/>
        </w:rPr>
        <w:tab/>
      </w:r>
      <w:r w:rsidRPr="00A5516C">
        <w:rPr>
          <w:lang w:val="en-GB"/>
        </w:rPr>
        <w:t xml:space="preserve">Current enrolment in formal education and </w:t>
      </w:r>
      <w:r>
        <w:t>training</w:t>
      </w:r>
      <w:r w:rsidRPr="00A5516C">
        <w:rPr>
          <w:lang w:val="en-GB"/>
        </w:rPr>
        <w:t>, 2009 HILDA</w:t>
      </w:r>
      <w:r>
        <w:tab/>
      </w:r>
      <w:r w:rsidR="0067274E">
        <w:fldChar w:fldCharType="begin"/>
      </w:r>
      <w:r>
        <w:instrText xml:space="preserve"> PAGEREF _Toc334021184 \h </w:instrText>
      </w:r>
      <w:r w:rsidR="0067274E">
        <w:fldChar w:fldCharType="separate"/>
      </w:r>
      <w:r w:rsidR="00D50701">
        <w:t>49</w:t>
      </w:r>
      <w:r w:rsidR="0067274E">
        <w:fldChar w:fldCharType="end"/>
      </w:r>
    </w:p>
    <w:p w:rsidR="0073677C" w:rsidRDefault="0073677C">
      <w:pPr>
        <w:pStyle w:val="TableofFigures"/>
        <w:tabs>
          <w:tab w:val="left" w:pos="1100"/>
        </w:tabs>
        <w:rPr>
          <w:rFonts w:asciiTheme="minorHAnsi" w:eastAsiaTheme="minorEastAsia" w:hAnsiTheme="minorHAnsi" w:cstheme="minorBidi"/>
          <w:color w:val="auto"/>
          <w:sz w:val="22"/>
          <w:szCs w:val="22"/>
          <w:lang w:eastAsia="en-AU"/>
        </w:rPr>
      </w:pPr>
      <w:r w:rsidRPr="00A5516C">
        <w:rPr>
          <w:lang w:val="en-GB"/>
        </w:rPr>
        <w:t>A3</w:t>
      </w:r>
      <w:r>
        <w:rPr>
          <w:rFonts w:asciiTheme="minorHAnsi" w:eastAsiaTheme="minorEastAsia" w:hAnsiTheme="minorHAnsi" w:cstheme="minorBidi"/>
          <w:color w:val="auto"/>
          <w:sz w:val="22"/>
          <w:szCs w:val="22"/>
          <w:lang w:eastAsia="en-AU"/>
        </w:rPr>
        <w:tab/>
      </w:r>
      <w:r w:rsidRPr="00A5516C">
        <w:rPr>
          <w:lang w:val="en-GB"/>
        </w:rPr>
        <w:t>HILDA sample, education levels and employment status of diploma students</w:t>
      </w:r>
      <w:r>
        <w:tab/>
      </w:r>
      <w:r w:rsidR="0067274E">
        <w:fldChar w:fldCharType="begin"/>
      </w:r>
      <w:r>
        <w:instrText xml:space="preserve"> PAGEREF _Toc334021185 \h </w:instrText>
      </w:r>
      <w:r w:rsidR="0067274E">
        <w:fldChar w:fldCharType="separate"/>
      </w:r>
      <w:r w:rsidR="00D50701">
        <w:t>49</w:t>
      </w:r>
      <w:r w:rsidR="0067274E">
        <w:fldChar w:fldCharType="end"/>
      </w:r>
    </w:p>
    <w:p w:rsidR="0073677C" w:rsidRDefault="0073677C">
      <w:pPr>
        <w:pStyle w:val="TableofFigures"/>
        <w:tabs>
          <w:tab w:val="left" w:pos="1100"/>
        </w:tabs>
        <w:rPr>
          <w:rFonts w:asciiTheme="minorHAnsi" w:eastAsiaTheme="minorEastAsia" w:hAnsiTheme="minorHAnsi" w:cstheme="minorBidi"/>
          <w:color w:val="auto"/>
          <w:sz w:val="22"/>
          <w:szCs w:val="22"/>
          <w:lang w:eastAsia="en-AU"/>
        </w:rPr>
      </w:pPr>
      <w:r w:rsidRPr="00A5516C">
        <w:rPr>
          <w:lang w:val="en-GB"/>
        </w:rPr>
        <w:t>A4</w:t>
      </w:r>
      <w:r>
        <w:rPr>
          <w:rFonts w:asciiTheme="minorHAnsi" w:eastAsiaTheme="minorEastAsia" w:hAnsiTheme="minorHAnsi" w:cstheme="minorBidi"/>
          <w:color w:val="auto"/>
          <w:sz w:val="22"/>
          <w:szCs w:val="22"/>
          <w:lang w:eastAsia="en-AU"/>
        </w:rPr>
        <w:tab/>
      </w:r>
      <w:r>
        <w:t>HILDA</w:t>
      </w:r>
      <w:r w:rsidRPr="00A5516C">
        <w:rPr>
          <w:lang w:val="en-GB"/>
        </w:rPr>
        <w:t xml:space="preserve"> sample, education levels and employment status of degree </w:t>
      </w:r>
      <w:r w:rsidR="00F8152A">
        <w:rPr>
          <w:lang w:val="en-GB"/>
        </w:rPr>
        <w:br/>
      </w:r>
      <w:r w:rsidRPr="00A5516C">
        <w:rPr>
          <w:lang w:val="en-GB"/>
        </w:rPr>
        <w:t>students</w:t>
      </w:r>
      <w:r>
        <w:tab/>
      </w:r>
      <w:r w:rsidR="0067274E">
        <w:fldChar w:fldCharType="begin"/>
      </w:r>
      <w:r>
        <w:instrText xml:space="preserve"> PAGEREF _Toc334021186 \h </w:instrText>
      </w:r>
      <w:r w:rsidR="0067274E">
        <w:fldChar w:fldCharType="separate"/>
      </w:r>
      <w:r w:rsidR="00D50701">
        <w:t>50</w:t>
      </w:r>
      <w:r w:rsidR="0067274E">
        <w:fldChar w:fldCharType="end"/>
      </w:r>
    </w:p>
    <w:p w:rsidR="0073677C" w:rsidRDefault="0073677C" w:rsidP="00F8152A">
      <w:pPr>
        <w:pStyle w:val="TableofFigures"/>
        <w:rPr>
          <w:rFonts w:asciiTheme="minorHAnsi" w:eastAsiaTheme="minorEastAsia" w:hAnsiTheme="minorHAnsi" w:cstheme="minorBidi"/>
          <w:color w:val="auto"/>
          <w:sz w:val="22"/>
          <w:szCs w:val="22"/>
          <w:lang w:eastAsia="en-AU"/>
        </w:rPr>
      </w:pPr>
      <w:r w:rsidRPr="00A5516C">
        <w:rPr>
          <w:lang w:val="en-GB"/>
        </w:rPr>
        <w:t>A</w:t>
      </w:r>
      <w:r w:rsidRPr="00A5516C">
        <w:rPr>
          <w:lang w:val="en-GB" w:eastAsia="it-IT"/>
        </w:rPr>
        <w:t>5</w:t>
      </w:r>
      <w:r>
        <w:rPr>
          <w:rFonts w:asciiTheme="minorHAnsi" w:eastAsiaTheme="minorEastAsia" w:hAnsiTheme="minorHAnsi" w:cstheme="minorBidi"/>
          <w:color w:val="auto"/>
          <w:sz w:val="22"/>
          <w:szCs w:val="22"/>
          <w:lang w:eastAsia="en-AU"/>
        </w:rPr>
        <w:tab/>
      </w:r>
      <w:r w:rsidRPr="00A5516C">
        <w:rPr>
          <w:lang w:val="en-GB" w:eastAsia="it-IT"/>
        </w:rPr>
        <w:t>Number of individuals who enrolled and completed VET and bachelor courses</w:t>
      </w:r>
      <w:r>
        <w:tab/>
      </w:r>
      <w:r w:rsidR="0067274E">
        <w:fldChar w:fldCharType="begin"/>
      </w:r>
      <w:r>
        <w:instrText xml:space="preserve"> PAGEREF _Toc334021187 \h </w:instrText>
      </w:r>
      <w:r w:rsidR="0067274E">
        <w:fldChar w:fldCharType="separate"/>
      </w:r>
      <w:r w:rsidR="00D50701">
        <w:t>50</w:t>
      </w:r>
      <w:r w:rsidR="0067274E">
        <w:fldChar w:fldCharType="end"/>
      </w:r>
    </w:p>
    <w:p w:rsidR="0073677C" w:rsidRDefault="0073677C">
      <w:pPr>
        <w:pStyle w:val="TableofFigures"/>
        <w:tabs>
          <w:tab w:val="left" w:pos="1100"/>
        </w:tabs>
        <w:rPr>
          <w:rFonts w:asciiTheme="minorHAnsi" w:eastAsiaTheme="minorEastAsia" w:hAnsiTheme="minorHAnsi" w:cstheme="minorBidi"/>
          <w:color w:val="auto"/>
          <w:sz w:val="22"/>
          <w:szCs w:val="22"/>
          <w:lang w:eastAsia="en-AU"/>
        </w:rPr>
      </w:pPr>
      <w:r w:rsidRPr="00A5516C">
        <w:rPr>
          <w:lang w:val="en-GB"/>
        </w:rPr>
        <w:t>A6</w:t>
      </w:r>
      <w:r>
        <w:rPr>
          <w:rFonts w:asciiTheme="minorHAnsi" w:eastAsiaTheme="minorEastAsia" w:hAnsiTheme="minorHAnsi" w:cstheme="minorBidi"/>
          <w:color w:val="auto"/>
          <w:sz w:val="22"/>
          <w:szCs w:val="22"/>
          <w:lang w:eastAsia="en-AU"/>
        </w:rPr>
        <w:tab/>
      </w:r>
      <w:r w:rsidRPr="00A5516C">
        <w:rPr>
          <w:lang w:val="en-GB"/>
        </w:rPr>
        <w:t xml:space="preserve">Australian and British education levels compared </w:t>
      </w:r>
      <w:r w:rsidR="00226BCD">
        <w:rPr>
          <w:lang w:val="en-GB"/>
        </w:rPr>
        <w:t>with</w:t>
      </w:r>
      <w:r w:rsidRPr="00A5516C">
        <w:rPr>
          <w:lang w:val="en-GB"/>
        </w:rPr>
        <w:t xml:space="preserve"> the ISCED classification</w:t>
      </w:r>
      <w:r>
        <w:tab/>
      </w:r>
      <w:r w:rsidR="0067274E">
        <w:fldChar w:fldCharType="begin"/>
      </w:r>
      <w:r>
        <w:instrText xml:space="preserve"> PAGEREF _Toc334021188 \h </w:instrText>
      </w:r>
      <w:r w:rsidR="0067274E">
        <w:fldChar w:fldCharType="separate"/>
      </w:r>
      <w:r w:rsidR="00D50701">
        <w:t>51</w:t>
      </w:r>
      <w:r w:rsidR="0067274E">
        <w:fldChar w:fldCharType="end"/>
      </w:r>
    </w:p>
    <w:p w:rsidR="0073677C" w:rsidRDefault="0073677C">
      <w:pPr>
        <w:pStyle w:val="TableofFigures"/>
        <w:tabs>
          <w:tab w:val="left" w:pos="1100"/>
        </w:tabs>
        <w:rPr>
          <w:rFonts w:asciiTheme="minorHAnsi" w:eastAsiaTheme="minorEastAsia" w:hAnsiTheme="minorHAnsi" w:cstheme="minorBidi"/>
          <w:color w:val="auto"/>
          <w:sz w:val="22"/>
          <w:szCs w:val="22"/>
          <w:lang w:eastAsia="en-AU"/>
        </w:rPr>
      </w:pPr>
      <w:r w:rsidRPr="00A5516C">
        <w:rPr>
          <w:lang w:val="en-GB"/>
        </w:rPr>
        <w:t>A7</w:t>
      </w:r>
      <w:r>
        <w:rPr>
          <w:rFonts w:asciiTheme="minorHAnsi" w:eastAsiaTheme="minorEastAsia" w:hAnsiTheme="minorHAnsi" w:cstheme="minorBidi"/>
          <w:color w:val="auto"/>
          <w:sz w:val="22"/>
          <w:szCs w:val="22"/>
          <w:lang w:eastAsia="en-AU"/>
        </w:rPr>
        <w:tab/>
      </w:r>
      <w:r w:rsidRPr="00A5516C">
        <w:rPr>
          <w:lang w:val="en-GB"/>
        </w:rPr>
        <w:t>British survey sample, males</w:t>
      </w:r>
      <w:r>
        <w:tab/>
      </w:r>
      <w:r w:rsidR="0067274E">
        <w:fldChar w:fldCharType="begin"/>
      </w:r>
      <w:r>
        <w:instrText xml:space="preserve"> PAGEREF _Toc334021189 \h </w:instrText>
      </w:r>
      <w:r w:rsidR="0067274E">
        <w:fldChar w:fldCharType="separate"/>
      </w:r>
      <w:r w:rsidR="00D50701">
        <w:t>52</w:t>
      </w:r>
      <w:r w:rsidR="0067274E">
        <w:fldChar w:fldCharType="end"/>
      </w:r>
    </w:p>
    <w:p w:rsidR="009A1980" w:rsidRDefault="009A1980">
      <w:pPr>
        <w:spacing w:before="0" w:line="240" w:lineRule="auto"/>
        <w:rPr>
          <w:noProof/>
          <w:color w:val="000000"/>
          <w:szCs w:val="19"/>
          <w:lang w:val="en-GB"/>
        </w:rPr>
      </w:pPr>
      <w:r>
        <w:rPr>
          <w:noProof/>
          <w:lang w:val="en-GB"/>
        </w:rPr>
        <w:br w:type="page"/>
      </w:r>
    </w:p>
    <w:p w:rsidR="0073677C" w:rsidRDefault="0073677C">
      <w:pPr>
        <w:pStyle w:val="TableofFigures"/>
        <w:tabs>
          <w:tab w:val="left" w:pos="1100"/>
        </w:tabs>
        <w:rPr>
          <w:rFonts w:asciiTheme="minorHAnsi" w:eastAsiaTheme="minorEastAsia" w:hAnsiTheme="minorHAnsi" w:cstheme="minorBidi"/>
          <w:color w:val="auto"/>
          <w:sz w:val="22"/>
          <w:szCs w:val="22"/>
          <w:lang w:eastAsia="en-AU"/>
        </w:rPr>
      </w:pPr>
      <w:r w:rsidRPr="00A5516C">
        <w:rPr>
          <w:lang w:val="en-GB"/>
        </w:rPr>
        <w:t>A8</w:t>
      </w:r>
      <w:r>
        <w:rPr>
          <w:rFonts w:asciiTheme="minorHAnsi" w:eastAsiaTheme="minorEastAsia" w:hAnsiTheme="minorHAnsi" w:cstheme="minorBidi"/>
          <w:color w:val="auto"/>
          <w:sz w:val="22"/>
          <w:szCs w:val="22"/>
          <w:lang w:eastAsia="en-AU"/>
        </w:rPr>
        <w:tab/>
      </w:r>
      <w:r w:rsidRPr="00A5516C">
        <w:rPr>
          <w:lang w:val="en-GB"/>
        </w:rPr>
        <w:t>British survey sample, females</w:t>
      </w:r>
      <w:r>
        <w:tab/>
      </w:r>
      <w:r w:rsidR="0067274E">
        <w:fldChar w:fldCharType="begin"/>
      </w:r>
      <w:r>
        <w:instrText xml:space="preserve"> PAGEREF _Toc334021190 \h </w:instrText>
      </w:r>
      <w:r w:rsidR="0067274E">
        <w:fldChar w:fldCharType="separate"/>
      </w:r>
      <w:r w:rsidR="00D50701">
        <w:t>53</w:t>
      </w:r>
      <w:r w:rsidR="0067274E">
        <w:fldChar w:fldCharType="end"/>
      </w:r>
    </w:p>
    <w:p w:rsidR="0073677C" w:rsidRDefault="0073677C">
      <w:pPr>
        <w:pStyle w:val="TableofFigures"/>
        <w:tabs>
          <w:tab w:val="left" w:pos="1100"/>
        </w:tabs>
        <w:rPr>
          <w:rFonts w:asciiTheme="minorHAnsi" w:eastAsiaTheme="minorEastAsia" w:hAnsiTheme="minorHAnsi" w:cstheme="minorBidi"/>
          <w:color w:val="auto"/>
          <w:sz w:val="22"/>
          <w:szCs w:val="22"/>
          <w:lang w:eastAsia="en-AU"/>
        </w:rPr>
      </w:pPr>
      <w:r w:rsidRPr="00A5516C">
        <w:rPr>
          <w:lang w:val="en-GB"/>
        </w:rPr>
        <w:t>B1</w:t>
      </w:r>
      <w:r>
        <w:rPr>
          <w:rFonts w:asciiTheme="minorHAnsi" w:eastAsiaTheme="minorEastAsia" w:hAnsiTheme="minorHAnsi" w:cstheme="minorBidi"/>
          <w:color w:val="auto"/>
          <w:sz w:val="22"/>
          <w:szCs w:val="22"/>
          <w:lang w:eastAsia="en-AU"/>
        </w:rPr>
        <w:tab/>
      </w:r>
      <w:r w:rsidRPr="00A5516C">
        <w:rPr>
          <w:lang w:val="en-GB"/>
        </w:rPr>
        <w:t xml:space="preserve">Effect of education on labour market outcomes by type of course </w:t>
      </w:r>
      <w:r w:rsidR="00F8152A">
        <w:rPr>
          <w:lang w:val="en-GB"/>
        </w:rPr>
        <w:br/>
      </w:r>
      <w:r w:rsidRPr="00A5516C">
        <w:rPr>
          <w:lang w:val="en-GB"/>
        </w:rPr>
        <w:t>and prior education level, HILDA</w:t>
      </w:r>
      <w:r>
        <w:tab/>
      </w:r>
      <w:r w:rsidR="0067274E">
        <w:fldChar w:fldCharType="begin"/>
      </w:r>
      <w:r>
        <w:instrText xml:space="preserve"> PAGEREF _Toc334021191 \h </w:instrText>
      </w:r>
      <w:r w:rsidR="0067274E">
        <w:fldChar w:fldCharType="separate"/>
      </w:r>
      <w:r w:rsidR="00D50701">
        <w:t>54</w:t>
      </w:r>
      <w:r w:rsidR="0067274E">
        <w:fldChar w:fldCharType="end"/>
      </w:r>
    </w:p>
    <w:p w:rsidR="0073677C" w:rsidRDefault="0073677C">
      <w:pPr>
        <w:pStyle w:val="TableofFigures"/>
        <w:tabs>
          <w:tab w:val="left" w:pos="1100"/>
        </w:tabs>
        <w:rPr>
          <w:rFonts w:asciiTheme="minorHAnsi" w:eastAsiaTheme="minorEastAsia" w:hAnsiTheme="minorHAnsi" w:cstheme="minorBidi"/>
          <w:color w:val="auto"/>
          <w:sz w:val="22"/>
          <w:szCs w:val="22"/>
          <w:lang w:eastAsia="en-AU"/>
        </w:rPr>
      </w:pPr>
      <w:r w:rsidRPr="00A5516C">
        <w:rPr>
          <w:lang w:val="en-GB"/>
        </w:rPr>
        <w:t>B2</w:t>
      </w:r>
      <w:r>
        <w:rPr>
          <w:rFonts w:asciiTheme="minorHAnsi" w:eastAsiaTheme="minorEastAsia" w:hAnsiTheme="minorHAnsi" w:cstheme="minorBidi"/>
          <w:color w:val="auto"/>
          <w:sz w:val="22"/>
          <w:szCs w:val="22"/>
          <w:lang w:eastAsia="en-AU"/>
        </w:rPr>
        <w:tab/>
      </w:r>
      <w:r w:rsidRPr="00A5516C">
        <w:rPr>
          <w:lang w:val="en-GB"/>
        </w:rPr>
        <w:t xml:space="preserve">Effect of education on labour market outcomes by type of course </w:t>
      </w:r>
      <w:r w:rsidR="00F8152A">
        <w:rPr>
          <w:lang w:val="en-GB"/>
        </w:rPr>
        <w:br/>
      </w:r>
      <w:r w:rsidRPr="00A5516C">
        <w:rPr>
          <w:lang w:val="en-GB"/>
        </w:rPr>
        <w:t>(40 to 57-year-olds), HILDA</w:t>
      </w:r>
      <w:r>
        <w:tab/>
      </w:r>
      <w:r w:rsidR="0067274E">
        <w:fldChar w:fldCharType="begin"/>
      </w:r>
      <w:r>
        <w:instrText xml:space="preserve"> PAGEREF _Toc334021192 \h </w:instrText>
      </w:r>
      <w:r w:rsidR="0067274E">
        <w:fldChar w:fldCharType="separate"/>
      </w:r>
      <w:r w:rsidR="00D50701">
        <w:t>57</w:t>
      </w:r>
      <w:r w:rsidR="0067274E">
        <w:fldChar w:fldCharType="end"/>
      </w:r>
    </w:p>
    <w:p w:rsidR="00E94BDE" w:rsidRPr="00714AE2" w:rsidRDefault="0073677C" w:rsidP="00714AE2">
      <w:pPr>
        <w:pStyle w:val="TableofFigures"/>
      </w:pPr>
      <w:r w:rsidRPr="00A5516C">
        <w:rPr>
          <w:lang w:val="en-GB"/>
        </w:rPr>
        <w:t>B3</w:t>
      </w:r>
      <w:r>
        <w:rPr>
          <w:rFonts w:asciiTheme="minorHAnsi" w:eastAsiaTheme="minorEastAsia" w:hAnsiTheme="minorHAnsi" w:cstheme="minorBidi"/>
          <w:color w:val="auto"/>
          <w:sz w:val="22"/>
          <w:szCs w:val="22"/>
          <w:lang w:eastAsia="en-AU"/>
        </w:rPr>
        <w:tab/>
      </w:r>
      <w:r w:rsidRPr="00A5516C">
        <w:rPr>
          <w:lang w:val="en-GB"/>
        </w:rPr>
        <w:t xml:space="preserve">Descriptive statistics, explanatory </w:t>
      </w:r>
      <w:r>
        <w:t>variables</w:t>
      </w:r>
      <w:r w:rsidRPr="00A5516C">
        <w:rPr>
          <w:lang w:val="en-GB"/>
        </w:rPr>
        <w:t xml:space="preserve">: British survey and </w:t>
      </w:r>
      <w:r w:rsidR="00F8152A">
        <w:rPr>
          <w:lang w:val="en-GB"/>
        </w:rPr>
        <w:br/>
      </w:r>
      <w:r w:rsidRPr="00A5516C">
        <w:rPr>
          <w:lang w:val="en-GB"/>
        </w:rPr>
        <w:t>HILDA</w:t>
      </w:r>
      <w:r>
        <w:tab/>
      </w:r>
      <w:r w:rsidR="0067274E">
        <w:fldChar w:fldCharType="begin"/>
      </w:r>
      <w:r>
        <w:instrText xml:space="preserve"> PAGEREF _Toc334021193 \h </w:instrText>
      </w:r>
      <w:r w:rsidR="0067274E">
        <w:fldChar w:fldCharType="separate"/>
      </w:r>
      <w:r w:rsidR="00D50701">
        <w:t>59</w:t>
      </w:r>
      <w:r w:rsidR="0067274E">
        <w:fldChar w:fldCharType="end"/>
      </w:r>
    </w:p>
    <w:p w:rsidR="00714AE2" w:rsidRDefault="0067274E" w:rsidP="00647E56">
      <w:pPr>
        <w:pStyle w:val="Heading2"/>
      </w:pPr>
      <w:r>
        <w:fldChar w:fldCharType="end"/>
      </w:r>
      <w:r w:rsidR="00714AE2">
        <w:t>Figure</w:t>
      </w:r>
    </w:p>
    <w:p w:rsidR="00714AE2" w:rsidRDefault="0067274E">
      <w:pPr>
        <w:pStyle w:val="TableofFigures"/>
        <w:tabs>
          <w:tab w:val="left" w:pos="1100"/>
        </w:tabs>
        <w:rPr>
          <w:rFonts w:asciiTheme="minorHAnsi" w:eastAsiaTheme="minorEastAsia" w:hAnsiTheme="minorHAnsi" w:cstheme="minorBidi"/>
          <w:color w:val="auto"/>
          <w:sz w:val="22"/>
          <w:szCs w:val="22"/>
          <w:lang w:eastAsia="en-AU"/>
        </w:rPr>
      </w:pPr>
      <w:r w:rsidRPr="0067274E">
        <w:rPr>
          <w:b/>
          <w:kern w:val="28"/>
          <w:sz w:val="56"/>
          <w:szCs w:val="56"/>
          <w:lang w:val="en-GB"/>
        </w:rPr>
        <w:fldChar w:fldCharType="begin"/>
      </w:r>
      <w:r w:rsidR="00714AE2">
        <w:rPr>
          <w:b/>
          <w:kern w:val="28"/>
          <w:sz w:val="56"/>
          <w:szCs w:val="56"/>
          <w:lang w:val="en-GB"/>
        </w:rPr>
        <w:instrText xml:space="preserve"> TOC \f F \h \z \t "Figuretitle" \c </w:instrText>
      </w:r>
      <w:r w:rsidRPr="0067274E">
        <w:rPr>
          <w:b/>
          <w:kern w:val="28"/>
          <w:sz w:val="56"/>
          <w:szCs w:val="56"/>
          <w:lang w:val="en-GB"/>
        </w:rPr>
        <w:fldChar w:fldCharType="separate"/>
      </w:r>
      <w:hyperlink w:anchor="_Toc334101425" w:history="1">
        <w:r w:rsidR="00714AE2" w:rsidRPr="00DF15E1">
          <w:rPr>
            <w:rStyle w:val="Hyperlink"/>
          </w:rPr>
          <w:t>B1</w:t>
        </w:r>
        <w:r w:rsidR="00714AE2">
          <w:rPr>
            <w:rFonts w:asciiTheme="minorHAnsi" w:eastAsiaTheme="minorEastAsia" w:hAnsiTheme="minorHAnsi" w:cstheme="minorBidi"/>
            <w:color w:val="auto"/>
            <w:sz w:val="22"/>
            <w:szCs w:val="22"/>
            <w:lang w:eastAsia="en-AU"/>
          </w:rPr>
          <w:tab/>
        </w:r>
        <w:r w:rsidR="00714AE2" w:rsidRPr="00DF15E1">
          <w:rPr>
            <w:rStyle w:val="Hyperlink"/>
          </w:rPr>
          <w:t xml:space="preserve">Effects of education on labour market outcomes: longitudinal </w:t>
        </w:r>
        <w:r w:rsidR="00714AE2">
          <w:rPr>
            <w:rStyle w:val="Hyperlink"/>
          </w:rPr>
          <w:br/>
        </w:r>
        <w:r w:rsidR="00714AE2" w:rsidRPr="00DF15E1">
          <w:rPr>
            <w:rStyle w:val="Hyperlink"/>
          </w:rPr>
          <w:t>analysis, fixed effect results, HILDA data</w:t>
        </w:r>
        <w:r w:rsidR="00714AE2">
          <w:rPr>
            <w:webHidden/>
          </w:rPr>
          <w:tab/>
        </w:r>
        <w:r>
          <w:rPr>
            <w:webHidden/>
          </w:rPr>
          <w:fldChar w:fldCharType="begin"/>
        </w:r>
        <w:r w:rsidR="00714AE2">
          <w:rPr>
            <w:webHidden/>
          </w:rPr>
          <w:instrText xml:space="preserve"> PAGEREF _Toc334101425 \h </w:instrText>
        </w:r>
        <w:r>
          <w:rPr>
            <w:webHidden/>
          </w:rPr>
        </w:r>
        <w:r>
          <w:rPr>
            <w:webHidden/>
          </w:rPr>
          <w:fldChar w:fldCharType="separate"/>
        </w:r>
        <w:r w:rsidR="00D50701">
          <w:rPr>
            <w:webHidden/>
          </w:rPr>
          <w:t>60</w:t>
        </w:r>
        <w:r>
          <w:rPr>
            <w:webHidden/>
          </w:rPr>
          <w:fldChar w:fldCharType="end"/>
        </w:r>
      </w:hyperlink>
    </w:p>
    <w:p w:rsidR="00647E56" w:rsidRDefault="0067274E" w:rsidP="00647E56">
      <w:pPr>
        <w:pStyle w:val="Heading2"/>
        <w:rPr>
          <w:b/>
          <w:color w:val="000000"/>
          <w:kern w:val="28"/>
          <w:sz w:val="56"/>
          <w:szCs w:val="56"/>
          <w:lang w:val="en-GB"/>
        </w:rPr>
      </w:pPr>
      <w:r>
        <w:rPr>
          <w:b/>
          <w:color w:val="000000"/>
          <w:kern w:val="28"/>
          <w:sz w:val="56"/>
          <w:szCs w:val="56"/>
          <w:lang w:val="en-GB"/>
        </w:rPr>
        <w:fldChar w:fldCharType="end"/>
      </w:r>
      <w:r w:rsidR="00647E56" w:rsidRPr="00B07B55">
        <w:rPr>
          <w:b/>
          <w:color w:val="000000"/>
          <w:kern w:val="28"/>
          <w:sz w:val="56"/>
          <w:szCs w:val="56"/>
          <w:lang w:val="en-GB"/>
        </w:rPr>
        <w:t xml:space="preserve"> </w:t>
      </w:r>
    </w:p>
    <w:p w:rsidR="00714AE2" w:rsidRPr="00714AE2" w:rsidRDefault="00714AE2" w:rsidP="00714AE2">
      <w:pPr>
        <w:pStyle w:val="Text"/>
        <w:rPr>
          <w:lang w:val="en-GB"/>
        </w:rPr>
      </w:pPr>
    </w:p>
    <w:p w:rsidR="00D8349E" w:rsidRPr="00B07B55" w:rsidRDefault="00D8349E">
      <w:pPr>
        <w:spacing w:before="0" w:line="240" w:lineRule="auto"/>
        <w:rPr>
          <w:rFonts w:ascii="Tahoma" w:hAnsi="Tahoma" w:cs="Tahoma"/>
          <w:b/>
          <w:color w:val="000000"/>
          <w:kern w:val="28"/>
          <w:sz w:val="56"/>
          <w:szCs w:val="56"/>
          <w:lang w:val="en-GB"/>
        </w:rPr>
      </w:pPr>
      <w:r w:rsidRPr="00B07B55">
        <w:rPr>
          <w:rFonts w:ascii="Tahoma" w:hAnsi="Tahoma" w:cs="Tahoma"/>
          <w:b/>
          <w:color w:val="000000"/>
          <w:kern w:val="28"/>
          <w:sz w:val="56"/>
          <w:szCs w:val="56"/>
          <w:lang w:val="en-GB"/>
        </w:rPr>
        <w:br w:type="page"/>
      </w:r>
    </w:p>
    <w:p w:rsidR="0065683C" w:rsidRDefault="0065683C" w:rsidP="007174D3">
      <w:pPr>
        <w:pStyle w:val="Heading1"/>
      </w:pPr>
      <w:bookmarkStart w:id="30" w:name="_Toc334101004"/>
      <w:r w:rsidRPr="00B86D06">
        <w:t>Executive summary</w:t>
      </w:r>
      <w:bookmarkEnd w:id="30"/>
    </w:p>
    <w:p w:rsidR="0065683C" w:rsidRPr="00495869" w:rsidRDefault="005062E7" w:rsidP="00495869">
      <w:pPr>
        <w:pStyle w:val="Text"/>
        <w:ind w:right="0"/>
        <w:rPr>
          <w:lang w:val="en-GB"/>
        </w:rPr>
      </w:pPr>
      <w:r w:rsidRPr="00495869">
        <w:rPr>
          <w:lang w:val="en-GB"/>
        </w:rPr>
        <w:t xml:space="preserve">According to the </w:t>
      </w:r>
      <w:r w:rsidR="00192431" w:rsidRPr="00495869">
        <w:rPr>
          <w:lang w:val="en-GB"/>
        </w:rPr>
        <w:t>Organisation for Economic Co</w:t>
      </w:r>
      <w:r w:rsidR="002D2BF3">
        <w:rPr>
          <w:lang w:val="en-GB"/>
        </w:rPr>
        <w:t>-</w:t>
      </w:r>
      <w:r w:rsidR="00192431" w:rsidRPr="00495869">
        <w:rPr>
          <w:lang w:val="en-GB"/>
        </w:rPr>
        <w:t>operation and Development (</w:t>
      </w:r>
      <w:r w:rsidRPr="00495869">
        <w:rPr>
          <w:lang w:val="en-GB"/>
        </w:rPr>
        <w:t>OECD</w:t>
      </w:r>
      <w:r w:rsidR="00192431" w:rsidRPr="00495869">
        <w:rPr>
          <w:lang w:val="en-GB"/>
        </w:rPr>
        <w:t>)</w:t>
      </w:r>
      <w:r w:rsidR="0070433A" w:rsidRPr="00495869">
        <w:rPr>
          <w:lang w:val="en-GB"/>
        </w:rPr>
        <w:t>,</w:t>
      </w:r>
      <w:r w:rsidRPr="00495869">
        <w:rPr>
          <w:lang w:val="en-GB"/>
        </w:rPr>
        <w:t xml:space="preserve"> </w:t>
      </w:r>
      <w:r w:rsidR="0065683C" w:rsidRPr="00495869">
        <w:rPr>
          <w:lang w:val="en-GB"/>
        </w:rPr>
        <w:t xml:space="preserve">Australia has one of the highest rates of participation in education among </w:t>
      </w:r>
      <w:r w:rsidR="0070433A" w:rsidRPr="00495869">
        <w:rPr>
          <w:lang w:val="en-GB"/>
        </w:rPr>
        <w:t xml:space="preserve">OECD </w:t>
      </w:r>
      <w:r w:rsidRPr="00495869">
        <w:rPr>
          <w:lang w:val="en-GB"/>
        </w:rPr>
        <w:t xml:space="preserve">member </w:t>
      </w:r>
      <w:r w:rsidR="0065683C" w:rsidRPr="00495869">
        <w:rPr>
          <w:lang w:val="en-GB"/>
        </w:rPr>
        <w:t>countries</w:t>
      </w:r>
      <w:r w:rsidR="00B4430B" w:rsidRPr="00495869">
        <w:rPr>
          <w:lang w:val="en-GB"/>
        </w:rPr>
        <w:t xml:space="preserve"> for individuals aged 30 and above</w:t>
      </w:r>
      <w:r w:rsidR="00851760" w:rsidRPr="00495869">
        <w:rPr>
          <w:lang w:val="en-GB"/>
        </w:rPr>
        <w:t xml:space="preserve"> (OECD 2010)</w:t>
      </w:r>
      <w:r w:rsidR="0065683C" w:rsidRPr="00495869">
        <w:rPr>
          <w:lang w:val="en-GB"/>
        </w:rPr>
        <w:t xml:space="preserve">. Adult education can have important social implications, as it </w:t>
      </w:r>
      <w:r w:rsidR="009E56E3" w:rsidRPr="00495869">
        <w:rPr>
          <w:lang w:val="en-GB"/>
        </w:rPr>
        <w:t xml:space="preserve">may assist in reducing </w:t>
      </w:r>
      <w:r w:rsidR="0065683C" w:rsidRPr="00495869">
        <w:rPr>
          <w:lang w:val="en-GB"/>
        </w:rPr>
        <w:t xml:space="preserve">the gap between the skills required by </w:t>
      </w:r>
      <w:r w:rsidR="009E56E3" w:rsidRPr="00495869">
        <w:rPr>
          <w:lang w:val="en-GB"/>
        </w:rPr>
        <w:t xml:space="preserve">employers </w:t>
      </w:r>
      <w:r w:rsidR="0065683C" w:rsidRPr="00495869">
        <w:rPr>
          <w:lang w:val="en-GB"/>
        </w:rPr>
        <w:t xml:space="preserve">and those </w:t>
      </w:r>
      <w:r w:rsidR="009E56E3" w:rsidRPr="00495869">
        <w:rPr>
          <w:lang w:val="en-GB"/>
        </w:rPr>
        <w:t xml:space="preserve">held </w:t>
      </w:r>
      <w:r w:rsidR="0065683C" w:rsidRPr="00495869">
        <w:rPr>
          <w:lang w:val="en-GB"/>
        </w:rPr>
        <w:t xml:space="preserve">by workers, hence increasing </w:t>
      </w:r>
      <w:r w:rsidR="009E56E3" w:rsidRPr="00495869">
        <w:rPr>
          <w:lang w:val="en-GB"/>
        </w:rPr>
        <w:t xml:space="preserve">economic output. It may also increase </w:t>
      </w:r>
      <w:r w:rsidR="0065683C" w:rsidRPr="00495869">
        <w:rPr>
          <w:lang w:val="en-GB"/>
        </w:rPr>
        <w:t>social inclusion</w:t>
      </w:r>
      <w:r w:rsidR="009E56E3" w:rsidRPr="00495869">
        <w:rPr>
          <w:lang w:val="en-GB"/>
        </w:rPr>
        <w:t xml:space="preserve"> by </w:t>
      </w:r>
      <w:r w:rsidR="00B2338D" w:rsidRPr="00495869">
        <w:rPr>
          <w:lang w:val="en-GB"/>
        </w:rPr>
        <w:t xml:space="preserve">improving the </w:t>
      </w:r>
      <w:r w:rsidR="007A4E37">
        <w:rPr>
          <w:lang w:val="en-GB"/>
        </w:rPr>
        <w:t>employment opportunities of low-</w:t>
      </w:r>
      <w:r w:rsidR="00B2338D" w:rsidRPr="00495869">
        <w:rPr>
          <w:lang w:val="en-GB"/>
        </w:rPr>
        <w:t>skilled workers</w:t>
      </w:r>
      <w:r w:rsidR="0065683C" w:rsidRPr="00495869">
        <w:rPr>
          <w:lang w:val="en-GB"/>
        </w:rPr>
        <w:t xml:space="preserve">. </w:t>
      </w:r>
    </w:p>
    <w:p w:rsidR="0065683C" w:rsidRPr="00495869" w:rsidRDefault="0065683C" w:rsidP="00226BC6">
      <w:pPr>
        <w:pStyle w:val="Text"/>
        <w:ind w:right="-143"/>
        <w:rPr>
          <w:lang w:val="en-GB"/>
        </w:rPr>
      </w:pPr>
      <w:r w:rsidRPr="00495869">
        <w:rPr>
          <w:lang w:val="en-GB"/>
        </w:rPr>
        <w:t xml:space="preserve">This </w:t>
      </w:r>
      <w:r w:rsidR="00FF0D0F" w:rsidRPr="00495869">
        <w:rPr>
          <w:lang w:val="en-GB"/>
        </w:rPr>
        <w:t>study investigates</w:t>
      </w:r>
      <w:r w:rsidR="007A4E37">
        <w:rPr>
          <w:lang w:val="en-GB"/>
        </w:rPr>
        <w:t xml:space="preserve"> the determinants of mature-</w:t>
      </w:r>
      <w:r w:rsidRPr="00495869">
        <w:rPr>
          <w:lang w:val="en-GB"/>
        </w:rPr>
        <w:t xml:space="preserve">age participation in </w:t>
      </w:r>
      <w:r w:rsidR="006C218F" w:rsidRPr="00495869">
        <w:rPr>
          <w:lang w:val="en-GB"/>
        </w:rPr>
        <w:t xml:space="preserve">education in </w:t>
      </w:r>
      <w:r w:rsidRPr="00495869">
        <w:rPr>
          <w:lang w:val="en-GB"/>
        </w:rPr>
        <w:t>Australia and its</w:t>
      </w:r>
      <w:r>
        <w:t xml:space="preserve"> </w:t>
      </w:r>
      <w:r w:rsidRPr="00495869">
        <w:rPr>
          <w:lang w:val="en-GB"/>
        </w:rPr>
        <w:t xml:space="preserve">effects on the labour markets outcomes of </w:t>
      </w:r>
      <w:r w:rsidR="006C218F" w:rsidRPr="00495869">
        <w:rPr>
          <w:lang w:val="en-GB"/>
        </w:rPr>
        <w:t xml:space="preserve">those </w:t>
      </w:r>
      <w:r w:rsidRPr="00495869">
        <w:rPr>
          <w:lang w:val="en-GB"/>
        </w:rPr>
        <w:t xml:space="preserve">individuals </w:t>
      </w:r>
      <w:r w:rsidR="007A4E37">
        <w:rPr>
          <w:lang w:val="en-GB"/>
        </w:rPr>
        <w:t>who</w:t>
      </w:r>
      <w:r w:rsidRPr="00495869">
        <w:rPr>
          <w:lang w:val="en-GB"/>
        </w:rPr>
        <w:t xml:space="preserve"> choose to </w:t>
      </w:r>
      <w:r w:rsidR="006C218F" w:rsidRPr="00495869">
        <w:rPr>
          <w:lang w:val="en-GB"/>
        </w:rPr>
        <w:t>study. We u</w:t>
      </w:r>
      <w:r w:rsidR="007A4E37">
        <w:rPr>
          <w:lang w:val="en-GB"/>
        </w:rPr>
        <w:t>se a broad definition of mature-</w:t>
      </w:r>
      <w:r w:rsidR="006C218F" w:rsidRPr="00495869">
        <w:rPr>
          <w:lang w:val="en-GB"/>
        </w:rPr>
        <w:t>age education: any study towards a</w:t>
      </w:r>
      <w:r w:rsidRPr="00495869">
        <w:rPr>
          <w:lang w:val="en-GB"/>
        </w:rPr>
        <w:t xml:space="preserve"> formal education qualification </w:t>
      </w:r>
      <w:r w:rsidR="005F3FF1" w:rsidRPr="00495869">
        <w:rPr>
          <w:lang w:val="en-GB"/>
        </w:rPr>
        <w:t>for those</w:t>
      </w:r>
      <w:r w:rsidRPr="00495869">
        <w:rPr>
          <w:lang w:val="en-GB"/>
        </w:rPr>
        <w:t xml:space="preserve"> aged 25 to 64</w:t>
      </w:r>
      <w:r w:rsidR="005F3FF1" w:rsidRPr="00495869">
        <w:rPr>
          <w:lang w:val="en-GB"/>
        </w:rPr>
        <w:t xml:space="preserve"> years</w:t>
      </w:r>
      <w:r w:rsidRPr="00495869">
        <w:rPr>
          <w:lang w:val="en-GB"/>
        </w:rPr>
        <w:t xml:space="preserve">. </w:t>
      </w:r>
      <w:r w:rsidR="006C218F" w:rsidRPr="00495869">
        <w:rPr>
          <w:lang w:val="en-GB"/>
        </w:rPr>
        <w:t>We also break down our estimates by age group</w:t>
      </w:r>
      <w:r w:rsidR="0041708C" w:rsidRPr="00495869">
        <w:rPr>
          <w:lang w:val="en-GB"/>
        </w:rPr>
        <w:t xml:space="preserve"> in order to understand whether outcomes differ by when further study is undertaken</w:t>
      </w:r>
      <w:r w:rsidR="006C218F" w:rsidRPr="00495869">
        <w:rPr>
          <w:lang w:val="en-GB"/>
        </w:rPr>
        <w:t xml:space="preserve">. </w:t>
      </w:r>
      <w:r w:rsidRPr="00495869">
        <w:rPr>
          <w:lang w:val="en-GB"/>
        </w:rPr>
        <w:t xml:space="preserve">Furthermore, </w:t>
      </w:r>
      <w:r w:rsidR="0041708C" w:rsidRPr="00495869">
        <w:rPr>
          <w:lang w:val="en-GB"/>
        </w:rPr>
        <w:t>we</w:t>
      </w:r>
      <w:r w:rsidRPr="00495869">
        <w:rPr>
          <w:lang w:val="en-GB"/>
        </w:rPr>
        <w:t xml:space="preserve"> i</w:t>
      </w:r>
      <w:r w:rsidR="002D69E6" w:rsidRPr="00495869">
        <w:rPr>
          <w:lang w:val="en-GB"/>
        </w:rPr>
        <w:t xml:space="preserve">nvestigate </w:t>
      </w:r>
      <w:r w:rsidR="005F3FF1" w:rsidRPr="00495869">
        <w:rPr>
          <w:lang w:val="en-GB"/>
        </w:rPr>
        <w:t>possible reasons</w:t>
      </w:r>
      <w:r w:rsidR="0041708C" w:rsidRPr="00495869">
        <w:rPr>
          <w:lang w:val="en-GB"/>
        </w:rPr>
        <w:t xml:space="preserve"> </w:t>
      </w:r>
      <w:r w:rsidR="00C874D5">
        <w:rPr>
          <w:lang w:val="en-GB"/>
        </w:rPr>
        <w:t>for</w:t>
      </w:r>
      <w:r w:rsidRPr="00495869">
        <w:rPr>
          <w:lang w:val="en-GB"/>
        </w:rPr>
        <w:t xml:space="preserve"> Australia </w:t>
      </w:r>
      <w:r w:rsidR="00C874D5">
        <w:rPr>
          <w:lang w:val="en-GB"/>
        </w:rPr>
        <w:t>having</w:t>
      </w:r>
      <w:r w:rsidRPr="00495869">
        <w:rPr>
          <w:lang w:val="en-GB"/>
        </w:rPr>
        <w:t xml:space="preserve"> such a high proportion of adult participation in education compar</w:t>
      </w:r>
      <w:r w:rsidR="0041708C" w:rsidRPr="00495869">
        <w:rPr>
          <w:lang w:val="en-GB"/>
        </w:rPr>
        <w:t>ed</w:t>
      </w:r>
      <w:r w:rsidRPr="00495869">
        <w:rPr>
          <w:lang w:val="en-GB"/>
        </w:rPr>
        <w:t xml:space="preserve"> </w:t>
      </w:r>
      <w:r w:rsidR="007A4E37">
        <w:rPr>
          <w:lang w:val="en-GB"/>
        </w:rPr>
        <w:t>with</w:t>
      </w:r>
      <w:r w:rsidRPr="00495869">
        <w:rPr>
          <w:lang w:val="en-GB"/>
        </w:rPr>
        <w:t xml:space="preserve"> other </w:t>
      </w:r>
      <w:r w:rsidR="0041708C" w:rsidRPr="00495869">
        <w:rPr>
          <w:lang w:val="en-GB"/>
        </w:rPr>
        <w:t xml:space="preserve">developed </w:t>
      </w:r>
      <w:r w:rsidRPr="00495869">
        <w:rPr>
          <w:lang w:val="en-GB"/>
        </w:rPr>
        <w:t xml:space="preserve">countries. </w:t>
      </w:r>
      <w:r w:rsidR="0041708C" w:rsidRPr="00495869">
        <w:rPr>
          <w:lang w:val="en-GB"/>
        </w:rPr>
        <w:t>Specifically, we compare</w:t>
      </w:r>
      <w:r w:rsidR="00124C8C" w:rsidRPr="00495869">
        <w:rPr>
          <w:lang w:val="en-GB"/>
        </w:rPr>
        <w:t xml:space="preserve"> Australia </w:t>
      </w:r>
      <w:r w:rsidR="0041708C" w:rsidRPr="00495869">
        <w:rPr>
          <w:lang w:val="en-GB"/>
        </w:rPr>
        <w:t xml:space="preserve">with </w:t>
      </w:r>
      <w:r w:rsidR="00124C8C" w:rsidRPr="00495869">
        <w:rPr>
          <w:lang w:val="en-GB"/>
        </w:rPr>
        <w:t>Great Britain, a country which shares many cultural aspects with Australia</w:t>
      </w:r>
      <w:r w:rsidR="007A4E37">
        <w:rPr>
          <w:lang w:val="en-GB"/>
        </w:rPr>
        <w:t>,</w:t>
      </w:r>
      <w:r w:rsidR="00124C8C" w:rsidRPr="00495869">
        <w:rPr>
          <w:lang w:val="en-GB"/>
        </w:rPr>
        <w:t xml:space="preserve"> yet </w:t>
      </w:r>
      <w:r w:rsidR="0041708C" w:rsidRPr="00495869">
        <w:rPr>
          <w:lang w:val="en-GB"/>
        </w:rPr>
        <w:t xml:space="preserve">has </w:t>
      </w:r>
      <w:r w:rsidR="00124C8C" w:rsidRPr="00495869">
        <w:rPr>
          <w:lang w:val="en-GB"/>
        </w:rPr>
        <w:t xml:space="preserve">much lower </w:t>
      </w:r>
      <w:r w:rsidR="0041708C" w:rsidRPr="00495869">
        <w:rPr>
          <w:lang w:val="en-GB"/>
        </w:rPr>
        <w:t xml:space="preserve">adult participation rates in formal education. </w:t>
      </w:r>
    </w:p>
    <w:p w:rsidR="00DB5A3D" w:rsidRDefault="00DB5A3D" w:rsidP="00495869">
      <w:pPr>
        <w:pStyle w:val="Text"/>
        <w:ind w:right="0"/>
        <w:rPr>
          <w:lang w:val="en-GB"/>
        </w:rPr>
      </w:pPr>
      <w:r w:rsidRPr="00495869">
        <w:rPr>
          <w:lang w:val="en-GB"/>
        </w:rPr>
        <w:t>Our empirical analysis has four components:</w:t>
      </w:r>
    </w:p>
    <w:p w:rsidR="005D1D16" w:rsidRDefault="007A4E37" w:rsidP="002120F5">
      <w:pPr>
        <w:pStyle w:val="NumberedListContinuing"/>
        <w:ind w:left="284" w:hanging="284"/>
      </w:pPr>
      <w:r>
        <w:t>We provide mature-</w:t>
      </w:r>
      <w:r w:rsidR="00B671FE">
        <w:t xml:space="preserve">age education participation rates broken down by age group, gender, level of study, whether </w:t>
      </w:r>
      <w:r w:rsidR="005F3FF1">
        <w:t xml:space="preserve">studying on a </w:t>
      </w:r>
      <w:r w:rsidR="00B671FE">
        <w:t>full</w:t>
      </w:r>
      <w:r w:rsidR="005F3FF1">
        <w:t>-</w:t>
      </w:r>
      <w:r w:rsidR="00B671FE">
        <w:t xml:space="preserve"> or part-time</w:t>
      </w:r>
      <w:r w:rsidR="005F3FF1">
        <w:t xml:space="preserve"> basis</w:t>
      </w:r>
      <w:r w:rsidR="00B671FE">
        <w:t xml:space="preserve">, mode of study (on campus or distance), </w:t>
      </w:r>
      <w:r w:rsidR="0070433A">
        <w:t xml:space="preserve">type of </w:t>
      </w:r>
      <w:r w:rsidR="00B671FE">
        <w:t>institution</w:t>
      </w:r>
      <w:r w:rsidR="00906371">
        <w:t>, number of courses,</w:t>
      </w:r>
      <w:r w:rsidR="00A96AA7">
        <w:t xml:space="preserve"> initial education levels,</w:t>
      </w:r>
      <w:r w:rsidR="00B671FE">
        <w:t xml:space="preserve"> and main reason for study. </w:t>
      </w:r>
    </w:p>
    <w:p w:rsidR="005D1D16" w:rsidRDefault="00B671FE" w:rsidP="002120F5">
      <w:pPr>
        <w:pStyle w:val="NumberedListContinuing"/>
        <w:ind w:left="284" w:hanging="284"/>
      </w:pPr>
      <w:r>
        <w:t xml:space="preserve">We ascertain </w:t>
      </w:r>
      <w:r w:rsidR="008F1BE3">
        <w:t>the</w:t>
      </w:r>
      <w:r>
        <w:t xml:space="preserve"> </w:t>
      </w:r>
      <w:r w:rsidR="00CE083C">
        <w:t xml:space="preserve">specific </w:t>
      </w:r>
      <w:r>
        <w:t>individual and initial labour market characteristics related to the decision to study at mature ages</w:t>
      </w:r>
      <w:r w:rsidR="00CE083C">
        <w:t xml:space="preserve"> among the following</w:t>
      </w:r>
      <w:r>
        <w:t xml:space="preserve">: </w:t>
      </w:r>
      <w:r w:rsidRPr="00495869">
        <w:t xml:space="preserve">initial education levels, work experience, income, marital and dependent status, membership of </w:t>
      </w:r>
      <w:r w:rsidR="00E358DC" w:rsidRPr="00495869">
        <w:t>disadvantaged groups (</w:t>
      </w:r>
      <w:r w:rsidRPr="00495869">
        <w:t xml:space="preserve">low parental </w:t>
      </w:r>
      <w:r w:rsidR="00CD6902">
        <w:t>socioeconomic status</w:t>
      </w:r>
      <w:r w:rsidRPr="00495869">
        <w:t>, immigrant status, non-English home language, disability status), employment status, wage rates, initial job satisfaction, and use of skills in the initial job.</w:t>
      </w:r>
    </w:p>
    <w:p w:rsidR="005D1D16" w:rsidRDefault="00B671FE" w:rsidP="002120F5">
      <w:pPr>
        <w:pStyle w:val="NumberedListContinuing"/>
        <w:ind w:left="284" w:hanging="284"/>
      </w:pPr>
      <w:r w:rsidRPr="00495869">
        <w:t xml:space="preserve">We provide estimates of the effect of </w:t>
      </w:r>
      <w:r w:rsidR="007A4E37">
        <w:t>mature-age</w:t>
      </w:r>
      <w:r w:rsidRPr="00495869">
        <w:t xml:space="preserve"> education </w:t>
      </w:r>
      <w:r w:rsidR="00CE083C" w:rsidRPr="00495869">
        <w:t xml:space="preserve">on a large number of labour market and related outcomes. The estimates are constructed using changes in the outcomes from before to after the education spell. </w:t>
      </w:r>
    </w:p>
    <w:p w:rsidR="005D1D16" w:rsidRDefault="00CE083C" w:rsidP="002120F5">
      <w:pPr>
        <w:pStyle w:val="NumberedListContinuing"/>
        <w:ind w:left="284" w:hanging="284"/>
      </w:pPr>
      <w:r w:rsidRPr="00495869">
        <w:t xml:space="preserve">We provide </w:t>
      </w:r>
      <w:r w:rsidR="00E358DC" w:rsidRPr="00495869">
        <w:t>estimate</w:t>
      </w:r>
      <w:r w:rsidR="00426201" w:rsidRPr="00495869">
        <w:t>s</w:t>
      </w:r>
      <w:r w:rsidR="00E358DC" w:rsidRPr="00495869">
        <w:t xml:space="preserve"> of the proportion</w:t>
      </w:r>
      <w:r w:rsidRPr="00495869">
        <w:t xml:space="preserve"> of the </w:t>
      </w:r>
      <w:r w:rsidR="007A4E37">
        <w:t>mature-age</w:t>
      </w:r>
      <w:r w:rsidRPr="00495869">
        <w:t xml:space="preserve"> education participation gap between Australia and Great Britain</w:t>
      </w:r>
      <w:r w:rsidR="00E358DC" w:rsidRPr="00495869">
        <w:t xml:space="preserve"> that can be attributed to differences in underlying population characteristics. </w:t>
      </w:r>
      <w:r w:rsidR="00426201" w:rsidRPr="00495869">
        <w:t xml:space="preserve">A breakdown of the specific differences in characteristics that may contribute to the gap is provided. </w:t>
      </w:r>
    </w:p>
    <w:p w:rsidR="003D521B" w:rsidRPr="00495869" w:rsidRDefault="00426201" w:rsidP="00495869">
      <w:pPr>
        <w:pStyle w:val="Text"/>
        <w:ind w:right="0"/>
        <w:rPr>
          <w:lang w:val="en-GB"/>
        </w:rPr>
      </w:pPr>
      <w:r>
        <w:rPr>
          <w:lang w:val="en-GB"/>
        </w:rPr>
        <w:t xml:space="preserve">One of the main contributions of this investigation is the breadth of the labour market outcomes </w:t>
      </w:r>
      <w:r w:rsidR="0047447E">
        <w:rPr>
          <w:lang w:val="en-GB"/>
        </w:rPr>
        <w:t xml:space="preserve">investigated in the third component. </w:t>
      </w:r>
      <w:r w:rsidR="00B96AFE" w:rsidRPr="00495869">
        <w:rPr>
          <w:lang w:val="en-GB"/>
        </w:rPr>
        <w:t>M</w:t>
      </w:r>
      <w:r w:rsidR="008E3F76" w:rsidRPr="00495869">
        <w:rPr>
          <w:lang w:val="en-GB"/>
        </w:rPr>
        <w:t xml:space="preserve">ost </w:t>
      </w:r>
      <w:r w:rsidR="0047447E" w:rsidRPr="00495869">
        <w:rPr>
          <w:lang w:val="en-GB"/>
        </w:rPr>
        <w:t xml:space="preserve">prior research has </w:t>
      </w:r>
      <w:r w:rsidR="008E3F76" w:rsidRPr="00495869">
        <w:rPr>
          <w:lang w:val="en-GB"/>
        </w:rPr>
        <w:t>focus</w:t>
      </w:r>
      <w:r w:rsidR="0047447E" w:rsidRPr="00495869">
        <w:rPr>
          <w:lang w:val="en-GB"/>
        </w:rPr>
        <w:t>ed</w:t>
      </w:r>
      <w:r w:rsidR="008E3F76" w:rsidRPr="00495869">
        <w:rPr>
          <w:lang w:val="en-GB"/>
        </w:rPr>
        <w:t xml:space="preserve"> on</w:t>
      </w:r>
      <w:r w:rsidR="00B96AFE" w:rsidRPr="00495869">
        <w:rPr>
          <w:lang w:val="en-GB"/>
        </w:rPr>
        <w:t xml:space="preserve"> the effects of adult education </w:t>
      </w:r>
      <w:r w:rsidRPr="00495869">
        <w:rPr>
          <w:lang w:val="en-GB"/>
        </w:rPr>
        <w:t xml:space="preserve">on </w:t>
      </w:r>
      <w:r w:rsidR="003622EF" w:rsidRPr="00495869">
        <w:rPr>
          <w:lang w:val="en-GB"/>
        </w:rPr>
        <w:t>a small set of outcomes</w:t>
      </w:r>
      <w:r w:rsidR="0047447E" w:rsidRPr="00495869">
        <w:rPr>
          <w:lang w:val="en-GB"/>
        </w:rPr>
        <w:t xml:space="preserve"> only</w:t>
      </w:r>
      <w:r w:rsidR="003622EF" w:rsidRPr="00495869">
        <w:rPr>
          <w:lang w:val="en-GB"/>
        </w:rPr>
        <w:t>, in particular</w:t>
      </w:r>
      <w:r w:rsidR="00226BCD">
        <w:rPr>
          <w:lang w:val="en-GB"/>
        </w:rPr>
        <w:t>,</w:t>
      </w:r>
      <w:r w:rsidR="00B96AFE" w:rsidRPr="00495869">
        <w:rPr>
          <w:lang w:val="en-GB"/>
        </w:rPr>
        <w:t xml:space="preserve"> wage</w:t>
      </w:r>
      <w:r w:rsidR="0047447E" w:rsidRPr="00495869">
        <w:rPr>
          <w:lang w:val="en-GB"/>
        </w:rPr>
        <w:t xml:space="preserve"> rate</w:t>
      </w:r>
      <w:r w:rsidR="00B96AFE" w:rsidRPr="00495869">
        <w:rPr>
          <w:lang w:val="en-GB"/>
        </w:rPr>
        <w:t xml:space="preserve">s and </w:t>
      </w:r>
      <w:r w:rsidR="00124C8C" w:rsidRPr="00495869">
        <w:rPr>
          <w:lang w:val="en-GB"/>
        </w:rPr>
        <w:t>employment probabilities</w:t>
      </w:r>
      <w:r w:rsidR="00B96AFE" w:rsidRPr="00495869">
        <w:rPr>
          <w:lang w:val="en-GB"/>
        </w:rPr>
        <w:t xml:space="preserve">. Taking full advantage of the rich set of variables </w:t>
      </w:r>
      <w:r w:rsidR="0047447E" w:rsidRPr="00495869">
        <w:rPr>
          <w:lang w:val="en-GB"/>
        </w:rPr>
        <w:t xml:space="preserve">available </w:t>
      </w:r>
      <w:r w:rsidR="00B96AFE" w:rsidRPr="00495869">
        <w:rPr>
          <w:lang w:val="en-GB"/>
        </w:rPr>
        <w:t xml:space="preserve">in the </w:t>
      </w:r>
      <w:r w:rsidR="00043321" w:rsidRPr="00495869">
        <w:rPr>
          <w:lang w:val="en-GB"/>
        </w:rPr>
        <w:t xml:space="preserve">Household, Income and Labour Dynamics in Australia (HILDA) </w:t>
      </w:r>
      <w:r w:rsidR="00226BCD" w:rsidRPr="00495869">
        <w:rPr>
          <w:lang w:val="en-GB"/>
        </w:rPr>
        <w:t xml:space="preserve">Survey </w:t>
      </w:r>
      <w:r w:rsidR="00B96AFE" w:rsidRPr="00495869">
        <w:rPr>
          <w:lang w:val="en-GB"/>
        </w:rPr>
        <w:t xml:space="preserve">dataset, </w:t>
      </w:r>
      <w:r w:rsidR="0047447E" w:rsidRPr="00495869">
        <w:rPr>
          <w:lang w:val="en-GB"/>
        </w:rPr>
        <w:t>we</w:t>
      </w:r>
      <w:r w:rsidR="00952A01" w:rsidRPr="00495869">
        <w:rPr>
          <w:lang w:val="en-GB"/>
        </w:rPr>
        <w:t xml:space="preserve"> study a large set of outcomes</w:t>
      </w:r>
      <w:r w:rsidR="00C874D5">
        <w:rPr>
          <w:lang w:val="en-GB"/>
        </w:rPr>
        <w:t>,</w:t>
      </w:r>
      <w:r w:rsidR="0047447E" w:rsidRPr="00495869">
        <w:rPr>
          <w:lang w:val="en-GB"/>
        </w:rPr>
        <w:t xml:space="preserve"> a</w:t>
      </w:r>
      <w:r w:rsidR="00952A01" w:rsidRPr="00495869">
        <w:rPr>
          <w:lang w:val="en-GB"/>
        </w:rPr>
        <w:t xml:space="preserve">long with </w:t>
      </w:r>
      <w:r w:rsidR="0047447E" w:rsidRPr="00495869">
        <w:rPr>
          <w:lang w:val="en-GB"/>
        </w:rPr>
        <w:t xml:space="preserve">these two </w:t>
      </w:r>
      <w:r w:rsidR="00952A01" w:rsidRPr="00495869">
        <w:rPr>
          <w:lang w:val="en-GB"/>
        </w:rPr>
        <w:t xml:space="preserve">standard </w:t>
      </w:r>
      <w:r w:rsidR="00E2763F" w:rsidRPr="00495869">
        <w:rPr>
          <w:lang w:val="en-GB"/>
        </w:rPr>
        <w:t>measures</w:t>
      </w:r>
      <w:r w:rsidR="0047447E" w:rsidRPr="00495869">
        <w:rPr>
          <w:lang w:val="en-GB"/>
        </w:rPr>
        <w:t>. We also estimate</w:t>
      </w:r>
      <w:r w:rsidR="00952A01" w:rsidRPr="00495869">
        <w:rPr>
          <w:lang w:val="en-GB"/>
        </w:rPr>
        <w:t xml:space="preserve"> </w:t>
      </w:r>
      <w:r w:rsidR="00E2763F" w:rsidRPr="00495869">
        <w:rPr>
          <w:lang w:val="en-GB"/>
        </w:rPr>
        <w:t>the effects</w:t>
      </w:r>
      <w:r w:rsidR="0047447E" w:rsidRPr="00495869">
        <w:rPr>
          <w:lang w:val="en-GB"/>
        </w:rPr>
        <w:t xml:space="preserve"> of </w:t>
      </w:r>
      <w:r w:rsidR="007A4E37">
        <w:rPr>
          <w:lang w:val="en-GB"/>
        </w:rPr>
        <w:t>mature-age</w:t>
      </w:r>
      <w:r w:rsidR="0047447E" w:rsidRPr="00495869">
        <w:rPr>
          <w:lang w:val="en-GB"/>
        </w:rPr>
        <w:t xml:space="preserve"> study </w:t>
      </w:r>
      <w:r w:rsidR="00E2763F" w:rsidRPr="00495869">
        <w:rPr>
          <w:lang w:val="en-GB"/>
        </w:rPr>
        <w:t xml:space="preserve">on </w:t>
      </w:r>
      <w:r w:rsidR="0047447E" w:rsidRPr="00495869">
        <w:rPr>
          <w:lang w:val="en-GB"/>
        </w:rPr>
        <w:t xml:space="preserve">hours of work, </w:t>
      </w:r>
      <w:r w:rsidR="00952A01" w:rsidRPr="00495869">
        <w:rPr>
          <w:lang w:val="en-GB"/>
        </w:rPr>
        <w:t>levels of job and life satisfaction, the extent of skills utilisation at work</w:t>
      </w:r>
      <w:r w:rsidR="0047447E" w:rsidRPr="00495869">
        <w:rPr>
          <w:lang w:val="en-GB"/>
        </w:rPr>
        <w:t>, the probability of holdin</w:t>
      </w:r>
      <w:r w:rsidR="00CD6902">
        <w:rPr>
          <w:lang w:val="en-GB"/>
        </w:rPr>
        <w:t>g a permanent versus a casual/fixed-</w:t>
      </w:r>
      <w:r w:rsidR="0047447E" w:rsidRPr="00495869">
        <w:rPr>
          <w:lang w:val="en-GB"/>
        </w:rPr>
        <w:t>term job,</w:t>
      </w:r>
      <w:r w:rsidR="00DF2E2F" w:rsidRPr="00495869">
        <w:rPr>
          <w:lang w:val="en-GB"/>
        </w:rPr>
        <w:t xml:space="preserve"> </w:t>
      </w:r>
      <w:r w:rsidR="0047447E" w:rsidRPr="00495869">
        <w:rPr>
          <w:lang w:val="en-GB"/>
        </w:rPr>
        <w:t xml:space="preserve">and </w:t>
      </w:r>
      <w:r w:rsidR="00DF2E2F" w:rsidRPr="00495869">
        <w:rPr>
          <w:lang w:val="en-GB"/>
        </w:rPr>
        <w:t>occupational status</w:t>
      </w:r>
      <w:r w:rsidR="0047447E" w:rsidRPr="00495869">
        <w:rPr>
          <w:lang w:val="en-GB"/>
        </w:rPr>
        <w:t xml:space="preserve"> (prestige)</w:t>
      </w:r>
      <w:r w:rsidR="00DF2E2F" w:rsidRPr="00495869">
        <w:rPr>
          <w:lang w:val="en-GB"/>
        </w:rPr>
        <w:t>.</w:t>
      </w:r>
      <w:r w:rsidR="001C73D5">
        <w:rPr>
          <w:lang w:val="en-GB"/>
        </w:rPr>
        <w:t xml:space="preserve"> </w:t>
      </w:r>
    </w:p>
    <w:p w:rsidR="007B59D7" w:rsidRPr="00495869" w:rsidRDefault="007B59D7" w:rsidP="00495869">
      <w:pPr>
        <w:pStyle w:val="Text"/>
        <w:ind w:right="0"/>
        <w:rPr>
          <w:lang w:val="en-GB"/>
        </w:rPr>
      </w:pPr>
      <w:r w:rsidRPr="00495869">
        <w:rPr>
          <w:lang w:val="en-GB"/>
        </w:rPr>
        <w:t xml:space="preserve">The empirical analyses are conducted </w:t>
      </w:r>
      <w:r w:rsidR="00E358DC" w:rsidRPr="00495869">
        <w:rPr>
          <w:lang w:val="en-GB"/>
        </w:rPr>
        <w:t>using</w:t>
      </w:r>
      <w:r w:rsidRPr="00495869">
        <w:rPr>
          <w:lang w:val="en-GB"/>
        </w:rPr>
        <w:t xml:space="preserve"> data from the </w:t>
      </w:r>
      <w:r w:rsidR="00043321" w:rsidRPr="00495869">
        <w:rPr>
          <w:lang w:val="en-GB"/>
        </w:rPr>
        <w:t xml:space="preserve">HILDA </w:t>
      </w:r>
      <w:r w:rsidR="00C874D5">
        <w:rPr>
          <w:lang w:val="en-GB"/>
        </w:rPr>
        <w:t>S</w:t>
      </w:r>
      <w:r w:rsidR="00360923" w:rsidRPr="00495869">
        <w:rPr>
          <w:lang w:val="en-GB"/>
        </w:rPr>
        <w:t xml:space="preserve">urvey </w:t>
      </w:r>
      <w:r w:rsidRPr="00495869">
        <w:rPr>
          <w:lang w:val="en-GB"/>
        </w:rPr>
        <w:t xml:space="preserve">for the period 2001 </w:t>
      </w:r>
      <w:r w:rsidR="00E358DC" w:rsidRPr="00495869">
        <w:rPr>
          <w:lang w:val="en-GB"/>
        </w:rPr>
        <w:t>to</w:t>
      </w:r>
      <w:r w:rsidRPr="00495869">
        <w:rPr>
          <w:lang w:val="en-GB"/>
        </w:rPr>
        <w:t xml:space="preserve"> 2009. </w:t>
      </w:r>
      <w:r w:rsidR="003B3B59" w:rsidRPr="00495869">
        <w:rPr>
          <w:lang w:val="en-GB"/>
        </w:rPr>
        <w:t>We also</w:t>
      </w:r>
      <w:r w:rsidRPr="00495869">
        <w:rPr>
          <w:lang w:val="en-GB"/>
        </w:rPr>
        <w:t xml:space="preserve"> us</w:t>
      </w:r>
      <w:r w:rsidR="003B3B59" w:rsidRPr="00495869">
        <w:rPr>
          <w:lang w:val="en-GB"/>
        </w:rPr>
        <w:t>e</w:t>
      </w:r>
      <w:r w:rsidRPr="00495869">
        <w:rPr>
          <w:lang w:val="en-GB"/>
        </w:rPr>
        <w:t xml:space="preserve"> data from the Survey of Education and Training (SET) </w:t>
      </w:r>
      <w:r w:rsidR="003B3B59" w:rsidRPr="00495869">
        <w:rPr>
          <w:lang w:val="en-GB"/>
        </w:rPr>
        <w:t>for</w:t>
      </w:r>
      <w:r w:rsidRPr="00495869">
        <w:rPr>
          <w:lang w:val="en-GB"/>
        </w:rPr>
        <w:t xml:space="preserve"> 2009</w:t>
      </w:r>
      <w:r w:rsidR="003B3B59" w:rsidRPr="00495869">
        <w:rPr>
          <w:lang w:val="en-GB"/>
        </w:rPr>
        <w:t xml:space="preserve"> to undertake some of the more detailed breakdowns of participation rates</w:t>
      </w:r>
      <w:r w:rsidRPr="00495869">
        <w:rPr>
          <w:lang w:val="en-GB"/>
        </w:rPr>
        <w:t xml:space="preserve">. Finally, the comparison between Australia and Great Britain is carried out </w:t>
      </w:r>
      <w:r w:rsidR="003B3B59" w:rsidRPr="00495869">
        <w:rPr>
          <w:lang w:val="en-GB"/>
        </w:rPr>
        <w:t>using</w:t>
      </w:r>
      <w:r w:rsidRPr="00495869">
        <w:rPr>
          <w:lang w:val="en-GB"/>
        </w:rPr>
        <w:t xml:space="preserve"> data from the British Household Panel Study (BHPS). </w:t>
      </w:r>
    </w:p>
    <w:p w:rsidR="007578DF" w:rsidRDefault="00CD6902" w:rsidP="007578DF">
      <w:pPr>
        <w:pStyle w:val="Heading2"/>
      </w:pPr>
      <w:bookmarkStart w:id="31" w:name="_Toc334021119"/>
      <w:bookmarkStart w:id="32" w:name="_Toc334101005"/>
      <w:r>
        <w:t>Key f</w:t>
      </w:r>
      <w:r w:rsidR="007578DF">
        <w:t>indings</w:t>
      </w:r>
      <w:bookmarkEnd w:id="31"/>
      <w:bookmarkEnd w:id="32"/>
      <w:r w:rsidR="007578DF">
        <w:t xml:space="preserve"> </w:t>
      </w:r>
    </w:p>
    <w:p w:rsidR="00DB5A3D" w:rsidRDefault="007A4E37" w:rsidP="007578DF">
      <w:pPr>
        <w:pStyle w:val="Heading3"/>
      </w:pPr>
      <w:r>
        <w:t>Mature-age</w:t>
      </w:r>
      <w:r w:rsidR="00DB5A3D">
        <w:t xml:space="preserve"> participation rates in formal education</w:t>
      </w:r>
    </w:p>
    <w:p w:rsidR="00360923" w:rsidRPr="00495869" w:rsidRDefault="00F0303C" w:rsidP="00226BC6">
      <w:pPr>
        <w:pStyle w:val="Textlessbefore"/>
      </w:pPr>
      <w:r w:rsidRPr="00495869">
        <w:t>As expected, current participation rate</w:t>
      </w:r>
      <w:r w:rsidR="00CD6902">
        <w:t>s fall with age, from around 14—</w:t>
      </w:r>
      <w:r w:rsidRPr="00495869">
        <w:t>15% of those aged 25 to 34</w:t>
      </w:r>
      <w:r w:rsidR="00CD6902">
        <w:t xml:space="preserve"> years down to 2—</w:t>
      </w:r>
      <w:r w:rsidRPr="00495869">
        <w:t>3% for those aged 55 to 64</w:t>
      </w:r>
      <w:r w:rsidR="00CD6902">
        <w:t xml:space="preserve"> years</w:t>
      </w:r>
      <w:r w:rsidRPr="00495869">
        <w:t>. O</w:t>
      </w:r>
      <w:r w:rsidR="00DB5A3D" w:rsidRPr="00495869">
        <w:t xml:space="preserve">lder individuals are </w:t>
      </w:r>
      <w:r w:rsidRPr="00495869">
        <w:t xml:space="preserve">also </w:t>
      </w:r>
      <w:r w:rsidR="00DB5A3D" w:rsidRPr="00495869">
        <w:t>more likely to be</w:t>
      </w:r>
      <w:r w:rsidRPr="00495869">
        <w:t xml:space="preserve"> enrolled</w:t>
      </w:r>
      <w:r w:rsidR="00DB5A3D" w:rsidRPr="00495869">
        <w:t xml:space="preserve"> in </w:t>
      </w:r>
      <w:r w:rsidR="00CD6902">
        <w:t>vocational education and training (</w:t>
      </w:r>
      <w:r w:rsidR="00DB5A3D" w:rsidRPr="00495869">
        <w:t>VET</w:t>
      </w:r>
      <w:r w:rsidR="00CD6902">
        <w:t>) rather than university-</w:t>
      </w:r>
      <w:r w:rsidRPr="00495869">
        <w:t>level study</w:t>
      </w:r>
      <w:r w:rsidR="00DB5A3D" w:rsidRPr="00495869">
        <w:t xml:space="preserve">, particularly at the </w:t>
      </w:r>
      <w:r w:rsidR="007771B6" w:rsidRPr="00495869">
        <w:t>c</w:t>
      </w:r>
      <w:r w:rsidR="00DB5A3D" w:rsidRPr="00495869">
        <w:t xml:space="preserve">ertificate III/IV level. While some individuals enrol in up to four different courses </w:t>
      </w:r>
      <w:r w:rsidRPr="00495869">
        <w:t>during</w:t>
      </w:r>
      <w:r w:rsidR="00DB5A3D" w:rsidRPr="00495869">
        <w:t xml:space="preserve"> </w:t>
      </w:r>
      <w:r w:rsidRPr="00495869">
        <w:t>the</w:t>
      </w:r>
      <w:r w:rsidR="00DB5A3D" w:rsidRPr="00495869">
        <w:t xml:space="preserve"> year, </w:t>
      </w:r>
      <w:r w:rsidRPr="00495869">
        <w:t>the</w:t>
      </w:r>
      <w:r w:rsidR="00DB5A3D" w:rsidRPr="00495869">
        <w:t xml:space="preserve"> majority only </w:t>
      </w:r>
      <w:r w:rsidRPr="00495869">
        <w:t>enrol in</w:t>
      </w:r>
      <w:r w:rsidR="00DB5A3D" w:rsidRPr="00495869">
        <w:t xml:space="preserve"> one. The main reasons </w:t>
      </w:r>
      <w:r w:rsidRPr="00495869">
        <w:t>provided for</w:t>
      </w:r>
      <w:r w:rsidR="00DB5A3D" w:rsidRPr="00495869">
        <w:t xml:space="preserve"> engag</w:t>
      </w:r>
      <w:r w:rsidRPr="00495869">
        <w:t>ing</w:t>
      </w:r>
      <w:r w:rsidR="00DB5A3D" w:rsidRPr="00495869">
        <w:t xml:space="preserve"> in further education </w:t>
      </w:r>
      <w:r w:rsidRPr="00495869">
        <w:t>differ</w:t>
      </w:r>
      <w:r w:rsidR="006367B8" w:rsidRPr="00495869">
        <w:t>ed</w:t>
      </w:r>
      <w:r w:rsidRPr="00495869">
        <w:t xml:space="preserve"> </w:t>
      </w:r>
      <w:r w:rsidR="006367B8" w:rsidRPr="00495869">
        <w:t xml:space="preserve">a little </w:t>
      </w:r>
      <w:r w:rsidRPr="00495869">
        <w:t xml:space="preserve">across genders, with males </w:t>
      </w:r>
      <w:r w:rsidR="006367B8" w:rsidRPr="00495869">
        <w:t>wanting to</w:t>
      </w:r>
      <w:r w:rsidR="00DB5A3D" w:rsidRPr="00495869">
        <w:t xml:space="preserve"> achieve a promotion or a different job, </w:t>
      </w:r>
      <w:r w:rsidR="006367B8" w:rsidRPr="00495869">
        <w:t>while females want</w:t>
      </w:r>
      <w:r w:rsidR="00360923" w:rsidRPr="00495869">
        <w:t>ed</w:t>
      </w:r>
      <w:r w:rsidR="006367B8" w:rsidRPr="00495869">
        <w:t xml:space="preserve"> to obtain a job. Both genders were likely to report that the </w:t>
      </w:r>
      <w:r w:rsidR="00226BCD">
        <w:t xml:space="preserve">aim of the </w:t>
      </w:r>
      <w:r w:rsidR="006367B8" w:rsidRPr="00495869">
        <w:t xml:space="preserve">education was to </w:t>
      </w:r>
      <w:r w:rsidR="00DB5A3D" w:rsidRPr="00495869">
        <w:t xml:space="preserve">acquire </w:t>
      </w:r>
      <w:r w:rsidR="006367B8" w:rsidRPr="00495869">
        <w:t>extra</w:t>
      </w:r>
      <w:r w:rsidR="00DB5A3D" w:rsidRPr="00495869">
        <w:t xml:space="preserve"> skills for the current </w:t>
      </w:r>
      <w:r w:rsidR="006367B8" w:rsidRPr="00495869">
        <w:t>job or that it was a requirement of the job</w:t>
      </w:r>
      <w:r w:rsidR="00DB5A3D" w:rsidRPr="00495869">
        <w:t xml:space="preserve">. </w:t>
      </w:r>
      <w:r w:rsidR="006367B8" w:rsidRPr="00495869">
        <w:t>C</w:t>
      </w:r>
      <w:r w:rsidR="00CD6902">
        <w:t>ertificate-</w:t>
      </w:r>
      <w:r w:rsidR="00DB5A3D" w:rsidRPr="00495869">
        <w:t>level studies attract</w:t>
      </w:r>
      <w:r w:rsidR="006367B8" w:rsidRPr="00495869">
        <w:t>ed</w:t>
      </w:r>
      <w:r w:rsidR="00DB5A3D" w:rsidRPr="00495869">
        <w:t xml:space="preserve"> the highest number of participants, </w:t>
      </w:r>
      <w:r w:rsidR="006367B8" w:rsidRPr="00495869">
        <w:t>with many participants</w:t>
      </w:r>
      <w:r w:rsidR="00DB5A3D" w:rsidRPr="00495869">
        <w:t xml:space="preserve"> already </w:t>
      </w:r>
      <w:r w:rsidR="006367B8" w:rsidRPr="00495869">
        <w:t xml:space="preserve">holding a certificate </w:t>
      </w:r>
      <w:r w:rsidR="00C874D5">
        <w:t>at</w:t>
      </w:r>
      <w:r w:rsidR="006367B8" w:rsidRPr="00495869">
        <w:t xml:space="preserve"> the same level or even a higher qualification</w:t>
      </w:r>
      <w:r w:rsidR="00DB5A3D" w:rsidRPr="00495869">
        <w:t>.</w:t>
      </w:r>
    </w:p>
    <w:p w:rsidR="007578DF" w:rsidRPr="00360923" w:rsidRDefault="007578DF" w:rsidP="00360923">
      <w:pPr>
        <w:pStyle w:val="Heading3"/>
      </w:pPr>
      <w:r w:rsidRPr="00360923">
        <w:t>The decision to enrol in education</w:t>
      </w:r>
    </w:p>
    <w:p w:rsidR="002B4068" w:rsidRPr="00B07B55" w:rsidRDefault="00C05954" w:rsidP="00226BC6">
      <w:pPr>
        <w:pStyle w:val="Textlessbefore"/>
      </w:pPr>
      <w:r w:rsidRPr="00495869">
        <w:t>Consistent with the reported participation rates by age group,</w:t>
      </w:r>
      <w:r w:rsidR="0065683C" w:rsidRPr="00495869">
        <w:t xml:space="preserve"> the probability of engaging in education decreases with age</w:t>
      </w:r>
      <w:r w:rsidRPr="00495869">
        <w:t xml:space="preserve">. </w:t>
      </w:r>
      <w:r w:rsidR="00616E02" w:rsidRPr="00495869">
        <w:t xml:space="preserve">Apart from age, the individual characteristic most closely related to enrolling was initial education level, with </w:t>
      </w:r>
      <w:r w:rsidR="0065683C">
        <w:t>m</w:t>
      </w:r>
      <w:r w:rsidR="0065683C" w:rsidRPr="00B07B55">
        <w:t xml:space="preserve">ore educated individuals </w:t>
      </w:r>
      <w:r w:rsidR="00616E02">
        <w:t>much more likely to enrol than individuals with very little prior education</w:t>
      </w:r>
      <w:r w:rsidR="005D1D16">
        <w:t xml:space="preserve">. </w:t>
      </w:r>
      <w:r w:rsidR="00616E02">
        <w:t xml:space="preserve">There are some notable </w:t>
      </w:r>
      <w:r w:rsidR="002B4068">
        <w:t xml:space="preserve">differences </w:t>
      </w:r>
      <w:r w:rsidR="00616E02">
        <w:t>between men and women</w:t>
      </w:r>
      <w:r w:rsidR="00616E02" w:rsidDel="00616E02">
        <w:t xml:space="preserve"> </w:t>
      </w:r>
      <w:r w:rsidR="00616E02">
        <w:t>in the characteristics related to participation</w:t>
      </w:r>
      <w:r w:rsidR="002B4068">
        <w:t xml:space="preserve">. </w:t>
      </w:r>
      <w:r w:rsidR="002B4068" w:rsidRPr="00B07B55">
        <w:t xml:space="preserve">For males, </w:t>
      </w:r>
      <w:r w:rsidR="00616E02">
        <w:t>participation was negatively</w:t>
      </w:r>
      <w:r w:rsidR="002B4068" w:rsidRPr="00B07B55">
        <w:t xml:space="preserve"> related to the </w:t>
      </w:r>
      <w:r w:rsidR="00616E02">
        <w:t xml:space="preserve">initial </w:t>
      </w:r>
      <w:r w:rsidR="002B4068" w:rsidRPr="00B07B55">
        <w:t xml:space="preserve">level of job satisfaction, wage </w:t>
      </w:r>
      <w:r w:rsidR="00616E02">
        <w:t>rate</w:t>
      </w:r>
      <w:r w:rsidR="002B4068">
        <w:t xml:space="preserve">s </w:t>
      </w:r>
      <w:r w:rsidR="00616E02">
        <w:t>and</w:t>
      </w:r>
      <w:r w:rsidR="002B4068">
        <w:t xml:space="preserve"> disposable income, while these </w:t>
      </w:r>
      <w:r w:rsidR="00616E02">
        <w:t xml:space="preserve">characteristics were unrelated to female </w:t>
      </w:r>
      <w:r w:rsidR="00031601">
        <w:t>enrolment.</w:t>
      </w:r>
      <w:r w:rsidR="002B4068">
        <w:t xml:space="preserve"> </w:t>
      </w:r>
      <w:r w:rsidR="00FC49A5">
        <w:t>Furthermore, w</w:t>
      </w:r>
      <w:r w:rsidR="00031601">
        <w:t xml:space="preserve">hile marital status </w:t>
      </w:r>
      <w:r w:rsidR="00616E02">
        <w:t>was not related to male participation</w:t>
      </w:r>
      <w:r w:rsidR="00031601">
        <w:t>,</w:t>
      </w:r>
      <w:r w:rsidR="002B4068" w:rsidRPr="00B07B55">
        <w:t xml:space="preserve"> engag</w:t>
      </w:r>
      <w:r w:rsidR="00616E02">
        <w:t>ement</w:t>
      </w:r>
      <w:r w:rsidR="002B4068" w:rsidRPr="00B07B55">
        <w:t xml:space="preserve"> is much higher for separated and divorced females relative to married females. This may reflect attempts by women who have experienced a marital disruption to re-enter the workforce by first acquiring a higher or more </w:t>
      </w:r>
      <w:r w:rsidR="00382BE3">
        <w:t xml:space="preserve">recent </w:t>
      </w:r>
      <w:r w:rsidR="002B4068" w:rsidRPr="00B07B55">
        <w:t>education credential.</w:t>
      </w:r>
      <w:r w:rsidR="00616E02">
        <w:t xml:space="preserve"> </w:t>
      </w:r>
      <w:r w:rsidR="00C114CF">
        <w:t>Note that</w:t>
      </w:r>
      <w:r w:rsidR="00616E02" w:rsidRPr="00B07B55">
        <w:t xml:space="preserve"> being born overseas</w:t>
      </w:r>
      <w:r w:rsidR="00C114CF">
        <w:t xml:space="preserve"> was not related </w:t>
      </w:r>
      <w:r w:rsidR="00CD6902">
        <w:t>to enrolment;</w:t>
      </w:r>
      <w:r w:rsidR="00C114CF">
        <w:t xml:space="preserve"> thus</w:t>
      </w:r>
      <w:r w:rsidR="00453518">
        <w:t>,</w:t>
      </w:r>
      <w:r w:rsidR="00616E02" w:rsidRPr="00B07B55">
        <w:t xml:space="preserve"> </w:t>
      </w:r>
      <w:r w:rsidR="00453518">
        <w:t>t</w:t>
      </w:r>
      <w:r w:rsidR="00616E02" w:rsidRPr="00B07B55">
        <w:t xml:space="preserve">he high enrolment rate </w:t>
      </w:r>
      <w:r w:rsidR="00C114CF">
        <w:t>in</w:t>
      </w:r>
      <w:r w:rsidR="00616E02" w:rsidRPr="00B07B55">
        <w:t xml:space="preserve"> Australia is not driven by the high proportion of immigrants in the Australian population.</w:t>
      </w:r>
    </w:p>
    <w:p w:rsidR="007578DF" w:rsidRDefault="00052CAE" w:rsidP="007578DF">
      <w:pPr>
        <w:pStyle w:val="Heading3"/>
      </w:pPr>
      <w:r>
        <w:rPr>
          <w:lang w:val="en-GB"/>
        </w:rPr>
        <w:t>Education and labour market outcomes</w:t>
      </w:r>
      <w:r w:rsidR="007578DF" w:rsidRPr="007578DF">
        <w:t xml:space="preserve"> </w:t>
      </w:r>
    </w:p>
    <w:p w:rsidR="004B75E0" w:rsidRDefault="00C16602" w:rsidP="00226BC6">
      <w:pPr>
        <w:pStyle w:val="Textlessbefore"/>
      </w:pPr>
      <w:r>
        <w:t xml:space="preserve">Among the ten labour market and wellbeing outcomes that we investigated, only a small number were affected by </w:t>
      </w:r>
      <w:r w:rsidR="007A4E37">
        <w:t>mature-age</w:t>
      </w:r>
      <w:r>
        <w:t xml:space="preserve"> study. </w:t>
      </w:r>
      <w:r w:rsidR="004A1DDF">
        <w:t>The significant effects that were estimated also differed by gender and education level</w:t>
      </w:r>
      <w:r w:rsidR="00C808A8">
        <w:t xml:space="preserve"> undertaken</w:t>
      </w:r>
      <w:r w:rsidR="004A1DDF">
        <w:t xml:space="preserve">. </w:t>
      </w:r>
      <w:r w:rsidR="00C808A8">
        <w:t xml:space="preserve">Disposable income </w:t>
      </w:r>
      <w:r w:rsidR="00360923">
        <w:t>increased</w:t>
      </w:r>
      <w:r w:rsidR="00C808A8">
        <w:t xml:space="preserve"> for females undertaking VET studies (certificates and diplomas)</w:t>
      </w:r>
      <w:r w:rsidR="00360923">
        <w:t xml:space="preserve"> only</w:t>
      </w:r>
      <w:r w:rsidR="00C808A8">
        <w:t xml:space="preserve">, while wage rates </w:t>
      </w:r>
      <w:r w:rsidR="00360923">
        <w:t>increased</w:t>
      </w:r>
      <w:r w:rsidR="00C808A8">
        <w:t xml:space="preserve"> for males undertaking university studies (bachelor and above)</w:t>
      </w:r>
      <w:r w:rsidR="00360923">
        <w:t xml:space="preserve"> only</w:t>
      </w:r>
      <w:r w:rsidR="00C808A8">
        <w:t>. M</w:t>
      </w:r>
      <w:r w:rsidR="0065683C">
        <w:t xml:space="preserve">ale adults </w:t>
      </w:r>
      <w:r w:rsidR="009B297C">
        <w:t>who</w:t>
      </w:r>
      <w:r w:rsidR="0065683C">
        <w:t xml:space="preserve"> engaged in VET </w:t>
      </w:r>
      <w:r w:rsidR="00C808A8">
        <w:t xml:space="preserve">study did </w:t>
      </w:r>
      <w:r w:rsidR="0065683C">
        <w:t xml:space="preserve">report higher </w:t>
      </w:r>
      <w:r w:rsidR="00C874D5">
        <w:t>levels</w:t>
      </w:r>
      <w:r w:rsidR="0065683C">
        <w:t xml:space="preserve"> of job satisfaction</w:t>
      </w:r>
      <w:r w:rsidR="00C20345">
        <w:t>, higher use of skills in the job</w:t>
      </w:r>
      <w:r w:rsidR="0065683C">
        <w:t xml:space="preserve"> and a reduction in the number of weekly hours of work. </w:t>
      </w:r>
      <w:r w:rsidR="00A536FC">
        <w:t>They also were more likely to retain employment if they completed their study and gained a qualification</w:t>
      </w:r>
      <w:r w:rsidR="0065683C">
        <w:t>. For females</w:t>
      </w:r>
      <w:r w:rsidR="00C874D5">
        <w:t>,</w:t>
      </w:r>
      <w:r w:rsidR="0065683C">
        <w:t xml:space="preserve"> </w:t>
      </w:r>
      <w:r w:rsidR="0065683C" w:rsidRPr="00B07B55">
        <w:t xml:space="preserve">the effects of </w:t>
      </w:r>
      <w:r w:rsidR="007A4E37">
        <w:t>mature-age</w:t>
      </w:r>
      <w:r w:rsidR="0065683C" w:rsidRPr="00B07B55">
        <w:t xml:space="preserve"> education </w:t>
      </w:r>
      <w:r w:rsidR="00A536FC">
        <w:t>were</w:t>
      </w:r>
      <w:r w:rsidR="0065683C" w:rsidRPr="00B07B55">
        <w:t xml:space="preserve"> mostly related to employ</w:t>
      </w:r>
      <w:r w:rsidR="009B297C">
        <w:t>ment status. VET-</w:t>
      </w:r>
      <w:r w:rsidR="0065683C" w:rsidRPr="00B07B55">
        <w:t xml:space="preserve">level </w:t>
      </w:r>
      <w:r w:rsidR="00A536FC">
        <w:t xml:space="preserve">studies in particular led to higher </w:t>
      </w:r>
      <w:r w:rsidR="0065683C" w:rsidRPr="00B07B55">
        <w:t>level</w:t>
      </w:r>
      <w:r w:rsidR="00A536FC">
        <w:t>s</w:t>
      </w:r>
      <w:r w:rsidR="0065683C" w:rsidRPr="00B07B55">
        <w:t xml:space="preserve"> of satisfaction with employment opportunities</w:t>
      </w:r>
      <w:r w:rsidR="00A536FC">
        <w:t xml:space="preserve"> and a higher </w:t>
      </w:r>
      <w:r w:rsidR="0065683C" w:rsidRPr="00B07B55">
        <w:t xml:space="preserve">probability of employment </w:t>
      </w:r>
      <w:r w:rsidR="00A536FC">
        <w:t>among</w:t>
      </w:r>
      <w:r w:rsidR="00A536FC" w:rsidRPr="00B07B55">
        <w:t xml:space="preserve"> </w:t>
      </w:r>
      <w:r w:rsidR="0065683C" w:rsidRPr="00B07B55">
        <w:t xml:space="preserve">previously non-employed </w:t>
      </w:r>
      <w:r w:rsidR="00A536FC">
        <w:t xml:space="preserve">(unemployed or out of the labour force) </w:t>
      </w:r>
      <w:r w:rsidR="0065683C" w:rsidRPr="00B07B55">
        <w:t xml:space="preserve">women. By enrolling in VET, women can increase their </w:t>
      </w:r>
      <w:r w:rsidR="00A536FC">
        <w:t>probability</w:t>
      </w:r>
      <w:r w:rsidR="00A536FC" w:rsidRPr="00B07B55">
        <w:t xml:space="preserve"> </w:t>
      </w:r>
      <w:r w:rsidR="0065683C" w:rsidRPr="00B07B55">
        <w:t xml:space="preserve">of finding a job by </w:t>
      </w:r>
      <w:r w:rsidR="00A536FC">
        <w:t xml:space="preserve">around </w:t>
      </w:r>
      <w:r w:rsidR="0065683C" w:rsidRPr="00B07B55">
        <w:t>3</w:t>
      </w:r>
      <w:r w:rsidR="009131D7">
        <w:t>3</w:t>
      </w:r>
      <w:r w:rsidR="0065683C" w:rsidRPr="00B07B55">
        <w:t xml:space="preserve"> percentage points. Enrol</w:t>
      </w:r>
      <w:r w:rsidR="004B75E0">
        <w:t>ment</w:t>
      </w:r>
      <w:r w:rsidR="0065683C" w:rsidRPr="00B07B55">
        <w:t xml:space="preserve"> in a bachelor degree or higher </w:t>
      </w:r>
      <w:r w:rsidR="00A536FC">
        <w:t xml:space="preserve">also </w:t>
      </w:r>
      <w:r w:rsidR="00A536FC" w:rsidRPr="00B07B55">
        <w:t>increase</w:t>
      </w:r>
      <w:r w:rsidR="00A536FC">
        <w:t>d</w:t>
      </w:r>
      <w:r w:rsidR="00A536FC" w:rsidRPr="00B07B55">
        <w:t xml:space="preserve"> </w:t>
      </w:r>
      <w:r w:rsidR="0065683C" w:rsidRPr="00B07B55">
        <w:t xml:space="preserve">the </w:t>
      </w:r>
      <w:r w:rsidR="00A536FC">
        <w:t>probability</w:t>
      </w:r>
      <w:r w:rsidR="00A536FC" w:rsidRPr="00B07B55">
        <w:t xml:space="preserve"> </w:t>
      </w:r>
      <w:r w:rsidR="0065683C" w:rsidRPr="00B07B55">
        <w:t xml:space="preserve">of </w:t>
      </w:r>
      <w:r w:rsidR="00A536FC">
        <w:t>females retaining</w:t>
      </w:r>
      <w:r w:rsidR="0065683C" w:rsidRPr="00B07B55">
        <w:t xml:space="preserve"> a permanent job by almost ten percentage points</w:t>
      </w:r>
      <w:r w:rsidR="004B75E0">
        <w:t>.</w:t>
      </w:r>
      <w:r w:rsidR="004B75E0" w:rsidRPr="001D0D94">
        <w:t xml:space="preserve"> </w:t>
      </w:r>
    </w:p>
    <w:p w:rsidR="008B3271" w:rsidRDefault="00621709" w:rsidP="00495869">
      <w:pPr>
        <w:pStyle w:val="Text"/>
        <w:ind w:right="0"/>
        <w:rPr>
          <w:lang w:val="en-GB"/>
        </w:rPr>
      </w:pPr>
      <w:r>
        <w:rPr>
          <w:lang w:val="en-GB"/>
        </w:rPr>
        <w:t>Apart from estimating the overall changes in outcomes from before to after an education spell, we also looked more closely at the yearly pattern in outcomes leading up to and after each spell</w:t>
      </w:r>
      <w:r w:rsidR="00C20345">
        <w:rPr>
          <w:lang w:val="en-GB"/>
        </w:rPr>
        <w:t xml:space="preserve"> of VET study</w:t>
      </w:r>
      <w:r>
        <w:rPr>
          <w:lang w:val="en-GB"/>
        </w:rPr>
        <w:t>. By doing so, we can observe</w:t>
      </w:r>
      <w:r w:rsidR="0065683C">
        <w:rPr>
          <w:lang w:val="en-GB"/>
        </w:rPr>
        <w:t xml:space="preserve"> whether any effect</w:t>
      </w:r>
      <w:r w:rsidR="0057449B">
        <w:rPr>
          <w:lang w:val="en-GB"/>
        </w:rPr>
        <w:t xml:space="preserve"> </w:t>
      </w:r>
      <w:r w:rsidR="0065683C">
        <w:rPr>
          <w:lang w:val="en-GB"/>
        </w:rPr>
        <w:t xml:space="preserve">of </w:t>
      </w:r>
      <w:r w:rsidR="007A4E37">
        <w:rPr>
          <w:lang w:val="en-GB"/>
        </w:rPr>
        <w:t>mature-age</w:t>
      </w:r>
      <w:r w:rsidR="00C20345">
        <w:rPr>
          <w:lang w:val="en-GB"/>
        </w:rPr>
        <w:t xml:space="preserve"> VET study</w:t>
      </w:r>
      <w:r>
        <w:rPr>
          <w:lang w:val="en-GB"/>
        </w:rPr>
        <w:t xml:space="preserve"> is immediate</w:t>
      </w:r>
      <w:r w:rsidR="00226BCD">
        <w:rPr>
          <w:lang w:val="en-GB"/>
        </w:rPr>
        <w:t>,</w:t>
      </w:r>
      <w:r>
        <w:rPr>
          <w:lang w:val="en-GB"/>
        </w:rPr>
        <w:t xml:space="preserve"> or take</w:t>
      </w:r>
      <w:r w:rsidR="00C20345">
        <w:rPr>
          <w:lang w:val="en-GB"/>
        </w:rPr>
        <w:t>s</w:t>
      </w:r>
      <w:r>
        <w:rPr>
          <w:lang w:val="en-GB"/>
        </w:rPr>
        <w:t xml:space="preserve"> time to materialise</w:t>
      </w:r>
      <w:r w:rsidR="0065683C">
        <w:rPr>
          <w:lang w:val="en-GB"/>
        </w:rPr>
        <w:t xml:space="preserve">. Furthermore, the approach also allows </w:t>
      </w:r>
      <w:r>
        <w:rPr>
          <w:lang w:val="en-GB"/>
        </w:rPr>
        <w:t>us to look for</w:t>
      </w:r>
      <w:r w:rsidR="0065683C">
        <w:rPr>
          <w:lang w:val="en-GB"/>
        </w:rPr>
        <w:t xml:space="preserve"> the existe</w:t>
      </w:r>
      <w:r w:rsidR="00CD6902">
        <w:rPr>
          <w:lang w:val="en-GB"/>
        </w:rPr>
        <w:t>nce of the phenomenon known as ‘Ashenfelter’s dip’; that is,</w:t>
      </w:r>
      <w:r w:rsidR="0065683C">
        <w:rPr>
          <w:lang w:val="en-GB"/>
        </w:rPr>
        <w:t xml:space="preserve"> whether</w:t>
      </w:r>
      <w:r w:rsidR="0065683C" w:rsidRPr="00B07B55">
        <w:rPr>
          <w:lang w:val="en-GB"/>
        </w:rPr>
        <w:t xml:space="preserve"> outcomes dip just before an education spell</w:t>
      </w:r>
      <w:r w:rsidR="0065683C">
        <w:rPr>
          <w:lang w:val="en-GB"/>
        </w:rPr>
        <w:t xml:space="preserve">. </w:t>
      </w:r>
      <w:r w:rsidR="0065683C" w:rsidRPr="00B07B55">
        <w:rPr>
          <w:lang w:val="en-GB"/>
        </w:rPr>
        <w:t>For males</w:t>
      </w:r>
      <w:r>
        <w:rPr>
          <w:lang w:val="en-GB"/>
        </w:rPr>
        <w:t>,</w:t>
      </w:r>
      <w:r w:rsidR="009612D3">
        <w:rPr>
          <w:lang w:val="en-GB"/>
        </w:rPr>
        <w:t xml:space="preserve"> t</w:t>
      </w:r>
      <w:r w:rsidR="0065683C" w:rsidRPr="00B07B55">
        <w:rPr>
          <w:lang w:val="en-GB"/>
        </w:rPr>
        <w:t xml:space="preserve">here is some evidence that weekly work hours </w:t>
      </w:r>
      <w:r>
        <w:rPr>
          <w:lang w:val="en-GB"/>
        </w:rPr>
        <w:t xml:space="preserve">actually </w:t>
      </w:r>
      <w:r w:rsidR="00CD6902">
        <w:rPr>
          <w:lang w:val="en-GB"/>
        </w:rPr>
        <w:t>fall in the year prior to study</w:t>
      </w:r>
      <w:r w:rsidR="0065683C" w:rsidRPr="00B07B55">
        <w:rPr>
          <w:lang w:val="en-GB"/>
        </w:rPr>
        <w:t xml:space="preserve"> and remain at that lower rate after study. Job satisfaction improve</w:t>
      </w:r>
      <w:r>
        <w:rPr>
          <w:lang w:val="en-GB"/>
        </w:rPr>
        <w:t>s</w:t>
      </w:r>
      <w:r w:rsidR="0065683C" w:rsidRPr="00B07B55">
        <w:rPr>
          <w:lang w:val="en-GB"/>
        </w:rPr>
        <w:t xml:space="preserve"> during study, with </w:t>
      </w:r>
      <w:r>
        <w:rPr>
          <w:lang w:val="en-GB"/>
        </w:rPr>
        <w:t>further</w:t>
      </w:r>
      <w:r w:rsidR="0065683C" w:rsidRPr="00B07B55">
        <w:rPr>
          <w:lang w:val="en-GB"/>
        </w:rPr>
        <w:t xml:space="preserve"> </w:t>
      </w:r>
      <w:r w:rsidRPr="00B07B55">
        <w:rPr>
          <w:lang w:val="en-GB"/>
        </w:rPr>
        <w:t>increas</w:t>
      </w:r>
      <w:r>
        <w:rPr>
          <w:lang w:val="en-GB"/>
        </w:rPr>
        <w:t xml:space="preserve">es </w:t>
      </w:r>
      <w:r w:rsidR="0065683C" w:rsidRPr="00B07B55">
        <w:rPr>
          <w:lang w:val="en-GB"/>
        </w:rPr>
        <w:t>in th</w:t>
      </w:r>
      <w:r w:rsidR="00516EC2">
        <w:rPr>
          <w:lang w:val="en-GB"/>
        </w:rPr>
        <w:t>e</w:t>
      </w:r>
      <w:r w:rsidR="0065683C" w:rsidRPr="00B07B55">
        <w:rPr>
          <w:lang w:val="en-GB"/>
        </w:rPr>
        <w:t xml:space="preserve"> years after study. The increased levels of job satisfaction may be related to the clear </w:t>
      </w:r>
      <w:r w:rsidR="00D24CF9">
        <w:rPr>
          <w:lang w:val="en-GB"/>
        </w:rPr>
        <w:t>and persistent increase</w:t>
      </w:r>
      <w:r w:rsidR="00822EE5">
        <w:rPr>
          <w:lang w:val="en-GB"/>
        </w:rPr>
        <w:t xml:space="preserve"> in the utilis</w:t>
      </w:r>
      <w:r w:rsidR="0065683C" w:rsidRPr="00B07B55">
        <w:rPr>
          <w:lang w:val="en-GB"/>
        </w:rPr>
        <w:t xml:space="preserve">ation of </w:t>
      </w:r>
      <w:r w:rsidR="00D24CF9">
        <w:rPr>
          <w:lang w:val="en-GB"/>
        </w:rPr>
        <w:t>skills in the job</w:t>
      </w:r>
      <w:r w:rsidR="0065683C" w:rsidRPr="00B07B55">
        <w:rPr>
          <w:lang w:val="en-GB"/>
        </w:rPr>
        <w:t>. For females, disposable income</w:t>
      </w:r>
      <w:r w:rsidR="00C20345">
        <w:rPr>
          <w:lang w:val="en-GB"/>
        </w:rPr>
        <w:t xml:space="preserve"> increases</w:t>
      </w:r>
      <w:r w:rsidR="0065683C" w:rsidRPr="00B07B55">
        <w:rPr>
          <w:lang w:val="en-GB"/>
        </w:rPr>
        <w:t xml:space="preserve"> for about four years </w:t>
      </w:r>
      <w:r w:rsidR="00C20345">
        <w:rPr>
          <w:lang w:val="en-GB"/>
        </w:rPr>
        <w:t>after study</w:t>
      </w:r>
      <w:r w:rsidR="00226BCD">
        <w:rPr>
          <w:lang w:val="en-GB"/>
        </w:rPr>
        <w:t>,</w:t>
      </w:r>
      <w:r w:rsidR="00C20345">
        <w:rPr>
          <w:lang w:val="en-GB"/>
        </w:rPr>
        <w:t xml:space="preserve"> </w:t>
      </w:r>
      <w:r w:rsidR="0065683C" w:rsidRPr="00B07B55">
        <w:rPr>
          <w:lang w:val="en-GB"/>
        </w:rPr>
        <w:t>b</w:t>
      </w:r>
      <w:r w:rsidR="008B3271">
        <w:rPr>
          <w:lang w:val="en-GB"/>
        </w:rPr>
        <w:t>efore returning to lower levels</w:t>
      </w:r>
      <w:r w:rsidR="00C20345">
        <w:rPr>
          <w:lang w:val="en-GB"/>
        </w:rPr>
        <w:t>.</w:t>
      </w:r>
      <w:r w:rsidR="008B3271">
        <w:rPr>
          <w:lang w:val="en-GB"/>
        </w:rPr>
        <w:t xml:space="preserve"> </w:t>
      </w:r>
      <w:r w:rsidR="00C20345">
        <w:rPr>
          <w:lang w:val="en-GB"/>
        </w:rPr>
        <w:t>T</w:t>
      </w:r>
      <w:r w:rsidR="008B3271" w:rsidRPr="00B07B55">
        <w:rPr>
          <w:lang w:val="en-GB"/>
        </w:rPr>
        <w:t>he level of satisfaction with job opportunities rises considerably</w:t>
      </w:r>
      <w:r w:rsidR="00C874D5">
        <w:rPr>
          <w:lang w:val="en-GB"/>
        </w:rPr>
        <w:t>,</w:t>
      </w:r>
      <w:r w:rsidR="008B3271" w:rsidRPr="00B07B55">
        <w:rPr>
          <w:lang w:val="en-GB"/>
        </w:rPr>
        <w:t xml:space="preserve"> starting from the year of study. </w:t>
      </w:r>
      <w:r w:rsidR="0065683C" w:rsidRPr="00B07B55">
        <w:rPr>
          <w:lang w:val="en-GB"/>
        </w:rPr>
        <w:t xml:space="preserve">Weekly hours of work and the probability of employment </w:t>
      </w:r>
      <w:r w:rsidR="003E6EA1">
        <w:rPr>
          <w:lang w:val="en-GB"/>
        </w:rPr>
        <w:t>show an upward trend</w:t>
      </w:r>
      <w:r w:rsidR="0065683C" w:rsidRPr="00B07B55">
        <w:rPr>
          <w:lang w:val="en-GB"/>
        </w:rPr>
        <w:t xml:space="preserve"> prior to VET study, with those trends flattening </w:t>
      </w:r>
      <w:r w:rsidR="00822EE5">
        <w:rPr>
          <w:lang w:val="en-GB"/>
        </w:rPr>
        <w:t>after</w:t>
      </w:r>
      <w:r w:rsidR="0065683C" w:rsidRPr="00B07B55">
        <w:rPr>
          <w:lang w:val="en-GB"/>
        </w:rPr>
        <w:t xml:space="preserve"> study. The use of skills in the current job appears to increase after study, although this measure shows more variability across the years for women compared </w:t>
      </w:r>
      <w:r w:rsidR="00822EE5">
        <w:rPr>
          <w:lang w:val="en-GB"/>
        </w:rPr>
        <w:t>with</w:t>
      </w:r>
      <w:r w:rsidR="0065683C" w:rsidRPr="00B07B55">
        <w:rPr>
          <w:lang w:val="en-GB"/>
        </w:rPr>
        <w:t xml:space="preserve"> men. </w:t>
      </w:r>
    </w:p>
    <w:p w:rsidR="007578DF" w:rsidRDefault="00052CAE" w:rsidP="007578DF">
      <w:pPr>
        <w:pStyle w:val="Heading3"/>
      </w:pPr>
      <w:r>
        <w:rPr>
          <w:lang w:val="en-GB"/>
        </w:rPr>
        <w:t>An international comparison</w:t>
      </w:r>
    </w:p>
    <w:p w:rsidR="001F575B" w:rsidRPr="00B07B55" w:rsidRDefault="0096414D" w:rsidP="00226BC6">
      <w:pPr>
        <w:pStyle w:val="Textlessbefore"/>
      </w:pPr>
      <w:r w:rsidRPr="00495869">
        <w:t xml:space="preserve">The average characteristics of the </w:t>
      </w:r>
      <w:r w:rsidR="00822EE5" w:rsidRPr="00495869">
        <w:t xml:space="preserve">populations </w:t>
      </w:r>
      <w:r w:rsidR="00822EE5">
        <w:t>of Australia</w:t>
      </w:r>
      <w:r w:rsidRPr="00495869">
        <w:t xml:space="preserve"> and Great Britain aged 25 to 64 </w:t>
      </w:r>
      <w:r w:rsidR="00822EE5">
        <w:t xml:space="preserve">years </w:t>
      </w:r>
      <w:r w:rsidRPr="00495869">
        <w:t xml:space="preserve">differ in some important dimensions. In Australia, the average age in this group is younger, the proportion of immigrants is higher, while the proportions </w:t>
      </w:r>
      <w:r w:rsidR="00822EE5">
        <w:t>who</w:t>
      </w:r>
      <w:r w:rsidRPr="00495869">
        <w:t xml:space="preserve"> are married and have dependent children are higher. The initial education levels in the populations also differ, with </w:t>
      </w:r>
      <w:r w:rsidR="00C15C85" w:rsidRPr="00495869">
        <w:t xml:space="preserve">(among other differences) </w:t>
      </w:r>
      <w:r w:rsidRPr="00495869">
        <w:t xml:space="preserve">more Australians holding bachelor degrees and more British holding diplomas. We use estimates of the relationships between these characteristics and the probability of enrolling in </w:t>
      </w:r>
      <w:r w:rsidR="007A4E37">
        <w:t>mature-age</w:t>
      </w:r>
      <w:r w:rsidRPr="00495869">
        <w:t xml:space="preserve"> education to calculate the proportion of the </w:t>
      </w:r>
      <w:r w:rsidR="007A4E37">
        <w:t>mature-age</w:t>
      </w:r>
      <w:r w:rsidRPr="00495869">
        <w:t xml:space="preserve"> education participation rate gap between the two countries</w:t>
      </w:r>
      <w:r w:rsidR="00C15C85" w:rsidRPr="00495869">
        <w:t xml:space="preserve"> that can be attributed to these differences in population characteristics. We find that these characteristics can explain at most 1.6 percentage points of the 14 percentage point gap (or 0.11 of the gap).</w:t>
      </w:r>
      <w:r w:rsidR="004B3150" w:rsidRPr="00495869">
        <w:t xml:space="preserve"> </w:t>
      </w:r>
      <w:r w:rsidR="00C15C85" w:rsidRPr="00495869">
        <w:t xml:space="preserve">Thus </w:t>
      </w:r>
      <w:r w:rsidR="005D1D16" w:rsidRPr="00B07B55">
        <w:t>institutional</w:t>
      </w:r>
      <w:r w:rsidR="001F575B" w:rsidRPr="00B07B55">
        <w:t xml:space="preserve"> and preference differences are </w:t>
      </w:r>
      <w:r w:rsidR="00C874D5">
        <w:t xml:space="preserve">the </w:t>
      </w:r>
      <w:r w:rsidR="001F575B" w:rsidRPr="00B07B55">
        <w:t xml:space="preserve">more likely candidates for explaining the different enrolment rates </w:t>
      </w:r>
      <w:r w:rsidR="00C15C85">
        <w:t>in</w:t>
      </w:r>
      <w:r w:rsidR="00C15C85" w:rsidRPr="00B07B55">
        <w:t xml:space="preserve"> </w:t>
      </w:r>
      <w:r w:rsidR="001F575B" w:rsidRPr="00B07B55">
        <w:t xml:space="preserve">the two countries. </w:t>
      </w:r>
    </w:p>
    <w:p w:rsidR="007260BF" w:rsidRPr="00360923" w:rsidRDefault="007260BF" w:rsidP="00360923">
      <w:pPr>
        <w:pStyle w:val="Heading2"/>
      </w:pPr>
      <w:bookmarkStart w:id="33" w:name="_Toc334021120"/>
      <w:bookmarkStart w:id="34" w:name="_Toc334101006"/>
      <w:r w:rsidRPr="00360923">
        <w:t>Policy implications</w:t>
      </w:r>
      <w:bookmarkEnd w:id="33"/>
      <w:bookmarkEnd w:id="34"/>
    </w:p>
    <w:p w:rsidR="007260BF" w:rsidRPr="007260BF" w:rsidRDefault="00370E9E" w:rsidP="00495869">
      <w:pPr>
        <w:pStyle w:val="Text"/>
        <w:ind w:right="0"/>
        <w:rPr>
          <w:lang w:val="en-GB"/>
        </w:rPr>
      </w:pPr>
      <w:r>
        <w:rPr>
          <w:lang w:val="en-GB"/>
        </w:rPr>
        <w:t xml:space="preserve">Overall, the positive effects of </w:t>
      </w:r>
      <w:r w:rsidR="007A4E37">
        <w:rPr>
          <w:lang w:val="en-GB"/>
        </w:rPr>
        <w:t>mature-age</w:t>
      </w:r>
      <w:r>
        <w:rPr>
          <w:lang w:val="en-GB"/>
        </w:rPr>
        <w:t xml:space="preserve"> education were found to be quite modest and confined to a handful of outcomes. </w:t>
      </w:r>
      <w:r w:rsidR="009932E5">
        <w:rPr>
          <w:lang w:val="en-GB"/>
        </w:rPr>
        <w:t xml:space="preserve">We </w:t>
      </w:r>
      <w:r>
        <w:rPr>
          <w:lang w:val="en-GB"/>
        </w:rPr>
        <w:t xml:space="preserve">also found </w:t>
      </w:r>
      <w:r w:rsidR="009932E5">
        <w:rPr>
          <w:lang w:val="en-GB"/>
        </w:rPr>
        <w:t>that there are</w:t>
      </w:r>
      <w:r w:rsidR="00906F5B">
        <w:rPr>
          <w:lang w:val="en-GB"/>
        </w:rPr>
        <w:t xml:space="preserve"> differences </w:t>
      </w:r>
      <w:r w:rsidR="00822EE5">
        <w:rPr>
          <w:lang w:val="en-GB"/>
        </w:rPr>
        <w:t xml:space="preserve">in labour market outcomes between men and women </w:t>
      </w:r>
      <w:r w:rsidR="00906F5B">
        <w:rPr>
          <w:lang w:val="en-GB"/>
        </w:rPr>
        <w:t xml:space="preserve">in the effects of </w:t>
      </w:r>
      <w:r w:rsidR="000F7AEC">
        <w:rPr>
          <w:lang w:val="en-GB"/>
        </w:rPr>
        <w:t xml:space="preserve">studying at more </w:t>
      </w:r>
      <w:r w:rsidR="00906F5B">
        <w:rPr>
          <w:lang w:val="en-GB"/>
        </w:rPr>
        <w:t>mature age</w:t>
      </w:r>
      <w:r w:rsidR="000F7AEC">
        <w:rPr>
          <w:lang w:val="en-GB"/>
        </w:rPr>
        <w:t>s</w:t>
      </w:r>
      <w:r w:rsidR="00906F5B">
        <w:rPr>
          <w:lang w:val="en-GB"/>
        </w:rPr>
        <w:t xml:space="preserve">. </w:t>
      </w:r>
      <w:r w:rsidR="00822EE5">
        <w:rPr>
          <w:lang w:val="en-GB"/>
        </w:rPr>
        <w:t>For women, VET-</w:t>
      </w:r>
      <w:r w:rsidR="000939E6">
        <w:rPr>
          <w:lang w:val="en-GB"/>
        </w:rPr>
        <w:t xml:space="preserve">level study results in </w:t>
      </w:r>
      <w:r w:rsidR="001741AA">
        <w:rPr>
          <w:lang w:val="en-GB"/>
        </w:rPr>
        <w:t xml:space="preserve">gains </w:t>
      </w:r>
      <w:r w:rsidR="00906F5B">
        <w:rPr>
          <w:lang w:val="en-GB"/>
        </w:rPr>
        <w:t xml:space="preserve">in </w:t>
      </w:r>
      <w:r w:rsidR="009932E5">
        <w:rPr>
          <w:lang w:val="en-GB"/>
        </w:rPr>
        <w:t xml:space="preserve">income and particularly </w:t>
      </w:r>
      <w:r w:rsidR="001741AA">
        <w:rPr>
          <w:lang w:val="en-GB"/>
        </w:rPr>
        <w:t xml:space="preserve">in </w:t>
      </w:r>
      <w:r w:rsidR="009932E5">
        <w:rPr>
          <w:lang w:val="en-GB"/>
        </w:rPr>
        <w:t xml:space="preserve">the </w:t>
      </w:r>
      <w:r w:rsidR="001741AA">
        <w:rPr>
          <w:lang w:val="en-GB"/>
        </w:rPr>
        <w:t>probabilit</w:t>
      </w:r>
      <w:r w:rsidR="009932E5">
        <w:rPr>
          <w:lang w:val="en-GB"/>
        </w:rPr>
        <w:t>y of finding a job</w:t>
      </w:r>
      <w:r w:rsidR="001741AA">
        <w:rPr>
          <w:lang w:val="en-GB"/>
        </w:rPr>
        <w:t xml:space="preserve"> for </w:t>
      </w:r>
      <w:r w:rsidR="00822EE5">
        <w:rPr>
          <w:lang w:val="en-GB"/>
        </w:rPr>
        <w:t>those</w:t>
      </w:r>
      <w:r w:rsidR="000939E6">
        <w:rPr>
          <w:lang w:val="en-GB"/>
        </w:rPr>
        <w:t xml:space="preserve"> who were previously not employed,</w:t>
      </w:r>
      <w:r w:rsidR="001741AA">
        <w:rPr>
          <w:lang w:val="en-GB"/>
        </w:rPr>
        <w:t xml:space="preserve"> </w:t>
      </w:r>
      <w:r w:rsidR="000939E6">
        <w:rPr>
          <w:lang w:val="en-GB"/>
        </w:rPr>
        <w:t xml:space="preserve">indicating </w:t>
      </w:r>
      <w:r w:rsidR="00225088">
        <w:rPr>
          <w:lang w:val="en-GB"/>
        </w:rPr>
        <w:t>potential</w:t>
      </w:r>
      <w:r w:rsidR="003B55CF">
        <w:rPr>
          <w:lang w:val="en-GB"/>
        </w:rPr>
        <w:t xml:space="preserve"> benefit</w:t>
      </w:r>
      <w:r w:rsidR="009932E5">
        <w:rPr>
          <w:lang w:val="en-GB"/>
        </w:rPr>
        <w:t>s</w:t>
      </w:r>
      <w:r w:rsidR="003B55CF">
        <w:rPr>
          <w:lang w:val="en-GB"/>
        </w:rPr>
        <w:t xml:space="preserve"> </w:t>
      </w:r>
      <w:r w:rsidR="009932E5">
        <w:rPr>
          <w:lang w:val="en-GB"/>
        </w:rPr>
        <w:t xml:space="preserve">for </w:t>
      </w:r>
      <w:r>
        <w:rPr>
          <w:lang w:val="en-GB"/>
        </w:rPr>
        <w:t xml:space="preserve">individual females and </w:t>
      </w:r>
      <w:r w:rsidR="00B4071C">
        <w:rPr>
          <w:lang w:val="en-GB"/>
        </w:rPr>
        <w:t xml:space="preserve">for </w:t>
      </w:r>
      <w:r w:rsidR="003B55CF">
        <w:rPr>
          <w:lang w:val="en-GB"/>
        </w:rPr>
        <w:t xml:space="preserve">Australian society </w:t>
      </w:r>
      <w:r w:rsidR="009932E5">
        <w:rPr>
          <w:lang w:val="en-GB"/>
        </w:rPr>
        <w:t>more generally</w:t>
      </w:r>
      <w:r w:rsidR="003B55CF">
        <w:rPr>
          <w:lang w:val="en-GB"/>
        </w:rPr>
        <w:t>. Conversely, the lack of direct monetary return</w:t>
      </w:r>
      <w:r w:rsidR="009932E5">
        <w:rPr>
          <w:lang w:val="en-GB"/>
        </w:rPr>
        <w:t>s</w:t>
      </w:r>
      <w:r w:rsidR="003B55CF">
        <w:rPr>
          <w:lang w:val="en-GB"/>
        </w:rPr>
        <w:t xml:space="preserve"> from </w:t>
      </w:r>
      <w:r w:rsidR="007A4E37">
        <w:rPr>
          <w:lang w:val="en-GB"/>
        </w:rPr>
        <w:t>mature-age</w:t>
      </w:r>
      <w:r w:rsidR="009932E5">
        <w:rPr>
          <w:lang w:val="en-GB"/>
        </w:rPr>
        <w:t xml:space="preserve"> </w:t>
      </w:r>
      <w:r w:rsidR="003B55CF">
        <w:rPr>
          <w:lang w:val="en-GB"/>
        </w:rPr>
        <w:t>education for males suggests the</w:t>
      </w:r>
      <w:r w:rsidR="004625A2">
        <w:rPr>
          <w:lang w:val="en-GB"/>
        </w:rPr>
        <w:t xml:space="preserve"> need for a careful analysis of the </w:t>
      </w:r>
      <w:r w:rsidR="009932E5">
        <w:rPr>
          <w:lang w:val="en-GB"/>
        </w:rPr>
        <w:t xml:space="preserve">societal </w:t>
      </w:r>
      <w:r w:rsidR="004625A2">
        <w:rPr>
          <w:lang w:val="en-GB"/>
        </w:rPr>
        <w:t xml:space="preserve">benefits and costs </w:t>
      </w:r>
      <w:r w:rsidR="00A43EE0">
        <w:rPr>
          <w:lang w:val="en-GB"/>
        </w:rPr>
        <w:t xml:space="preserve">associated with </w:t>
      </w:r>
      <w:r w:rsidR="00F84201">
        <w:rPr>
          <w:lang w:val="en-GB"/>
        </w:rPr>
        <w:t>subsidis</w:t>
      </w:r>
      <w:r w:rsidR="009932E5">
        <w:rPr>
          <w:lang w:val="en-GB"/>
        </w:rPr>
        <w:t>ing</w:t>
      </w:r>
      <w:r w:rsidR="00F84201">
        <w:rPr>
          <w:lang w:val="en-GB"/>
        </w:rPr>
        <w:t xml:space="preserve"> </w:t>
      </w:r>
      <w:r w:rsidR="007A4E37">
        <w:rPr>
          <w:lang w:val="en-GB"/>
        </w:rPr>
        <w:t>mature-age</w:t>
      </w:r>
      <w:r w:rsidR="00F84201">
        <w:rPr>
          <w:lang w:val="en-GB"/>
        </w:rPr>
        <w:t xml:space="preserve"> education</w:t>
      </w:r>
      <w:r w:rsidR="009932E5">
        <w:rPr>
          <w:lang w:val="en-GB"/>
        </w:rPr>
        <w:t>,</w:t>
      </w:r>
      <w:r w:rsidR="009932E5" w:rsidRPr="009932E5">
        <w:rPr>
          <w:lang w:val="en-GB"/>
        </w:rPr>
        <w:t xml:space="preserve"> </w:t>
      </w:r>
      <w:r w:rsidR="009932E5">
        <w:rPr>
          <w:lang w:val="en-GB"/>
        </w:rPr>
        <w:t>particularly for the large number of individual</w:t>
      </w:r>
      <w:r w:rsidR="009B297C">
        <w:rPr>
          <w:lang w:val="en-GB"/>
        </w:rPr>
        <w:t>s who</w:t>
      </w:r>
      <w:r w:rsidR="009932E5">
        <w:rPr>
          <w:lang w:val="en-GB"/>
        </w:rPr>
        <w:t xml:space="preserve"> have already attained VET qualifications or higher</w:t>
      </w:r>
      <w:r w:rsidR="00F84201">
        <w:rPr>
          <w:lang w:val="en-GB"/>
        </w:rPr>
        <w:t>.</w:t>
      </w:r>
      <w:r w:rsidR="00B4071C">
        <w:rPr>
          <w:lang w:val="en-GB"/>
        </w:rPr>
        <w:t xml:space="preserve"> Cases may still exist where subsidisation is warranted, such as in response to mass retrenchments in declining industries, as negative</w:t>
      </w:r>
      <w:r w:rsidR="00822EE5">
        <w:rPr>
          <w:lang w:val="en-GB"/>
        </w:rPr>
        <w:t xml:space="preserve"> outcomes may occur without re</w:t>
      </w:r>
      <w:r w:rsidR="00B4071C">
        <w:rPr>
          <w:lang w:val="en-GB"/>
        </w:rPr>
        <w:t xml:space="preserve">training. </w:t>
      </w:r>
    </w:p>
    <w:p w:rsidR="0065683C" w:rsidRDefault="0065683C" w:rsidP="00F84201">
      <w:pPr>
        <w:pStyle w:val="Text"/>
        <w:jc w:val="both"/>
        <w:rPr>
          <w:rFonts w:ascii="Tahoma" w:hAnsi="Tahoma" w:cs="Tahoma"/>
          <w:color w:val="000000"/>
          <w:kern w:val="28"/>
          <w:sz w:val="56"/>
          <w:szCs w:val="56"/>
        </w:rPr>
      </w:pPr>
      <w:r>
        <w:br w:type="page"/>
      </w:r>
    </w:p>
    <w:p w:rsidR="00442518" w:rsidRPr="00B07B55" w:rsidRDefault="00442518" w:rsidP="009D307F">
      <w:pPr>
        <w:pStyle w:val="Heading1"/>
        <w:rPr>
          <w:lang w:val="en-GB"/>
        </w:rPr>
      </w:pPr>
      <w:bookmarkStart w:id="35" w:name="_Toc334101007"/>
      <w:r w:rsidRPr="00B07B55">
        <w:rPr>
          <w:lang w:val="en-GB"/>
        </w:rPr>
        <w:t>Introduction</w:t>
      </w:r>
      <w:bookmarkEnd w:id="35"/>
    </w:p>
    <w:p w:rsidR="00394103" w:rsidRPr="00B07B55" w:rsidRDefault="00914F37" w:rsidP="00495869">
      <w:pPr>
        <w:pStyle w:val="Text"/>
        <w:ind w:right="0"/>
        <w:rPr>
          <w:lang w:val="en-GB"/>
        </w:rPr>
      </w:pPr>
      <w:r w:rsidRPr="00B07B55">
        <w:rPr>
          <w:lang w:val="en-GB"/>
        </w:rPr>
        <w:t>This</w:t>
      </w:r>
      <w:r w:rsidR="00394103" w:rsidRPr="00B07B55">
        <w:rPr>
          <w:lang w:val="en-GB"/>
        </w:rPr>
        <w:t xml:space="preserve"> study</w:t>
      </w:r>
      <w:r w:rsidRPr="00B07B55">
        <w:rPr>
          <w:lang w:val="en-GB"/>
        </w:rPr>
        <w:t xml:space="preserve"> investigates</w:t>
      </w:r>
      <w:r w:rsidR="00394103" w:rsidRPr="00B07B55">
        <w:rPr>
          <w:lang w:val="en-GB"/>
        </w:rPr>
        <w:t xml:space="preserve"> the individual determinants of </w:t>
      </w:r>
      <w:r w:rsidR="007A4E37">
        <w:rPr>
          <w:lang w:val="en-GB"/>
        </w:rPr>
        <w:t>mature-age</w:t>
      </w:r>
      <w:r w:rsidR="00394103" w:rsidRPr="00B07B55">
        <w:rPr>
          <w:lang w:val="en-GB"/>
        </w:rPr>
        <w:t xml:space="preserve"> entry into formal education and the individual outcomes associated with formal study at more mature ages. We define </w:t>
      </w:r>
      <w:r w:rsidR="007A4E37">
        <w:rPr>
          <w:lang w:val="en-GB"/>
        </w:rPr>
        <w:t>mature-age</w:t>
      </w:r>
      <w:r w:rsidR="00FC1FFB">
        <w:rPr>
          <w:lang w:val="en-GB"/>
        </w:rPr>
        <w:t xml:space="preserve"> study</w:t>
      </w:r>
      <w:r w:rsidR="00394103" w:rsidRPr="00B07B55">
        <w:rPr>
          <w:lang w:val="en-GB"/>
        </w:rPr>
        <w:t xml:space="preserve"> in this context quite</w:t>
      </w:r>
      <w:r w:rsidR="00822EE5">
        <w:rPr>
          <w:lang w:val="en-GB"/>
        </w:rPr>
        <w:t xml:space="preserve"> broadly to include all working-</w:t>
      </w:r>
      <w:r w:rsidR="00394103" w:rsidRPr="00B07B55">
        <w:rPr>
          <w:lang w:val="en-GB"/>
        </w:rPr>
        <w:t>age individuals above the conventional age for completing a first post-secondary education credential directly after high school</w:t>
      </w:r>
      <w:r w:rsidR="0070433A">
        <w:rPr>
          <w:lang w:val="en-GB"/>
        </w:rPr>
        <w:t>:</w:t>
      </w:r>
      <w:r w:rsidR="00394103" w:rsidRPr="00B07B55">
        <w:rPr>
          <w:lang w:val="en-GB"/>
        </w:rPr>
        <w:t xml:space="preserve"> individuals aged 25 to 64.</w:t>
      </w:r>
      <w:r w:rsidR="00B4430B" w:rsidRPr="006654E3">
        <w:rPr>
          <w:vertAlign w:val="superscript"/>
        </w:rPr>
        <w:footnoteReference w:id="1"/>
      </w:r>
      <w:r w:rsidR="00394103" w:rsidRPr="00B07B55">
        <w:rPr>
          <w:lang w:val="en-GB"/>
        </w:rPr>
        <w:t xml:space="preserve"> </w:t>
      </w:r>
      <w:r w:rsidR="006218F3">
        <w:rPr>
          <w:lang w:val="en-GB"/>
        </w:rPr>
        <w:t xml:space="preserve">The factors affecting the decision to undertake further education at more mature ages may differ considerably from those factors affecting the decision to study </w:t>
      </w:r>
      <w:r w:rsidR="003964B1">
        <w:rPr>
          <w:lang w:val="en-GB"/>
        </w:rPr>
        <w:t>at more conventional</w:t>
      </w:r>
      <w:r w:rsidR="006218F3">
        <w:rPr>
          <w:lang w:val="en-GB"/>
        </w:rPr>
        <w:t xml:space="preserve"> </w:t>
      </w:r>
      <w:r w:rsidR="003964B1">
        <w:rPr>
          <w:lang w:val="en-GB"/>
        </w:rPr>
        <w:t>(</w:t>
      </w:r>
      <w:r w:rsidR="006218F3">
        <w:rPr>
          <w:lang w:val="en-GB"/>
        </w:rPr>
        <w:t>younger</w:t>
      </w:r>
      <w:r w:rsidR="003964B1">
        <w:rPr>
          <w:lang w:val="en-GB"/>
        </w:rPr>
        <w:t>)</w:t>
      </w:r>
      <w:r w:rsidR="006218F3">
        <w:rPr>
          <w:lang w:val="en-GB"/>
        </w:rPr>
        <w:t xml:space="preserve"> </w:t>
      </w:r>
      <w:r w:rsidR="003964B1">
        <w:rPr>
          <w:lang w:val="en-GB"/>
        </w:rPr>
        <w:t>ages</w:t>
      </w:r>
      <w:r w:rsidR="006218F3">
        <w:rPr>
          <w:lang w:val="en-GB"/>
        </w:rPr>
        <w:t xml:space="preserve">, as </w:t>
      </w:r>
      <w:r w:rsidR="007A4E37">
        <w:rPr>
          <w:lang w:val="en-GB"/>
        </w:rPr>
        <w:t>mature-age</w:t>
      </w:r>
      <w:r w:rsidR="006218F3">
        <w:rPr>
          <w:lang w:val="en-GB"/>
        </w:rPr>
        <w:t xml:space="preserve"> individuals already have varied work experiences and histories, and many have family responsibilities and other interests. The outcomes of </w:t>
      </w:r>
      <w:r w:rsidR="007A4E37">
        <w:rPr>
          <w:lang w:val="en-GB"/>
        </w:rPr>
        <w:t>mature-age</w:t>
      </w:r>
      <w:r w:rsidR="006218F3">
        <w:rPr>
          <w:lang w:val="en-GB"/>
        </w:rPr>
        <w:t xml:space="preserve"> study may also </w:t>
      </w:r>
      <w:r w:rsidR="003964B1">
        <w:rPr>
          <w:lang w:val="en-GB"/>
        </w:rPr>
        <w:t>be more varied across individuals</w:t>
      </w:r>
      <w:r w:rsidR="006218F3">
        <w:rPr>
          <w:lang w:val="en-GB"/>
        </w:rPr>
        <w:t xml:space="preserve">, </w:t>
      </w:r>
      <w:r w:rsidR="003964B1">
        <w:rPr>
          <w:lang w:val="en-GB"/>
        </w:rPr>
        <w:t>given the variety of potential motivations for such study.</w:t>
      </w:r>
      <w:r w:rsidR="006218F3">
        <w:rPr>
          <w:lang w:val="en-GB"/>
        </w:rPr>
        <w:t xml:space="preserve"> </w:t>
      </w:r>
      <w:r w:rsidR="00394103" w:rsidRPr="00B07B55">
        <w:rPr>
          <w:lang w:val="en-GB"/>
        </w:rPr>
        <w:t xml:space="preserve">This </w:t>
      </w:r>
      <w:r w:rsidR="007A4E37">
        <w:rPr>
          <w:lang w:val="en-GB"/>
        </w:rPr>
        <w:t>mature-age</w:t>
      </w:r>
      <w:r w:rsidR="00394103" w:rsidRPr="00B07B55">
        <w:rPr>
          <w:lang w:val="en-GB"/>
        </w:rPr>
        <w:t xml:space="preserve"> participation in education (sometimes referred to as ‘lifelong learning’ or ‘adult education’) may be very important in alleviating labour market skill shortages, in engaging adult Australians more fully and pr</w:t>
      </w:r>
      <w:r w:rsidR="00C874D5">
        <w:rPr>
          <w:lang w:val="en-GB"/>
        </w:rPr>
        <w:t>oductively in the labour market</w:t>
      </w:r>
      <w:r w:rsidR="00394103" w:rsidRPr="00B07B55">
        <w:rPr>
          <w:lang w:val="en-GB"/>
        </w:rPr>
        <w:t xml:space="preserve"> and in building social inclusion.</w:t>
      </w:r>
      <w:r w:rsidR="003964B1">
        <w:rPr>
          <w:lang w:val="en-GB"/>
        </w:rPr>
        <w:t xml:space="preserve"> Thus understanding the motivations for and outcomes of education at more mature ages is of considerable importance. </w:t>
      </w:r>
    </w:p>
    <w:p w:rsidR="00394103" w:rsidRPr="00B07B55" w:rsidRDefault="00394103" w:rsidP="00495869">
      <w:pPr>
        <w:pStyle w:val="Text"/>
        <w:ind w:right="0"/>
        <w:rPr>
          <w:lang w:val="en-GB"/>
        </w:rPr>
      </w:pPr>
      <w:r w:rsidRPr="00B07B55">
        <w:rPr>
          <w:lang w:val="en-GB"/>
        </w:rPr>
        <w:t>Australia stands out</w:t>
      </w:r>
      <w:r w:rsidR="00D0608B" w:rsidRPr="00B07B55">
        <w:rPr>
          <w:lang w:val="en-GB"/>
        </w:rPr>
        <w:t xml:space="preserve"> internationally</w:t>
      </w:r>
      <w:r w:rsidRPr="00B07B55">
        <w:rPr>
          <w:lang w:val="en-GB"/>
        </w:rPr>
        <w:t xml:space="preserve"> in terms of the participation of more </w:t>
      </w:r>
      <w:r w:rsidR="007A4E37">
        <w:rPr>
          <w:lang w:val="en-GB"/>
        </w:rPr>
        <w:t>mature-age</w:t>
      </w:r>
      <w:r w:rsidRPr="00B07B55">
        <w:rPr>
          <w:lang w:val="en-GB"/>
        </w:rPr>
        <w:t xml:space="preserve"> individuals in formal education and training. According to the OECD, Australia had the highest education enrolment rate of those aged 40 and over among all OECD countries in 2008</w:t>
      </w:r>
      <w:r w:rsidR="00226BCD">
        <w:rPr>
          <w:lang w:val="en-GB"/>
        </w:rPr>
        <w:t>,</w:t>
      </w:r>
      <w:r w:rsidRPr="00B07B55">
        <w:rPr>
          <w:lang w:val="en-GB"/>
        </w:rPr>
        <w:t xml:space="preserve"> at 5.8%, nearly </w:t>
      </w:r>
      <w:r w:rsidR="009511A6">
        <w:rPr>
          <w:lang w:val="en-GB"/>
        </w:rPr>
        <w:t>four</w:t>
      </w:r>
      <w:r w:rsidRPr="00B07B55">
        <w:rPr>
          <w:lang w:val="en-GB"/>
        </w:rPr>
        <w:t xml:space="preserve"> times the OECD average of 1.6% (see </w:t>
      </w:r>
      <w:r w:rsidR="00A47888" w:rsidRPr="00B07B55">
        <w:rPr>
          <w:lang w:val="en-GB"/>
        </w:rPr>
        <w:t xml:space="preserve">table </w:t>
      </w:r>
      <w:r w:rsidRPr="00B07B55">
        <w:rPr>
          <w:lang w:val="en-GB"/>
        </w:rPr>
        <w:t xml:space="preserve">1). For those aged 30 to 39, Australia’s participation rate ranked second highest overall, at 13.4%, </w:t>
      </w:r>
      <w:r w:rsidR="00914F37" w:rsidRPr="00B07B55">
        <w:rPr>
          <w:lang w:val="en-GB"/>
        </w:rPr>
        <w:t>and</w:t>
      </w:r>
      <w:r w:rsidRPr="00B07B55">
        <w:rPr>
          <w:lang w:val="en-GB"/>
        </w:rPr>
        <w:t xml:space="preserve"> over twice the OECD average of 5.9% (OECD 2010). </w:t>
      </w:r>
    </w:p>
    <w:p w:rsidR="00394103" w:rsidRPr="00B07B55" w:rsidRDefault="00394103" w:rsidP="00226BC6">
      <w:pPr>
        <w:pStyle w:val="tabletitle"/>
        <w:rPr>
          <w:lang w:val="en-GB"/>
        </w:rPr>
      </w:pPr>
      <w:bookmarkStart w:id="36" w:name="_Toc311576113"/>
      <w:bookmarkStart w:id="37" w:name="_Toc334021168"/>
      <w:r w:rsidRPr="00B07B55">
        <w:rPr>
          <w:lang w:val="en-GB"/>
        </w:rPr>
        <w:t>Table 1</w:t>
      </w:r>
      <w:r w:rsidRPr="00B07B55">
        <w:rPr>
          <w:lang w:val="en-GB"/>
        </w:rPr>
        <w:tab/>
        <w:t xml:space="preserve">Percentage of </w:t>
      </w:r>
      <w:r w:rsidRPr="00226BC6">
        <w:t>individuals</w:t>
      </w:r>
      <w:r w:rsidRPr="00B07B55">
        <w:rPr>
          <w:lang w:val="en-GB"/>
        </w:rPr>
        <w:t xml:space="preserve"> enrolled in </w:t>
      </w:r>
      <w:r w:rsidR="00D0608B" w:rsidRPr="00B07B55">
        <w:rPr>
          <w:lang w:val="en-GB"/>
        </w:rPr>
        <w:t xml:space="preserve">formal </w:t>
      </w:r>
      <w:r w:rsidRPr="00B07B55">
        <w:rPr>
          <w:lang w:val="en-GB"/>
        </w:rPr>
        <w:t>education by age group, 2008</w:t>
      </w:r>
      <w:bookmarkEnd w:id="36"/>
      <w:bookmarkEnd w:id="37"/>
    </w:p>
    <w:tbl>
      <w:tblPr>
        <w:tblW w:w="7230" w:type="dxa"/>
        <w:tblInd w:w="113" w:type="dxa"/>
        <w:tblBorders>
          <w:top w:val="single" w:sz="4" w:space="0" w:color="auto"/>
          <w:bottom w:val="single" w:sz="4" w:space="0" w:color="auto"/>
          <w:insideH w:val="single" w:sz="4" w:space="0" w:color="auto"/>
          <w:insideV w:val="single" w:sz="4" w:space="0" w:color="auto"/>
        </w:tblBorders>
        <w:tblLayout w:type="fixed"/>
        <w:tblCellMar>
          <w:left w:w="113" w:type="dxa"/>
          <w:right w:w="113" w:type="dxa"/>
        </w:tblCellMar>
        <w:tblLook w:val="04A0"/>
      </w:tblPr>
      <w:tblGrid>
        <w:gridCol w:w="1843"/>
        <w:gridCol w:w="1346"/>
        <w:gridCol w:w="1347"/>
        <w:gridCol w:w="1347"/>
        <w:gridCol w:w="1347"/>
      </w:tblGrid>
      <w:tr w:rsidR="00240C45" w:rsidRPr="00B07B55" w:rsidTr="00D93B4C">
        <w:tc>
          <w:tcPr>
            <w:tcW w:w="1843" w:type="dxa"/>
            <w:tcBorders>
              <w:top w:val="single" w:sz="4" w:space="0" w:color="auto"/>
              <w:bottom w:val="single" w:sz="4" w:space="0" w:color="auto"/>
              <w:right w:val="nil"/>
            </w:tcBorders>
            <w:shd w:val="clear" w:color="000000" w:fill="FFFFFF"/>
            <w:noWrap/>
            <w:tcMar>
              <w:top w:w="0" w:type="dxa"/>
              <w:left w:w="113" w:type="dxa"/>
              <w:bottom w:w="0" w:type="dxa"/>
              <w:right w:w="113" w:type="dxa"/>
            </w:tcMar>
            <w:hideMark/>
          </w:tcPr>
          <w:p w:rsidR="00240C45" w:rsidRPr="00B07B55" w:rsidRDefault="00240C45" w:rsidP="00226BC6">
            <w:pPr>
              <w:pStyle w:val="Tablehead1"/>
              <w:rPr>
                <w:lang w:val="en-GB"/>
              </w:rPr>
            </w:pPr>
          </w:p>
        </w:tc>
        <w:tc>
          <w:tcPr>
            <w:tcW w:w="1346" w:type="dxa"/>
            <w:tcBorders>
              <w:top w:val="single" w:sz="4" w:space="0" w:color="auto"/>
              <w:left w:val="nil"/>
              <w:bottom w:val="single" w:sz="4" w:space="0" w:color="auto"/>
              <w:right w:val="nil"/>
            </w:tcBorders>
            <w:shd w:val="clear" w:color="000000" w:fill="FFFFFF"/>
            <w:noWrap/>
            <w:tcMar>
              <w:top w:w="0" w:type="dxa"/>
              <w:left w:w="113" w:type="dxa"/>
              <w:bottom w:w="0" w:type="dxa"/>
              <w:right w:w="113" w:type="dxa"/>
            </w:tcMar>
            <w:hideMark/>
          </w:tcPr>
          <w:p w:rsidR="00240C45" w:rsidRPr="00B07B55" w:rsidRDefault="00C874D5" w:rsidP="00D93B4C">
            <w:pPr>
              <w:pStyle w:val="Tablehead1"/>
              <w:jc w:val="center"/>
              <w:rPr>
                <w:lang w:val="en-GB"/>
              </w:rPr>
            </w:pPr>
            <w:r>
              <w:rPr>
                <w:lang w:val="en-GB"/>
              </w:rPr>
              <w:t>15–</w:t>
            </w:r>
            <w:r w:rsidR="00240C45" w:rsidRPr="00B07B55">
              <w:rPr>
                <w:lang w:val="en-GB"/>
              </w:rPr>
              <w:t>19</w:t>
            </w:r>
          </w:p>
        </w:tc>
        <w:tc>
          <w:tcPr>
            <w:tcW w:w="1347" w:type="dxa"/>
            <w:tcBorders>
              <w:top w:val="single" w:sz="4" w:space="0" w:color="auto"/>
              <w:left w:val="nil"/>
              <w:bottom w:val="single" w:sz="4" w:space="0" w:color="auto"/>
              <w:right w:val="nil"/>
            </w:tcBorders>
            <w:shd w:val="clear" w:color="000000" w:fill="FFFFFF"/>
            <w:noWrap/>
            <w:tcMar>
              <w:top w:w="0" w:type="dxa"/>
              <w:left w:w="113" w:type="dxa"/>
              <w:bottom w:w="0" w:type="dxa"/>
              <w:right w:w="113" w:type="dxa"/>
            </w:tcMar>
            <w:hideMark/>
          </w:tcPr>
          <w:p w:rsidR="00240C45" w:rsidRPr="00B07B55" w:rsidRDefault="00C874D5" w:rsidP="00D93B4C">
            <w:pPr>
              <w:pStyle w:val="Tablehead1"/>
              <w:jc w:val="center"/>
              <w:rPr>
                <w:lang w:val="en-GB"/>
              </w:rPr>
            </w:pPr>
            <w:r>
              <w:rPr>
                <w:lang w:val="en-GB"/>
              </w:rPr>
              <w:t>20–</w:t>
            </w:r>
            <w:r w:rsidR="00240C45" w:rsidRPr="00B07B55">
              <w:rPr>
                <w:lang w:val="en-GB"/>
              </w:rPr>
              <w:t>29</w:t>
            </w:r>
          </w:p>
        </w:tc>
        <w:tc>
          <w:tcPr>
            <w:tcW w:w="1347" w:type="dxa"/>
            <w:tcBorders>
              <w:top w:val="single" w:sz="4" w:space="0" w:color="auto"/>
              <w:left w:val="nil"/>
              <w:bottom w:val="single" w:sz="4" w:space="0" w:color="auto"/>
              <w:right w:val="nil"/>
            </w:tcBorders>
            <w:shd w:val="clear" w:color="000000" w:fill="FFFFFF"/>
            <w:noWrap/>
            <w:tcMar>
              <w:top w:w="0" w:type="dxa"/>
              <w:left w:w="113" w:type="dxa"/>
              <w:bottom w:w="0" w:type="dxa"/>
              <w:right w:w="113" w:type="dxa"/>
            </w:tcMar>
            <w:hideMark/>
          </w:tcPr>
          <w:p w:rsidR="00240C45" w:rsidRPr="00B07B55" w:rsidRDefault="00C874D5" w:rsidP="00D93B4C">
            <w:pPr>
              <w:pStyle w:val="Tablehead1"/>
              <w:jc w:val="center"/>
              <w:rPr>
                <w:lang w:val="en-GB"/>
              </w:rPr>
            </w:pPr>
            <w:r>
              <w:rPr>
                <w:lang w:val="en-GB"/>
              </w:rPr>
              <w:t>30–</w:t>
            </w:r>
            <w:r w:rsidR="00240C45" w:rsidRPr="00B07B55">
              <w:rPr>
                <w:lang w:val="en-GB"/>
              </w:rPr>
              <w:t>39</w:t>
            </w:r>
          </w:p>
        </w:tc>
        <w:tc>
          <w:tcPr>
            <w:tcW w:w="1347" w:type="dxa"/>
            <w:tcBorders>
              <w:top w:val="single" w:sz="4" w:space="0" w:color="auto"/>
              <w:left w:val="nil"/>
              <w:bottom w:val="single" w:sz="4" w:space="0" w:color="auto"/>
              <w:right w:val="nil"/>
            </w:tcBorders>
            <w:shd w:val="clear" w:color="000000" w:fill="FFFFFF"/>
            <w:noWrap/>
            <w:tcMar>
              <w:top w:w="0" w:type="dxa"/>
              <w:left w:w="113" w:type="dxa"/>
              <w:bottom w:w="0" w:type="dxa"/>
              <w:right w:w="113" w:type="dxa"/>
            </w:tcMar>
            <w:hideMark/>
          </w:tcPr>
          <w:p w:rsidR="00240C45" w:rsidRPr="00B07B55" w:rsidRDefault="00240C45" w:rsidP="00D93B4C">
            <w:pPr>
              <w:pStyle w:val="Tablehead1"/>
              <w:jc w:val="center"/>
              <w:rPr>
                <w:lang w:val="en-GB"/>
              </w:rPr>
            </w:pPr>
            <w:r w:rsidRPr="00B07B55">
              <w:rPr>
                <w:lang w:val="en-GB"/>
              </w:rPr>
              <w:t>40 and over</w:t>
            </w:r>
          </w:p>
        </w:tc>
      </w:tr>
      <w:tr w:rsidR="00240C45" w:rsidRPr="00B07B55" w:rsidTr="00D93B4C">
        <w:tc>
          <w:tcPr>
            <w:tcW w:w="1843" w:type="dxa"/>
            <w:tcBorders>
              <w:bottom w:val="nil"/>
              <w:right w:val="nil"/>
            </w:tcBorders>
            <w:shd w:val="clear" w:color="000000" w:fill="FFFFFF"/>
            <w:noWrap/>
            <w:tcMar>
              <w:top w:w="0" w:type="dxa"/>
              <w:left w:w="113" w:type="dxa"/>
              <w:bottom w:w="0" w:type="dxa"/>
              <w:right w:w="113" w:type="dxa"/>
            </w:tcMar>
            <w:hideMark/>
          </w:tcPr>
          <w:p w:rsidR="00240C45" w:rsidRPr="00B07B55" w:rsidRDefault="00240C45" w:rsidP="00226BC6">
            <w:pPr>
              <w:pStyle w:val="Tabletext"/>
              <w:rPr>
                <w:lang w:val="en-GB"/>
              </w:rPr>
            </w:pPr>
            <w:r w:rsidRPr="00B07B55">
              <w:rPr>
                <w:lang w:val="en-GB"/>
              </w:rPr>
              <w:t>Australia</w:t>
            </w:r>
          </w:p>
        </w:tc>
        <w:tc>
          <w:tcPr>
            <w:tcW w:w="1346" w:type="dxa"/>
            <w:tcBorders>
              <w:left w:val="nil"/>
              <w:bottom w:val="nil"/>
              <w:right w:val="nil"/>
            </w:tcBorders>
            <w:shd w:val="clear" w:color="000000" w:fill="FFFFFF"/>
            <w:noWrap/>
            <w:tcMar>
              <w:top w:w="0" w:type="dxa"/>
              <w:left w:w="113" w:type="dxa"/>
              <w:bottom w:w="0" w:type="dxa"/>
              <w:right w:w="113" w:type="dxa"/>
            </w:tcMar>
            <w:hideMark/>
          </w:tcPr>
          <w:p w:rsidR="00240C45" w:rsidRPr="00B07B55" w:rsidRDefault="00240C45" w:rsidP="00D93B4C">
            <w:pPr>
              <w:pStyle w:val="Tabletext"/>
              <w:tabs>
                <w:tab w:val="decimal" w:pos="567"/>
              </w:tabs>
              <w:rPr>
                <w:lang w:val="en-GB"/>
              </w:rPr>
            </w:pPr>
            <w:r w:rsidRPr="00B07B55">
              <w:rPr>
                <w:lang w:val="en-GB"/>
              </w:rPr>
              <w:t>81.6</w:t>
            </w:r>
          </w:p>
        </w:tc>
        <w:tc>
          <w:tcPr>
            <w:tcW w:w="1347" w:type="dxa"/>
            <w:tcBorders>
              <w:left w:val="nil"/>
              <w:bottom w:val="nil"/>
              <w:right w:val="nil"/>
            </w:tcBorders>
            <w:shd w:val="clear" w:color="000000" w:fill="FFFFFF"/>
            <w:noWrap/>
            <w:tcMar>
              <w:top w:w="0" w:type="dxa"/>
              <w:left w:w="113" w:type="dxa"/>
              <w:bottom w:w="0" w:type="dxa"/>
              <w:right w:w="113" w:type="dxa"/>
            </w:tcMar>
            <w:hideMark/>
          </w:tcPr>
          <w:p w:rsidR="00240C45" w:rsidRPr="00B07B55" w:rsidRDefault="00240C45" w:rsidP="00D93B4C">
            <w:pPr>
              <w:pStyle w:val="Tabletext"/>
              <w:tabs>
                <w:tab w:val="decimal" w:pos="567"/>
              </w:tabs>
              <w:rPr>
                <w:lang w:val="en-GB"/>
              </w:rPr>
            </w:pPr>
            <w:r w:rsidRPr="00B07B55">
              <w:rPr>
                <w:lang w:val="en-GB"/>
              </w:rPr>
              <w:t>33.0</w:t>
            </w:r>
          </w:p>
        </w:tc>
        <w:tc>
          <w:tcPr>
            <w:tcW w:w="1347" w:type="dxa"/>
            <w:tcBorders>
              <w:left w:val="nil"/>
              <w:bottom w:val="nil"/>
              <w:right w:val="nil"/>
            </w:tcBorders>
            <w:shd w:val="clear" w:color="000000" w:fill="FFFFFF"/>
            <w:noWrap/>
            <w:tcMar>
              <w:top w:w="0" w:type="dxa"/>
              <w:left w:w="113" w:type="dxa"/>
              <w:bottom w:w="0" w:type="dxa"/>
              <w:right w:w="113" w:type="dxa"/>
            </w:tcMar>
            <w:hideMark/>
          </w:tcPr>
          <w:p w:rsidR="00240C45" w:rsidRPr="00B07B55" w:rsidRDefault="00240C45" w:rsidP="00D93B4C">
            <w:pPr>
              <w:pStyle w:val="Tabletext"/>
              <w:tabs>
                <w:tab w:val="decimal" w:pos="567"/>
              </w:tabs>
              <w:rPr>
                <w:lang w:val="en-GB"/>
              </w:rPr>
            </w:pPr>
            <w:r w:rsidRPr="00B07B55">
              <w:rPr>
                <w:lang w:val="en-GB"/>
              </w:rPr>
              <w:t>13.4</w:t>
            </w:r>
          </w:p>
        </w:tc>
        <w:tc>
          <w:tcPr>
            <w:tcW w:w="1347" w:type="dxa"/>
            <w:tcBorders>
              <w:left w:val="nil"/>
              <w:bottom w:val="nil"/>
              <w:right w:val="nil"/>
            </w:tcBorders>
            <w:shd w:val="clear" w:color="000000" w:fill="FFFFFF"/>
            <w:noWrap/>
            <w:tcMar>
              <w:top w:w="0" w:type="dxa"/>
              <w:left w:w="113" w:type="dxa"/>
              <w:bottom w:w="0" w:type="dxa"/>
              <w:right w:w="113" w:type="dxa"/>
            </w:tcMar>
            <w:hideMark/>
          </w:tcPr>
          <w:p w:rsidR="00240C45" w:rsidRPr="00B07B55" w:rsidRDefault="00240C45" w:rsidP="00D93B4C">
            <w:pPr>
              <w:pStyle w:val="Tabletext"/>
              <w:tabs>
                <w:tab w:val="decimal" w:pos="539"/>
              </w:tabs>
              <w:rPr>
                <w:lang w:val="en-GB"/>
              </w:rPr>
            </w:pPr>
            <w:r w:rsidRPr="00B07B55">
              <w:rPr>
                <w:lang w:val="en-GB"/>
              </w:rPr>
              <w:t>5.8</w:t>
            </w:r>
          </w:p>
        </w:tc>
      </w:tr>
      <w:tr w:rsidR="00240C45" w:rsidRPr="00B07B55" w:rsidTr="00D93B4C">
        <w:tc>
          <w:tcPr>
            <w:tcW w:w="1843" w:type="dxa"/>
            <w:tcBorders>
              <w:top w:val="nil"/>
              <w:bottom w:val="nil"/>
              <w:right w:val="nil"/>
            </w:tcBorders>
            <w:shd w:val="clear" w:color="000000" w:fill="FFFFFF"/>
            <w:noWrap/>
            <w:tcMar>
              <w:top w:w="0" w:type="dxa"/>
              <w:left w:w="113" w:type="dxa"/>
              <w:bottom w:w="0" w:type="dxa"/>
              <w:right w:w="113" w:type="dxa"/>
            </w:tcMar>
            <w:hideMark/>
          </w:tcPr>
          <w:p w:rsidR="00240C45" w:rsidRPr="00B07B55" w:rsidRDefault="00240C45" w:rsidP="00226BC6">
            <w:pPr>
              <w:pStyle w:val="Tabletext"/>
              <w:rPr>
                <w:lang w:val="en-GB"/>
              </w:rPr>
            </w:pPr>
            <w:r w:rsidRPr="00B07B55">
              <w:rPr>
                <w:lang w:val="en-GB"/>
              </w:rPr>
              <w:t>United Kingdom</w:t>
            </w:r>
          </w:p>
        </w:tc>
        <w:tc>
          <w:tcPr>
            <w:tcW w:w="1346" w:type="dxa"/>
            <w:tcBorders>
              <w:top w:val="nil"/>
              <w:left w:val="nil"/>
              <w:bottom w:val="nil"/>
              <w:right w:val="nil"/>
            </w:tcBorders>
            <w:shd w:val="clear" w:color="000000" w:fill="FFFFFF"/>
            <w:noWrap/>
            <w:tcMar>
              <w:top w:w="0" w:type="dxa"/>
              <w:left w:w="113" w:type="dxa"/>
              <w:bottom w:w="0" w:type="dxa"/>
              <w:right w:w="113" w:type="dxa"/>
            </w:tcMar>
            <w:hideMark/>
          </w:tcPr>
          <w:p w:rsidR="00240C45" w:rsidRPr="00B07B55" w:rsidRDefault="00240C45" w:rsidP="00D93B4C">
            <w:pPr>
              <w:pStyle w:val="Tabletext"/>
              <w:tabs>
                <w:tab w:val="decimal" w:pos="567"/>
              </w:tabs>
              <w:rPr>
                <w:lang w:val="en-GB"/>
              </w:rPr>
            </w:pPr>
            <w:r w:rsidRPr="00B07B55">
              <w:rPr>
                <w:lang w:val="en-GB"/>
              </w:rPr>
              <w:t>72.6</w:t>
            </w:r>
          </w:p>
        </w:tc>
        <w:tc>
          <w:tcPr>
            <w:tcW w:w="1347" w:type="dxa"/>
            <w:tcBorders>
              <w:top w:val="nil"/>
              <w:left w:val="nil"/>
              <w:bottom w:val="nil"/>
              <w:right w:val="nil"/>
            </w:tcBorders>
            <w:shd w:val="clear" w:color="000000" w:fill="FFFFFF"/>
            <w:noWrap/>
            <w:tcMar>
              <w:top w:w="0" w:type="dxa"/>
              <w:left w:w="113" w:type="dxa"/>
              <w:bottom w:w="0" w:type="dxa"/>
              <w:right w:w="113" w:type="dxa"/>
            </w:tcMar>
            <w:hideMark/>
          </w:tcPr>
          <w:p w:rsidR="00240C45" w:rsidRPr="00B07B55" w:rsidRDefault="00240C45" w:rsidP="00D93B4C">
            <w:pPr>
              <w:pStyle w:val="Tabletext"/>
              <w:tabs>
                <w:tab w:val="decimal" w:pos="567"/>
              </w:tabs>
              <w:rPr>
                <w:lang w:val="en-GB"/>
              </w:rPr>
            </w:pPr>
            <w:r w:rsidRPr="00B07B55">
              <w:rPr>
                <w:lang w:val="en-GB"/>
              </w:rPr>
              <w:t>17.0</w:t>
            </w:r>
          </w:p>
        </w:tc>
        <w:tc>
          <w:tcPr>
            <w:tcW w:w="1347" w:type="dxa"/>
            <w:tcBorders>
              <w:top w:val="nil"/>
              <w:left w:val="nil"/>
              <w:bottom w:val="nil"/>
              <w:right w:val="nil"/>
            </w:tcBorders>
            <w:shd w:val="clear" w:color="000000" w:fill="FFFFFF"/>
            <w:noWrap/>
            <w:tcMar>
              <w:top w:w="0" w:type="dxa"/>
              <w:left w:w="113" w:type="dxa"/>
              <w:bottom w:w="0" w:type="dxa"/>
              <w:right w:w="113" w:type="dxa"/>
            </w:tcMar>
            <w:hideMark/>
          </w:tcPr>
          <w:p w:rsidR="00240C45" w:rsidRPr="00B07B55" w:rsidRDefault="00240C45" w:rsidP="00D93B4C">
            <w:pPr>
              <w:pStyle w:val="Tabletext"/>
              <w:tabs>
                <w:tab w:val="decimal" w:pos="567"/>
              </w:tabs>
              <w:rPr>
                <w:lang w:val="en-GB"/>
              </w:rPr>
            </w:pPr>
            <w:r w:rsidRPr="00B07B55">
              <w:rPr>
                <w:lang w:val="en-GB"/>
              </w:rPr>
              <w:t>5.6</w:t>
            </w:r>
          </w:p>
        </w:tc>
        <w:tc>
          <w:tcPr>
            <w:tcW w:w="1347" w:type="dxa"/>
            <w:tcBorders>
              <w:top w:val="nil"/>
              <w:left w:val="nil"/>
              <w:bottom w:val="nil"/>
              <w:right w:val="nil"/>
            </w:tcBorders>
            <w:shd w:val="clear" w:color="000000" w:fill="FFFFFF"/>
            <w:noWrap/>
            <w:tcMar>
              <w:top w:w="0" w:type="dxa"/>
              <w:left w:w="113" w:type="dxa"/>
              <w:bottom w:w="0" w:type="dxa"/>
              <w:right w:w="113" w:type="dxa"/>
            </w:tcMar>
            <w:hideMark/>
          </w:tcPr>
          <w:p w:rsidR="00240C45" w:rsidRPr="00B07B55" w:rsidRDefault="00240C45" w:rsidP="00D93B4C">
            <w:pPr>
              <w:pStyle w:val="Tabletext"/>
              <w:tabs>
                <w:tab w:val="decimal" w:pos="539"/>
              </w:tabs>
              <w:rPr>
                <w:lang w:val="en-GB"/>
              </w:rPr>
            </w:pPr>
            <w:r w:rsidRPr="00B07B55">
              <w:rPr>
                <w:lang w:val="en-GB"/>
              </w:rPr>
              <w:t>1.6</w:t>
            </w:r>
          </w:p>
        </w:tc>
      </w:tr>
      <w:tr w:rsidR="00240C45" w:rsidRPr="00B07B55" w:rsidTr="00D93B4C">
        <w:tc>
          <w:tcPr>
            <w:tcW w:w="1843" w:type="dxa"/>
            <w:tcBorders>
              <w:top w:val="nil"/>
              <w:bottom w:val="nil"/>
              <w:right w:val="nil"/>
            </w:tcBorders>
            <w:shd w:val="clear" w:color="000000" w:fill="FFFFFF"/>
            <w:noWrap/>
            <w:tcMar>
              <w:top w:w="0" w:type="dxa"/>
              <w:left w:w="113" w:type="dxa"/>
              <w:bottom w:w="0" w:type="dxa"/>
              <w:right w:w="113" w:type="dxa"/>
            </w:tcMar>
            <w:hideMark/>
          </w:tcPr>
          <w:p w:rsidR="00240C45" w:rsidRPr="00B07B55" w:rsidRDefault="00240C45" w:rsidP="00226BC6">
            <w:pPr>
              <w:pStyle w:val="Tabletext"/>
              <w:rPr>
                <w:lang w:val="en-GB"/>
              </w:rPr>
            </w:pPr>
            <w:r w:rsidRPr="00B07B55">
              <w:rPr>
                <w:lang w:val="en-GB"/>
              </w:rPr>
              <w:t>United States</w:t>
            </w:r>
          </w:p>
        </w:tc>
        <w:tc>
          <w:tcPr>
            <w:tcW w:w="1346" w:type="dxa"/>
            <w:tcBorders>
              <w:top w:val="nil"/>
              <w:left w:val="nil"/>
              <w:bottom w:val="nil"/>
              <w:right w:val="nil"/>
            </w:tcBorders>
            <w:shd w:val="clear" w:color="000000" w:fill="FFFFFF"/>
            <w:noWrap/>
            <w:tcMar>
              <w:top w:w="0" w:type="dxa"/>
              <w:left w:w="113" w:type="dxa"/>
              <w:bottom w:w="0" w:type="dxa"/>
              <w:right w:w="113" w:type="dxa"/>
            </w:tcMar>
            <w:hideMark/>
          </w:tcPr>
          <w:p w:rsidR="00240C45" w:rsidRPr="00B07B55" w:rsidRDefault="00240C45" w:rsidP="00D93B4C">
            <w:pPr>
              <w:pStyle w:val="Tabletext"/>
              <w:tabs>
                <w:tab w:val="decimal" w:pos="567"/>
              </w:tabs>
              <w:rPr>
                <w:lang w:val="en-GB"/>
              </w:rPr>
            </w:pPr>
            <w:r w:rsidRPr="00B07B55">
              <w:rPr>
                <w:lang w:val="en-GB"/>
              </w:rPr>
              <w:t>80.8</w:t>
            </w:r>
          </w:p>
        </w:tc>
        <w:tc>
          <w:tcPr>
            <w:tcW w:w="1347" w:type="dxa"/>
            <w:tcBorders>
              <w:top w:val="nil"/>
              <w:left w:val="nil"/>
              <w:bottom w:val="nil"/>
              <w:right w:val="nil"/>
            </w:tcBorders>
            <w:shd w:val="clear" w:color="000000" w:fill="FFFFFF"/>
            <w:noWrap/>
            <w:tcMar>
              <w:top w:w="0" w:type="dxa"/>
              <w:left w:w="113" w:type="dxa"/>
              <w:bottom w:w="0" w:type="dxa"/>
              <w:right w:w="113" w:type="dxa"/>
            </w:tcMar>
            <w:hideMark/>
          </w:tcPr>
          <w:p w:rsidR="00240C45" w:rsidRPr="00B07B55" w:rsidRDefault="00240C45" w:rsidP="00D93B4C">
            <w:pPr>
              <w:pStyle w:val="Tabletext"/>
              <w:tabs>
                <w:tab w:val="decimal" w:pos="567"/>
              </w:tabs>
              <w:rPr>
                <w:lang w:val="en-GB"/>
              </w:rPr>
            </w:pPr>
            <w:r w:rsidRPr="00B07B55">
              <w:rPr>
                <w:lang w:val="en-GB"/>
              </w:rPr>
              <w:t>23.2</w:t>
            </w:r>
          </w:p>
        </w:tc>
        <w:tc>
          <w:tcPr>
            <w:tcW w:w="1347" w:type="dxa"/>
            <w:tcBorders>
              <w:top w:val="nil"/>
              <w:left w:val="nil"/>
              <w:bottom w:val="nil"/>
              <w:right w:val="nil"/>
            </w:tcBorders>
            <w:shd w:val="clear" w:color="000000" w:fill="FFFFFF"/>
            <w:noWrap/>
            <w:tcMar>
              <w:top w:w="0" w:type="dxa"/>
              <w:left w:w="113" w:type="dxa"/>
              <w:bottom w:w="0" w:type="dxa"/>
              <w:right w:w="113" w:type="dxa"/>
            </w:tcMar>
            <w:hideMark/>
          </w:tcPr>
          <w:p w:rsidR="00240C45" w:rsidRPr="00B07B55" w:rsidRDefault="00240C45" w:rsidP="00D93B4C">
            <w:pPr>
              <w:pStyle w:val="Tabletext"/>
              <w:tabs>
                <w:tab w:val="decimal" w:pos="567"/>
              </w:tabs>
              <w:rPr>
                <w:lang w:val="en-GB"/>
              </w:rPr>
            </w:pPr>
            <w:r w:rsidRPr="00B07B55">
              <w:rPr>
                <w:lang w:val="en-GB"/>
              </w:rPr>
              <w:t>5.5</w:t>
            </w:r>
          </w:p>
        </w:tc>
        <w:tc>
          <w:tcPr>
            <w:tcW w:w="1347" w:type="dxa"/>
            <w:tcBorders>
              <w:top w:val="nil"/>
              <w:left w:val="nil"/>
              <w:bottom w:val="nil"/>
              <w:right w:val="nil"/>
            </w:tcBorders>
            <w:shd w:val="clear" w:color="000000" w:fill="FFFFFF"/>
            <w:noWrap/>
            <w:tcMar>
              <w:top w:w="0" w:type="dxa"/>
              <w:left w:w="113" w:type="dxa"/>
              <w:bottom w:w="0" w:type="dxa"/>
              <w:right w:w="113" w:type="dxa"/>
            </w:tcMar>
            <w:hideMark/>
          </w:tcPr>
          <w:p w:rsidR="00240C45" w:rsidRPr="00B07B55" w:rsidRDefault="00240C45" w:rsidP="00D93B4C">
            <w:pPr>
              <w:pStyle w:val="Tabletext"/>
              <w:tabs>
                <w:tab w:val="decimal" w:pos="539"/>
              </w:tabs>
              <w:rPr>
                <w:lang w:val="en-GB"/>
              </w:rPr>
            </w:pPr>
            <w:r w:rsidRPr="00B07B55">
              <w:rPr>
                <w:lang w:val="en-GB"/>
              </w:rPr>
              <w:t>1.3</w:t>
            </w:r>
          </w:p>
        </w:tc>
      </w:tr>
      <w:tr w:rsidR="00240C45" w:rsidRPr="00B07B55" w:rsidTr="00D93B4C">
        <w:tc>
          <w:tcPr>
            <w:tcW w:w="1843" w:type="dxa"/>
            <w:tcBorders>
              <w:top w:val="nil"/>
              <w:bottom w:val="single" w:sz="4" w:space="0" w:color="auto"/>
              <w:right w:val="nil"/>
            </w:tcBorders>
            <w:shd w:val="clear" w:color="000000" w:fill="FFFFFF"/>
            <w:noWrap/>
            <w:tcMar>
              <w:top w:w="0" w:type="dxa"/>
              <w:left w:w="113" w:type="dxa"/>
              <w:bottom w:w="0" w:type="dxa"/>
              <w:right w:w="113" w:type="dxa"/>
            </w:tcMar>
            <w:hideMark/>
          </w:tcPr>
          <w:p w:rsidR="00240C45" w:rsidRPr="00B07B55" w:rsidRDefault="00240C45" w:rsidP="00226BC6">
            <w:pPr>
              <w:pStyle w:val="Tabletext"/>
              <w:rPr>
                <w:bCs/>
                <w:lang w:val="en-GB"/>
              </w:rPr>
            </w:pPr>
            <w:r w:rsidRPr="00B07B55">
              <w:rPr>
                <w:bCs/>
                <w:lang w:val="en-GB"/>
              </w:rPr>
              <w:t>OECD average</w:t>
            </w:r>
          </w:p>
        </w:tc>
        <w:tc>
          <w:tcPr>
            <w:tcW w:w="1346" w:type="dxa"/>
            <w:tcBorders>
              <w:top w:val="nil"/>
              <w:left w:val="nil"/>
              <w:bottom w:val="single" w:sz="4" w:space="0" w:color="auto"/>
              <w:right w:val="nil"/>
            </w:tcBorders>
            <w:shd w:val="clear" w:color="000000" w:fill="FFFFFF"/>
            <w:noWrap/>
            <w:tcMar>
              <w:top w:w="0" w:type="dxa"/>
              <w:left w:w="113" w:type="dxa"/>
              <w:bottom w:w="0" w:type="dxa"/>
              <w:right w:w="113" w:type="dxa"/>
            </w:tcMar>
            <w:hideMark/>
          </w:tcPr>
          <w:p w:rsidR="00240C45" w:rsidRPr="00B07B55" w:rsidRDefault="00240C45" w:rsidP="00D93B4C">
            <w:pPr>
              <w:pStyle w:val="Tabletext"/>
              <w:tabs>
                <w:tab w:val="decimal" w:pos="567"/>
              </w:tabs>
              <w:rPr>
                <w:bCs/>
                <w:lang w:val="en-GB"/>
              </w:rPr>
            </w:pPr>
            <w:r w:rsidRPr="00B07B55">
              <w:rPr>
                <w:bCs/>
                <w:lang w:val="en-GB"/>
              </w:rPr>
              <w:t>81.5</w:t>
            </w:r>
          </w:p>
        </w:tc>
        <w:tc>
          <w:tcPr>
            <w:tcW w:w="1347" w:type="dxa"/>
            <w:tcBorders>
              <w:top w:val="nil"/>
              <w:left w:val="nil"/>
              <w:bottom w:val="single" w:sz="4" w:space="0" w:color="auto"/>
              <w:right w:val="nil"/>
            </w:tcBorders>
            <w:shd w:val="clear" w:color="000000" w:fill="FFFFFF"/>
            <w:noWrap/>
            <w:tcMar>
              <w:top w:w="0" w:type="dxa"/>
              <w:left w:w="113" w:type="dxa"/>
              <w:bottom w:w="0" w:type="dxa"/>
              <w:right w:w="113" w:type="dxa"/>
            </w:tcMar>
            <w:hideMark/>
          </w:tcPr>
          <w:p w:rsidR="00240C45" w:rsidRPr="00B07B55" w:rsidRDefault="00240C45" w:rsidP="00D93B4C">
            <w:pPr>
              <w:pStyle w:val="Tabletext"/>
              <w:tabs>
                <w:tab w:val="decimal" w:pos="567"/>
              </w:tabs>
              <w:rPr>
                <w:bCs/>
                <w:lang w:val="en-GB"/>
              </w:rPr>
            </w:pPr>
            <w:r w:rsidRPr="00B07B55">
              <w:rPr>
                <w:bCs/>
                <w:lang w:val="en-GB"/>
              </w:rPr>
              <w:t>24.9</w:t>
            </w:r>
          </w:p>
        </w:tc>
        <w:tc>
          <w:tcPr>
            <w:tcW w:w="1347" w:type="dxa"/>
            <w:tcBorders>
              <w:top w:val="nil"/>
              <w:left w:val="nil"/>
              <w:bottom w:val="single" w:sz="4" w:space="0" w:color="auto"/>
              <w:right w:val="nil"/>
            </w:tcBorders>
            <w:shd w:val="clear" w:color="000000" w:fill="FFFFFF"/>
            <w:noWrap/>
            <w:tcMar>
              <w:top w:w="0" w:type="dxa"/>
              <w:left w:w="113" w:type="dxa"/>
              <w:bottom w:w="0" w:type="dxa"/>
              <w:right w:w="113" w:type="dxa"/>
            </w:tcMar>
            <w:hideMark/>
          </w:tcPr>
          <w:p w:rsidR="00240C45" w:rsidRPr="00B07B55" w:rsidRDefault="00240C45" w:rsidP="00D93B4C">
            <w:pPr>
              <w:pStyle w:val="Tabletext"/>
              <w:tabs>
                <w:tab w:val="decimal" w:pos="567"/>
              </w:tabs>
              <w:rPr>
                <w:bCs/>
                <w:lang w:val="en-GB"/>
              </w:rPr>
            </w:pPr>
            <w:r w:rsidRPr="00B07B55">
              <w:rPr>
                <w:bCs/>
                <w:lang w:val="en-GB"/>
              </w:rPr>
              <w:t>5.9</w:t>
            </w:r>
          </w:p>
        </w:tc>
        <w:tc>
          <w:tcPr>
            <w:tcW w:w="1347" w:type="dxa"/>
            <w:tcBorders>
              <w:top w:val="nil"/>
              <w:left w:val="nil"/>
              <w:bottom w:val="single" w:sz="4" w:space="0" w:color="auto"/>
              <w:right w:val="nil"/>
            </w:tcBorders>
            <w:shd w:val="clear" w:color="000000" w:fill="FFFFFF"/>
            <w:noWrap/>
            <w:tcMar>
              <w:top w:w="0" w:type="dxa"/>
              <w:left w:w="113" w:type="dxa"/>
              <w:bottom w:w="0" w:type="dxa"/>
              <w:right w:w="113" w:type="dxa"/>
            </w:tcMar>
            <w:hideMark/>
          </w:tcPr>
          <w:p w:rsidR="00240C45" w:rsidRPr="00B07B55" w:rsidRDefault="00240C45" w:rsidP="00D93B4C">
            <w:pPr>
              <w:pStyle w:val="Tabletext"/>
              <w:tabs>
                <w:tab w:val="decimal" w:pos="539"/>
              </w:tabs>
              <w:rPr>
                <w:bCs/>
                <w:lang w:val="en-GB"/>
              </w:rPr>
            </w:pPr>
            <w:r w:rsidRPr="00B07B55">
              <w:rPr>
                <w:bCs/>
                <w:lang w:val="en-GB"/>
              </w:rPr>
              <w:t>1.6</w:t>
            </w:r>
          </w:p>
        </w:tc>
      </w:tr>
    </w:tbl>
    <w:p w:rsidR="00240C45" w:rsidRPr="00B07B55" w:rsidRDefault="00240C45" w:rsidP="00394103">
      <w:pPr>
        <w:pStyle w:val="Source"/>
        <w:rPr>
          <w:rFonts w:cs="Arial"/>
          <w:bCs/>
          <w:szCs w:val="15"/>
          <w:lang w:val="en-GB"/>
        </w:rPr>
      </w:pPr>
      <w:r w:rsidRPr="00B07B55">
        <w:rPr>
          <w:rFonts w:cs="Arial"/>
          <w:bCs/>
          <w:szCs w:val="15"/>
          <w:lang w:val="en-GB"/>
        </w:rPr>
        <w:t>Source:</w:t>
      </w:r>
      <w:r w:rsidR="00D93B4C">
        <w:rPr>
          <w:rFonts w:cs="Arial"/>
          <w:bCs/>
          <w:szCs w:val="15"/>
          <w:lang w:val="en-GB"/>
        </w:rPr>
        <w:tab/>
      </w:r>
      <w:r w:rsidRPr="00B07B55">
        <w:rPr>
          <w:rFonts w:cs="Arial"/>
          <w:bCs/>
          <w:szCs w:val="15"/>
          <w:lang w:val="en-GB"/>
        </w:rPr>
        <w:t xml:space="preserve">OECD </w:t>
      </w:r>
      <w:r w:rsidR="00822EE5">
        <w:rPr>
          <w:rFonts w:cs="Arial"/>
          <w:bCs/>
          <w:szCs w:val="15"/>
          <w:lang w:val="en-GB"/>
        </w:rPr>
        <w:t>(</w:t>
      </w:r>
      <w:r w:rsidRPr="00B07B55">
        <w:rPr>
          <w:rFonts w:cs="Arial"/>
          <w:bCs/>
          <w:szCs w:val="15"/>
          <w:lang w:val="en-GB"/>
        </w:rPr>
        <w:t>2010</w:t>
      </w:r>
      <w:r w:rsidR="00822EE5">
        <w:rPr>
          <w:rFonts w:cs="Arial"/>
          <w:bCs/>
          <w:szCs w:val="15"/>
          <w:lang w:val="en-GB"/>
        </w:rPr>
        <w:t>).</w:t>
      </w:r>
    </w:p>
    <w:p w:rsidR="00394103" w:rsidRDefault="00D0608B" w:rsidP="005008BD">
      <w:pPr>
        <w:pStyle w:val="Textmorebefore"/>
        <w:ind w:right="141"/>
      </w:pPr>
      <w:r w:rsidRPr="00B07B55">
        <w:t>T</w:t>
      </w:r>
      <w:r w:rsidR="00394103" w:rsidRPr="00B07B55">
        <w:t>his report describe</w:t>
      </w:r>
      <w:r w:rsidRPr="00B07B55">
        <w:t>s</w:t>
      </w:r>
      <w:r w:rsidR="00394103" w:rsidRPr="00B07B55">
        <w:t xml:space="preserve"> the main characteristics of Australians </w:t>
      </w:r>
      <w:r w:rsidR="0083056E">
        <w:t>who</w:t>
      </w:r>
      <w:r w:rsidR="00394103" w:rsidRPr="00B07B55">
        <w:t xml:space="preserve"> participate in formal education at more mature ages, investigate</w:t>
      </w:r>
      <w:r w:rsidRPr="00B07B55">
        <w:t>s</w:t>
      </w:r>
      <w:r w:rsidR="00394103" w:rsidRPr="00B07B55">
        <w:t xml:space="preserve"> a number of </w:t>
      </w:r>
      <w:r w:rsidR="00A47888" w:rsidRPr="00B07B55">
        <w:t xml:space="preserve">potential </w:t>
      </w:r>
      <w:r w:rsidR="00C874D5">
        <w:t>outcomes of such investments</w:t>
      </w:r>
      <w:r w:rsidR="00394103" w:rsidRPr="00B07B55">
        <w:t xml:space="preserve"> and explore</w:t>
      </w:r>
      <w:r w:rsidRPr="00B07B55">
        <w:t>s</w:t>
      </w:r>
      <w:r w:rsidR="00394103" w:rsidRPr="00B07B55">
        <w:t xml:space="preserve"> why Australian participation rates are higher than those </w:t>
      </w:r>
      <w:r w:rsidR="00C874D5">
        <w:t>of</w:t>
      </w:r>
      <w:r w:rsidR="00394103" w:rsidRPr="00B07B55">
        <w:t xml:space="preserve"> other OECD countries. The focus is on formal education, </w:t>
      </w:r>
      <w:r w:rsidR="00822EE5">
        <w:t xml:space="preserve">that is, </w:t>
      </w:r>
      <w:r w:rsidR="00394103" w:rsidRPr="00B07B55">
        <w:t xml:space="preserve">education that is part of enrolment </w:t>
      </w:r>
      <w:r w:rsidR="00BB29D1">
        <w:t xml:space="preserve">in education or training </w:t>
      </w:r>
      <w:r w:rsidR="00394103" w:rsidRPr="00B07B55">
        <w:t>for gaining a formal education qualification, such as a degree, diploma or certificate.</w:t>
      </w:r>
      <w:r w:rsidR="006905B5">
        <w:t xml:space="preserve"> </w:t>
      </w:r>
      <w:r w:rsidR="00394103" w:rsidRPr="00B07B55">
        <w:t xml:space="preserve">We do not focus on training that </w:t>
      </w:r>
      <w:r w:rsidR="002D000B">
        <w:t xml:space="preserve">is </w:t>
      </w:r>
      <w:r w:rsidR="00DF726F" w:rsidRPr="00B07B55">
        <w:t xml:space="preserve">not intended </w:t>
      </w:r>
      <w:r w:rsidR="00394103" w:rsidRPr="00B07B55">
        <w:t>to (cannot</w:t>
      </w:r>
      <w:r w:rsidR="00DF726F" w:rsidRPr="00B07B55">
        <w:t>)</w:t>
      </w:r>
      <w:r w:rsidR="00394103" w:rsidRPr="00B07B55">
        <w:t xml:space="preserve"> lead to obtaining a formal qualification.</w:t>
      </w:r>
      <w:r w:rsidR="00A853C4" w:rsidRPr="006654E3">
        <w:rPr>
          <w:vertAlign w:val="superscript"/>
        </w:rPr>
        <w:footnoteReference w:id="2"/>
      </w:r>
      <w:r w:rsidR="00394103" w:rsidRPr="00B07B55">
        <w:t xml:space="preserve"> We address four main research questions.</w:t>
      </w:r>
    </w:p>
    <w:p w:rsidR="00394103" w:rsidRPr="00845629" w:rsidRDefault="00394103" w:rsidP="002120F5">
      <w:pPr>
        <w:pStyle w:val="NumberedListContinuing"/>
        <w:numPr>
          <w:ilvl w:val="0"/>
          <w:numId w:val="46"/>
        </w:numPr>
        <w:ind w:left="284" w:hanging="284"/>
      </w:pPr>
      <w:r w:rsidRPr="00845629">
        <w:t>What are the participation rates of Australians by age group and gender in formal education and training? These participation rates are broken down by the type of qualification for which the individual is studying, whether the individual is studying full</w:t>
      </w:r>
      <w:r w:rsidR="00226BCD">
        <w:t>-</w:t>
      </w:r>
      <w:r w:rsidRPr="00845629">
        <w:t xml:space="preserve"> or part-time, and where possible, by </w:t>
      </w:r>
      <w:r w:rsidR="0041708C" w:rsidRPr="00845629">
        <w:t>the main reason for</w:t>
      </w:r>
      <w:r w:rsidRPr="00845629">
        <w:t xml:space="preserve"> study</w:t>
      </w:r>
      <w:r w:rsidR="0041708C" w:rsidRPr="00845629">
        <w:t>ing</w:t>
      </w:r>
      <w:r w:rsidRPr="00845629">
        <w:t>, the type of institution attended and mode of study.</w:t>
      </w:r>
      <w:r w:rsidR="00AA12F4" w:rsidRPr="00845629">
        <w:t xml:space="preserve"> </w:t>
      </w:r>
    </w:p>
    <w:p w:rsidR="00394103" w:rsidRPr="00845629" w:rsidRDefault="00394103" w:rsidP="002120F5">
      <w:pPr>
        <w:pStyle w:val="NumberedListContinuing"/>
        <w:ind w:left="284" w:hanging="284"/>
      </w:pPr>
      <w:r w:rsidRPr="00845629">
        <w:t xml:space="preserve">Who undertakes education at </w:t>
      </w:r>
      <w:r w:rsidR="000F7AEC" w:rsidRPr="00845629">
        <w:t xml:space="preserve">more </w:t>
      </w:r>
      <w:r w:rsidR="006A5795">
        <w:t xml:space="preserve">mature ages? </w:t>
      </w:r>
      <w:r w:rsidRPr="00845629">
        <w:t xml:space="preserve">We describe </w:t>
      </w:r>
      <w:r w:rsidR="000F7AEC" w:rsidRPr="00845629">
        <w:t>the</w:t>
      </w:r>
      <w:r w:rsidRPr="00845629">
        <w:t xml:space="preserve"> individual characteristics related to participation in formal education and training at more mature ages. We investigate a large number of individual characteristics, including: initial education levels, employment status, work experience, earnings levels, marital and dependent status, membership of potentially disadvantaged groups (</w:t>
      </w:r>
      <w:r w:rsidR="006A5795">
        <w:t>for example,</w:t>
      </w:r>
      <w:r w:rsidRPr="00845629">
        <w:t xml:space="preserve"> low parental </w:t>
      </w:r>
      <w:r w:rsidR="006A5795">
        <w:t>socioeconomic status</w:t>
      </w:r>
      <w:r w:rsidRPr="00845629">
        <w:t>, immigrant status, non-English home language, disability status), initial job satisfaction, and use of skills in initial job.</w:t>
      </w:r>
    </w:p>
    <w:p w:rsidR="00394103" w:rsidRPr="00845629" w:rsidRDefault="00394103" w:rsidP="002120F5">
      <w:pPr>
        <w:pStyle w:val="NumberedListContinuing"/>
        <w:ind w:left="284" w:hanging="284"/>
      </w:pPr>
      <w:r w:rsidRPr="00845629">
        <w:t>What</w:t>
      </w:r>
      <w:r w:rsidR="006A5795">
        <w:t xml:space="preserve"> are the labour market and well</w:t>
      </w:r>
      <w:r w:rsidRPr="00845629">
        <w:t>being effects of undertaking education at more mature ages? We investigate whether undertaking education at more mature ages results in improvements in: earnings, employment status (employed, hours of work, permanent positions), occupation level, job satisfaction, use of skills in the job held</w:t>
      </w:r>
      <w:r w:rsidR="006A5795">
        <w:t>, and levels of subjective well</w:t>
      </w:r>
      <w:r w:rsidRPr="00845629">
        <w:t xml:space="preserve">being. We break down our estimates of the effects of study on </w:t>
      </w:r>
      <w:r w:rsidR="00A47888" w:rsidRPr="00845629">
        <w:t xml:space="preserve">these </w:t>
      </w:r>
      <w:r w:rsidR="006A5795">
        <w:t>labour market and well</w:t>
      </w:r>
      <w:r w:rsidRPr="00845629">
        <w:t>being outcomes by type of credential gained (if one is gained) and by qualification completion status.</w:t>
      </w:r>
    </w:p>
    <w:p w:rsidR="00394103" w:rsidRPr="00845629" w:rsidRDefault="00394103" w:rsidP="002120F5">
      <w:pPr>
        <w:pStyle w:val="NumberedListContinuing"/>
        <w:ind w:left="284" w:hanging="284"/>
      </w:pPr>
      <w:r w:rsidRPr="00845629">
        <w:t xml:space="preserve">Why are </w:t>
      </w:r>
      <w:r w:rsidR="007A4E37">
        <w:t>mature-age</w:t>
      </w:r>
      <w:r w:rsidRPr="00845629">
        <w:t xml:space="preserve"> education participation rates so much higher in Australia than in comparable OECD countries? To what extent does this reflect differences in the composition of the adult populations across countries as opposed to other differences, </w:t>
      </w:r>
      <w:r w:rsidR="006A5795">
        <w:t xml:space="preserve">for example, </w:t>
      </w:r>
      <w:r w:rsidRPr="00845629">
        <w:t xml:space="preserve">in institutions, in preferences and/or in the returns </w:t>
      </w:r>
      <w:r w:rsidR="006A5795">
        <w:t>from</w:t>
      </w:r>
      <w:r w:rsidRPr="00845629">
        <w:t xml:space="preserve"> education? </w:t>
      </w:r>
    </w:p>
    <w:p w:rsidR="00394103" w:rsidRPr="00B07B55" w:rsidRDefault="00394103" w:rsidP="00495869">
      <w:pPr>
        <w:pStyle w:val="Text"/>
        <w:ind w:right="0"/>
        <w:rPr>
          <w:lang w:val="en-GB"/>
        </w:rPr>
      </w:pPr>
      <w:r w:rsidRPr="00B07B55">
        <w:rPr>
          <w:lang w:val="en-GB"/>
        </w:rPr>
        <w:t>We address these research questions using a variety of methodological approaches</w:t>
      </w:r>
      <w:r w:rsidR="000F7AEC">
        <w:rPr>
          <w:lang w:val="en-GB"/>
        </w:rPr>
        <w:t xml:space="preserve"> and</w:t>
      </w:r>
      <w:r w:rsidR="006A5795">
        <w:rPr>
          <w:lang w:val="en-GB"/>
        </w:rPr>
        <w:t xml:space="preserve"> different data</w:t>
      </w:r>
      <w:r w:rsidR="000F7AEC">
        <w:rPr>
          <w:lang w:val="en-GB"/>
        </w:rPr>
        <w:t>sets</w:t>
      </w:r>
      <w:r w:rsidRPr="00B07B55">
        <w:rPr>
          <w:lang w:val="en-GB"/>
        </w:rPr>
        <w:t xml:space="preserve">. While </w:t>
      </w:r>
      <w:r w:rsidR="00226BCD">
        <w:rPr>
          <w:lang w:val="en-GB"/>
        </w:rPr>
        <w:t xml:space="preserve">the first </w:t>
      </w:r>
      <w:r w:rsidRPr="00B07B55">
        <w:rPr>
          <w:lang w:val="en-GB"/>
        </w:rPr>
        <w:t>question is analysed using standard descriptive statistics and tabular analysis, the investigation of the other research questions involve</w:t>
      </w:r>
      <w:r w:rsidR="007F3D95">
        <w:rPr>
          <w:lang w:val="en-GB"/>
        </w:rPr>
        <w:t>s</w:t>
      </w:r>
      <w:r w:rsidRPr="00B07B55">
        <w:rPr>
          <w:lang w:val="en-GB"/>
        </w:rPr>
        <w:t xml:space="preserve"> the use of more advanced econometric techniques. The statistical techniques and </w:t>
      </w:r>
      <w:r w:rsidR="006A5795">
        <w:rPr>
          <w:lang w:val="en-GB"/>
        </w:rPr>
        <w:t>dataset</w:t>
      </w:r>
      <w:r w:rsidRPr="00B07B55">
        <w:rPr>
          <w:lang w:val="en-GB"/>
        </w:rPr>
        <w:t>s we employ in addressing each of the research questions are summarised in table 2.</w:t>
      </w:r>
    </w:p>
    <w:p w:rsidR="00240C45" w:rsidRPr="00B07B55" w:rsidRDefault="00240C45" w:rsidP="00240C45">
      <w:pPr>
        <w:pStyle w:val="tabletitle"/>
        <w:rPr>
          <w:lang w:val="en-GB"/>
        </w:rPr>
      </w:pPr>
      <w:bookmarkStart w:id="38" w:name="_Toc311576114"/>
      <w:bookmarkStart w:id="39" w:name="_Toc334021169"/>
      <w:r w:rsidRPr="00B07B55">
        <w:rPr>
          <w:lang w:val="en-GB"/>
        </w:rPr>
        <w:t>Table 2</w:t>
      </w:r>
      <w:r w:rsidRPr="00B07B55">
        <w:rPr>
          <w:lang w:val="en-GB"/>
        </w:rPr>
        <w:tab/>
        <w:t xml:space="preserve">Summary </w:t>
      </w:r>
      <w:r w:rsidR="00A47888" w:rsidRPr="00B07B55">
        <w:rPr>
          <w:lang w:val="en-GB"/>
        </w:rPr>
        <w:t>matrix of empirical approaches employed</w:t>
      </w:r>
      <w:bookmarkEnd w:id="38"/>
      <w:bookmarkEnd w:id="39"/>
    </w:p>
    <w:tbl>
      <w:tblPr>
        <w:tblW w:w="8789" w:type="dxa"/>
        <w:tblInd w:w="113" w:type="dxa"/>
        <w:tblLayout w:type="fixed"/>
        <w:tblCellMar>
          <w:left w:w="113" w:type="dxa"/>
          <w:right w:w="113" w:type="dxa"/>
        </w:tblCellMar>
        <w:tblLook w:val="04A0"/>
      </w:tblPr>
      <w:tblGrid>
        <w:gridCol w:w="2694"/>
        <w:gridCol w:w="2268"/>
        <w:gridCol w:w="1701"/>
        <w:gridCol w:w="2126"/>
      </w:tblGrid>
      <w:tr w:rsidR="00240C45" w:rsidRPr="00B07B55" w:rsidTr="005008BD">
        <w:trPr>
          <w:trHeight w:val="300"/>
        </w:trPr>
        <w:tc>
          <w:tcPr>
            <w:tcW w:w="2694" w:type="dxa"/>
            <w:tcBorders>
              <w:top w:val="single" w:sz="4" w:space="0" w:color="auto"/>
              <w:left w:val="nil"/>
              <w:bottom w:val="single" w:sz="4" w:space="0" w:color="auto"/>
              <w:right w:val="nil"/>
            </w:tcBorders>
            <w:shd w:val="clear" w:color="auto" w:fill="auto"/>
            <w:noWrap/>
            <w:tcMar>
              <w:top w:w="0" w:type="dxa"/>
              <w:left w:w="113" w:type="dxa"/>
              <w:bottom w:w="0" w:type="dxa"/>
              <w:right w:w="113" w:type="dxa"/>
            </w:tcMar>
            <w:hideMark/>
          </w:tcPr>
          <w:p w:rsidR="00240C45" w:rsidRPr="00B07B55" w:rsidRDefault="00240C45" w:rsidP="005008BD">
            <w:pPr>
              <w:pStyle w:val="Tablehead1"/>
              <w:rPr>
                <w:lang w:val="en-GB"/>
              </w:rPr>
            </w:pPr>
            <w:r w:rsidRPr="00B07B55">
              <w:rPr>
                <w:lang w:val="en-GB"/>
              </w:rPr>
              <w:t xml:space="preserve">Research </w:t>
            </w:r>
            <w:r w:rsidR="00A47888" w:rsidRPr="00B07B55">
              <w:rPr>
                <w:lang w:val="en-GB"/>
              </w:rPr>
              <w:t>question</w:t>
            </w:r>
          </w:p>
        </w:tc>
        <w:tc>
          <w:tcPr>
            <w:tcW w:w="2268" w:type="dxa"/>
            <w:tcBorders>
              <w:top w:val="single" w:sz="4" w:space="0" w:color="auto"/>
              <w:left w:val="nil"/>
              <w:bottom w:val="single" w:sz="4" w:space="0" w:color="auto"/>
              <w:right w:val="nil"/>
            </w:tcBorders>
            <w:shd w:val="clear" w:color="auto" w:fill="auto"/>
            <w:noWrap/>
            <w:tcMar>
              <w:top w:w="0" w:type="dxa"/>
              <w:left w:w="113" w:type="dxa"/>
              <w:bottom w:w="0" w:type="dxa"/>
              <w:right w:w="113" w:type="dxa"/>
            </w:tcMar>
            <w:hideMark/>
          </w:tcPr>
          <w:p w:rsidR="00240C45" w:rsidRPr="00B07B55" w:rsidRDefault="00240C45" w:rsidP="005008BD">
            <w:pPr>
              <w:pStyle w:val="Tablehead1"/>
              <w:rPr>
                <w:lang w:val="en-GB"/>
              </w:rPr>
            </w:pPr>
            <w:r w:rsidRPr="00B07B55">
              <w:rPr>
                <w:lang w:val="en-GB"/>
              </w:rPr>
              <w:t xml:space="preserve">Report </w:t>
            </w:r>
            <w:r w:rsidR="00A47888" w:rsidRPr="00B07B55">
              <w:rPr>
                <w:lang w:val="en-GB"/>
              </w:rPr>
              <w:t>section</w:t>
            </w:r>
          </w:p>
        </w:tc>
        <w:tc>
          <w:tcPr>
            <w:tcW w:w="1701" w:type="dxa"/>
            <w:tcBorders>
              <w:top w:val="single" w:sz="4" w:space="0" w:color="auto"/>
              <w:left w:val="nil"/>
              <w:bottom w:val="single" w:sz="4" w:space="0" w:color="auto"/>
              <w:right w:val="nil"/>
            </w:tcBorders>
            <w:shd w:val="clear" w:color="auto" w:fill="auto"/>
            <w:noWrap/>
            <w:tcMar>
              <w:top w:w="0" w:type="dxa"/>
              <w:left w:w="113" w:type="dxa"/>
              <w:bottom w:w="0" w:type="dxa"/>
              <w:right w:w="113" w:type="dxa"/>
            </w:tcMar>
            <w:hideMark/>
          </w:tcPr>
          <w:p w:rsidR="00240C45" w:rsidRPr="00B07B55" w:rsidRDefault="00240C45" w:rsidP="005008BD">
            <w:pPr>
              <w:pStyle w:val="Tablehead1"/>
              <w:rPr>
                <w:lang w:val="en-GB"/>
              </w:rPr>
            </w:pPr>
            <w:r w:rsidRPr="00B07B55">
              <w:rPr>
                <w:lang w:val="en-GB"/>
              </w:rPr>
              <w:t xml:space="preserve">Data </w:t>
            </w:r>
            <w:r w:rsidR="00A47888" w:rsidRPr="00B07B55">
              <w:rPr>
                <w:lang w:val="en-GB"/>
              </w:rPr>
              <w:t>employed</w:t>
            </w:r>
          </w:p>
        </w:tc>
        <w:tc>
          <w:tcPr>
            <w:tcW w:w="2126" w:type="dxa"/>
            <w:tcBorders>
              <w:top w:val="single" w:sz="4" w:space="0" w:color="auto"/>
              <w:left w:val="nil"/>
              <w:bottom w:val="single" w:sz="4" w:space="0" w:color="auto"/>
              <w:right w:val="nil"/>
            </w:tcBorders>
            <w:shd w:val="clear" w:color="auto" w:fill="auto"/>
            <w:noWrap/>
            <w:tcMar>
              <w:top w:w="0" w:type="dxa"/>
              <w:left w:w="113" w:type="dxa"/>
              <w:bottom w:w="0" w:type="dxa"/>
              <w:right w:w="113" w:type="dxa"/>
            </w:tcMar>
            <w:hideMark/>
          </w:tcPr>
          <w:p w:rsidR="00240C45" w:rsidRPr="00B07B55" w:rsidRDefault="00240C45" w:rsidP="005008BD">
            <w:pPr>
              <w:pStyle w:val="Tablehead1"/>
              <w:rPr>
                <w:lang w:val="en-GB"/>
              </w:rPr>
            </w:pPr>
            <w:r w:rsidRPr="00B07B55">
              <w:rPr>
                <w:lang w:val="en-GB"/>
              </w:rPr>
              <w:t>Methodology</w:t>
            </w:r>
          </w:p>
        </w:tc>
      </w:tr>
      <w:tr w:rsidR="007F0C1A" w:rsidRPr="00B07B55" w:rsidTr="005008BD">
        <w:trPr>
          <w:trHeight w:val="300"/>
        </w:trPr>
        <w:tc>
          <w:tcPr>
            <w:tcW w:w="2694" w:type="dxa"/>
            <w:tcBorders>
              <w:top w:val="single" w:sz="4" w:space="0" w:color="auto"/>
              <w:left w:val="nil"/>
              <w:right w:val="nil"/>
            </w:tcBorders>
            <w:shd w:val="clear" w:color="auto" w:fill="auto"/>
            <w:noWrap/>
            <w:tcMar>
              <w:top w:w="0" w:type="dxa"/>
              <w:left w:w="113" w:type="dxa"/>
              <w:bottom w:w="0" w:type="dxa"/>
              <w:right w:w="113" w:type="dxa"/>
            </w:tcMar>
            <w:hideMark/>
          </w:tcPr>
          <w:p w:rsidR="007F0C1A" w:rsidRPr="00B07B55" w:rsidRDefault="007F0C1A" w:rsidP="005008BD">
            <w:pPr>
              <w:pStyle w:val="Tabletext"/>
              <w:ind w:left="227" w:hanging="227"/>
              <w:rPr>
                <w:lang w:val="en-GB"/>
              </w:rPr>
            </w:pPr>
            <w:r w:rsidRPr="00B07B55">
              <w:rPr>
                <w:lang w:val="en-GB"/>
              </w:rPr>
              <w:t>1</w:t>
            </w:r>
            <w:r w:rsidR="005008BD">
              <w:rPr>
                <w:lang w:val="en-GB"/>
              </w:rPr>
              <w:tab/>
            </w:r>
            <w:r w:rsidRPr="00B07B55">
              <w:rPr>
                <w:lang w:val="en-GB"/>
              </w:rPr>
              <w:t>Participation rates of Australians by age group in formal education.</w:t>
            </w:r>
          </w:p>
        </w:tc>
        <w:tc>
          <w:tcPr>
            <w:tcW w:w="2268" w:type="dxa"/>
            <w:tcBorders>
              <w:top w:val="single" w:sz="4" w:space="0" w:color="auto"/>
              <w:left w:val="nil"/>
              <w:right w:val="nil"/>
            </w:tcBorders>
            <w:shd w:val="clear" w:color="auto" w:fill="auto"/>
            <w:noWrap/>
            <w:tcMar>
              <w:top w:w="0" w:type="dxa"/>
              <w:left w:w="113" w:type="dxa"/>
              <w:bottom w:w="0" w:type="dxa"/>
              <w:right w:w="113" w:type="dxa"/>
            </w:tcMar>
            <w:hideMark/>
          </w:tcPr>
          <w:p w:rsidR="007F0C1A" w:rsidRPr="00B07B55" w:rsidRDefault="007F0C1A" w:rsidP="005008BD">
            <w:pPr>
              <w:pStyle w:val="Tabletext"/>
              <w:rPr>
                <w:lang w:val="en-GB"/>
              </w:rPr>
            </w:pPr>
            <w:r w:rsidRPr="00B07B55">
              <w:rPr>
                <w:lang w:val="en-GB"/>
              </w:rPr>
              <w:t xml:space="preserve">Data and </w:t>
            </w:r>
            <w:r w:rsidR="00A47888" w:rsidRPr="00B07B55">
              <w:rPr>
                <w:lang w:val="en-GB"/>
              </w:rPr>
              <w:t>participation rates</w:t>
            </w:r>
          </w:p>
        </w:tc>
        <w:tc>
          <w:tcPr>
            <w:tcW w:w="1701" w:type="dxa"/>
            <w:tcBorders>
              <w:top w:val="single" w:sz="4" w:space="0" w:color="auto"/>
              <w:left w:val="nil"/>
              <w:right w:val="nil"/>
            </w:tcBorders>
            <w:shd w:val="clear" w:color="auto" w:fill="auto"/>
            <w:noWrap/>
            <w:tcMar>
              <w:top w:w="0" w:type="dxa"/>
              <w:left w:w="113" w:type="dxa"/>
              <w:bottom w:w="0" w:type="dxa"/>
              <w:right w:w="113" w:type="dxa"/>
            </w:tcMar>
            <w:hideMark/>
          </w:tcPr>
          <w:p w:rsidR="007F0C1A" w:rsidRPr="00B07B55" w:rsidRDefault="007F0C1A" w:rsidP="005008BD">
            <w:pPr>
              <w:pStyle w:val="Tabletext"/>
              <w:rPr>
                <w:lang w:val="en-GB"/>
              </w:rPr>
            </w:pPr>
            <w:r w:rsidRPr="00B07B55">
              <w:rPr>
                <w:lang w:val="en-GB"/>
              </w:rPr>
              <w:t>HILDA, SET</w:t>
            </w:r>
          </w:p>
        </w:tc>
        <w:tc>
          <w:tcPr>
            <w:tcW w:w="2126" w:type="dxa"/>
            <w:tcBorders>
              <w:top w:val="single" w:sz="4" w:space="0" w:color="auto"/>
              <w:left w:val="nil"/>
              <w:right w:val="nil"/>
            </w:tcBorders>
            <w:shd w:val="clear" w:color="auto" w:fill="auto"/>
            <w:noWrap/>
            <w:tcMar>
              <w:top w:w="0" w:type="dxa"/>
              <w:left w:w="113" w:type="dxa"/>
              <w:bottom w:w="0" w:type="dxa"/>
              <w:right w:w="113" w:type="dxa"/>
            </w:tcMar>
            <w:hideMark/>
          </w:tcPr>
          <w:p w:rsidR="007F0C1A" w:rsidRPr="00B07B55" w:rsidRDefault="007F0C1A" w:rsidP="005008BD">
            <w:pPr>
              <w:pStyle w:val="Tabletext"/>
              <w:rPr>
                <w:lang w:val="en-GB"/>
              </w:rPr>
            </w:pPr>
            <w:r w:rsidRPr="00B07B55">
              <w:rPr>
                <w:lang w:val="en-GB"/>
              </w:rPr>
              <w:t xml:space="preserve">Descriptive </w:t>
            </w:r>
            <w:r w:rsidR="00A47888" w:rsidRPr="00B07B55">
              <w:rPr>
                <w:lang w:val="en-GB"/>
              </w:rPr>
              <w:t>statistics</w:t>
            </w:r>
          </w:p>
        </w:tc>
      </w:tr>
      <w:tr w:rsidR="007F0C1A" w:rsidRPr="00B07B55" w:rsidTr="005008BD">
        <w:trPr>
          <w:trHeight w:val="300"/>
        </w:trPr>
        <w:tc>
          <w:tcPr>
            <w:tcW w:w="2694" w:type="dxa"/>
            <w:tcBorders>
              <w:left w:val="nil"/>
              <w:right w:val="nil"/>
            </w:tcBorders>
            <w:shd w:val="clear" w:color="auto" w:fill="auto"/>
            <w:noWrap/>
            <w:tcMar>
              <w:top w:w="0" w:type="dxa"/>
              <w:left w:w="113" w:type="dxa"/>
              <w:bottom w:w="0" w:type="dxa"/>
              <w:right w:w="113" w:type="dxa"/>
            </w:tcMar>
          </w:tcPr>
          <w:p w:rsidR="007F0C1A" w:rsidRPr="00B07B55" w:rsidRDefault="007F0C1A" w:rsidP="005008BD">
            <w:pPr>
              <w:pStyle w:val="Tabletext"/>
              <w:ind w:left="227" w:hanging="227"/>
              <w:rPr>
                <w:lang w:val="en-GB"/>
              </w:rPr>
            </w:pPr>
            <w:r w:rsidRPr="00B07B55">
              <w:rPr>
                <w:lang w:val="en-GB"/>
              </w:rPr>
              <w:t>2</w:t>
            </w:r>
            <w:r w:rsidR="005008BD">
              <w:rPr>
                <w:lang w:val="en-GB"/>
              </w:rPr>
              <w:tab/>
            </w:r>
            <w:r w:rsidRPr="00B07B55">
              <w:rPr>
                <w:lang w:val="en-GB"/>
              </w:rPr>
              <w:t xml:space="preserve">Who undertakes education at mature ages? </w:t>
            </w:r>
          </w:p>
        </w:tc>
        <w:tc>
          <w:tcPr>
            <w:tcW w:w="2268" w:type="dxa"/>
            <w:tcBorders>
              <w:left w:val="nil"/>
              <w:right w:val="nil"/>
            </w:tcBorders>
            <w:shd w:val="clear" w:color="auto" w:fill="auto"/>
            <w:noWrap/>
            <w:tcMar>
              <w:top w:w="0" w:type="dxa"/>
              <w:left w:w="113" w:type="dxa"/>
              <w:bottom w:w="0" w:type="dxa"/>
              <w:right w:w="113" w:type="dxa"/>
            </w:tcMar>
          </w:tcPr>
          <w:p w:rsidR="007F0C1A" w:rsidRPr="00B07B55" w:rsidRDefault="007F0C1A" w:rsidP="005008BD">
            <w:pPr>
              <w:pStyle w:val="Tabletext"/>
              <w:rPr>
                <w:lang w:val="en-GB"/>
              </w:rPr>
            </w:pPr>
            <w:r w:rsidRPr="00B07B55">
              <w:rPr>
                <w:lang w:val="en-GB"/>
              </w:rPr>
              <w:t xml:space="preserve">Multivariate </w:t>
            </w:r>
            <w:r w:rsidR="00A47888" w:rsidRPr="00B07B55">
              <w:rPr>
                <w:lang w:val="en-GB"/>
              </w:rPr>
              <w:t>regressions results</w:t>
            </w:r>
            <w:r w:rsidRPr="00B07B55">
              <w:rPr>
                <w:lang w:val="en-GB"/>
              </w:rPr>
              <w:t xml:space="preserve">: </w:t>
            </w:r>
            <w:r w:rsidR="00A47888" w:rsidRPr="00B07B55">
              <w:rPr>
                <w:lang w:val="en-GB"/>
              </w:rPr>
              <w:t xml:space="preserve">the decision </w:t>
            </w:r>
            <w:r w:rsidRPr="00B07B55">
              <w:rPr>
                <w:lang w:val="en-GB"/>
              </w:rPr>
              <w:t xml:space="preserve">to </w:t>
            </w:r>
            <w:r w:rsidR="00A47888" w:rsidRPr="00B07B55">
              <w:rPr>
                <w:lang w:val="en-GB"/>
              </w:rPr>
              <w:t>enrol</w:t>
            </w:r>
          </w:p>
        </w:tc>
        <w:tc>
          <w:tcPr>
            <w:tcW w:w="1701" w:type="dxa"/>
            <w:tcBorders>
              <w:left w:val="nil"/>
              <w:right w:val="nil"/>
            </w:tcBorders>
            <w:shd w:val="clear" w:color="auto" w:fill="auto"/>
            <w:noWrap/>
            <w:tcMar>
              <w:top w:w="0" w:type="dxa"/>
              <w:left w:w="113" w:type="dxa"/>
              <w:bottom w:w="0" w:type="dxa"/>
              <w:right w:w="113" w:type="dxa"/>
            </w:tcMar>
          </w:tcPr>
          <w:p w:rsidR="007F0C1A" w:rsidRPr="00B07B55" w:rsidRDefault="007F0C1A" w:rsidP="005008BD">
            <w:pPr>
              <w:pStyle w:val="Tabletext"/>
              <w:rPr>
                <w:lang w:val="en-GB"/>
              </w:rPr>
            </w:pPr>
            <w:r w:rsidRPr="00B07B55">
              <w:rPr>
                <w:lang w:val="en-GB"/>
              </w:rPr>
              <w:t>HILDA</w:t>
            </w:r>
          </w:p>
        </w:tc>
        <w:tc>
          <w:tcPr>
            <w:tcW w:w="2126" w:type="dxa"/>
            <w:tcBorders>
              <w:left w:val="nil"/>
              <w:right w:val="nil"/>
            </w:tcBorders>
            <w:shd w:val="clear" w:color="auto" w:fill="auto"/>
            <w:noWrap/>
            <w:tcMar>
              <w:top w:w="0" w:type="dxa"/>
              <w:left w:w="113" w:type="dxa"/>
              <w:bottom w:w="0" w:type="dxa"/>
              <w:right w:w="113" w:type="dxa"/>
            </w:tcMar>
          </w:tcPr>
          <w:p w:rsidR="007F0C1A" w:rsidRPr="00B07B55" w:rsidRDefault="007F0C1A" w:rsidP="005008BD">
            <w:pPr>
              <w:pStyle w:val="Tabletext"/>
              <w:rPr>
                <w:lang w:val="en-GB"/>
              </w:rPr>
            </w:pPr>
            <w:r w:rsidRPr="00B07B55">
              <w:rPr>
                <w:lang w:val="en-GB"/>
              </w:rPr>
              <w:t xml:space="preserve">Descriptive </w:t>
            </w:r>
            <w:r w:rsidR="00A47888" w:rsidRPr="00B07B55">
              <w:rPr>
                <w:lang w:val="en-GB"/>
              </w:rPr>
              <w:t>statistics</w:t>
            </w:r>
            <w:r w:rsidRPr="00B07B55">
              <w:rPr>
                <w:lang w:val="en-GB"/>
              </w:rPr>
              <w:t xml:space="preserve">, </w:t>
            </w:r>
            <w:r w:rsidR="00A47888" w:rsidRPr="00B07B55">
              <w:rPr>
                <w:lang w:val="en-GB"/>
              </w:rPr>
              <w:t>multivariate probit analysis</w:t>
            </w:r>
          </w:p>
        </w:tc>
      </w:tr>
      <w:tr w:rsidR="007F0C1A" w:rsidRPr="00B07B55" w:rsidTr="005008BD">
        <w:trPr>
          <w:trHeight w:val="300"/>
        </w:trPr>
        <w:tc>
          <w:tcPr>
            <w:tcW w:w="2694" w:type="dxa"/>
            <w:tcBorders>
              <w:left w:val="nil"/>
              <w:right w:val="nil"/>
            </w:tcBorders>
            <w:shd w:val="clear" w:color="auto" w:fill="auto"/>
            <w:noWrap/>
            <w:tcMar>
              <w:top w:w="0" w:type="dxa"/>
              <w:left w:w="113" w:type="dxa"/>
              <w:bottom w:w="0" w:type="dxa"/>
              <w:right w:w="113" w:type="dxa"/>
            </w:tcMar>
          </w:tcPr>
          <w:p w:rsidR="007F0C1A" w:rsidRPr="00B07B55" w:rsidRDefault="007F0C1A" w:rsidP="005008BD">
            <w:pPr>
              <w:pStyle w:val="Tabletext"/>
              <w:ind w:left="227" w:hanging="227"/>
              <w:rPr>
                <w:lang w:val="en-GB"/>
              </w:rPr>
            </w:pPr>
            <w:r w:rsidRPr="00B07B55">
              <w:rPr>
                <w:lang w:val="en-GB"/>
              </w:rPr>
              <w:t>3</w:t>
            </w:r>
            <w:r w:rsidR="005008BD">
              <w:rPr>
                <w:lang w:val="en-GB"/>
              </w:rPr>
              <w:tab/>
            </w:r>
            <w:r w:rsidRPr="00B07B55">
              <w:rPr>
                <w:lang w:val="en-GB"/>
              </w:rPr>
              <w:t>Labour mark</w:t>
            </w:r>
            <w:r w:rsidR="006A5795">
              <w:rPr>
                <w:lang w:val="en-GB"/>
              </w:rPr>
              <w:t>et and well</w:t>
            </w:r>
            <w:r w:rsidRPr="00B07B55">
              <w:rPr>
                <w:lang w:val="en-GB"/>
              </w:rPr>
              <w:t xml:space="preserve">being effects of undertaking education at mature ages? </w:t>
            </w:r>
          </w:p>
        </w:tc>
        <w:tc>
          <w:tcPr>
            <w:tcW w:w="2268" w:type="dxa"/>
            <w:tcBorders>
              <w:left w:val="nil"/>
              <w:right w:val="nil"/>
            </w:tcBorders>
            <w:shd w:val="clear" w:color="auto" w:fill="auto"/>
            <w:noWrap/>
            <w:tcMar>
              <w:top w:w="0" w:type="dxa"/>
              <w:left w:w="113" w:type="dxa"/>
              <w:bottom w:w="0" w:type="dxa"/>
              <w:right w:w="113" w:type="dxa"/>
            </w:tcMar>
          </w:tcPr>
          <w:p w:rsidR="007F0C1A" w:rsidRPr="00B07B55" w:rsidRDefault="007F0C1A" w:rsidP="005008BD">
            <w:pPr>
              <w:pStyle w:val="Tabletext"/>
              <w:rPr>
                <w:lang w:val="en-GB"/>
              </w:rPr>
            </w:pPr>
            <w:r w:rsidRPr="00B07B55">
              <w:rPr>
                <w:lang w:val="en-GB"/>
              </w:rPr>
              <w:t xml:space="preserve">Multivariate </w:t>
            </w:r>
            <w:r w:rsidR="00A47888" w:rsidRPr="00B07B55">
              <w:rPr>
                <w:lang w:val="en-GB"/>
              </w:rPr>
              <w:t>regressions results</w:t>
            </w:r>
            <w:r w:rsidRPr="00B07B55">
              <w:rPr>
                <w:lang w:val="en-GB"/>
              </w:rPr>
              <w:t xml:space="preserve">: </w:t>
            </w:r>
            <w:r w:rsidR="00A47888" w:rsidRPr="00B07B55">
              <w:rPr>
                <w:lang w:val="en-GB"/>
              </w:rPr>
              <w:t xml:space="preserve">the outcomes </w:t>
            </w:r>
            <w:r w:rsidRPr="00B07B55">
              <w:rPr>
                <w:lang w:val="en-GB"/>
              </w:rPr>
              <w:t xml:space="preserve">of </w:t>
            </w:r>
            <w:r w:rsidR="00A47888" w:rsidRPr="00B07B55">
              <w:rPr>
                <w:lang w:val="en-GB"/>
              </w:rPr>
              <w:t>education</w:t>
            </w:r>
          </w:p>
        </w:tc>
        <w:tc>
          <w:tcPr>
            <w:tcW w:w="1701" w:type="dxa"/>
            <w:tcBorders>
              <w:left w:val="nil"/>
              <w:right w:val="nil"/>
            </w:tcBorders>
            <w:shd w:val="clear" w:color="auto" w:fill="auto"/>
            <w:noWrap/>
            <w:tcMar>
              <w:top w:w="0" w:type="dxa"/>
              <w:left w:w="113" w:type="dxa"/>
              <w:bottom w:w="0" w:type="dxa"/>
              <w:right w:w="113" w:type="dxa"/>
            </w:tcMar>
          </w:tcPr>
          <w:p w:rsidR="007F0C1A" w:rsidRPr="00B07B55" w:rsidRDefault="007F0C1A" w:rsidP="005008BD">
            <w:pPr>
              <w:pStyle w:val="Tabletext"/>
              <w:rPr>
                <w:lang w:val="en-GB"/>
              </w:rPr>
            </w:pPr>
            <w:r w:rsidRPr="00B07B55">
              <w:rPr>
                <w:lang w:val="en-GB"/>
              </w:rPr>
              <w:t>HILDA</w:t>
            </w:r>
          </w:p>
        </w:tc>
        <w:tc>
          <w:tcPr>
            <w:tcW w:w="2126" w:type="dxa"/>
            <w:tcBorders>
              <w:left w:val="nil"/>
              <w:right w:val="nil"/>
            </w:tcBorders>
            <w:shd w:val="clear" w:color="auto" w:fill="auto"/>
            <w:noWrap/>
            <w:tcMar>
              <w:top w:w="0" w:type="dxa"/>
              <w:left w:w="113" w:type="dxa"/>
              <w:bottom w:w="0" w:type="dxa"/>
              <w:right w:w="113" w:type="dxa"/>
            </w:tcMar>
          </w:tcPr>
          <w:p w:rsidR="007F0C1A" w:rsidRPr="00B07B55" w:rsidRDefault="007F0C1A" w:rsidP="005008BD">
            <w:pPr>
              <w:pStyle w:val="Tabletext"/>
              <w:rPr>
                <w:lang w:val="en-GB"/>
              </w:rPr>
            </w:pPr>
            <w:r w:rsidRPr="00B07B55">
              <w:rPr>
                <w:lang w:val="en-GB"/>
              </w:rPr>
              <w:t xml:space="preserve">Multivariate </w:t>
            </w:r>
            <w:r w:rsidR="00A47888" w:rsidRPr="00B07B55">
              <w:rPr>
                <w:lang w:val="en-GB"/>
              </w:rPr>
              <w:t>linear regression</w:t>
            </w:r>
          </w:p>
        </w:tc>
      </w:tr>
      <w:tr w:rsidR="007F0C1A" w:rsidRPr="00B07B55" w:rsidTr="005008BD">
        <w:trPr>
          <w:trHeight w:val="300"/>
        </w:trPr>
        <w:tc>
          <w:tcPr>
            <w:tcW w:w="2694" w:type="dxa"/>
            <w:tcBorders>
              <w:left w:val="nil"/>
              <w:bottom w:val="single" w:sz="4" w:space="0" w:color="auto"/>
              <w:right w:val="nil"/>
            </w:tcBorders>
            <w:shd w:val="clear" w:color="auto" w:fill="auto"/>
            <w:noWrap/>
            <w:tcMar>
              <w:top w:w="0" w:type="dxa"/>
              <w:left w:w="113" w:type="dxa"/>
              <w:bottom w:w="0" w:type="dxa"/>
              <w:right w:w="113" w:type="dxa"/>
            </w:tcMar>
          </w:tcPr>
          <w:p w:rsidR="007F0C1A" w:rsidRPr="00B07B55" w:rsidRDefault="007F0C1A" w:rsidP="005008BD">
            <w:pPr>
              <w:pStyle w:val="Tabletext"/>
              <w:ind w:left="227" w:hanging="227"/>
              <w:rPr>
                <w:lang w:val="en-GB"/>
              </w:rPr>
            </w:pPr>
            <w:r w:rsidRPr="00B07B55">
              <w:rPr>
                <w:lang w:val="en-GB"/>
              </w:rPr>
              <w:t>4</w:t>
            </w:r>
            <w:r w:rsidR="005008BD">
              <w:rPr>
                <w:lang w:val="en-GB"/>
              </w:rPr>
              <w:tab/>
            </w:r>
            <w:r w:rsidRPr="00B07B55">
              <w:rPr>
                <w:lang w:val="en-GB"/>
              </w:rPr>
              <w:t xml:space="preserve">Why are </w:t>
            </w:r>
            <w:r w:rsidR="007A4E37">
              <w:rPr>
                <w:lang w:val="en-GB"/>
              </w:rPr>
              <w:t>mature-age</w:t>
            </w:r>
            <w:r w:rsidRPr="00B07B55">
              <w:rPr>
                <w:lang w:val="en-GB"/>
              </w:rPr>
              <w:t xml:space="preserve"> participation rates in formal education so much higher in Australia than in other comparable OECD countries? </w:t>
            </w:r>
          </w:p>
        </w:tc>
        <w:tc>
          <w:tcPr>
            <w:tcW w:w="2268" w:type="dxa"/>
            <w:tcBorders>
              <w:left w:val="nil"/>
              <w:bottom w:val="single" w:sz="4" w:space="0" w:color="auto"/>
              <w:right w:val="nil"/>
            </w:tcBorders>
            <w:shd w:val="clear" w:color="auto" w:fill="auto"/>
            <w:noWrap/>
            <w:tcMar>
              <w:top w:w="0" w:type="dxa"/>
              <w:left w:w="113" w:type="dxa"/>
              <w:bottom w:w="0" w:type="dxa"/>
              <w:right w:w="113" w:type="dxa"/>
            </w:tcMar>
          </w:tcPr>
          <w:p w:rsidR="007F0C1A" w:rsidRPr="00B07B55" w:rsidRDefault="007F0C1A" w:rsidP="005008BD">
            <w:pPr>
              <w:pStyle w:val="Tabletext"/>
              <w:rPr>
                <w:lang w:val="en-GB"/>
              </w:rPr>
            </w:pPr>
            <w:r w:rsidRPr="00B07B55">
              <w:rPr>
                <w:lang w:val="en-GB"/>
              </w:rPr>
              <w:t xml:space="preserve">Multivariate </w:t>
            </w:r>
            <w:r w:rsidR="00A47888" w:rsidRPr="00B07B55">
              <w:rPr>
                <w:lang w:val="en-GB"/>
              </w:rPr>
              <w:t>regressions results</w:t>
            </w:r>
            <w:r w:rsidRPr="00B07B55">
              <w:rPr>
                <w:lang w:val="en-GB"/>
              </w:rPr>
              <w:t xml:space="preserve">: </w:t>
            </w:r>
            <w:r w:rsidR="00A47888" w:rsidRPr="00B07B55">
              <w:rPr>
                <w:lang w:val="en-GB"/>
              </w:rPr>
              <w:t xml:space="preserve">the </w:t>
            </w:r>
            <w:r w:rsidRPr="00B07B55">
              <w:rPr>
                <w:lang w:val="en-GB"/>
              </w:rPr>
              <w:t xml:space="preserve">Australian </w:t>
            </w:r>
            <w:r w:rsidR="00A47888" w:rsidRPr="00B07B55">
              <w:rPr>
                <w:lang w:val="en-GB"/>
              </w:rPr>
              <w:t xml:space="preserve">experience </w:t>
            </w:r>
            <w:r w:rsidRPr="00B07B55">
              <w:rPr>
                <w:lang w:val="en-GB"/>
              </w:rPr>
              <w:t xml:space="preserve">in an </w:t>
            </w:r>
            <w:r w:rsidR="00A47888" w:rsidRPr="00B07B55">
              <w:rPr>
                <w:lang w:val="en-GB"/>
              </w:rPr>
              <w:t>international context</w:t>
            </w:r>
          </w:p>
        </w:tc>
        <w:tc>
          <w:tcPr>
            <w:tcW w:w="1701" w:type="dxa"/>
            <w:tcBorders>
              <w:left w:val="nil"/>
              <w:bottom w:val="single" w:sz="4" w:space="0" w:color="auto"/>
              <w:right w:val="nil"/>
            </w:tcBorders>
            <w:shd w:val="clear" w:color="auto" w:fill="auto"/>
            <w:noWrap/>
            <w:tcMar>
              <w:top w:w="0" w:type="dxa"/>
              <w:left w:w="113" w:type="dxa"/>
              <w:bottom w:w="0" w:type="dxa"/>
              <w:right w:w="113" w:type="dxa"/>
            </w:tcMar>
          </w:tcPr>
          <w:p w:rsidR="007F0C1A" w:rsidRPr="00B07B55" w:rsidRDefault="007F0C1A" w:rsidP="005008BD">
            <w:pPr>
              <w:pStyle w:val="Tabletext"/>
              <w:rPr>
                <w:lang w:val="en-GB"/>
              </w:rPr>
            </w:pPr>
            <w:r w:rsidRPr="00B07B55">
              <w:rPr>
                <w:lang w:val="en-GB"/>
              </w:rPr>
              <w:t>HILDA, BHPS</w:t>
            </w:r>
          </w:p>
        </w:tc>
        <w:tc>
          <w:tcPr>
            <w:tcW w:w="2126" w:type="dxa"/>
            <w:tcBorders>
              <w:left w:val="nil"/>
              <w:bottom w:val="single" w:sz="4" w:space="0" w:color="auto"/>
              <w:right w:val="nil"/>
            </w:tcBorders>
            <w:shd w:val="clear" w:color="auto" w:fill="auto"/>
            <w:noWrap/>
            <w:tcMar>
              <w:top w:w="0" w:type="dxa"/>
              <w:left w:w="113" w:type="dxa"/>
              <w:bottom w:w="0" w:type="dxa"/>
              <w:right w:w="113" w:type="dxa"/>
            </w:tcMar>
          </w:tcPr>
          <w:p w:rsidR="007F0C1A" w:rsidRPr="00B07B55" w:rsidRDefault="007F0C1A" w:rsidP="005008BD">
            <w:pPr>
              <w:pStyle w:val="Tabletext"/>
              <w:rPr>
                <w:lang w:val="en-GB"/>
              </w:rPr>
            </w:pPr>
            <w:r w:rsidRPr="00B07B55">
              <w:rPr>
                <w:lang w:val="en-GB"/>
              </w:rPr>
              <w:t xml:space="preserve">Probit </w:t>
            </w:r>
            <w:r w:rsidR="00A47888" w:rsidRPr="00B07B55">
              <w:rPr>
                <w:lang w:val="en-GB"/>
              </w:rPr>
              <w:t>analysis</w:t>
            </w:r>
            <w:r w:rsidRPr="00B07B55">
              <w:rPr>
                <w:lang w:val="en-GB"/>
              </w:rPr>
              <w:t xml:space="preserve">, Oaxaca-Blinder </w:t>
            </w:r>
            <w:r w:rsidR="00A47888" w:rsidRPr="00B07B55">
              <w:rPr>
                <w:lang w:val="en-GB"/>
              </w:rPr>
              <w:t>decomposition</w:t>
            </w:r>
          </w:p>
        </w:tc>
      </w:tr>
    </w:tbl>
    <w:p w:rsidR="00240C45" w:rsidRPr="00B07B55" w:rsidRDefault="005B226F" w:rsidP="007F0C1A">
      <w:pPr>
        <w:pStyle w:val="Source"/>
        <w:rPr>
          <w:rFonts w:cs="Arial"/>
          <w:color w:val="000000"/>
          <w:szCs w:val="15"/>
          <w:lang w:val="en-GB" w:eastAsia="en-AU"/>
        </w:rPr>
      </w:pPr>
      <w:r>
        <w:rPr>
          <w:lang w:val="en-GB" w:eastAsia="en-AU"/>
        </w:rPr>
        <w:t>Note</w:t>
      </w:r>
      <w:r w:rsidR="005008BD">
        <w:rPr>
          <w:lang w:val="en-GB" w:eastAsia="en-AU"/>
        </w:rPr>
        <w:t>s</w:t>
      </w:r>
      <w:r w:rsidR="006A5795">
        <w:rPr>
          <w:lang w:val="en-GB" w:eastAsia="en-AU"/>
        </w:rPr>
        <w:t>:</w:t>
      </w:r>
      <w:r w:rsidR="005008BD">
        <w:rPr>
          <w:lang w:val="en-GB" w:eastAsia="en-AU"/>
        </w:rPr>
        <w:tab/>
      </w:r>
      <w:r w:rsidR="006A5795">
        <w:rPr>
          <w:lang w:val="en-GB" w:eastAsia="en-AU"/>
        </w:rPr>
        <w:t>HILDA =</w:t>
      </w:r>
      <w:r w:rsidR="007F0C1A" w:rsidRPr="00B07B55">
        <w:rPr>
          <w:lang w:val="en-GB" w:eastAsia="en-AU"/>
        </w:rPr>
        <w:t xml:space="preserve"> Household</w:t>
      </w:r>
      <w:r>
        <w:rPr>
          <w:lang w:val="en-GB" w:eastAsia="en-AU"/>
        </w:rPr>
        <w:t>,</w:t>
      </w:r>
      <w:r w:rsidR="007F0C1A" w:rsidRPr="00B07B55">
        <w:rPr>
          <w:lang w:val="en-GB" w:eastAsia="en-AU"/>
        </w:rPr>
        <w:t xml:space="preserve"> Income and Labour Dynamics in Australia </w:t>
      </w:r>
      <w:r w:rsidR="006A5795">
        <w:rPr>
          <w:lang w:val="en-GB" w:eastAsia="en-AU"/>
        </w:rPr>
        <w:t xml:space="preserve">Survey </w:t>
      </w:r>
      <w:r w:rsidR="007F0C1A" w:rsidRPr="00B07B55">
        <w:rPr>
          <w:lang w:val="en-GB" w:eastAsia="en-AU"/>
        </w:rPr>
        <w:t>da</w:t>
      </w:r>
      <w:r w:rsidR="006A5795">
        <w:rPr>
          <w:lang w:val="en-GB" w:eastAsia="en-AU"/>
        </w:rPr>
        <w:t>taset; SET =</w:t>
      </w:r>
      <w:r w:rsidR="007F0C1A" w:rsidRPr="00B07B55">
        <w:rPr>
          <w:lang w:val="en-GB" w:eastAsia="en-AU"/>
        </w:rPr>
        <w:t xml:space="preserve"> Survey of Education and Training </w:t>
      </w:r>
      <w:r w:rsidR="006A5795">
        <w:rPr>
          <w:rFonts w:cs="Arial"/>
          <w:color w:val="000000"/>
          <w:szCs w:val="15"/>
          <w:lang w:val="en-GB" w:eastAsia="en-AU"/>
        </w:rPr>
        <w:t>in Australia, 2009; BHPS =</w:t>
      </w:r>
      <w:r w:rsidR="007F0C1A" w:rsidRPr="00B07B55">
        <w:rPr>
          <w:rFonts w:cs="Arial"/>
          <w:color w:val="000000"/>
          <w:szCs w:val="15"/>
          <w:lang w:val="en-GB" w:eastAsia="en-AU"/>
        </w:rPr>
        <w:t xml:space="preserve"> British Household Panel Survey</w:t>
      </w:r>
      <w:r w:rsidR="00A47888" w:rsidRPr="00B07B55">
        <w:rPr>
          <w:rFonts w:cs="Arial"/>
          <w:color w:val="000000"/>
          <w:szCs w:val="15"/>
          <w:lang w:val="en-GB" w:eastAsia="en-AU"/>
        </w:rPr>
        <w:t>.</w:t>
      </w:r>
    </w:p>
    <w:p w:rsidR="00540936" w:rsidRPr="00B07B55" w:rsidRDefault="00540936" w:rsidP="007F0C1A">
      <w:pPr>
        <w:pStyle w:val="Source"/>
        <w:rPr>
          <w:rFonts w:cs="Arial"/>
          <w:bCs/>
          <w:szCs w:val="15"/>
          <w:lang w:val="en-GB"/>
        </w:rPr>
      </w:pPr>
    </w:p>
    <w:p w:rsidR="008E3F76" w:rsidRDefault="008E3F76">
      <w:pPr>
        <w:spacing w:before="0" w:line="240" w:lineRule="auto"/>
        <w:rPr>
          <w:lang w:val="en-GB"/>
        </w:rPr>
      </w:pPr>
      <w:r>
        <w:rPr>
          <w:lang w:val="en-GB"/>
        </w:rPr>
        <w:br w:type="page"/>
      </w:r>
    </w:p>
    <w:p w:rsidR="007F0C1A" w:rsidRPr="00B07B55" w:rsidRDefault="007F0C1A" w:rsidP="005008BD">
      <w:pPr>
        <w:pStyle w:val="Heading1"/>
        <w:rPr>
          <w:lang w:val="en-GB"/>
        </w:rPr>
      </w:pPr>
      <w:bookmarkStart w:id="40" w:name="_Toc334101008"/>
      <w:r w:rsidRPr="00B07B55">
        <w:rPr>
          <w:lang w:val="en-GB"/>
        </w:rPr>
        <w:t xml:space="preserve">Related </w:t>
      </w:r>
      <w:r w:rsidR="00B24059" w:rsidRPr="005008BD">
        <w:t>l</w:t>
      </w:r>
      <w:r w:rsidRPr="005008BD">
        <w:t>iterature</w:t>
      </w:r>
      <w:bookmarkEnd w:id="40"/>
    </w:p>
    <w:p w:rsidR="007F0C1A" w:rsidRPr="00B07B55" w:rsidRDefault="007F0C1A" w:rsidP="00495869">
      <w:pPr>
        <w:pStyle w:val="Text"/>
        <w:ind w:right="0"/>
        <w:rPr>
          <w:lang w:val="en-GB"/>
        </w:rPr>
      </w:pPr>
      <w:r w:rsidRPr="00B07B55">
        <w:rPr>
          <w:lang w:val="en-GB"/>
        </w:rPr>
        <w:t xml:space="preserve">Although the figures presented in table 1 highlight the relative importance of </w:t>
      </w:r>
      <w:r w:rsidR="007A4E37">
        <w:rPr>
          <w:lang w:val="en-GB"/>
        </w:rPr>
        <w:t>mature-age</w:t>
      </w:r>
      <w:r w:rsidRPr="00B07B55">
        <w:rPr>
          <w:lang w:val="en-GB"/>
        </w:rPr>
        <w:t xml:space="preserve"> education in Australia, the number of Australian studies that specifically investigate this topic is quite limited. Conversely, the related international literature is rich and covers a wide range of countries.</w:t>
      </w:r>
    </w:p>
    <w:p w:rsidR="006A59FD" w:rsidRPr="00B07B55" w:rsidRDefault="006A59FD" w:rsidP="00495869">
      <w:pPr>
        <w:pStyle w:val="Text"/>
        <w:ind w:right="0"/>
        <w:rPr>
          <w:lang w:val="en-GB"/>
        </w:rPr>
      </w:pPr>
      <w:r w:rsidRPr="00B07B55">
        <w:rPr>
          <w:lang w:val="en-GB"/>
        </w:rPr>
        <w:t xml:space="preserve">Australian studies of the determinants of education </w:t>
      </w:r>
      <w:r w:rsidR="0062188C" w:rsidRPr="00495869">
        <w:rPr>
          <w:lang w:val="en-GB"/>
        </w:rPr>
        <w:t>participation</w:t>
      </w:r>
      <w:r w:rsidRPr="00B07B55">
        <w:rPr>
          <w:lang w:val="en-GB"/>
        </w:rPr>
        <w:t xml:space="preserve"> at more mature ages include Roussell (2002) and Ryan and Sinning (2009).</w:t>
      </w:r>
      <w:r w:rsidR="00F7354D" w:rsidRPr="00B07B55">
        <w:rPr>
          <w:lang w:val="en-GB"/>
        </w:rPr>
        <w:t xml:space="preserve"> These studies investigate participation in education and training</w:t>
      </w:r>
      <w:r w:rsidR="00860192" w:rsidRPr="00B07B55">
        <w:rPr>
          <w:lang w:val="en-GB"/>
        </w:rPr>
        <w:t xml:space="preserve"> using a wider definition</w:t>
      </w:r>
      <w:r w:rsidR="007F3D95">
        <w:rPr>
          <w:lang w:val="en-GB"/>
        </w:rPr>
        <w:t>, one</w:t>
      </w:r>
      <w:r w:rsidR="00860192" w:rsidRPr="00B07B55">
        <w:rPr>
          <w:lang w:val="en-GB"/>
        </w:rPr>
        <w:t xml:space="preserve"> not limited to formal education</w:t>
      </w:r>
      <w:r w:rsidR="005B226F">
        <w:rPr>
          <w:lang w:val="en-GB"/>
        </w:rPr>
        <w:t>,</w:t>
      </w:r>
      <w:r w:rsidR="00860192" w:rsidRPr="00B07B55">
        <w:rPr>
          <w:lang w:val="en-GB"/>
        </w:rPr>
        <w:t xml:space="preserve"> as in the present report</w:t>
      </w:r>
      <w:r w:rsidR="00F7354D" w:rsidRPr="00B07B55">
        <w:rPr>
          <w:lang w:val="en-GB"/>
        </w:rPr>
        <w:t>.</w:t>
      </w:r>
      <w:r w:rsidRPr="00B07B55">
        <w:rPr>
          <w:lang w:val="en-GB"/>
        </w:rPr>
        <w:t xml:space="preserve"> </w:t>
      </w:r>
      <w:r w:rsidR="00F7354D" w:rsidRPr="00B07B55">
        <w:rPr>
          <w:lang w:val="en-GB"/>
        </w:rPr>
        <w:t>Both find that participation rises with</w:t>
      </w:r>
      <w:r w:rsidRPr="00B07B55">
        <w:rPr>
          <w:lang w:val="en-GB"/>
        </w:rPr>
        <w:t xml:space="preserve"> previous education levels</w:t>
      </w:r>
      <w:r w:rsidR="00F7354D" w:rsidRPr="00B07B55">
        <w:rPr>
          <w:lang w:val="en-GB"/>
        </w:rPr>
        <w:t xml:space="preserve"> and the skill level of the occupation</w:t>
      </w:r>
      <w:r w:rsidRPr="00B07B55">
        <w:rPr>
          <w:lang w:val="en-GB"/>
        </w:rPr>
        <w:t xml:space="preserve"> </w:t>
      </w:r>
      <w:r w:rsidR="00F7354D" w:rsidRPr="00B07B55">
        <w:rPr>
          <w:lang w:val="en-GB"/>
        </w:rPr>
        <w:t>worked in, while it falls with age.</w:t>
      </w:r>
      <w:r w:rsidRPr="00B07B55">
        <w:rPr>
          <w:lang w:val="en-GB"/>
        </w:rPr>
        <w:t xml:space="preserve"> Ryan and Sinning (2009) </w:t>
      </w:r>
      <w:r w:rsidR="00F7354D" w:rsidRPr="00B07B55">
        <w:rPr>
          <w:lang w:val="en-GB"/>
        </w:rPr>
        <w:t xml:space="preserve">also </w:t>
      </w:r>
      <w:r w:rsidRPr="00B07B55">
        <w:rPr>
          <w:lang w:val="en-GB"/>
        </w:rPr>
        <w:t xml:space="preserve">find that individuals who report that </w:t>
      </w:r>
      <w:r w:rsidR="00F7354D" w:rsidRPr="00B07B55">
        <w:rPr>
          <w:lang w:val="en-GB"/>
        </w:rPr>
        <w:t xml:space="preserve">their jobs are demanding relative to their skills are more likely to participate in further education and training. </w:t>
      </w:r>
      <w:r w:rsidR="00F962D6" w:rsidRPr="00B07B55">
        <w:rPr>
          <w:lang w:val="en-GB"/>
        </w:rPr>
        <w:t xml:space="preserve">We expand </w:t>
      </w:r>
      <w:r w:rsidR="00860192" w:rsidRPr="00B07B55">
        <w:rPr>
          <w:lang w:val="en-GB"/>
        </w:rPr>
        <w:t>on these earlier studies of participation</w:t>
      </w:r>
      <w:r w:rsidR="001D0FC7">
        <w:rPr>
          <w:lang w:val="en-GB"/>
        </w:rPr>
        <w:t>,</w:t>
      </w:r>
      <w:r w:rsidR="00860192" w:rsidRPr="00B07B55">
        <w:rPr>
          <w:lang w:val="en-GB"/>
        </w:rPr>
        <w:t xml:space="preserve"> </w:t>
      </w:r>
      <w:r w:rsidR="00F962D6" w:rsidRPr="00B07B55">
        <w:rPr>
          <w:lang w:val="en-GB"/>
        </w:rPr>
        <w:t xml:space="preserve">analysing the role of several </w:t>
      </w:r>
      <w:r w:rsidR="00050589" w:rsidRPr="00B07B55">
        <w:rPr>
          <w:lang w:val="en-GB"/>
        </w:rPr>
        <w:t xml:space="preserve">additional </w:t>
      </w:r>
      <w:r w:rsidR="00F962D6" w:rsidRPr="00B07B55">
        <w:rPr>
          <w:lang w:val="en-GB"/>
        </w:rPr>
        <w:t xml:space="preserve">labour market </w:t>
      </w:r>
      <w:r w:rsidR="00860192" w:rsidRPr="00B07B55">
        <w:rPr>
          <w:lang w:val="en-GB"/>
        </w:rPr>
        <w:t xml:space="preserve">factors </w:t>
      </w:r>
      <w:r w:rsidR="00F962D6" w:rsidRPr="00B07B55">
        <w:rPr>
          <w:lang w:val="en-GB"/>
        </w:rPr>
        <w:t xml:space="preserve">that precede the education and training spell. </w:t>
      </w:r>
    </w:p>
    <w:p w:rsidR="007F0C1A" w:rsidRPr="00B07B55" w:rsidRDefault="00F962D6" w:rsidP="00495869">
      <w:pPr>
        <w:pStyle w:val="Text"/>
        <w:ind w:right="0"/>
        <w:rPr>
          <w:lang w:val="en-GB"/>
        </w:rPr>
      </w:pPr>
      <w:r w:rsidRPr="00B07B55">
        <w:rPr>
          <w:lang w:val="en-GB"/>
        </w:rPr>
        <w:t xml:space="preserve">There are just a handful of </w:t>
      </w:r>
      <w:r w:rsidR="007F0C1A" w:rsidRPr="00B07B55">
        <w:rPr>
          <w:lang w:val="en-GB"/>
        </w:rPr>
        <w:t>Australian studies</w:t>
      </w:r>
      <w:r w:rsidR="00A47888" w:rsidRPr="00B07B55">
        <w:rPr>
          <w:lang w:val="en-GB"/>
        </w:rPr>
        <w:t xml:space="preserve"> </w:t>
      </w:r>
      <w:r w:rsidRPr="00B07B55">
        <w:rPr>
          <w:lang w:val="en-GB"/>
        </w:rPr>
        <w:t>investigating</w:t>
      </w:r>
      <w:r w:rsidR="00A47888" w:rsidRPr="00B07B55">
        <w:rPr>
          <w:lang w:val="en-GB"/>
        </w:rPr>
        <w:t xml:space="preserve"> the outcomes </w:t>
      </w:r>
      <w:r w:rsidRPr="00B07B55">
        <w:rPr>
          <w:lang w:val="en-GB"/>
        </w:rPr>
        <w:t xml:space="preserve">or impacts </w:t>
      </w:r>
      <w:r w:rsidR="00A47888" w:rsidRPr="00B07B55">
        <w:rPr>
          <w:lang w:val="en-GB"/>
        </w:rPr>
        <w:t xml:space="preserve">of </w:t>
      </w:r>
      <w:r w:rsidR="007A4E37">
        <w:rPr>
          <w:lang w:val="en-GB"/>
        </w:rPr>
        <w:t>mature-age</w:t>
      </w:r>
      <w:r w:rsidR="00A47888" w:rsidRPr="00B07B55">
        <w:rPr>
          <w:lang w:val="en-GB"/>
        </w:rPr>
        <w:t xml:space="preserve"> </w:t>
      </w:r>
      <w:r w:rsidRPr="00B07B55">
        <w:rPr>
          <w:lang w:val="en-GB"/>
        </w:rPr>
        <w:t xml:space="preserve">or adult </w:t>
      </w:r>
      <w:r w:rsidR="00A47888" w:rsidRPr="00B07B55">
        <w:rPr>
          <w:lang w:val="en-GB"/>
        </w:rPr>
        <w:t>education</w:t>
      </w:r>
      <w:r w:rsidRPr="00B07B55">
        <w:rPr>
          <w:lang w:val="en-GB"/>
        </w:rPr>
        <w:t>.</w:t>
      </w:r>
      <w:r w:rsidR="007F0C1A" w:rsidRPr="00B07B55">
        <w:rPr>
          <w:lang w:val="en-GB"/>
        </w:rPr>
        <w:t xml:space="preserve"> Karmel and Woods (2004) investigate the effect of obtaining formal qualifications later in life on </w:t>
      </w:r>
      <w:r w:rsidRPr="00B07B55">
        <w:rPr>
          <w:lang w:val="en-GB"/>
        </w:rPr>
        <w:t xml:space="preserve">two specific labour market outcomes: </w:t>
      </w:r>
      <w:r w:rsidR="007F0C1A" w:rsidRPr="00B07B55">
        <w:rPr>
          <w:lang w:val="en-GB"/>
        </w:rPr>
        <w:t>employment rates and the probability of working full-time</w:t>
      </w:r>
      <w:r w:rsidR="00D83635" w:rsidRPr="00B07B55">
        <w:rPr>
          <w:lang w:val="en-GB"/>
        </w:rPr>
        <w:t>. Using cross-sectional data</w:t>
      </w:r>
      <w:r w:rsidR="000F7AEC">
        <w:rPr>
          <w:lang w:val="en-GB"/>
        </w:rPr>
        <w:t xml:space="preserve"> from the Survey</w:t>
      </w:r>
      <w:r w:rsidR="005B226F">
        <w:rPr>
          <w:lang w:val="en-GB"/>
        </w:rPr>
        <w:t xml:space="preserve"> of Education and Training</w:t>
      </w:r>
      <w:r w:rsidR="00D83635" w:rsidRPr="00B07B55">
        <w:rPr>
          <w:lang w:val="en-GB"/>
        </w:rPr>
        <w:t>, t</w:t>
      </w:r>
      <w:r w:rsidRPr="00B07B55">
        <w:rPr>
          <w:lang w:val="en-GB"/>
        </w:rPr>
        <w:t>hey</w:t>
      </w:r>
      <w:r w:rsidR="007F0C1A" w:rsidRPr="00B07B55">
        <w:rPr>
          <w:lang w:val="en-GB"/>
        </w:rPr>
        <w:t xml:space="preserve"> find that individuals</w:t>
      </w:r>
      <w:r w:rsidR="009131D7">
        <w:rPr>
          <w:lang w:val="en-GB"/>
        </w:rPr>
        <w:t xml:space="preserve"> </w:t>
      </w:r>
      <w:r w:rsidR="00FC1FFB">
        <w:rPr>
          <w:lang w:val="en-GB"/>
        </w:rPr>
        <w:t xml:space="preserve">who </w:t>
      </w:r>
      <w:r w:rsidR="007F0C1A" w:rsidRPr="00B07B55">
        <w:rPr>
          <w:lang w:val="en-GB"/>
        </w:rPr>
        <w:t>obtain</w:t>
      </w:r>
      <w:r w:rsidR="00FC1FFB">
        <w:rPr>
          <w:lang w:val="en-GB"/>
        </w:rPr>
        <w:t>ed</w:t>
      </w:r>
      <w:r w:rsidR="007F0C1A" w:rsidRPr="00B07B55">
        <w:rPr>
          <w:lang w:val="en-GB"/>
        </w:rPr>
        <w:t xml:space="preserve"> </w:t>
      </w:r>
      <w:r w:rsidR="00D83635" w:rsidRPr="00B07B55">
        <w:rPr>
          <w:lang w:val="en-GB"/>
        </w:rPr>
        <w:t xml:space="preserve">qualifications </w:t>
      </w:r>
      <w:r w:rsidR="007F0C1A" w:rsidRPr="00B07B55">
        <w:rPr>
          <w:lang w:val="en-GB"/>
        </w:rPr>
        <w:t xml:space="preserve">after age 40 have as good or even better employment outcomes than those obtaining </w:t>
      </w:r>
      <w:r w:rsidR="00D83635" w:rsidRPr="00B07B55">
        <w:rPr>
          <w:lang w:val="en-GB"/>
        </w:rPr>
        <w:t xml:space="preserve">their qualifications at </w:t>
      </w:r>
      <w:r w:rsidR="007F0C1A" w:rsidRPr="00B07B55">
        <w:rPr>
          <w:lang w:val="en-GB"/>
        </w:rPr>
        <w:t xml:space="preserve">earlier </w:t>
      </w:r>
      <w:r w:rsidR="00D83635" w:rsidRPr="00B07B55">
        <w:rPr>
          <w:lang w:val="en-GB"/>
        </w:rPr>
        <w:t>ages</w:t>
      </w:r>
      <w:r w:rsidR="007F0C1A" w:rsidRPr="00B07B55">
        <w:rPr>
          <w:lang w:val="en-GB"/>
        </w:rPr>
        <w:t>, particularly females.</w:t>
      </w:r>
      <w:r w:rsidR="009131D7">
        <w:rPr>
          <w:lang w:val="en-GB"/>
        </w:rPr>
        <w:t xml:space="preserve"> However, l</w:t>
      </w:r>
      <w:r w:rsidR="001D0FC7">
        <w:rPr>
          <w:lang w:val="en-GB"/>
        </w:rPr>
        <w:t>ower-</w:t>
      </w:r>
      <w:r w:rsidR="007F0C1A" w:rsidRPr="00B07B55">
        <w:rPr>
          <w:lang w:val="en-GB"/>
        </w:rPr>
        <w:t>level qualifications</w:t>
      </w:r>
      <w:r w:rsidR="00E93FCA">
        <w:rPr>
          <w:lang w:val="en-GB"/>
        </w:rPr>
        <w:t xml:space="preserve">, </w:t>
      </w:r>
      <w:r w:rsidR="00032887">
        <w:rPr>
          <w:lang w:val="en-GB"/>
        </w:rPr>
        <w:t xml:space="preserve">such </w:t>
      </w:r>
      <w:r w:rsidR="00E93FCA">
        <w:rPr>
          <w:lang w:val="en-GB"/>
        </w:rPr>
        <w:t xml:space="preserve">as </w:t>
      </w:r>
      <w:r w:rsidR="0083056E">
        <w:rPr>
          <w:lang w:val="en-GB"/>
        </w:rPr>
        <w:t>certificates I and II for men</w:t>
      </w:r>
      <w:r w:rsidR="00032887">
        <w:rPr>
          <w:lang w:val="en-GB"/>
        </w:rPr>
        <w:t>,</w:t>
      </w:r>
      <w:r w:rsidR="007F0C1A" w:rsidRPr="00B07B55">
        <w:rPr>
          <w:lang w:val="en-GB"/>
        </w:rPr>
        <w:t xml:space="preserve"> do not have a positive effect on employment rates</w:t>
      </w:r>
      <w:r w:rsidR="006C0E35">
        <w:rPr>
          <w:lang w:val="en-GB"/>
        </w:rPr>
        <w:t xml:space="preserve">. </w:t>
      </w:r>
      <w:r w:rsidR="00D83635" w:rsidRPr="00B07B55">
        <w:rPr>
          <w:lang w:val="en-GB"/>
        </w:rPr>
        <w:t>Also using cross-sectional SET data,</w:t>
      </w:r>
      <w:r w:rsidR="007F0C1A" w:rsidRPr="00B07B55">
        <w:rPr>
          <w:lang w:val="en-GB"/>
        </w:rPr>
        <w:t xml:space="preserve"> </w:t>
      </w:r>
      <w:r w:rsidR="00D83635" w:rsidRPr="00B07B55">
        <w:rPr>
          <w:lang w:val="en-GB"/>
        </w:rPr>
        <w:t>Lee and Coelli (20</w:t>
      </w:r>
      <w:r w:rsidR="001D0FC7">
        <w:rPr>
          <w:lang w:val="en-GB"/>
        </w:rPr>
        <w:t>10) investigate four employment-</w:t>
      </w:r>
      <w:r w:rsidR="00D83635" w:rsidRPr="00B07B55">
        <w:rPr>
          <w:lang w:val="en-GB"/>
        </w:rPr>
        <w:t xml:space="preserve">related outcomes of obtaining further education: whether employed, employed full-time, holding a permanent position and weekly earnings. The authors find positive effects </w:t>
      </w:r>
      <w:r w:rsidR="001D0FC7">
        <w:rPr>
          <w:lang w:val="en-GB"/>
        </w:rPr>
        <w:t>from</w:t>
      </w:r>
      <w:r w:rsidR="00D83635" w:rsidRPr="00B07B55">
        <w:rPr>
          <w:lang w:val="en-GB"/>
        </w:rPr>
        <w:t xml:space="preserve"> obtaining sub-diploma VET qualifications at more mature ages (aged 30 to 64) if the individual did not complete high school, but not if the individual had previously completed high school. </w:t>
      </w:r>
      <w:r w:rsidR="007F0C1A" w:rsidRPr="00B07B55">
        <w:rPr>
          <w:lang w:val="en-GB"/>
        </w:rPr>
        <w:t>Headey and Warren (2008) use the first five waves</w:t>
      </w:r>
      <w:r w:rsidR="00712A8A" w:rsidRPr="00B07B55">
        <w:rPr>
          <w:lang w:val="en-GB"/>
        </w:rPr>
        <w:t xml:space="preserve"> (years)</w:t>
      </w:r>
      <w:r w:rsidR="007F0C1A" w:rsidRPr="00B07B55">
        <w:rPr>
          <w:lang w:val="en-GB"/>
        </w:rPr>
        <w:t xml:space="preserve"> of HILDA</w:t>
      </w:r>
      <w:r w:rsidR="00D83635" w:rsidRPr="00B07B55">
        <w:rPr>
          <w:lang w:val="en-GB"/>
        </w:rPr>
        <w:t xml:space="preserve"> (the main longitudinal data source we employ)</w:t>
      </w:r>
      <w:r w:rsidR="007F0C1A" w:rsidRPr="00B07B55">
        <w:rPr>
          <w:lang w:val="en-GB"/>
        </w:rPr>
        <w:t xml:space="preserve"> to ascertain whether individuals who undertake formal educati</w:t>
      </w:r>
      <w:r w:rsidR="005B226F">
        <w:rPr>
          <w:lang w:val="en-GB"/>
        </w:rPr>
        <w:t>on at prime working ages (25—</w:t>
      </w:r>
      <w:r w:rsidR="007F0C1A" w:rsidRPr="00B07B55">
        <w:rPr>
          <w:lang w:val="en-GB"/>
        </w:rPr>
        <w:t>54</w:t>
      </w:r>
      <w:r w:rsidR="0083056E">
        <w:rPr>
          <w:lang w:val="en-GB"/>
        </w:rPr>
        <w:t xml:space="preserve"> years</w:t>
      </w:r>
      <w:r w:rsidR="007F0C1A" w:rsidRPr="00B07B55">
        <w:rPr>
          <w:lang w:val="en-GB"/>
        </w:rPr>
        <w:t xml:space="preserve">) obtain earnings increases that are higher than </w:t>
      </w:r>
      <w:r w:rsidR="005B226F">
        <w:rPr>
          <w:lang w:val="en-GB"/>
        </w:rPr>
        <w:t xml:space="preserve">for </w:t>
      </w:r>
      <w:r w:rsidR="007F0C1A" w:rsidRPr="00B07B55">
        <w:rPr>
          <w:lang w:val="en-GB"/>
        </w:rPr>
        <w:t>those who do not undertake further education. The</w:t>
      </w:r>
      <w:r w:rsidR="00D83635" w:rsidRPr="00B07B55">
        <w:rPr>
          <w:lang w:val="en-GB"/>
        </w:rPr>
        <w:t>y find</w:t>
      </w:r>
      <w:r w:rsidR="007F0C1A" w:rsidRPr="00B07B55">
        <w:rPr>
          <w:lang w:val="en-GB"/>
        </w:rPr>
        <w:t xml:space="preserve"> median earnings gains for men, but smaller gains for women. In addition, most gains were observed two years after the education was undertaken rather than in the immediate term. </w:t>
      </w:r>
      <w:r w:rsidR="00712A8A" w:rsidRPr="00B07B55">
        <w:rPr>
          <w:lang w:val="en-GB"/>
        </w:rPr>
        <w:t xml:space="preserve">We expand considerably on these studies by investigating </w:t>
      </w:r>
      <w:r w:rsidR="001D0FC7">
        <w:rPr>
          <w:lang w:val="en-GB"/>
        </w:rPr>
        <w:t>ten</w:t>
      </w:r>
      <w:r w:rsidR="00712A8A" w:rsidRPr="00B07B55">
        <w:rPr>
          <w:lang w:val="en-GB"/>
        </w:rPr>
        <w:t xml:space="preserve"> labour market and </w:t>
      </w:r>
      <w:r w:rsidR="006A5795">
        <w:rPr>
          <w:lang w:val="en-GB"/>
        </w:rPr>
        <w:t>wellbeing</w:t>
      </w:r>
      <w:r w:rsidR="00712A8A" w:rsidRPr="00B07B55">
        <w:rPr>
          <w:lang w:val="en-GB"/>
        </w:rPr>
        <w:t xml:space="preserve"> outcomes, and </w:t>
      </w:r>
      <w:r w:rsidR="00860192" w:rsidRPr="00B07B55">
        <w:rPr>
          <w:lang w:val="en-GB"/>
        </w:rPr>
        <w:t xml:space="preserve">over </w:t>
      </w:r>
      <w:r w:rsidR="00712A8A" w:rsidRPr="00B07B55">
        <w:rPr>
          <w:lang w:val="en-GB"/>
        </w:rPr>
        <w:t xml:space="preserve">a longer period of analysis using </w:t>
      </w:r>
      <w:r w:rsidR="00860192" w:rsidRPr="00B07B55">
        <w:rPr>
          <w:lang w:val="en-GB"/>
        </w:rPr>
        <w:t xml:space="preserve">nine waves of </w:t>
      </w:r>
      <w:r w:rsidR="00712A8A" w:rsidRPr="00B07B55">
        <w:rPr>
          <w:lang w:val="en-GB"/>
        </w:rPr>
        <w:t>HILDA. As we discuss in detail below, using longitudinal data to investigate the impacts of adult education results in estimates that are much less prone to potential selection bias</w:t>
      </w:r>
      <w:r w:rsidR="00860192" w:rsidRPr="00B07B55">
        <w:rPr>
          <w:lang w:val="en-GB"/>
        </w:rPr>
        <w:t xml:space="preserve">, </w:t>
      </w:r>
      <w:r w:rsidR="001D0FC7">
        <w:rPr>
          <w:lang w:val="en-GB"/>
        </w:rPr>
        <w:t>that is,</w:t>
      </w:r>
      <w:r w:rsidR="00860192" w:rsidRPr="00B07B55">
        <w:rPr>
          <w:lang w:val="en-GB"/>
        </w:rPr>
        <w:t xml:space="preserve"> that are more likely to </w:t>
      </w:r>
      <w:r w:rsidR="00226BCD">
        <w:rPr>
          <w:lang w:val="en-GB"/>
        </w:rPr>
        <w:t>re</w:t>
      </w:r>
      <w:r w:rsidR="009511A6">
        <w:rPr>
          <w:lang w:val="en-GB"/>
        </w:rPr>
        <w:t>f</w:t>
      </w:r>
      <w:r w:rsidR="00226BCD">
        <w:rPr>
          <w:lang w:val="en-GB"/>
        </w:rPr>
        <w:t>l</w:t>
      </w:r>
      <w:r w:rsidR="009511A6">
        <w:rPr>
          <w:lang w:val="en-GB"/>
        </w:rPr>
        <w:t>ect the ‘</w:t>
      </w:r>
      <w:r w:rsidR="005E5207" w:rsidRPr="00B07B55">
        <w:rPr>
          <w:lang w:val="en-GB"/>
        </w:rPr>
        <w:t>true</w:t>
      </w:r>
      <w:r w:rsidR="009511A6">
        <w:rPr>
          <w:lang w:val="en-GB"/>
        </w:rPr>
        <w:t>’</w:t>
      </w:r>
      <w:r w:rsidR="005E5207" w:rsidRPr="00B07B55">
        <w:rPr>
          <w:lang w:val="en-GB"/>
        </w:rPr>
        <w:t xml:space="preserve"> impact of adult education participation.</w:t>
      </w:r>
    </w:p>
    <w:p w:rsidR="0033425C" w:rsidRPr="00B07B55" w:rsidRDefault="005E5207" w:rsidP="00495869">
      <w:pPr>
        <w:pStyle w:val="Text"/>
        <w:ind w:right="0"/>
        <w:rPr>
          <w:lang w:val="en-GB"/>
        </w:rPr>
      </w:pPr>
      <w:r w:rsidRPr="00B07B55">
        <w:rPr>
          <w:lang w:val="en-GB"/>
        </w:rPr>
        <w:t>Recent i</w:t>
      </w:r>
      <w:r w:rsidR="00712A8A" w:rsidRPr="00B07B55">
        <w:rPr>
          <w:lang w:val="en-GB"/>
        </w:rPr>
        <w:t xml:space="preserve">nternational studies of the impacts of adult education </w:t>
      </w:r>
      <w:r w:rsidR="00DE4C33" w:rsidRPr="00B07B55">
        <w:rPr>
          <w:lang w:val="en-GB"/>
        </w:rPr>
        <w:t xml:space="preserve">on labour market outcomes </w:t>
      </w:r>
      <w:r w:rsidR="00712A8A" w:rsidRPr="00B07B55">
        <w:rPr>
          <w:lang w:val="en-GB"/>
        </w:rPr>
        <w:t>have primarily employed longitudinal data, given its potential benefits.</w:t>
      </w:r>
      <w:r w:rsidR="00DE4C33" w:rsidRPr="00B07B55">
        <w:rPr>
          <w:lang w:val="en-GB"/>
        </w:rPr>
        <w:t xml:space="preserve"> Many</w:t>
      </w:r>
      <w:r w:rsidR="0033425C" w:rsidRPr="00B07B55">
        <w:rPr>
          <w:lang w:val="en-GB"/>
        </w:rPr>
        <w:t xml:space="preserve"> of these studies failed to find strong earnings returns from adult education overall, but </w:t>
      </w:r>
      <w:r w:rsidR="00DE4C33" w:rsidRPr="00B07B55">
        <w:rPr>
          <w:lang w:val="en-GB"/>
        </w:rPr>
        <w:t xml:space="preserve">several </w:t>
      </w:r>
      <w:r w:rsidR="0033425C" w:rsidRPr="00B07B55">
        <w:rPr>
          <w:lang w:val="en-GB"/>
        </w:rPr>
        <w:t>did find some returns for specific subsets of individuals</w:t>
      </w:r>
      <w:r w:rsidR="00DE4C33" w:rsidRPr="00B07B55">
        <w:rPr>
          <w:lang w:val="en-GB"/>
        </w:rPr>
        <w:t>, particularly younger adults (under age 40)</w:t>
      </w:r>
      <w:r w:rsidR="0033425C" w:rsidRPr="00B07B55">
        <w:rPr>
          <w:lang w:val="en-GB"/>
        </w:rPr>
        <w:t xml:space="preserve">. </w:t>
      </w:r>
      <w:r w:rsidR="00DE4C33" w:rsidRPr="00B07B55">
        <w:rPr>
          <w:lang w:val="en-GB"/>
        </w:rPr>
        <w:t xml:space="preserve">Several studies also found that it may take several years for the returns from adult education to appear. </w:t>
      </w:r>
      <w:r w:rsidRPr="00B07B55">
        <w:rPr>
          <w:lang w:val="en-GB"/>
        </w:rPr>
        <w:t>In these respects, the international evidence is in line with the results presented in this report for the Australian context.</w:t>
      </w:r>
      <w:r w:rsidR="001C73D5">
        <w:rPr>
          <w:lang w:val="en-GB"/>
        </w:rPr>
        <w:t xml:space="preserve"> </w:t>
      </w:r>
    </w:p>
    <w:p w:rsidR="00DE4C33" w:rsidRPr="00B07B55" w:rsidRDefault="005E5207" w:rsidP="00495869">
      <w:pPr>
        <w:pStyle w:val="Text"/>
        <w:ind w:right="0"/>
        <w:rPr>
          <w:lang w:val="en-GB"/>
        </w:rPr>
      </w:pPr>
      <w:r w:rsidRPr="00B07B55">
        <w:rPr>
          <w:lang w:val="en-GB"/>
        </w:rPr>
        <w:t xml:space="preserve">First consider the United Kingdom. </w:t>
      </w:r>
      <w:r w:rsidR="00DE4C33" w:rsidRPr="00B07B55">
        <w:rPr>
          <w:lang w:val="en-GB"/>
        </w:rPr>
        <w:t>Three studies employ the National Child Development Study (NCDS) data, a long panel of individuals born in March 1958 and surveyed at various ages since (7, 11, 16, 23, 33, 42, 46 and 50</w:t>
      </w:r>
      <w:r w:rsidR="00051566">
        <w:rPr>
          <w:lang w:val="en-GB"/>
        </w:rPr>
        <w:t xml:space="preserve"> years</w:t>
      </w:r>
      <w:r w:rsidR="00DE4C33" w:rsidRPr="00B07B55">
        <w:rPr>
          <w:lang w:val="en-GB"/>
        </w:rPr>
        <w:t>). Blundell et al</w:t>
      </w:r>
      <w:r w:rsidR="009511A6">
        <w:rPr>
          <w:lang w:val="en-GB"/>
        </w:rPr>
        <w:t>.</w:t>
      </w:r>
      <w:r w:rsidR="00DE4C33" w:rsidRPr="00B07B55">
        <w:rPr>
          <w:lang w:val="en-GB"/>
        </w:rPr>
        <w:t xml:space="preserve"> (2000) employed this data</w:t>
      </w:r>
      <w:r w:rsidR="001D0FC7">
        <w:rPr>
          <w:lang w:val="en-GB"/>
        </w:rPr>
        <w:t>set up to age 33</w:t>
      </w:r>
      <w:r w:rsidR="00DE4C33" w:rsidRPr="00B07B55">
        <w:rPr>
          <w:lang w:val="en-GB"/>
        </w:rPr>
        <w:t xml:space="preserve"> and found that men who began </w:t>
      </w:r>
      <w:r w:rsidRPr="00B07B55">
        <w:rPr>
          <w:lang w:val="en-GB"/>
        </w:rPr>
        <w:t xml:space="preserve">a </w:t>
      </w:r>
      <w:r w:rsidR="00DE4C33" w:rsidRPr="00B07B55">
        <w:rPr>
          <w:lang w:val="en-GB"/>
        </w:rPr>
        <w:t xml:space="preserve">course after age 21 earned a return about seven percentage points lower than those </w:t>
      </w:r>
      <w:r w:rsidR="005B226F">
        <w:rPr>
          <w:lang w:val="en-GB"/>
        </w:rPr>
        <w:t>who</w:t>
      </w:r>
      <w:r w:rsidR="00DE4C33" w:rsidRPr="00B07B55">
        <w:rPr>
          <w:lang w:val="en-GB"/>
        </w:rPr>
        <w:t xml:space="preserve"> began </w:t>
      </w:r>
      <w:r w:rsidR="00050589" w:rsidRPr="00B07B55">
        <w:rPr>
          <w:lang w:val="en-GB"/>
        </w:rPr>
        <w:t xml:space="preserve">a similar course </w:t>
      </w:r>
      <w:r w:rsidR="00DE4C33" w:rsidRPr="00B07B55">
        <w:rPr>
          <w:lang w:val="en-GB"/>
        </w:rPr>
        <w:t>earlier, while starting late did not appear to have any detrimental effect on women’s earnings. Since the individuals were only 33</w:t>
      </w:r>
      <w:r w:rsidR="009511A6">
        <w:rPr>
          <w:lang w:val="en-GB"/>
        </w:rPr>
        <w:t xml:space="preserve"> years old</w:t>
      </w:r>
      <w:r w:rsidR="00DE4C33" w:rsidRPr="00B07B55">
        <w:rPr>
          <w:lang w:val="en-GB"/>
        </w:rPr>
        <w:t xml:space="preserve"> at the time of the earnings measures, it was not possible to observe whether these effects would persist. Jenkins et al</w:t>
      </w:r>
      <w:r w:rsidR="009511A6">
        <w:rPr>
          <w:lang w:val="en-GB"/>
        </w:rPr>
        <w:t>.</w:t>
      </w:r>
      <w:r w:rsidR="00DE4C33" w:rsidRPr="00B07B55">
        <w:rPr>
          <w:lang w:val="en-GB"/>
        </w:rPr>
        <w:t xml:space="preserve"> (2003) investigated both the reasons why individuals obtain qualifications between ages 33 and 42, and the earnings and employment benefits of such qualifications. When using first difference estimation methods to control for potential selection bias (as we do below), such qualifications did not result in higher earnings, except for </w:t>
      </w:r>
      <w:r w:rsidR="00050589" w:rsidRPr="00B07B55">
        <w:rPr>
          <w:lang w:val="en-GB"/>
        </w:rPr>
        <w:t xml:space="preserve">men with </w:t>
      </w:r>
      <w:r w:rsidR="00DE4C33" w:rsidRPr="00B07B55">
        <w:rPr>
          <w:lang w:val="en-GB"/>
        </w:rPr>
        <w:t xml:space="preserve">low initial </w:t>
      </w:r>
      <w:r w:rsidR="00050589" w:rsidRPr="00B07B55">
        <w:rPr>
          <w:lang w:val="en-GB"/>
        </w:rPr>
        <w:t xml:space="preserve">levels of </w:t>
      </w:r>
      <w:r w:rsidR="00DE4C33" w:rsidRPr="00B07B55">
        <w:rPr>
          <w:lang w:val="en-GB"/>
        </w:rPr>
        <w:t xml:space="preserve">education who </w:t>
      </w:r>
      <w:r w:rsidR="00050589" w:rsidRPr="00B07B55">
        <w:rPr>
          <w:lang w:val="en-GB"/>
        </w:rPr>
        <w:t xml:space="preserve">then </w:t>
      </w:r>
      <w:r w:rsidR="00DE4C33" w:rsidRPr="00B07B55">
        <w:rPr>
          <w:lang w:val="en-GB"/>
        </w:rPr>
        <w:t xml:space="preserve">obtained a degree. The authors did find that </w:t>
      </w:r>
      <w:r w:rsidR="007A4E37">
        <w:rPr>
          <w:lang w:val="en-GB"/>
        </w:rPr>
        <w:t>mature-age</w:t>
      </w:r>
      <w:r w:rsidR="009C55C4" w:rsidRPr="00B07B55">
        <w:rPr>
          <w:lang w:val="en-GB"/>
        </w:rPr>
        <w:t xml:space="preserve"> </w:t>
      </w:r>
      <w:r w:rsidR="00DE4C33" w:rsidRPr="00B07B55">
        <w:rPr>
          <w:lang w:val="en-GB"/>
        </w:rPr>
        <w:t xml:space="preserve">qualifications increased the probability of being employed at age 42 </w:t>
      </w:r>
      <w:r w:rsidR="009C55C4" w:rsidRPr="00B07B55">
        <w:rPr>
          <w:lang w:val="en-GB"/>
        </w:rPr>
        <w:t xml:space="preserve">for those </w:t>
      </w:r>
      <w:r w:rsidR="00DE4C33" w:rsidRPr="00B07B55">
        <w:rPr>
          <w:lang w:val="en-GB"/>
        </w:rPr>
        <w:t xml:space="preserve">not employed at age 33, but they </w:t>
      </w:r>
      <w:r w:rsidR="009C55C4" w:rsidRPr="00B07B55">
        <w:rPr>
          <w:lang w:val="en-GB"/>
        </w:rPr>
        <w:t xml:space="preserve">found no impact on the probability </w:t>
      </w:r>
      <w:r w:rsidR="00DE4C33" w:rsidRPr="00B07B55">
        <w:rPr>
          <w:lang w:val="en-GB"/>
        </w:rPr>
        <w:t>of remaining in employment. Silles (2007) investigated the hourly earnings outcomes of full-time male workers only</w:t>
      </w:r>
      <w:r w:rsidR="005B226F">
        <w:rPr>
          <w:lang w:val="en-GB"/>
        </w:rPr>
        <w:t>, applying</w:t>
      </w:r>
      <w:r w:rsidR="00DE4C33" w:rsidRPr="00B07B55">
        <w:rPr>
          <w:lang w:val="en-GB"/>
        </w:rPr>
        <w:t xml:space="preserve"> the same time period and data as Jenkins et al</w:t>
      </w:r>
      <w:r w:rsidR="001D0FC7">
        <w:rPr>
          <w:lang w:val="en-GB"/>
        </w:rPr>
        <w:t>.</w:t>
      </w:r>
      <w:r w:rsidR="005B226F">
        <w:rPr>
          <w:lang w:val="en-GB"/>
        </w:rPr>
        <w:t xml:space="preserve"> (2003) and</w:t>
      </w:r>
      <w:r w:rsidR="00DE4C33" w:rsidRPr="00B07B55">
        <w:rPr>
          <w:lang w:val="en-GB"/>
        </w:rPr>
        <w:t xml:space="preserve"> using b</w:t>
      </w:r>
      <w:r w:rsidR="005B226F">
        <w:rPr>
          <w:lang w:val="en-GB"/>
        </w:rPr>
        <w:t>oth first-</w:t>
      </w:r>
      <w:r w:rsidR="001D0FC7">
        <w:rPr>
          <w:lang w:val="en-GB"/>
        </w:rPr>
        <w:t>differenced and value-</w:t>
      </w:r>
      <w:r w:rsidR="00DE4C33" w:rsidRPr="00B07B55">
        <w:rPr>
          <w:lang w:val="en-GB"/>
        </w:rPr>
        <w:t xml:space="preserve">added models. </w:t>
      </w:r>
      <w:r w:rsidR="003A3C05" w:rsidRPr="00B07B55">
        <w:rPr>
          <w:lang w:val="en-GB"/>
        </w:rPr>
        <w:t>She first noted that those full-time males who undertook new lower</w:t>
      </w:r>
      <w:r w:rsidR="001D0FC7">
        <w:rPr>
          <w:lang w:val="en-GB"/>
        </w:rPr>
        <w:t>-</w:t>
      </w:r>
      <w:r w:rsidR="003A3C05" w:rsidRPr="00B07B55">
        <w:rPr>
          <w:lang w:val="en-GB"/>
        </w:rPr>
        <w:t>level education</w:t>
      </w:r>
      <w:r w:rsidR="00E93FCA">
        <w:rPr>
          <w:lang w:val="en-GB"/>
        </w:rPr>
        <w:t xml:space="preserve"> courses</w:t>
      </w:r>
      <w:r w:rsidR="003A3C05" w:rsidRPr="00B07B55">
        <w:rPr>
          <w:lang w:val="en-GB"/>
        </w:rPr>
        <w:t xml:space="preserve"> between ages 33 and 42 were found to have had higher wages at age 33 than those who did not undertake further study. In terms of outcomes, s</w:t>
      </w:r>
      <w:r w:rsidR="00DE4C33" w:rsidRPr="00B07B55">
        <w:rPr>
          <w:lang w:val="en-GB"/>
        </w:rPr>
        <w:t xml:space="preserve">he also generally found no earnings gains from education between ages 33 and 42, except for those acquiring NVQ4 qualifications (just below bachelor degree). </w:t>
      </w:r>
    </w:p>
    <w:p w:rsidR="00DE4C33" w:rsidRPr="00B07B55" w:rsidRDefault="00DE4C33" w:rsidP="005008BD">
      <w:pPr>
        <w:pStyle w:val="Text"/>
        <w:ind w:right="-143"/>
        <w:rPr>
          <w:lang w:val="en-GB"/>
        </w:rPr>
      </w:pPr>
      <w:r w:rsidRPr="00B07B55">
        <w:rPr>
          <w:lang w:val="en-GB"/>
        </w:rPr>
        <w:t>Buscha</w:t>
      </w:r>
      <w:r w:rsidR="00E93FCA">
        <w:rPr>
          <w:lang w:val="en-GB"/>
        </w:rPr>
        <w:t>, Blanden and Sturgis</w:t>
      </w:r>
      <w:r w:rsidRPr="00B07B55">
        <w:rPr>
          <w:lang w:val="en-GB"/>
        </w:rPr>
        <w:t xml:space="preserve"> (2009) employ the British Household Panel Study (BHPS) panel data to investigate the effect of adult education on hourly earnings and occupational status. </w:t>
      </w:r>
      <w:r w:rsidR="00D47D88">
        <w:rPr>
          <w:lang w:val="en-GB"/>
        </w:rPr>
        <w:t>This</w:t>
      </w:r>
      <w:r w:rsidRPr="00B07B55">
        <w:rPr>
          <w:lang w:val="en-GB"/>
        </w:rPr>
        <w:t xml:space="preserve"> is an annua</w:t>
      </w:r>
      <w:r w:rsidR="004F7534">
        <w:rPr>
          <w:lang w:val="en-GB"/>
        </w:rPr>
        <w:t>l panel survey similar to HILDA</w:t>
      </w:r>
      <w:r w:rsidRPr="00B07B55">
        <w:rPr>
          <w:lang w:val="en-GB"/>
        </w:rPr>
        <w:t xml:space="preserve"> and </w:t>
      </w:r>
      <w:r w:rsidR="009C55C4" w:rsidRPr="00B07B55">
        <w:rPr>
          <w:lang w:val="en-GB"/>
        </w:rPr>
        <w:t xml:space="preserve">is </w:t>
      </w:r>
      <w:r w:rsidRPr="00B07B55">
        <w:rPr>
          <w:lang w:val="en-GB"/>
        </w:rPr>
        <w:t>the data</w:t>
      </w:r>
      <w:r w:rsidR="009C55C4" w:rsidRPr="00B07B55">
        <w:rPr>
          <w:lang w:val="en-GB"/>
        </w:rPr>
        <w:t>set</w:t>
      </w:r>
      <w:r w:rsidRPr="00B07B55">
        <w:rPr>
          <w:lang w:val="en-GB"/>
        </w:rPr>
        <w:t xml:space="preserve"> we use for our international comparison below. The authors identify positive effects</w:t>
      </w:r>
      <w:r w:rsidR="009C55C4" w:rsidRPr="00B07B55">
        <w:rPr>
          <w:lang w:val="en-GB"/>
        </w:rPr>
        <w:t xml:space="preserve"> on</w:t>
      </w:r>
      <w:r w:rsidRPr="00B07B55">
        <w:rPr>
          <w:lang w:val="en-GB"/>
        </w:rPr>
        <w:t xml:space="preserve"> both earnings and occupational status of similar magnitude for both males and females, although the </w:t>
      </w:r>
      <w:r w:rsidR="009C55C4" w:rsidRPr="00B07B55">
        <w:rPr>
          <w:lang w:val="en-GB"/>
        </w:rPr>
        <w:t xml:space="preserve">impacts may take longer to occur </w:t>
      </w:r>
      <w:r w:rsidRPr="00B07B55">
        <w:rPr>
          <w:lang w:val="en-GB"/>
        </w:rPr>
        <w:t>for men</w:t>
      </w:r>
      <w:r w:rsidR="009C55C4" w:rsidRPr="00B07B55">
        <w:rPr>
          <w:lang w:val="en-GB"/>
        </w:rPr>
        <w:t xml:space="preserve"> than for women</w:t>
      </w:r>
      <w:r w:rsidR="004F7534">
        <w:rPr>
          <w:lang w:val="en-GB"/>
        </w:rPr>
        <w:t>. The impacts are also age-</w:t>
      </w:r>
      <w:r w:rsidRPr="00B07B55">
        <w:rPr>
          <w:lang w:val="en-GB"/>
        </w:rPr>
        <w:t>dependent, with positive earnings effects only for men aged less than 35 and women aged less than 49 and lasting occupational</w:t>
      </w:r>
      <w:r w:rsidR="00D47D88">
        <w:rPr>
          <w:lang w:val="en-GB"/>
        </w:rPr>
        <w:t xml:space="preserve"> status effects only for middle-</w:t>
      </w:r>
      <w:r w:rsidRPr="00B07B55">
        <w:rPr>
          <w:lang w:val="en-GB"/>
        </w:rPr>
        <w:t xml:space="preserve">aged men and women. </w:t>
      </w:r>
    </w:p>
    <w:p w:rsidR="00DE4C33" w:rsidRPr="00B07B55" w:rsidRDefault="00DE4C33" w:rsidP="00495869">
      <w:pPr>
        <w:pStyle w:val="Text"/>
        <w:ind w:right="0"/>
        <w:rPr>
          <w:lang w:val="en-GB"/>
        </w:rPr>
      </w:pPr>
      <w:r w:rsidRPr="00B07B55">
        <w:rPr>
          <w:lang w:val="en-GB"/>
        </w:rPr>
        <w:t xml:space="preserve">Zhang and Palameta (2006) investigate the earnings impacts of adult education using </w:t>
      </w:r>
      <w:r w:rsidR="00B71226">
        <w:rPr>
          <w:lang w:val="en-GB"/>
        </w:rPr>
        <w:t xml:space="preserve">Canadian </w:t>
      </w:r>
      <w:r w:rsidRPr="00B07B55">
        <w:rPr>
          <w:lang w:val="en-GB"/>
        </w:rPr>
        <w:t xml:space="preserve">panel data similar to HILDA. The authors observe earnings gains for </w:t>
      </w:r>
      <w:r w:rsidR="00B71226">
        <w:rPr>
          <w:lang w:val="en-GB"/>
        </w:rPr>
        <w:t>adults</w:t>
      </w:r>
      <w:r w:rsidR="00B71226" w:rsidRPr="00B07B55">
        <w:rPr>
          <w:lang w:val="en-GB"/>
        </w:rPr>
        <w:t xml:space="preserve"> </w:t>
      </w:r>
      <w:r w:rsidRPr="00B07B55">
        <w:rPr>
          <w:lang w:val="en-GB"/>
        </w:rPr>
        <w:t xml:space="preserve">who obtained a certificate, but not for those who studied but did not obtain a certificate. Earnings gains </w:t>
      </w:r>
      <w:r w:rsidR="00032887">
        <w:rPr>
          <w:lang w:val="en-GB"/>
        </w:rPr>
        <w:t>were</w:t>
      </w:r>
      <w:r w:rsidRPr="00B07B55">
        <w:rPr>
          <w:lang w:val="en-GB"/>
        </w:rPr>
        <w:t xml:space="preserve"> found for individuals who stayed with the same employer</w:t>
      </w:r>
      <w:r w:rsidR="00032887">
        <w:rPr>
          <w:lang w:val="en-GB"/>
        </w:rPr>
        <w:t xml:space="preserve"> but</w:t>
      </w:r>
      <w:r w:rsidR="00032887" w:rsidRPr="00B07B55">
        <w:rPr>
          <w:lang w:val="en-GB"/>
        </w:rPr>
        <w:t xml:space="preserve"> </w:t>
      </w:r>
      <w:r w:rsidRPr="00B07B55">
        <w:rPr>
          <w:lang w:val="en-GB"/>
        </w:rPr>
        <w:t>not those who switched</w:t>
      </w:r>
      <w:r w:rsidR="00EB0C29">
        <w:rPr>
          <w:lang w:val="en-GB"/>
        </w:rPr>
        <w:t xml:space="preserve">. </w:t>
      </w:r>
      <w:r w:rsidRPr="00B07B55">
        <w:rPr>
          <w:lang w:val="en-GB"/>
        </w:rPr>
        <w:t>Myers and Myles (2005</w:t>
      </w:r>
      <w:r w:rsidR="004F7534">
        <w:rPr>
          <w:lang w:val="en-GB"/>
        </w:rPr>
        <w:t xml:space="preserve">) use two surveys of </w:t>
      </w:r>
      <w:r w:rsidR="00D47D88">
        <w:rPr>
          <w:lang w:val="en-GB"/>
        </w:rPr>
        <w:t xml:space="preserve">Canadian </w:t>
      </w:r>
      <w:r w:rsidR="004F7534">
        <w:rPr>
          <w:lang w:val="en-GB"/>
        </w:rPr>
        <w:t>individual</w:t>
      </w:r>
      <w:r w:rsidRPr="00B07B55">
        <w:rPr>
          <w:lang w:val="en-GB"/>
        </w:rPr>
        <w:t>s</w:t>
      </w:r>
      <w:r w:rsidR="004F7534">
        <w:rPr>
          <w:lang w:val="en-GB"/>
        </w:rPr>
        <w:t>’</w:t>
      </w:r>
      <w:r w:rsidRPr="00B07B55">
        <w:rPr>
          <w:lang w:val="en-GB"/>
        </w:rPr>
        <w:t xml:space="preserve"> own perceived benef</w:t>
      </w:r>
      <w:r w:rsidR="00D47D88">
        <w:rPr>
          <w:lang w:val="en-GB"/>
        </w:rPr>
        <w:t>its of adult education</w:t>
      </w:r>
      <w:r w:rsidRPr="00B07B55">
        <w:rPr>
          <w:lang w:val="en-GB"/>
        </w:rPr>
        <w:t xml:space="preserve">. </w:t>
      </w:r>
      <w:r w:rsidR="00B71226" w:rsidRPr="00B07B55">
        <w:rPr>
          <w:lang w:val="en-GB"/>
        </w:rPr>
        <w:t>The</w:t>
      </w:r>
      <w:r w:rsidR="00B71226">
        <w:rPr>
          <w:lang w:val="en-GB"/>
        </w:rPr>
        <w:t xml:space="preserve"> authors</w:t>
      </w:r>
      <w:r w:rsidR="00B71226" w:rsidRPr="00B07B55">
        <w:rPr>
          <w:lang w:val="en-GB"/>
        </w:rPr>
        <w:t xml:space="preserve"> </w:t>
      </w:r>
      <w:r w:rsidR="00B71226">
        <w:rPr>
          <w:lang w:val="en-GB"/>
        </w:rPr>
        <w:t>found that</w:t>
      </w:r>
      <w:r w:rsidR="004F7534">
        <w:rPr>
          <w:lang w:val="en-GB"/>
        </w:rPr>
        <w:t xml:space="preserve"> the least-</w:t>
      </w:r>
      <w:r w:rsidRPr="00B07B55">
        <w:rPr>
          <w:lang w:val="en-GB"/>
        </w:rPr>
        <w:t xml:space="preserve">educated were more likely to report a positive labour market outcome and were just as likely to be engaged in types of learning that are associated with high labour market potential. </w:t>
      </w:r>
    </w:p>
    <w:p w:rsidR="00DE4C33" w:rsidRPr="00B07B55" w:rsidRDefault="00DE4C33" w:rsidP="00495869">
      <w:pPr>
        <w:pStyle w:val="Text"/>
        <w:ind w:right="0"/>
        <w:rPr>
          <w:lang w:val="en-GB"/>
        </w:rPr>
      </w:pPr>
      <w:r w:rsidRPr="00B07B55">
        <w:rPr>
          <w:lang w:val="en-GB"/>
        </w:rPr>
        <w:t xml:space="preserve">Griliches (1980), Marcus (1984), Light (1995) and Leigh and Gill (1997) study the effect of delaying entry to university using </w:t>
      </w:r>
      <w:r w:rsidR="00B71226">
        <w:rPr>
          <w:lang w:val="en-GB"/>
        </w:rPr>
        <w:t xml:space="preserve">US </w:t>
      </w:r>
      <w:r w:rsidRPr="00B07B55">
        <w:rPr>
          <w:lang w:val="en-GB"/>
        </w:rPr>
        <w:t>panel surveys of y</w:t>
      </w:r>
      <w:r w:rsidR="004F7534">
        <w:rPr>
          <w:lang w:val="en-GB"/>
        </w:rPr>
        <w:t>oung adults from the late 1960s</w:t>
      </w:r>
      <w:r w:rsidR="00226BCD">
        <w:rPr>
          <w:lang w:val="en-GB"/>
        </w:rPr>
        <w:t xml:space="preserve"> to the </w:t>
      </w:r>
      <w:r w:rsidR="004F7534">
        <w:rPr>
          <w:lang w:val="en-GB"/>
        </w:rPr>
        <w:t>early 1970s and the late 1970s</w:t>
      </w:r>
      <w:r w:rsidR="00226BCD">
        <w:rPr>
          <w:lang w:val="en-GB"/>
        </w:rPr>
        <w:t xml:space="preserve"> to the </w:t>
      </w:r>
      <w:r w:rsidRPr="00B07B55">
        <w:rPr>
          <w:lang w:val="en-GB"/>
        </w:rPr>
        <w:t>early 1980s. The first two studies</w:t>
      </w:r>
      <w:r w:rsidR="00D47D88">
        <w:rPr>
          <w:lang w:val="en-GB"/>
        </w:rPr>
        <w:t>,</w:t>
      </w:r>
      <w:r w:rsidRPr="00B07B55">
        <w:rPr>
          <w:lang w:val="en-GB"/>
        </w:rPr>
        <w:t xml:space="preserve"> using the earlier cohort</w:t>
      </w:r>
      <w:r w:rsidR="00D47D88">
        <w:rPr>
          <w:lang w:val="en-GB"/>
        </w:rPr>
        <w:t>,</w:t>
      </w:r>
      <w:r w:rsidRPr="00B07B55">
        <w:rPr>
          <w:lang w:val="en-GB"/>
        </w:rPr>
        <w:t xml:space="preserve"> report </w:t>
      </w:r>
      <w:r w:rsidR="00D47D88">
        <w:rPr>
          <w:lang w:val="en-GB"/>
        </w:rPr>
        <w:t>that</w:t>
      </w:r>
      <w:r w:rsidRPr="00B07B55">
        <w:rPr>
          <w:lang w:val="en-GB"/>
        </w:rPr>
        <w:t xml:space="preserve"> delayed entry did not adversely affect returns </w:t>
      </w:r>
      <w:r w:rsidR="004F7534">
        <w:rPr>
          <w:lang w:val="en-GB"/>
        </w:rPr>
        <w:t>from</w:t>
      </w:r>
      <w:r w:rsidRPr="00B07B55">
        <w:rPr>
          <w:lang w:val="en-GB"/>
        </w:rPr>
        <w:t xml:space="preserve"> education. </w:t>
      </w:r>
      <w:r w:rsidR="004F7534">
        <w:rPr>
          <w:lang w:val="en-GB"/>
        </w:rPr>
        <w:t>U</w:t>
      </w:r>
      <w:r w:rsidR="004F7534" w:rsidRPr="00B07B55">
        <w:rPr>
          <w:lang w:val="en-GB"/>
        </w:rPr>
        <w:t>sing the later cohort</w:t>
      </w:r>
      <w:r w:rsidR="004F7534">
        <w:rPr>
          <w:lang w:val="en-GB"/>
        </w:rPr>
        <w:t>,</w:t>
      </w:r>
      <w:r w:rsidR="004F7534" w:rsidRPr="00B07B55">
        <w:rPr>
          <w:lang w:val="en-GB"/>
        </w:rPr>
        <w:t xml:space="preserve"> </w:t>
      </w:r>
      <w:r w:rsidRPr="00B07B55">
        <w:rPr>
          <w:lang w:val="en-GB"/>
        </w:rPr>
        <w:t xml:space="preserve">Light (1995) found that those who delay earn a lower wage gain upon completion than those who did not delay. This gap, however, closes over the next four years. Leigh and Gill (1997), also using the later US cohort, find that, after controlling for ability using test scores, returns </w:t>
      </w:r>
      <w:r w:rsidR="004F7534">
        <w:rPr>
          <w:lang w:val="en-GB"/>
        </w:rPr>
        <w:t>from</w:t>
      </w:r>
      <w:r w:rsidRPr="00B07B55">
        <w:rPr>
          <w:lang w:val="en-GB"/>
        </w:rPr>
        <w:t xml:space="preserve"> community college study are positive and of essentially the same size for returning adults as they are for continuing students. Note that these studies only investigated education that was delayed to when individuals were in their late</w:t>
      </w:r>
      <w:r w:rsidR="003223AE">
        <w:rPr>
          <w:lang w:val="en-GB"/>
        </w:rPr>
        <w:t xml:space="preserve"> 20s.</w:t>
      </w:r>
      <w:r w:rsidRPr="00B07B55">
        <w:rPr>
          <w:lang w:val="en-GB"/>
        </w:rPr>
        <w:t xml:space="preserve"> The timeframe over which the returns </w:t>
      </w:r>
      <w:r w:rsidR="004F7534">
        <w:rPr>
          <w:lang w:val="en-GB"/>
        </w:rPr>
        <w:t>are measured was also small, that is,</w:t>
      </w:r>
      <w:r w:rsidRPr="00B07B55">
        <w:rPr>
          <w:lang w:val="en-GB"/>
        </w:rPr>
        <w:t xml:space="preserve"> until the individuals were in their early 30s. </w:t>
      </w:r>
    </w:p>
    <w:p w:rsidR="009C55C4" w:rsidRPr="00B07B55" w:rsidRDefault="00B369F9" w:rsidP="00495869">
      <w:pPr>
        <w:pStyle w:val="Text"/>
        <w:ind w:right="0"/>
        <w:rPr>
          <w:lang w:val="en-GB"/>
        </w:rPr>
      </w:pPr>
      <w:r w:rsidRPr="00B07B55">
        <w:rPr>
          <w:lang w:val="en-GB"/>
        </w:rPr>
        <w:t>Other contributions have focused on the educational choices and outcomes of subsamples of the adult population, particular</w:t>
      </w:r>
      <w:r w:rsidR="00800992">
        <w:rPr>
          <w:lang w:val="en-GB"/>
        </w:rPr>
        <w:t>ly</w:t>
      </w:r>
      <w:r w:rsidRPr="00B07B55">
        <w:rPr>
          <w:lang w:val="en-GB"/>
        </w:rPr>
        <w:t xml:space="preserve"> individuals </w:t>
      </w:r>
      <w:r w:rsidR="009D307F">
        <w:rPr>
          <w:lang w:val="en-GB"/>
        </w:rPr>
        <w:t>who</w:t>
      </w:r>
      <w:r w:rsidRPr="00B07B55">
        <w:rPr>
          <w:lang w:val="en-GB"/>
        </w:rPr>
        <w:t xml:space="preserve"> </w:t>
      </w:r>
      <w:r w:rsidR="00800992">
        <w:rPr>
          <w:lang w:val="en-GB"/>
        </w:rPr>
        <w:t xml:space="preserve">have </w:t>
      </w:r>
      <w:r w:rsidRPr="00B07B55">
        <w:rPr>
          <w:lang w:val="en-GB"/>
        </w:rPr>
        <w:t xml:space="preserve">experienced unemployment spells. For example, </w:t>
      </w:r>
      <w:r w:rsidR="009C55C4" w:rsidRPr="00B07B55">
        <w:rPr>
          <w:lang w:val="en-GB"/>
        </w:rPr>
        <w:t>Albrecht</w:t>
      </w:r>
      <w:r w:rsidR="00E93FCA">
        <w:rPr>
          <w:lang w:val="en-GB"/>
        </w:rPr>
        <w:t>, Van den Berg and Vroman</w:t>
      </w:r>
      <w:r w:rsidR="009C55C4" w:rsidRPr="00B07B55">
        <w:rPr>
          <w:lang w:val="en-GB"/>
        </w:rPr>
        <w:t xml:space="preserve"> (2005) and Stenberg and Westerlund (2008) study the effect of comprehensive adult education (upper secondary or compulsory education) on </w:t>
      </w:r>
      <w:r w:rsidR="00D47D88">
        <w:rPr>
          <w:lang w:val="en-GB"/>
        </w:rPr>
        <w:t xml:space="preserve">the </w:t>
      </w:r>
      <w:r w:rsidR="009C55C4" w:rsidRPr="00B07B55">
        <w:rPr>
          <w:lang w:val="en-GB"/>
        </w:rPr>
        <w:t xml:space="preserve">standard labour market outcomes for the long-term unemployed in Sweden. </w:t>
      </w:r>
      <w:r w:rsidR="00800992">
        <w:rPr>
          <w:lang w:val="en-GB"/>
        </w:rPr>
        <w:t>Both studies investigate the effects of an</w:t>
      </w:r>
      <w:r w:rsidR="00ED00D7">
        <w:rPr>
          <w:lang w:val="en-GB"/>
        </w:rPr>
        <w:t xml:space="preserve"> initiative known as the ‘Adult Education Initiative’ or ‘Knowledge Lift’</w:t>
      </w:r>
      <w:r w:rsidR="009C55C4" w:rsidRPr="00B07B55">
        <w:rPr>
          <w:lang w:val="en-GB"/>
        </w:rPr>
        <w:t xml:space="preserve"> </w:t>
      </w:r>
      <w:r w:rsidR="00800992">
        <w:rPr>
          <w:lang w:val="en-GB"/>
        </w:rPr>
        <w:t>(</w:t>
      </w:r>
      <w:r w:rsidR="009C55C4" w:rsidRPr="00B07B55">
        <w:rPr>
          <w:lang w:val="en-GB"/>
        </w:rPr>
        <w:t>implemented</w:t>
      </w:r>
      <w:r w:rsidR="00800992">
        <w:rPr>
          <w:lang w:val="en-GB"/>
        </w:rPr>
        <w:t xml:space="preserve"> in 1997)</w:t>
      </w:r>
      <w:r w:rsidR="00ED00D7">
        <w:rPr>
          <w:lang w:val="en-GB"/>
        </w:rPr>
        <w:t>, which paid the long-</w:t>
      </w:r>
      <w:r w:rsidR="009C55C4" w:rsidRPr="00B07B55">
        <w:rPr>
          <w:lang w:val="en-GB"/>
        </w:rPr>
        <w:t>term unemployed (unemployed for two years or more) the equivalent of the unemployment benefit for up to a year or two to undertake comprehensive education. Albrecht</w:t>
      </w:r>
      <w:r w:rsidR="0083056E">
        <w:rPr>
          <w:lang w:val="en-GB"/>
        </w:rPr>
        <w:t>,</w:t>
      </w:r>
      <w:r w:rsidR="009C55C4" w:rsidRPr="00B07B55">
        <w:rPr>
          <w:lang w:val="en-GB"/>
        </w:rPr>
        <w:t xml:space="preserve"> </w:t>
      </w:r>
      <w:r w:rsidR="00ED00D7">
        <w:rPr>
          <w:lang w:val="en-GB"/>
        </w:rPr>
        <w:t>v</w:t>
      </w:r>
      <w:r w:rsidR="00E93FCA">
        <w:rPr>
          <w:lang w:val="en-GB"/>
        </w:rPr>
        <w:t>an den Berg and Vroman</w:t>
      </w:r>
      <w:r w:rsidR="00E93FCA" w:rsidRPr="00B07B55">
        <w:rPr>
          <w:lang w:val="en-GB"/>
        </w:rPr>
        <w:t xml:space="preserve"> </w:t>
      </w:r>
      <w:r w:rsidR="009C55C4" w:rsidRPr="00B07B55">
        <w:rPr>
          <w:lang w:val="en-GB"/>
        </w:rPr>
        <w:t xml:space="preserve">only found annual income gains for younger females and only employment probability gains for younger men from participation in the initiative. Stenberg and Westerlund (2008), however, estimated sizable effects </w:t>
      </w:r>
      <w:r w:rsidR="00ED00D7">
        <w:rPr>
          <w:lang w:val="en-GB"/>
        </w:rPr>
        <w:t>from</w:t>
      </w:r>
      <w:r w:rsidR="009C55C4" w:rsidRPr="00B07B55">
        <w:rPr>
          <w:lang w:val="en-GB"/>
        </w:rPr>
        <w:t xml:space="preserve"> the program on annual earnings if the individual studied for two to four semesters, but not if they studied for one semester only. </w:t>
      </w:r>
    </w:p>
    <w:p w:rsidR="00453F93" w:rsidRDefault="00B369F9" w:rsidP="00495869">
      <w:pPr>
        <w:pStyle w:val="Text"/>
        <w:ind w:right="0"/>
        <w:rPr>
          <w:lang w:val="en-GB"/>
        </w:rPr>
      </w:pPr>
      <w:r w:rsidRPr="00B07B55">
        <w:rPr>
          <w:lang w:val="en-GB"/>
        </w:rPr>
        <w:t xml:space="preserve">Finally, </w:t>
      </w:r>
      <w:r w:rsidR="00DE4C33" w:rsidRPr="00B07B55">
        <w:rPr>
          <w:lang w:val="en-GB"/>
        </w:rPr>
        <w:t xml:space="preserve">Jacobson, LaLonde and Sullivan (2005) </w:t>
      </w:r>
      <w:r w:rsidRPr="00B07B55">
        <w:rPr>
          <w:lang w:val="en-GB"/>
        </w:rPr>
        <w:t xml:space="preserve">analyse </w:t>
      </w:r>
      <w:r w:rsidR="00DE4C33" w:rsidRPr="00B07B55">
        <w:rPr>
          <w:lang w:val="en-GB"/>
        </w:rPr>
        <w:t>the effect of community college study on labour market outcomes</w:t>
      </w:r>
      <w:r w:rsidR="00ED00D7">
        <w:rPr>
          <w:lang w:val="en-GB"/>
        </w:rPr>
        <w:t>,</w:t>
      </w:r>
      <w:r w:rsidR="00DE4C33" w:rsidRPr="00B07B55">
        <w:rPr>
          <w:lang w:val="en-GB"/>
        </w:rPr>
        <w:t xml:space="preserve"> specifically of displaced workers in the U</w:t>
      </w:r>
      <w:r w:rsidR="0083056E">
        <w:rPr>
          <w:lang w:val="en-GB"/>
        </w:rPr>
        <w:t xml:space="preserve">nited </w:t>
      </w:r>
      <w:r w:rsidR="00DE4C33" w:rsidRPr="00B07B55">
        <w:rPr>
          <w:lang w:val="en-GB"/>
        </w:rPr>
        <w:t>S</w:t>
      </w:r>
      <w:r w:rsidR="0083056E">
        <w:rPr>
          <w:lang w:val="en-GB"/>
        </w:rPr>
        <w:t>tates</w:t>
      </w:r>
      <w:r w:rsidR="00DE4C33" w:rsidRPr="00B07B55">
        <w:rPr>
          <w:lang w:val="en-GB"/>
        </w:rPr>
        <w:t xml:space="preserve">. The authors find that the equivalent of a year of community college increases displaced workers’ earnings by about 9% for men and 13% for women. Credits completed in courses </w:t>
      </w:r>
      <w:r w:rsidR="00D47D88">
        <w:rPr>
          <w:lang w:val="en-GB"/>
        </w:rPr>
        <w:t>that taught</w:t>
      </w:r>
      <w:r w:rsidR="00DE4C33" w:rsidRPr="00B07B55">
        <w:rPr>
          <w:lang w:val="en-GB"/>
        </w:rPr>
        <w:t xml:space="preserve"> quantitative or more technically oriented vocational subject matter</w:t>
      </w:r>
      <w:r w:rsidR="00ED00D7">
        <w:rPr>
          <w:lang w:val="en-GB"/>
        </w:rPr>
        <w:t>, such as health-</w:t>
      </w:r>
      <w:r w:rsidR="008F521F">
        <w:rPr>
          <w:lang w:val="en-GB"/>
        </w:rPr>
        <w:t>related, science</w:t>
      </w:r>
      <w:r w:rsidR="00800992">
        <w:rPr>
          <w:lang w:val="en-GB"/>
        </w:rPr>
        <w:t>,</w:t>
      </w:r>
      <w:r w:rsidR="008F521F">
        <w:rPr>
          <w:lang w:val="en-GB"/>
        </w:rPr>
        <w:t xml:space="preserve"> mathematical and trade courses,</w:t>
      </w:r>
      <w:r w:rsidR="00DE4C33" w:rsidRPr="00B07B55">
        <w:rPr>
          <w:lang w:val="en-GB"/>
        </w:rPr>
        <w:t xml:space="preserve"> generate</w:t>
      </w:r>
      <w:r w:rsidR="00800992">
        <w:rPr>
          <w:lang w:val="en-GB"/>
        </w:rPr>
        <w:t>d</w:t>
      </w:r>
      <w:r w:rsidR="00DE4C33" w:rsidRPr="00B07B55">
        <w:rPr>
          <w:lang w:val="en-GB"/>
        </w:rPr>
        <w:t xml:space="preserve"> earnings gains </w:t>
      </w:r>
      <w:r w:rsidR="00D47D88">
        <w:rPr>
          <w:lang w:val="en-GB"/>
        </w:rPr>
        <w:t>averaging</w:t>
      </w:r>
      <w:r w:rsidR="00DE4C33" w:rsidRPr="00B07B55">
        <w:rPr>
          <w:lang w:val="en-GB"/>
        </w:rPr>
        <w:t xml:space="preserve"> 14% for men and 29% for women. By contrast, courses teaching non-quantitative or non-technical vocational skills</w:t>
      </w:r>
      <w:r w:rsidR="008F521F">
        <w:rPr>
          <w:lang w:val="en-GB"/>
        </w:rPr>
        <w:t>, such as sales</w:t>
      </w:r>
      <w:r w:rsidR="00800992">
        <w:rPr>
          <w:lang w:val="en-GB"/>
        </w:rPr>
        <w:t>,</w:t>
      </w:r>
      <w:r w:rsidR="008F521F">
        <w:rPr>
          <w:lang w:val="en-GB"/>
        </w:rPr>
        <w:t xml:space="preserve"> service, social sciences or humanities</w:t>
      </w:r>
      <w:r w:rsidR="00800992">
        <w:rPr>
          <w:lang w:val="en-GB"/>
        </w:rPr>
        <w:t xml:space="preserve"> courses</w:t>
      </w:r>
      <w:r w:rsidR="008F521F">
        <w:rPr>
          <w:lang w:val="en-GB"/>
        </w:rPr>
        <w:t>,</w:t>
      </w:r>
      <w:r w:rsidR="00DE4C33" w:rsidRPr="00B07B55">
        <w:rPr>
          <w:lang w:val="en-GB"/>
        </w:rPr>
        <w:t xml:space="preserve"> </w:t>
      </w:r>
      <w:r w:rsidR="00800992">
        <w:rPr>
          <w:lang w:val="en-GB"/>
        </w:rPr>
        <w:t>we</w:t>
      </w:r>
      <w:r w:rsidR="00800992" w:rsidRPr="00B07B55">
        <w:rPr>
          <w:lang w:val="en-GB"/>
        </w:rPr>
        <w:t xml:space="preserve">re </w:t>
      </w:r>
      <w:r w:rsidR="00DE4C33" w:rsidRPr="00B07B55">
        <w:rPr>
          <w:lang w:val="en-GB"/>
        </w:rPr>
        <w:t>associated with small or possibly zero earnings gains. The authors find that those displaced workers who undertake community college credits were more likely to have particularly depressed earnings after their job loss. The authors also find that it is important to allow for a transition period after study for earnings to increase.</w:t>
      </w:r>
      <w:r w:rsidR="00CD0484" w:rsidRPr="00B07B55">
        <w:rPr>
          <w:lang w:val="en-GB"/>
        </w:rPr>
        <w:t xml:space="preserve"> </w:t>
      </w:r>
      <w:r w:rsidR="008964BC" w:rsidRPr="00B07B55">
        <w:rPr>
          <w:lang w:val="en-GB"/>
        </w:rPr>
        <w:t xml:space="preserve">Depending on gender and other personal characteristics, the transition period is expected to last between </w:t>
      </w:r>
      <w:r w:rsidR="003223AE">
        <w:rPr>
          <w:lang w:val="en-GB"/>
        </w:rPr>
        <w:t>two and three quarters</w:t>
      </w:r>
      <w:r w:rsidR="008F2383">
        <w:rPr>
          <w:lang w:val="en-GB"/>
        </w:rPr>
        <w:t xml:space="preserve"> </w:t>
      </w:r>
      <w:r w:rsidR="003223AE">
        <w:rPr>
          <w:lang w:val="en-GB"/>
        </w:rPr>
        <w:t>(6—9 months)</w:t>
      </w:r>
      <w:r w:rsidR="00ED00D7">
        <w:rPr>
          <w:lang w:val="en-GB"/>
        </w:rPr>
        <w:t xml:space="preserve"> </w:t>
      </w:r>
      <w:r w:rsidR="008964BC" w:rsidRPr="00B07B55">
        <w:rPr>
          <w:lang w:val="en-GB"/>
        </w:rPr>
        <w:t>after the end of the training spell.</w:t>
      </w:r>
    </w:p>
    <w:p w:rsidR="005008BD" w:rsidRDefault="003F3E17" w:rsidP="00495869">
      <w:pPr>
        <w:pStyle w:val="Text"/>
        <w:ind w:right="0"/>
        <w:rPr>
          <w:lang w:val="en-GB"/>
        </w:rPr>
      </w:pPr>
      <w:r>
        <w:rPr>
          <w:lang w:val="en-GB"/>
        </w:rPr>
        <w:t xml:space="preserve">These international studies of </w:t>
      </w:r>
      <w:r w:rsidR="00E678A9">
        <w:rPr>
          <w:lang w:val="en-GB"/>
        </w:rPr>
        <w:t xml:space="preserve">the outcomes of adult or </w:t>
      </w:r>
      <w:r w:rsidR="007A4E37">
        <w:rPr>
          <w:lang w:val="en-GB"/>
        </w:rPr>
        <w:t>mature-age</w:t>
      </w:r>
      <w:r>
        <w:rPr>
          <w:lang w:val="en-GB"/>
        </w:rPr>
        <w:t xml:space="preserve"> education </w:t>
      </w:r>
      <w:r w:rsidR="00E678A9">
        <w:rPr>
          <w:lang w:val="en-GB"/>
        </w:rPr>
        <w:t xml:space="preserve">using longitudinal data </w:t>
      </w:r>
      <w:r>
        <w:rPr>
          <w:lang w:val="en-GB"/>
        </w:rPr>
        <w:t xml:space="preserve">have focused on </w:t>
      </w:r>
      <w:r w:rsidR="00E678A9">
        <w:rPr>
          <w:lang w:val="en-GB"/>
        </w:rPr>
        <w:t xml:space="preserve">investigating the earnings and employment probability effects, and they generally found mixed results. Our research will uncover whether these outcomes are more consistently positive in Australia than in these other countries, </w:t>
      </w:r>
      <w:r w:rsidR="00EB5247">
        <w:rPr>
          <w:lang w:val="en-GB"/>
        </w:rPr>
        <w:t>since</w:t>
      </w:r>
      <w:r w:rsidR="00E678A9">
        <w:rPr>
          <w:lang w:val="en-GB"/>
        </w:rPr>
        <w:t xml:space="preserve"> education at more mature ages is more prevalent </w:t>
      </w:r>
      <w:r w:rsidR="008F2383">
        <w:rPr>
          <w:lang w:val="en-GB"/>
        </w:rPr>
        <w:t>in Australia</w:t>
      </w:r>
      <w:r w:rsidR="00E678A9">
        <w:rPr>
          <w:lang w:val="en-GB"/>
        </w:rPr>
        <w:t xml:space="preserve">. We also expand the range of outcomes </w:t>
      </w:r>
      <w:r w:rsidR="00BC58F3">
        <w:rPr>
          <w:lang w:val="en-GB"/>
        </w:rPr>
        <w:t>under investigation</w:t>
      </w:r>
      <w:r w:rsidR="00E678A9">
        <w:rPr>
          <w:lang w:val="en-GB"/>
        </w:rPr>
        <w:t xml:space="preserve"> to </w:t>
      </w:r>
      <w:r w:rsidR="00ED00D7">
        <w:rPr>
          <w:lang w:val="en-GB"/>
        </w:rPr>
        <w:t>determine</w:t>
      </w:r>
      <w:r w:rsidR="00E678A9">
        <w:rPr>
          <w:lang w:val="en-GB"/>
        </w:rPr>
        <w:t xml:space="preserve"> whether education at more mature ages </w:t>
      </w:r>
      <w:r w:rsidR="00BC58F3">
        <w:rPr>
          <w:lang w:val="en-GB"/>
        </w:rPr>
        <w:t xml:space="preserve">also </w:t>
      </w:r>
      <w:r w:rsidR="00E678A9">
        <w:rPr>
          <w:lang w:val="en-GB"/>
        </w:rPr>
        <w:t>has positive effects on</w:t>
      </w:r>
      <w:r w:rsidR="00ED00D7">
        <w:rPr>
          <w:lang w:val="en-GB"/>
        </w:rPr>
        <w:t>:</w:t>
      </w:r>
      <w:r w:rsidR="00E678A9">
        <w:rPr>
          <w:lang w:val="en-GB"/>
        </w:rPr>
        <w:t xml:space="preserve"> </w:t>
      </w:r>
      <w:r w:rsidR="00E678A9" w:rsidRPr="00B07B55">
        <w:rPr>
          <w:lang w:val="en-GB"/>
        </w:rPr>
        <w:t xml:space="preserve">job satisfaction, the perception </w:t>
      </w:r>
      <w:r w:rsidR="00EB5247">
        <w:rPr>
          <w:lang w:val="en-GB"/>
        </w:rPr>
        <w:t>on</w:t>
      </w:r>
      <w:r w:rsidR="00E678A9" w:rsidRPr="00B07B55">
        <w:rPr>
          <w:lang w:val="en-GB"/>
        </w:rPr>
        <w:t xml:space="preserve"> the degree of utilisation of individual skills within the job, weekly working hours, life satisfaction, satisfaction with employment opportunities, occupational status and </w:t>
      </w:r>
      <w:r w:rsidR="00E678A9">
        <w:rPr>
          <w:lang w:val="en-GB"/>
        </w:rPr>
        <w:t xml:space="preserve">the </w:t>
      </w:r>
      <w:r w:rsidR="00E678A9" w:rsidRPr="00B07B55">
        <w:rPr>
          <w:lang w:val="en-GB"/>
        </w:rPr>
        <w:t>probability of permanent employment as opposed to casual or f</w:t>
      </w:r>
      <w:r w:rsidR="00ED00D7">
        <w:rPr>
          <w:lang w:val="en-GB"/>
        </w:rPr>
        <w:t>ixed-</w:t>
      </w:r>
      <w:r w:rsidR="00E678A9" w:rsidRPr="00B07B55">
        <w:rPr>
          <w:lang w:val="en-GB"/>
        </w:rPr>
        <w:t>term</w:t>
      </w:r>
      <w:r w:rsidR="00BC58F3">
        <w:rPr>
          <w:lang w:val="en-GB"/>
        </w:rPr>
        <w:t xml:space="preserve"> employment</w:t>
      </w:r>
      <w:r w:rsidR="00E678A9" w:rsidRPr="00B07B55">
        <w:rPr>
          <w:lang w:val="en-GB"/>
        </w:rPr>
        <w:t>.</w:t>
      </w:r>
    </w:p>
    <w:p w:rsidR="00134808" w:rsidRPr="00495869" w:rsidRDefault="00134808" w:rsidP="00495869">
      <w:pPr>
        <w:pStyle w:val="Text"/>
        <w:ind w:right="0"/>
        <w:rPr>
          <w:lang w:val="en-GB"/>
        </w:rPr>
      </w:pPr>
      <w:r w:rsidRPr="00B07B55">
        <w:rPr>
          <w:lang w:val="en-GB"/>
        </w:rPr>
        <w:br w:type="page"/>
      </w:r>
    </w:p>
    <w:p w:rsidR="007F0C1A" w:rsidRPr="00B07B55" w:rsidRDefault="007F0C1A" w:rsidP="00051566">
      <w:pPr>
        <w:pStyle w:val="Heading1"/>
        <w:rPr>
          <w:lang w:val="en-GB"/>
        </w:rPr>
      </w:pPr>
      <w:bookmarkStart w:id="41" w:name="_Toc334101009"/>
      <w:r w:rsidRPr="00B07B55">
        <w:rPr>
          <w:lang w:val="en-GB"/>
        </w:rPr>
        <w:t xml:space="preserve">Data and </w:t>
      </w:r>
      <w:r w:rsidR="00B24059">
        <w:rPr>
          <w:lang w:val="en-GB"/>
        </w:rPr>
        <w:t>p</w:t>
      </w:r>
      <w:r w:rsidRPr="00B07B55">
        <w:rPr>
          <w:lang w:val="en-GB"/>
        </w:rPr>
        <w:t xml:space="preserve">articipation </w:t>
      </w:r>
      <w:r w:rsidR="00B24059">
        <w:rPr>
          <w:lang w:val="en-GB"/>
        </w:rPr>
        <w:t>r</w:t>
      </w:r>
      <w:r w:rsidRPr="00B07B55">
        <w:rPr>
          <w:lang w:val="en-GB"/>
        </w:rPr>
        <w:t>ates</w:t>
      </w:r>
      <w:bookmarkEnd w:id="41"/>
    </w:p>
    <w:p w:rsidR="007F0C1A" w:rsidRPr="00B07B55" w:rsidRDefault="007F0C1A" w:rsidP="00495869">
      <w:pPr>
        <w:pStyle w:val="Text"/>
        <w:ind w:right="0"/>
        <w:rPr>
          <w:lang w:val="en-GB"/>
        </w:rPr>
      </w:pPr>
      <w:r w:rsidRPr="00B07B55">
        <w:rPr>
          <w:lang w:val="en-GB"/>
        </w:rPr>
        <w:t xml:space="preserve">With respect to the first three research questions investigated, we </w:t>
      </w:r>
      <w:r w:rsidR="0083056E">
        <w:rPr>
          <w:lang w:val="en-GB"/>
        </w:rPr>
        <w:t>use</w:t>
      </w:r>
      <w:r w:rsidRPr="00B07B55">
        <w:rPr>
          <w:lang w:val="en-GB"/>
        </w:rPr>
        <w:t xml:space="preserve"> data from the H</w:t>
      </w:r>
      <w:r w:rsidR="00EB5247">
        <w:rPr>
          <w:lang w:val="en-GB"/>
        </w:rPr>
        <w:t>ousehold, Income and Labour Dynamics in Australia S</w:t>
      </w:r>
      <w:r w:rsidRPr="00B07B55">
        <w:rPr>
          <w:lang w:val="en-GB"/>
        </w:rPr>
        <w:t>urvey.</w:t>
      </w:r>
      <w:r w:rsidR="001C73D5">
        <w:rPr>
          <w:lang w:val="en-GB"/>
        </w:rPr>
        <w:t xml:space="preserve"> </w:t>
      </w:r>
      <w:r w:rsidRPr="00B07B55">
        <w:rPr>
          <w:lang w:val="en-GB"/>
        </w:rPr>
        <w:t xml:space="preserve">HILDA is a nationally representative survey of around </w:t>
      </w:r>
      <w:r w:rsidR="003A3C05" w:rsidRPr="00B07B55">
        <w:rPr>
          <w:lang w:val="en-GB"/>
        </w:rPr>
        <w:t>13</w:t>
      </w:r>
      <w:r w:rsidR="00CF580B" w:rsidRPr="00B07B55">
        <w:rPr>
          <w:lang w:val="en-GB"/>
        </w:rPr>
        <w:t xml:space="preserve"> </w:t>
      </w:r>
      <w:r w:rsidR="003A3C05" w:rsidRPr="00B07B55">
        <w:rPr>
          <w:lang w:val="en-GB"/>
        </w:rPr>
        <w:t>000</w:t>
      </w:r>
      <w:r w:rsidRPr="00B07B55">
        <w:rPr>
          <w:lang w:val="en-GB"/>
        </w:rPr>
        <w:t xml:space="preserve"> individuals aged 15 and older. Respondents are surveyed each year, with information currently available from 2001 to 2009. The panel aspect of HILDA enables us to </w:t>
      </w:r>
      <w:r w:rsidR="00CF580B" w:rsidRPr="00B07B55">
        <w:rPr>
          <w:lang w:val="en-GB"/>
        </w:rPr>
        <w:t xml:space="preserve">track </w:t>
      </w:r>
      <w:r w:rsidRPr="00B07B55">
        <w:rPr>
          <w:lang w:val="en-GB"/>
        </w:rPr>
        <w:t xml:space="preserve">changes in outcomes at the individual level. As the third research question analyses the employment and </w:t>
      </w:r>
      <w:r w:rsidR="006A5795">
        <w:rPr>
          <w:lang w:val="en-GB"/>
        </w:rPr>
        <w:t>wellbeing</w:t>
      </w:r>
      <w:r w:rsidRPr="00B07B55">
        <w:rPr>
          <w:lang w:val="en-GB"/>
        </w:rPr>
        <w:t xml:space="preserve"> effects of </w:t>
      </w:r>
      <w:r w:rsidR="007A4E37">
        <w:rPr>
          <w:lang w:val="en-GB"/>
        </w:rPr>
        <w:t>mature-age</w:t>
      </w:r>
      <w:r w:rsidRPr="00B07B55">
        <w:rPr>
          <w:lang w:val="en-GB"/>
        </w:rPr>
        <w:t xml:space="preserve"> education, this feature of the data is particularly useful. It allows us to observe the change in individual outcomes from before the education is undertaken until after it is completed (or </w:t>
      </w:r>
      <w:r w:rsidR="00CF580B" w:rsidRPr="00B07B55">
        <w:rPr>
          <w:lang w:val="en-GB"/>
        </w:rPr>
        <w:t>until</w:t>
      </w:r>
      <w:r w:rsidR="0004106D">
        <w:rPr>
          <w:lang w:val="en-GB"/>
        </w:rPr>
        <w:t xml:space="preserve"> </w:t>
      </w:r>
      <w:r w:rsidRPr="00B07B55">
        <w:rPr>
          <w:lang w:val="en-GB"/>
        </w:rPr>
        <w:t xml:space="preserve">the individual stops studying prior to gaining a qualification). </w:t>
      </w:r>
    </w:p>
    <w:p w:rsidR="007F0C1A" w:rsidRDefault="007F0C1A" w:rsidP="00495869">
      <w:pPr>
        <w:pStyle w:val="Text"/>
        <w:ind w:right="0"/>
        <w:rPr>
          <w:lang w:val="en-GB"/>
        </w:rPr>
      </w:pPr>
      <w:r w:rsidRPr="00B07B55">
        <w:rPr>
          <w:lang w:val="en-GB"/>
        </w:rPr>
        <w:t xml:space="preserve">To further explore the formal education participation of </w:t>
      </w:r>
      <w:r w:rsidR="007A4E37">
        <w:rPr>
          <w:lang w:val="en-GB"/>
        </w:rPr>
        <w:t>mature-age</w:t>
      </w:r>
      <w:r w:rsidRPr="00B07B55">
        <w:rPr>
          <w:lang w:val="en-GB"/>
        </w:rPr>
        <w:t xml:space="preserve"> Australians, information from the 2009 </w:t>
      </w:r>
      <w:r w:rsidR="00ED00D7">
        <w:rPr>
          <w:lang w:val="en-GB"/>
        </w:rPr>
        <w:t>Australian Bureau of Statistics’ Survey of Education and Training</w:t>
      </w:r>
      <w:r w:rsidR="003649E7">
        <w:rPr>
          <w:lang w:val="en-GB"/>
        </w:rPr>
        <w:t xml:space="preserve"> </w:t>
      </w:r>
      <w:r w:rsidR="003A5624">
        <w:rPr>
          <w:lang w:val="en-GB"/>
        </w:rPr>
        <w:t>is</w:t>
      </w:r>
      <w:r w:rsidR="003A5624" w:rsidRPr="00B07B55">
        <w:rPr>
          <w:lang w:val="en-GB"/>
        </w:rPr>
        <w:t xml:space="preserve"> </w:t>
      </w:r>
      <w:r w:rsidRPr="00B07B55">
        <w:rPr>
          <w:lang w:val="en-GB"/>
        </w:rPr>
        <w:t>al</w:t>
      </w:r>
      <w:r w:rsidR="00CA5708" w:rsidRPr="00B07B55">
        <w:rPr>
          <w:lang w:val="en-GB"/>
        </w:rPr>
        <w:t>so employed.</w:t>
      </w:r>
      <w:r w:rsidR="005D2564" w:rsidRPr="003649E7">
        <w:rPr>
          <w:vertAlign w:val="superscript"/>
        </w:rPr>
        <w:footnoteReference w:id="3"/>
      </w:r>
      <w:r w:rsidR="00CA5708" w:rsidRPr="00B07B55">
        <w:rPr>
          <w:lang w:val="en-GB"/>
        </w:rPr>
        <w:t xml:space="preserve"> Specifically, this</w:t>
      </w:r>
      <w:r w:rsidRPr="00B07B55">
        <w:rPr>
          <w:lang w:val="en-GB"/>
        </w:rPr>
        <w:t xml:space="preserve"> </w:t>
      </w:r>
      <w:r w:rsidR="006A5795">
        <w:rPr>
          <w:lang w:val="en-GB"/>
        </w:rPr>
        <w:t>dataset</w:t>
      </w:r>
      <w:r w:rsidRPr="00B07B55">
        <w:rPr>
          <w:lang w:val="en-GB"/>
        </w:rPr>
        <w:t xml:space="preserve"> ha</w:t>
      </w:r>
      <w:r w:rsidR="00CA5708" w:rsidRPr="00B07B55">
        <w:rPr>
          <w:lang w:val="en-GB"/>
        </w:rPr>
        <w:t>s</w:t>
      </w:r>
      <w:r w:rsidRPr="00B07B55">
        <w:rPr>
          <w:lang w:val="en-GB"/>
        </w:rPr>
        <w:t xml:space="preserve"> been used to construct participation rates by age group and gender</w:t>
      </w:r>
      <w:r w:rsidR="003649E7">
        <w:rPr>
          <w:lang w:val="en-GB"/>
        </w:rPr>
        <w:t>,</w:t>
      </w:r>
      <w:r w:rsidRPr="00B07B55">
        <w:rPr>
          <w:lang w:val="en-GB"/>
        </w:rPr>
        <w:t xml:space="preserve"> broken down by the type of institution attended, mode of attendance (on</w:t>
      </w:r>
      <w:r w:rsidR="008F2383">
        <w:rPr>
          <w:lang w:val="en-GB"/>
        </w:rPr>
        <w:t>-</w:t>
      </w:r>
      <w:r w:rsidRPr="00B07B55">
        <w:rPr>
          <w:lang w:val="en-GB"/>
        </w:rPr>
        <w:t>campus versus correspondence or distance), full-time versus part-time enrolment, whether the individual is an apprentice or trainee</w:t>
      </w:r>
      <w:r w:rsidR="00503F9E" w:rsidRPr="00B07B55">
        <w:rPr>
          <w:lang w:val="en-GB"/>
        </w:rPr>
        <w:t xml:space="preserve"> and</w:t>
      </w:r>
      <w:r w:rsidRPr="00B07B55">
        <w:rPr>
          <w:lang w:val="en-GB"/>
        </w:rPr>
        <w:t xml:space="preserve"> </w:t>
      </w:r>
      <w:r w:rsidR="003649E7">
        <w:rPr>
          <w:lang w:val="en-GB"/>
        </w:rPr>
        <w:t xml:space="preserve">the </w:t>
      </w:r>
      <w:r w:rsidRPr="00B07B55">
        <w:rPr>
          <w:lang w:val="en-GB"/>
        </w:rPr>
        <w:t>le</w:t>
      </w:r>
      <w:r w:rsidR="00540936" w:rsidRPr="00B07B55">
        <w:rPr>
          <w:lang w:val="en-GB"/>
        </w:rPr>
        <w:t xml:space="preserve">vel of study. </w:t>
      </w:r>
      <w:r w:rsidRPr="00B07B55">
        <w:rPr>
          <w:lang w:val="en-GB"/>
        </w:rPr>
        <w:t xml:space="preserve">Participation rates for current enrolment status (at the time of interview) are provided in tables 3 and 4 for males and females respectively. </w:t>
      </w:r>
      <w:r w:rsidR="00EF16C1" w:rsidRPr="00B07B55">
        <w:rPr>
          <w:lang w:val="en-GB"/>
        </w:rPr>
        <w:t>We focus</w:t>
      </w:r>
      <w:r w:rsidRPr="00B07B55">
        <w:rPr>
          <w:lang w:val="en-GB"/>
        </w:rPr>
        <w:t xml:space="preserve"> specifically </w:t>
      </w:r>
      <w:r w:rsidR="00EF16C1" w:rsidRPr="00B07B55">
        <w:rPr>
          <w:lang w:val="en-GB"/>
        </w:rPr>
        <w:t xml:space="preserve">on individual responses </w:t>
      </w:r>
      <w:r w:rsidR="00EB5247">
        <w:rPr>
          <w:lang w:val="en-GB"/>
        </w:rPr>
        <w:t>on</w:t>
      </w:r>
      <w:r w:rsidRPr="00B07B55">
        <w:rPr>
          <w:lang w:val="en-GB"/>
        </w:rPr>
        <w:t xml:space="preserve"> current enrolment in study for a formal qualification at an education institution or organisation. </w:t>
      </w:r>
      <w:r w:rsidR="00CA24D9" w:rsidRPr="00B07B55">
        <w:rPr>
          <w:lang w:val="en-GB"/>
        </w:rPr>
        <w:t>As noted above, w</w:t>
      </w:r>
      <w:r w:rsidR="00EF16C1" w:rsidRPr="00B07B55">
        <w:rPr>
          <w:lang w:val="en-GB"/>
        </w:rPr>
        <w:t>e do not investigate</w:t>
      </w:r>
      <w:r w:rsidRPr="00B07B55">
        <w:rPr>
          <w:lang w:val="en-GB"/>
        </w:rPr>
        <w:t xml:space="preserve"> less formal education and training, such as training in the workplace</w:t>
      </w:r>
      <w:r w:rsidR="008F2383">
        <w:rPr>
          <w:lang w:val="en-GB"/>
        </w:rPr>
        <w:t>,</w:t>
      </w:r>
      <w:r w:rsidRPr="00B07B55">
        <w:rPr>
          <w:lang w:val="en-GB"/>
        </w:rPr>
        <w:t xml:space="preserve"> that does not lead to any formal qualification. </w:t>
      </w:r>
    </w:p>
    <w:p w:rsidR="006027F2" w:rsidRPr="00B07B55" w:rsidRDefault="006027F2" w:rsidP="00495869">
      <w:pPr>
        <w:pStyle w:val="Text"/>
        <w:ind w:right="0"/>
        <w:rPr>
          <w:lang w:val="en-GB"/>
        </w:rPr>
      </w:pPr>
      <w:r w:rsidRPr="00B07B55">
        <w:rPr>
          <w:lang w:val="en-GB"/>
        </w:rPr>
        <w:t xml:space="preserve">Note the change over age groups in the level of study. Older individuals enrolled in education are more likely to be in VET, particularly at the </w:t>
      </w:r>
      <w:r>
        <w:rPr>
          <w:lang w:val="en-GB"/>
        </w:rPr>
        <w:t>c</w:t>
      </w:r>
      <w:r w:rsidRPr="00B07B55">
        <w:rPr>
          <w:lang w:val="en-GB"/>
        </w:rPr>
        <w:t>ertificate III/IV level. The proportion studying full-time falls over age groups, while the proportion studying by correspondence or distance education is highest among the middle two age groups (those aged 35 to 54 years).</w:t>
      </w:r>
    </w:p>
    <w:p w:rsidR="00051566" w:rsidRDefault="00051566">
      <w:pPr>
        <w:spacing w:before="0" w:line="240" w:lineRule="auto"/>
        <w:rPr>
          <w:rFonts w:ascii="Tahoma" w:hAnsi="Tahoma"/>
          <w:b/>
          <w:sz w:val="17"/>
          <w:lang w:val="en-GB"/>
        </w:rPr>
      </w:pPr>
      <w:bookmarkStart w:id="42" w:name="_Toc311576115"/>
      <w:r>
        <w:rPr>
          <w:lang w:val="en-GB"/>
        </w:rPr>
        <w:br w:type="page"/>
      </w:r>
    </w:p>
    <w:p w:rsidR="00D13772" w:rsidRPr="00B07B55" w:rsidRDefault="00D13772" w:rsidP="00D13772">
      <w:pPr>
        <w:pStyle w:val="tabletitle"/>
        <w:rPr>
          <w:lang w:val="en-GB"/>
        </w:rPr>
      </w:pPr>
      <w:bookmarkStart w:id="43" w:name="_Toc334021170"/>
      <w:r w:rsidRPr="00B07B55">
        <w:rPr>
          <w:lang w:val="en-GB"/>
        </w:rPr>
        <w:t>Table 3</w:t>
      </w:r>
      <w:r w:rsidRPr="00B07B55">
        <w:rPr>
          <w:lang w:val="en-GB"/>
        </w:rPr>
        <w:tab/>
        <w:t>Current enrolment rates in formal education and training, males</w:t>
      </w:r>
      <w:r w:rsidR="00CF580B" w:rsidRPr="00B07B55">
        <w:rPr>
          <w:lang w:val="en-GB"/>
        </w:rPr>
        <w:t>,</w:t>
      </w:r>
      <w:r w:rsidRPr="00B07B55">
        <w:rPr>
          <w:lang w:val="en-GB"/>
        </w:rPr>
        <w:t xml:space="preserve"> 2009 SET</w:t>
      </w:r>
      <w:r w:rsidR="00CF580B" w:rsidRPr="00B07B55">
        <w:rPr>
          <w:lang w:val="en-GB"/>
        </w:rPr>
        <w:t>, %</w:t>
      </w:r>
      <w:bookmarkEnd w:id="42"/>
      <w:bookmarkEnd w:id="43"/>
      <w:r w:rsidRPr="00B07B55">
        <w:rPr>
          <w:lang w:val="en-GB"/>
        </w:rPr>
        <w:t xml:space="preserve"> </w:t>
      </w:r>
    </w:p>
    <w:tbl>
      <w:tblPr>
        <w:tblW w:w="8789" w:type="dxa"/>
        <w:tblInd w:w="108" w:type="dxa"/>
        <w:tblBorders>
          <w:top w:val="single" w:sz="4" w:space="0" w:color="auto"/>
          <w:bottom w:val="single" w:sz="4" w:space="0" w:color="auto"/>
        </w:tblBorders>
        <w:tblLayout w:type="fixed"/>
        <w:tblLook w:val="0000"/>
      </w:tblPr>
      <w:tblGrid>
        <w:gridCol w:w="3656"/>
        <w:gridCol w:w="1283"/>
        <w:gridCol w:w="1283"/>
        <w:gridCol w:w="1283"/>
        <w:gridCol w:w="1284"/>
      </w:tblGrid>
      <w:tr w:rsidR="00D12D39" w:rsidRPr="00B07B55" w:rsidTr="0098089C">
        <w:trPr>
          <w:cantSplit/>
        </w:trPr>
        <w:tc>
          <w:tcPr>
            <w:tcW w:w="3656" w:type="dxa"/>
            <w:tcBorders>
              <w:top w:val="single" w:sz="4" w:space="0" w:color="auto"/>
              <w:bottom w:val="single" w:sz="4" w:space="0" w:color="auto"/>
              <w:right w:val="nil"/>
            </w:tcBorders>
          </w:tcPr>
          <w:p w:rsidR="000B477A" w:rsidRPr="00B07B55" w:rsidRDefault="00AA6C79" w:rsidP="0098089C">
            <w:pPr>
              <w:pStyle w:val="Tablehead1"/>
              <w:rPr>
                <w:lang w:val="en-GB"/>
              </w:rPr>
            </w:pPr>
            <w:r w:rsidRPr="00B07B55">
              <w:rPr>
                <w:lang w:val="en-GB"/>
              </w:rPr>
              <w:t>Age group</w:t>
            </w:r>
          </w:p>
        </w:tc>
        <w:tc>
          <w:tcPr>
            <w:tcW w:w="1283" w:type="dxa"/>
            <w:tcBorders>
              <w:top w:val="single" w:sz="4" w:space="0" w:color="auto"/>
              <w:left w:val="nil"/>
              <w:bottom w:val="single" w:sz="4" w:space="0" w:color="auto"/>
              <w:right w:val="nil"/>
            </w:tcBorders>
          </w:tcPr>
          <w:p w:rsidR="00D12D39" w:rsidRPr="00B07B55" w:rsidRDefault="003649E7" w:rsidP="0098089C">
            <w:pPr>
              <w:pStyle w:val="Tablehead1"/>
              <w:jc w:val="center"/>
              <w:rPr>
                <w:rFonts w:cs="Arial"/>
                <w:color w:val="000000"/>
                <w:lang w:val="en-GB"/>
              </w:rPr>
            </w:pPr>
            <w:r>
              <w:rPr>
                <w:rFonts w:cs="Arial"/>
                <w:color w:val="000000"/>
                <w:lang w:val="en-GB"/>
              </w:rPr>
              <w:t>25–</w:t>
            </w:r>
            <w:r w:rsidR="00D12D39" w:rsidRPr="00B07B55">
              <w:rPr>
                <w:rFonts w:cs="Arial"/>
                <w:color w:val="000000"/>
                <w:lang w:val="en-GB"/>
              </w:rPr>
              <w:t>34</w:t>
            </w:r>
          </w:p>
        </w:tc>
        <w:tc>
          <w:tcPr>
            <w:tcW w:w="1283" w:type="dxa"/>
            <w:tcBorders>
              <w:top w:val="single" w:sz="4" w:space="0" w:color="auto"/>
              <w:left w:val="nil"/>
              <w:bottom w:val="single" w:sz="4" w:space="0" w:color="auto"/>
              <w:right w:val="nil"/>
            </w:tcBorders>
          </w:tcPr>
          <w:p w:rsidR="00D12D39" w:rsidRPr="00B07B55" w:rsidRDefault="003649E7" w:rsidP="0098089C">
            <w:pPr>
              <w:pStyle w:val="Tablehead1"/>
              <w:jc w:val="center"/>
              <w:rPr>
                <w:rFonts w:cs="Arial"/>
                <w:color w:val="000000"/>
                <w:lang w:val="en-GB"/>
              </w:rPr>
            </w:pPr>
            <w:r>
              <w:rPr>
                <w:rFonts w:cs="Arial"/>
                <w:color w:val="000000"/>
                <w:lang w:val="en-GB"/>
              </w:rPr>
              <w:t>35–</w:t>
            </w:r>
            <w:r w:rsidR="00D12D39" w:rsidRPr="00B07B55">
              <w:rPr>
                <w:rFonts w:cs="Arial"/>
                <w:color w:val="000000"/>
                <w:lang w:val="en-GB"/>
              </w:rPr>
              <w:t>44</w:t>
            </w:r>
          </w:p>
        </w:tc>
        <w:tc>
          <w:tcPr>
            <w:tcW w:w="1283" w:type="dxa"/>
            <w:tcBorders>
              <w:top w:val="single" w:sz="4" w:space="0" w:color="auto"/>
              <w:left w:val="nil"/>
              <w:bottom w:val="single" w:sz="4" w:space="0" w:color="auto"/>
              <w:right w:val="nil"/>
            </w:tcBorders>
          </w:tcPr>
          <w:p w:rsidR="00D12D39" w:rsidRPr="00B07B55" w:rsidRDefault="003649E7" w:rsidP="0098089C">
            <w:pPr>
              <w:pStyle w:val="Tablehead1"/>
              <w:jc w:val="center"/>
              <w:rPr>
                <w:rFonts w:cs="Arial"/>
                <w:color w:val="000000"/>
                <w:lang w:val="en-GB"/>
              </w:rPr>
            </w:pPr>
            <w:r>
              <w:rPr>
                <w:rFonts w:cs="Arial"/>
                <w:color w:val="000000"/>
                <w:lang w:val="en-GB"/>
              </w:rPr>
              <w:t>45–</w:t>
            </w:r>
            <w:r w:rsidR="00D12D39" w:rsidRPr="00B07B55">
              <w:rPr>
                <w:rFonts w:cs="Arial"/>
                <w:color w:val="000000"/>
                <w:lang w:val="en-GB"/>
              </w:rPr>
              <w:t>54</w:t>
            </w:r>
          </w:p>
        </w:tc>
        <w:tc>
          <w:tcPr>
            <w:tcW w:w="1284" w:type="dxa"/>
            <w:tcBorders>
              <w:top w:val="single" w:sz="4" w:space="0" w:color="auto"/>
              <w:left w:val="nil"/>
              <w:bottom w:val="single" w:sz="4" w:space="0" w:color="auto"/>
            </w:tcBorders>
          </w:tcPr>
          <w:p w:rsidR="00D12D39" w:rsidRPr="00B07B55" w:rsidRDefault="003649E7" w:rsidP="0098089C">
            <w:pPr>
              <w:pStyle w:val="Tablehead1"/>
              <w:jc w:val="center"/>
              <w:rPr>
                <w:rFonts w:cs="Arial"/>
                <w:color w:val="000000"/>
                <w:lang w:val="en-GB"/>
              </w:rPr>
            </w:pPr>
            <w:r>
              <w:rPr>
                <w:rFonts w:cs="Arial"/>
                <w:color w:val="000000"/>
                <w:lang w:val="en-GB"/>
              </w:rPr>
              <w:t>55–</w:t>
            </w:r>
            <w:r w:rsidR="00D12D39" w:rsidRPr="00B07B55">
              <w:rPr>
                <w:rFonts w:cs="Arial"/>
                <w:color w:val="000000"/>
                <w:lang w:val="en-GB"/>
              </w:rPr>
              <w:t>64</w:t>
            </w:r>
          </w:p>
        </w:tc>
      </w:tr>
      <w:tr w:rsidR="00D12D39" w:rsidRPr="0098089C" w:rsidTr="0098089C">
        <w:trPr>
          <w:cantSplit/>
        </w:trPr>
        <w:tc>
          <w:tcPr>
            <w:tcW w:w="3656" w:type="dxa"/>
            <w:tcBorders>
              <w:top w:val="single" w:sz="4" w:space="0" w:color="auto"/>
              <w:bottom w:val="nil"/>
              <w:right w:val="nil"/>
            </w:tcBorders>
          </w:tcPr>
          <w:p w:rsidR="00D12D39" w:rsidRPr="0098089C" w:rsidRDefault="00CF580B" w:rsidP="0098089C">
            <w:pPr>
              <w:pStyle w:val="Tabletext"/>
              <w:spacing w:before="120"/>
              <w:rPr>
                <w:b/>
                <w:lang w:val="en-GB"/>
              </w:rPr>
            </w:pPr>
            <w:r w:rsidRPr="0098089C">
              <w:rPr>
                <w:b/>
                <w:lang w:val="en-GB"/>
              </w:rPr>
              <w:t>Total</w:t>
            </w:r>
          </w:p>
        </w:tc>
        <w:tc>
          <w:tcPr>
            <w:tcW w:w="1283" w:type="dxa"/>
            <w:tcBorders>
              <w:top w:val="single" w:sz="4" w:space="0" w:color="auto"/>
              <w:left w:val="nil"/>
              <w:bottom w:val="nil"/>
              <w:right w:val="nil"/>
            </w:tcBorders>
          </w:tcPr>
          <w:p w:rsidR="00D12D39" w:rsidRPr="0098089C" w:rsidRDefault="00D12D39" w:rsidP="0098089C">
            <w:pPr>
              <w:pStyle w:val="Tabletext"/>
              <w:tabs>
                <w:tab w:val="decimal" w:pos="482"/>
              </w:tabs>
              <w:spacing w:before="120"/>
              <w:rPr>
                <w:b/>
                <w:lang w:val="en-GB"/>
              </w:rPr>
            </w:pPr>
            <w:r w:rsidRPr="0098089C">
              <w:rPr>
                <w:b/>
                <w:lang w:val="en-GB"/>
              </w:rPr>
              <w:t>14.66</w:t>
            </w:r>
          </w:p>
        </w:tc>
        <w:tc>
          <w:tcPr>
            <w:tcW w:w="1283" w:type="dxa"/>
            <w:tcBorders>
              <w:top w:val="single" w:sz="4" w:space="0" w:color="auto"/>
              <w:left w:val="nil"/>
              <w:bottom w:val="nil"/>
              <w:right w:val="nil"/>
            </w:tcBorders>
          </w:tcPr>
          <w:p w:rsidR="00D12D39" w:rsidRPr="0098089C" w:rsidRDefault="00D12D39" w:rsidP="0098089C">
            <w:pPr>
              <w:pStyle w:val="Tabletext"/>
              <w:tabs>
                <w:tab w:val="decimal" w:pos="482"/>
              </w:tabs>
              <w:spacing w:before="120"/>
              <w:rPr>
                <w:b/>
                <w:lang w:val="en-GB"/>
              </w:rPr>
            </w:pPr>
            <w:r w:rsidRPr="0098089C">
              <w:rPr>
                <w:b/>
                <w:lang w:val="en-GB"/>
              </w:rPr>
              <w:t>8.46</w:t>
            </w:r>
          </w:p>
        </w:tc>
        <w:tc>
          <w:tcPr>
            <w:tcW w:w="1283" w:type="dxa"/>
            <w:tcBorders>
              <w:top w:val="single" w:sz="4" w:space="0" w:color="auto"/>
              <w:left w:val="nil"/>
              <w:bottom w:val="nil"/>
              <w:right w:val="nil"/>
            </w:tcBorders>
          </w:tcPr>
          <w:p w:rsidR="00D12D39" w:rsidRPr="0098089C" w:rsidRDefault="00D12D39" w:rsidP="0098089C">
            <w:pPr>
              <w:pStyle w:val="Tabletext"/>
              <w:tabs>
                <w:tab w:val="decimal" w:pos="482"/>
              </w:tabs>
              <w:spacing w:before="120"/>
              <w:rPr>
                <w:b/>
                <w:lang w:val="en-GB"/>
              </w:rPr>
            </w:pPr>
            <w:r w:rsidRPr="0098089C">
              <w:rPr>
                <w:b/>
                <w:lang w:val="en-GB"/>
              </w:rPr>
              <w:t>5.50</w:t>
            </w:r>
          </w:p>
        </w:tc>
        <w:tc>
          <w:tcPr>
            <w:tcW w:w="1284" w:type="dxa"/>
            <w:tcBorders>
              <w:top w:val="single" w:sz="4" w:space="0" w:color="auto"/>
              <w:left w:val="nil"/>
              <w:bottom w:val="nil"/>
            </w:tcBorders>
          </w:tcPr>
          <w:p w:rsidR="00D12D39" w:rsidRPr="0098089C" w:rsidRDefault="00D12D39" w:rsidP="0098089C">
            <w:pPr>
              <w:pStyle w:val="Tabletext"/>
              <w:tabs>
                <w:tab w:val="decimal" w:pos="482"/>
              </w:tabs>
              <w:spacing w:before="120"/>
              <w:rPr>
                <w:b/>
                <w:lang w:val="en-GB"/>
              </w:rPr>
            </w:pPr>
            <w:r w:rsidRPr="0098089C">
              <w:rPr>
                <w:b/>
                <w:lang w:val="en-GB"/>
              </w:rPr>
              <w:t>2.47</w:t>
            </w:r>
          </w:p>
        </w:tc>
      </w:tr>
      <w:tr w:rsidR="00D12D39" w:rsidRPr="00B07B55" w:rsidTr="0098089C">
        <w:trPr>
          <w:cantSplit/>
        </w:trPr>
        <w:tc>
          <w:tcPr>
            <w:tcW w:w="3656" w:type="dxa"/>
            <w:tcBorders>
              <w:top w:val="nil"/>
              <w:bottom w:val="nil"/>
              <w:right w:val="nil"/>
            </w:tcBorders>
          </w:tcPr>
          <w:p w:rsidR="00D12D39" w:rsidRPr="008F2383" w:rsidRDefault="00D12D39" w:rsidP="0098089C">
            <w:pPr>
              <w:pStyle w:val="Tabletext"/>
              <w:spacing w:before="120"/>
              <w:rPr>
                <w:lang w:val="en-GB"/>
              </w:rPr>
            </w:pPr>
            <w:r w:rsidRPr="008F2383">
              <w:rPr>
                <w:lang w:val="en-GB"/>
              </w:rPr>
              <w:t>Level</w:t>
            </w:r>
          </w:p>
        </w:tc>
        <w:tc>
          <w:tcPr>
            <w:tcW w:w="1283" w:type="dxa"/>
            <w:tcBorders>
              <w:top w:val="nil"/>
              <w:left w:val="nil"/>
              <w:bottom w:val="nil"/>
              <w:right w:val="nil"/>
            </w:tcBorders>
          </w:tcPr>
          <w:p w:rsidR="00D12D39" w:rsidRPr="00B07B55" w:rsidRDefault="00D12D39" w:rsidP="0098089C">
            <w:pPr>
              <w:pStyle w:val="Tabletext"/>
              <w:tabs>
                <w:tab w:val="decimal" w:pos="482"/>
              </w:tabs>
              <w:spacing w:before="120"/>
              <w:rPr>
                <w:lang w:val="en-GB"/>
              </w:rPr>
            </w:pPr>
          </w:p>
        </w:tc>
        <w:tc>
          <w:tcPr>
            <w:tcW w:w="1283" w:type="dxa"/>
            <w:tcBorders>
              <w:top w:val="nil"/>
              <w:left w:val="nil"/>
              <w:bottom w:val="nil"/>
              <w:right w:val="nil"/>
            </w:tcBorders>
          </w:tcPr>
          <w:p w:rsidR="00D12D39" w:rsidRPr="00B07B55" w:rsidRDefault="00D12D39" w:rsidP="0098089C">
            <w:pPr>
              <w:pStyle w:val="Tabletext"/>
              <w:tabs>
                <w:tab w:val="decimal" w:pos="482"/>
              </w:tabs>
              <w:spacing w:before="120"/>
              <w:rPr>
                <w:lang w:val="en-GB"/>
              </w:rPr>
            </w:pPr>
          </w:p>
        </w:tc>
        <w:tc>
          <w:tcPr>
            <w:tcW w:w="1283" w:type="dxa"/>
            <w:tcBorders>
              <w:top w:val="nil"/>
              <w:left w:val="nil"/>
              <w:bottom w:val="nil"/>
              <w:right w:val="nil"/>
            </w:tcBorders>
          </w:tcPr>
          <w:p w:rsidR="00D12D39" w:rsidRPr="00B07B55" w:rsidRDefault="00D12D39" w:rsidP="0098089C">
            <w:pPr>
              <w:pStyle w:val="Tabletext"/>
              <w:tabs>
                <w:tab w:val="decimal" w:pos="482"/>
              </w:tabs>
              <w:spacing w:before="120"/>
              <w:rPr>
                <w:lang w:val="en-GB"/>
              </w:rPr>
            </w:pPr>
          </w:p>
        </w:tc>
        <w:tc>
          <w:tcPr>
            <w:tcW w:w="1284" w:type="dxa"/>
            <w:tcBorders>
              <w:top w:val="nil"/>
              <w:left w:val="nil"/>
              <w:bottom w:val="nil"/>
            </w:tcBorders>
          </w:tcPr>
          <w:p w:rsidR="00D12D39" w:rsidRPr="00B07B55" w:rsidRDefault="00D12D39" w:rsidP="0098089C">
            <w:pPr>
              <w:pStyle w:val="Tabletext"/>
              <w:tabs>
                <w:tab w:val="decimal" w:pos="482"/>
              </w:tabs>
              <w:spacing w:before="120"/>
              <w:rPr>
                <w:lang w:val="en-GB"/>
              </w:rPr>
            </w:pPr>
          </w:p>
        </w:tc>
      </w:tr>
      <w:tr w:rsidR="00D12D39" w:rsidRPr="00B07B55" w:rsidTr="0098089C">
        <w:trPr>
          <w:cantSplit/>
        </w:trPr>
        <w:tc>
          <w:tcPr>
            <w:tcW w:w="3656" w:type="dxa"/>
            <w:tcBorders>
              <w:top w:val="nil"/>
              <w:bottom w:val="nil"/>
              <w:right w:val="nil"/>
            </w:tcBorders>
          </w:tcPr>
          <w:p w:rsidR="00D12D39" w:rsidRPr="00B07B55" w:rsidRDefault="00BD7661" w:rsidP="0098089C">
            <w:pPr>
              <w:pStyle w:val="Tabletext"/>
              <w:ind w:left="227"/>
              <w:rPr>
                <w:lang w:val="en-GB"/>
              </w:rPr>
            </w:pPr>
            <w:r>
              <w:rPr>
                <w:lang w:val="en-GB"/>
              </w:rPr>
              <w:t>Post</w:t>
            </w:r>
            <w:r w:rsidR="00D12D39" w:rsidRPr="00B07B55">
              <w:rPr>
                <w:lang w:val="en-GB"/>
              </w:rPr>
              <w:t>graduate degree, cert., diploma</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2.48</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1.96</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1.26</w:t>
            </w:r>
          </w:p>
        </w:tc>
        <w:tc>
          <w:tcPr>
            <w:tcW w:w="1284" w:type="dxa"/>
            <w:tcBorders>
              <w:top w:val="nil"/>
              <w:left w:val="nil"/>
              <w:bottom w:val="nil"/>
            </w:tcBorders>
          </w:tcPr>
          <w:p w:rsidR="00D12D39" w:rsidRPr="00B07B55" w:rsidRDefault="00D12D39" w:rsidP="0098089C">
            <w:pPr>
              <w:pStyle w:val="Tabletext"/>
              <w:tabs>
                <w:tab w:val="decimal" w:pos="482"/>
              </w:tabs>
              <w:rPr>
                <w:lang w:val="en-GB"/>
              </w:rPr>
            </w:pPr>
            <w:r w:rsidRPr="00B07B55">
              <w:rPr>
                <w:lang w:val="en-GB"/>
              </w:rPr>
              <w:t>0.30</w:t>
            </w:r>
          </w:p>
        </w:tc>
      </w:tr>
      <w:tr w:rsidR="00D12D39" w:rsidRPr="00B07B55" w:rsidTr="0098089C">
        <w:trPr>
          <w:cantSplit/>
        </w:trPr>
        <w:tc>
          <w:tcPr>
            <w:tcW w:w="3656" w:type="dxa"/>
            <w:tcBorders>
              <w:top w:val="nil"/>
              <w:bottom w:val="nil"/>
              <w:right w:val="nil"/>
            </w:tcBorders>
          </w:tcPr>
          <w:p w:rsidR="00D12D39" w:rsidRPr="00B07B55" w:rsidRDefault="00D12D39" w:rsidP="0098089C">
            <w:pPr>
              <w:pStyle w:val="Tabletext"/>
              <w:ind w:left="227"/>
              <w:rPr>
                <w:lang w:val="en-GB"/>
              </w:rPr>
            </w:pPr>
            <w:r w:rsidRPr="00B07B55">
              <w:rPr>
                <w:lang w:val="en-GB"/>
              </w:rPr>
              <w:t>Bachelor degree</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3.96</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1.05</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0.75</w:t>
            </w:r>
          </w:p>
        </w:tc>
        <w:tc>
          <w:tcPr>
            <w:tcW w:w="1284" w:type="dxa"/>
            <w:tcBorders>
              <w:top w:val="nil"/>
              <w:left w:val="nil"/>
              <w:bottom w:val="nil"/>
            </w:tcBorders>
          </w:tcPr>
          <w:p w:rsidR="00D12D39" w:rsidRPr="00B07B55" w:rsidRDefault="00D12D39" w:rsidP="0098089C">
            <w:pPr>
              <w:pStyle w:val="Tabletext"/>
              <w:tabs>
                <w:tab w:val="decimal" w:pos="482"/>
              </w:tabs>
              <w:rPr>
                <w:lang w:val="en-GB"/>
              </w:rPr>
            </w:pPr>
            <w:r w:rsidRPr="00B07B55">
              <w:rPr>
                <w:lang w:val="en-GB"/>
              </w:rPr>
              <w:t>0.23</w:t>
            </w:r>
          </w:p>
        </w:tc>
      </w:tr>
      <w:tr w:rsidR="00D12D39" w:rsidRPr="00B07B55" w:rsidTr="0098089C">
        <w:trPr>
          <w:cantSplit/>
        </w:trPr>
        <w:tc>
          <w:tcPr>
            <w:tcW w:w="3656" w:type="dxa"/>
            <w:tcBorders>
              <w:top w:val="nil"/>
              <w:bottom w:val="nil"/>
              <w:right w:val="nil"/>
            </w:tcBorders>
          </w:tcPr>
          <w:p w:rsidR="00D12D39" w:rsidRPr="00B07B55" w:rsidRDefault="00D12D39" w:rsidP="0098089C">
            <w:pPr>
              <w:pStyle w:val="Tabletext"/>
              <w:ind w:left="227"/>
              <w:rPr>
                <w:lang w:val="en-GB"/>
              </w:rPr>
            </w:pPr>
            <w:r w:rsidRPr="00B07B55">
              <w:rPr>
                <w:lang w:val="en-GB"/>
              </w:rPr>
              <w:t>Advanced diploma or diploma</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1.92</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1.01</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0.84</w:t>
            </w:r>
          </w:p>
        </w:tc>
        <w:tc>
          <w:tcPr>
            <w:tcW w:w="1284" w:type="dxa"/>
            <w:tcBorders>
              <w:top w:val="nil"/>
              <w:left w:val="nil"/>
              <w:bottom w:val="nil"/>
            </w:tcBorders>
          </w:tcPr>
          <w:p w:rsidR="00D12D39" w:rsidRPr="00B07B55" w:rsidRDefault="00D12D39" w:rsidP="0098089C">
            <w:pPr>
              <w:pStyle w:val="Tabletext"/>
              <w:tabs>
                <w:tab w:val="decimal" w:pos="482"/>
              </w:tabs>
              <w:rPr>
                <w:lang w:val="en-GB"/>
              </w:rPr>
            </w:pPr>
            <w:r w:rsidRPr="00B07B55">
              <w:rPr>
                <w:lang w:val="en-GB"/>
              </w:rPr>
              <w:t>0.42</w:t>
            </w:r>
          </w:p>
        </w:tc>
      </w:tr>
      <w:tr w:rsidR="00D12D39" w:rsidRPr="00B07B55" w:rsidTr="0098089C">
        <w:trPr>
          <w:cantSplit/>
        </w:trPr>
        <w:tc>
          <w:tcPr>
            <w:tcW w:w="3656" w:type="dxa"/>
            <w:tcBorders>
              <w:top w:val="nil"/>
              <w:bottom w:val="nil"/>
              <w:right w:val="nil"/>
            </w:tcBorders>
          </w:tcPr>
          <w:p w:rsidR="00D12D39" w:rsidRPr="00B07B55" w:rsidRDefault="00D12D39" w:rsidP="0098089C">
            <w:pPr>
              <w:pStyle w:val="Tabletext"/>
              <w:ind w:left="227"/>
              <w:rPr>
                <w:lang w:val="en-GB"/>
              </w:rPr>
            </w:pPr>
            <w:r w:rsidRPr="00B07B55">
              <w:rPr>
                <w:lang w:val="en-GB"/>
              </w:rPr>
              <w:t>Certificate III/IV</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4.30</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3.19</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2.06</w:t>
            </w:r>
          </w:p>
        </w:tc>
        <w:tc>
          <w:tcPr>
            <w:tcW w:w="1284" w:type="dxa"/>
            <w:tcBorders>
              <w:top w:val="nil"/>
              <w:left w:val="nil"/>
              <w:bottom w:val="nil"/>
            </w:tcBorders>
          </w:tcPr>
          <w:p w:rsidR="00D12D39" w:rsidRPr="00B07B55" w:rsidRDefault="00D12D39" w:rsidP="0098089C">
            <w:pPr>
              <w:pStyle w:val="Tabletext"/>
              <w:tabs>
                <w:tab w:val="decimal" w:pos="482"/>
              </w:tabs>
              <w:rPr>
                <w:lang w:val="en-GB"/>
              </w:rPr>
            </w:pPr>
            <w:r w:rsidRPr="00B07B55">
              <w:rPr>
                <w:lang w:val="en-GB"/>
              </w:rPr>
              <w:t>0.68</w:t>
            </w:r>
          </w:p>
        </w:tc>
      </w:tr>
      <w:tr w:rsidR="00D12D39" w:rsidRPr="00B07B55" w:rsidTr="0098089C">
        <w:trPr>
          <w:cantSplit/>
        </w:trPr>
        <w:tc>
          <w:tcPr>
            <w:tcW w:w="3656" w:type="dxa"/>
            <w:tcBorders>
              <w:top w:val="nil"/>
              <w:bottom w:val="nil"/>
              <w:right w:val="nil"/>
            </w:tcBorders>
          </w:tcPr>
          <w:p w:rsidR="00D12D39" w:rsidRPr="00B07B55" w:rsidRDefault="00D12D39" w:rsidP="0098089C">
            <w:pPr>
              <w:pStyle w:val="Tabletext"/>
              <w:ind w:left="227"/>
              <w:rPr>
                <w:lang w:val="en-GB"/>
              </w:rPr>
            </w:pPr>
            <w:r w:rsidRPr="00B07B55">
              <w:rPr>
                <w:lang w:val="en-GB"/>
              </w:rPr>
              <w:t>Certificate I/II</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0.80</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0.15</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0.16</w:t>
            </w:r>
          </w:p>
        </w:tc>
        <w:tc>
          <w:tcPr>
            <w:tcW w:w="1284" w:type="dxa"/>
            <w:tcBorders>
              <w:top w:val="nil"/>
              <w:left w:val="nil"/>
              <w:bottom w:val="nil"/>
            </w:tcBorders>
          </w:tcPr>
          <w:p w:rsidR="00D12D39" w:rsidRPr="00B07B55" w:rsidRDefault="00D12D39" w:rsidP="0098089C">
            <w:pPr>
              <w:pStyle w:val="Tabletext"/>
              <w:tabs>
                <w:tab w:val="decimal" w:pos="482"/>
              </w:tabs>
              <w:rPr>
                <w:lang w:val="en-GB"/>
              </w:rPr>
            </w:pPr>
            <w:r w:rsidRPr="00B07B55">
              <w:rPr>
                <w:lang w:val="en-GB"/>
              </w:rPr>
              <w:t>0.22</w:t>
            </w:r>
          </w:p>
        </w:tc>
      </w:tr>
      <w:tr w:rsidR="00D12D39" w:rsidRPr="00B07B55" w:rsidTr="0098089C">
        <w:trPr>
          <w:cantSplit/>
        </w:trPr>
        <w:tc>
          <w:tcPr>
            <w:tcW w:w="3656" w:type="dxa"/>
            <w:tcBorders>
              <w:top w:val="nil"/>
              <w:bottom w:val="nil"/>
              <w:right w:val="nil"/>
            </w:tcBorders>
          </w:tcPr>
          <w:p w:rsidR="00D12D39" w:rsidRPr="00B07B55" w:rsidRDefault="00D12D39" w:rsidP="0098089C">
            <w:pPr>
              <w:pStyle w:val="Tabletext"/>
              <w:ind w:left="227"/>
              <w:rPr>
                <w:lang w:val="en-GB"/>
              </w:rPr>
            </w:pPr>
            <w:r w:rsidRPr="00B07B55">
              <w:rPr>
                <w:lang w:val="en-GB"/>
              </w:rPr>
              <w:t>Certificate not further defined</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0.61</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0.55</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0.07</w:t>
            </w:r>
          </w:p>
        </w:tc>
        <w:tc>
          <w:tcPr>
            <w:tcW w:w="1284" w:type="dxa"/>
            <w:tcBorders>
              <w:top w:val="nil"/>
              <w:left w:val="nil"/>
              <w:bottom w:val="nil"/>
            </w:tcBorders>
          </w:tcPr>
          <w:p w:rsidR="00D12D39" w:rsidRPr="00B07B55" w:rsidRDefault="00D12D39" w:rsidP="0098089C">
            <w:pPr>
              <w:pStyle w:val="Tabletext"/>
              <w:tabs>
                <w:tab w:val="decimal" w:pos="482"/>
              </w:tabs>
              <w:rPr>
                <w:lang w:val="en-GB"/>
              </w:rPr>
            </w:pPr>
            <w:r w:rsidRPr="00B07B55">
              <w:rPr>
                <w:lang w:val="en-GB"/>
              </w:rPr>
              <w:t>0.47</w:t>
            </w:r>
          </w:p>
        </w:tc>
      </w:tr>
      <w:tr w:rsidR="00D12D39" w:rsidRPr="00B07B55" w:rsidTr="0098089C">
        <w:trPr>
          <w:cantSplit/>
        </w:trPr>
        <w:tc>
          <w:tcPr>
            <w:tcW w:w="3656" w:type="dxa"/>
            <w:tcBorders>
              <w:top w:val="nil"/>
              <w:bottom w:val="nil"/>
              <w:right w:val="nil"/>
            </w:tcBorders>
          </w:tcPr>
          <w:p w:rsidR="00D12D39" w:rsidRPr="00B07B55" w:rsidRDefault="00D12D39" w:rsidP="0098089C">
            <w:pPr>
              <w:pStyle w:val="Tabletext"/>
              <w:ind w:left="227"/>
              <w:rPr>
                <w:lang w:val="en-GB"/>
              </w:rPr>
            </w:pPr>
            <w:r w:rsidRPr="00B07B55">
              <w:rPr>
                <w:lang w:val="en-GB"/>
              </w:rPr>
              <w:t>Level not determined</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0.60</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0.53</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0.37</w:t>
            </w:r>
          </w:p>
        </w:tc>
        <w:tc>
          <w:tcPr>
            <w:tcW w:w="1284" w:type="dxa"/>
            <w:tcBorders>
              <w:top w:val="nil"/>
              <w:left w:val="nil"/>
              <w:bottom w:val="nil"/>
            </w:tcBorders>
          </w:tcPr>
          <w:p w:rsidR="00D12D39" w:rsidRPr="00B07B55" w:rsidRDefault="00D12D39" w:rsidP="0098089C">
            <w:pPr>
              <w:pStyle w:val="Tabletext"/>
              <w:tabs>
                <w:tab w:val="decimal" w:pos="482"/>
              </w:tabs>
              <w:rPr>
                <w:lang w:val="en-GB"/>
              </w:rPr>
            </w:pPr>
            <w:r w:rsidRPr="00B07B55">
              <w:rPr>
                <w:lang w:val="en-GB"/>
              </w:rPr>
              <w:t>0.15</w:t>
            </w:r>
          </w:p>
        </w:tc>
      </w:tr>
      <w:tr w:rsidR="00D12D39" w:rsidRPr="00B07B55" w:rsidTr="0098089C">
        <w:trPr>
          <w:cantSplit/>
        </w:trPr>
        <w:tc>
          <w:tcPr>
            <w:tcW w:w="3656" w:type="dxa"/>
            <w:tcBorders>
              <w:top w:val="nil"/>
              <w:bottom w:val="nil"/>
              <w:right w:val="nil"/>
            </w:tcBorders>
          </w:tcPr>
          <w:p w:rsidR="00D12D39" w:rsidRPr="00B07B55" w:rsidRDefault="00D12D39" w:rsidP="0098089C">
            <w:pPr>
              <w:pStyle w:val="Tabletext"/>
              <w:rPr>
                <w:lang w:val="en-GB"/>
              </w:rPr>
            </w:pPr>
            <w:r w:rsidRPr="00B07B55">
              <w:rPr>
                <w:lang w:val="en-GB"/>
              </w:rPr>
              <w:t>Apprentice or</w:t>
            </w:r>
            <w:r w:rsidR="00A21333" w:rsidRPr="00B07B55">
              <w:rPr>
                <w:lang w:val="en-GB"/>
              </w:rPr>
              <w:t xml:space="preserve"> </w:t>
            </w:r>
            <w:r w:rsidRPr="00B07B55">
              <w:rPr>
                <w:lang w:val="en-GB"/>
              </w:rPr>
              <w:t>trainee</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2.32</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1.15</w:t>
            </w:r>
          </w:p>
        </w:tc>
        <w:tc>
          <w:tcPr>
            <w:tcW w:w="1283" w:type="dxa"/>
            <w:tcBorders>
              <w:top w:val="nil"/>
              <w:left w:val="nil"/>
              <w:bottom w:val="nil"/>
              <w:right w:val="nil"/>
            </w:tcBorders>
          </w:tcPr>
          <w:p w:rsidR="00D12D39" w:rsidRPr="00B07B55" w:rsidRDefault="00D12D39" w:rsidP="0098089C">
            <w:pPr>
              <w:pStyle w:val="Tabletext"/>
              <w:tabs>
                <w:tab w:val="decimal" w:pos="482"/>
              </w:tabs>
              <w:rPr>
                <w:lang w:val="en-GB"/>
              </w:rPr>
            </w:pPr>
            <w:r w:rsidRPr="00B07B55">
              <w:rPr>
                <w:lang w:val="en-GB"/>
              </w:rPr>
              <w:t>0.54</w:t>
            </w:r>
          </w:p>
        </w:tc>
        <w:tc>
          <w:tcPr>
            <w:tcW w:w="1284" w:type="dxa"/>
            <w:tcBorders>
              <w:top w:val="nil"/>
              <w:left w:val="nil"/>
              <w:bottom w:val="nil"/>
            </w:tcBorders>
          </w:tcPr>
          <w:p w:rsidR="00D12D39" w:rsidRPr="00B07B55" w:rsidRDefault="00D12D39" w:rsidP="0098089C">
            <w:pPr>
              <w:pStyle w:val="Tabletext"/>
              <w:tabs>
                <w:tab w:val="decimal" w:pos="482"/>
              </w:tabs>
              <w:rPr>
                <w:lang w:val="en-GB"/>
              </w:rPr>
            </w:pPr>
            <w:r w:rsidRPr="00B07B55">
              <w:rPr>
                <w:lang w:val="en-GB"/>
              </w:rPr>
              <w:t>0.04</w:t>
            </w:r>
          </w:p>
        </w:tc>
      </w:tr>
      <w:tr w:rsidR="0084172A" w:rsidRPr="00B07B55" w:rsidTr="0098089C">
        <w:trPr>
          <w:cantSplit/>
        </w:trPr>
        <w:tc>
          <w:tcPr>
            <w:tcW w:w="3656" w:type="dxa"/>
            <w:tcBorders>
              <w:top w:val="nil"/>
              <w:bottom w:val="nil"/>
              <w:right w:val="nil"/>
            </w:tcBorders>
          </w:tcPr>
          <w:p w:rsidR="0084172A" w:rsidRPr="008F2383" w:rsidRDefault="0084172A" w:rsidP="0098089C">
            <w:pPr>
              <w:pStyle w:val="Tabletext"/>
              <w:spacing w:before="120"/>
              <w:rPr>
                <w:lang w:val="en-GB"/>
              </w:rPr>
            </w:pPr>
            <w:r w:rsidRPr="008F2383">
              <w:rPr>
                <w:lang w:val="en-GB"/>
              </w:rPr>
              <w:t>Institution type</w:t>
            </w:r>
          </w:p>
        </w:tc>
        <w:tc>
          <w:tcPr>
            <w:tcW w:w="1283" w:type="dxa"/>
            <w:tcBorders>
              <w:top w:val="nil"/>
              <w:left w:val="nil"/>
              <w:bottom w:val="nil"/>
              <w:right w:val="nil"/>
            </w:tcBorders>
          </w:tcPr>
          <w:p w:rsidR="0084172A" w:rsidRPr="00B07B55" w:rsidRDefault="0084172A" w:rsidP="0098089C">
            <w:pPr>
              <w:pStyle w:val="Tabletext"/>
              <w:tabs>
                <w:tab w:val="decimal" w:pos="482"/>
              </w:tabs>
              <w:spacing w:before="120"/>
              <w:rPr>
                <w:lang w:val="en-GB"/>
              </w:rPr>
            </w:pPr>
          </w:p>
        </w:tc>
        <w:tc>
          <w:tcPr>
            <w:tcW w:w="1283" w:type="dxa"/>
            <w:tcBorders>
              <w:top w:val="nil"/>
              <w:left w:val="nil"/>
              <w:bottom w:val="nil"/>
              <w:right w:val="nil"/>
            </w:tcBorders>
          </w:tcPr>
          <w:p w:rsidR="0084172A" w:rsidRPr="00B07B55" w:rsidRDefault="0084172A" w:rsidP="0098089C">
            <w:pPr>
              <w:pStyle w:val="Tabletext"/>
              <w:tabs>
                <w:tab w:val="decimal" w:pos="482"/>
              </w:tabs>
              <w:spacing w:before="120"/>
              <w:rPr>
                <w:lang w:val="en-GB"/>
              </w:rPr>
            </w:pPr>
          </w:p>
        </w:tc>
        <w:tc>
          <w:tcPr>
            <w:tcW w:w="1283" w:type="dxa"/>
            <w:tcBorders>
              <w:top w:val="nil"/>
              <w:left w:val="nil"/>
              <w:bottom w:val="nil"/>
              <w:right w:val="nil"/>
            </w:tcBorders>
          </w:tcPr>
          <w:p w:rsidR="0084172A" w:rsidRPr="00B07B55" w:rsidRDefault="0084172A" w:rsidP="0098089C">
            <w:pPr>
              <w:pStyle w:val="Tabletext"/>
              <w:tabs>
                <w:tab w:val="decimal" w:pos="482"/>
              </w:tabs>
              <w:spacing w:before="120"/>
              <w:rPr>
                <w:lang w:val="en-GB"/>
              </w:rPr>
            </w:pPr>
          </w:p>
        </w:tc>
        <w:tc>
          <w:tcPr>
            <w:tcW w:w="1284" w:type="dxa"/>
            <w:tcBorders>
              <w:top w:val="nil"/>
              <w:left w:val="nil"/>
              <w:bottom w:val="nil"/>
            </w:tcBorders>
          </w:tcPr>
          <w:p w:rsidR="0084172A" w:rsidRPr="00B07B55" w:rsidRDefault="0084172A" w:rsidP="0098089C">
            <w:pPr>
              <w:pStyle w:val="Tabletext"/>
              <w:tabs>
                <w:tab w:val="decimal" w:pos="482"/>
              </w:tabs>
              <w:spacing w:before="120"/>
              <w:rPr>
                <w:lang w:val="en-GB"/>
              </w:rPr>
            </w:pPr>
          </w:p>
        </w:tc>
      </w:tr>
      <w:tr w:rsidR="0084172A" w:rsidRPr="00B07B55" w:rsidTr="0098089C">
        <w:trPr>
          <w:cantSplit/>
        </w:trPr>
        <w:tc>
          <w:tcPr>
            <w:tcW w:w="3656" w:type="dxa"/>
            <w:tcBorders>
              <w:top w:val="nil"/>
              <w:bottom w:val="nil"/>
              <w:right w:val="nil"/>
            </w:tcBorders>
          </w:tcPr>
          <w:p w:rsidR="0084172A" w:rsidRPr="00B07B55" w:rsidRDefault="0084172A" w:rsidP="0098089C">
            <w:pPr>
              <w:pStyle w:val="Tabletext"/>
              <w:ind w:left="227"/>
              <w:rPr>
                <w:lang w:val="en-GB"/>
              </w:rPr>
            </w:pPr>
            <w:r w:rsidRPr="00B07B55">
              <w:rPr>
                <w:lang w:val="en-GB"/>
              </w:rPr>
              <w:t>At university or other higher educ.</w:t>
            </w:r>
          </w:p>
        </w:tc>
        <w:tc>
          <w:tcPr>
            <w:tcW w:w="1283" w:type="dxa"/>
            <w:tcBorders>
              <w:top w:val="nil"/>
              <w:left w:val="nil"/>
              <w:bottom w:val="nil"/>
              <w:right w:val="nil"/>
            </w:tcBorders>
          </w:tcPr>
          <w:p w:rsidR="0084172A" w:rsidRPr="00B07B55" w:rsidRDefault="0084172A" w:rsidP="0098089C">
            <w:pPr>
              <w:pStyle w:val="Tabletext"/>
              <w:tabs>
                <w:tab w:val="decimal" w:pos="482"/>
              </w:tabs>
              <w:rPr>
                <w:lang w:val="en-GB"/>
              </w:rPr>
            </w:pPr>
            <w:r w:rsidRPr="00B07B55">
              <w:rPr>
                <w:lang w:val="en-GB"/>
              </w:rPr>
              <w:t>5.76</w:t>
            </w:r>
          </w:p>
        </w:tc>
        <w:tc>
          <w:tcPr>
            <w:tcW w:w="1283" w:type="dxa"/>
            <w:tcBorders>
              <w:top w:val="nil"/>
              <w:left w:val="nil"/>
              <w:bottom w:val="nil"/>
              <w:right w:val="nil"/>
            </w:tcBorders>
          </w:tcPr>
          <w:p w:rsidR="0084172A" w:rsidRPr="00B07B55" w:rsidRDefault="0084172A" w:rsidP="0098089C">
            <w:pPr>
              <w:pStyle w:val="Tabletext"/>
              <w:tabs>
                <w:tab w:val="decimal" w:pos="482"/>
              </w:tabs>
              <w:rPr>
                <w:lang w:val="en-GB"/>
              </w:rPr>
            </w:pPr>
            <w:r w:rsidRPr="00B07B55">
              <w:rPr>
                <w:lang w:val="en-GB"/>
              </w:rPr>
              <w:t>2.90</w:t>
            </w:r>
          </w:p>
        </w:tc>
        <w:tc>
          <w:tcPr>
            <w:tcW w:w="1283" w:type="dxa"/>
            <w:tcBorders>
              <w:top w:val="nil"/>
              <w:left w:val="nil"/>
              <w:bottom w:val="nil"/>
              <w:right w:val="nil"/>
            </w:tcBorders>
          </w:tcPr>
          <w:p w:rsidR="0084172A" w:rsidRPr="00B07B55" w:rsidRDefault="0084172A" w:rsidP="0098089C">
            <w:pPr>
              <w:pStyle w:val="Tabletext"/>
              <w:tabs>
                <w:tab w:val="decimal" w:pos="482"/>
              </w:tabs>
              <w:rPr>
                <w:lang w:val="en-GB"/>
              </w:rPr>
            </w:pPr>
            <w:r w:rsidRPr="00B07B55">
              <w:rPr>
                <w:lang w:val="en-GB"/>
              </w:rPr>
              <w:t>1.97</w:t>
            </w:r>
          </w:p>
        </w:tc>
        <w:tc>
          <w:tcPr>
            <w:tcW w:w="1284" w:type="dxa"/>
            <w:tcBorders>
              <w:top w:val="nil"/>
              <w:left w:val="nil"/>
              <w:bottom w:val="nil"/>
            </w:tcBorders>
          </w:tcPr>
          <w:p w:rsidR="0084172A" w:rsidRPr="00B07B55" w:rsidRDefault="0084172A" w:rsidP="0098089C">
            <w:pPr>
              <w:pStyle w:val="Tabletext"/>
              <w:tabs>
                <w:tab w:val="decimal" w:pos="482"/>
              </w:tabs>
              <w:rPr>
                <w:lang w:val="en-GB"/>
              </w:rPr>
            </w:pPr>
            <w:r w:rsidRPr="00B07B55">
              <w:rPr>
                <w:lang w:val="en-GB"/>
              </w:rPr>
              <w:t>0.45</w:t>
            </w:r>
          </w:p>
        </w:tc>
      </w:tr>
      <w:tr w:rsidR="0084172A" w:rsidRPr="00B07B55" w:rsidTr="0098089C">
        <w:trPr>
          <w:cantSplit/>
        </w:trPr>
        <w:tc>
          <w:tcPr>
            <w:tcW w:w="3656" w:type="dxa"/>
            <w:tcBorders>
              <w:top w:val="nil"/>
              <w:bottom w:val="nil"/>
              <w:right w:val="nil"/>
            </w:tcBorders>
          </w:tcPr>
          <w:p w:rsidR="0084172A" w:rsidRPr="00B07B55" w:rsidRDefault="0084172A" w:rsidP="0098089C">
            <w:pPr>
              <w:pStyle w:val="Tabletext"/>
              <w:ind w:left="227"/>
              <w:rPr>
                <w:lang w:val="en-GB"/>
              </w:rPr>
            </w:pPr>
            <w:r w:rsidRPr="00B07B55">
              <w:rPr>
                <w:lang w:val="en-GB"/>
              </w:rPr>
              <w:t xml:space="preserve">At TAFE, </w:t>
            </w:r>
            <w:r w:rsidR="003649E7" w:rsidRPr="00B07B55">
              <w:rPr>
                <w:lang w:val="en-GB"/>
              </w:rPr>
              <w:t>technical, vocational</w:t>
            </w:r>
          </w:p>
        </w:tc>
        <w:tc>
          <w:tcPr>
            <w:tcW w:w="1283" w:type="dxa"/>
            <w:tcBorders>
              <w:top w:val="nil"/>
              <w:left w:val="nil"/>
              <w:bottom w:val="nil"/>
              <w:right w:val="nil"/>
            </w:tcBorders>
          </w:tcPr>
          <w:p w:rsidR="0084172A" w:rsidRPr="00B07B55" w:rsidRDefault="0084172A" w:rsidP="0098089C">
            <w:pPr>
              <w:pStyle w:val="Tabletext"/>
              <w:tabs>
                <w:tab w:val="decimal" w:pos="482"/>
              </w:tabs>
              <w:rPr>
                <w:lang w:val="en-GB"/>
              </w:rPr>
            </w:pPr>
            <w:r w:rsidRPr="00B07B55">
              <w:rPr>
                <w:lang w:val="en-GB"/>
              </w:rPr>
              <w:t>4.97</w:t>
            </w:r>
          </w:p>
        </w:tc>
        <w:tc>
          <w:tcPr>
            <w:tcW w:w="1283" w:type="dxa"/>
            <w:tcBorders>
              <w:top w:val="nil"/>
              <w:left w:val="nil"/>
              <w:bottom w:val="nil"/>
              <w:right w:val="nil"/>
            </w:tcBorders>
          </w:tcPr>
          <w:p w:rsidR="0084172A" w:rsidRPr="00B07B55" w:rsidRDefault="0084172A" w:rsidP="0098089C">
            <w:pPr>
              <w:pStyle w:val="Tabletext"/>
              <w:tabs>
                <w:tab w:val="decimal" w:pos="482"/>
              </w:tabs>
              <w:rPr>
                <w:lang w:val="en-GB"/>
              </w:rPr>
            </w:pPr>
            <w:r w:rsidRPr="00B07B55">
              <w:rPr>
                <w:lang w:val="en-GB"/>
              </w:rPr>
              <w:t>2.73</w:t>
            </w:r>
          </w:p>
        </w:tc>
        <w:tc>
          <w:tcPr>
            <w:tcW w:w="1283" w:type="dxa"/>
            <w:tcBorders>
              <w:top w:val="nil"/>
              <w:left w:val="nil"/>
              <w:bottom w:val="nil"/>
              <w:right w:val="nil"/>
            </w:tcBorders>
          </w:tcPr>
          <w:p w:rsidR="0084172A" w:rsidRPr="00B07B55" w:rsidRDefault="0084172A" w:rsidP="0098089C">
            <w:pPr>
              <w:pStyle w:val="Tabletext"/>
              <w:tabs>
                <w:tab w:val="decimal" w:pos="482"/>
              </w:tabs>
              <w:rPr>
                <w:lang w:val="en-GB"/>
              </w:rPr>
            </w:pPr>
            <w:r w:rsidRPr="00B07B55">
              <w:rPr>
                <w:lang w:val="en-GB"/>
              </w:rPr>
              <w:t>1.74</w:t>
            </w:r>
          </w:p>
        </w:tc>
        <w:tc>
          <w:tcPr>
            <w:tcW w:w="1284" w:type="dxa"/>
            <w:tcBorders>
              <w:top w:val="nil"/>
              <w:left w:val="nil"/>
              <w:bottom w:val="nil"/>
            </w:tcBorders>
          </w:tcPr>
          <w:p w:rsidR="0084172A" w:rsidRPr="00B07B55" w:rsidRDefault="0084172A" w:rsidP="0098089C">
            <w:pPr>
              <w:pStyle w:val="Tabletext"/>
              <w:tabs>
                <w:tab w:val="decimal" w:pos="482"/>
              </w:tabs>
              <w:rPr>
                <w:lang w:val="en-GB"/>
              </w:rPr>
            </w:pPr>
            <w:r w:rsidRPr="00B07B55">
              <w:rPr>
                <w:lang w:val="en-GB"/>
              </w:rPr>
              <w:t>0.80</w:t>
            </w:r>
          </w:p>
        </w:tc>
      </w:tr>
      <w:tr w:rsidR="0084172A" w:rsidRPr="00B07B55" w:rsidTr="0098089C">
        <w:trPr>
          <w:cantSplit/>
        </w:trPr>
        <w:tc>
          <w:tcPr>
            <w:tcW w:w="3656" w:type="dxa"/>
            <w:tcBorders>
              <w:top w:val="nil"/>
              <w:bottom w:val="nil"/>
              <w:right w:val="nil"/>
            </w:tcBorders>
          </w:tcPr>
          <w:p w:rsidR="0084172A" w:rsidRPr="00B07B55" w:rsidRDefault="0084172A" w:rsidP="0098089C">
            <w:pPr>
              <w:pStyle w:val="Tabletext"/>
              <w:ind w:left="227"/>
              <w:rPr>
                <w:lang w:val="en-GB"/>
              </w:rPr>
            </w:pPr>
            <w:r w:rsidRPr="00B07B55">
              <w:rPr>
                <w:lang w:val="en-GB"/>
              </w:rPr>
              <w:t>Other (secondary, business, professional)</w:t>
            </w:r>
          </w:p>
        </w:tc>
        <w:tc>
          <w:tcPr>
            <w:tcW w:w="1283" w:type="dxa"/>
            <w:tcBorders>
              <w:top w:val="nil"/>
              <w:left w:val="nil"/>
              <w:bottom w:val="nil"/>
              <w:right w:val="nil"/>
            </w:tcBorders>
          </w:tcPr>
          <w:p w:rsidR="0084172A" w:rsidRPr="00B07B55" w:rsidRDefault="0084172A" w:rsidP="0098089C">
            <w:pPr>
              <w:pStyle w:val="Tabletext"/>
              <w:tabs>
                <w:tab w:val="decimal" w:pos="482"/>
              </w:tabs>
              <w:rPr>
                <w:lang w:val="en-GB"/>
              </w:rPr>
            </w:pPr>
            <w:r w:rsidRPr="00B07B55">
              <w:rPr>
                <w:lang w:val="en-GB"/>
              </w:rPr>
              <w:t>3.93</w:t>
            </w:r>
          </w:p>
        </w:tc>
        <w:tc>
          <w:tcPr>
            <w:tcW w:w="1283" w:type="dxa"/>
            <w:tcBorders>
              <w:top w:val="nil"/>
              <w:left w:val="nil"/>
              <w:bottom w:val="nil"/>
              <w:right w:val="nil"/>
            </w:tcBorders>
          </w:tcPr>
          <w:p w:rsidR="0084172A" w:rsidRPr="00B07B55" w:rsidRDefault="0084172A" w:rsidP="0098089C">
            <w:pPr>
              <w:pStyle w:val="Tabletext"/>
              <w:tabs>
                <w:tab w:val="decimal" w:pos="482"/>
              </w:tabs>
              <w:rPr>
                <w:lang w:val="en-GB"/>
              </w:rPr>
            </w:pPr>
            <w:r w:rsidRPr="00B07B55">
              <w:rPr>
                <w:lang w:val="en-GB"/>
              </w:rPr>
              <w:t>2.83</w:t>
            </w:r>
          </w:p>
        </w:tc>
        <w:tc>
          <w:tcPr>
            <w:tcW w:w="1283" w:type="dxa"/>
            <w:tcBorders>
              <w:top w:val="nil"/>
              <w:left w:val="nil"/>
              <w:bottom w:val="nil"/>
              <w:right w:val="nil"/>
            </w:tcBorders>
          </w:tcPr>
          <w:p w:rsidR="0084172A" w:rsidRPr="00B07B55" w:rsidRDefault="0084172A" w:rsidP="0098089C">
            <w:pPr>
              <w:pStyle w:val="Tabletext"/>
              <w:tabs>
                <w:tab w:val="decimal" w:pos="482"/>
              </w:tabs>
              <w:rPr>
                <w:lang w:val="en-GB"/>
              </w:rPr>
            </w:pPr>
            <w:r w:rsidRPr="00B07B55">
              <w:rPr>
                <w:lang w:val="en-GB"/>
              </w:rPr>
              <w:t>1.79</w:t>
            </w:r>
          </w:p>
        </w:tc>
        <w:tc>
          <w:tcPr>
            <w:tcW w:w="1284" w:type="dxa"/>
            <w:tcBorders>
              <w:top w:val="nil"/>
              <w:left w:val="nil"/>
              <w:bottom w:val="nil"/>
            </w:tcBorders>
          </w:tcPr>
          <w:p w:rsidR="0084172A" w:rsidRPr="00B07B55" w:rsidRDefault="0084172A" w:rsidP="0098089C">
            <w:pPr>
              <w:pStyle w:val="Tabletext"/>
              <w:tabs>
                <w:tab w:val="decimal" w:pos="482"/>
              </w:tabs>
              <w:rPr>
                <w:lang w:val="en-GB"/>
              </w:rPr>
            </w:pPr>
            <w:r w:rsidRPr="00B07B55">
              <w:rPr>
                <w:lang w:val="en-GB"/>
              </w:rPr>
              <w:t>1.22</w:t>
            </w:r>
          </w:p>
        </w:tc>
      </w:tr>
      <w:tr w:rsidR="0084172A" w:rsidRPr="00B07B55" w:rsidTr="0098089C">
        <w:trPr>
          <w:cantSplit/>
        </w:trPr>
        <w:tc>
          <w:tcPr>
            <w:tcW w:w="3656" w:type="dxa"/>
            <w:tcBorders>
              <w:top w:val="nil"/>
              <w:bottom w:val="nil"/>
              <w:right w:val="nil"/>
            </w:tcBorders>
          </w:tcPr>
          <w:p w:rsidR="0084172A" w:rsidRPr="00B07B55" w:rsidRDefault="0084172A" w:rsidP="0098089C">
            <w:pPr>
              <w:pStyle w:val="Tabletext"/>
              <w:rPr>
                <w:lang w:val="en-GB"/>
              </w:rPr>
            </w:pPr>
            <w:r w:rsidRPr="00B07B55">
              <w:rPr>
                <w:lang w:val="en-GB"/>
              </w:rPr>
              <w:t>Proportion in full-time study</w:t>
            </w:r>
          </w:p>
        </w:tc>
        <w:tc>
          <w:tcPr>
            <w:tcW w:w="1283" w:type="dxa"/>
            <w:tcBorders>
              <w:top w:val="nil"/>
              <w:left w:val="nil"/>
              <w:bottom w:val="nil"/>
              <w:right w:val="nil"/>
            </w:tcBorders>
          </w:tcPr>
          <w:p w:rsidR="0084172A" w:rsidRPr="00B07B55" w:rsidRDefault="00CF580B" w:rsidP="0098089C">
            <w:pPr>
              <w:pStyle w:val="Tabletext"/>
              <w:tabs>
                <w:tab w:val="decimal" w:pos="482"/>
              </w:tabs>
              <w:rPr>
                <w:lang w:val="en-GB"/>
              </w:rPr>
            </w:pPr>
            <w:r w:rsidRPr="00B07B55">
              <w:rPr>
                <w:lang w:val="en-GB"/>
              </w:rPr>
              <w:t>0.</w:t>
            </w:r>
            <w:r w:rsidR="0084172A" w:rsidRPr="00B07B55">
              <w:rPr>
                <w:lang w:val="en-GB"/>
              </w:rPr>
              <w:t>35</w:t>
            </w:r>
          </w:p>
        </w:tc>
        <w:tc>
          <w:tcPr>
            <w:tcW w:w="1283" w:type="dxa"/>
            <w:tcBorders>
              <w:top w:val="nil"/>
              <w:left w:val="nil"/>
              <w:bottom w:val="nil"/>
              <w:right w:val="nil"/>
            </w:tcBorders>
          </w:tcPr>
          <w:p w:rsidR="0084172A" w:rsidRPr="00B07B55" w:rsidRDefault="00CF580B" w:rsidP="0098089C">
            <w:pPr>
              <w:pStyle w:val="Tabletext"/>
              <w:tabs>
                <w:tab w:val="decimal" w:pos="482"/>
              </w:tabs>
              <w:rPr>
                <w:lang w:val="en-GB"/>
              </w:rPr>
            </w:pPr>
            <w:r w:rsidRPr="00B07B55">
              <w:rPr>
                <w:lang w:val="en-GB"/>
              </w:rPr>
              <w:t>0.</w:t>
            </w:r>
            <w:r w:rsidR="0084172A" w:rsidRPr="00B07B55">
              <w:rPr>
                <w:lang w:val="en-GB"/>
              </w:rPr>
              <w:t>17</w:t>
            </w:r>
          </w:p>
        </w:tc>
        <w:tc>
          <w:tcPr>
            <w:tcW w:w="1283" w:type="dxa"/>
            <w:tcBorders>
              <w:top w:val="nil"/>
              <w:left w:val="nil"/>
              <w:bottom w:val="nil"/>
              <w:right w:val="nil"/>
            </w:tcBorders>
          </w:tcPr>
          <w:p w:rsidR="0084172A" w:rsidRPr="00B07B55" w:rsidRDefault="00CF580B" w:rsidP="0098089C">
            <w:pPr>
              <w:pStyle w:val="Tabletext"/>
              <w:tabs>
                <w:tab w:val="decimal" w:pos="482"/>
              </w:tabs>
              <w:rPr>
                <w:lang w:val="en-GB"/>
              </w:rPr>
            </w:pPr>
            <w:r w:rsidRPr="00B07B55">
              <w:rPr>
                <w:lang w:val="en-GB"/>
              </w:rPr>
              <w:t>0.</w:t>
            </w:r>
            <w:r w:rsidR="0084172A" w:rsidRPr="00B07B55">
              <w:rPr>
                <w:lang w:val="en-GB"/>
              </w:rPr>
              <w:t>16</w:t>
            </w:r>
          </w:p>
        </w:tc>
        <w:tc>
          <w:tcPr>
            <w:tcW w:w="1284" w:type="dxa"/>
            <w:tcBorders>
              <w:top w:val="nil"/>
              <w:left w:val="nil"/>
              <w:bottom w:val="nil"/>
            </w:tcBorders>
          </w:tcPr>
          <w:p w:rsidR="0084172A" w:rsidRPr="00B07B55" w:rsidRDefault="00CF580B" w:rsidP="0098089C">
            <w:pPr>
              <w:pStyle w:val="Tabletext"/>
              <w:tabs>
                <w:tab w:val="decimal" w:pos="482"/>
              </w:tabs>
              <w:rPr>
                <w:lang w:val="en-GB"/>
              </w:rPr>
            </w:pPr>
            <w:r w:rsidRPr="00B07B55">
              <w:rPr>
                <w:lang w:val="en-GB"/>
              </w:rPr>
              <w:t>0.</w:t>
            </w:r>
            <w:r w:rsidR="0084172A" w:rsidRPr="00B07B55">
              <w:rPr>
                <w:lang w:val="en-GB"/>
              </w:rPr>
              <w:t>13</w:t>
            </w:r>
          </w:p>
        </w:tc>
      </w:tr>
      <w:tr w:rsidR="0084172A" w:rsidRPr="00B07B55" w:rsidTr="0098089C">
        <w:trPr>
          <w:cantSplit/>
        </w:trPr>
        <w:tc>
          <w:tcPr>
            <w:tcW w:w="3656" w:type="dxa"/>
            <w:tcBorders>
              <w:top w:val="nil"/>
              <w:bottom w:val="nil"/>
              <w:right w:val="nil"/>
            </w:tcBorders>
          </w:tcPr>
          <w:p w:rsidR="0084172A" w:rsidRPr="00B07B55" w:rsidRDefault="0084172A" w:rsidP="0098089C">
            <w:pPr>
              <w:pStyle w:val="Tabletext"/>
              <w:rPr>
                <w:lang w:val="en-GB"/>
              </w:rPr>
            </w:pPr>
            <w:r w:rsidRPr="00B07B55">
              <w:rPr>
                <w:lang w:val="en-GB"/>
              </w:rPr>
              <w:t>Proportion in correspondence or distance</w:t>
            </w:r>
          </w:p>
        </w:tc>
        <w:tc>
          <w:tcPr>
            <w:tcW w:w="1283" w:type="dxa"/>
            <w:tcBorders>
              <w:top w:val="nil"/>
              <w:left w:val="nil"/>
              <w:bottom w:val="nil"/>
              <w:right w:val="nil"/>
            </w:tcBorders>
          </w:tcPr>
          <w:p w:rsidR="0084172A" w:rsidRPr="00B07B55" w:rsidRDefault="00CF580B" w:rsidP="0098089C">
            <w:pPr>
              <w:pStyle w:val="Tabletext"/>
              <w:tabs>
                <w:tab w:val="decimal" w:pos="482"/>
              </w:tabs>
              <w:rPr>
                <w:lang w:val="en-GB"/>
              </w:rPr>
            </w:pPr>
            <w:r w:rsidRPr="00B07B55">
              <w:rPr>
                <w:lang w:val="en-GB"/>
              </w:rPr>
              <w:t>0.</w:t>
            </w:r>
            <w:r w:rsidR="0084172A" w:rsidRPr="00B07B55">
              <w:rPr>
                <w:lang w:val="en-GB"/>
              </w:rPr>
              <w:t>29</w:t>
            </w:r>
          </w:p>
        </w:tc>
        <w:tc>
          <w:tcPr>
            <w:tcW w:w="1283" w:type="dxa"/>
            <w:tcBorders>
              <w:top w:val="nil"/>
              <w:left w:val="nil"/>
              <w:bottom w:val="nil"/>
              <w:right w:val="nil"/>
            </w:tcBorders>
          </w:tcPr>
          <w:p w:rsidR="0084172A" w:rsidRPr="00B07B55" w:rsidRDefault="00CF580B" w:rsidP="0098089C">
            <w:pPr>
              <w:pStyle w:val="Tabletext"/>
              <w:tabs>
                <w:tab w:val="decimal" w:pos="482"/>
              </w:tabs>
              <w:rPr>
                <w:lang w:val="en-GB"/>
              </w:rPr>
            </w:pPr>
            <w:r w:rsidRPr="00B07B55">
              <w:rPr>
                <w:lang w:val="en-GB"/>
              </w:rPr>
              <w:t>0.</w:t>
            </w:r>
            <w:r w:rsidR="0084172A" w:rsidRPr="00B07B55">
              <w:rPr>
                <w:lang w:val="en-GB"/>
              </w:rPr>
              <w:t>34</w:t>
            </w:r>
          </w:p>
        </w:tc>
        <w:tc>
          <w:tcPr>
            <w:tcW w:w="1283" w:type="dxa"/>
            <w:tcBorders>
              <w:top w:val="nil"/>
              <w:left w:val="nil"/>
              <w:bottom w:val="nil"/>
              <w:right w:val="nil"/>
            </w:tcBorders>
          </w:tcPr>
          <w:p w:rsidR="0084172A" w:rsidRPr="00B07B55" w:rsidRDefault="00CF580B" w:rsidP="0098089C">
            <w:pPr>
              <w:pStyle w:val="Tabletext"/>
              <w:tabs>
                <w:tab w:val="decimal" w:pos="482"/>
              </w:tabs>
              <w:rPr>
                <w:lang w:val="en-GB"/>
              </w:rPr>
            </w:pPr>
            <w:r w:rsidRPr="00B07B55">
              <w:rPr>
                <w:lang w:val="en-GB"/>
              </w:rPr>
              <w:t>0.</w:t>
            </w:r>
            <w:r w:rsidR="0084172A" w:rsidRPr="00B07B55">
              <w:rPr>
                <w:lang w:val="en-GB"/>
              </w:rPr>
              <w:t>38</w:t>
            </w:r>
          </w:p>
        </w:tc>
        <w:tc>
          <w:tcPr>
            <w:tcW w:w="1284" w:type="dxa"/>
            <w:tcBorders>
              <w:top w:val="nil"/>
              <w:left w:val="nil"/>
              <w:bottom w:val="nil"/>
            </w:tcBorders>
          </w:tcPr>
          <w:p w:rsidR="0084172A" w:rsidRPr="00B07B55" w:rsidRDefault="00CF580B" w:rsidP="0098089C">
            <w:pPr>
              <w:pStyle w:val="Tabletext"/>
              <w:tabs>
                <w:tab w:val="decimal" w:pos="482"/>
              </w:tabs>
              <w:rPr>
                <w:lang w:val="en-GB"/>
              </w:rPr>
            </w:pPr>
            <w:r w:rsidRPr="00B07B55">
              <w:rPr>
                <w:lang w:val="en-GB"/>
              </w:rPr>
              <w:t>0.</w:t>
            </w:r>
            <w:r w:rsidR="0084172A" w:rsidRPr="00B07B55">
              <w:rPr>
                <w:lang w:val="en-GB"/>
              </w:rPr>
              <w:t>23</w:t>
            </w:r>
          </w:p>
        </w:tc>
      </w:tr>
      <w:tr w:rsidR="0084172A" w:rsidRPr="009B641C" w:rsidTr="0098089C">
        <w:trPr>
          <w:cantSplit/>
        </w:trPr>
        <w:tc>
          <w:tcPr>
            <w:tcW w:w="3656" w:type="dxa"/>
            <w:tcBorders>
              <w:top w:val="nil"/>
              <w:bottom w:val="single" w:sz="4" w:space="0" w:color="auto"/>
              <w:right w:val="nil"/>
            </w:tcBorders>
          </w:tcPr>
          <w:p w:rsidR="0084172A" w:rsidRPr="009B641C" w:rsidRDefault="0084172A" w:rsidP="0098089C">
            <w:pPr>
              <w:pStyle w:val="Tabletext"/>
              <w:spacing w:before="120"/>
              <w:rPr>
                <w:i/>
                <w:lang w:val="en-GB"/>
              </w:rPr>
            </w:pPr>
            <w:r w:rsidRPr="009B641C">
              <w:rPr>
                <w:i/>
                <w:lang w:val="en-GB"/>
              </w:rPr>
              <w:t>O</w:t>
            </w:r>
            <w:r w:rsidR="00EB0C29" w:rsidRPr="009B641C">
              <w:rPr>
                <w:i/>
                <w:lang w:val="en-GB"/>
              </w:rPr>
              <w:t>bservations</w:t>
            </w:r>
          </w:p>
        </w:tc>
        <w:tc>
          <w:tcPr>
            <w:tcW w:w="1283" w:type="dxa"/>
            <w:tcBorders>
              <w:top w:val="nil"/>
              <w:left w:val="nil"/>
              <w:bottom w:val="single" w:sz="4" w:space="0" w:color="auto"/>
              <w:right w:val="nil"/>
            </w:tcBorders>
          </w:tcPr>
          <w:p w:rsidR="0084172A" w:rsidRPr="009B641C" w:rsidRDefault="00B24059" w:rsidP="0098089C">
            <w:pPr>
              <w:pStyle w:val="Tabletext"/>
              <w:spacing w:before="120"/>
              <w:jc w:val="center"/>
              <w:rPr>
                <w:i/>
                <w:lang w:val="en-GB"/>
              </w:rPr>
            </w:pPr>
            <w:r w:rsidRPr="009B641C">
              <w:rPr>
                <w:i/>
                <w:lang w:val="en-GB"/>
              </w:rPr>
              <w:t>2</w:t>
            </w:r>
            <w:r w:rsidR="0084172A" w:rsidRPr="009B641C">
              <w:rPr>
                <w:i/>
                <w:lang w:val="en-GB"/>
              </w:rPr>
              <w:t>130</w:t>
            </w:r>
          </w:p>
        </w:tc>
        <w:tc>
          <w:tcPr>
            <w:tcW w:w="1283" w:type="dxa"/>
            <w:tcBorders>
              <w:top w:val="nil"/>
              <w:left w:val="nil"/>
              <w:bottom w:val="single" w:sz="4" w:space="0" w:color="auto"/>
              <w:right w:val="nil"/>
            </w:tcBorders>
          </w:tcPr>
          <w:p w:rsidR="0084172A" w:rsidRPr="009B641C" w:rsidRDefault="00B24059" w:rsidP="0098089C">
            <w:pPr>
              <w:pStyle w:val="Tabletext"/>
              <w:spacing w:before="120"/>
              <w:jc w:val="center"/>
              <w:rPr>
                <w:i/>
                <w:lang w:val="en-GB"/>
              </w:rPr>
            </w:pPr>
            <w:r w:rsidRPr="009B641C">
              <w:rPr>
                <w:i/>
                <w:lang w:val="en-GB"/>
              </w:rPr>
              <w:t>2</w:t>
            </w:r>
            <w:r w:rsidR="0084172A" w:rsidRPr="009B641C">
              <w:rPr>
                <w:i/>
                <w:lang w:val="en-GB"/>
              </w:rPr>
              <w:t>444</w:t>
            </w:r>
          </w:p>
        </w:tc>
        <w:tc>
          <w:tcPr>
            <w:tcW w:w="1283" w:type="dxa"/>
            <w:tcBorders>
              <w:top w:val="nil"/>
              <w:left w:val="nil"/>
              <w:bottom w:val="single" w:sz="4" w:space="0" w:color="auto"/>
              <w:right w:val="nil"/>
            </w:tcBorders>
          </w:tcPr>
          <w:p w:rsidR="0084172A" w:rsidRPr="009B641C" w:rsidRDefault="00B24059" w:rsidP="0098089C">
            <w:pPr>
              <w:pStyle w:val="Tabletext"/>
              <w:spacing w:before="120"/>
              <w:jc w:val="center"/>
              <w:rPr>
                <w:i/>
                <w:lang w:val="en-GB"/>
              </w:rPr>
            </w:pPr>
            <w:r w:rsidRPr="009B641C">
              <w:rPr>
                <w:i/>
                <w:lang w:val="en-GB"/>
              </w:rPr>
              <w:t>2</w:t>
            </w:r>
            <w:r w:rsidR="0084172A" w:rsidRPr="009B641C">
              <w:rPr>
                <w:i/>
                <w:lang w:val="en-GB"/>
              </w:rPr>
              <w:t>370</w:t>
            </w:r>
          </w:p>
        </w:tc>
        <w:tc>
          <w:tcPr>
            <w:tcW w:w="1284" w:type="dxa"/>
            <w:tcBorders>
              <w:top w:val="nil"/>
              <w:left w:val="nil"/>
              <w:bottom w:val="single" w:sz="4" w:space="0" w:color="auto"/>
            </w:tcBorders>
          </w:tcPr>
          <w:p w:rsidR="0084172A" w:rsidRPr="009B641C" w:rsidRDefault="00B24059" w:rsidP="0098089C">
            <w:pPr>
              <w:pStyle w:val="Tabletext"/>
              <w:spacing w:before="120"/>
              <w:jc w:val="center"/>
              <w:rPr>
                <w:i/>
                <w:lang w:val="en-GB"/>
              </w:rPr>
            </w:pPr>
            <w:r w:rsidRPr="009B641C">
              <w:rPr>
                <w:i/>
                <w:lang w:val="en-GB"/>
              </w:rPr>
              <w:t>2</w:t>
            </w:r>
            <w:r w:rsidR="0084172A" w:rsidRPr="009B641C">
              <w:rPr>
                <w:i/>
                <w:lang w:val="en-GB"/>
              </w:rPr>
              <w:t>074</w:t>
            </w:r>
          </w:p>
        </w:tc>
      </w:tr>
    </w:tbl>
    <w:p w:rsidR="00D13772" w:rsidRPr="00B07B55" w:rsidRDefault="00D13772" w:rsidP="00030733">
      <w:pPr>
        <w:pStyle w:val="Source"/>
        <w:rPr>
          <w:lang w:val="en-GB"/>
        </w:rPr>
      </w:pPr>
      <w:r w:rsidRPr="00B07B55">
        <w:rPr>
          <w:lang w:val="en-GB"/>
        </w:rPr>
        <w:t>Source:</w:t>
      </w:r>
      <w:r w:rsidRPr="00B07B55">
        <w:rPr>
          <w:lang w:val="en-GB"/>
        </w:rPr>
        <w:tab/>
      </w:r>
      <w:r w:rsidR="00A21333" w:rsidRPr="00B07B55">
        <w:rPr>
          <w:lang w:val="en-GB"/>
        </w:rPr>
        <w:t xml:space="preserve">SET </w:t>
      </w:r>
      <w:r w:rsidR="0083056E">
        <w:rPr>
          <w:lang w:val="en-GB"/>
        </w:rPr>
        <w:t>d</w:t>
      </w:r>
      <w:r w:rsidR="00A21333" w:rsidRPr="00B07B55">
        <w:rPr>
          <w:lang w:val="en-GB"/>
        </w:rPr>
        <w:t>ata, 2009</w:t>
      </w:r>
      <w:r w:rsidRPr="00B07B55">
        <w:rPr>
          <w:lang w:val="en-GB"/>
        </w:rPr>
        <w:t>.</w:t>
      </w:r>
    </w:p>
    <w:p w:rsidR="00A21333" w:rsidRPr="00B07B55" w:rsidRDefault="00A21333" w:rsidP="00A21333">
      <w:pPr>
        <w:pStyle w:val="tabletitle"/>
        <w:rPr>
          <w:lang w:val="en-GB"/>
        </w:rPr>
      </w:pPr>
      <w:bookmarkStart w:id="44" w:name="_Toc311576116"/>
      <w:bookmarkStart w:id="45" w:name="_Toc334021171"/>
      <w:r w:rsidRPr="00B07B55">
        <w:rPr>
          <w:lang w:val="en-GB"/>
        </w:rPr>
        <w:t>Table 4</w:t>
      </w:r>
      <w:r w:rsidRPr="00B07B55">
        <w:rPr>
          <w:lang w:val="en-GB"/>
        </w:rPr>
        <w:tab/>
        <w:t>Current enrolment rates in formal education and training, females</w:t>
      </w:r>
      <w:r w:rsidR="00DD6FFA" w:rsidRPr="00B07B55">
        <w:rPr>
          <w:lang w:val="en-GB"/>
        </w:rPr>
        <w:t>,</w:t>
      </w:r>
      <w:r w:rsidRPr="00B07B55">
        <w:rPr>
          <w:lang w:val="en-GB"/>
        </w:rPr>
        <w:t xml:space="preserve"> 2009 SET</w:t>
      </w:r>
      <w:r w:rsidR="00DD6FFA" w:rsidRPr="00B07B55">
        <w:rPr>
          <w:lang w:val="en-GB"/>
        </w:rPr>
        <w:t>, %</w:t>
      </w:r>
      <w:bookmarkEnd w:id="44"/>
      <w:bookmarkEnd w:id="45"/>
    </w:p>
    <w:tbl>
      <w:tblPr>
        <w:tblW w:w="8789" w:type="dxa"/>
        <w:tblInd w:w="108" w:type="dxa"/>
        <w:tblBorders>
          <w:top w:val="single" w:sz="4" w:space="0" w:color="auto"/>
        </w:tblBorders>
        <w:tblLayout w:type="fixed"/>
        <w:tblLook w:val="0000"/>
      </w:tblPr>
      <w:tblGrid>
        <w:gridCol w:w="3686"/>
        <w:gridCol w:w="1275"/>
        <w:gridCol w:w="1276"/>
        <w:gridCol w:w="1276"/>
        <w:gridCol w:w="1276"/>
      </w:tblGrid>
      <w:tr w:rsidR="00A21333" w:rsidRPr="00B07B55" w:rsidTr="00A75B57">
        <w:trPr>
          <w:cantSplit/>
        </w:trPr>
        <w:tc>
          <w:tcPr>
            <w:tcW w:w="3686" w:type="dxa"/>
          </w:tcPr>
          <w:p w:rsidR="000B477A" w:rsidRPr="00B07B55" w:rsidRDefault="00AA6C79" w:rsidP="00030733">
            <w:pPr>
              <w:pStyle w:val="Tablehead1"/>
              <w:rPr>
                <w:lang w:val="en-GB"/>
              </w:rPr>
            </w:pPr>
            <w:r w:rsidRPr="00B07B55">
              <w:rPr>
                <w:lang w:val="en-GB"/>
              </w:rPr>
              <w:t>Age group</w:t>
            </w:r>
          </w:p>
        </w:tc>
        <w:tc>
          <w:tcPr>
            <w:tcW w:w="1275" w:type="dxa"/>
          </w:tcPr>
          <w:p w:rsidR="00A21333" w:rsidRPr="00B07B55" w:rsidRDefault="003649E7" w:rsidP="00623C5A">
            <w:pPr>
              <w:pStyle w:val="Tablehead1"/>
              <w:jc w:val="center"/>
              <w:rPr>
                <w:rFonts w:cs="Arial"/>
                <w:color w:val="000000"/>
                <w:lang w:val="en-GB"/>
              </w:rPr>
            </w:pPr>
            <w:r>
              <w:rPr>
                <w:rFonts w:cs="Arial"/>
                <w:color w:val="000000"/>
                <w:lang w:val="en-GB"/>
              </w:rPr>
              <w:t>25–</w:t>
            </w:r>
            <w:r w:rsidR="00A21333" w:rsidRPr="00B07B55">
              <w:rPr>
                <w:rFonts w:cs="Arial"/>
                <w:color w:val="000000"/>
                <w:lang w:val="en-GB"/>
              </w:rPr>
              <w:t>34</w:t>
            </w:r>
          </w:p>
        </w:tc>
        <w:tc>
          <w:tcPr>
            <w:tcW w:w="1276" w:type="dxa"/>
          </w:tcPr>
          <w:p w:rsidR="00A21333" w:rsidRPr="00B07B55" w:rsidRDefault="003649E7" w:rsidP="00623C5A">
            <w:pPr>
              <w:pStyle w:val="Tablehead1"/>
              <w:jc w:val="center"/>
              <w:rPr>
                <w:rFonts w:cs="Arial"/>
                <w:color w:val="000000"/>
                <w:lang w:val="en-GB"/>
              </w:rPr>
            </w:pPr>
            <w:r>
              <w:rPr>
                <w:rFonts w:cs="Arial"/>
                <w:color w:val="000000"/>
                <w:lang w:val="en-GB"/>
              </w:rPr>
              <w:t>35–</w:t>
            </w:r>
            <w:r w:rsidR="00A21333" w:rsidRPr="00B07B55">
              <w:rPr>
                <w:rFonts w:cs="Arial"/>
                <w:color w:val="000000"/>
                <w:lang w:val="en-GB"/>
              </w:rPr>
              <w:t>44</w:t>
            </w:r>
          </w:p>
        </w:tc>
        <w:tc>
          <w:tcPr>
            <w:tcW w:w="1276" w:type="dxa"/>
          </w:tcPr>
          <w:p w:rsidR="00A21333" w:rsidRPr="00B07B55" w:rsidRDefault="003649E7" w:rsidP="00623C5A">
            <w:pPr>
              <w:pStyle w:val="Tablehead1"/>
              <w:jc w:val="center"/>
              <w:rPr>
                <w:rFonts w:cs="Arial"/>
                <w:color w:val="000000"/>
                <w:lang w:val="en-GB"/>
              </w:rPr>
            </w:pPr>
            <w:r>
              <w:rPr>
                <w:rFonts w:cs="Arial"/>
                <w:color w:val="000000"/>
                <w:lang w:val="en-GB"/>
              </w:rPr>
              <w:t>45–</w:t>
            </w:r>
            <w:r w:rsidR="00A21333" w:rsidRPr="00B07B55">
              <w:rPr>
                <w:rFonts w:cs="Arial"/>
                <w:color w:val="000000"/>
                <w:lang w:val="en-GB"/>
              </w:rPr>
              <w:t>54</w:t>
            </w:r>
          </w:p>
        </w:tc>
        <w:tc>
          <w:tcPr>
            <w:tcW w:w="1276" w:type="dxa"/>
          </w:tcPr>
          <w:p w:rsidR="00A21333" w:rsidRPr="00B07B55" w:rsidRDefault="003649E7" w:rsidP="00623C5A">
            <w:pPr>
              <w:pStyle w:val="Tablehead1"/>
              <w:jc w:val="center"/>
              <w:rPr>
                <w:rFonts w:cs="Arial"/>
                <w:color w:val="000000"/>
                <w:lang w:val="en-GB"/>
              </w:rPr>
            </w:pPr>
            <w:r>
              <w:rPr>
                <w:rFonts w:cs="Arial"/>
                <w:color w:val="000000"/>
                <w:lang w:val="en-GB"/>
              </w:rPr>
              <w:t>55–</w:t>
            </w:r>
            <w:r w:rsidR="00A21333" w:rsidRPr="00B07B55">
              <w:rPr>
                <w:rFonts w:cs="Arial"/>
                <w:color w:val="000000"/>
                <w:lang w:val="en-GB"/>
              </w:rPr>
              <w:t>64</w:t>
            </w:r>
          </w:p>
        </w:tc>
      </w:tr>
      <w:tr w:rsidR="00A21333" w:rsidRPr="00A75B57" w:rsidTr="00A75B57">
        <w:tblPrEx>
          <w:tblBorders>
            <w:bottom w:val="single" w:sz="4" w:space="0" w:color="auto"/>
          </w:tblBorders>
        </w:tblPrEx>
        <w:trPr>
          <w:cantSplit/>
        </w:trPr>
        <w:tc>
          <w:tcPr>
            <w:tcW w:w="3686" w:type="dxa"/>
            <w:tcBorders>
              <w:top w:val="single" w:sz="4" w:space="0" w:color="auto"/>
              <w:bottom w:val="nil"/>
              <w:right w:val="nil"/>
            </w:tcBorders>
          </w:tcPr>
          <w:p w:rsidR="00A21333" w:rsidRPr="00A75B57" w:rsidRDefault="00DD6FFA" w:rsidP="00A75B57">
            <w:pPr>
              <w:pStyle w:val="Tabletext"/>
              <w:spacing w:before="120"/>
              <w:rPr>
                <w:b/>
                <w:lang w:val="en-GB"/>
              </w:rPr>
            </w:pPr>
            <w:r w:rsidRPr="00A75B57">
              <w:rPr>
                <w:b/>
                <w:lang w:val="en-GB"/>
              </w:rPr>
              <w:t>Total</w:t>
            </w:r>
          </w:p>
        </w:tc>
        <w:tc>
          <w:tcPr>
            <w:tcW w:w="1275" w:type="dxa"/>
            <w:tcBorders>
              <w:top w:val="single" w:sz="4" w:space="0" w:color="auto"/>
              <w:left w:val="nil"/>
              <w:bottom w:val="nil"/>
              <w:right w:val="nil"/>
            </w:tcBorders>
          </w:tcPr>
          <w:p w:rsidR="00A21333" w:rsidRPr="00A75B57" w:rsidRDefault="00AA6C79" w:rsidP="00623C5A">
            <w:pPr>
              <w:pStyle w:val="Tabletext"/>
              <w:tabs>
                <w:tab w:val="decimal" w:pos="482"/>
              </w:tabs>
              <w:spacing w:before="120"/>
              <w:rPr>
                <w:b/>
                <w:lang w:val="en-GB"/>
              </w:rPr>
            </w:pPr>
            <w:r w:rsidRPr="00A75B57">
              <w:rPr>
                <w:b/>
                <w:lang w:val="en-GB"/>
              </w:rPr>
              <w:t>14.82</w:t>
            </w:r>
          </w:p>
        </w:tc>
        <w:tc>
          <w:tcPr>
            <w:tcW w:w="1276" w:type="dxa"/>
            <w:tcBorders>
              <w:top w:val="single" w:sz="4" w:space="0" w:color="auto"/>
              <w:left w:val="nil"/>
              <w:bottom w:val="nil"/>
              <w:right w:val="nil"/>
            </w:tcBorders>
          </w:tcPr>
          <w:p w:rsidR="00A21333" w:rsidRPr="00A75B57" w:rsidRDefault="00AA6C79" w:rsidP="00623C5A">
            <w:pPr>
              <w:pStyle w:val="Tabletext"/>
              <w:tabs>
                <w:tab w:val="decimal" w:pos="482"/>
              </w:tabs>
              <w:spacing w:before="120"/>
              <w:rPr>
                <w:b/>
                <w:lang w:val="en-GB"/>
              </w:rPr>
            </w:pPr>
            <w:r w:rsidRPr="00A75B57">
              <w:rPr>
                <w:b/>
                <w:lang w:val="en-GB"/>
              </w:rPr>
              <w:t>10.70</w:t>
            </w:r>
          </w:p>
        </w:tc>
        <w:tc>
          <w:tcPr>
            <w:tcW w:w="1276" w:type="dxa"/>
            <w:tcBorders>
              <w:top w:val="single" w:sz="4" w:space="0" w:color="auto"/>
              <w:left w:val="nil"/>
              <w:bottom w:val="nil"/>
              <w:right w:val="nil"/>
            </w:tcBorders>
          </w:tcPr>
          <w:p w:rsidR="00A21333" w:rsidRPr="00A75B57" w:rsidRDefault="00AA6C79" w:rsidP="00623C5A">
            <w:pPr>
              <w:pStyle w:val="Tabletext"/>
              <w:tabs>
                <w:tab w:val="decimal" w:pos="482"/>
              </w:tabs>
              <w:spacing w:before="120"/>
              <w:rPr>
                <w:b/>
                <w:lang w:val="en-GB"/>
              </w:rPr>
            </w:pPr>
            <w:r w:rsidRPr="00A75B57">
              <w:rPr>
                <w:b/>
                <w:lang w:val="en-GB"/>
              </w:rPr>
              <w:t>7.64</w:t>
            </w:r>
          </w:p>
        </w:tc>
        <w:tc>
          <w:tcPr>
            <w:tcW w:w="1276" w:type="dxa"/>
            <w:tcBorders>
              <w:top w:val="single" w:sz="4" w:space="0" w:color="auto"/>
              <w:left w:val="nil"/>
              <w:bottom w:val="nil"/>
            </w:tcBorders>
          </w:tcPr>
          <w:p w:rsidR="00A21333" w:rsidRPr="00A75B57" w:rsidRDefault="00AA6C79" w:rsidP="00623C5A">
            <w:pPr>
              <w:pStyle w:val="Tabletext"/>
              <w:tabs>
                <w:tab w:val="decimal" w:pos="482"/>
              </w:tabs>
              <w:spacing w:before="120"/>
              <w:rPr>
                <w:b/>
                <w:lang w:val="en-GB"/>
              </w:rPr>
            </w:pPr>
            <w:r w:rsidRPr="00A75B57">
              <w:rPr>
                <w:b/>
                <w:lang w:val="en-GB"/>
              </w:rPr>
              <w:t>3.07</w:t>
            </w:r>
          </w:p>
        </w:tc>
      </w:tr>
      <w:tr w:rsidR="00A21333" w:rsidRPr="00B07B55" w:rsidTr="00A75B57">
        <w:tblPrEx>
          <w:tblBorders>
            <w:bottom w:val="single" w:sz="4" w:space="0" w:color="auto"/>
          </w:tblBorders>
        </w:tblPrEx>
        <w:trPr>
          <w:cantSplit/>
        </w:trPr>
        <w:tc>
          <w:tcPr>
            <w:tcW w:w="3686" w:type="dxa"/>
            <w:tcBorders>
              <w:top w:val="nil"/>
              <w:bottom w:val="nil"/>
              <w:right w:val="nil"/>
            </w:tcBorders>
          </w:tcPr>
          <w:p w:rsidR="00A21333" w:rsidRPr="008F2383" w:rsidRDefault="00A21333" w:rsidP="00A75B57">
            <w:pPr>
              <w:pStyle w:val="Tabletext"/>
              <w:spacing w:before="120"/>
              <w:rPr>
                <w:lang w:val="en-GB"/>
              </w:rPr>
            </w:pPr>
            <w:r w:rsidRPr="008F2383">
              <w:rPr>
                <w:lang w:val="en-GB"/>
              </w:rPr>
              <w:t>Level</w:t>
            </w:r>
          </w:p>
        </w:tc>
        <w:tc>
          <w:tcPr>
            <w:tcW w:w="1275" w:type="dxa"/>
            <w:tcBorders>
              <w:top w:val="nil"/>
              <w:left w:val="nil"/>
              <w:bottom w:val="nil"/>
              <w:right w:val="nil"/>
            </w:tcBorders>
          </w:tcPr>
          <w:p w:rsidR="00A21333" w:rsidRPr="00B07B55" w:rsidRDefault="00A21333" w:rsidP="00623C5A">
            <w:pPr>
              <w:pStyle w:val="Tabletext"/>
              <w:tabs>
                <w:tab w:val="decimal" w:pos="482"/>
              </w:tabs>
              <w:spacing w:before="120"/>
              <w:rPr>
                <w:lang w:val="en-GB"/>
              </w:rPr>
            </w:pPr>
          </w:p>
        </w:tc>
        <w:tc>
          <w:tcPr>
            <w:tcW w:w="1276" w:type="dxa"/>
            <w:tcBorders>
              <w:top w:val="nil"/>
              <w:left w:val="nil"/>
              <w:bottom w:val="nil"/>
              <w:right w:val="nil"/>
            </w:tcBorders>
          </w:tcPr>
          <w:p w:rsidR="00A21333" w:rsidRPr="00B07B55" w:rsidRDefault="00A21333" w:rsidP="00623C5A">
            <w:pPr>
              <w:pStyle w:val="Tabletext"/>
              <w:tabs>
                <w:tab w:val="decimal" w:pos="482"/>
              </w:tabs>
              <w:spacing w:before="120"/>
              <w:rPr>
                <w:lang w:val="en-GB"/>
              </w:rPr>
            </w:pPr>
          </w:p>
        </w:tc>
        <w:tc>
          <w:tcPr>
            <w:tcW w:w="1276" w:type="dxa"/>
            <w:tcBorders>
              <w:top w:val="nil"/>
              <w:left w:val="nil"/>
              <w:bottom w:val="nil"/>
              <w:right w:val="nil"/>
            </w:tcBorders>
          </w:tcPr>
          <w:p w:rsidR="00A21333" w:rsidRPr="00B07B55" w:rsidRDefault="00A21333" w:rsidP="00623C5A">
            <w:pPr>
              <w:pStyle w:val="Tabletext"/>
              <w:tabs>
                <w:tab w:val="decimal" w:pos="482"/>
              </w:tabs>
              <w:spacing w:before="120"/>
              <w:rPr>
                <w:lang w:val="en-GB"/>
              </w:rPr>
            </w:pPr>
          </w:p>
        </w:tc>
        <w:tc>
          <w:tcPr>
            <w:tcW w:w="1276" w:type="dxa"/>
            <w:tcBorders>
              <w:top w:val="nil"/>
              <w:left w:val="nil"/>
              <w:bottom w:val="nil"/>
            </w:tcBorders>
          </w:tcPr>
          <w:p w:rsidR="00A21333" w:rsidRPr="00B07B55" w:rsidRDefault="00A21333" w:rsidP="00623C5A">
            <w:pPr>
              <w:pStyle w:val="Tabletext"/>
              <w:tabs>
                <w:tab w:val="decimal" w:pos="482"/>
              </w:tabs>
              <w:spacing w:before="120"/>
              <w:rPr>
                <w:lang w:val="en-GB"/>
              </w:rPr>
            </w:pPr>
          </w:p>
        </w:tc>
      </w:tr>
      <w:tr w:rsidR="00623C5A" w:rsidRPr="00B07B55" w:rsidTr="00A75B57">
        <w:tblPrEx>
          <w:tblBorders>
            <w:bottom w:val="single" w:sz="4" w:space="0" w:color="auto"/>
          </w:tblBorders>
        </w:tblPrEx>
        <w:trPr>
          <w:cantSplit/>
        </w:trPr>
        <w:tc>
          <w:tcPr>
            <w:tcW w:w="3686" w:type="dxa"/>
            <w:tcBorders>
              <w:top w:val="nil"/>
              <w:bottom w:val="nil"/>
              <w:right w:val="nil"/>
            </w:tcBorders>
          </w:tcPr>
          <w:p w:rsidR="00623C5A" w:rsidRPr="00B07B55" w:rsidRDefault="00623C5A" w:rsidP="00623C5A">
            <w:pPr>
              <w:pStyle w:val="Tabletext"/>
              <w:ind w:left="227"/>
              <w:rPr>
                <w:lang w:val="en-GB"/>
              </w:rPr>
            </w:pPr>
            <w:r>
              <w:rPr>
                <w:lang w:val="en-GB"/>
              </w:rPr>
              <w:t>Post</w:t>
            </w:r>
            <w:r w:rsidRPr="00B07B55">
              <w:rPr>
                <w:lang w:val="en-GB"/>
              </w:rPr>
              <w:t>graduate degree, cert., diploma</w:t>
            </w:r>
          </w:p>
        </w:tc>
        <w:tc>
          <w:tcPr>
            <w:tcW w:w="1275"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3.00</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2.30</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1.22</w:t>
            </w:r>
          </w:p>
        </w:tc>
        <w:tc>
          <w:tcPr>
            <w:tcW w:w="1276" w:type="dxa"/>
            <w:tcBorders>
              <w:top w:val="nil"/>
              <w:left w:val="nil"/>
              <w:bottom w:val="nil"/>
            </w:tcBorders>
          </w:tcPr>
          <w:p w:rsidR="00623C5A" w:rsidRPr="00B07B55" w:rsidRDefault="00623C5A" w:rsidP="00623C5A">
            <w:pPr>
              <w:pStyle w:val="Tabletext"/>
              <w:tabs>
                <w:tab w:val="decimal" w:pos="482"/>
              </w:tabs>
              <w:rPr>
                <w:lang w:val="en-GB"/>
              </w:rPr>
            </w:pPr>
            <w:r w:rsidRPr="00B07B55">
              <w:rPr>
                <w:lang w:val="en-GB"/>
              </w:rPr>
              <w:t>0.51</w:t>
            </w:r>
          </w:p>
        </w:tc>
      </w:tr>
      <w:tr w:rsidR="00623C5A" w:rsidRPr="00B07B55" w:rsidTr="00A75B57">
        <w:tblPrEx>
          <w:tblBorders>
            <w:bottom w:val="single" w:sz="4" w:space="0" w:color="auto"/>
          </w:tblBorders>
        </w:tblPrEx>
        <w:trPr>
          <w:cantSplit/>
        </w:trPr>
        <w:tc>
          <w:tcPr>
            <w:tcW w:w="3686" w:type="dxa"/>
            <w:tcBorders>
              <w:top w:val="nil"/>
              <w:bottom w:val="nil"/>
              <w:right w:val="nil"/>
            </w:tcBorders>
          </w:tcPr>
          <w:p w:rsidR="00623C5A" w:rsidRPr="00B07B55" w:rsidRDefault="00623C5A" w:rsidP="00623C5A">
            <w:pPr>
              <w:pStyle w:val="Tabletext"/>
              <w:ind w:left="227"/>
              <w:rPr>
                <w:lang w:val="en-GB"/>
              </w:rPr>
            </w:pPr>
            <w:r w:rsidRPr="00B07B55">
              <w:rPr>
                <w:lang w:val="en-GB"/>
              </w:rPr>
              <w:t>Bachelor degree</w:t>
            </w:r>
          </w:p>
        </w:tc>
        <w:tc>
          <w:tcPr>
            <w:tcW w:w="1275"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4.56</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2.02</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1.26</w:t>
            </w:r>
          </w:p>
        </w:tc>
        <w:tc>
          <w:tcPr>
            <w:tcW w:w="1276" w:type="dxa"/>
            <w:tcBorders>
              <w:top w:val="nil"/>
              <w:left w:val="nil"/>
              <w:bottom w:val="nil"/>
            </w:tcBorders>
          </w:tcPr>
          <w:p w:rsidR="00623C5A" w:rsidRPr="00B07B55" w:rsidRDefault="00623C5A" w:rsidP="00623C5A">
            <w:pPr>
              <w:pStyle w:val="Tabletext"/>
              <w:tabs>
                <w:tab w:val="decimal" w:pos="482"/>
              </w:tabs>
              <w:rPr>
                <w:lang w:val="en-GB"/>
              </w:rPr>
            </w:pPr>
            <w:r w:rsidRPr="00B07B55">
              <w:rPr>
                <w:lang w:val="en-GB"/>
              </w:rPr>
              <w:t>0.26</w:t>
            </w:r>
          </w:p>
        </w:tc>
      </w:tr>
      <w:tr w:rsidR="00623C5A" w:rsidRPr="00B07B55" w:rsidTr="00A75B57">
        <w:tblPrEx>
          <w:tblBorders>
            <w:bottom w:val="single" w:sz="4" w:space="0" w:color="auto"/>
          </w:tblBorders>
        </w:tblPrEx>
        <w:trPr>
          <w:cantSplit/>
        </w:trPr>
        <w:tc>
          <w:tcPr>
            <w:tcW w:w="3686" w:type="dxa"/>
            <w:tcBorders>
              <w:top w:val="nil"/>
              <w:bottom w:val="nil"/>
              <w:right w:val="nil"/>
            </w:tcBorders>
          </w:tcPr>
          <w:p w:rsidR="00623C5A" w:rsidRPr="00B07B55" w:rsidRDefault="00623C5A" w:rsidP="00623C5A">
            <w:pPr>
              <w:pStyle w:val="Tabletext"/>
              <w:ind w:left="227"/>
              <w:rPr>
                <w:lang w:val="en-GB"/>
              </w:rPr>
            </w:pPr>
            <w:r w:rsidRPr="00B07B55">
              <w:rPr>
                <w:lang w:val="en-GB"/>
              </w:rPr>
              <w:t>Advanced diploma or diploma</w:t>
            </w:r>
          </w:p>
        </w:tc>
        <w:tc>
          <w:tcPr>
            <w:tcW w:w="1275"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2.45</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1.83</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1.74</w:t>
            </w:r>
          </w:p>
        </w:tc>
        <w:tc>
          <w:tcPr>
            <w:tcW w:w="1276" w:type="dxa"/>
            <w:tcBorders>
              <w:top w:val="nil"/>
              <w:left w:val="nil"/>
              <w:bottom w:val="nil"/>
            </w:tcBorders>
          </w:tcPr>
          <w:p w:rsidR="00623C5A" w:rsidRPr="00B07B55" w:rsidRDefault="00623C5A" w:rsidP="00623C5A">
            <w:pPr>
              <w:pStyle w:val="Tabletext"/>
              <w:tabs>
                <w:tab w:val="decimal" w:pos="482"/>
              </w:tabs>
              <w:rPr>
                <w:lang w:val="en-GB"/>
              </w:rPr>
            </w:pPr>
            <w:r w:rsidRPr="00B07B55">
              <w:rPr>
                <w:lang w:val="en-GB"/>
              </w:rPr>
              <w:t>0.49</w:t>
            </w:r>
          </w:p>
        </w:tc>
      </w:tr>
      <w:tr w:rsidR="00623C5A" w:rsidRPr="00B07B55" w:rsidTr="00A75B57">
        <w:tblPrEx>
          <w:tblBorders>
            <w:bottom w:val="single" w:sz="4" w:space="0" w:color="auto"/>
          </w:tblBorders>
        </w:tblPrEx>
        <w:trPr>
          <w:cantSplit/>
        </w:trPr>
        <w:tc>
          <w:tcPr>
            <w:tcW w:w="3686" w:type="dxa"/>
            <w:tcBorders>
              <w:top w:val="nil"/>
              <w:bottom w:val="nil"/>
              <w:right w:val="nil"/>
            </w:tcBorders>
          </w:tcPr>
          <w:p w:rsidR="00623C5A" w:rsidRPr="00B07B55" w:rsidRDefault="00623C5A" w:rsidP="00623C5A">
            <w:pPr>
              <w:pStyle w:val="Tabletext"/>
              <w:ind w:left="227"/>
              <w:rPr>
                <w:lang w:val="en-GB"/>
              </w:rPr>
            </w:pPr>
            <w:r w:rsidRPr="00B07B55">
              <w:rPr>
                <w:lang w:val="en-GB"/>
              </w:rPr>
              <w:t>Certificate III/IV</w:t>
            </w:r>
          </w:p>
        </w:tc>
        <w:tc>
          <w:tcPr>
            <w:tcW w:w="1275"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3.28</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3.26</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2.39</w:t>
            </w:r>
          </w:p>
        </w:tc>
        <w:tc>
          <w:tcPr>
            <w:tcW w:w="1276" w:type="dxa"/>
            <w:tcBorders>
              <w:top w:val="nil"/>
              <w:left w:val="nil"/>
              <w:bottom w:val="nil"/>
            </w:tcBorders>
          </w:tcPr>
          <w:p w:rsidR="00623C5A" w:rsidRPr="00B07B55" w:rsidRDefault="00623C5A" w:rsidP="00623C5A">
            <w:pPr>
              <w:pStyle w:val="Tabletext"/>
              <w:tabs>
                <w:tab w:val="decimal" w:pos="482"/>
              </w:tabs>
              <w:rPr>
                <w:lang w:val="en-GB"/>
              </w:rPr>
            </w:pPr>
            <w:r w:rsidRPr="00B07B55">
              <w:rPr>
                <w:lang w:val="en-GB"/>
              </w:rPr>
              <w:t>1.19</w:t>
            </w:r>
          </w:p>
        </w:tc>
      </w:tr>
      <w:tr w:rsidR="00623C5A" w:rsidRPr="00B07B55" w:rsidTr="00A75B57">
        <w:tblPrEx>
          <w:tblBorders>
            <w:bottom w:val="single" w:sz="4" w:space="0" w:color="auto"/>
          </w:tblBorders>
        </w:tblPrEx>
        <w:trPr>
          <w:cantSplit/>
        </w:trPr>
        <w:tc>
          <w:tcPr>
            <w:tcW w:w="3686" w:type="dxa"/>
            <w:tcBorders>
              <w:top w:val="nil"/>
              <w:bottom w:val="nil"/>
              <w:right w:val="nil"/>
            </w:tcBorders>
          </w:tcPr>
          <w:p w:rsidR="00623C5A" w:rsidRPr="00B07B55" w:rsidRDefault="00623C5A" w:rsidP="00623C5A">
            <w:pPr>
              <w:pStyle w:val="Tabletext"/>
              <w:ind w:left="227"/>
              <w:rPr>
                <w:lang w:val="en-GB"/>
              </w:rPr>
            </w:pPr>
            <w:r w:rsidRPr="00B07B55">
              <w:rPr>
                <w:lang w:val="en-GB"/>
              </w:rPr>
              <w:t>Certificate I/II</w:t>
            </w:r>
          </w:p>
        </w:tc>
        <w:tc>
          <w:tcPr>
            <w:tcW w:w="1275"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0.32</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0.75</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0.35</w:t>
            </w:r>
          </w:p>
        </w:tc>
        <w:tc>
          <w:tcPr>
            <w:tcW w:w="1276" w:type="dxa"/>
            <w:tcBorders>
              <w:top w:val="nil"/>
              <w:left w:val="nil"/>
              <w:bottom w:val="nil"/>
            </w:tcBorders>
          </w:tcPr>
          <w:p w:rsidR="00623C5A" w:rsidRPr="00B07B55" w:rsidRDefault="00623C5A" w:rsidP="00623C5A">
            <w:pPr>
              <w:pStyle w:val="Tabletext"/>
              <w:tabs>
                <w:tab w:val="decimal" w:pos="482"/>
              </w:tabs>
              <w:rPr>
                <w:lang w:val="en-GB"/>
              </w:rPr>
            </w:pPr>
            <w:r w:rsidRPr="00B07B55">
              <w:rPr>
                <w:lang w:val="en-GB"/>
              </w:rPr>
              <w:t>0.29</w:t>
            </w:r>
          </w:p>
        </w:tc>
      </w:tr>
      <w:tr w:rsidR="00623C5A" w:rsidRPr="00B07B55" w:rsidTr="00A75B57">
        <w:tblPrEx>
          <w:tblBorders>
            <w:bottom w:val="single" w:sz="4" w:space="0" w:color="auto"/>
          </w:tblBorders>
        </w:tblPrEx>
        <w:trPr>
          <w:cantSplit/>
        </w:trPr>
        <w:tc>
          <w:tcPr>
            <w:tcW w:w="3686" w:type="dxa"/>
            <w:tcBorders>
              <w:top w:val="nil"/>
              <w:bottom w:val="nil"/>
              <w:right w:val="nil"/>
            </w:tcBorders>
          </w:tcPr>
          <w:p w:rsidR="00623C5A" w:rsidRPr="00B07B55" w:rsidRDefault="00623C5A" w:rsidP="00623C5A">
            <w:pPr>
              <w:pStyle w:val="Tabletext"/>
              <w:ind w:left="227"/>
              <w:rPr>
                <w:lang w:val="en-GB"/>
              </w:rPr>
            </w:pPr>
            <w:r w:rsidRPr="00B07B55">
              <w:rPr>
                <w:lang w:val="en-GB"/>
              </w:rPr>
              <w:t>Certificate not further defined</w:t>
            </w:r>
          </w:p>
        </w:tc>
        <w:tc>
          <w:tcPr>
            <w:tcW w:w="1275"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0.52</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0.38</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0.35</w:t>
            </w:r>
          </w:p>
        </w:tc>
        <w:tc>
          <w:tcPr>
            <w:tcW w:w="1276" w:type="dxa"/>
            <w:tcBorders>
              <w:top w:val="nil"/>
              <w:left w:val="nil"/>
              <w:bottom w:val="nil"/>
            </w:tcBorders>
          </w:tcPr>
          <w:p w:rsidR="00623C5A" w:rsidRPr="00B07B55" w:rsidRDefault="00623C5A" w:rsidP="00623C5A">
            <w:pPr>
              <w:pStyle w:val="Tabletext"/>
              <w:tabs>
                <w:tab w:val="decimal" w:pos="482"/>
              </w:tabs>
              <w:rPr>
                <w:lang w:val="en-GB"/>
              </w:rPr>
            </w:pPr>
            <w:r w:rsidRPr="00B07B55">
              <w:rPr>
                <w:lang w:val="en-GB"/>
              </w:rPr>
              <w:t>0.23</w:t>
            </w:r>
          </w:p>
        </w:tc>
      </w:tr>
      <w:tr w:rsidR="00623C5A" w:rsidRPr="00B07B55" w:rsidTr="00A75B57">
        <w:tblPrEx>
          <w:tblBorders>
            <w:bottom w:val="single" w:sz="4" w:space="0" w:color="auto"/>
          </w:tblBorders>
        </w:tblPrEx>
        <w:trPr>
          <w:cantSplit/>
        </w:trPr>
        <w:tc>
          <w:tcPr>
            <w:tcW w:w="3686" w:type="dxa"/>
            <w:tcBorders>
              <w:top w:val="nil"/>
              <w:bottom w:val="nil"/>
              <w:right w:val="nil"/>
            </w:tcBorders>
          </w:tcPr>
          <w:p w:rsidR="00623C5A" w:rsidRPr="00B07B55" w:rsidRDefault="00623C5A" w:rsidP="00623C5A">
            <w:pPr>
              <w:pStyle w:val="Tabletext"/>
              <w:ind w:left="227"/>
              <w:rPr>
                <w:lang w:val="en-GB"/>
              </w:rPr>
            </w:pPr>
            <w:r w:rsidRPr="00B07B55">
              <w:rPr>
                <w:lang w:val="en-GB"/>
              </w:rPr>
              <w:t>Level not determined</w:t>
            </w:r>
          </w:p>
        </w:tc>
        <w:tc>
          <w:tcPr>
            <w:tcW w:w="1275"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0.68</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0.18</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0.33</w:t>
            </w:r>
          </w:p>
        </w:tc>
        <w:tc>
          <w:tcPr>
            <w:tcW w:w="1276" w:type="dxa"/>
            <w:tcBorders>
              <w:top w:val="nil"/>
              <w:left w:val="nil"/>
              <w:bottom w:val="nil"/>
            </w:tcBorders>
          </w:tcPr>
          <w:p w:rsidR="00623C5A" w:rsidRPr="00B07B55" w:rsidRDefault="00623C5A" w:rsidP="00623C5A">
            <w:pPr>
              <w:pStyle w:val="Tabletext"/>
              <w:tabs>
                <w:tab w:val="decimal" w:pos="482"/>
              </w:tabs>
              <w:rPr>
                <w:lang w:val="en-GB"/>
              </w:rPr>
            </w:pPr>
            <w:r w:rsidRPr="00B07B55">
              <w:rPr>
                <w:lang w:val="en-GB"/>
              </w:rPr>
              <w:t>0.10</w:t>
            </w:r>
          </w:p>
        </w:tc>
      </w:tr>
      <w:tr w:rsidR="009B66F6" w:rsidRPr="00B07B55" w:rsidTr="00A75B57">
        <w:tblPrEx>
          <w:tblBorders>
            <w:bottom w:val="single" w:sz="4" w:space="0" w:color="auto"/>
          </w:tblBorders>
        </w:tblPrEx>
        <w:trPr>
          <w:cantSplit/>
        </w:trPr>
        <w:tc>
          <w:tcPr>
            <w:tcW w:w="3686" w:type="dxa"/>
            <w:tcBorders>
              <w:top w:val="nil"/>
              <w:bottom w:val="nil"/>
              <w:right w:val="nil"/>
            </w:tcBorders>
          </w:tcPr>
          <w:p w:rsidR="009B66F6" w:rsidRPr="00B07B55" w:rsidRDefault="009B66F6" w:rsidP="00030733">
            <w:pPr>
              <w:pStyle w:val="Tabletext"/>
              <w:rPr>
                <w:lang w:val="en-GB"/>
              </w:rPr>
            </w:pPr>
            <w:r w:rsidRPr="00B07B55">
              <w:rPr>
                <w:lang w:val="en-GB"/>
              </w:rPr>
              <w:t>Apprentice or trainee</w:t>
            </w:r>
          </w:p>
        </w:tc>
        <w:tc>
          <w:tcPr>
            <w:tcW w:w="1275" w:type="dxa"/>
            <w:tcBorders>
              <w:top w:val="nil"/>
              <w:left w:val="nil"/>
              <w:bottom w:val="nil"/>
              <w:right w:val="nil"/>
            </w:tcBorders>
          </w:tcPr>
          <w:p w:rsidR="009B66F6" w:rsidRPr="00B07B55" w:rsidRDefault="009B66F6" w:rsidP="00623C5A">
            <w:pPr>
              <w:pStyle w:val="Tabletext"/>
              <w:tabs>
                <w:tab w:val="decimal" w:pos="482"/>
              </w:tabs>
              <w:rPr>
                <w:lang w:val="en-GB"/>
              </w:rPr>
            </w:pPr>
            <w:r w:rsidRPr="00B07B55">
              <w:rPr>
                <w:lang w:val="en-GB"/>
              </w:rPr>
              <w:t>0.59</w:t>
            </w:r>
          </w:p>
        </w:tc>
        <w:tc>
          <w:tcPr>
            <w:tcW w:w="1276" w:type="dxa"/>
            <w:tcBorders>
              <w:top w:val="nil"/>
              <w:left w:val="nil"/>
              <w:bottom w:val="nil"/>
              <w:right w:val="nil"/>
            </w:tcBorders>
          </w:tcPr>
          <w:p w:rsidR="009B66F6" w:rsidRPr="00B07B55" w:rsidRDefault="009B66F6" w:rsidP="00623C5A">
            <w:pPr>
              <w:pStyle w:val="Tabletext"/>
              <w:tabs>
                <w:tab w:val="decimal" w:pos="482"/>
              </w:tabs>
              <w:rPr>
                <w:lang w:val="en-GB"/>
              </w:rPr>
            </w:pPr>
            <w:r w:rsidRPr="00B07B55">
              <w:rPr>
                <w:lang w:val="en-GB"/>
              </w:rPr>
              <w:t>0.53</w:t>
            </w:r>
          </w:p>
        </w:tc>
        <w:tc>
          <w:tcPr>
            <w:tcW w:w="1276" w:type="dxa"/>
            <w:tcBorders>
              <w:top w:val="nil"/>
              <w:left w:val="nil"/>
              <w:bottom w:val="nil"/>
              <w:right w:val="nil"/>
            </w:tcBorders>
          </w:tcPr>
          <w:p w:rsidR="009B66F6" w:rsidRPr="00B07B55" w:rsidRDefault="009B66F6" w:rsidP="00623C5A">
            <w:pPr>
              <w:pStyle w:val="Tabletext"/>
              <w:tabs>
                <w:tab w:val="decimal" w:pos="482"/>
              </w:tabs>
              <w:rPr>
                <w:lang w:val="en-GB"/>
              </w:rPr>
            </w:pPr>
            <w:r w:rsidRPr="00B07B55">
              <w:rPr>
                <w:lang w:val="en-GB"/>
              </w:rPr>
              <w:t>0.41</w:t>
            </w:r>
          </w:p>
        </w:tc>
        <w:tc>
          <w:tcPr>
            <w:tcW w:w="1276" w:type="dxa"/>
            <w:tcBorders>
              <w:top w:val="nil"/>
              <w:left w:val="nil"/>
              <w:bottom w:val="nil"/>
            </w:tcBorders>
          </w:tcPr>
          <w:p w:rsidR="009B66F6" w:rsidRPr="00B07B55" w:rsidRDefault="009B66F6" w:rsidP="00623C5A">
            <w:pPr>
              <w:pStyle w:val="Tabletext"/>
              <w:tabs>
                <w:tab w:val="decimal" w:pos="482"/>
              </w:tabs>
              <w:rPr>
                <w:lang w:val="en-GB"/>
              </w:rPr>
            </w:pPr>
            <w:r w:rsidRPr="00B07B55">
              <w:rPr>
                <w:lang w:val="en-GB"/>
              </w:rPr>
              <w:t>0.22</w:t>
            </w:r>
          </w:p>
        </w:tc>
      </w:tr>
      <w:tr w:rsidR="00A21333" w:rsidRPr="00B07B55" w:rsidTr="00A75B57">
        <w:tblPrEx>
          <w:tblBorders>
            <w:bottom w:val="single" w:sz="4" w:space="0" w:color="auto"/>
          </w:tblBorders>
        </w:tblPrEx>
        <w:trPr>
          <w:cantSplit/>
        </w:trPr>
        <w:tc>
          <w:tcPr>
            <w:tcW w:w="3686" w:type="dxa"/>
            <w:tcBorders>
              <w:top w:val="nil"/>
              <w:bottom w:val="nil"/>
              <w:right w:val="nil"/>
            </w:tcBorders>
          </w:tcPr>
          <w:p w:rsidR="00A21333" w:rsidRPr="008F2383" w:rsidRDefault="00A21333" w:rsidP="00A75B57">
            <w:pPr>
              <w:pStyle w:val="Tabletext"/>
              <w:spacing w:before="120"/>
              <w:rPr>
                <w:lang w:val="en-GB"/>
              </w:rPr>
            </w:pPr>
            <w:r w:rsidRPr="008F2383">
              <w:rPr>
                <w:lang w:val="en-GB"/>
              </w:rPr>
              <w:t>Institution type</w:t>
            </w:r>
          </w:p>
        </w:tc>
        <w:tc>
          <w:tcPr>
            <w:tcW w:w="1275" w:type="dxa"/>
            <w:tcBorders>
              <w:top w:val="nil"/>
              <w:left w:val="nil"/>
              <w:bottom w:val="nil"/>
              <w:right w:val="nil"/>
            </w:tcBorders>
          </w:tcPr>
          <w:p w:rsidR="00A21333" w:rsidRPr="00B07B55" w:rsidRDefault="00A21333" w:rsidP="00623C5A">
            <w:pPr>
              <w:pStyle w:val="Tabletext"/>
              <w:tabs>
                <w:tab w:val="decimal" w:pos="482"/>
              </w:tabs>
              <w:spacing w:before="120"/>
              <w:rPr>
                <w:lang w:val="en-GB"/>
              </w:rPr>
            </w:pPr>
          </w:p>
        </w:tc>
        <w:tc>
          <w:tcPr>
            <w:tcW w:w="1276" w:type="dxa"/>
            <w:tcBorders>
              <w:top w:val="nil"/>
              <w:left w:val="nil"/>
              <w:bottom w:val="nil"/>
              <w:right w:val="nil"/>
            </w:tcBorders>
          </w:tcPr>
          <w:p w:rsidR="00A21333" w:rsidRPr="00B07B55" w:rsidRDefault="00A21333" w:rsidP="00623C5A">
            <w:pPr>
              <w:pStyle w:val="Tabletext"/>
              <w:tabs>
                <w:tab w:val="decimal" w:pos="482"/>
              </w:tabs>
              <w:spacing w:before="120"/>
              <w:rPr>
                <w:lang w:val="en-GB"/>
              </w:rPr>
            </w:pPr>
          </w:p>
        </w:tc>
        <w:tc>
          <w:tcPr>
            <w:tcW w:w="1276" w:type="dxa"/>
            <w:tcBorders>
              <w:top w:val="nil"/>
              <w:left w:val="nil"/>
              <w:bottom w:val="nil"/>
              <w:right w:val="nil"/>
            </w:tcBorders>
          </w:tcPr>
          <w:p w:rsidR="00A21333" w:rsidRPr="00B07B55" w:rsidRDefault="00A21333" w:rsidP="00623C5A">
            <w:pPr>
              <w:pStyle w:val="Tabletext"/>
              <w:tabs>
                <w:tab w:val="decimal" w:pos="482"/>
              </w:tabs>
              <w:spacing w:before="120"/>
              <w:rPr>
                <w:lang w:val="en-GB"/>
              </w:rPr>
            </w:pPr>
          </w:p>
        </w:tc>
        <w:tc>
          <w:tcPr>
            <w:tcW w:w="1276" w:type="dxa"/>
            <w:tcBorders>
              <w:top w:val="nil"/>
              <w:left w:val="nil"/>
              <w:bottom w:val="nil"/>
            </w:tcBorders>
          </w:tcPr>
          <w:p w:rsidR="00A21333" w:rsidRPr="00B07B55" w:rsidRDefault="00A21333" w:rsidP="00623C5A">
            <w:pPr>
              <w:pStyle w:val="Tabletext"/>
              <w:tabs>
                <w:tab w:val="decimal" w:pos="482"/>
              </w:tabs>
              <w:spacing w:before="120"/>
              <w:rPr>
                <w:lang w:val="en-GB"/>
              </w:rPr>
            </w:pPr>
          </w:p>
        </w:tc>
      </w:tr>
      <w:tr w:rsidR="00623C5A" w:rsidRPr="00B07B55" w:rsidTr="00A75B57">
        <w:tblPrEx>
          <w:tblBorders>
            <w:bottom w:val="single" w:sz="4" w:space="0" w:color="auto"/>
          </w:tblBorders>
        </w:tblPrEx>
        <w:trPr>
          <w:cantSplit/>
        </w:trPr>
        <w:tc>
          <w:tcPr>
            <w:tcW w:w="3686" w:type="dxa"/>
            <w:tcBorders>
              <w:top w:val="nil"/>
              <w:bottom w:val="nil"/>
              <w:right w:val="nil"/>
            </w:tcBorders>
          </w:tcPr>
          <w:p w:rsidR="00623C5A" w:rsidRPr="00B07B55" w:rsidRDefault="00623C5A" w:rsidP="00623C5A">
            <w:pPr>
              <w:pStyle w:val="Tabletext"/>
              <w:ind w:left="227"/>
              <w:rPr>
                <w:lang w:val="en-GB"/>
              </w:rPr>
            </w:pPr>
            <w:r w:rsidRPr="00B07B55">
              <w:rPr>
                <w:lang w:val="en-GB"/>
              </w:rPr>
              <w:t>At university or other higher educ.</w:t>
            </w:r>
          </w:p>
        </w:tc>
        <w:tc>
          <w:tcPr>
            <w:tcW w:w="1275"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7.61</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4.59</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2.55</w:t>
            </w:r>
          </w:p>
        </w:tc>
        <w:tc>
          <w:tcPr>
            <w:tcW w:w="1276" w:type="dxa"/>
            <w:tcBorders>
              <w:top w:val="nil"/>
              <w:left w:val="nil"/>
              <w:bottom w:val="nil"/>
            </w:tcBorders>
          </w:tcPr>
          <w:p w:rsidR="00623C5A" w:rsidRPr="00B07B55" w:rsidRDefault="00623C5A" w:rsidP="00623C5A">
            <w:pPr>
              <w:pStyle w:val="Tabletext"/>
              <w:tabs>
                <w:tab w:val="decimal" w:pos="482"/>
              </w:tabs>
              <w:rPr>
                <w:lang w:val="en-GB"/>
              </w:rPr>
            </w:pPr>
            <w:r w:rsidRPr="00B07B55">
              <w:rPr>
                <w:lang w:val="en-GB"/>
              </w:rPr>
              <w:t>0.88</w:t>
            </w:r>
          </w:p>
        </w:tc>
      </w:tr>
      <w:tr w:rsidR="00623C5A" w:rsidRPr="00B07B55" w:rsidTr="00A75B57">
        <w:tblPrEx>
          <w:tblBorders>
            <w:bottom w:val="single" w:sz="4" w:space="0" w:color="auto"/>
          </w:tblBorders>
        </w:tblPrEx>
        <w:trPr>
          <w:cantSplit/>
        </w:trPr>
        <w:tc>
          <w:tcPr>
            <w:tcW w:w="3686" w:type="dxa"/>
            <w:tcBorders>
              <w:top w:val="nil"/>
              <w:bottom w:val="nil"/>
              <w:right w:val="nil"/>
            </w:tcBorders>
          </w:tcPr>
          <w:p w:rsidR="00623C5A" w:rsidRPr="00B07B55" w:rsidRDefault="00623C5A" w:rsidP="00623C5A">
            <w:pPr>
              <w:pStyle w:val="Tabletext"/>
              <w:ind w:left="227"/>
              <w:rPr>
                <w:lang w:val="en-GB"/>
              </w:rPr>
            </w:pPr>
            <w:r w:rsidRPr="00B07B55">
              <w:rPr>
                <w:lang w:val="en-GB"/>
              </w:rPr>
              <w:t>At TAFE, technical, vocational</w:t>
            </w:r>
          </w:p>
        </w:tc>
        <w:tc>
          <w:tcPr>
            <w:tcW w:w="1275"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3.39</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2.57</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2.67</w:t>
            </w:r>
          </w:p>
        </w:tc>
        <w:tc>
          <w:tcPr>
            <w:tcW w:w="1276" w:type="dxa"/>
            <w:tcBorders>
              <w:top w:val="nil"/>
              <w:left w:val="nil"/>
              <w:bottom w:val="nil"/>
            </w:tcBorders>
          </w:tcPr>
          <w:p w:rsidR="00623C5A" w:rsidRPr="00B07B55" w:rsidRDefault="00623C5A" w:rsidP="00623C5A">
            <w:pPr>
              <w:pStyle w:val="Tabletext"/>
              <w:tabs>
                <w:tab w:val="decimal" w:pos="482"/>
              </w:tabs>
              <w:rPr>
                <w:lang w:val="en-GB"/>
              </w:rPr>
            </w:pPr>
            <w:r w:rsidRPr="00B07B55">
              <w:rPr>
                <w:lang w:val="en-GB"/>
              </w:rPr>
              <w:t>0.94</w:t>
            </w:r>
          </w:p>
        </w:tc>
      </w:tr>
      <w:tr w:rsidR="00623C5A" w:rsidRPr="00B07B55" w:rsidTr="00A75B57">
        <w:tblPrEx>
          <w:tblBorders>
            <w:bottom w:val="single" w:sz="4" w:space="0" w:color="auto"/>
          </w:tblBorders>
        </w:tblPrEx>
        <w:trPr>
          <w:cantSplit/>
        </w:trPr>
        <w:tc>
          <w:tcPr>
            <w:tcW w:w="3686" w:type="dxa"/>
            <w:tcBorders>
              <w:top w:val="nil"/>
              <w:bottom w:val="nil"/>
              <w:right w:val="nil"/>
            </w:tcBorders>
          </w:tcPr>
          <w:p w:rsidR="00623C5A" w:rsidRPr="00B07B55" w:rsidRDefault="00623C5A" w:rsidP="00623C5A">
            <w:pPr>
              <w:pStyle w:val="Tabletext"/>
              <w:ind w:left="227"/>
              <w:rPr>
                <w:lang w:val="en-GB"/>
              </w:rPr>
            </w:pPr>
            <w:r w:rsidRPr="00B07B55">
              <w:rPr>
                <w:lang w:val="en-GB"/>
              </w:rPr>
              <w:t>Other (secondary, business, professional)</w:t>
            </w:r>
          </w:p>
        </w:tc>
        <w:tc>
          <w:tcPr>
            <w:tcW w:w="1275"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3.82</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3.54</w:t>
            </w:r>
          </w:p>
        </w:tc>
        <w:tc>
          <w:tcPr>
            <w:tcW w:w="1276" w:type="dxa"/>
            <w:tcBorders>
              <w:top w:val="nil"/>
              <w:left w:val="nil"/>
              <w:bottom w:val="nil"/>
              <w:right w:val="nil"/>
            </w:tcBorders>
          </w:tcPr>
          <w:p w:rsidR="00623C5A" w:rsidRPr="00B07B55" w:rsidRDefault="00623C5A" w:rsidP="00623C5A">
            <w:pPr>
              <w:pStyle w:val="Tabletext"/>
              <w:tabs>
                <w:tab w:val="decimal" w:pos="482"/>
              </w:tabs>
              <w:rPr>
                <w:lang w:val="en-GB"/>
              </w:rPr>
            </w:pPr>
            <w:r w:rsidRPr="00B07B55">
              <w:rPr>
                <w:lang w:val="en-GB"/>
              </w:rPr>
              <w:t>2.42</w:t>
            </w:r>
          </w:p>
        </w:tc>
        <w:tc>
          <w:tcPr>
            <w:tcW w:w="1276" w:type="dxa"/>
            <w:tcBorders>
              <w:top w:val="nil"/>
              <w:left w:val="nil"/>
              <w:bottom w:val="nil"/>
            </w:tcBorders>
          </w:tcPr>
          <w:p w:rsidR="00623C5A" w:rsidRPr="00B07B55" w:rsidRDefault="00623C5A" w:rsidP="00623C5A">
            <w:pPr>
              <w:pStyle w:val="Tabletext"/>
              <w:tabs>
                <w:tab w:val="decimal" w:pos="482"/>
              </w:tabs>
              <w:rPr>
                <w:lang w:val="en-GB"/>
              </w:rPr>
            </w:pPr>
            <w:r w:rsidRPr="00B07B55">
              <w:rPr>
                <w:lang w:val="en-GB"/>
              </w:rPr>
              <w:t>1.24</w:t>
            </w:r>
          </w:p>
        </w:tc>
      </w:tr>
      <w:tr w:rsidR="00185FAF" w:rsidRPr="00B07B55" w:rsidTr="00A75B57">
        <w:tblPrEx>
          <w:tblBorders>
            <w:bottom w:val="single" w:sz="4" w:space="0" w:color="auto"/>
          </w:tblBorders>
        </w:tblPrEx>
        <w:trPr>
          <w:cantSplit/>
        </w:trPr>
        <w:tc>
          <w:tcPr>
            <w:tcW w:w="3686" w:type="dxa"/>
            <w:tcBorders>
              <w:top w:val="nil"/>
              <w:bottom w:val="nil"/>
              <w:right w:val="nil"/>
            </w:tcBorders>
          </w:tcPr>
          <w:p w:rsidR="00185FAF" w:rsidRPr="00B07B55" w:rsidRDefault="00185FAF" w:rsidP="00030733">
            <w:pPr>
              <w:pStyle w:val="Tabletext"/>
              <w:rPr>
                <w:lang w:val="en-GB"/>
              </w:rPr>
            </w:pPr>
            <w:r w:rsidRPr="00B07B55">
              <w:rPr>
                <w:lang w:val="en-GB"/>
              </w:rPr>
              <w:t>Proportion in full-time study</w:t>
            </w:r>
          </w:p>
        </w:tc>
        <w:tc>
          <w:tcPr>
            <w:tcW w:w="1275" w:type="dxa"/>
            <w:tcBorders>
              <w:top w:val="nil"/>
              <w:left w:val="nil"/>
              <w:bottom w:val="nil"/>
              <w:right w:val="nil"/>
            </w:tcBorders>
          </w:tcPr>
          <w:p w:rsidR="00185FAF" w:rsidRPr="00B07B55" w:rsidRDefault="00DD6FFA" w:rsidP="00623C5A">
            <w:pPr>
              <w:pStyle w:val="Tabletext"/>
              <w:tabs>
                <w:tab w:val="decimal" w:pos="482"/>
              </w:tabs>
              <w:rPr>
                <w:lang w:val="en-GB"/>
              </w:rPr>
            </w:pPr>
            <w:r w:rsidRPr="00B07B55">
              <w:rPr>
                <w:lang w:val="en-GB"/>
              </w:rPr>
              <w:t>0.</w:t>
            </w:r>
            <w:r w:rsidR="00185FAF" w:rsidRPr="00B07B55">
              <w:rPr>
                <w:lang w:val="en-GB"/>
              </w:rPr>
              <w:t>35</w:t>
            </w:r>
          </w:p>
        </w:tc>
        <w:tc>
          <w:tcPr>
            <w:tcW w:w="1276" w:type="dxa"/>
            <w:tcBorders>
              <w:top w:val="nil"/>
              <w:left w:val="nil"/>
              <w:bottom w:val="nil"/>
              <w:right w:val="nil"/>
            </w:tcBorders>
          </w:tcPr>
          <w:p w:rsidR="00185FAF" w:rsidRPr="00B07B55" w:rsidRDefault="00DD6FFA" w:rsidP="00623C5A">
            <w:pPr>
              <w:pStyle w:val="Tabletext"/>
              <w:tabs>
                <w:tab w:val="decimal" w:pos="482"/>
              </w:tabs>
              <w:rPr>
                <w:lang w:val="en-GB"/>
              </w:rPr>
            </w:pPr>
            <w:r w:rsidRPr="00B07B55">
              <w:rPr>
                <w:lang w:val="en-GB"/>
              </w:rPr>
              <w:t>0.</w:t>
            </w:r>
            <w:r w:rsidR="00185FAF" w:rsidRPr="00B07B55">
              <w:rPr>
                <w:lang w:val="en-GB"/>
              </w:rPr>
              <w:t>22</w:t>
            </w:r>
          </w:p>
        </w:tc>
        <w:tc>
          <w:tcPr>
            <w:tcW w:w="1276" w:type="dxa"/>
            <w:tcBorders>
              <w:top w:val="nil"/>
              <w:left w:val="nil"/>
              <w:bottom w:val="nil"/>
              <w:right w:val="nil"/>
            </w:tcBorders>
          </w:tcPr>
          <w:p w:rsidR="00185FAF" w:rsidRPr="00B07B55" w:rsidRDefault="00DD6FFA" w:rsidP="00623C5A">
            <w:pPr>
              <w:pStyle w:val="Tabletext"/>
              <w:tabs>
                <w:tab w:val="decimal" w:pos="482"/>
              </w:tabs>
              <w:rPr>
                <w:lang w:val="en-GB"/>
              </w:rPr>
            </w:pPr>
            <w:r w:rsidRPr="00B07B55">
              <w:rPr>
                <w:lang w:val="en-GB"/>
              </w:rPr>
              <w:t>0.</w:t>
            </w:r>
            <w:r w:rsidR="00185FAF" w:rsidRPr="00B07B55">
              <w:rPr>
                <w:lang w:val="en-GB"/>
              </w:rPr>
              <w:t>15</w:t>
            </w:r>
          </w:p>
        </w:tc>
        <w:tc>
          <w:tcPr>
            <w:tcW w:w="1276" w:type="dxa"/>
            <w:tcBorders>
              <w:top w:val="nil"/>
              <w:left w:val="nil"/>
              <w:bottom w:val="nil"/>
            </w:tcBorders>
          </w:tcPr>
          <w:p w:rsidR="00185FAF" w:rsidRPr="00B07B55" w:rsidRDefault="00DD6FFA" w:rsidP="00623C5A">
            <w:pPr>
              <w:pStyle w:val="Tabletext"/>
              <w:tabs>
                <w:tab w:val="decimal" w:pos="482"/>
              </w:tabs>
              <w:rPr>
                <w:lang w:val="en-GB"/>
              </w:rPr>
            </w:pPr>
            <w:r w:rsidRPr="00B07B55">
              <w:rPr>
                <w:lang w:val="en-GB"/>
              </w:rPr>
              <w:t>0.</w:t>
            </w:r>
            <w:r w:rsidR="00185FAF" w:rsidRPr="00B07B55">
              <w:rPr>
                <w:lang w:val="en-GB"/>
              </w:rPr>
              <w:t>18</w:t>
            </w:r>
          </w:p>
        </w:tc>
      </w:tr>
      <w:tr w:rsidR="00185FAF" w:rsidRPr="00B07B55" w:rsidTr="00A75B57">
        <w:tblPrEx>
          <w:tblBorders>
            <w:bottom w:val="single" w:sz="4" w:space="0" w:color="auto"/>
          </w:tblBorders>
        </w:tblPrEx>
        <w:trPr>
          <w:cantSplit/>
        </w:trPr>
        <w:tc>
          <w:tcPr>
            <w:tcW w:w="3686" w:type="dxa"/>
            <w:tcBorders>
              <w:top w:val="nil"/>
              <w:bottom w:val="nil"/>
              <w:right w:val="nil"/>
            </w:tcBorders>
          </w:tcPr>
          <w:p w:rsidR="00185FAF" w:rsidRPr="00B07B55" w:rsidRDefault="00185FAF" w:rsidP="00030733">
            <w:pPr>
              <w:pStyle w:val="Tabletext"/>
              <w:rPr>
                <w:lang w:val="en-GB"/>
              </w:rPr>
            </w:pPr>
            <w:r w:rsidRPr="00B07B55">
              <w:rPr>
                <w:lang w:val="en-GB"/>
              </w:rPr>
              <w:t>Proportion in correspondence or distance</w:t>
            </w:r>
          </w:p>
        </w:tc>
        <w:tc>
          <w:tcPr>
            <w:tcW w:w="1275" w:type="dxa"/>
            <w:tcBorders>
              <w:top w:val="nil"/>
              <w:left w:val="nil"/>
              <w:bottom w:val="nil"/>
              <w:right w:val="nil"/>
            </w:tcBorders>
          </w:tcPr>
          <w:p w:rsidR="00185FAF" w:rsidRPr="00B07B55" w:rsidRDefault="00DD6FFA" w:rsidP="00623C5A">
            <w:pPr>
              <w:pStyle w:val="Tabletext"/>
              <w:tabs>
                <w:tab w:val="decimal" w:pos="482"/>
              </w:tabs>
              <w:rPr>
                <w:lang w:val="en-GB"/>
              </w:rPr>
            </w:pPr>
            <w:r w:rsidRPr="00B07B55">
              <w:rPr>
                <w:lang w:val="en-GB"/>
              </w:rPr>
              <w:t>0.</w:t>
            </w:r>
            <w:r w:rsidR="00185FAF" w:rsidRPr="00B07B55">
              <w:rPr>
                <w:lang w:val="en-GB"/>
              </w:rPr>
              <w:t>40</w:t>
            </w:r>
          </w:p>
        </w:tc>
        <w:tc>
          <w:tcPr>
            <w:tcW w:w="1276" w:type="dxa"/>
            <w:tcBorders>
              <w:top w:val="nil"/>
              <w:left w:val="nil"/>
              <w:bottom w:val="nil"/>
              <w:right w:val="nil"/>
            </w:tcBorders>
          </w:tcPr>
          <w:p w:rsidR="00185FAF" w:rsidRPr="00B07B55" w:rsidRDefault="00DD6FFA" w:rsidP="00623C5A">
            <w:pPr>
              <w:pStyle w:val="Tabletext"/>
              <w:tabs>
                <w:tab w:val="decimal" w:pos="482"/>
              </w:tabs>
              <w:rPr>
                <w:lang w:val="en-GB"/>
              </w:rPr>
            </w:pPr>
            <w:r w:rsidRPr="00B07B55">
              <w:rPr>
                <w:lang w:val="en-GB"/>
              </w:rPr>
              <w:t>0.</w:t>
            </w:r>
            <w:r w:rsidR="00185FAF" w:rsidRPr="00B07B55">
              <w:rPr>
                <w:lang w:val="en-GB"/>
              </w:rPr>
              <w:t>44</w:t>
            </w:r>
          </w:p>
        </w:tc>
        <w:tc>
          <w:tcPr>
            <w:tcW w:w="1276" w:type="dxa"/>
            <w:tcBorders>
              <w:top w:val="nil"/>
              <w:left w:val="nil"/>
              <w:bottom w:val="nil"/>
              <w:right w:val="nil"/>
            </w:tcBorders>
          </w:tcPr>
          <w:p w:rsidR="00185FAF" w:rsidRPr="00B07B55" w:rsidRDefault="00DD6FFA" w:rsidP="00623C5A">
            <w:pPr>
              <w:pStyle w:val="Tabletext"/>
              <w:tabs>
                <w:tab w:val="decimal" w:pos="482"/>
              </w:tabs>
              <w:rPr>
                <w:lang w:val="en-GB"/>
              </w:rPr>
            </w:pPr>
            <w:r w:rsidRPr="00B07B55">
              <w:rPr>
                <w:lang w:val="en-GB"/>
              </w:rPr>
              <w:t>0.</w:t>
            </w:r>
            <w:r w:rsidR="00185FAF" w:rsidRPr="00B07B55">
              <w:rPr>
                <w:lang w:val="en-GB"/>
              </w:rPr>
              <w:t>40</w:t>
            </w:r>
          </w:p>
        </w:tc>
        <w:tc>
          <w:tcPr>
            <w:tcW w:w="1276" w:type="dxa"/>
            <w:tcBorders>
              <w:top w:val="nil"/>
              <w:left w:val="nil"/>
              <w:bottom w:val="nil"/>
            </w:tcBorders>
          </w:tcPr>
          <w:p w:rsidR="00185FAF" w:rsidRPr="00B07B55" w:rsidRDefault="00DD6FFA" w:rsidP="00623C5A">
            <w:pPr>
              <w:pStyle w:val="Tabletext"/>
              <w:tabs>
                <w:tab w:val="decimal" w:pos="482"/>
              </w:tabs>
              <w:rPr>
                <w:lang w:val="en-GB"/>
              </w:rPr>
            </w:pPr>
            <w:r w:rsidRPr="00B07B55">
              <w:rPr>
                <w:lang w:val="en-GB"/>
              </w:rPr>
              <w:t>0.</w:t>
            </w:r>
            <w:r w:rsidR="00185FAF" w:rsidRPr="00B07B55">
              <w:rPr>
                <w:lang w:val="en-GB"/>
              </w:rPr>
              <w:t>33</w:t>
            </w:r>
          </w:p>
        </w:tc>
      </w:tr>
      <w:tr w:rsidR="00185FAF" w:rsidRPr="009B641C" w:rsidTr="00A75B57">
        <w:tblPrEx>
          <w:tblBorders>
            <w:bottom w:val="single" w:sz="4" w:space="0" w:color="auto"/>
          </w:tblBorders>
        </w:tblPrEx>
        <w:trPr>
          <w:cantSplit/>
        </w:trPr>
        <w:tc>
          <w:tcPr>
            <w:tcW w:w="3686" w:type="dxa"/>
            <w:tcBorders>
              <w:top w:val="nil"/>
              <w:bottom w:val="single" w:sz="4" w:space="0" w:color="auto"/>
              <w:right w:val="nil"/>
            </w:tcBorders>
          </w:tcPr>
          <w:p w:rsidR="00185FAF" w:rsidRPr="009B641C" w:rsidRDefault="00185FAF" w:rsidP="00A75B57">
            <w:pPr>
              <w:pStyle w:val="Tabletext"/>
              <w:spacing w:before="120"/>
              <w:rPr>
                <w:i/>
                <w:lang w:val="en-GB"/>
              </w:rPr>
            </w:pPr>
            <w:r w:rsidRPr="009B641C">
              <w:rPr>
                <w:i/>
                <w:lang w:val="en-GB"/>
              </w:rPr>
              <w:t>O</w:t>
            </w:r>
            <w:r w:rsidR="00EB0C29" w:rsidRPr="009B641C">
              <w:rPr>
                <w:i/>
                <w:lang w:val="en-GB"/>
              </w:rPr>
              <w:t>bservations</w:t>
            </w:r>
          </w:p>
        </w:tc>
        <w:tc>
          <w:tcPr>
            <w:tcW w:w="1275" w:type="dxa"/>
            <w:tcBorders>
              <w:top w:val="nil"/>
              <w:left w:val="nil"/>
              <w:bottom w:val="single" w:sz="4" w:space="0" w:color="auto"/>
              <w:right w:val="nil"/>
            </w:tcBorders>
          </w:tcPr>
          <w:p w:rsidR="00185FAF" w:rsidRPr="009B641C" w:rsidRDefault="00B24059" w:rsidP="00623C5A">
            <w:pPr>
              <w:pStyle w:val="Tabletext"/>
              <w:spacing w:before="120"/>
              <w:jc w:val="center"/>
              <w:rPr>
                <w:i/>
                <w:lang w:val="en-GB"/>
              </w:rPr>
            </w:pPr>
            <w:r w:rsidRPr="009B641C">
              <w:rPr>
                <w:i/>
                <w:lang w:val="en-GB"/>
              </w:rPr>
              <w:t>2</w:t>
            </w:r>
            <w:r w:rsidR="00185FAF" w:rsidRPr="009B641C">
              <w:rPr>
                <w:i/>
                <w:lang w:val="en-GB"/>
              </w:rPr>
              <w:t>313</w:t>
            </w:r>
          </w:p>
        </w:tc>
        <w:tc>
          <w:tcPr>
            <w:tcW w:w="1276" w:type="dxa"/>
            <w:tcBorders>
              <w:top w:val="nil"/>
              <w:left w:val="nil"/>
              <w:bottom w:val="single" w:sz="4" w:space="0" w:color="auto"/>
              <w:right w:val="nil"/>
            </w:tcBorders>
          </w:tcPr>
          <w:p w:rsidR="00185FAF" w:rsidRPr="009B641C" w:rsidRDefault="00B24059" w:rsidP="00623C5A">
            <w:pPr>
              <w:pStyle w:val="Tabletext"/>
              <w:spacing w:before="120"/>
              <w:jc w:val="center"/>
              <w:rPr>
                <w:i/>
                <w:lang w:val="en-GB"/>
              </w:rPr>
            </w:pPr>
            <w:r w:rsidRPr="009B641C">
              <w:rPr>
                <w:i/>
                <w:lang w:val="en-GB"/>
              </w:rPr>
              <w:t>2</w:t>
            </w:r>
            <w:r w:rsidR="00185FAF" w:rsidRPr="009B641C">
              <w:rPr>
                <w:i/>
                <w:lang w:val="en-GB"/>
              </w:rPr>
              <w:t>688</w:t>
            </w:r>
          </w:p>
        </w:tc>
        <w:tc>
          <w:tcPr>
            <w:tcW w:w="1276" w:type="dxa"/>
            <w:tcBorders>
              <w:top w:val="nil"/>
              <w:left w:val="nil"/>
              <w:bottom w:val="single" w:sz="4" w:space="0" w:color="auto"/>
              <w:right w:val="nil"/>
            </w:tcBorders>
          </w:tcPr>
          <w:p w:rsidR="00185FAF" w:rsidRPr="009B641C" w:rsidRDefault="00B24059" w:rsidP="00623C5A">
            <w:pPr>
              <w:pStyle w:val="Tabletext"/>
              <w:spacing w:before="120"/>
              <w:jc w:val="center"/>
              <w:rPr>
                <w:i/>
                <w:lang w:val="en-GB"/>
              </w:rPr>
            </w:pPr>
            <w:r w:rsidRPr="009B641C">
              <w:rPr>
                <w:i/>
                <w:lang w:val="en-GB"/>
              </w:rPr>
              <w:t>2</w:t>
            </w:r>
            <w:r w:rsidR="00185FAF" w:rsidRPr="009B641C">
              <w:rPr>
                <w:i/>
                <w:lang w:val="en-GB"/>
              </w:rPr>
              <w:t>561</w:t>
            </w:r>
          </w:p>
        </w:tc>
        <w:tc>
          <w:tcPr>
            <w:tcW w:w="1276" w:type="dxa"/>
            <w:tcBorders>
              <w:top w:val="nil"/>
              <w:left w:val="nil"/>
              <w:bottom w:val="single" w:sz="4" w:space="0" w:color="auto"/>
            </w:tcBorders>
          </w:tcPr>
          <w:p w:rsidR="00185FAF" w:rsidRPr="009B641C" w:rsidRDefault="00B24059" w:rsidP="00623C5A">
            <w:pPr>
              <w:pStyle w:val="Tabletext"/>
              <w:spacing w:before="120"/>
              <w:jc w:val="center"/>
              <w:rPr>
                <w:i/>
                <w:lang w:val="en-GB"/>
              </w:rPr>
            </w:pPr>
            <w:r w:rsidRPr="009B641C">
              <w:rPr>
                <w:i/>
                <w:lang w:val="en-GB"/>
              </w:rPr>
              <w:t>2</w:t>
            </w:r>
            <w:r w:rsidR="00185FAF" w:rsidRPr="009B641C">
              <w:rPr>
                <w:i/>
                <w:lang w:val="en-GB"/>
              </w:rPr>
              <w:t>112</w:t>
            </w:r>
          </w:p>
        </w:tc>
      </w:tr>
    </w:tbl>
    <w:p w:rsidR="00A21333" w:rsidRPr="00B07B55" w:rsidRDefault="00A21333" w:rsidP="00A21333">
      <w:pPr>
        <w:pStyle w:val="Source"/>
        <w:rPr>
          <w:lang w:val="en-GB"/>
        </w:rPr>
      </w:pPr>
      <w:r w:rsidRPr="00B07B55">
        <w:rPr>
          <w:lang w:val="en-GB"/>
        </w:rPr>
        <w:t>Source:</w:t>
      </w:r>
      <w:r w:rsidRPr="00B07B55">
        <w:rPr>
          <w:lang w:val="en-GB"/>
        </w:rPr>
        <w:tab/>
        <w:t xml:space="preserve">SET </w:t>
      </w:r>
      <w:r w:rsidR="0083056E">
        <w:rPr>
          <w:lang w:val="en-GB"/>
        </w:rPr>
        <w:t>d</w:t>
      </w:r>
      <w:r w:rsidRPr="00B07B55">
        <w:rPr>
          <w:lang w:val="en-GB"/>
        </w:rPr>
        <w:t>ata, 2009.</w:t>
      </w:r>
    </w:p>
    <w:p w:rsidR="009A0DB8" w:rsidRDefault="00185FAF" w:rsidP="00623C5A">
      <w:pPr>
        <w:pStyle w:val="Textmorebefore"/>
      </w:pPr>
      <w:r w:rsidRPr="00B07B55">
        <w:t>The 2009 S</w:t>
      </w:r>
      <w:r w:rsidR="003649E7">
        <w:t>urvey of Education and Training</w:t>
      </w:r>
      <w:r w:rsidRPr="00B07B55">
        <w:t xml:space="preserve"> also provides information on the formal education and training enrolment of individuals over the 12 months prior to interview. This particular information allows us to break down participation even further, by the number of </w:t>
      </w:r>
      <w:r w:rsidR="003649E7">
        <w:t xml:space="preserve">courses enrolled in </w:t>
      </w:r>
      <w:r w:rsidR="00EB5247">
        <w:t>during</w:t>
      </w:r>
      <w:r w:rsidR="003649E7">
        <w:t xml:space="preserve"> the 12-</w:t>
      </w:r>
      <w:r w:rsidRPr="00B07B55">
        <w:t>month period</w:t>
      </w:r>
      <w:r w:rsidR="00420F98">
        <w:t>. Furthermore, the 2009 SET allows us</w:t>
      </w:r>
      <w:r w:rsidRPr="00B07B55">
        <w:t xml:space="preserve"> </w:t>
      </w:r>
      <w:r w:rsidR="00420F98">
        <w:t xml:space="preserve">to identify </w:t>
      </w:r>
      <w:r w:rsidRPr="00B07B55">
        <w:t>the main reason for undertaki</w:t>
      </w:r>
      <w:r w:rsidR="003649E7">
        <w:t>ng further study. We provide 12-</w:t>
      </w:r>
      <w:r w:rsidRPr="00B07B55">
        <w:t>month participation rates for these additional b</w:t>
      </w:r>
      <w:r w:rsidR="00503F9E" w:rsidRPr="00B07B55">
        <w:t>reakdowns in appendix A</w:t>
      </w:r>
      <w:r w:rsidR="00EB5247">
        <w:t>,</w:t>
      </w:r>
      <w:r w:rsidR="00503F9E" w:rsidRPr="00B07B55">
        <w:t xml:space="preserve"> table A1</w:t>
      </w:r>
      <w:r w:rsidRPr="00B07B55">
        <w:t xml:space="preserve">. </w:t>
      </w:r>
      <w:r w:rsidR="00DD6FFA" w:rsidRPr="00B07B55">
        <w:t>The f</w:t>
      </w:r>
      <w:r w:rsidRPr="00B07B55">
        <w:t>irst thing t</w:t>
      </w:r>
      <w:r w:rsidR="0069749C">
        <w:t>o note is that</w:t>
      </w:r>
      <w:r w:rsidR="008F2383">
        <w:t>,</w:t>
      </w:r>
      <w:r w:rsidR="0069749C">
        <w:t xml:space="preserve"> even within a 12-</w:t>
      </w:r>
      <w:r w:rsidRPr="00B07B55">
        <w:t xml:space="preserve">month period, a small proportion of individuals have enrolled in more than one course. </w:t>
      </w:r>
      <w:r w:rsidR="00CA24D9" w:rsidRPr="00B07B55">
        <w:t>Some</w:t>
      </w:r>
      <w:r w:rsidRPr="00B07B55">
        <w:t xml:space="preserve"> have enrolled in up to four courses. With regards to the main reason for undertaking study, a significant proportion report reasons unrelated to paid employment, particularly to get skills for community/voluntary work and for personal interest/enjoyment. These reasons are particularly important for individuals aged 55 to 64</w:t>
      </w:r>
      <w:r w:rsidR="00951B8E" w:rsidRPr="00B07B55">
        <w:t xml:space="preserve"> years</w:t>
      </w:r>
      <w:r w:rsidR="0069749C">
        <w:t>. An important employment-</w:t>
      </w:r>
      <w:r w:rsidRPr="00B07B55">
        <w:t>related reason is that the study was a requirement of the job. Thus</w:t>
      </w:r>
      <w:r w:rsidR="00EB5247">
        <w:t>,</w:t>
      </w:r>
      <w:r w:rsidRPr="00B07B55">
        <w:t xml:space="preserve"> some study may not be aimed at improving labour market outcomes; rather, certain study may be purely related to maintaining outcomes. Certain occupations have </w:t>
      </w:r>
      <w:r w:rsidR="00EB5247">
        <w:t>ongoing</w:t>
      </w:r>
      <w:r w:rsidRPr="00B07B55">
        <w:t xml:space="preserve"> education as part of the job description, including te</w:t>
      </w:r>
      <w:r w:rsidR="0069749C">
        <w:t>achers, nurses and other health-</w:t>
      </w:r>
      <w:r w:rsidRPr="00B07B55">
        <w:t xml:space="preserve">related occupations. Notable differences across genders are the higher proportion of males stating </w:t>
      </w:r>
      <w:r w:rsidR="0069749C">
        <w:t xml:space="preserve">that </w:t>
      </w:r>
      <w:r w:rsidRPr="00B07B55">
        <w:t>their study was to get a different job or promotion, while females were more likely to state that their study was to get a job</w:t>
      </w:r>
      <w:r w:rsidR="00915CED" w:rsidRPr="00B07B55">
        <w:t>.</w:t>
      </w:r>
      <w:r w:rsidR="002F464F">
        <w:t xml:space="preserve"> </w:t>
      </w:r>
    </w:p>
    <w:p w:rsidR="00185FAF" w:rsidRPr="00B07B55" w:rsidRDefault="00185FAF" w:rsidP="00623C5A">
      <w:pPr>
        <w:pStyle w:val="Text"/>
        <w:rPr>
          <w:lang w:val="en-GB"/>
        </w:rPr>
      </w:pPr>
      <w:r w:rsidRPr="00B07B55">
        <w:rPr>
          <w:lang w:val="en-GB"/>
        </w:rPr>
        <w:t xml:space="preserve">We begin the analysis of the HILDA data by constructing participation rates in formal education and training </w:t>
      </w:r>
      <w:r w:rsidR="0069749C">
        <w:rPr>
          <w:lang w:val="en-GB"/>
        </w:rPr>
        <w:t>similar</w:t>
      </w:r>
      <w:r w:rsidRPr="00B07B55">
        <w:rPr>
          <w:lang w:val="en-GB"/>
        </w:rPr>
        <w:t xml:space="preserve"> to tables 3 and 4. These rates use cross-sectional information for 2009 only, in order to be as comparable as possible </w:t>
      </w:r>
      <w:r w:rsidR="00EB5247">
        <w:rPr>
          <w:lang w:val="en-GB"/>
        </w:rPr>
        <w:t>with</w:t>
      </w:r>
      <w:r w:rsidRPr="00B07B55">
        <w:rPr>
          <w:lang w:val="en-GB"/>
        </w:rPr>
        <w:t xml:space="preserve"> the participation rates constructed using the 2009 SET. These participation rates are broken down by level of study and full-time versus part-time enrolment. HILDA does not provide information on type of institution, mode of attendance, whether the individual is an apprentice or trainee, or reason for study. Participation rates using HILDA were constructed both for current enrolment and for enrolment and receipt of qualification over the previous 12 months. A summary of the constructed participation rates is provided in table A</w:t>
      </w:r>
      <w:r w:rsidR="00503F9E" w:rsidRPr="00B07B55">
        <w:rPr>
          <w:lang w:val="en-GB"/>
        </w:rPr>
        <w:t>2</w:t>
      </w:r>
      <w:r w:rsidRPr="00B07B55">
        <w:rPr>
          <w:lang w:val="en-GB"/>
        </w:rPr>
        <w:t xml:space="preserve"> in appendix A. These rates are</w:t>
      </w:r>
      <w:r w:rsidR="00623C5A">
        <w:rPr>
          <w:lang w:val="en-GB"/>
        </w:rPr>
        <w:t> </w:t>
      </w:r>
      <w:r w:rsidRPr="00B07B55">
        <w:rPr>
          <w:lang w:val="en-GB"/>
        </w:rPr>
        <w:t>quite consistent with those constructed from the 2009 SET</w:t>
      </w:r>
      <w:r w:rsidR="0069749C">
        <w:rPr>
          <w:lang w:val="en-GB"/>
        </w:rPr>
        <w:t>,</w:t>
      </w:r>
      <w:r w:rsidRPr="00B07B55">
        <w:rPr>
          <w:lang w:val="en-GB"/>
        </w:rPr>
        <w:t xml:space="preserve"> both in terms of overall participation rates</w:t>
      </w:r>
      <w:r w:rsidR="00623C5A">
        <w:rPr>
          <w:lang w:val="en-GB"/>
        </w:rPr>
        <w:t> </w:t>
      </w:r>
      <w:r w:rsidRPr="00B07B55">
        <w:rPr>
          <w:lang w:val="en-GB"/>
        </w:rPr>
        <w:t xml:space="preserve">and rates by qualification level. </w:t>
      </w:r>
      <w:r w:rsidR="00DD6FFA" w:rsidRPr="00B07B55">
        <w:rPr>
          <w:lang w:val="en-GB"/>
        </w:rPr>
        <w:t xml:space="preserve">The main </w:t>
      </w:r>
      <w:r w:rsidRPr="00B07B55">
        <w:rPr>
          <w:lang w:val="en-GB"/>
        </w:rPr>
        <w:t>difference is</w:t>
      </w:r>
      <w:r w:rsidR="0069749C">
        <w:rPr>
          <w:lang w:val="en-GB"/>
        </w:rPr>
        <w:t xml:space="preserve"> the lower proportion of the 55 </w:t>
      </w:r>
      <w:r w:rsidRPr="00B07B55">
        <w:rPr>
          <w:lang w:val="en-GB"/>
        </w:rPr>
        <w:t>to 64</w:t>
      </w:r>
      <w:r w:rsidR="00623C5A">
        <w:rPr>
          <w:lang w:val="en-GB"/>
        </w:rPr>
        <w:t> </w:t>
      </w:r>
      <w:r w:rsidR="00951B8E" w:rsidRPr="00B07B55">
        <w:rPr>
          <w:lang w:val="en-GB"/>
        </w:rPr>
        <w:t>years</w:t>
      </w:r>
      <w:r w:rsidRPr="00B07B55">
        <w:rPr>
          <w:lang w:val="en-GB"/>
        </w:rPr>
        <w:t xml:space="preserve"> age group </w:t>
      </w:r>
      <w:r w:rsidR="0069749C" w:rsidRPr="00B07B55">
        <w:rPr>
          <w:lang w:val="en-GB"/>
        </w:rPr>
        <w:t xml:space="preserve">in HILDA </w:t>
      </w:r>
      <w:r w:rsidRPr="00B07B55">
        <w:rPr>
          <w:lang w:val="en-GB"/>
        </w:rPr>
        <w:t>studying full-time</w:t>
      </w:r>
      <w:r w:rsidR="00E85EE8" w:rsidRPr="00B07B55">
        <w:rPr>
          <w:lang w:val="en-GB"/>
        </w:rPr>
        <w:t>. This difference can</w:t>
      </w:r>
      <w:r w:rsidR="00DD6FFA" w:rsidRPr="00B07B55">
        <w:rPr>
          <w:lang w:val="en-GB"/>
        </w:rPr>
        <w:t xml:space="preserve"> be due to the smaller sample </w:t>
      </w:r>
      <w:r w:rsidR="00E85EE8" w:rsidRPr="00B07B55">
        <w:rPr>
          <w:lang w:val="en-GB"/>
        </w:rPr>
        <w:t>size</w:t>
      </w:r>
      <w:r w:rsidR="00623C5A">
        <w:rPr>
          <w:lang w:val="en-GB"/>
        </w:rPr>
        <w:t> </w:t>
      </w:r>
      <w:r w:rsidR="00E85EE8" w:rsidRPr="00B07B55">
        <w:rPr>
          <w:lang w:val="en-GB"/>
        </w:rPr>
        <w:t>of this particular age group in the HILDA survey and to the level of attrition</w:t>
      </w:r>
      <w:r w:rsidR="0069749C">
        <w:rPr>
          <w:lang w:val="en-GB"/>
        </w:rPr>
        <w:t>,</w:t>
      </w:r>
      <w:r w:rsidR="00E85EE8" w:rsidRPr="00B07B55">
        <w:rPr>
          <w:lang w:val="en-GB"/>
        </w:rPr>
        <w:t xml:space="preserve"> which can affect a longitudinal survey.</w:t>
      </w:r>
      <w:r w:rsidRPr="00B07B55">
        <w:rPr>
          <w:lang w:val="en-GB"/>
        </w:rPr>
        <w:t xml:space="preserve"> </w:t>
      </w:r>
    </w:p>
    <w:p w:rsidR="00185FAF" w:rsidRPr="00B07B55" w:rsidRDefault="00185FAF" w:rsidP="00495869">
      <w:pPr>
        <w:pStyle w:val="Text"/>
        <w:ind w:right="0"/>
        <w:rPr>
          <w:lang w:val="en-GB"/>
        </w:rPr>
      </w:pPr>
      <w:r w:rsidRPr="00B07B55">
        <w:rPr>
          <w:lang w:val="en-GB"/>
        </w:rPr>
        <w:t xml:space="preserve">Information from HILDA is </w:t>
      </w:r>
      <w:r w:rsidR="0083056E">
        <w:rPr>
          <w:lang w:val="en-GB"/>
        </w:rPr>
        <w:t>use</w:t>
      </w:r>
      <w:r w:rsidRPr="00B07B55">
        <w:rPr>
          <w:lang w:val="en-GB"/>
        </w:rPr>
        <w:t>d to answer research questions 2 and 3, taking advantage of the panel nature of the data. In order to answ</w:t>
      </w:r>
      <w:r w:rsidR="0069749C">
        <w:rPr>
          <w:lang w:val="en-GB"/>
        </w:rPr>
        <w:t>er question 2, panel data allow</w:t>
      </w:r>
      <w:r w:rsidRPr="00B07B55">
        <w:rPr>
          <w:lang w:val="en-GB"/>
        </w:rPr>
        <w:t xml:space="preserve"> us to construct measures of the characteristics of individuals prior to enrolling in formal education. If we investigated this relationship using labour market outcomes at the same time as the education enrolment, we would potentially be confusing the direct effect of </w:t>
      </w:r>
      <w:r w:rsidR="00AD5C9C" w:rsidRPr="00B07B55">
        <w:rPr>
          <w:lang w:val="en-GB"/>
        </w:rPr>
        <w:t xml:space="preserve">current </w:t>
      </w:r>
      <w:r w:rsidRPr="00B07B55">
        <w:rPr>
          <w:lang w:val="en-GB"/>
        </w:rPr>
        <w:t xml:space="preserve">enrolment on </w:t>
      </w:r>
      <w:r w:rsidR="00AD5C9C" w:rsidRPr="00B07B55">
        <w:rPr>
          <w:lang w:val="en-GB"/>
        </w:rPr>
        <w:t xml:space="preserve">current </w:t>
      </w:r>
      <w:r w:rsidRPr="00B07B55">
        <w:rPr>
          <w:lang w:val="en-GB"/>
        </w:rPr>
        <w:t xml:space="preserve">labour market outcomes (individuals work less in order to study) with </w:t>
      </w:r>
      <w:r w:rsidR="008F2383">
        <w:rPr>
          <w:lang w:val="en-GB"/>
        </w:rPr>
        <w:t>the</w:t>
      </w:r>
      <w:r w:rsidRPr="00B07B55">
        <w:rPr>
          <w:lang w:val="en-GB"/>
        </w:rPr>
        <w:t xml:space="preserve"> labour market </w:t>
      </w:r>
      <w:r w:rsidR="00E85EE8" w:rsidRPr="00B07B55">
        <w:rPr>
          <w:lang w:val="en-GB"/>
        </w:rPr>
        <w:t xml:space="preserve">factors </w:t>
      </w:r>
      <w:r w:rsidR="008F2383">
        <w:rPr>
          <w:lang w:val="en-GB"/>
        </w:rPr>
        <w:t xml:space="preserve">that </w:t>
      </w:r>
      <w:r w:rsidRPr="00B07B55">
        <w:rPr>
          <w:lang w:val="en-GB"/>
        </w:rPr>
        <w:t xml:space="preserve">led to the enrolment decision. </w:t>
      </w:r>
    </w:p>
    <w:p w:rsidR="00185FAF" w:rsidRPr="00B07B55" w:rsidRDefault="005E4A4D" w:rsidP="00495869">
      <w:pPr>
        <w:pStyle w:val="Text"/>
        <w:ind w:right="0"/>
        <w:rPr>
          <w:lang w:val="en-GB"/>
        </w:rPr>
      </w:pPr>
      <w:r>
        <w:rPr>
          <w:lang w:val="en-GB"/>
        </w:rPr>
        <w:t>T</w:t>
      </w:r>
      <w:r w:rsidRPr="00B07B55">
        <w:rPr>
          <w:lang w:val="en-GB"/>
        </w:rPr>
        <w:t>o minimise any problem related to missing information on enrolment or receipt of qualification</w:t>
      </w:r>
      <w:r>
        <w:rPr>
          <w:lang w:val="en-GB"/>
        </w:rPr>
        <w:t>,</w:t>
      </w:r>
      <w:r w:rsidRPr="00B07B55">
        <w:rPr>
          <w:lang w:val="en-GB"/>
        </w:rPr>
        <w:t xml:space="preserve"> </w:t>
      </w:r>
      <w:r>
        <w:rPr>
          <w:lang w:val="en-GB"/>
        </w:rPr>
        <w:t>o</w:t>
      </w:r>
      <w:r w:rsidR="00185FAF" w:rsidRPr="00B07B55">
        <w:rPr>
          <w:lang w:val="en-GB"/>
        </w:rPr>
        <w:t xml:space="preserve">ur sample only includes </w:t>
      </w:r>
      <w:r w:rsidR="0083056E">
        <w:rPr>
          <w:lang w:val="en-GB"/>
        </w:rPr>
        <w:t>individuals who</w:t>
      </w:r>
      <w:r w:rsidR="00185FAF" w:rsidRPr="00B07B55">
        <w:rPr>
          <w:lang w:val="en-GB"/>
        </w:rPr>
        <w:t xml:space="preserve"> have responded in all survey waves. </w:t>
      </w:r>
      <w:r w:rsidR="00E85EE8" w:rsidRPr="00B07B55">
        <w:rPr>
          <w:lang w:val="en-GB"/>
        </w:rPr>
        <w:t>The sample we employ in this part of the investig</w:t>
      </w:r>
      <w:r w:rsidR="00EB0C29">
        <w:rPr>
          <w:lang w:val="en-GB"/>
        </w:rPr>
        <w:t>ation includes all individuals ‘</w:t>
      </w:r>
      <w:r w:rsidR="00E85EE8" w:rsidRPr="00B07B55">
        <w:rPr>
          <w:lang w:val="en-GB"/>
        </w:rPr>
        <w:t>at risk</w:t>
      </w:r>
      <w:r w:rsidR="00EB0C29">
        <w:rPr>
          <w:lang w:val="en-GB"/>
        </w:rPr>
        <w:t>’</w:t>
      </w:r>
      <w:r w:rsidR="00E85EE8" w:rsidRPr="00B07B55">
        <w:rPr>
          <w:lang w:val="en-GB"/>
        </w:rPr>
        <w:t xml:space="preserve"> in 2001 (the first wave of HILDA) of undertaking a new enrolment in formal education and training</w:t>
      </w:r>
      <w:r w:rsidR="00350DA0" w:rsidRPr="00B07B55">
        <w:rPr>
          <w:lang w:val="en-GB"/>
        </w:rPr>
        <w:t>:</w:t>
      </w:r>
      <w:r w:rsidR="00185FAF" w:rsidRPr="00B07B55">
        <w:rPr>
          <w:lang w:val="en-GB"/>
        </w:rPr>
        <w:t xml:space="preserve"> all individuals aged 25 to 64 years and who are not studying in 2001. This exclusion of individuals who are studying in 2001 leads to the loss of 554 observations </w:t>
      </w:r>
      <w:r>
        <w:rPr>
          <w:lang w:val="en-GB"/>
        </w:rPr>
        <w:t>from</w:t>
      </w:r>
      <w:r w:rsidR="00185FAF" w:rsidRPr="00B07B55">
        <w:rPr>
          <w:lang w:val="en-GB"/>
        </w:rPr>
        <w:t xml:space="preserve"> the 5721 who responded in all waves. This sample exclusion is not random, as individuals who already have higher levels of education and are younger are more likely to be studying. We account for </w:t>
      </w:r>
      <w:r w:rsidR="00EB5247">
        <w:rPr>
          <w:lang w:val="en-GB"/>
        </w:rPr>
        <w:t>this non-random selection by re</w:t>
      </w:r>
      <w:r w:rsidR="00185FAF" w:rsidRPr="00B07B55">
        <w:rPr>
          <w:lang w:val="en-GB"/>
        </w:rPr>
        <w:t xml:space="preserve">weighting the </w:t>
      </w:r>
      <w:r w:rsidR="00185FAF" w:rsidRPr="00193882">
        <w:rPr>
          <w:lang w:val="en-GB"/>
        </w:rPr>
        <w:t>data</w:t>
      </w:r>
      <w:r w:rsidR="00185FAF" w:rsidRPr="00B07B55">
        <w:rPr>
          <w:lang w:val="en-GB"/>
        </w:rPr>
        <w:t xml:space="preserve"> based on the observable characteristics of individuals, particularly their age, gender and initial education levels.</w:t>
      </w:r>
      <w:r w:rsidR="00350DA0" w:rsidRPr="00B07B55">
        <w:rPr>
          <w:lang w:val="en-GB"/>
        </w:rPr>
        <w:t xml:space="preserve"> The strategy followed for building the appropriate weights will be described in the empirical section. </w:t>
      </w:r>
    </w:p>
    <w:p w:rsidR="00185FAF" w:rsidRPr="00B07B55" w:rsidRDefault="005E4A4D" w:rsidP="00495869">
      <w:pPr>
        <w:pStyle w:val="Text"/>
        <w:ind w:right="0"/>
        <w:rPr>
          <w:lang w:val="en-GB"/>
        </w:rPr>
      </w:pPr>
      <w:r>
        <w:rPr>
          <w:lang w:val="en-GB"/>
        </w:rPr>
        <w:t>We begin the investigation of ‘who enrols in education’</w:t>
      </w:r>
      <w:r w:rsidR="00185FAF" w:rsidRPr="00B07B55">
        <w:rPr>
          <w:lang w:val="en-GB"/>
        </w:rPr>
        <w:t xml:space="preserve"> by separating our sample of survey respondents into two groups. The first group includes all individuals </w:t>
      </w:r>
      <w:r>
        <w:rPr>
          <w:lang w:val="en-GB"/>
        </w:rPr>
        <w:t>who</w:t>
      </w:r>
      <w:r w:rsidR="00185FAF" w:rsidRPr="00B07B55">
        <w:rPr>
          <w:lang w:val="en-GB"/>
        </w:rPr>
        <w:t xml:space="preserve"> reported enrolling in a formal educational qualification at any time from 2002 (wave 2) to 2009 (wave 9) of HILDA. The second group includes all individuals </w:t>
      </w:r>
      <w:r>
        <w:rPr>
          <w:lang w:val="en-GB"/>
        </w:rPr>
        <w:t>who</w:t>
      </w:r>
      <w:r w:rsidR="00185FAF" w:rsidRPr="00B07B55">
        <w:rPr>
          <w:lang w:val="en-GB"/>
        </w:rPr>
        <w:t xml:space="preserve"> never report enrolling in a formal educational qualification over this period. Table 5 provides some basic information on the patterns of engagement in education observe</w:t>
      </w:r>
      <w:r w:rsidR="00EB5247">
        <w:rPr>
          <w:lang w:val="en-GB"/>
        </w:rPr>
        <w:t>d</w:t>
      </w:r>
      <w:r w:rsidR="00185FAF" w:rsidRPr="00B07B55">
        <w:rPr>
          <w:lang w:val="en-GB"/>
        </w:rPr>
        <w:t xml:space="preserve"> in our sample, by gender and age group. These participation rates in formal education are higher than those reported in table A</w:t>
      </w:r>
      <w:r w:rsidR="00503F9E" w:rsidRPr="00B07B55">
        <w:rPr>
          <w:lang w:val="en-GB"/>
        </w:rPr>
        <w:t>2</w:t>
      </w:r>
      <w:r w:rsidR="00185FAF" w:rsidRPr="00B07B55">
        <w:rPr>
          <w:lang w:val="en-GB"/>
        </w:rPr>
        <w:t xml:space="preserve"> as they include any study over the </w:t>
      </w:r>
      <w:r w:rsidR="006329A1">
        <w:rPr>
          <w:lang w:val="en-GB"/>
        </w:rPr>
        <w:t>eight</w:t>
      </w:r>
      <w:r>
        <w:rPr>
          <w:lang w:val="en-GB"/>
        </w:rPr>
        <w:t>-</w:t>
      </w:r>
      <w:r w:rsidR="00185FAF" w:rsidRPr="00B07B55">
        <w:rPr>
          <w:lang w:val="en-GB"/>
        </w:rPr>
        <w:t>year period from 2002 to 2009, rather than just current study status in 2009. Note that</w:t>
      </w:r>
      <w:r w:rsidR="00EB5247">
        <w:rPr>
          <w:lang w:val="en-GB"/>
        </w:rPr>
        <w:t>,</w:t>
      </w:r>
      <w:r w:rsidR="00185FAF" w:rsidRPr="00B07B55">
        <w:rPr>
          <w:lang w:val="en-GB"/>
        </w:rPr>
        <w:t xml:space="preserve"> even as we move away from the youngest age group, the percentage of individuals </w:t>
      </w:r>
      <w:r>
        <w:rPr>
          <w:lang w:val="en-GB"/>
        </w:rPr>
        <w:t>who</w:t>
      </w:r>
      <w:r w:rsidR="00185FAF" w:rsidRPr="00B07B55">
        <w:rPr>
          <w:lang w:val="en-GB"/>
        </w:rPr>
        <w:t xml:space="preserve"> enrol in formal education at mature ages is not negligible. For the 35 to 44 years age group, the percentage of males in education at some time over the period is slightly below 31%, while for females the corresponding figure is above 37%. More specifically, for both genders and all age groups, certificate</w:t>
      </w:r>
      <w:r w:rsidR="008F2383">
        <w:rPr>
          <w:lang w:val="en-GB"/>
        </w:rPr>
        <w:t>-</w:t>
      </w:r>
      <w:r w:rsidR="00185FAF" w:rsidRPr="00B07B55">
        <w:rPr>
          <w:lang w:val="en-GB"/>
        </w:rPr>
        <w:t xml:space="preserve">level study is the most prevalent. </w:t>
      </w:r>
    </w:p>
    <w:p w:rsidR="00FA23C6" w:rsidRPr="00B07B55" w:rsidRDefault="00FA23C6" w:rsidP="00FA23C6">
      <w:pPr>
        <w:pStyle w:val="tabletitle"/>
        <w:rPr>
          <w:lang w:val="en-GB"/>
        </w:rPr>
      </w:pPr>
      <w:bookmarkStart w:id="46" w:name="_Toc311576117"/>
      <w:bookmarkStart w:id="47" w:name="_Toc334021172"/>
      <w:r w:rsidRPr="00B07B55">
        <w:rPr>
          <w:lang w:val="en-GB"/>
        </w:rPr>
        <w:t>Table 5</w:t>
      </w:r>
      <w:r w:rsidRPr="00B07B55">
        <w:rPr>
          <w:lang w:val="en-GB"/>
        </w:rPr>
        <w:tab/>
        <w:t xml:space="preserve">Rates of enrolment in formal education at any wave between 2002 </w:t>
      </w:r>
      <w:r w:rsidR="008F2383">
        <w:rPr>
          <w:lang w:val="en-GB"/>
        </w:rPr>
        <w:t>and</w:t>
      </w:r>
      <w:r w:rsidRPr="00B07B55">
        <w:rPr>
          <w:lang w:val="en-GB"/>
        </w:rPr>
        <w:t xml:space="preserve"> 2009, HILDA</w:t>
      </w:r>
      <w:bookmarkEnd w:id="46"/>
      <w:r w:rsidR="00DF55C0">
        <w:rPr>
          <w:lang w:val="en-GB"/>
        </w:rPr>
        <w:t>, %</w:t>
      </w:r>
      <w:bookmarkEnd w:id="47"/>
      <w:r w:rsidRPr="00B07B55">
        <w:rPr>
          <w:lang w:val="en-GB"/>
        </w:rPr>
        <w:t xml:space="preserve"> </w:t>
      </w:r>
    </w:p>
    <w:tbl>
      <w:tblPr>
        <w:tblW w:w="8789" w:type="dxa"/>
        <w:tblInd w:w="108" w:type="dxa"/>
        <w:tblBorders>
          <w:top w:val="single" w:sz="4" w:space="0" w:color="auto"/>
          <w:bottom w:val="single" w:sz="4" w:space="0" w:color="auto"/>
        </w:tblBorders>
        <w:tblLayout w:type="fixed"/>
        <w:tblLook w:val="0000"/>
      </w:tblPr>
      <w:tblGrid>
        <w:gridCol w:w="2724"/>
        <w:gridCol w:w="1516"/>
        <w:gridCol w:w="1516"/>
        <w:gridCol w:w="1516"/>
        <w:gridCol w:w="1517"/>
      </w:tblGrid>
      <w:tr w:rsidR="00FA23C6" w:rsidRPr="00B07B55" w:rsidTr="00623C5A">
        <w:trPr>
          <w:cantSplit/>
        </w:trPr>
        <w:tc>
          <w:tcPr>
            <w:tcW w:w="2724" w:type="dxa"/>
            <w:tcBorders>
              <w:top w:val="single" w:sz="4" w:space="0" w:color="auto"/>
              <w:bottom w:val="single" w:sz="4" w:space="0" w:color="auto"/>
              <w:right w:val="nil"/>
            </w:tcBorders>
          </w:tcPr>
          <w:p w:rsidR="00FA23C6" w:rsidRPr="00B07B55" w:rsidRDefault="00FA23C6" w:rsidP="00623C5A">
            <w:pPr>
              <w:pStyle w:val="Tablehead1"/>
              <w:rPr>
                <w:lang w:val="en-GB"/>
              </w:rPr>
            </w:pPr>
            <w:r w:rsidRPr="00B07B55">
              <w:rPr>
                <w:lang w:val="en-GB"/>
              </w:rPr>
              <w:t>Age group in 2001</w:t>
            </w:r>
          </w:p>
        </w:tc>
        <w:tc>
          <w:tcPr>
            <w:tcW w:w="1516" w:type="dxa"/>
            <w:tcBorders>
              <w:top w:val="single" w:sz="4" w:space="0" w:color="auto"/>
              <w:left w:val="nil"/>
              <w:bottom w:val="single" w:sz="4" w:space="0" w:color="auto"/>
              <w:right w:val="nil"/>
            </w:tcBorders>
          </w:tcPr>
          <w:p w:rsidR="00FA23C6" w:rsidRPr="00B07B55" w:rsidRDefault="005E4A4D" w:rsidP="00623C5A">
            <w:pPr>
              <w:pStyle w:val="Tablehead1"/>
              <w:jc w:val="center"/>
              <w:rPr>
                <w:rFonts w:cs="Arial"/>
                <w:color w:val="000000"/>
                <w:lang w:val="en-GB"/>
              </w:rPr>
            </w:pPr>
            <w:r>
              <w:rPr>
                <w:rFonts w:cs="Arial"/>
                <w:color w:val="000000"/>
                <w:lang w:val="en-GB"/>
              </w:rPr>
              <w:t>25–</w:t>
            </w:r>
            <w:r w:rsidR="00FA23C6" w:rsidRPr="00B07B55">
              <w:rPr>
                <w:rFonts w:cs="Arial"/>
                <w:color w:val="000000"/>
                <w:lang w:val="en-GB"/>
              </w:rPr>
              <w:t>34</w:t>
            </w:r>
          </w:p>
        </w:tc>
        <w:tc>
          <w:tcPr>
            <w:tcW w:w="1516" w:type="dxa"/>
            <w:tcBorders>
              <w:top w:val="single" w:sz="4" w:space="0" w:color="auto"/>
              <w:left w:val="nil"/>
              <w:bottom w:val="single" w:sz="4" w:space="0" w:color="auto"/>
              <w:right w:val="nil"/>
            </w:tcBorders>
          </w:tcPr>
          <w:p w:rsidR="00FA23C6" w:rsidRPr="00B07B55" w:rsidRDefault="005E4A4D" w:rsidP="00623C5A">
            <w:pPr>
              <w:pStyle w:val="Tablehead1"/>
              <w:jc w:val="center"/>
              <w:rPr>
                <w:rFonts w:cs="Arial"/>
                <w:color w:val="000000"/>
                <w:lang w:val="en-GB"/>
              </w:rPr>
            </w:pPr>
            <w:r>
              <w:rPr>
                <w:rFonts w:cs="Arial"/>
                <w:color w:val="000000"/>
                <w:lang w:val="en-GB"/>
              </w:rPr>
              <w:t>35–</w:t>
            </w:r>
            <w:r w:rsidR="00FA23C6" w:rsidRPr="00B07B55">
              <w:rPr>
                <w:rFonts w:cs="Arial"/>
                <w:color w:val="000000"/>
                <w:lang w:val="en-GB"/>
              </w:rPr>
              <w:t>44</w:t>
            </w:r>
          </w:p>
        </w:tc>
        <w:tc>
          <w:tcPr>
            <w:tcW w:w="1516" w:type="dxa"/>
            <w:tcBorders>
              <w:top w:val="single" w:sz="4" w:space="0" w:color="auto"/>
              <w:left w:val="nil"/>
              <w:bottom w:val="single" w:sz="4" w:space="0" w:color="auto"/>
              <w:right w:val="nil"/>
            </w:tcBorders>
          </w:tcPr>
          <w:p w:rsidR="00FA23C6" w:rsidRPr="00B07B55" w:rsidRDefault="005E4A4D" w:rsidP="00623C5A">
            <w:pPr>
              <w:pStyle w:val="Tablehead1"/>
              <w:jc w:val="center"/>
              <w:rPr>
                <w:rFonts w:cs="Arial"/>
                <w:color w:val="000000"/>
                <w:lang w:val="en-GB"/>
              </w:rPr>
            </w:pPr>
            <w:r>
              <w:rPr>
                <w:rFonts w:cs="Arial"/>
                <w:color w:val="000000"/>
                <w:lang w:val="en-GB"/>
              </w:rPr>
              <w:t>45–</w:t>
            </w:r>
            <w:r w:rsidR="00FA23C6" w:rsidRPr="00B07B55">
              <w:rPr>
                <w:rFonts w:cs="Arial"/>
                <w:color w:val="000000"/>
                <w:lang w:val="en-GB"/>
              </w:rPr>
              <w:t>54</w:t>
            </w:r>
          </w:p>
        </w:tc>
        <w:tc>
          <w:tcPr>
            <w:tcW w:w="1517" w:type="dxa"/>
            <w:tcBorders>
              <w:top w:val="single" w:sz="4" w:space="0" w:color="auto"/>
              <w:left w:val="nil"/>
              <w:bottom w:val="single" w:sz="4" w:space="0" w:color="auto"/>
            </w:tcBorders>
          </w:tcPr>
          <w:p w:rsidR="00FA23C6" w:rsidRPr="00B07B55" w:rsidRDefault="005E4A4D" w:rsidP="00623C5A">
            <w:pPr>
              <w:pStyle w:val="Tablehead1"/>
              <w:jc w:val="center"/>
              <w:rPr>
                <w:rFonts w:cs="Arial"/>
                <w:color w:val="000000"/>
                <w:lang w:val="en-GB"/>
              </w:rPr>
            </w:pPr>
            <w:r>
              <w:rPr>
                <w:rFonts w:cs="Arial"/>
                <w:color w:val="000000"/>
                <w:lang w:val="en-GB"/>
              </w:rPr>
              <w:t>55–</w:t>
            </w:r>
            <w:r w:rsidR="00FA23C6" w:rsidRPr="00B07B55">
              <w:rPr>
                <w:rFonts w:cs="Arial"/>
                <w:color w:val="000000"/>
                <w:lang w:val="en-GB"/>
              </w:rPr>
              <w:t>64</w:t>
            </w:r>
          </w:p>
        </w:tc>
      </w:tr>
      <w:tr w:rsidR="00FA23C6" w:rsidRPr="00B07B55" w:rsidTr="00623C5A">
        <w:trPr>
          <w:cantSplit/>
        </w:trPr>
        <w:tc>
          <w:tcPr>
            <w:tcW w:w="2724" w:type="dxa"/>
            <w:tcBorders>
              <w:top w:val="single" w:sz="4" w:space="0" w:color="auto"/>
              <w:bottom w:val="nil"/>
              <w:right w:val="nil"/>
            </w:tcBorders>
          </w:tcPr>
          <w:p w:rsidR="00FA23C6" w:rsidRPr="00623C5A" w:rsidRDefault="00FA23C6" w:rsidP="00623C5A">
            <w:pPr>
              <w:pStyle w:val="Tabletext"/>
              <w:rPr>
                <w:b/>
                <w:lang w:val="en-GB"/>
              </w:rPr>
            </w:pPr>
            <w:r w:rsidRPr="00623C5A">
              <w:rPr>
                <w:b/>
                <w:lang w:val="en-GB"/>
              </w:rPr>
              <w:t>Males</w:t>
            </w:r>
          </w:p>
        </w:tc>
        <w:tc>
          <w:tcPr>
            <w:tcW w:w="1516" w:type="dxa"/>
            <w:tcBorders>
              <w:top w:val="single" w:sz="4" w:space="0" w:color="auto"/>
              <w:left w:val="nil"/>
              <w:bottom w:val="nil"/>
              <w:right w:val="nil"/>
            </w:tcBorders>
          </w:tcPr>
          <w:p w:rsidR="00FA23C6" w:rsidRPr="00B07B55" w:rsidRDefault="00FA23C6" w:rsidP="00623C5A">
            <w:pPr>
              <w:pStyle w:val="Tabletext"/>
              <w:rPr>
                <w:lang w:val="en-GB"/>
              </w:rPr>
            </w:pPr>
          </w:p>
        </w:tc>
        <w:tc>
          <w:tcPr>
            <w:tcW w:w="1516" w:type="dxa"/>
            <w:tcBorders>
              <w:top w:val="single" w:sz="4" w:space="0" w:color="auto"/>
              <w:left w:val="nil"/>
              <w:bottom w:val="nil"/>
              <w:right w:val="nil"/>
            </w:tcBorders>
          </w:tcPr>
          <w:p w:rsidR="00FA23C6" w:rsidRPr="00B07B55" w:rsidRDefault="00FA23C6" w:rsidP="00623C5A">
            <w:pPr>
              <w:pStyle w:val="Tabletext"/>
              <w:rPr>
                <w:lang w:val="en-GB"/>
              </w:rPr>
            </w:pPr>
          </w:p>
        </w:tc>
        <w:tc>
          <w:tcPr>
            <w:tcW w:w="1516" w:type="dxa"/>
            <w:tcBorders>
              <w:top w:val="single" w:sz="4" w:space="0" w:color="auto"/>
              <w:left w:val="nil"/>
              <w:bottom w:val="nil"/>
              <w:right w:val="nil"/>
            </w:tcBorders>
          </w:tcPr>
          <w:p w:rsidR="00FA23C6" w:rsidRPr="00B07B55" w:rsidRDefault="00FA23C6" w:rsidP="00623C5A">
            <w:pPr>
              <w:pStyle w:val="Tabletext"/>
              <w:rPr>
                <w:lang w:val="en-GB"/>
              </w:rPr>
            </w:pPr>
          </w:p>
        </w:tc>
        <w:tc>
          <w:tcPr>
            <w:tcW w:w="1517" w:type="dxa"/>
            <w:tcBorders>
              <w:top w:val="single" w:sz="4" w:space="0" w:color="auto"/>
              <w:left w:val="nil"/>
              <w:bottom w:val="nil"/>
            </w:tcBorders>
          </w:tcPr>
          <w:p w:rsidR="00FA23C6" w:rsidRPr="00B07B55" w:rsidRDefault="00FA23C6" w:rsidP="00623C5A">
            <w:pPr>
              <w:pStyle w:val="Tabletext"/>
              <w:rPr>
                <w:lang w:val="en-GB"/>
              </w:rPr>
            </w:pPr>
          </w:p>
        </w:tc>
      </w:tr>
      <w:tr w:rsidR="00FA23C6" w:rsidRPr="009B641C" w:rsidTr="00623C5A">
        <w:trPr>
          <w:cantSplit/>
        </w:trPr>
        <w:tc>
          <w:tcPr>
            <w:tcW w:w="2724" w:type="dxa"/>
            <w:tcBorders>
              <w:top w:val="nil"/>
              <w:bottom w:val="nil"/>
              <w:right w:val="nil"/>
            </w:tcBorders>
          </w:tcPr>
          <w:p w:rsidR="00FA23C6" w:rsidRPr="009B641C" w:rsidRDefault="00FA23C6" w:rsidP="00623C5A">
            <w:pPr>
              <w:pStyle w:val="Tabletext"/>
              <w:rPr>
                <w:i/>
                <w:lang w:val="en-GB"/>
              </w:rPr>
            </w:pPr>
            <w:r w:rsidRPr="009B641C">
              <w:rPr>
                <w:i/>
                <w:lang w:val="en-GB"/>
              </w:rPr>
              <w:t>O</w:t>
            </w:r>
            <w:r w:rsidR="00D84AED" w:rsidRPr="009B641C">
              <w:rPr>
                <w:i/>
                <w:lang w:val="en-GB"/>
              </w:rPr>
              <w:t>bservations</w:t>
            </w:r>
          </w:p>
        </w:tc>
        <w:tc>
          <w:tcPr>
            <w:tcW w:w="1516" w:type="dxa"/>
            <w:tcBorders>
              <w:top w:val="nil"/>
              <w:left w:val="nil"/>
              <w:bottom w:val="nil"/>
              <w:right w:val="nil"/>
            </w:tcBorders>
          </w:tcPr>
          <w:p w:rsidR="00FA23C6" w:rsidRPr="009B641C" w:rsidRDefault="00FA23C6" w:rsidP="00623C5A">
            <w:pPr>
              <w:pStyle w:val="Tabletext"/>
              <w:jc w:val="center"/>
              <w:rPr>
                <w:i/>
                <w:lang w:val="en-GB"/>
              </w:rPr>
            </w:pPr>
            <w:r w:rsidRPr="009B641C">
              <w:rPr>
                <w:i/>
                <w:lang w:val="en-GB"/>
              </w:rPr>
              <w:t>656</w:t>
            </w:r>
          </w:p>
        </w:tc>
        <w:tc>
          <w:tcPr>
            <w:tcW w:w="1516" w:type="dxa"/>
            <w:tcBorders>
              <w:top w:val="nil"/>
              <w:left w:val="nil"/>
              <w:bottom w:val="nil"/>
              <w:right w:val="nil"/>
            </w:tcBorders>
          </w:tcPr>
          <w:p w:rsidR="00FA23C6" w:rsidRPr="009B641C" w:rsidRDefault="00FA23C6" w:rsidP="00623C5A">
            <w:pPr>
              <w:pStyle w:val="Tabletext"/>
              <w:jc w:val="center"/>
              <w:rPr>
                <w:i/>
                <w:lang w:val="en-GB"/>
              </w:rPr>
            </w:pPr>
            <w:r w:rsidRPr="009B641C">
              <w:rPr>
                <w:i/>
                <w:lang w:val="en-GB"/>
              </w:rPr>
              <w:t>828</w:t>
            </w:r>
          </w:p>
        </w:tc>
        <w:tc>
          <w:tcPr>
            <w:tcW w:w="1516" w:type="dxa"/>
            <w:tcBorders>
              <w:top w:val="nil"/>
              <w:left w:val="nil"/>
              <w:bottom w:val="nil"/>
              <w:right w:val="nil"/>
            </w:tcBorders>
          </w:tcPr>
          <w:p w:rsidR="00FA23C6" w:rsidRPr="009B641C" w:rsidRDefault="00FA23C6" w:rsidP="00623C5A">
            <w:pPr>
              <w:pStyle w:val="Tabletext"/>
              <w:jc w:val="center"/>
              <w:rPr>
                <w:i/>
                <w:lang w:val="en-GB"/>
              </w:rPr>
            </w:pPr>
            <w:r w:rsidRPr="009B641C">
              <w:rPr>
                <w:i/>
                <w:lang w:val="en-GB"/>
              </w:rPr>
              <w:t>688</w:t>
            </w:r>
          </w:p>
        </w:tc>
        <w:tc>
          <w:tcPr>
            <w:tcW w:w="1517" w:type="dxa"/>
            <w:tcBorders>
              <w:top w:val="nil"/>
              <w:left w:val="nil"/>
              <w:bottom w:val="nil"/>
            </w:tcBorders>
          </w:tcPr>
          <w:p w:rsidR="00FA23C6" w:rsidRPr="009B641C" w:rsidRDefault="00FA23C6" w:rsidP="00623C5A">
            <w:pPr>
              <w:pStyle w:val="Tabletext"/>
              <w:jc w:val="center"/>
              <w:rPr>
                <w:i/>
                <w:lang w:val="en-GB"/>
              </w:rPr>
            </w:pPr>
            <w:r w:rsidRPr="009B641C">
              <w:rPr>
                <w:i/>
                <w:lang w:val="en-GB"/>
              </w:rPr>
              <w:t>500</w:t>
            </w:r>
          </w:p>
        </w:tc>
      </w:tr>
      <w:tr w:rsidR="00FA23C6" w:rsidRPr="00B07B55" w:rsidTr="00623C5A">
        <w:trPr>
          <w:cantSplit/>
        </w:trPr>
        <w:tc>
          <w:tcPr>
            <w:tcW w:w="2724" w:type="dxa"/>
            <w:tcBorders>
              <w:top w:val="nil"/>
              <w:bottom w:val="nil"/>
              <w:right w:val="nil"/>
            </w:tcBorders>
          </w:tcPr>
          <w:p w:rsidR="00FA23C6" w:rsidRPr="00B07B55" w:rsidRDefault="00FA23C6" w:rsidP="00623C5A">
            <w:pPr>
              <w:pStyle w:val="Tabletext"/>
              <w:spacing w:before="120"/>
              <w:rPr>
                <w:lang w:val="en-GB"/>
              </w:rPr>
            </w:pPr>
            <w:r w:rsidRPr="00B07B55">
              <w:rPr>
                <w:lang w:val="en-GB"/>
              </w:rPr>
              <w:t>No study</w:t>
            </w:r>
          </w:p>
        </w:tc>
        <w:tc>
          <w:tcPr>
            <w:tcW w:w="1516" w:type="dxa"/>
            <w:tcBorders>
              <w:top w:val="nil"/>
              <w:left w:val="nil"/>
              <w:bottom w:val="nil"/>
              <w:right w:val="nil"/>
            </w:tcBorders>
          </w:tcPr>
          <w:p w:rsidR="00FA23C6" w:rsidRPr="00B07B55" w:rsidRDefault="00FA23C6" w:rsidP="00623C5A">
            <w:pPr>
              <w:pStyle w:val="Tabletext"/>
              <w:tabs>
                <w:tab w:val="decimal" w:pos="624"/>
              </w:tabs>
              <w:spacing w:before="120"/>
              <w:rPr>
                <w:lang w:val="en-GB"/>
              </w:rPr>
            </w:pPr>
            <w:r w:rsidRPr="00B07B55">
              <w:rPr>
                <w:lang w:val="en-GB"/>
              </w:rPr>
              <w:t>56.55</w:t>
            </w:r>
          </w:p>
        </w:tc>
        <w:tc>
          <w:tcPr>
            <w:tcW w:w="1516" w:type="dxa"/>
            <w:tcBorders>
              <w:top w:val="nil"/>
              <w:left w:val="nil"/>
              <w:bottom w:val="nil"/>
              <w:right w:val="nil"/>
            </w:tcBorders>
          </w:tcPr>
          <w:p w:rsidR="00FA23C6" w:rsidRPr="00B07B55" w:rsidRDefault="00DF55C0" w:rsidP="00623C5A">
            <w:pPr>
              <w:pStyle w:val="Tabletext"/>
              <w:tabs>
                <w:tab w:val="decimal" w:pos="624"/>
              </w:tabs>
              <w:spacing w:before="120"/>
              <w:rPr>
                <w:lang w:val="en-GB"/>
              </w:rPr>
            </w:pPr>
            <w:r>
              <w:rPr>
                <w:lang w:val="en-GB"/>
              </w:rPr>
              <w:t>69.20</w:t>
            </w:r>
          </w:p>
        </w:tc>
        <w:tc>
          <w:tcPr>
            <w:tcW w:w="1516" w:type="dxa"/>
            <w:tcBorders>
              <w:top w:val="nil"/>
              <w:left w:val="nil"/>
              <w:bottom w:val="nil"/>
              <w:right w:val="nil"/>
            </w:tcBorders>
          </w:tcPr>
          <w:p w:rsidR="00FA23C6" w:rsidRPr="00B07B55" w:rsidRDefault="00FA23C6" w:rsidP="00623C5A">
            <w:pPr>
              <w:pStyle w:val="Tabletext"/>
              <w:tabs>
                <w:tab w:val="decimal" w:pos="624"/>
              </w:tabs>
              <w:spacing w:before="120"/>
              <w:rPr>
                <w:lang w:val="en-GB"/>
              </w:rPr>
            </w:pPr>
            <w:r w:rsidRPr="00B07B55">
              <w:rPr>
                <w:lang w:val="en-GB"/>
              </w:rPr>
              <w:t>82.70</w:t>
            </w:r>
          </w:p>
        </w:tc>
        <w:tc>
          <w:tcPr>
            <w:tcW w:w="1517" w:type="dxa"/>
            <w:tcBorders>
              <w:top w:val="nil"/>
              <w:left w:val="nil"/>
              <w:bottom w:val="nil"/>
            </w:tcBorders>
          </w:tcPr>
          <w:p w:rsidR="00FA23C6" w:rsidRPr="00B07B55" w:rsidRDefault="00FA23C6" w:rsidP="00623C5A">
            <w:pPr>
              <w:pStyle w:val="Tabletext"/>
              <w:tabs>
                <w:tab w:val="decimal" w:pos="624"/>
              </w:tabs>
              <w:spacing w:before="120"/>
              <w:rPr>
                <w:lang w:val="en-GB"/>
              </w:rPr>
            </w:pPr>
            <w:r w:rsidRPr="00B07B55">
              <w:rPr>
                <w:lang w:val="en-GB"/>
              </w:rPr>
              <w:t>93.20</w:t>
            </w:r>
          </w:p>
        </w:tc>
      </w:tr>
      <w:tr w:rsidR="00FA23C6" w:rsidRPr="00B07B55" w:rsidTr="00623C5A">
        <w:trPr>
          <w:cantSplit/>
        </w:trPr>
        <w:tc>
          <w:tcPr>
            <w:tcW w:w="2724" w:type="dxa"/>
            <w:tcBorders>
              <w:top w:val="nil"/>
              <w:bottom w:val="nil"/>
              <w:right w:val="nil"/>
            </w:tcBorders>
          </w:tcPr>
          <w:p w:rsidR="00FA23C6" w:rsidRPr="00B07B55" w:rsidRDefault="00FA23C6" w:rsidP="00623C5A">
            <w:pPr>
              <w:pStyle w:val="Tabletext"/>
              <w:rPr>
                <w:lang w:val="en-GB"/>
              </w:rPr>
            </w:pPr>
            <w:r w:rsidRPr="00B07B55">
              <w:rPr>
                <w:lang w:val="en-GB"/>
              </w:rPr>
              <w:t>Any study</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r w:rsidRPr="00B07B55">
              <w:rPr>
                <w:lang w:val="en-GB"/>
              </w:rPr>
              <w:t>43.45</w:t>
            </w:r>
          </w:p>
        </w:tc>
        <w:tc>
          <w:tcPr>
            <w:tcW w:w="1516" w:type="dxa"/>
            <w:tcBorders>
              <w:top w:val="nil"/>
              <w:left w:val="nil"/>
              <w:bottom w:val="nil"/>
              <w:right w:val="nil"/>
            </w:tcBorders>
          </w:tcPr>
          <w:p w:rsidR="00FA23C6" w:rsidRPr="00B07B55" w:rsidRDefault="00DF55C0" w:rsidP="00623C5A">
            <w:pPr>
              <w:pStyle w:val="Tabletext"/>
              <w:tabs>
                <w:tab w:val="decimal" w:pos="624"/>
              </w:tabs>
              <w:rPr>
                <w:lang w:val="en-GB"/>
              </w:rPr>
            </w:pPr>
            <w:r>
              <w:rPr>
                <w:lang w:val="en-GB"/>
              </w:rPr>
              <w:t>30.80</w:t>
            </w:r>
          </w:p>
        </w:tc>
        <w:tc>
          <w:tcPr>
            <w:tcW w:w="1516" w:type="dxa"/>
            <w:tcBorders>
              <w:top w:val="nil"/>
              <w:left w:val="nil"/>
              <w:bottom w:val="nil"/>
              <w:right w:val="nil"/>
            </w:tcBorders>
          </w:tcPr>
          <w:p w:rsidR="00FA23C6" w:rsidRPr="00B07B55" w:rsidRDefault="00DF55C0" w:rsidP="00623C5A">
            <w:pPr>
              <w:pStyle w:val="Tabletext"/>
              <w:tabs>
                <w:tab w:val="decimal" w:pos="624"/>
              </w:tabs>
              <w:rPr>
                <w:lang w:val="en-GB"/>
              </w:rPr>
            </w:pPr>
            <w:r>
              <w:rPr>
                <w:lang w:val="en-GB"/>
              </w:rPr>
              <w:t>17.30</w:t>
            </w:r>
          </w:p>
        </w:tc>
        <w:tc>
          <w:tcPr>
            <w:tcW w:w="1517" w:type="dxa"/>
            <w:tcBorders>
              <w:top w:val="nil"/>
              <w:left w:val="nil"/>
              <w:bottom w:val="nil"/>
            </w:tcBorders>
          </w:tcPr>
          <w:p w:rsidR="00FA23C6" w:rsidRPr="00B07B55" w:rsidRDefault="00DF55C0" w:rsidP="00623C5A">
            <w:pPr>
              <w:pStyle w:val="Tabletext"/>
              <w:tabs>
                <w:tab w:val="decimal" w:pos="624"/>
              </w:tabs>
              <w:rPr>
                <w:lang w:val="en-GB"/>
              </w:rPr>
            </w:pPr>
            <w:r>
              <w:rPr>
                <w:lang w:val="en-GB"/>
              </w:rPr>
              <w:t>6.80</w:t>
            </w:r>
          </w:p>
        </w:tc>
      </w:tr>
      <w:tr w:rsidR="00FA23C6" w:rsidRPr="00B07B55" w:rsidTr="00623C5A">
        <w:trPr>
          <w:cantSplit/>
        </w:trPr>
        <w:tc>
          <w:tcPr>
            <w:tcW w:w="2724" w:type="dxa"/>
            <w:tcBorders>
              <w:top w:val="nil"/>
              <w:bottom w:val="nil"/>
              <w:right w:val="nil"/>
            </w:tcBorders>
          </w:tcPr>
          <w:p w:rsidR="00FA23C6" w:rsidRPr="009B641C" w:rsidRDefault="00FA23C6" w:rsidP="00623C5A">
            <w:pPr>
              <w:pStyle w:val="Tabletext"/>
              <w:rPr>
                <w:lang w:val="en-GB"/>
              </w:rPr>
            </w:pPr>
            <w:r w:rsidRPr="009B641C">
              <w:rPr>
                <w:lang w:val="en-GB"/>
              </w:rPr>
              <w:t>Of which:</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p>
        </w:tc>
        <w:tc>
          <w:tcPr>
            <w:tcW w:w="1517" w:type="dxa"/>
            <w:tcBorders>
              <w:top w:val="nil"/>
              <w:left w:val="nil"/>
              <w:bottom w:val="nil"/>
            </w:tcBorders>
          </w:tcPr>
          <w:p w:rsidR="00FA23C6" w:rsidRPr="00B07B55" w:rsidRDefault="00FA23C6" w:rsidP="00623C5A">
            <w:pPr>
              <w:pStyle w:val="Tabletext"/>
              <w:tabs>
                <w:tab w:val="decimal" w:pos="624"/>
              </w:tabs>
              <w:rPr>
                <w:lang w:val="en-GB"/>
              </w:rPr>
            </w:pPr>
          </w:p>
        </w:tc>
      </w:tr>
      <w:tr w:rsidR="00FA23C6" w:rsidRPr="00B07B55" w:rsidTr="00623C5A">
        <w:trPr>
          <w:cantSplit/>
        </w:trPr>
        <w:tc>
          <w:tcPr>
            <w:tcW w:w="2724" w:type="dxa"/>
            <w:tcBorders>
              <w:top w:val="nil"/>
              <w:bottom w:val="nil"/>
              <w:right w:val="nil"/>
            </w:tcBorders>
          </w:tcPr>
          <w:p w:rsidR="00FA23C6" w:rsidRPr="00B07B55" w:rsidRDefault="00FA23C6" w:rsidP="009B641C">
            <w:pPr>
              <w:pStyle w:val="Tabletext"/>
              <w:ind w:left="227"/>
              <w:rPr>
                <w:lang w:val="en-GB"/>
              </w:rPr>
            </w:pPr>
            <w:r w:rsidRPr="00B07B55">
              <w:rPr>
                <w:lang w:val="en-GB"/>
              </w:rPr>
              <w:t>Certificate</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r w:rsidRPr="00B07B55">
              <w:rPr>
                <w:lang w:val="en-GB"/>
              </w:rPr>
              <w:t>44.91</w:t>
            </w:r>
          </w:p>
        </w:tc>
        <w:tc>
          <w:tcPr>
            <w:tcW w:w="1516" w:type="dxa"/>
            <w:tcBorders>
              <w:top w:val="nil"/>
              <w:left w:val="nil"/>
              <w:bottom w:val="nil"/>
              <w:right w:val="nil"/>
            </w:tcBorders>
          </w:tcPr>
          <w:p w:rsidR="00FA23C6" w:rsidRPr="00B07B55" w:rsidRDefault="00DF55C0" w:rsidP="00623C5A">
            <w:pPr>
              <w:pStyle w:val="Tabletext"/>
              <w:tabs>
                <w:tab w:val="decimal" w:pos="624"/>
              </w:tabs>
              <w:rPr>
                <w:lang w:val="en-GB"/>
              </w:rPr>
            </w:pPr>
            <w:r>
              <w:rPr>
                <w:lang w:val="en-GB"/>
              </w:rPr>
              <w:t>48.63</w:t>
            </w:r>
          </w:p>
        </w:tc>
        <w:tc>
          <w:tcPr>
            <w:tcW w:w="1516" w:type="dxa"/>
            <w:tcBorders>
              <w:top w:val="nil"/>
              <w:left w:val="nil"/>
              <w:bottom w:val="nil"/>
              <w:right w:val="nil"/>
            </w:tcBorders>
          </w:tcPr>
          <w:p w:rsidR="00FA23C6" w:rsidRPr="00B07B55" w:rsidRDefault="00DF55C0" w:rsidP="00623C5A">
            <w:pPr>
              <w:pStyle w:val="Tabletext"/>
              <w:tabs>
                <w:tab w:val="decimal" w:pos="624"/>
              </w:tabs>
              <w:rPr>
                <w:lang w:val="en-GB"/>
              </w:rPr>
            </w:pPr>
            <w:r>
              <w:rPr>
                <w:lang w:val="en-GB"/>
              </w:rPr>
              <w:t>53.78</w:t>
            </w:r>
          </w:p>
        </w:tc>
        <w:tc>
          <w:tcPr>
            <w:tcW w:w="1517" w:type="dxa"/>
            <w:tcBorders>
              <w:top w:val="nil"/>
              <w:left w:val="nil"/>
              <w:bottom w:val="nil"/>
            </w:tcBorders>
          </w:tcPr>
          <w:p w:rsidR="00FA23C6" w:rsidRPr="00B07B55" w:rsidRDefault="00DF55C0" w:rsidP="00623C5A">
            <w:pPr>
              <w:pStyle w:val="Tabletext"/>
              <w:tabs>
                <w:tab w:val="decimal" w:pos="624"/>
              </w:tabs>
              <w:rPr>
                <w:lang w:val="en-GB"/>
              </w:rPr>
            </w:pPr>
            <w:r>
              <w:rPr>
                <w:lang w:val="en-GB"/>
              </w:rPr>
              <w:t>47.06</w:t>
            </w:r>
          </w:p>
        </w:tc>
      </w:tr>
      <w:tr w:rsidR="00FA23C6" w:rsidRPr="00B07B55" w:rsidTr="00623C5A">
        <w:trPr>
          <w:cantSplit/>
        </w:trPr>
        <w:tc>
          <w:tcPr>
            <w:tcW w:w="2724" w:type="dxa"/>
            <w:tcBorders>
              <w:top w:val="nil"/>
              <w:bottom w:val="nil"/>
              <w:right w:val="nil"/>
            </w:tcBorders>
          </w:tcPr>
          <w:p w:rsidR="00FA23C6" w:rsidRPr="00B07B55" w:rsidRDefault="00FA23C6" w:rsidP="009B641C">
            <w:pPr>
              <w:pStyle w:val="Tabletext"/>
              <w:ind w:left="227"/>
              <w:rPr>
                <w:lang w:val="en-GB"/>
              </w:rPr>
            </w:pPr>
            <w:r w:rsidRPr="00B07B55">
              <w:rPr>
                <w:lang w:val="en-GB"/>
              </w:rPr>
              <w:t>Diploma</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r w:rsidRPr="00B07B55">
              <w:rPr>
                <w:lang w:val="en-GB"/>
              </w:rPr>
              <w:t>16.84</w:t>
            </w:r>
          </w:p>
        </w:tc>
        <w:tc>
          <w:tcPr>
            <w:tcW w:w="1516" w:type="dxa"/>
            <w:tcBorders>
              <w:top w:val="nil"/>
              <w:left w:val="nil"/>
              <w:bottom w:val="nil"/>
              <w:right w:val="nil"/>
            </w:tcBorders>
          </w:tcPr>
          <w:p w:rsidR="00FA23C6" w:rsidRPr="00B07B55" w:rsidRDefault="00DF55C0" w:rsidP="00623C5A">
            <w:pPr>
              <w:pStyle w:val="Tabletext"/>
              <w:tabs>
                <w:tab w:val="decimal" w:pos="624"/>
              </w:tabs>
              <w:rPr>
                <w:lang w:val="en-GB"/>
              </w:rPr>
            </w:pPr>
            <w:r>
              <w:rPr>
                <w:lang w:val="en-GB"/>
              </w:rPr>
              <w:t>15.69</w:t>
            </w:r>
          </w:p>
        </w:tc>
        <w:tc>
          <w:tcPr>
            <w:tcW w:w="1516" w:type="dxa"/>
            <w:tcBorders>
              <w:top w:val="nil"/>
              <w:left w:val="nil"/>
              <w:bottom w:val="nil"/>
              <w:right w:val="nil"/>
            </w:tcBorders>
          </w:tcPr>
          <w:p w:rsidR="00FA23C6" w:rsidRPr="00B07B55" w:rsidRDefault="00DF55C0" w:rsidP="00623C5A">
            <w:pPr>
              <w:pStyle w:val="Tabletext"/>
              <w:tabs>
                <w:tab w:val="decimal" w:pos="624"/>
              </w:tabs>
              <w:rPr>
                <w:lang w:val="en-GB"/>
              </w:rPr>
            </w:pPr>
            <w:r>
              <w:rPr>
                <w:lang w:val="en-GB"/>
              </w:rPr>
              <w:t>15.13</w:t>
            </w:r>
          </w:p>
        </w:tc>
        <w:tc>
          <w:tcPr>
            <w:tcW w:w="1517" w:type="dxa"/>
            <w:tcBorders>
              <w:top w:val="nil"/>
              <w:left w:val="nil"/>
              <w:bottom w:val="nil"/>
            </w:tcBorders>
          </w:tcPr>
          <w:p w:rsidR="00FA23C6" w:rsidRPr="00B07B55" w:rsidRDefault="00DF55C0" w:rsidP="00623C5A">
            <w:pPr>
              <w:pStyle w:val="Tabletext"/>
              <w:tabs>
                <w:tab w:val="decimal" w:pos="624"/>
              </w:tabs>
              <w:rPr>
                <w:lang w:val="en-GB"/>
              </w:rPr>
            </w:pPr>
            <w:r>
              <w:rPr>
                <w:lang w:val="en-GB"/>
              </w:rPr>
              <w:t>17.65</w:t>
            </w:r>
          </w:p>
        </w:tc>
      </w:tr>
      <w:tr w:rsidR="00FA23C6" w:rsidRPr="00B07B55" w:rsidTr="00623C5A">
        <w:trPr>
          <w:cantSplit/>
        </w:trPr>
        <w:tc>
          <w:tcPr>
            <w:tcW w:w="2724" w:type="dxa"/>
            <w:tcBorders>
              <w:top w:val="nil"/>
              <w:bottom w:val="nil"/>
              <w:right w:val="nil"/>
            </w:tcBorders>
          </w:tcPr>
          <w:p w:rsidR="00FA23C6" w:rsidRPr="00B07B55" w:rsidRDefault="00FA23C6" w:rsidP="009B641C">
            <w:pPr>
              <w:pStyle w:val="Tabletext"/>
              <w:ind w:left="227"/>
              <w:rPr>
                <w:lang w:val="en-GB"/>
              </w:rPr>
            </w:pPr>
            <w:r w:rsidRPr="00B07B55">
              <w:rPr>
                <w:lang w:val="en-GB"/>
              </w:rPr>
              <w:t>Degree and above</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r w:rsidRPr="00B07B55">
              <w:rPr>
                <w:lang w:val="en-GB"/>
              </w:rPr>
              <w:t>33.68</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r w:rsidRPr="00B07B55">
              <w:rPr>
                <w:lang w:val="en-GB"/>
              </w:rPr>
              <w:t>31.37</w:t>
            </w:r>
          </w:p>
        </w:tc>
        <w:tc>
          <w:tcPr>
            <w:tcW w:w="1516" w:type="dxa"/>
            <w:tcBorders>
              <w:top w:val="nil"/>
              <w:left w:val="nil"/>
              <w:bottom w:val="nil"/>
              <w:right w:val="nil"/>
            </w:tcBorders>
          </w:tcPr>
          <w:p w:rsidR="00FA23C6" w:rsidRPr="00B07B55" w:rsidRDefault="00DF55C0" w:rsidP="00623C5A">
            <w:pPr>
              <w:pStyle w:val="Tabletext"/>
              <w:tabs>
                <w:tab w:val="decimal" w:pos="624"/>
              </w:tabs>
              <w:rPr>
                <w:lang w:val="en-GB"/>
              </w:rPr>
            </w:pPr>
            <w:r>
              <w:rPr>
                <w:lang w:val="en-GB"/>
              </w:rPr>
              <w:t>27.73</w:t>
            </w:r>
          </w:p>
        </w:tc>
        <w:tc>
          <w:tcPr>
            <w:tcW w:w="1517" w:type="dxa"/>
            <w:tcBorders>
              <w:top w:val="nil"/>
              <w:left w:val="nil"/>
              <w:bottom w:val="nil"/>
            </w:tcBorders>
          </w:tcPr>
          <w:p w:rsidR="00FA23C6" w:rsidRPr="00B07B55" w:rsidRDefault="00DF55C0" w:rsidP="00623C5A">
            <w:pPr>
              <w:pStyle w:val="Tabletext"/>
              <w:tabs>
                <w:tab w:val="decimal" w:pos="624"/>
              </w:tabs>
              <w:rPr>
                <w:lang w:val="en-GB"/>
              </w:rPr>
            </w:pPr>
            <w:r>
              <w:rPr>
                <w:lang w:val="en-GB"/>
              </w:rPr>
              <w:t>23.53</w:t>
            </w:r>
          </w:p>
        </w:tc>
      </w:tr>
      <w:tr w:rsidR="00FA23C6" w:rsidRPr="00B07B55" w:rsidTr="00623C5A">
        <w:trPr>
          <w:cantSplit/>
        </w:trPr>
        <w:tc>
          <w:tcPr>
            <w:tcW w:w="2724" w:type="dxa"/>
            <w:tcBorders>
              <w:top w:val="nil"/>
              <w:bottom w:val="nil"/>
              <w:right w:val="nil"/>
            </w:tcBorders>
          </w:tcPr>
          <w:p w:rsidR="00FA23C6" w:rsidRPr="00B07B55" w:rsidRDefault="00D84AED" w:rsidP="009B641C">
            <w:pPr>
              <w:pStyle w:val="Tabletext"/>
              <w:ind w:left="227"/>
              <w:rPr>
                <w:lang w:val="en-GB"/>
              </w:rPr>
            </w:pPr>
            <w:r w:rsidRPr="00B07B55">
              <w:rPr>
                <w:lang w:val="en-GB"/>
              </w:rPr>
              <w:t>Level not s</w:t>
            </w:r>
            <w:r w:rsidR="00FA23C6" w:rsidRPr="00B07B55">
              <w:rPr>
                <w:lang w:val="en-GB"/>
              </w:rPr>
              <w:t>pecified</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r w:rsidRPr="00B07B55">
              <w:rPr>
                <w:lang w:val="en-GB"/>
              </w:rPr>
              <w:t>4.57</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r w:rsidRPr="00B07B55">
              <w:rPr>
                <w:lang w:val="en-GB"/>
              </w:rPr>
              <w:t>4.31</w:t>
            </w:r>
          </w:p>
        </w:tc>
        <w:tc>
          <w:tcPr>
            <w:tcW w:w="1516" w:type="dxa"/>
            <w:tcBorders>
              <w:top w:val="nil"/>
              <w:left w:val="nil"/>
              <w:bottom w:val="nil"/>
              <w:right w:val="nil"/>
            </w:tcBorders>
          </w:tcPr>
          <w:p w:rsidR="00FA23C6" w:rsidRPr="00B07B55" w:rsidRDefault="00DF55C0" w:rsidP="00623C5A">
            <w:pPr>
              <w:pStyle w:val="Tabletext"/>
              <w:tabs>
                <w:tab w:val="decimal" w:pos="624"/>
              </w:tabs>
              <w:rPr>
                <w:lang w:val="en-GB"/>
              </w:rPr>
            </w:pPr>
            <w:r>
              <w:rPr>
                <w:lang w:val="en-GB"/>
              </w:rPr>
              <w:t>3.36</w:t>
            </w:r>
          </w:p>
        </w:tc>
        <w:tc>
          <w:tcPr>
            <w:tcW w:w="1517" w:type="dxa"/>
            <w:tcBorders>
              <w:top w:val="nil"/>
              <w:left w:val="nil"/>
              <w:bottom w:val="nil"/>
            </w:tcBorders>
          </w:tcPr>
          <w:p w:rsidR="00FA23C6" w:rsidRPr="00B07B55" w:rsidRDefault="00DF55C0" w:rsidP="00623C5A">
            <w:pPr>
              <w:pStyle w:val="Tabletext"/>
              <w:tabs>
                <w:tab w:val="decimal" w:pos="624"/>
              </w:tabs>
              <w:rPr>
                <w:lang w:val="en-GB"/>
              </w:rPr>
            </w:pPr>
            <w:r>
              <w:rPr>
                <w:lang w:val="en-GB"/>
              </w:rPr>
              <w:t>11.76</w:t>
            </w:r>
          </w:p>
        </w:tc>
      </w:tr>
      <w:tr w:rsidR="00FA23C6" w:rsidRPr="00B07B55" w:rsidTr="00623C5A">
        <w:trPr>
          <w:cantSplit/>
        </w:trPr>
        <w:tc>
          <w:tcPr>
            <w:tcW w:w="2724" w:type="dxa"/>
            <w:tcBorders>
              <w:top w:val="nil"/>
              <w:bottom w:val="nil"/>
              <w:right w:val="nil"/>
            </w:tcBorders>
          </w:tcPr>
          <w:p w:rsidR="00FA23C6" w:rsidRPr="00623C5A" w:rsidRDefault="00FA23C6" w:rsidP="00623C5A">
            <w:pPr>
              <w:pStyle w:val="Tabletext"/>
              <w:spacing w:before="120"/>
              <w:rPr>
                <w:b/>
                <w:lang w:val="en-GB"/>
              </w:rPr>
            </w:pPr>
            <w:r w:rsidRPr="00623C5A">
              <w:rPr>
                <w:b/>
                <w:lang w:val="en-GB"/>
              </w:rPr>
              <w:t>Females</w:t>
            </w:r>
          </w:p>
        </w:tc>
        <w:tc>
          <w:tcPr>
            <w:tcW w:w="1516" w:type="dxa"/>
            <w:tcBorders>
              <w:top w:val="nil"/>
              <w:left w:val="nil"/>
              <w:bottom w:val="nil"/>
              <w:right w:val="nil"/>
            </w:tcBorders>
          </w:tcPr>
          <w:p w:rsidR="00FA23C6" w:rsidRPr="00B07B55" w:rsidRDefault="00FA23C6" w:rsidP="00623C5A">
            <w:pPr>
              <w:pStyle w:val="Tabletext"/>
              <w:spacing w:before="120"/>
              <w:rPr>
                <w:lang w:val="en-GB"/>
              </w:rPr>
            </w:pPr>
          </w:p>
        </w:tc>
        <w:tc>
          <w:tcPr>
            <w:tcW w:w="1516" w:type="dxa"/>
            <w:tcBorders>
              <w:top w:val="nil"/>
              <w:left w:val="nil"/>
              <w:bottom w:val="nil"/>
              <w:right w:val="nil"/>
            </w:tcBorders>
          </w:tcPr>
          <w:p w:rsidR="00FA23C6" w:rsidRPr="00B07B55" w:rsidRDefault="00FA23C6" w:rsidP="00623C5A">
            <w:pPr>
              <w:pStyle w:val="Tabletext"/>
              <w:spacing w:before="120"/>
              <w:rPr>
                <w:lang w:val="en-GB"/>
              </w:rPr>
            </w:pPr>
          </w:p>
        </w:tc>
        <w:tc>
          <w:tcPr>
            <w:tcW w:w="1516" w:type="dxa"/>
            <w:tcBorders>
              <w:top w:val="nil"/>
              <w:left w:val="nil"/>
              <w:bottom w:val="nil"/>
              <w:right w:val="nil"/>
            </w:tcBorders>
          </w:tcPr>
          <w:p w:rsidR="00FA23C6" w:rsidRPr="00B07B55" w:rsidRDefault="00FA23C6" w:rsidP="00623C5A">
            <w:pPr>
              <w:pStyle w:val="Tabletext"/>
              <w:spacing w:before="120"/>
              <w:rPr>
                <w:lang w:val="en-GB"/>
              </w:rPr>
            </w:pPr>
          </w:p>
        </w:tc>
        <w:tc>
          <w:tcPr>
            <w:tcW w:w="1517" w:type="dxa"/>
            <w:tcBorders>
              <w:top w:val="nil"/>
              <w:left w:val="nil"/>
              <w:bottom w:val="nil"/>
            </w:tcBorders>
          </w:tcPr>
          <w:p w:rsidR="00FA23C6" w:rsidRPr="00B07B55" w:rsidRDefault="00FA23C6" w:rsidP="00623C5A">
            <w:pPr>
              <w:pStyle w:val="Tabletext"/>
              <w:spacing w:before="120"/>
              <w:rPr>
                <w:lang w:val="en-GB"/>
              </w:rPr>
            </w:pPr>
          </w:p>
        </w:tc>
      </w:tr>
      <w:tr w:rsidR="00FA23C6" w:rsidRPr="009B641C" w:rsidTr="00623C5A">
        <w:trPr>
          <w:cantSplit/>
        </w:trPr>
        <w:tc>
          <w:tcPr>
            <w:tcW w:w="2724" w:type="dxa"/>
            <w:tcBorders>
              <w:top w:val="nil"/>
              <w:bottom w:val="nil"/>
              <w:right w:val="nil"/>
            </w:tcBorders>
          </w:tcPr>
          <w:p w:rsidR="00FA23C6" w:rsidRPr="009B641C" w:rsidRDefault="00FA23C6" w:rsidP="00623C5A">
            <w:pPr>
              <w:pStyle w:val="Tabletext"/>
              <w:rPr>
                <w:i/>
                <w:lang w:val="en-GB"/>
              </w:rPr>
            </w:pPr>
            <w:r w:rsidRPr="009B641C">
              <w:rPr>
                <w:i/>
                <w:lang w:val="en-GB"/>
              </w:rPr>
              <w:t>O</w:t>
            </w:r>
            <w:r w:rsidR="00D84AED" w:rsidRPr="009B641C">
              <w:rPr>
                <w:i/>
                <w:lang w:val="en-GB"/>
              </w:rPr>
              <w:t>bservations</w:t>
            </w:r>
          </w:p>
        </w:tc>
        <w:tc>
          <w:tcPr>
            <w:tcW w:w="1516" w:type="dxa"/>
            <w:tcBorders>
              <w:top w:val="nil"/>
              <w:left w:val="nil"/>
              <w:bottom w:val="nil"/>
              <w:right w:val="nil"/>
            </w:tcBorders>
          </w:tcPr>
          <w:p w:rsidR="00FA23C6" w:rsidRPr="009B641C" w:rsidRDefault="00FA23C6" w:rsidP="00623C5A">
            <w:pPr>
              <w:pStyle w:val="Tabletext"/>
              <w:jc w:val="center"/>
              <w:rPr>
                <w:i/>
                <w:lang w:val="en-GB"/>
              </w:rPr>
            </w:pPr>
            <w:r w:rsidRPr="009B641C">
              <w:rPr>
                <w:i/>
                <w:lang w:val="en-GB"/>
              </w:rPr>
              <w:t>779</w:t>
            </w:r>
          </w:p>
        </w:tc>
        <w:tc>
          <w:tcPr>
            <w:tcW w:w="1516" w:type="dxa"/>
            <w:tcBorders>
              <w:top w:val="nil"/>
              <w:left w:val="nil"/>
              <w:bottom w:val="nil"/>
              <w:right w:val="nil"/>
            </w:tcBorders>
          </w:tcPr>
          <w:p w:rsidR="00FA23C6" w:rsidRPr="009B641C" w:rsidRDefault="00FA23C6" w:rsidP="00623C5A">
            <w:pPr>
              <w:pStyle w:val="Tabletext"/>
              <w:jc w:val="center"/>
              <w:rPr>
                <w:i/>
                <w:lang w:val="en-GB"/>
              </w:rPr>
            </w:pPr>
            <w:r w:rsidRPr="009B641C">
              <w:rPr>
                <w:i/>
                <w:lang w:val="en-GB"/>
              </w:rPr>
              <w:t>993</w:t>
            </w:r>
          </w:p>
        </w:tc>
        <w:tc>
          <w:tcPr>
            <w:tcW w:w="1516" w:type="dxa"/>
            <w:tcBorders>
              <w:top w:val="nil"/>
              <w:left w:val="nil"/>
              <w:bottom w:val="nil"/>
              <w:right w:val="nil"/>
            </w:tcBorders>
          </w:tcPr>
          <w:p w:rsidR="00FA23C6" w:rsidRPr="009B641C" w:rsidRDefault="00FA23C6" w:rsidP="00623C5A">
            <w:pPr>
              <w:pStyle w:val="Tabletext"/>
              <w:jc w:val="center"/>
              <w:rPr>
                <w:i/>
                <w:lang w:val="en-GB"/>
              </w:rPr>
            </w:pPr>
            <w:r w:rsidRPr="009B641C">
              <w:rPr>
                <w:i/>
                <w:lang w:val="en-GB"/>
              </w:rPr>
              <w:t>802</w:t>
            </w:r>
          </w:p>
        </w:tc>
        <w:tc>
          <w:tcPr>
            <w:tcW w:w="1517" w:type="dxa"/>
            <w:tcBorders>
              <w:top w:val="nil"/>
              <w:left w:val="nil"/>
              <w:bottom w:val="nil"/>
            </w:tcBorders>
          </w:tcPr>
          <w:p w:rsidR="00FA23C6" w:rsidRPr="009B641C" w:rsidRDefault="00FA23C6" w:rsidP="00623C5A">
            <w:pPr>
              <w:pStyle w:val="Tabletext"/>
              <w:jc w:val="center"/>
              <w:rPr>
                <w:i/>
                <w:lang w:val="en-GB"/>
              </w:rPr>
            </w:pPr>
            <w:r w:rsidRPr="009B641C">
              <w:rPr>
                <w:i/>
                <w:lang w:val="en-GB"/>
              </w:rPr>
              <w:t>564</w:t>
            </w:r>
          </w:p>
        </w:tc>
      </w:tr>
      <w:tr w:rsidR="00FA23C6" w:rsidRPr="00B07B55" w:rsidTr="00623C5A">
        <w:trPr>
          <w:cantSplit/>
        </w:trPr>
        <w:tc>
          <w:tcPr>
            <w:tcW w:w="2724" w:type="dxa"/>
            <w:tcBorders>
              <w:top w:val="nil"/>
              <w:bottom w:val="nil"/>
              <w:right w:val="nil"/>
            </w:tcBorders>
          </w:tcPr>
          <w:p w:rsidR="00FA23C6" w:rsidRPr="00B07B55" w:rsidRDefault="00FA23C6" w:rsidP="00623C5A">
            <w:pPr>
              <w:pStyle w:val="Tabletext"/>
              <w:spacing w:before="120"/>
              <w:rPr>
                <w:lang w:val="en-GB"/>
              </w:rPr>
            </w:pPr>
            <w:r w:rsidRPr="00B07B55">
              <w:rPr>
                <w:lang w:val="en-GB"/>
              </w:rPr>
              <w:t>No study</w:t>
            </w:r>
          </w:p>
        </w:tc>
        <w:tc>
          <w:tcPr>
            <w:tcW w:w="1516" w:type="dxa"/>
            <w:tcBorders>
              <w:top w:val="nil"/>
              <w:left w:val="nil"/>
              <w:bottom w:val="nil"/>
              <w:right w:val="nil"/>
            </w:tcBorders>
          </w:tcPr>
          <w:p w:rsidR="00FA23C6" w:rsidRPr="00B07B55" w:rsidRDefault="00FA23C6" w:rsidP="00623C5A">
            <w:pPr>
              <w:pStyle w:val="Tabletext"/>
              <w:tabs>
                <w:tab w:val="decimal" w:pos="624"/>
              </w:tabs>
              <w:spacing w:before="120"/>
              <w:rPr>
                <w:lang w:val="en-GB"/>
              </w:rPr>
            </w:pPr>
            <w:r w:rsidRPr="00B07B55">
              <w:rPr>
                <w:lang w:val="en-GB"/>
              </w:rPr>
              <w:t>52.89</w:t>
            </w:r>
          </w:p>
        </w:tc>
        <w:tc>
          <w:tcPr>
            <w:tcW w:w="1516" w:type="dxa"/>
            <w:tcBorders>
              <w:top w:val="nil"/>
              <w:left w:val="nil"/>
              <w:bottom w:val="nil"/>
              <w:right w:val="nil"/>
            </w:tcBorders>
          </w:tcPr>
          <w:p w:rsidR="00FA23C6" w:rsidRPr="00B07B55" w:rsidRDefault="00DF55C0" w:rsidP="00623C5A">
            <w:pPr>
              <w:pStyle w:val="Tabletext"/>
              <w:tabs>
                <w:tab w:val="decimal" w:pos="624"/>
              </w:tabs>
              <w:spacing w:before="120"/>
              <w:rPr>
                <w:lang w:val="en-GB"/>
              </w:rPr>
            </w:pPr>
            <w:r>
              <w:rPr>
                <w:lang w:val="en-GB"/>
              </w:rPr>
              <w:t>62.64</w:t>
            </w:r>
          </w:p>
        </w:tc>
        <w:tc>
          <w:tcPr>
            <w:tcW w:w="1516" w:type="dxa"/>
            <w:tcBorders>
              <w:top w:val="nil"/>
              <w:left w:val="nil"/>
              <w:bottom w:val="nil"/>
              <w:right w:val="nil"/>
            </w:tcBorders>
          </w:tcPr>
          <w:p w:rsidR="00FA23C6" w:rsidRPr="00B07B55" w:rsidRDefault="00FA23C6" w:rsidP="00623C5A">
            <w:pPr>
              <w:pStyle w:val="Tabletext"/>
              <w:tabs>
                <w:tab w:val="decimal" w:pos="624"/>
              </w:tabs>
              <w:spacing w:before="120"/>
              <w:rPr>
                <w:lang w:val="en-GB"/>
              </w:rPr>
            </w:pPr>
            <w:r w:rsidRPr="00B07B55">
              <w:rPr>
                <w:lang w:val="en-GB"/>
              </w:rPr>
              <w:t>77.56</w:t>
            </w:r>
          </w:p>
        </w:tc>
        <w:tc>
          <w:tcPr>
            <w:tcW w:w="1517" w:type="dxa"/>
            <w:tcBorders>
              <w:top w:val="nil"/>
              <w:left w:val="nil"/>
              <w:bottom w:val="nil"/>
            </w:tcBorders>
          </w:tcPr>
          <w:p w:rsidR="00FA23C6" w:rsidRPr="00B07B55" w:rsidRDefault="00FA23C6" w:rsidP="00623C5A">
            <w:pPr>
              <w:pStyle w:val="Tabletext"/>
              <w:tabs>
                <w:tab w:val="decimal" w:pos="624"/>
              </w:tabs>
              <w:spacing w:before="120"/>
              <w:rPr>
                <w:lang w:val="en-GB"/>
              </w:rPr>
            </w:pPr>
            <w:r w:rsidRPr="00B07B55">
              <w:rPr>
                <w:lang w:val="en-GB"/>
              </w:rPr>
              <w:t>90.43</w:t>
            </w:r>
          </w:p>
        </w:tc>
      </w:tr>
      <w:tr w:rsidR="00FA23C6" w:rsidRPr="00B07B55" w:rsidTr="00623C5A">
        <w:trPr>
          <w:cantSplit/>
        </w:trPr>
        <w:tc>
          <w:tcPr>
            <w:tcW w:w="2724" w:type="dxa"/>
            <w:tcBorders>
              <w:top w:val="nil"/>
              <w:bottom w:val="nil"/>
              <w:right w:val="nil"/>
            </w:tcBorders>
          </w:tcPr>
          <w:p w:rsidR="00FA23C6" w:rsidRPr="00B07B55" w:rsidRDefault="00FA23C6" w:rsidP="00623C5A">
            <w:pPr>
              <w:pStyle w:val="Tabletext"/>
              <w:rPr>
                <w:lang w:val="en-GB"/>
              </w:rPr>
            </w:pPr>
            <w:r w:rsidRPr="00B07B55">
              <w:rPr>
                <w:lang w:val="en-GB"/>
              </w:rPr>
              <w:t>Any study</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r w:rsidRPr="00B07B55">
              <w:rPr>
                <w:lang w:val="en-GB"/>
              </w:rPr>
              <w:t>47.11</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r w:rsidRPr="00B07B55">
              <w:rPr>
                <w:lang w:val="en-GB"/>
              </w:rPr>
              <w:t>37.36</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r w:rsidRPr="00B07B55">
              <w:rPr>
                <w:lang w:val="en-GB"/>
              </w:rPr>
              <w:t>22.44</w:t>
            </w:r>
          </w:p>
        </w:tc>
        <w:tc>
          <w:tcPr>
            <w:tcW w:w="1517" w:type="dxa"/>
            <w:tcBorders>
              <w:top w:val="nil"/>
              <w:left w:val="nil"/>
              <w:bottom w:val="nil"/>
            </w:tcBorders>
          </w:tcPr>
          <w:p w:rsidR="00FA23C6" w:rsidRPr="00B07B55" w:rsidRDefault="00FA23C6" w:rsidP="00623C5A">
            <w:pPr>
              <w:pStyle w:val="Tabletext"/>
              <w:tabs>
                <w:tab w:val="decimal" w:pos="624"/>
              </w:tabs>
              <w:rPr>
                <w:lang w:val="en-GB"/>
              </w:rPr>
            </w:pPr>
            <w:r w:rsidRPr="00B07B55">
              <w:rPr>
                <w:lang w:val="en-GB"/>
              </w:rPr>
              <w:t>9.57</w:t>
            </w:r>
          </w:p>
        </w:tc>
      </w:tr>
      <w:tr w:rsidR="00FA23C6" w:rsidRPr="00B07B55" w:rsidTr="00623C5A">
        <w:trPr>
          <w:cantSplit/>
        </w:trPr>
        <w:tc>
          <w:tcPr>
            <w:tcW w:w="2724" w:type="dxa"/>
            <w:tcBorders>
              <w:top w:val="nil"/>
              <w:bottom w:val="nil"/>
              <w:right w:val="nil"/>
            </w:tcBorders>
          </w:tcPr>
          <w:p w:rsidR="00FA23C6" w:rsidRPr="009B641C" w:rsidRDefault="00FA23C6" w:rsidP="009B641C">
            <w:pPr>
              <w:pStyle w:val="Tabletext"/>
              <w:tabs>
                <w:tab w:val="center" w:pos="1254"/>
              </w:tabs>
              <w:rPr>
                <w:lang w:val="en-GB"/>
              </w:rPr>
            </w:pPr>
            <w:r w:rsidRPr="009B641C">
              <w:rPr>
                <w:lang w:val="en-GB"/>
              </w:rPr>
              <w:t>Of which:</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p>
        </w:tc>
        <w:tc>
          <w:tcPr>
            <w:tcW w:w="1517" w:type="dxa"/>
            <w:tcBorders>
              <w:top w:val="nil"/>
              <w:left w:val="nil"/>
              <w:bottom w:val="nil"/>
            </w:tcBorders>
          </w:tcPr>
          <w:p w:rsidR="00FA23C6" w:rsidRPr="00B07B55" w:rsidRDefault="00FA23C6" w:rsidP="00623C5A">
            <w:pPr>
              <w:pStyle w:val="Tabletext"/>
              <w:tabs>
                <w:tab w:val="decimal" w:pos="624"/>
              </w:tabs>
              <w:rPr>
                <w:lang w:val="en-GB"/>
              </w:rPr>
            </w:pPr>
          </w:p>
        </w:tc>
      </w:tr>
      <w:tr w:rsidR="00FA23C6" w:rsidRPr="00B07B55" w:rsidTr="00623C5A">
        <w:trPr>
          <w:cantSplit/>
        </w:trPr>
        <w:tc>
          <w:tcPr>
            <w:tcW w:w="2724" w:type="dxa"/>
            <w:tcBorders>
              <w:top w:val="nil"/>
              <w:bottom w:val="nil"/>
              <w:right w:val="nil"/>
            </w:tcBorders>
          </w:tcPr>
          <w:p w:rsidR="00FA23C6" w:rsidRPr="00B07B55" w:rsidRDefault="00FA23C6" w:rsidP="009B641C">
            <w:pPr>
              <w:pStyle w:val="Tabletext"/>
              <w:ind w:left="227"/>
              <w:rPr>
                <w:lang w:val="en-GB"/>
              </w:rPr>
            </w:pPr>
            <w:r w:rsidRPr="00B07B55">
              <w:rPr>
                <w:lang w:val="en-GB"/>
              </w:rPr>
              <w:t>Certificate</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r w:rsidRPr="00B07B55">
              <w:rPr>
                <w:lang w:val="en-GB"/>
              </w:rPr>
              <w:t>48.23</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r w:rsidRPr="00B07B55">
              <w:rPr>
                <w:lang w:val="en-GB"/>
              </w:rPr>
              <w:t>55.26</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r w:rsidRPr="00B07B55">
              <w:rPr>
                <w:lang w:val="en-GB"/>
              </w:rPr>
              <w:t>58.33</w:t>
            </w:r>
          </w:p>
        </w:tc>
        <w:tc>
          <w:tcPr>
            <w:tcW w:w="1517" w:type="dxa"/>
            <w:tcBorders>
              <w:top w:val="nil"/>
              <w:left w:val="nil"/>
              <w:bottom w:val="nil"/>
            </w:tcBorders>
          </w:tcPr>
          <w:p w:rsidR="00FA23C6" w:rsidRPr="00B07B55" w:rsidRDefault="00FA23C6" w:rsidP="00623C5A">
            <w:pPr>
              <w:pStyle w:val="Tabletext"/>
              <w:tabs>
                <w:tab w:val="decimal" w:pos="624"/>
              </w:tabs>
              <w:rPr>
                <w:lang w:val="en-GB"/>
              </w:rPr>
            </w:pPr>
            <w:r w:rsidRPr="00B07B55">
              <w:rPr>
                <w:lang w:val="en-GB"/>
              </w:rPr>
              <w:t>66.67</w:t>
            </w:r>
          </w:p>
        </w:tc>
      </w:tr>
      <w:tr w:rsidR="00FA23C6" w:rsidRPr="00B07B55" w:rsidTr="00623C5A">
        <w:trPr>
          <w:cantSplit/>
        </w:trPr>
        <w:tc>
          <w:tcPr>
            <w:tcW w:w="2724" w:type="dxa"/>
            <w:tcBorders>
              <w:top w:val="nil"/>
              <w:bottom w:val="nil"/>
              <w:right w:val="nil"/>
            </w:tcBorders>
          </w:tcPr>
          <w:p w:rsidR="00FA23C6" w:rsidRPr="00B07B55" w:rsidRDefault="00FA23C6" w:rsidP="009B641C">
            <w:pPr>
              <w:pStyle w:val="Tabletext"/>
              <w:ind w:left="227"/>
              <w:rPr>
                <w:lang w:val="en-GB"/>
              </w:rPr>
            </w:pPr>
            <w:r w:rsidRPr="00B07B55">
              <w:rPr>
                <w:lang w:val="en-GB"/>
              </w:rPr>
              <w:t>Diploma</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r w:rsidRPr="00B07B55">
              <w:rPr>
                <w:lang w:val="en-GB"/>
              </w:rPr>
              <w:t>13.35</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r w:rsidRPr="00B07B55">
              <w:rPr>
                <w:lang w:val="en-GB"/>
              </w:rPr>
              <w:t>10.78</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r w:rsidRPr="00B07B55">
              <w:rPr>
                <w:lang w:val="en-GB"/>
              </w:rPr>
              <w:t>10.00</w:t>
            </w:r>
          </w:p>
        </w:tc>
        <w:tc>
          <w:tcPr>
            <w:tcW w:w="1517" w:type="dxa"/>
            <w:tcBorders>
              <w:top w:val="nil"/>
              <w:left w:val="nil"/>
              <w:bottom w:val="nil"/>
            </w:tcBorders>
          </w:tcPr>
          <w:p w:rsidR="00FA23C6" w:rsidRPr="00B07B55" w:rsidRDefault="00FA23C6" w:rsidP="00623C5A">
            <w:pPr>
              <w:pStyle w:val="Tabletext"/>
              <w:tabs>
                <w:tab w:val="decimal" w:pos="624"/>
              </w:tabs>
              <w:rPr>
                <w:lang w:val="en-GB"/>
              </w:rPr>
            </w:pPr>
            <w:r w:rsidRPr="00B07B55">
              <w:rPr>
                <w:lang w:val="en-GB"/>
              </w:rPr>
              <w:t>7.41</w:t>
            </w:r>
          </w:p>
        </w:tc>
      </w:tr>
      <w:tr w:rsidR="00FA23C6" w:rsidRPr="00B07B55" w:rsidTr="00623C5A">
        <w:trPr>
          <w:cantSplit/>
        </w:trPr>
        <w:tc>
          <w:tcPr>
            <w:tcW w:w="2724" w:type="dxa"/>
            <w:tcBorders>
              <w:top w:val="nil"/>
              <w:bottom w:val="nil"/>
              <w:right w:val="nil"/>
            </w:tcBorders>
          </w:tcPr>
          <w:p w:rsidR="00FA23C6" w:rsidRPr="00B07B55" w:rsidRDefault="00FA23C6" w:rsidP="009B641C">
            <w:pPr>
              <w:pStyle w:val="Tabletext"/>
              <w:ind w:left="227"/>
              <w:rPr>
                <w:lang w:val="en-GB"/>
              </w:rPr>
            </w:pPr>
            <w:r w:rsidRPr="00B07B55">
              <w:rPr>
                <w:lang w:val="en-GB"/>
              </w:rPr>
              <w:t>Degree and above</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r w:rsidRPr="00B07B55">
              <w:rPr>
                <w:lang w:val="en-GB"/>
              </w:rPr>
              <w:t>35.15</w:t>
            </w:r>
          </w:p>
        </w:tc>
        <w:tc>
          <w:tcPr>
            <w:tcW w:w="1516" w:type="dxa"/>
            <w:tcBorders>
              <w:top w:val="nil"/>
              <w:left w:val="nil"/>
              <w:bottom w:val="nil"/>
              <w:right w:val="nil"/>
            </w:tcBorders>
          </w:tcPr>
          <w:p w:rsidR="00FA23C6" w:rsidRPr="00B07B55" w:rsidRDefault="00FA23C6" w:rsidP="00623C5A">
            <w:pPr>
              <w:pStyle w:val="Tabletext"/>
              <w:tabs>
                <w:tab w:val="decimal" w:pos="624"/>
              </w:tabs>
              <w:rPr>
                <w:lang w:val="en-GB"/>
              </w:rPr>
            </w:pPr>
            <w:r w:rsidRPr="00B07B55">
              <w:rPr>
                <w:lang w:val="en-GB"/>
              </w:rPr>
              <w:t>30.19</w:t>
            </w:r>
          </w:p>
        </w:tc>
        <w:tc>
          <w:tcPr>
            <w:tcW w:w="1516" w:type="dxa"/>
            <w:tcBorders>
              <w:top w:val="nil"/>
              <w:left w:val="nil"/>
              <w:bottom w:val="nil"/>
              <w:right w:val="nil"/>
            </w:tcBorders>
          </w:tcPr>
          <w:p w:rsidR="00FA23C6" w:rsidRPr="00B07B55" w:rsidRDefault="00DF55C0" w:rsidP="00623C5A">
            <w:pPr>
              <w:pStyle w:val="Tabletext"/>
              <w:tabs>
                <w:tab w:val="decimal" w:pos="624"/>
              </w:tabs>
              <w:rPr>
                <w:lang w:val="en-GB"/>
              </w:rPr>
            </w:pPr>
            <w:r>
              <w:rPr>
                <w:lang w:val="en-GB"/>
              </w:rPr>
              <w:t>26.11</w:t>
            </w:r>
          </w:p>
        </w:tc>
        <w:tc>
          <w:tcPr>
            <w:tcW w:w="1517" w:type="dxa"/>
            <w:tcBorders>
              <w:top w:val="nil"/>
              <w:left w:val="nil"/>
              <w:bottom w:val="nil"/>
            </w:tcBorders>
          </w:tcPr>
          <w:p w:rsidR="00FA23C6" w:rsidRPr="00B07B55" w:rsidRDefault="00FA23C6" w:rsidP="00623C5A">
            <w:pPr>
              <w:pStyle w:val="Tabletext"/>
              <w:tabs>
                <w:tab w:val="decimal" w:pos="624"/>
              </w:tabs>
              <w:rPr>
                <w:lang w:val="en-GB"/>
              </w:rPr>
            </w:pPr>
            <w:r w:rsidRPr="00B07B55">
              <w:rPr>
                <w:lang w:val="en-GB"/>
              </w:rPr>
              <w:t>16.67</w:t>
            </w:r>
          </w:p>
        </w:tc>
      </w:tr>
      <w:tr w:rsidR="00FA23C6" w:rsidRPr="00B07B55" w:rsidTr="00623C5A">
        <w:trPr>
          <w:cantSplit/>
        </w:trPr>
        <w:tc>
          <w:tcPr>
            <w:tcW w:w="2724" w:type="dxa"/>
            <w:tcBorders>
              <w:top w:val="nil"/>
              <w:bottom w:val="single" w:sz="4" w:space="0" w:color="auto"/>
              <w:right w:val="nil"/>
            </w:tcBorders>
          </w:tcPr>
          <w:p w:rsidR="00FA23C6" w:rsidRPr="00B07B55" w:rsidRDefault="00D84AED" w:rsidP="009B641C">
            <w:pPr>
              <w:pStyle w:val="Tabletext"/>
              <w:ind w:left="227"/>
              <w:rPr>
                <w:lang w:val="en-GB"/>
              </w:rPr>
            </w:pPr>
            <w:r w:rsidRPr="00B07B55">
              <w:rPr>
                <w:lang w:val="en-GB"/>
              </w:rPr>
              <w:t>Level not s</w:t>
            </w:r>
            <w:r w:rsidR="00FA23C6" w:rsidRPr="00B07B55">
              <w:rPr>
                <w:lang w:val="en-GB"/>
              </w:rPr>
              <w:t>pecified</w:t>
            </w:r>
          </w:p>
        </w:tc>
        <w:tc>
          <w:tcPr>
            <w:tcW w:w="1516" w:type="dxa"/>
            <w:tcBorders>
              <w:top w:val="nil"/>
              <w:left w:val="nil"/>
              <w:bottom w:val="single" w:sz="4" w:space="0" w:color="auto"/>
              <w:right w:val="nil"/>
            </w:tcBorders>
          </w:tcPr>
          <w:p w:rsidR="00FA23C6" w:rsidRPr="00B07B55" w:rsidRDefault="00FA23C6" w:rsidP="00623C5A">
            <w:pPr>
              <w:pStyle w:val="Tabletext"/>
              <w:tabs>
                <w:tab w:val="decimal" w:pos="624"/>
              </w:tabs>
              <w:rPr>
                <w:lang w:val="en-GB"/>
              </w:rPr>
            </w:pPr>
            <w:r w:rsidRPr="00B07B55">
              <w:rPr>
                <w:lang w:val="en-GB"/>
              </w:rPr>
              <w:t>3.27</w:t>
            </w:r>
          </w:p>
        </w:tc>
        <w:tc>
          <w:tcPr>
            <w:tcW w:w="1516" w:type="dxa"/>
            <w:tcBorders>
              <w:top w:val="nil"/>
              <w:left w:val="nil"/>
              <w:bottom w:val="single" w:sz="4" w:space="0" w:color="auto"/>
              <w:right w:val="nil"/>
            </w:tcBorders>
          </w:tcPr>
          <w:p w:rsidR="00FA23C6" w:rsidRPr="00B07B55" w:rsidRDefault="00FA23C6" w:rsidP="00623C5A">
            <w:pPr>
              <w:pStyle w:val="Tabletext"/>
              <w:tabs>
                <w:tab w:val="decimal" w:pos="624"/>
              </w:tabs>
              <w:rPr>
                <w:lang w:val="en-GB"/>
              </w:rPr>
            </w:pPr>
            <w:r w:rsidRPr="00B07B55">
              <w:rPr>
                <w:lang w:val="en-GB"/>
              </w:rPr>
              <w:t>3.77</w:t>
            </w:r>
          </w:p>
        </w:tc>
        <w:tc>
          <w:tcPr>
            <w:tcW w:w="1516" w:type="dxa"/>
            <w:tcBorders>
              <w:top w:val="nil"/>
              <w:left w:val="nil"/>
              <w:bottom w:val="single" w:sz="4" w:space="0" w:color="auto"/>
              <w:right w:val="nil"/>
            </w:tcBorders>
          </w:tcPr>
          <w:p w:rsidR="00FA23C6" w:rsidRPr="00B07B55" w:rsidRDefault="00DF55C0" w:rsidP="00623C5A">
            <w:pPr>
              <w:pStyle w:val="Tabletext"/>
              <w:tabs>
                <w:tab w:val="decimal" w:pos="624"/>
              </w:tabs>
              <w:rPr>
                <w:lang w:val="en-GB"/>
              </w:rPr>
            </w:pPr>
            <w:r>
              <w:rPr>
                <w:lang w:val="en-GB"/>
              </w:rPr>
              <w:t>5.56</w:t>
            </w:r>
          </w:p>
        </w:tc>
        <w:tc>
          <w:tcPr>
            <w:tcW w:w="1517" w:type="dxa"/>
            <w:tcBorders>
              <w:top w:val="nil"/>
              <w:left w:val="nil"/>
              <w:bottom w:val="single" w:sz="4" w:space="0" w:color="auto"/>
            </w:tcBorders>
          </w:tcPr>
          <w:p w:rsidR="00FA23C6" w:rsidRPr="00B07B55" w:rsidRDefault="00DF55C0" w:rsidP="00623C5A">
            <w:pPr>
              <w:pStyle w:val="Tabletext"/>
              <w:tabs>
                <w:tab w:val="decimal" w:pos="624"/>
              </w:tabs>
              <w:rPr>
                <w:lang w:val="en-GB"/>
              </w:rPr>
            </w:pPr>
            <w:r>
              <w:rPr>
                <w:lang w:val="en-GB"/>
              </w:rPr>
              <w:t>9.25</w:t>
            </w:r>
          </w:p>
        </w:tc>
      </w:tr>
    </w:tbl>
    <w:p w:rsidR="00FA23C6" w:rsidRPr="00B07B55" w:rsidRDefault="000677C3" w:rsidP="00FA23C6">
      <w:pPr>
        <w:pStyle w:val="Source"/>
        <w:rPr>
          <w:lang w:val="en-GB"/>
        </w:rPr>
      </w:pPr>
      <w:r>
        <w:rPr>
          <w:lang w:val="en-GB"/>
        </w:rPr>
        <w:t>Source:</w:t>
      </w:r>
      <w:r>
        <w:rPr>
          <w:lang w:val="en-GB"/>
        </w:rPr>
        <w:tab/>
        <w:t>HILDA data, weighted statistics</w:t>
      </w:r>
      <w:r w:rsidR="005E4A4D">
        <w:rPr>
          <w:lang w:val="en-GB"/>
        </w:rPr>
        <w:t>.</w:t>
      </w:r>
    </w:p>
    <w:p w:rsidR="00185FAF" w:rsidRPr="00B07B55" w:rsidRDefault="00185FAF" w:rsidP="00623C5A">
      <w:pPr>
        <w:pStyle w:val="Textmorebefore"/>
      </w:pPr>
      <w:r w:rsidRPr="00B07B55">
        <w:t>Table 6 breaks down the subset of individuals rep</w:t>
      </w:r>
      <w:r w:rsidR="00EB5247">
        <w:t>orting enrolment in certificate-</w:t>
      </w:r>
      <w:r w:rsidRPr="00B07B55">
        <w:t xml:space="preserve">level study by previously attained education levels and </w:t>
      </w:r>
      <w:r w:rsidR="00F963CE" w:rsidRPr="00B07B55">
        <w:t xml:space="preserve">prior </w:t>
      </w:r>
      <w:r w:rsidRPr="00B07B55">
        <w:t>employment status</w:t>
      </w:r>
      <w:r w:rsidR="00F963CE" w:rsidRPr="00B07B55">
        <w:t xml:space="preserve">. </w:t>
      </w:r>
      <w:r w:rsidR="00C23F8E">
        <w:t>C</w:t>
      </w:r>
      <w:r w:rsidR="00F963CE" w:rsidRPr="00B07B55">
        <w:t>ertificate</w:t>
      </w:r>
      <w:r w:rsidR="008F2383">
        <w:t>-</w:t>
      </w:r>
      <w:r w:rsidR="00F963CE" w:rsidRPr="00B07B55">
        <w:t>level studies attract the highest number of participants</w:t>
      </w:r>
      <w:r w:rsidR="00C23F8E">
        <w:t xml:space="preserve"> overall</w:t>
      </w:r>
      <w:r w:rsidR="002B2D73" w:rsidRPr="00B07B55">
        <w:t>, including</w:t>
      </w:r>
      <w:r w:rsidR="003B4457" w:rsidRPr="00B07B55">
        <w:t xml:space="preserve"> attende</w:t>
      </w:r>
      <w:r w:rsidR="00E47B92">
        <w:t>e</w:t>
      </w:r>
      <w:r w:rsidR="003B4457" w:rsidRPr="00B07B55">
        <w:t xml:space="preserve">s </w:t>
      </w:r>
      <w:r w:rsidR="005E4A4D">
        <w:t>who</w:t>
      </w:r>
      <w:r w:rsidR="003B4457" w:rsidRPr="00B07B55">
        <w:t xml:space="preserve"> have already achieved a qualification level that is higher than a certificate </w:t>
      </w:r>
      <w:r w:rsidRPr="00B07B55">
        <w:t xml:space="preserve">(the corresponding figures for </w:t>
      </w:r>
      <w:r w:rsidR="00AD5C9C" w:rsidRPr="00B07B55">
        <w:t xml:space="preserve">diploma </w:t>
      </w:r>
      <w:r w:rsidRPr="00B07B55">
        <w:t xml:space="preserve">and </w:t>
      </w:r>
      <w:r w:rsidR="00AD5C9C" w:rsidRPr="00B07B55">
        <w:t xml:space="preserve">university </w:t>
      </w:r>
      <w:r w:rsidRPr="00B07B55">
        <w:t>degree students can be found in tables A</w:t>
      </w:r>
      <w:r w:rsidR="00503F9E" w:rsidRPr="00B07B55">
        <w:t>3</w:t>
      </w:r>
      <w:r w:rsidRPr="00B07B55">
        <w:t xml:space="preserve"> and A</w:t>
      </w:r>
      <w:r w:rsidR="00503F9E" w:rsidRPr="00B07B55">
        <w:t>4</w:t>
      </w:r>
      <w:r w:rsidRPr="00B07B55">
        <w:t xml:space="preserve"> in appendix A). Note that</w:t>
      </w:r>
      <w:r w:rsidR="00EB5247">
        <w:t>,</w:t>
      </w:r>
      <w:r w:rsidRPr="00B07B55">
        <w:t xml:space="preserve"> when analysing the characteristics of individuals enrolled in formal education, we use the characteristic measured in the year prior to education enrolment. </w:t>
      </w:r>
      <w:r w:rsidR="00AD5C9C" w:rsidRPr="00B07B55">
        <w:t xml:space="preserve">Depending </w:t>
      </w:r>
      <w:r w:rsidRPr="00B07B55">
        <w:t xml:space="preserve">on age group, between 34% and 45% of </w:t>
      </w:r>
      <w:r w:rsidR="005E4A4D">
        <w:t>men who enrolled in certificate-</w:t>
      </w:r>
      <w:r w:rsidRPr="00B07B55">
        <w:t xml:space="preserve">level study already held a </w:t>
      </w:r>
      <w:r w:rsidR="00EB0C29">
        <w:t>c</w:t>
      </w:r>
      <w:r w:rsidRPr="00B07B55">
        <w:t xml:space="preserve">ertificate III or IV. Some of these individuals may be attempting to improve their qualification level from III to IV. An alternative explanation may be the desire (or the need) to obtain a qualification that provides skills closer to those required for the development of a working career. Note that up to age 54, more than 80% of </w:t>
      </w:r>
      <w:r w:rsidR="00193882">
        <w:t>males</w:t>
      </w:r>
      <w:r w:rsidRPr="00B07B55">
        <w:t xml:space="preserve"> enrolled in certifica</w:t>
      </w:r>
      <w:r w:rsidR="005E4A4D">
        <w:t>te-</w:t>
      </w:r>
      <w:r w:rsidRPr="00B07B55">
        <w:t>level study h</w:t>
      </w:r>
      <w:r w:rsidR="003B4457" w:rsidRPr="00B07B55">
        <w:t>e</w:t>
      </w:r>
      <w:r w:rsidRPr="00B07B55">
        <w:t xml:space="preserve">ld either a full- or part-time job. Note also </w:t>
      </w:r>
      <w:r w:rsidR="00CE6293" w:rsidRPr="00B07B55">
        <w:t>that, depending on the age group, 18</w:t>
      </w:r>
      <w:r w:rsidR="003B4457" w:rsidRPr="00B07B55">
        <w:t>%</w:t>
      </w:r>
      <w:r w:rsidR="00CE6293" w:rsidRPr="00B07B55">
        <w:t xml:space="preserve"> to 36% of men and </w:t>
      </w:r>
      <w:r w:rsidR="00AB78C2" w:rsidRPr="00B07B55">
        <w:t>21</w:t>
      </w:r>
      <w:r w:rsidR="003B4457" w:rsidRPr="00B07B55">
        <w:t>%</w:t>
      </w:r>
      <w:r w:rsidR="00AB78C2" w:rsidRPr="00B07B55">
        <w:t xml:space="preserve"> to</w:t>
      </w:r>
      <w:r w:rsidR="00503F9E" w:rsidRPr="00B07B55">
        <w:t xml:space="preserve"> </w:t>
      </w:r>
      <w:r w:rsidR="00AB78C2" w:rsidRPr="00B07B55">
        <w:t xml:space="preserve">41% of women </w:t>
      </w:r>
      <w:r w:rsidRPr="00B07B55">
        <w:t>en</w:t>
      </w:r>
      <w:r w:rsidR="00EB5247">
        <w:t>rolled in certificate-</w:t>
      </w:r>
      <w:r w:rsidRPr="00B07B55">
        <w:t>level courses already hold a diploma or a university degree.</w:t>
      </w:r>
      <w:r w:rsidR="00C23F8E" w:rsidRPr="00051566">
        <w:rPr>
          <w:vertAlign w:val="superscript"/>
        </w:rPr>
        <w:footnoteReference w:id="4"/>
      </w:r>
    </w:p>
    <w:p w:rsidR="00B10A30" w:rsidRPr="00B07B55" w:rsidRDefault="00540936" w:rsidP="00495869">
      <w:pPr>
        <w:pStyle w:val="Text"/>
        <w:ind w:right="0"/>
        <w:rPr>
          <w:lang w:val="en-GB"/>
        </w:rPr>
      </w:pPr>
      <w:r w:rsidRPr="00B07B55">
        <w:rPr>
          <w:lang w:val="en-GB"/>
        </w:rPr>
        <w:t xml:space="preserve">For all age groups, the percentage of </w:t>
      </w:r>
      <w:r w:rsidR="00AD5C9C" w:rsidRPr="00B07B55">
        <w:rPr>
          <w:lang w:val="en-GB"/>
        </w:rPr>
        <w:t xml:space="preserve">female </w:t>
      </w:r>
      <w:r w:rsidRPr="00B07B55">
        <w:rPr>
          <w:lang w:val="en-GB"/>
        </w:rPr>
        <w:t>education enrol</w:t>
      </w:r>
      <w:r w:rsidR="00EB5247">
        <w:rPr>
          <w:lang w:val="en-GB"/>
        </w:rPr>
        <w:t>l</w:t>
      </w:r>
      <w:r w:rsidRPr="00B07B55">
        <w:rPr>
          <w:lang w:val="en-GB"/>
        </w:rPr>
        <w:t xml:space="preserve">ees working full-time is lower than the corresponding figure for males, and this is not fully compensated by a higher rate of part-time work. This </w:t>
      </w:r>
      <w:r w:rsidR="003B4457" w:rsidRPr="00B07B55">
        <w:rPr>
          <w:lang w:val="en-GB"/>
        </w:rPr>
        <w:t>reflects the usual</w:t>
      </w:r>
      <w:r w:rsidRPr="00B07B55">
        <w:rPr>
          <w:lang w:val="en-GB"/>
        </w:rPr>
        <w:t xml:space="preserve"> </w:t>
      </w:r>
      <w:r w:rsidR="003B4457" w:rsidRPr="00B07B55">
        <w:rPr>
          <w:lang w:val="en-GB"/>
        </w:rPr>
        <w:t xml:space="preserve">gender gap in </w:t>
      </w:r>
      <w:r w:rsidRPr="00B07B55">
        <w:rPr>
          <w:lang w:val="en-GB"/>
        </w:rPr>
        <w:t xml:space="preserve">rates of labour force participation. Note also the higher percentage of females studying for a certificate whose prior highest education level is less than high school or a </w:t>
      </w:r>
      <w:r w:rsidR="00B24059">
        <w:rPr>
          <w:lang w:val="en-GB"/>
        </w:rPr>
        <w:t>c</w:t>
      </w:r>
      <w:r w:rsidRPr="00B07B55">
        <w:rPr>
          <w:lang w:val="en-GB"/>
        </w:rPr>
        <w:t>ertificate I/II.</w:t>
      </w:r>
    </w:p>
    <w:p w:rsidR="00FA23C6" w:rsidRPr="00B07B55" w:rsidRDefault="00FA23C6" w:rsidP="00FA23C6">
      <w:pPr>
        <w:pStyle w:val="tabletitle"/>
        <w:rPr>
          <w:lang w:val="en-GB"/>
        </w:rPr>
      </w:pPr>
      <w:bookmarkStart w:id="48" w:name="_Toc311576118"/>
      <w:bookmarkStart w:id="49" w:name="_Toc334021173"/>
      <w:r w:rsidRPr="00B07B55">
        <w:rPr>
          <w:lang w:val="en-GB"/>
        </w:rPr>
        <w:t>Table 6</w:t>
      </w:r>
      <w:r w:rsidRPr="00B07B55">
        <w:rPr>
          <w:lang w:val="en-GB"/>
        </w:rPr>
        <w:tab/>
        <w:t>Initial education levels and employment status of certificate</w:t>
      </w:r>
      <w:r w:rsidR="008F2383">
        <w:rPr>
          <w:lang w:val="en-GB"/>
        </w:rPr>
        <w:t>-</w:t>
      </w:r>
      <w:r w:rsidRPr="00B07B55">
        <w:rPr>
          <w:lang w:val="en-GB"/>
        </w:rPr>
        <w:t>level students, HILDA</w:t>
      </w:r>
      <w:bookmarkEnd w:id="48"/>
      <w:bookmarkEnd w:id="49"/>
      <w:r w:rsidRPr="00B07B55">
        <w:rPr>
          <w:lang w:val="en-GB"/>
        </w:rPr>
        <w:t xml:space="preserve"> </w:t>
      </w:r>
    </w:p>
    <w:tbl>
      <w:tblPr>
        <w:tblW w:w="8789" w:type="dxa"/>
        <w:tblInd w:w="108" w:type="dxa"/>
        <w:tblBorders>
          <w:top w:val="single" w:sz="4" w:space="0" w:color="auto"/>
          <w:bottom w:val="single" w:sz="4" w:space="0" w:color="auto"/>
        </w:tblBorders>
        <w:tblLayout w:type="fixed"/>
        <w:tblLook w:val="0000"/>
      </w:tblPr>
      <w:tblGrid>
        <w:gridCol w:w="2735"/>
        <w:gridCol w:w="1513"/>
        <w:gridCol w:w="1514"/>
        <w:gridCol w:w="1513"/>
        <w:gridCol w:w="1514"/>
      </w:tblGrid>
      <w:tr w:rsidR="00FA23C6" w:rsidRPr="00B07B55" w:rsidTr="00623C5A">
        <w:trPr>
          <w:cantSplit/>
        </w:trPr>
        <w:tc>
          <w:tcPr>
            <w:tcW w:w="2735" w:type="dxa"/>
            <w:tcBorders>
              <w:top w:val="single" w:sz="4" w:space="0" w:color="auto"/>
              <w:bottom w:val="single" w:sz="4" w:space="0" w:color="auto"/>
              <w:right w:val="nil"/>
            </w:tcBorders>
          </w:tcPr>
          <w:p w:rsidR="00FA23C6" w:rsidRPr="00B07B55" w:rsidRDefault="00FA23C6" w:rsidP="00623C5A">
            <w:pPr>
              <w:pStyle w:val="Tablehead1"/>
              <w:rPr>
                <w:lang w:val="en-GB"/>
              </w:rPr>
            </w:pPr>
            <w:r w:rsidRPr="00B07B55">
              <w:rPr>
                <w:lang w:val="en-GB"/>
              </w:rPr>
              <w:t>Age group in 2001</w:t>
            </w:r>
          </w:p>
        </w:tc>
        <w:tc>
          <w:tcPr>
            <w:tcW w:w="1513" w:type="dxa"/>
            <w:tcBorders>
              <w:top w:val="single" w:sz="4" w:space="0" w:color="auto"/>
              <w:left w:val="nil"/>
              <w:bottom w:val="single" w:sz="4" w:space="0" w:color="auto"/>
              <w:right w:val="nil"/>
            </w:tcBorders>
          </w:tcPr>
          <w:p w:rsidR="00FA23C6" w:rsidRPr="00B07B55" w:rsidRDefault="005E4A4D" w:rsidP="00CD3323">
            <w:pPr>
              <w:pStyle w:val="Tablehead1"/>
              <w:jc w:val="center"/>
              <w:rPr>
                <w:rFonts w:cs="Arial"/>
                <w:color w:val="000000"/>
                <w:lang w:val="en-GB"/>
              </w:rPr>
            </w:pPr>
            <w:r>
              <w:rPr>
                <w:rFonts w:cs="Arial"/>
                <w:color w:val="000000"/>
                <w:lang w:val="en-GB"/>
              </w:rPr>
              <w:t>25–</w:t>
            </w:r>
            <w:r w:rsidR="00FA23C6" w:rsidRPr="00B07B55">
              <w:rPr>
                <w:rFonts w:cs="Arial"/>
                <w:color w:val="000000"/>
                <w:lang w:val="en-GB"/>
              </w:rPr>
              <w:t>34</w:t>
            </w:r>
          </w:p>
        </w:tc>
        <w:tc>
          <w:tcPr>
            <w:tcW w:w="1514" w:type="dxa"/>
            <w:tcBorders>
              <w:top w:val="single" w:sz="4" w:space="0" w:color="auto"/>
              <w:left w:val="nil"/>
              <w:bottom w:val="single" w:sz="4" w:space="0" w:color="auto"/>
              <w:right w:val="nil"/>
            </w:tcBorders>
          </w:tcPr>
          <w:p w:rsidR="00FA23C6" w:rsidRPr="00B07B55" w:rsidRDefault="005E4A4D" w:rsidP="00CD3323">
            <w:pPr>
              <w:pStyle w:val="Tablehead1"/>
              <w:jc w:val="center"/>
              <w:rPr>
                <w:rFonts w:cs="Arial"/>
                <w:color w:val="000000"/>
                <w:lang w:val="en-GB"/>
              </w:rPr>
            </w:pPr>
            <w:r>
              <w:rPr>
                <w:rFonts w:cs="Arial"/>
                <w:color w:val="000000"/>
                <w:lang w:val="en-GB"/>
              </w:rPr>
              <w:t>35–</w:t>
            </w:r>
            <w:r w:rsidR="00FA23C6" w:rsidRPr="00B07B55">
              <w:rPr>
                <w:rFonts w:cs="Arial"/>
                <w:color w:val="000000"/>
                <w:lang w:val="en-GB"/>
              </w:rPr>
              <w:t>44</w:t>
            </w:r>
          </w:p>
        </w:tc>
        <w:tc>
          <w:tcPr>
            <w:tcW w:w="1513" w:type="dxa"/>
            <w:tcBorders>
              <w:top w:val="single" w:sz="4" w:space="0" w:color="auto"/>
              <w:left w:val="nil"/>
              <w:bottom w:val="single" w:sz="4" w:space="0" w:color="auto"/>
              <w:right w:val="nil"/>
            </w:tcBorders>
          </w:tcPr>
          <w:p w:rsidR="00FA23C6" w:rsidRPr="00B07B55" w:rsidRDefault="005E4A4D" w:rsidP="00CD3323">
            <w:pPr>
              <w:pStyle w:val="Tablehead1"/>
              <w:jc w:val="center"/>
              <w:rPr>
                <w:rFonts w:cs="Arial"/>
                <w:color w:val="000000"/>
                <w:lang w:val="en-GB"/>
              </w:rPr>
            </w:pPr>
            <w:r>
              <w:rPr>
                <w:rFonts w:cs="Arial"/>
                <w:color w:val="000000"/>
                <w:lang w:val="en-GB"/>
              </w:rPr>
              <w:t>45–</w:t>
            </w:r>
            <w:r w:rsidR="00FA23C6" w:rsidRPr="00B07B55">
              <w:rPr>
                <w:rFonts w:cs="Arial"/>
                <w:color w:val="000000"/>
                <w:lang w:val="en-GB"/>
              </w:rPr>
              <w:t>54</w:t>
            </w:r>
          </w:p>
        </w:tc>
        <w:tc>
          <w:tcPr>
            <w:tcW w:w="1514" w:type="dxa"/>
            <w:tcBorders>
              <w:top w:val="single" w:sz="4" w:space="0" w:color="auto"/>
              <w:left w:val="nil"/>
              <w:bottom w:val="single" w:sz="4" w:space="0" w:color="auto"/>
            </w:tcBorders>
          </w:tcPr>
          <w:p w:rsidR="00FA23C6" w:rsidRPr="00B07B55" w:rsidRDefault="005E4A4D" w:rsidP="00CD3323">
            <w:pPr>
              <w:pStyle w:val="Tablehead1"/>
              <w:jc w:val="center"/>
              <w:rPr>
                <w:rFonts w:cs="Arial"/>
                <w:color w:val="000000"/>
                <w:lang w:val="en-GB"/>
              </w:rPr>
            </w:pPr>
            <w:r>
              <w:rPr>
                <w:rFonts w:cs="Arial"/>
                <w:color w:val="000000"/>
                <w:lang w:val="en-GB"/>
              </w:rPr>
              <w:t>55–</w:t>
            </w:r>
            <w:r w:rsidR="00FA23C6" w:rsidRPr="00B07B55">
              <w:rPr>
                <w:rFonts w:cs="Arial"/>
                <w:color w:val="000000"/>
                <w:lang w:val="en-GB"/>
              </w:rPr>
              <w:t>64</w:t>
            </w:r>
          </w:p>
        </w:tc>
      </w:tr>
      <w:tr w:rsidR="00FA23C6" w:rsidRPr="00B07B55" w:rsidTr="00623C5A">
        <w:trPr>
          <w:cantSplit/>
        </w:trPr>
        <w:tc>
          <w:tcPr>
            <w:tcW w:w="2735" w:type="dxa"/>
            <w:tcBorders>
              <w:top w:val="single" w:sz="4" w:space="0" w:color="auto"/>
              <w:bottom w:val="nil"/>
              <w:right w:val="nil"/>
            </w:tcBorders>
          </w:tcPr>
          <w:p w:rsidR="00FA23C6" w:rsidRPr="00623C5A" w:rsidRDefault="00FA23C6" w:rsidP="00CD3323">
            <w:pPr>
              <w:pStyle w:val="Tabletext"/>
              <w:spacing w:before="120"/>
              <w:rPr>
                <w:b/>
                <w:lang w:val="en-GB"/>
              </w:rPr>
            </w:pPr>
            <w:r w:rsidRPr="00623C5A">
              <w:rPr>
                <w:b/>
                <w:lang w:val="en-GB"/>
              </w:rPr>
              <w:t>Males</w:t>
            </w:r>
          </w:p>
        </w:tc>
        <w:tc>
          <w:tcPr>
            <w:tcW w:w="1513" w:type="dxa"/>
            <w:tcBorders>
              <w:top w:val="single" w:sz="4" w:space="0" w:color="auto"/>
              <w:left w:val="nil"/>
              <w:bottom w:val="nil"/>
              <w:right w:val="nil"/>
            </w:tcBorders>
          </w:tcPr>
          <w:p w:rsidR="00FA23C6" w:rsidRPr="00B07B55" w:rsidRDefault="00FA23C6" w:rsidP="00CD3323">
            <w:pPr>
              <w:pStyle w:val="Tabletext"/>
              <w:spacing w:before="120"/>
              <w:rPr>
                <w:lang w:val="en-GB"/>
              </w:rPr>
            </w:pPr>
          </w:p>
        </w:tc>
        <w:tc>
          <w:tcPr>
            <w:tcW w:w="1514" w:type="dxa"/>
            <w:tcBorders>
              <w:top w:val="single" w:sz="4" w:space="0" w:color="auto"/>
              <w:left w:val="nil"/>
              <w:bottom w:val="nil"/>
              <w:right w:val="nil"/>
            </w:tcBorders>
          </w:tcPr>
          <w:p w:rsidR="00FA23C6" w:rsidRPr="00B07B55" w:rsidRDefault="00FA23C6" w:rsidP="00CD3323">
            <w:pPr>
              <w:pStyle w:val="Tabletext"/>
              <w:spacing w:before="120"/>
              <w:rPr>
                <w:lang w:val="en-GB"/>
              </w:rPr>
            </w:pPr>
          </w:p>
        </w:tc>
        <w:tc>
          <w:tcPr>
            <w:tcW w:w="1513" w:type="dxa"/>
            <w:tcBorders>
              <w:top w:val="single" w:sz="4" w:space="0" w:color="auto"/>
              <w:left w:val="nil"/>
              <w:bottom w:val="nil"/>
              <w:right w:val="nil"/>
            </w:tcBorders>
          </w:tcPr>
          <w:p w:rsidR="00FA23C6" w:rsidRPr="00B07B55" w:rsidRDefault="00FA23C6" w:rsidP="00CD3323">
            <w:pPr>
              <w:pStyle w:val="Tabletext"/>
              <w:spacing w:before="120"/>
              <w:rPr>
                <w:lang w:val="en-GB"/>
              </w:rPr>
            </w:pPr>
          </w:p>
        </w:tc>
        <w:tc>
          <w:tcPr>
            <w:tcW w:w="1514" w:type="dxa"/>
            <w:tcBorders>
              <w:top w:val="single" w:sz="4" w:space="0" w:color="auto"/>
              <w:left w:val="nil"/>
              <w:bottom w:val="nil"/>
            </w:tcBorders>
          </w:tcPr>
          <w:p w:rsidR="00FA23C6" w:rsidRPr="00B07B55" w:rsidRDefault="00FA23C6" w:rsidP="00CD3323">
            <w:pPr>
              <w:pStyle w:val="Tabletext"/>
              <w:spacing w:before="120"/>
              <w:rPr>
                <w:lang w:val="en-GB"/>
              </w:rPr>
            </w:pPr>
          </w:p>
        </w:tc>
      </w:tr>
      <w:tr w:rsidR="00FA23C6" w:rsidRPr="009B641C" w:rsidTr="00623C5A">
        <w:trPr>
          <w:cantSplit/>
        </w:trPr>
        <w:tc>
          <w:tcPr>
            <w:tcW w:w="2735" w:type="dxa"/>
            <w:tcBorders>
              <w:top w:val="nil"/>
              <w:bottom w:val="nil"/>
              <w:right w:val="nil"/>
            </w:tcBorders>
          </w:tcPr>
          <w:p w:rsidR="00FA23C6" w:rsidRPr="009B641C" w:rsidRDefault="00FA23C6" w:rsidP="00623C5A">
            <w:pPr>
              <w:pStyle w:val="Tabletext"/>
              <w:rPr>
                <w:i/>
                <w:lang w:val="en-GB"/>
              </w:rPr>
            </w:pPr>
            <w:r w:rsidRPr="009B641C">
              <w:rPr>
                <w:i/>
                <w:lang w:val="en-GB"/>
              </w:rPr>
              <w:t>O</w:t>
            </w:r>
            <w:r w:rsidR="00D84AED" w:rsidRPr="009B641C">
              <w:rPr>
                <w:i/>
                <w:lang w:val="en-GB"/>
              </w:rPr>
              <w:t>bservations</w:t>
            </w:r>
          </w:p>
        </w:tc>
        <w:tc>
          <w:tcPr>
            <w:tcW w:w="1513" w:type="dxa"/>
            <w:tcBorders>
              <w:top w:val="nil"/>
              <w:left w:val="nil"/>
              <w:bottom w:val="nil"/>
              <w:right w:val="nil"/>
            </w:tcBorders>
          </w:tcPr>
          <w:p w:rsidR="00FA23C6" w:rsidRPr="009B641C" w:rsidRDefault="00FA23C6" w:rsidP="00CD3323">
            <w:pPr>
              <w:pStyle w:val="Tabletext"/>
              <w:jc w:val="center"/>
              <w:rPr>
                <w:i/>
                <w:lang w:val="en-GB"/>
              </w:rPr>
            </w:pPr>
            <w:r w:rsidRPr="009B641C">
              <w:rPr>
                <w:i/>
                <w:lang w:val="en-GB"/>
              </w:rPr>
              <w:t>128</w:t>
            </w:r>
          </w:p>
        </w:tc>
        <w:tc>
          <w:tcPr>
            <w:tcW w:w="1514" w:type="dxa"/>
            <w:tcBorders>
              <w:top w:val="nil"/>
              <w:left w:val="nil"/>
              <w:bottom w:val="nil"/>
              <w:right w:val="nil"/>
            </w:tcBorders>
          </w:tcPr>
          <w:p w:rsidR="00FA23C6" w:rsidRPr="009B641C" w:rsidRDefault="00FA23C6" w:rsidP="00CD3323">
            <w:pPr>
              <w:pStyle w:val="Tabletext"/>
              <w:jc w:val="center"/>
              <w:rPr>
                <w:i/>
                <w:lang w:val="en-GB"/>
              </w:rPr>
            </w:pPr>
            <w:r w:rsidRPr="009B641C">
              <w:rPr>
                <w:i/>
                <w:lang w:val="en-GB"/>
              </w:rPr>
              <w:t>124</w:t>
            </w:r>
          </w:p>
        </w:tc>
        <w:tc>
          <w:tcPr>
            <w:tcW w:w="1513" w:type="dxa"/>
            <w:tcBorders>
              <w:top w:val="nil"/>
              <w:left w:val="nil"/>
              <w:bottom w:val="nil"/>
              <w:right w:val="nil"/>
            </w:tcBorders>
          </w:tcPr>
          <w:p w:rsidR="00FA23C6" w:rsidRPr="009B641C" w:rsidRDefault="00FA23C6" w:rsidP="00CD3323">
            <w:pPr>
              <w:pStyle w:val="Tabletext"/>
              <w:jc w:val="center"/>
              <w:rPr>
                <w:i/>
                <w:lang w:val="en-GB"/>
              </w:rPr>
            </w:pPr>
            <w:r w:rsidRPr="009B641C">
              <w:rPr>
                <w:i/>
                <w:lang w:val="en-GB"/>
              </w:rPr>
              <w:t>64</w:t>
            </w:r>
          </w:p>
        </w:tc>
        <w:tc>
          <w:tcPr>
            <w:tcW w:w="1514" w:type="dxa"/>
            <w:tcBorders>
              <w:top w:val="nil"/>
              <w:left w:val="nil"/>
              <w:bottom w:val="nil"/>
            </w:tcBorders>
          </w:tcPr>
          <w:p w:rsidR="00FA23C6" w:rsidRPr="009B641C" w:rsidRDefault="00FA23C6" w:rsidP="00CD3323">
            <w:pPr>
              <w:pStyle w:val="Tabletext"/>
              <w:jc w:val="center"/>
              <w:rPr>
                <w:i/>
                <w:lang w:val="en-GB"/>
              </w:rPr>
            </w:pPr>
            <w:r w:rsidRPr="009B641C">
              <w:rPr>
                <w:i/>
                <w:lang w:val="en-GB"/>
              </w:rPr>
              <w:t>16</w:t>
            </w:r>
          </w:p>
        </w:tc>
      </w:tr>
      <w:tr w:rsidR="00FA23C6" w:rsidRPr="00B07B55" w:rsidTr="00623C5A">
        <w:trPr>
          <w:cantSplit/>
        </w:trPr>
        <w:tc>
          <w:tcPr>
            <w:tcW w:w="2735" w:type="dxa"/>
            <w:tcBorders>
              <w:top w:val="nil"/>
              <w:bottom w:val="nil"/>
              <w:right w:val="nil"/>
            </w:tcBorders>
          </w:tcPr>
          <w:p w:rsidR="00FA23C6" w:rsidRPr="00B07B55" w:rsidRDefault="00FA23C6" w:rsidP="00CD3323">
            <w:pPr>
              <w:pStyle w:val="Tabletext"/>
              <w:spacing w:before="120"/>
              <w:rPr>
                <w:lang w:val="en-GB"/>
              </w:rPr>
            </w:pPr>
            <w:r w:rsidRPr="00B07B55">
              <w:rPr>
                <w:lang w:val="en-GB"/>
              </w:rPr>
              <w:t>Below year 10</w:t>
            </w:r>
          </w:p>
        </w:tc>
        <w:tc>
          <w:tcPr>
            <w:tcW w:w="1513" w:type="dxa"/>
            <w:tcBorders>
              <w:top w:val="nil"/>
              <w:left w:val="nil"/>
              <w:bottom w:val="nil"/>
              <w:right w:val="nil"/>
            </w:tcBorders>
          </w:tcPr>
          <w:p w:rsidR="00FA23C6" w:rsidRPr="00B07B55" w:rsidRDefault="00FA23C6" w:rsidP="00CD3323">
            <w:pPr>
              <w:pStyle w:val="Tabletext"/>
              <w:tabs>
                <w:tab w:val="decimal" w:pos="595"/>
              </w:tabs>
              <w:spacing w:before="120"/>
              <w:rPr>
                <w:lang w:val="en-GB"/>
              </w:rPr>
            </w:pPr>
            <w:r w:rsidRPr="00B07B55">
              <w:rPr>
                <w:lang w:val="en-GB"/>
              </w:rPr>
              <w:t>2.94</w:t>
            </w:r>
          </w:p>
        </w:tc>
        <w:tc>
          <w:tcPr>
            <w:tcW w:w="1514" w:type="dxa"/>
            <w:tcBorders>
              <w:top w:val="nil"/>
              <w:left w:val="nil"/>
              <w:bottom w:val="nil"/>
              <w:right w:val="nil"/>
            </w:tcBorders>
          </w:tcPr>
          <w:p w:rsidR="00FA23C6" w:rsidRPr="00B07B55" w:rsidRDefault="00FA23C6" w:rsidP="00CD3323">
            <w:pPr>
              <w:pStyle w:val="Tabletext"/>
              <w:tabs>
                <w:tab w:val="decimal" w:pos="595"/>
              </w:tabs>
              <w:spacing w:before="120"/>
              <w:rPr>
                <w:lang w:val="en-GB"/>
              </w:rPr>
            </w:pPr>
            <w:r w:rsidRPr="00B07B55">
              <w:rPr>
                <w:lang w:val="en-GB"/>
              </w:rPr>
              <w:t>6.54</w:t>
            </w:r>
          </w:p>
        </w:tc>
        <w:tc>
          <w:tcPr>
            <w:tcW w:w="1513" w:type="dxa"/>
            <w:tcBorders>
              <w:top w:val="nil"/>
              <w:left w:val="nil"/>
              <w:bottom w:val="nil"/>
              <w:right w:val="nil"/>
            </w:tcBorders>
          </w:tcPr>
          <w:p w:rsidR="00FA23C6" w:rsidRPr="00B07B55" w:rsidRDefault="00FA23C6" w:rsidP="00CD3323">
            <w:pPr>
              <w:pStyle w:val="Tabletext"/>
              <w:tabs>
                <w:tab w:val="decimal" w:pos="595"/>
              </w:tabs>
              <w:spacing w:before="120"/>
              <w:rPr>
                <w:lang w:val="en-GB"/>
              </w:rPr>
            </w:pPr>
            <w:r w:rsidRPr="00B07B55">
              <w:rPr>
                <w:lang w:val="en-GB"/>
              </w:rPr>
              <w:t>3.16</w:t>
            </w:r>
          </w:p>
        </w:tc>
        <w:tc>
          <w:tcPr>
            <w:tcW w:w="1514" w:type="dxa"/>
            <w:tcBorders>
              <w:top w:val="nil"/>
              <w:left w:val="nil"/>
              <w:bottom w:val="nil"/>
            </w:tcBorders>
          </w:tcPr>
          <w:p w:rsidR="00FA23C6" w:rsidRPr="00B07B55" w:rsidRDefault="00FA23C6" w:rsidP="00CD3323">
            <w:pPr>
              <w:pStyle w:val="Tabletext"/>
              <w:tabs>
                <w:tab w:val="decimal" w:pos="595"/>
              </w:tabs>
              <w:spacing w:before="120"/>
              <w:rPr>
                <w:lang w:val="en-GB"/>
              </w:rPr>
            </w:pPr>
            <w:r w:rsidRPr="00B07B55">
              <w:rPr>
                <w:lang w:val="en-GB"/>
              </w:rPr>
              <w:t>9.83</w:t>
            </w:r>
          </w:p>
        </w:tc>
      </w:tr>
      <w:tr w:rsidR="00FA23C6" w:rsidRPr="00B07B55" w:rsidTr="00623C5A">
        <w:trPr>
          <w:cantSplit/>
        </w:trPr>
        <w:tc>
          <w:tcPr>
            <w:tcW w:w="2735" w:type="dxa"/>
            <w:tcBorders>
              <w:top w:val="nil"/>
              <w:bottom w:val="nil"/>
              <w:right w:val="nil"/>
            </w:tcBorders>
          </w:tcPr>
          <w:p w:rsidR="00FA23C6" w:rsidRPr="00B07B55" w:rsidRDefault="005E4A4D" w:rsidP="00623C5A">
            <w:pPr>
              <w:pStyle w:val="Tabletext"/>
              <w:rPr>
                <w:lang w:val="en-GB"/>
              </w:rPr>
            </w:pPr>
            <w:r>
              <w:rPr>
                <w:lang w:val="en-GB"/>
              </w:rPr>
              <w:t xml:space="preserve">Year 10–11 or cert. </w:t>
            </w:r>
            <w:r w:rsidR="00FA23C6" w:rsidRPr="00B07B55">
              <w:rPr>
                <w:lang w:val="en-GB"/>
              </w:rPr>
              <w:t>I/II</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20.79</w:t>
            </w:r>
          </w:p>
        </w:tc>
        <w:tc>
          <w:tcPr>
            <w:tcW w:w="1514"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17.08</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13.76</w:t>
            </w:r>
          </w:p>
        </w:tc>
        <w:tc>
          <w:tcPr>
            <w:tcW w:w="1514" w:type="dxa"/>
            <w:tcBorders>
              <w:top w:val="nil"/>
              <w:left w:val="nil"/>
              <w:bottom w:val="nil"/>
            </w:tcBorders>
          </w:tcPr>
          <w:p w:rsidR="00FA23C6" w:rsidRPr="00B07B55" w:rsidRDefault="00FA23C6" w:rsidP="00CD3323">
            <w:pPr>
              <w:pStyle w:val="Tabletext"/>
              <w:tabs>
                <w:tab w:val="decimal" w:pos="595"/>
              </w:tabs>
              <w:rPr>
                <w:lang w:val="en-GB"/>
              </w:rPr>
            </w:pPr>
            <w:r w:rsidRPr="00B07B55">
              <w:rPr>
                <w:lang w:val="en-GB"/>
              </w:rPr>
              <w:t>5.32</w:t>
            </w:r>
          </w:p>
        </w:tc>
      </w:tr>
      <w:tr w:rsidR="00FA23C6" w:rsidRPr="00B07B55" w:rsidTr="00623C5A">
        <w:trPr>
          <w:cantSplit/>
        </w:trPr>
        <w:tc>
          <w:tcPr>
            <w:tcW w:w="2735" w:type="dxa"/>
            <w:tcBorders>
              <w:top w:val="nil"/>
              <w:bottom w:val="nil"/>
              <w:right w:val="nil"/>
            </w:tcBorders>
          </w:tcPr>
          <w:p w:rsidR="00FA23C6" w:rsidRPr="00B07B55" w:rsidRDefault="005E4A4D" w:rsidP="00623C5A">
            <w:pPr>
              <w:pStyle w:val="Tabletext"/>
              <w:rPr>
                <w:lang w:val="en-GB"/>
              </w:rPr>
            </w:pPr>
            <w:r>
              <w:rPr>
                <w:lang w:val="en-GB"/>
              </w:rPr>
              <w:t>Completed Y</w:t>
            </w:r>
            <w:r w:rsidR="00FA23C6" w:rsidRPr="00B07B55">
              <w:rPr>
                <w:lang w:val="en-GB"/>
              </w:rPr>
              <w:t>ear 12</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19.21</w:t>
            </w:r>
          </w:p>
        </w:tc>
        <w:tc>
          <w:tcPr>
            <w:tcW w:w="1514"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6.92</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12.78</w:t>
            </w:r>
          </w:p>
        </w:tc>
        <w:tc>
          <w:tcPr>
            <w:tcW w:w="1514" w:type="dxa"/>
            <w:tcBorders>
              <w:top w:val="nil"/>
              <w:left w:val="nil"/>
              <w:bottom w:val="nil"/>
            </w:tcBorders>
          </w:tcPr>
          <w:p w:rsidR="00FA23C6" w:rsidRPr="00B07B55" w:rsidRDefault="00FA23C6" w:rsidP="00CD3323">
            <w:pPr>
              <w:pStyle w:val="Tabletext"/>
              <w:tabs>
                <w:tab w:val="decimal" w:pos="595"/>
              </w:tabs>
              <w:rPr>
                <w:lang w:val="en-GB"/>
              </w:rPr>
            </w:pPr>
            <w:r w:rsidRPr="00B07B55">
              <w:rPr>
                <w:lang w:val="en-GB"/>
              </w:rPr>
              <w:t>8.74</w:t>
            </w:r>
          </w:p>
        </w:tc>
      </w:tr>
      <w:tr w:rsidR="00FA23C6" w:rsidRPr="00B07B55" w:rsidTr="00623C5A">
        <w:trPr>
          <w:cantSplit/>
        </w:trPr>
        <w:tc>
          <w:tcPr>
            <w:tcW w:w="2735" w:type="dxa"/>
            <w:tcBorders>
              <w:top w:val="nil"/>
              <w:bottom w:val="nil"/>
              <w:right w:val="nil"/>
            </w:tcBorders>
          </w:tcPr>
          <w:p w:rsidR="00FA23C6" w:rsidRPr="00B07B55" w:rsidRDefault="00EB5247" w:rsidP="00623C5A">
            <w:pPr>
              <w:pStyle w:val="Tabletext"/>
              <w:rPr>
                <w:lang w:val="en-GB"/>
              </w:rPr>
            </w:pPr>
            <w:r>
              <w:rPr>
                <w:lang w:val="en-GB"/>
              </w:rPr>
              <w:t>Certificate III/</w:t>
            </w:r>
            <w:r w:rsidR="00FA23C6" w:rsidRPr="00B07B55">
              <w:rPr>
                <w:lang w:val="en-GB"/>
              </w:rPr>
              <w:t>IV</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38.36</w:t>
            </w:r>
          </w:p>
        </w:tc>
        <w:tc>
          <w:tcPr>
            <w:tcW w:w="1514"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44.15</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34.17</w:t>
            </w:r>
          </w:p>
        </w:tc>
        <w:tc>
          <w:tcPr>
            <w:tcW w:w="1514" w:type="dxa"/>
            <w:tcBorders>
              <w:top w:val="nil"/>
              <w:left w:val="nil"/>
              <w:bottom w:val="nil"/>
            </w:tcBorders>
          </w:tcPr>
          <w:p w:rsidR="00FA23C6" w:rsidRPr="00B07B55" w:rsidRDefault="00FA23C6" w:rsidP="00CD3323">
            <w:pPr>
              <w:pStyle w:val="Tabletext"/>
              <w:tabs>
                <w:tab w:val="decimal" w:pos="595"/>
              </w:tabs>
              <w:rPr>
                <w:lang w:val="en-GB"/>
              </w:rPr>
            </w:pPr>
            <w:r w:rsidRPr="00B07B55">
              <w:rPr>
                <w:lang w:val="en-GB"/>
              </w:rPr>
              <w:t>45.37</w:t>
            </w:r>
          </w:p>
        </w:tc>
      </w:tr>
      <w:tr w:rsidR="00FA23C6" w:rsidRPr="00B07B55" w:rsidTr="00623C5A">
        <w:trPr>
          <w:cantSplit/>
        </w:trPr>
        <w:tc>
          <w:tcPr>
            <w:tcW w:w="2735" w:type="dxa"/>
            <w:tcBorders>
              <w:top w:val="nil"/>
              <w:bottom w:val="nil"/>
              <w:right w:val="nil"/>
            </w:tcBorders>
          </w:tcPr>
          <w:p w:rsidR="00FA23C6" w:rsidRPr="00B07B55" w:rsidRDefault="00FA23C6" w:rsidP="00623C5A">
            <w:pPr>
              <w:pStyle w:val="Tabletext"/>
              <w:rPr>
                <w:lang w:val="en-GB"/>
              </w:rPr>
            </w:pPr>
            <w:r w:rsidRPr="00B07B55">
              <w:rPr>
                <w:lang w:val="en-GB"/>
              </w:rPr>
              <w:t>Diploma</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6.14</w:t>
            </w:r>
          </w:p>
        </w:tc>
        <w:tc>
          <w:tcPr>
            <w:tcW w:w="1514"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9.61</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18.11</w:t>
            </w:r>
          </w:p>
        </w:tc>
        <w:tc>
          <w:tcPr>
            <w:tcW w:w="1514" w:type="dxa"/>
            <w:tcBorders>
              <w:top w:val="nil"/>
              <w:left w:val="nil"/>
              <w:bottom w:val="nil"/>
            </w:tcBorders>
          </w:tcPr>
          <w:p w:rsidR="00FA23C6" w:rsidRPr="00B07B55" w:rsidRDefault="00FA23C6" w:rsidP="00CD3323">
            <w:pPr>
              <w:pStyle w:val="Tabletext"/>
              <w:tabs>
                <w:tab w:val="decimal" w:pos="595"/>
              </w:tabs>
              <w:rPr>
                <w:lang w:val="en-GB"/>
              </w:rPr>
            </w:pPr>
            <w:r w:rsidRPr="00B07B55">
              <w:rPr>
                <w:lang w:val="en-GB"/>
              </w:rPr>
              <w:t>13.46</w:t>
            </w:r>
          </w:p>
        </w:tc>
      </w:tr>
      <w:tr w:rsidR="00FA23C6" w:rsidRPr="00B07B55" w:rsidTr="00623C5A">
        <w:trPr>
          <w:cantSplit/>
        </w:trPr>
        <w:tc>
          <w:tcPr>
            <w:tcW w:w="2735" w:type="dxa"/>
            <w:tcBorders>
              <w:top w:val="nil"/>
              <w:bottom w:val="nil"/>
              <w:right w:val="nil"/>
            </w:tcBorders>
          </w:tcPr>
          <w:p w:rsidR="00FA23C6" w:rsidRPr="00B07B55" w:rsidRDefault="00FA23C6" w:rsidP="00623C5A">
            <w:pPr>
              <w:pStyle w:val="Tabletext"/>
              <w:rPr>
                <w:lang w:val="en-GB"/>
              </w:rPr>
            </w:pPr>
            <w:r w:rsidRPr="00B07B55">
              <w:rPr>
                <w:lang w:val="en-GB"/>
              </w:rPr>
              <w:t>Degree and above</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12.56</w:t>
            </w:r>
          </w:p>
        </w:tc>
        <w:tc>
          <w:tcPr>
            <w:tcW w:w="1514"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15.70</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18.03</w:t>
            </w:r>
          </w:p>
        </w:tc>
        <w:tc>
          <w:tcPr>
            <w:tcW w:w="1514" w:type="dxa"/>
            <w:tcBorders>
              <w:top w:val="nil"/>
              <w:left w:val="nil"/>
              <w:bottom w:val="nil"/>
            </w:tcBorders>
          </w:tcPr>
          <w:p w:rsidR="00FA23C6" w:rsidRPr="00B07B55" w:rsidRDefault="00FA23C6" w:rsidP="00CD3323">
            <w:pPr>
              <w:pStyle w:val="Tabletext"/>
              <w:tabs>
                <w:tab w:val="decimal" w:pos="595"/>
              </w:tabs>
              <w:rPr>
                <w:lang w:val="en-GB"/>
              </w:rPr>
            </w:pPr>
            <w:r w:rsidRPr="00B07B55">
              <w:rPr>
                <w:lang w:val="en-GB"/>
              </w:rPr>
              <w:t>17.28</w:t>
            </w:r>
          </w:p>
        </w:tc>
      </w:tr>
      <w:tr w:rsidR="00FA23C6" w:rsidRPr="00B07B55" w:rsidTr="00623C5A">
        <w:trPr>
          <w:cantSplit/>
        </w:trPr>
        <w:tc>
          <w:tcPr>
            <w:tcW w:w="2735" w:type="dxa"/>
            <w:tcBorders>
              <w:top w:val="nil"/>
              <w:bottom w:val="nil"/>
              <w:right w:val="nil"/>
            </w:tcBorders>
          </w:tcPr>
          <w:p w:rsidR="00FA23C6" w:rsidRPr="00B07B55" w:rsidRDefault="00FA23C6" w:rsidP="00CD3323">
            <w:pPr>
              <w:pStyle w:val="Tabletext"/>
              <w:spacing w:before="120"/>
              <w:rPr>
                <w:lang w:val="en-GB"/>
              </w:rPr>
            </w:pPr>
            <w:r w:rsidRPr="00B07B55">
              <w:rPr>
                <w:lang w:val="en-GB"/>
              </w:rPr>
              <w:t>Full-time worker</w:t>
            </w:r>
          </w:p>
        </w:tc>
        <w:tc>
          <w:tcPr>
            <w:tcW w:w="1513" w:type="dxa"/>
            <w:tcBorders>
              <w:top w:val="nil"/>
              <w:left w:val="nil"/>
              <w:bottom w:val="nil"/>
              <w:right w:val="nil"/>
            </w:tcBorders>
          </w:tcPr>
          <w:p w:rsidR="00FA23C6" w:rsidRPr="00B07B55" w:rsidRDefault="00FA23C6" w:rsidP="00CD3323">
            <w:pPr>
              <w:pStyle w:val="Tabletext"/>
              <w:tabs>
                <w:tab w:val="decimal" w:pos="595"/>
              </w:tabs>
              <w:spacing w:before="120"/>
              <w:rPr>
                <w:lang w:val="en-GB"/>
              </w:rPr>
            </w:pPr>
            <w:r w:rsidRPr="00B07B55">
              <w:rPr>
                <w:lang w:val="en-GB"/>
              </w:rPr>
              <w:t>79.41</w:t>
            </w:r>
          </w:p>
        </w:tc>
        <w:tc>
          <w:tcPr>
            <w:tcW w:w="1514" w:type="dxa"/>
            <w:tcBorders>
              <w:top w:val="nil"/>
              <w:left w:val="nil"/>
              <w:bottom w:val="nil"/>
              <w:right w:val="nil"/>
            </w:tcBorders>
          </w:tcPr>
          <w:p w:rsidR="00FA23C6" w:rsidRPr="00B07B55" w:rsidRDefault="00FA23C6" w:rsidP="00CD3323">
            <w:pPr>
              <w:pStyle w:val="Tabletext"/>
              <w:tabs>
                <w:tab w:val="decimal" w:pos="595"/>
              </w:tabs>
              <w:spacing w:before="120"/>
              <w:rPr>
                <w:lang w:val="en-GB"/>
              </w:rPr>
            </w:pPr>
            <w:r w:rsidRPr="00B07B55">
              <w:rPr>
                <w:lang w:val="en-GB"/>
              </w:rPr>
              <w:t>71.94</w:t>
            </w:r>
          </w:p>
        </w:tc>
        <w:tc>
          <w:tcPr>
            <w:tcW w:w="1513" w:type="dxa"/>
            <w:tcBorders>
              <w:top w:val="nil"/>
              <w:left w:val="nil"/>
              <w:bottom w:val="nil"/>
              <w:right w:val="nil"/>
            </w:tcBorders>
          </w:tcPr>
          <w:p w:rsidR="00FA23C6" w:rsidRPr="00B07B55" w:rsidRDefault="00FA23C6" w:rsidP="00CD3323">
            <w:pPr>
              <w:pStyle w:val="Tabletext"/>
              <w:tabs>
                <w:tab w:val="decimal" w:pos="595"/>
              </w:tabs>
              <w:spacing w:before="120"/>
              <w:rPr>
                <w:lang w:val="en-GB"/>
              </w:rPr>
            </w:pPr>
            <w:r w:rsidRPr="00B07B55">
              <w:rPr>
                <w:lang w:val="en-GB"/>
              </w:rPr>
              <w:t>73.83</w:t>
            </w:r>
          </w:p>
        </w:tc>
        <w:tc>
          <w:tcPr>
            <w:tcW w:w="1514" w:type="dxa"/>
            <w:tcBorders>
              <w:top w:val="nil"/>
              <w:left w:val="nil"/>
              <w:bottom w:val="nil"/>
            </w:tcBorders>
          </w:tcPr>
          <w:p w:rsidR="00FA23C6" w:rsidRPr="00B07B55" w:rsidRDefault="00FA23C6" w:rsidP="00CD3323">
            <w:pPr>
              <w:pStyle w:val="Tabletext"/>
              <w:tabs>
                <w:tab w:val="decimal" w:pos="595"/>
              </w:tabs>
              <w:spacing w:before="120"/>
              <w:rPr>
                <w:lang w:val="en-GB"/>
              </w:rPr>
            </w:pPr>
            <w:r w:rsidRPr="00B07B55">
              <w:rPr>
                <w:lang w:val="en-GB"/>
              </w:rPr>
              <w:t>38.56</w:t>
            </w:r>
          </w:p>
        </w:tc>
      </w:tr>
      <w:tr w:rsidR="00FA23C6" w:rsidRPr="00B07B55" w:rsidTr="00623C5A">
        <w:trPr>
          <w:cantSplit/>
        </w:trPr>
        <w:tc>
          <w:tcPr>
            <w:tcW w:w="2735" w:type="dxa"/>
            <w:tcBorders>
              <w:top w:val="nil"/>
              <w:bottom w:val="nil"/>
              <w:right w:val="nil"/>
            </w:tcBorders>
          </w:tcPr>
          <w:p w:rsidR="00FA23C6" w:rsidRPr="00B07B55" w:rsidRDefault="00FA23C6" w:rsidP="00623C5A">
            <w:pPr>
              <w:pStyle w:val="Tabletext"/>
              <w:rPr>
                <w:lang w:val="en-GB"/>
              </w:rPr>
            </w:pPr>
            <w:r w:rsidRPr="00B07B55">
              <w:rPr>
                <w:lang w:val="en-GB"/>
              </w:rPr>
              <w:t>Part-time worker</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8.82</w:t>
            </w:r>
          </w:p>
        </w:tc>
        <w:tc>
          <w:tcPr>
            <w:tcW w:w="1514"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11.96</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7.26</w:t>
            </w:r>
          </w:p>
        </w:tc>
        <w:tc>
          <w:tcPr>
            <w:tcW w:w="1514" w:type="dxa"/>
            <w:tcBorders>
              <w:top w:val="nil"/>
              <w:left w:val="nil"/>
              <w:bottom w:val="nil"/>
            </w:tcBorders>
          </w:tcPr>
          <w:p w:rsidR="00FA23C6" w:rsidRPr="00B07B55" w:rsidRDefault="00FA23C6" w:rsidP="00CD3323">
            <w:pPr>
              <w:pStyle w:val="Tabletext"/>
              <w:tabs>
                <w:tab w:val="decimal" w:pos="595"/>
              </w:tabs>
              <w:rPr>
                <w:lang w:val="en-GB"/>
              </w:rPr>
            </w:pPr>
            <w:r w:rsidRPr="00B07B55">
              <w:rPr>
                <w:lang w:val="en-GB"/>
              </w:rPr>
              <w:t>15.07</w:t>
            </w:r>
          </w:p>
        </w:tc>
      </w:tr>
      <w:tr w:rsidR="00FA23C6" w:rsidRPr="00B07B55" w:rsidTr="00623C5A">
        <w:trPr>
          <w:cantSplit/>
        </w:trPr>
        <w:tc>
          <w:tcPr>
            <w:tcW w:w="2735" w:type="dxa"/>
            <w:tcBorders>
              <w:top w:val="nil"/>
              <w:bottom w:val="nil"/>
              <w:right w:val="nil"/>
            </w:tcBorders>
          </w:tcPr>
          <w:p w:rsidR="00FA23C6" w:rsidRPr="00623C5A" w:rsidRDefault="00FA23C6" w:rsidP="00CD3323">
            <w:pPr>
              <w:pStyle w:val="Tabletext"/>
              <w:spacing w:before="120"/>
              <w:rPr>
                <w:b/>
                <w:lang w:val="en-GB"/>
              </w:rPr>
            </w:pPr>
            <w:r w:rsidRPr="00623C5A">
              <w:rPr>
                <w:b/>
                <w:lang w:val="en-GB"/>
              </w:rPr>
              <w:t>Females</w:t>
            </w:r>
          </w:p>
        </w:tc>
        <w:tc>
          <w:tcPr>
            <w:tcW w:w="1513" w:type="dxa"/>
            <w:tcBorders>
              <w:top w:val="nil"/>
              <w:left w:val="nil"/>
              <w:bottom w:val="nil"/>
              <w:right w:val="nil"/>
            </w:tcBorders>
          </w:tcPr>
          <w:p w:rsidR="00FA23C6" w:rsidRPr="00B07B55" w:rsidRDefault="00FA23C6" w:rsidP="00CD3323">
            <w:pPr>
              <w:pStyle w:val="Tabletext"/>
              <w:spacing w:before="120"/>
              <w:rPr>
                <w:lang w:val="en-GB"/>
              </w:rPr>
            </w:pPr>
          </w:p>
        </w:tc>
        <w:tc>
          <w:tcPr>
            <w:tcW w:w="1514" w:type="dxa"/>
            <w:tcBorders>
              <w:top w:val="nil"/>
              <w:left w:val="nil"/>
              <w:bottom w:val="nil"/>
              <w:right w:val="nil"/>
            </w:tcBorders>
          </w:tcPr>
          <w:p w:rsidR="00FA23C6" w:rsidRPr="00B07B55" w:rsidRDefault="00FA23C6" w:rsidP="00CD3323">
            <w:pPr>
              <w:pStyle w:val="Tabletext"/>
              <w:spacing w:before="120"/>
              <w:rPr>
                <w:lang w:val="en-GB"/>
              </w:rPr>
            </w:pPr>
          </w:p>
        </w:tc>
        <w:tc>
          <w:tcPr>
            <w:tcW w:w="1513" w:type="dxa"/>
            <w:tcBorders>
              <w:top w:val="nil"/>
              <w:left w:val="nil"/>
              <w:bottom w:val="nil"/>
              <w:right w:val="nil"/>
            </w:tcBorders>
          </w:tcPr>
          <w:p w:rsidR="00FA23C6" w:rsidRPr="00B07B55" w:rsidRDefault="00FA23C6" w:rsidP="00CD3323">
            <w:pPr>
              <w:pStyle w:val="Tabletext"/>
              <w:spacing w:before="120"/>
              <w:rPr>
                <w:lang w:val="en-GB"/>
              </w:rPr>
            </w:pPr>
          </w:p>
        </w:tc>
        <w:tc>
          <w:tcPr>
            <w:tcW w:w="1514" w:type="dxa"/>
            <w:tcBorders>
              <w:top w:val="nil"/>
              <w:left w:val="nil"/>
              <w:bottom w:val="nil"/>
            </w:tcBorders>
          </w:tcPr>
          <w:p w:rsidR="00FA23C6" w:rsidRPr="00B07B55" w:rsidRDefault="00FA23C6" w:rsidP="00CD3323">
            <w:pPr>
              <w:pStyle w:val="Tabletext"/>
              <w:spacing w:before="120"/>
              <w:rPr>
                <w:lang w:val="en-GB"/>
              </w:rPr>
            </w:pPr>
          </w:p>
        </w:tc>
      </w:tr>
      <w:tr w:rsidR="00FA23C6" w:rsidRPr="009B641C" w:rsidTr="00623C5A">
        <w:trPr>
          <w:cantSplit/>
        </w:trPr>
        <w:tc>
          <w:tcPr>
            <w:tcW w:w="2735" w:type="dxa"/>
            <w:tcBorders>
              <w:top w:val="nil"/>
              <w:bottom w:val="nil"/>
              <w:right w:val="nil"/>
            </w:tcBorders>
          </w:tcPr>
          <w:p w:rsidR="00FA23C6" w:rsidRPr="009B641C" w:rsidRDefault="00FA23C6" w:rsidP="00623C5A">
            <w:pPr>
              <w:pStyle w:val="Tabletext"/>
              <w:rPr>
                <w:i/>
                <w:lang w:val="en-GB"/>
              </w:rPr>
            </w:pPr>
            <w:r w:rsidRPr="009B641C">
              <w:rPr>
                <w:i/>
                <w:lang w:val="en-GB"/>
              </w:rPr>
              <w:t>O</w:t>
            </w:r>
            <w:r w:rsidR="00D84AED" w:rsidRPr="009B641C">
              <w:rPr>
                <w:i/>
                <w:lang w:val="en-GB"/>
              </w:rPr>
              <w:t>bservations</w:t>
            </w:r>
          </w:p>
        </w:tc>
        <w:tc>
          <w:tcPr>
            <w:tcW w:w="1513" w:type="dxa"/>
            <w:tcBorders>
              <w:top w:val="nil"/>
              <w:left w:val="nil"/>
              <w:bottom w:val="nil"/>
              <w:right w:val="nil"/>
            </w:tcBorders>
          </w:tcPr>
          <w:p w:rsidR="00FA23C6" w:rsidRPr="009B641C" w:rsidRDefault="00FA23C6" w:rsidP="00CD3323">
            <w:pPr>
              <w:pStyle w:val="Tabletext"/>
              <w:jc w:val="center"/>
              <w:rPr>
                <w:i/>
                <w:lang w:val="en-GB"/>
              </w:rPr>
            </w:pPr>
            <w:r w:rsidRPr="009B641C">
              <w:rPr>
                <w:i/>
                <w:lang w:val="en-GB"/>
              </w:rPr>
              <w:t>177</w:t>
            </w:r>
          </w:p>
        </w:tc>
        <w:tc>
          <w:tcPr>
            <w:tcW w:w="1514" w:type="dxa"/>
            <w:tcBorders>
              <w:top w:val="nil"/>
              <w:left w:val="nil"/>
              <w:bottom w:val="nil"/>
              <w:right w:val="nil"/>
            </w:tcBorders>
          </w:tcPr>
          <w:p w:rsidR="00FA23C6" w:rsidRPr="009B641C" w:rsidRDefault="00FA23C6" w:rsidP="00CD3323">
            <w:pPr>
              <w:pStyle w:val="Tabletext"/>
              <w:jc w:val="center"/>
              <w:rPr>
                <w:i/>
                <w:lang w:val="en-GB"/>
              </w:rPr>
            </w:pPr>
            <w:r w:rsidRPr="009B641C">
              <w:rPr>
                <w:i/>
                <w:lang w:val="en-GB"/>
              </w:rPr>
              <w:t>205</w:t>
            </w:r>
          </w:p>
        </w:tc>
        <w:tc>
          <w:tcPr>
            <w:tcW w:w="1513" w:type="dxa"/>
            <w:tcBorders>
              <w:top w:val="nil"/>
              <w:left w:val="nil"/>
              <w:bottom w:val="nil"/>
              <w:right w:val="nil"/>
            </w:tcBorders>
          </w:tcPr>
          <w:p w:rsidR="00FA23C6" w:rsidRPr="009B641C" w:rsidRDefault="00FA23C6" w:rsidP="00CD3323">
            <w:pPr>
              <w:pStyle w:val="Tabletext"/>
              <w:jc w:val="center"/>
              <w:rPr>
                <w:i/>
                <w:lang w:val="en-GB"/>
              </w:rPr>
            </w:pPr>
            <w:r w:rsidRPr="009B641C">
              <w:rPr>
                <w:i/>
                <w:lang w:val="en-GB"/>
              </w:rPr>
              <w:t>105</w:t>
            </w:r>
          </w:p>
        </w:tc>
        <w:tc>
          <w:tcPr>
            <w:tcW w:w="1514" w:type="dxa"/>
            <w:tcBorders>
              <w:top w:val="nil"/>
              <w:left w:val="nil"/>
              <w:bottom w:val="nil"/>
            </w:tcBorders>
          </w:tcPr>
          <w:p w:rsidR="00FA23C6" w:rsidRPr="009B641C" w:rsidRDefault="00FA23C6" w:rsidP="00CD3323">
            <w:pPr>
              <w:pStyle w:val="Tabletext"/>
              <w:jc w:val="center"/>
              <w:rPr>
                <w:i/>
                <w:lang w:val="en-GB"/>
              </w:rPr>
            </w:pPr>
            <w:r w:rsidRPr="009B641C">
              <w:rPr>
                <w:i/>
                <w:lang w:val="en-GB"/>
              </w:rPr>
              <w:t>36</w:t>
            </w:r>
          </w:p>
        </w:tc>
      </w:tr>
      <w:tr w:rsidR="00FA23C6" w:rsidRPr="00B07B55" w:rsidTr="00623C5A">
        <w:trPr>
          <w:cantSplit/>
        </w:trPr>
        <w:tc>
          <w:tcPr>
            <w:tcW w:w="2735" w:type="dxa"/>
            <w:tcBorders>
              <w:top w:val="nil"/>
              <w:bottom w:val="nil"/>
              <w:right w:val="nil"/>
            </w:tcBorders>
          </w:tcPr>
          <w:p w:rsidR="00FA23C6" w:rsidRPr="00B07B55" w:rsidRDefault="00FA23C6" w:rsidP="00CD3323">
            <w:pPr>
              <w:pStyle w:val="Tabletext"/>
              <w:spacing w:before="120"/>
              <w:rPr>
                <w:lang w:val="en-GB"/>
              </w:rPr>
            </w:pPr>
            <w:r w:rsidRPr="00B07B55">
              <w:rPr>
                <w:lang w:val="en-GB"/>
              </w:rPr>
              <w:t xml:space="preserve">Below </w:t>
            </w:r>
            <w:r w:rsidR="008F2383" w:rsidRPr="00B07B55">
              <w:rPr>
                <w:lang w:val="en-GB"/>
              </w:rPr>
              <w:t xml:space="preserve">Year </w:t>
            </w:r>
            <w:r w:rsidRPr="00B07B55">
              <w:rPr>
                <w:lang w:val="en-GB"/>
              </w:rPr>
              <w:t>10</w:t>
            </w:r>
          </w:p>
        </w:tc>
        <w:tc>
          <w:tcPr>
            <w:tcW w:w="1513" w:type="dxa"/>
            <w:tcBorders>
              <w:top w:val="nil"/>
              <w:left w:val="nil"/>
              <w:bottom w:val="nil"/>
              <w:right w:val="nil"/>
            </w:tcBorders>
          </w:tcPr>
          <w:p w:rsidR="00FA23C6" w:rsidRPr="00B07B55" w:rsidRDefault="00FA23C6" w:rsidP="00CD3323">
            <w:pPr>
              <w:pStyle w:val="Tabletext"/>
              <w:tabs>
                <w:tab w:val="decimal" w:pos="595"/>
              </w:tabs>
              <w:spacing w:before="120"/>
              <w:rPr>
                <w:lang w:val="en-GB"/>
              </w:rPr>
            </w:pPr>
            <w:r w:rsidRPr="00B07B55">
              <w:rPr>
                <w:lang w:val="en-GB"/>
              </w:rPr>
              <w:t>2.79</w:t>
            </w:r>
          </w:p>
        </w:tc>
        <w:tc>
          <w:tcPr>
            <w:tcW w:w="1514" w:type="dxa"/>
            <w:tcBorders>
              <w:top w:val="nil"/>
              <w:left w:val="nil"/>
              <w:bottom w:val="nil"/>
              <w:right w:val="nil"/>
            </w:tcBorders>
          </w:tcPr>
          <w:p w:rsidR="00FA23C6" w:rsidRPr="00B07B55" w:rsidRDefault="00FA23C6" w:rsidP="00CD3323">
            <w:pPr>
              <w:pStyle w:val="Tabletext"/>
              <w:tabs>
                <w:tab w:val="decimal" w:pos="595"/>
              </w:tabs>
              <w:spacing w:before="120"/>
              <w:rPr>
                <w:lang w:val="en-GB"/>
              </w:rPr>
            </w:pPr>
            <w:r w:rsidRPr="00B07B55">
              <w:rPr>
                <w:lang w:val="en-GB"/>
              </w:rPr>
              <w:t>8.18</w:t>
            </w:r>
          </w:p>
        </w:tc>
        <w:tc>
          <w:tcPr>
            <w:tcW w:w="1513" w:type="dxa"/>
            <w:tcBorders>
              <w:top w:val="nil"/>
              <w:left w:val="nil"/>
              <w:bottom w:val="nil"/>
              <w:right w:val="nil"/>
            </w:tcBorders>
          </w:tcPr>
          <w:p w:rsidR="00FA23C6" w:rsidRPr="00B07B55" w:rsidRDefault="00FA23C6" w:rsidP="00CD3323">
            <w:pPr>
              <w:pStyle w:val="Tabletext"/>
              <w:tabs>
                <w:tab w:val="decimal" w:pos="595"/>
              </w:tabs>
              <w:spacing w:before="120"/>
              <w:rPr>
                <w:lang w:val="en-GB"/>
              </w:rPr>
            </w:pPr>
            <w:r w:rsidRPr="00B07B55">
              <w:rPr>
                <w:lang w:val="en-GB"/>
              </w:rPr>
              <w:t>6.50</w:t>
            </w:r>
          </w:p>
        </w:tc>
        <w:tc>
          <w:tcPr>
            <w:tcW w:w="1514" w:type="dxa"/>
            <w:tcBorders>
              <w:top w:val="nil"/>
              <w:left w:val="nil"/>
              <w:bottom w:val="nil"/>
            </w:tcBorders>
          </w:tcPr>
          <w:p w:rsidR="00FA23C6" w:rsidRPr="00B07B55" w:rsidRDefault="00FA23C6" w:rsidP="00CD3323">
            <w:pPr>
              <w:pStyle w:val="Tabletext"/>
              <w:tabs>
                <w:tab w:val="decimal" w:pos="595"/>
              </w:tabs>
              <w:spacing w:before="120"/>
              <w:rPr>
                <w:lang w:val="en-GB"/>
              </w:rPr>
            </w:pPr>
            <w:r w:rsidRPr="00B07B55">
              <w:rPr>
                <w:lang w:val="en-GB"/>
              </w:rPr>
              <w:t>9.60</w:t>
            </w:r>
          </w:p>
        </w:tc>
      </w:tr>
      <w:tr w:rsidR="00FA23C6" w:rsidRPr="00B07B55" w:rsidTr="00623C5A">
        <w:trPr>
          <w:cantSplit/>
        </w:trPr>
        <w:tc>
          <w:tcPr>
            <w:tcW w:w="2735" w:type="dxa"/>
            <w:tcBorders>
              <w:top w:val="nil"/>
              <w:bottom w:val="nil"/>
              <w:right w:val="nil"/>
            </w:tcBorders>
          </w:tcPr>
          <w:p w:rsidR="00FA23C6" w:rsidRPr="00B07B55" w:rsidRDefault="005E4A4D" w:rsidP="00623C5A">
            <w:pPr>
              <w:pStyle w:val="Tabletext"/>
              <w:rPr>
                <w:lang w:val="en-GB"/>
              </w:rPr>
            </w:pPr>
            <w:r>
              <w:rPr>
                <w:lang w:val="en-GB"/>
              </w:rPr>
              <w:t>Year 10–</w:t>
            </w:r>
            <w:r w:rsidR="00FA23C6" w:rsidRPr="00B07B55">
              <w:rPr>
                <w:lang w:val="en-GB"/>
              </w:rPr>
              <w:t>1</w:t>
            </w:r>
            <w:r w:rsidR="008D286A">
              <w:rPr>
                <w:lang w:val="en-GB"/>
              </w:rPr>
              <w:t>1 or c</w:t>
            </w:r>
            <w:r w:rsidR="00FA23C6" w:rsidRPr="00B07B55">
              <w:rPr>
                <w:lang w:val="en-GB"/>
              </w:rPr>
              <w:t>ert</w:t>
            </w:r>
            <w:r w:rsidR="008D286A">
              <w:rPr>
                <w:lang w:val="en-GB"/>
              </w:rPr>
              <w:t>.</w:t>
            </w:r>
            <w:r w:rsidR="00FA23C6" w:rsidRPr="00B07B55">
              <w:rPr>
                <w:lang w:val="en-GB"/>
              </w:rPr>
              <w:t xml:space="preserve"> I/II</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27.95</w:t>
            </w:r>
          </w:p>
        </w:tc>
        <w:tc>
          <w:tcPr>
            <w:tcW w:w="1514"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37.59</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28.84</w:t>
            </w:r>
          </w:p>
        </w:tc>
        <w:tc>
          <w:tcPr>
            <w:tcW w:w="1514" w:type="dxa"/>
            <w:tcBorders>
              <w:top w:val="nil"/>
              <w:left w:val="nil"/>
              <w:bottom w:val="nil"/>
            </w:tcBorders>
          </w:tcPr>
          <w:p w:rsidR="00FA23C6" w:rsidRPr="00B07B55" w:rsidRDefault="00FA23C6" w:rsidP="00CD3323">
            <w:pPr>
              <w:pStyle w:val="Tabletext"/>
              <w:tabs>
                <w:tab w:val="decimal" w:pos="595"/>
              </w:tabs>
              <w:rPr>
                <w:lang w:val="en-GB"/>
              </w:rPr>
            </w:pPr>
            <w:r w:rsidRPr="00B07B55">
              <w:rPr>
                <w:lang w:val="en-GB"/>
              </w:rPr>
              <w:t>35.05</w:t>
            </w:r>
          </w:p>
        </w:tc>
      </w:tr>
      <w:tr w:rsidR="00FA23C6" w:rsidRPr="00B07B55" w:rsidTr="00623C5A">
        <w:trPr>
          <w:cantSplit/>
        </w:trPr>
        <w:tc>
          <w:tcPr>
            <w:tcW w:w="2735" w:type="dxa"/>
            <w:tcBorders>
              <w:top w:val="nil"/>
              <w:bottom w:val="nil"/>
              <w:right w:val="nil"/>
            </w:tcBorders>
          </w:tcPr>
          <w:p w:rsidR="00FA23C6" w:rsidRPr="00B07B55" w:rsidRDefault="008D286A" w:rsidP="00623C5A">
            <w:pPr>
              <w:pStyle w:val="Tabletext"/>
              <w:rPr>
                <w:lang w:val="en-GB"/>
              </w:rPr>
            </w:pPr>
            <w:r>
              <w:rPr>
                <w:lang w:val="en-GB"/>
              </w:rPr>
              <w:t>Completed Y</w:t>
            </w:r>
            <w:r w:rsidR="00FA23C6" w:rsidRPr="00B07B55">
              <w:rPr>
                <w:lang w:val="en-GB"/>
              </w:rPr>
              <w:t>ear 12</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25.61</w:t>
            </w:r>
          </w:p>
        </w:tc>
        <w:tc>
          <w:tcPr>
            <w:tcW w:w="1514"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17.18</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22.39</w:t>
            </w:r>
          </w:p>
        </w:tc>
        <w:tc>
          <w:tcPr>
            <w:tcW w:w="1514" w:type="dxa"/>
            <w:tcBorders>
              <w:top w:val="nil"/>
              <w:left w:val="nil"/>
              <w:bottom w:val="nil"/>
            </w:tcBorders>
          </w:tcPr>
          <w:p w:rsidR="00FA23C6" w:rsidRPr="00B07B55" w:rsidRDefault="00FA23C6" w:rsidP="00CD3323">
            <w:pPr>
              <w:pStyle w:val="Tabletext"/>
              <w:tabs>
                <w:tab w:val="decimal" w:pos="595"/>
              </w:tabs>
              <w:rPr>
                <w:lang w:val="en-GB"/>
              </w:rPr>
            </w:pPr>
            <w:r w:rsidRPr="00B07B55">
              <w:rPr>
                <w:lang w:val="en-GB"/>
              </w:rPr>
              <w:t>2.74</w:t>
            </w:r>
          </w:p>
        </w:tc>
      </w:tr>
      <w:tr w:rsidR="00FA23C6" w:rsidRPr="00B07B55" w:rsidTr="00623C5A">
        <w:trPr>
          <w:cantSplit/>
        </w:trPr>
        <w:tc>
          <w:tcPr>
            <w:tcW w:w="2735" w:type="dxa"/>
            <w:tcBorders>
              <w:top w:val="nil"/>
              <w:bottom w:val="nil"/>
              <w:right w:val="nil"/>
            </w:tcBorders>
          </w:tcPr>
          <w:p w:rsidR="00FA23C6" w:rsidRPr="00B07B55" w:rsidRDefault="00EB5247" w:rsidP="00623C5A">
            <w:pPr>
              <w:pStyle w:val="Tabletext"/>
              <w:rPr>
                <w:lang w:val="en-GB"/>
              </w:rPr>
            </w:pPr>
            <w:r>
              <w:rPr>
                <w:lang w:val="en-GB"/>
              </w:rPr>
              <w:t>Certificate III/</w:t>
            </w:r>
            <w:r w:rsidR="00FA23C6" w:rsidRPr="00B07B55">
              <w:rPr>
                <w:lang w:val="en-GB"/>
              </w:rPr>
              <w:t>IV</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17.80</w:t>
            </w:r>
          </w:p>
        </w:tc>
        <w:tc>
          <w:tcPr>
            <w:tcW w:w="1514"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15.07</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20.90</w:t>
            </w:r>
          </w:p>
        </w:tc>
        <w:tc>
          <w:tcPr>
            <w:tcW w:w="1514" w:type="dxa"/>
            <w:tcBorders>
              <w:top w:val="nil"/>
              <w:left w:val="nil"/>
              <w:bottom w:val="nil"/>
            </w:tcBorders>
          </w:tcPr>
          <w:p w:rsidR="00FA23C6" w:rsidRPr="00B07B55" w:rsidRDefault="00FA23C6" w:rsidP="00CD3323">
            <w:pPr>
              <w:pStyle w:val="Tabletext"/>
              <w:tabs>
                <w:tab w:val="decimal" w:pos="595"/>
              </w:tabs>
              <w:rPr>
                <w:lang w:val="en-GB"/>
              </w:rPr>
            </w:pPr>
            <w:r w:rsidRPr="00B07B55">
              <w:rPr>
                <w:lang w:val="en-GB"/>
              </w:rPr>
              <w:t>10.58</w:t>
            </w:r>
          </w:p>
        </w:tc>
      </w:tr>
      <w:tr w:rsidR="00FA23C6" w:rsidRPr="00B07B55" w:rsidTr="00623C5A">
        <w:trPr>
          <w:cantSplit/>
        </w:trPr>
        <w:tc>
          <w:tcPr>
            <w:tcW w:w="2735" w:type="dxa"/>
            <w:tcBorders>
              <w:top w:val="nil"/>
              <w:bottom w:val="nil"/>
              <w:right w:val="nil"/>
            </w:tcBorders>
          </w:tcPr>
          <w:p w:rsidR="00FA23C6" w:rsidRPr="00B07B55" w:rsidRDefault="00FA23C6" w:rsidP="00623C5A">
            <w:pPr>
              <w:pStyle w:val="Tabletext"/>
              <w:rPr>
                <w:lang w:val="en-GB"/>
              </w:rPr>
            </w:pPr>
            <w:r w:rsidRPr="00B07B55">
              <w:rPr>
                <w:lang w:val="en-GB"/>
              </w:rPr>
              <w:t>Diploma</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12.63</w:t>
            </w:r>
          </w:p>
        </w:tc>
        <w:tc>
          <w:tcPr>
            <w:tcW w:w="1514"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9.69</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6.36</w:t>
            </w:r>
          </w:p>
        </w:tc>
        <w:tc>
          <w:tcPr>
            <w:tcW w:w="1514" w:type="dxa"/>
            <w:tcBorders>
              <w:top w:val="nil"/>
              <w:left w:val="nil"/>
              <w:bottom w:val="nil"/>
            </w:tcBorders>
          </w:tcPr>
          <w:p w:rsidR="00FA23C6" w:rsidRPr="00B07B55" w:rsidRDefault="00FA23C6" w:rsidP="00CD3323">
            <w:pPr>
              <w:pStyle w:val="Tabletext"/>
              <w:tabs>
                <w:tab w:val="decimal" w:pos="595"/>
              </w:tabs>
              <w:rPr>
                <w:lang w:val="en-GB"/>
              </w:rPr>
            </w:pPr>
            <w:r w:rsidRPr="00B07B55">
              <w:rPr>
                <w:lang w:val="en-GB"/>
              </w:rPr>
              <w:t>24.75</w:t>
            </w:r>
          </w:p>
        </w:tc>
      </w:tr>
      <w:tr w:rsidR="00FA23C6" w:rsidRPr="00B07B55" w:rsidTr="00623C5A">
        <w:trPr>
          <w:cantSplit/>
        </w:trPr>
        <w:tc>
          <w:tcPr>
            <w:tcW w:w="2735" w:type="dxa"/>
            <w:tcBorders>
              <w:top w:val="nil"/>
              <w:bottom w:val="nil"/>
              <w:right w:val="nil"/>
            </w:tcBorders>
          </w:tcPr>
          <w:p w:rsidR="00FA23C6" w:rsidRPr="00B07B55" w:rsidRDefault="00FA23C6" w:rsidP="00623C5A">
            <w:pPr>
              <w:pStyle w:val="Tabletext"/>
              <w:rPr>
                <w:lang w:val="en-GB"/>
              </w:rPr>
            </w:pPr>
            <w:r w:rsidRPr="00B07B55">
              <w:rPr>
                <w:lang w:val="en-GB"/>
              </w:rPr>
              <w:t>Degree and above</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13.22</w:t>
            </w:r>
          </w:p>
        </w:tc>
        <w:tc>
          <w:tcPr>
            <w:tcW w:w="1514"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12.29</w:t>
            </w:r>
          </w:p>
        </w:tc>
        <w:tc>
          <w:tcPr>
            <w:tcW w:w="1513" w:type="dxa"/>
            <w:tcBorders>
              <w:top w:val="nil"/>
              <w:left w:val="nil"/>
              <w:bottom w:val="nil"/>
              <w:right w:val="nil"/>
            </w:tcBorders>
          </w:tcPr>
          <w:p w:rsidR="00FA23C6" w:rsidRPr="00B07B55" w:rsidRDefault="00FA23C6" w:rsidP="00CD3323">
            <w:pPr>
              <w:pStyle w:val="Tabletext"/>
              <w:tabs>
                <w:tab w:val="decimal" w:pos="595"/>
              </w:tabs>
              <w:rPr>
                <w:lang w:val="en-GB"/>
              </w:rPr>
            </w:pPr>
            <w:r w:rsidRPr="00B07B55">
              <w:rPr>
                <w:lang w:val="en-GB"/>
              </w:rPr>
              <w:t>15.00</w:t>
            </w:r>
          </w:p>
        </w:tc>
        <w:tc>
          <w:tcPr>
            <w:tcW w:w="1514" w:type="dxa"/>
            <w:tcBorders>
              <w:top w:val="nil"/>
              <w:left w:val="nil"/>
              <w:bottom w:val="nil"/>
            </w:tcBorders>
          </w:tcPr>
          <w:p w:rsidR="00FA23C6" w:rsidRPr="00B07B55" w:rsidRDefault="00FA23C6" w:rsidP="00CD3323">
            <w:pPr>
              <w:pStyle w:val="Tabletext"/>
              <w:tabs>
                <w:tab w:val="decimal" w:pos="595"/>
              </w:tabs>
              <w:rPr>
                <w:lang w:val="en-GB"/>
              </w:rPr>
            </w:pPr>
            <w:r w:rsidRPr="00B07B55">
              <w:rPr>
                <w:lang w:val="en-GB"/>
              </w:rPr>
              <w:t>17.29</w:t>
            </w:r>
          </w:p>
        </w:tc>
      </w:tr>
      <w:tr w:rsidR="00FA23C6" w:rsidRPr="00B07B55" w:rsidTr="00623C5A">
        <w:trPr>
          <w:cantSplit/>
        </w:trPr>
        <w:tc>
          <w:tcPr>
            <w:tcW w:w="2735" w:type="dxa"/>
            <w:tcBorders>
              <w:top w:val="nil"/>
              <w:bottom w:val="nil"/>
              <w:right w:val="nil"/>
            </w:tcBorders>
          </w:tcPr>
          <w:p w:rsidR="00FA23C6" w:rsidRPr="00B07B55" w:rsidRDefault="00FA23C6" w:rsidP="00CD3323">
            <w:pPr>
              <w:pStyle w:val="Tabletext"/>
              <w:spacing w:before="120"/>
              <w:rPr>
                <w:lang w:val="en-GB"/>
              </w:rPr>
            </w:pPr>
            <w:r w:rsidRPr="00B07B55">
              <w:rPr>
                <w:lang w:val="en-GB"/>
              </w:rPr>
              <w:t>Full-time worker</w:t>
            </w:r>
          </w:p>
        </w:tc>
        <w:tc>
          <w:tcPr>
            <w:tcW w:w="1513" w:type="dxa"/>
            <w:tcBorders>
              <w:top w:val="nil"/>
              <w:left w:val="nil"/>
              <w:bottom w:val="nil"/>
              <w:right w:val="nil"/>
            </w:tcBorders>
          </w:tcPr>
          <w:p w:rsidR="00FA23C6" w:rsidRPr="00B07B55" w:rsidRDefault="00FA23C6" w:rsidP="00CD3323">
            <w:pPr>
              <w:pStyle w:val="Tabletext"/>
              <w:tabs>
                <w:tab w:val="decimal" w:pos="595"/>
              </w:tabs>
              <w:spacing w:before="120"/>
              <w:rPr>
                <w:lang w:val="en-GB"/>
              </w:rPr>
            </w:pPr>
            <w:r w:rsidRPr="00B07B55">
              <w:rPr>
                <w:lang w:val="en-GB"/>
              </w:rPr>
              <w:t>35.35</w:t>
            </w:r>
          </w:p>
        </w:tc>
        <w:tc>
          <w:tcPr>
            <w:tcW w:w="1514" w:type="dxa"/>
            <w:tcBorders>
              <w:top w:val="nil"/>
              <w:left w:val="nil"/>
              <w:bottom w:val="nil"/>
              <w:right w:val="nil"/>
            </w:tcBorders>
          </w:tcPr>
          <w:p w:rsidR="00FA23C6" w:rsidRPr="00B07B55" w:rsidRDefault="00FA23C6" w:rsidP="00CD3323">
            <w:pPr>
              <w:pStyle w:val="Tabletext"/>
              <w:tabs>
                <w:tab w:val="decimal" w:pos="595"/>
              </w:tabs>
              <w:spacing w:before="120"/>
              <w:rPr>
                <w:lang w:val="en-GB"/>
              </w:rPr>
            </w:pPr>
            <w:r w:rsidRPr="00B07B55">
              <w:rPr>
                <w:lang w:val="en-GB"/>
              </w:rPr>
              <w:t>31.98</w:t>
            </w:r>
          </w:p>
        </w:tc>
        <w:tc>
          <w:tcPr>
            <w:tcW w:w="1513" w:type="dxa"/>
            <w:tcBorders>
              <w:top w:val="nil"/>
              <w:left w:val="nil"/>
              <w:bottom w:val="nil"/>
              <w:right w:val="nil"/>
            </w:tcBorders>
          </w:tcPr>
          <w:p w:rsidR="00FA23C6" w:rsidRPr="00B07B55" w:rsidRDefault="00FA23C6" w:rsidP="00CD3323">
            <w:pPr>
              <w:pStyle w:val="Tabletext"/>
              <w:tabs>
                <w:tab w:val="decimal" w:pos="595"/>
              </w:tabs>
              <w:spacing w:before="120"/>
              <w:rPr>
                <w:lang w:val="en-GB"/>
              </w:rPr>
            </w:pPr>
            <w:r w:rsidRPr="00B07B55">
              <w:rPr>
                <w:lang w:val="en-GB"/>
              </w:rPr>
              <w:t>46.51</w:t>
            </w:r>
          </w:p>
        </w:tc>
        <w:tc>
          <w:tcPr>
            <w:tcW w:w="1514" w:type="dxa"/>
            <w:tcBorders>
              <w:top w:val="nil"/>
              <w:left w:val="nil"/>
              <w:bottom w:val="nil"/>
            </w:tcBorders>
          </w:tcPr>
          <w:p w:rsidR="00FA23C6" w:rsidRPr="00B07B55" w:rsidRDefault="00FA23C6" w:rsidP="00CD3323">
            <w:pPr>
              <w:pStyle w:val="Tabletext"/>
              <w:tabs>
                <w:tab w:val="decimal" w:pos="595"/>
              </w:tabs>
              <w:spacing w:before="120"/>
              <w:rPr>
                <w:lang w:val="en-GB"/>
              </w:rPr>
            </w:pPr>
            <w:r w:rsidRPr="00B07B55">
              <w:rPr>
                <w:lang w:val="en-GB"/>
              </w:rPr>
              <w:t>27.38</w:t>
            </w:r>
          </w:p>
        </w:tc>
      </w:tr>
      <w:tr w:rsidR="00FA23C6" w:rsidRPr="00B07B55" w:rsidTr="00623C5A">
        <w:trPr>
          <w:cantSplit/>
        </w:trPr>
        <w:tc>
          <w:tcPr>
            <w:tcW w:w="2735" w:type="dxa"/>
            <w:tcBorders>
              <w:top w:val="nil"/>
              <w:bottom w:val="single" w:sz="4" w:space="0" w:color="auto"/>
              <w:right w:val="nil"/>
            </w:tcBorders>
          </w:tcPr>
          <w:p w:rsidR="00FA23C6" w:rsidRPr="00B07B55" w:rsidRDefault="00FA23C6" w:rsidP="00623C5A">
            <w:pPr>
              <w:pStyle w:val="Tabletext"/>
              <w:rPr>
                <w:lang w:val="en-GB"/>
              </w:rPr>
            </w:pPr>
            <w:r w:rsidRPr="00B07B55">
              <w:rPr>
                <w:lang w:val="en-GB"/>
              </w:rPr>
              <w:t>Part-time worker</w:t>
            </w:r>
          </w:p>
        </w:tc>
        <w:tc>
          <w:tcPr>
            <w:tcW w:w="1513" w:type="dxa"/>
            <w:tcBorders>
              <w:top w:val="nil"/>
              <w:left w:val="nil"/>
              <w:bottom w:val="single" w:sz="4" w:space="0" w:color="auto"/>
              <w:right w:val="nil"/>
            </w:tcBorders>
          </w:tcPr>
          <w:p w:rsidR="00FA23C6" w:rsidRPr="00B07B55" w:rsidRDefault="00FA23C6" w:rsidP="00CD3323">
            <w:pPr>
              <w:pStyle w:val="Tabletext"/>
              <w:tabs>
                <w:tab w:val="decimal" w:pos="595"/>
              </w:tabs>
              <w:rPr>
                <w:lang w:val="en-GB"/>
              </w:rPr>
            </w:pPr>
            <w:r w:rsidRPr="00B07B55">
              <w:rPr>
                <w:lang w:val="en-GB"/>
              </w:rPr>
              <w:t>32.80</w:t>
            </w:r>
          </w:p>
        </w:tc>
        <w:tc>
          <w:tcPr>
            <w:tcW w:w="1514" w:type="dxa"/>
            <w:tcBorders>
              <w:top w:val="nil"/>
              <w:left w:val="nil"/>
              <w:bottom w:val="single" w:sz="4" w:space="0" w:color="auto"/>
              <w:right w:val="nil"/>
            </w:tcBorders>
          </w:tcPr>
          <w:p w:rsidR="00FA23C6" w:rsidRPr="00B07B55" w:rsidRDefault="00FA23C6" w:rsidP="00CD3323">
            <w:pPr>
              <w:pStyle w:val="Tabletext"/>
              <w:tabs>
                <w:tab w:val="decimal" w:pos="595"/>
              </w:tabs>
              <w:rPr>
                <w:lang w:val="en-GB"/>
              </w:rPr>
            </w:pPr>
            <w:r w:rsidRPr="00B07B55">
              <w:rPr>
                <w:lang w:val="en-GB"/>
              </w:rPr>
              <w:t>41.76</w:t>
            </w:r>
          </w:p>
        </w:tc>
        <w:tc>
          <w:tcPr>
            <w:tcW w:w="1513" w:type="dxa"/>
            <w:tcBorders>
              <w:top w:val="nil"/>
              <w:left w:val="nil"/>
              <w:bottom w:val="single" w:sz="4" w:space="0" w:color="auto"/>
              <w:right w:val="nil"/>
            </w:tcBorders>
          </w:tcPr>
          <w:p w:rsidR="00FA23C6" w:rsidRPr="00B07B55" w:rsidRDefault="00FA23C6" w:rsidP="00CD3323">
            <w:pPr>
              <w:pStyle w:val="Tabletext"/>
              <w:tabs>
                <w:tab w:val="decimal" w:pos="595"/>
              </w:tabs>
              <w:rPr>
                <w:lang w:val="en-GB"/>
              </w:rPr>
            </w:pPr>
            <w:r w:rsidRPr="00B07B55">
              <w:rPr>
                <w:lang w:val="en-GB"/>
              </w:rPr>
              <w:t>25.45</w:t>
            </w:r>
          </w:p>
        </w:tc>
        <w:tc>
          <w:tcPr>
            <w:tcW w:w="1514" w:type="dxa"/>
            <w:tcBorders>
              <w:top w:val="nil"/>
              <w:left w:val="nil"/>
              <w:bottom w:val="single" w:sz="4" w:space="0" w:color="auto"/>
            </w:tcBorders>
          </w:tcPr>
          <w:p w:rsidR="00FA23C6" w:rsidRPr="00B07B55" w:rsidRDefault="00FA23C6" w:rsidP="00CD3323">
            <w:pPr>
              <w:pStyle w:val="Tabletext"/>
              <w:tabs>
                <w:tab w:val="decimal" w:pos="595"/>
              </w:tabs>
              <w:rPr>
                <w:lang w:val="en-GB"/>
              </w:rPr>
            </w:pPr>
            <w:r w:rsidRPr="00B07B55">
              <w:rPr>
                <w:lang w:val="en-GB"/>
              </w:rPr>
              <w:t>23.18</w:t>
            </w:r>
          </w:p>
        </w:tc>
      </w:tr>
    </w:tbl>
    <w:p w:rsidR="00FA23C6" w:rsidRPr="00B07B55" w:rsidRDefault="000677C3" w:rsidP="00FA23C6">
      <w:pPr>
        <w:pStyle w:val="Source"/>
        <w:rPr>
          <w:lang w:val="en-GB"/>
        </w:rPr>
      </w:pPr>
      <w:r>
        <w:rPr>
          <w:lang w:val="en-GB"/>
        </w:rPr>
        <w:t>Source:</w:t>
      </w:r>
      <w:r>
        <w:rPr>
          <w:lang w:val="en-GB"/>
        </w:rPr>
        <w:tab/>
        <w:t>HILDA data, weighted statistics</w:t>
      </w:r>
      <w:r w:rsidR="008D286A">
        <w:rPr>
          <w:lang w:val="en-GB"/>
        </w:rPr>
        <w:t>.</w:t>
      </w:r>
    </w:p>
    <w:p w:rsidR="00FA23C6" w:rsidRPr="00B07B55" w:rsidRDefault="00B10A30" w:rsidP="00CD3323">
      <w:pPr>
        <w:pStyle w:val="Textmorebefore"/>
      </w:pPr>
      <w:r w:rsidRPr="00B07B55">
        <w:t xml:space="preserve">The figures reported in table 7 offer a first insight into the differences between individuals </w:t>
      </w:r>
      <w:r w:rsidR="008D286A">
        <w:t>who</w:t>
      </w:r>
      <w:r w:rsidRPr="00B07B55">
        <w:t xml:space="preserve"> enrol in education at more mature ages and those </w:t>
      </w:r>
      <w:r w:rsidR="008D286A">
        <w:t>who</w:t>
      </w:r>
      <w:r w:rsidRPr="00B07B55">
        <w:t xml:space="preserve"> do not. A few elements of distinction between the two groups can be noted from table 7. Individuals </w:t>
      </w:r>
      <w:r w:rsidR="008D286A">
        <w:t>who</w:t>
      </w:r>
      <w:r w:rsidRPr="00B07B55">
        <w:t xml:space="preserve"> engage in education generally appear to be better educated to begin with, as can be observed from the proportions of diploma and university degree holders in the two subsamples, irrespective of the respondent’s gender.</w:t>
      </w:r>
      <w:r w:rsidR="00AF43FD" w:rsidRPr="00B07B55">
        <w:t xml:space="preserve"> </w:t>
      </w:r>
      <w:r w:rsidR="00FA23C6" w:rsidRPr="00B07B55">
        <w:t xml:space="preserve">The evidence is more mixed with respect to the </w:t>
      </w:r>
      <w:r w:rsidRPr="00B07B55">
        <w:t xml:space="preserve">prior </w:t>
      </w:r>
      <w:r w:rsidR="00FA23C6" w:rsidRPr="00B07B55">
        <w:t>employment status of survey participants. For men, there is a notable difference in the percentages of full-time and part-time workers across the two groups</w:t>
      </w:r>
      <w:r w:rsidR="00AF43FD" w:rsidRPr="00B07B55">
        <w:t>.</w:t>
      </w:r>
      <w:r w:rsidR="00E47B92">
        <w:t xml:space="preserve"> </w:t>
      </w:r>
      <w:r w:rsidR="00AF43FD" w:rsidRPr="00B07B55">
        <w:t>While</w:t>
      </w:r>
      <w:r w:rsidR="00FA23C6" w:rsidRPr="00B07B55">
        <w:t xml:space="preserve"> full-time clearly prevail</w:t>
      </w:r>
      <w:r w:rsidR="00AF43FD" w:rsidRPr="00B07B55">
        <w:t>s</w:t>
      </w:r>
      <w:r w:rsidR="00FA23C6" w:rsidRPr="00B07B55">
        <w:t xml:space="preserve"> among non-students in the two younger age groups, </w:t>
      </w:r>
      <w:r w:rsidR="00AF43FD" w:rsidRPr="00B07B55">
        <w:t>the gap tends to decrease among older individuals</w:t>
      </w:r>
      <w:r w:rsidR="00FA23C6" w:rsidRPr="00B07B55">
        <w:t xml:space="preserve">. These relationships are less clear for females. Note also that for both genders the proportion of unemployed individuals is higher among those </w:t>
      </w:r>
      <w:r w:rsidR="00EB5247">
        <w:t>who</w:t>
      </w:r>
      <w:r w:rsidR="00FA23C6" w:rsidRPr="00B07B55">
        <w:t xml:space="preserve"> enrol in education. The extent of the relation</w:t>
      </w:r>
      <w:r w:rsidR="00BC58F3">
        <w:t>s</w:t>
      </w:r>
      <w:r w:rsidR="00FA23C6" w:rsidRPr="00B07B55">
        <w:t xml:space="preserve"> between the enrolment choice, initial education level and employment status </w:t>
      </w:r>
      <w:r w:rsidR="003A5624">
        <w:t>is</w:t>
      </w:r>
      <w:r w:rsidR="00FA23C6" w:rsidRPr="00B07B55">
        <w:t xml:space="preserve"> investigated more completely in the context of multivariate regression analysis below. </w:t>
      </w:r>
    </w:p>
    <w:p w:rsidR="00CD3323" w:rsidRDefault="00CD3323">
      <w:pPr>
        <w:spacing w:before="0" w:line="240" w:lineRule="auto"/>
        <w:rPr>
          <w:rFonts w:ascii="Tahoma" w:hAnsi="Tahoma"/>
          <w:b/>
          <w:sz w:val="17"/>
          <w:lang w:val="en-GB"/>
        </w:rPr>
      </w:pPr>
      <w:bookmarkStart w:id="50" w:name="_Toc311576119"/>
      <w:r>
        <w:rPr>
          <w:lang w:val="en-GB"/>
        </w:rPr>
        <w:br w:type="page"/>
      </w:r>
    </w:p>
    <w:p w:rsidR="00B10A30" w:rsidRPr="00B07B55" w:rsidRDefault="00B10A30" w:rsidP="00B10A30">
      <w:pPr>
        <w:pStyle w:val="tabletitle"/>
        <w:rPr>
          <w:lang w:val="en-GB"/>
        </w:rPr>
      </w:pPr>
      <w:bookmarkStart w:id="51" w:name="_Toc334021174"/>
      <w:r w:rsidRPr="00B07B55">
        <w:rPr>
          <w:lang w:val="en-GB"/>
        </w:rPr>
        <w:t>Table 7</w:t>
      </w:r>
      <w:r w:rsidRPr="00B07B55">
        <w:rPr>
          <w:lang w:val="en-GB"/>
        </w:rPr>
        <w:tab/>
        <w:t>Education levels and employment status by study status, HILDA</w:t>
      </w:r>
      <w:bookmarkEnd w:id="50"/>
      <w:bookmarkEnd w:id="51"/>
      <w:r w:rsidRPr="00B07B55">
        <w:rPr>
          <w:lang w:val="en-GB"/>
        </w:rPr>
        <w:t xml:space="preserve"> </w:t>
      </w:r>
    </w:p>
    <w:tbl>
      <w:tblPr>
        <w:tblW w:w="8789" w:type="dxa"/>
        <w:tblInd w:w="57" w:type="dxa"/>
        <w:tblBorders>
          <w:top w:val="single" w:sz="4" w:space="0" w:color="auto"/>
          <w:bottom w:val="single" w:sz="4" w:space="0" w:color="auto"/>
        </w:tblBorders>
        <w:tblLayout w:type="fixed"/>
        <w:tblCellMar>
          <w:left w:w="57" w:type="dxa"/>
          <w:right w:w="57" w:type="dxa"/>
        </w:tblCellMar>
        <w:tblLook w:val="0000"/>
      </w:tblPr>
      <w:tblGrid>
        <w:gridCol w:w="2126"/>
        <w:gridCol w:w="832"/>
        <w:gridCol w:w="833"/>
        <w:gridCol w:w="833"/>
        <w:gridCol w:w="833"/>
        <w:gridCol w:w="833"/>
        <w:gridCol w:w="833"/>
        <w:gridCol w:w="833"/>
        <w:gridCol w:w="833"/>
      </w:tblGrid>
      <w:tr w:rsidR="00CD3323" w:rsidRPr="00B07B55" w:rsidTr="00CE17E6">
        <w:trPr>
          <w:cantSplit/>
        </w:trPr>
        <w:tc>
          <w:tcPr>
            <w:tcW w:w="1209" w:type="pct"/>
            <w:tcBorders>
              <w:top w:val="single" w:sz="4" w:space="0" w:color="auto"/>
              <w:bottom w:val="nil"/>
              <w:right w:val="nil"/>
            </w:tcBorders>
          </w:tcPr>
          <w:p w:rsidR="00CD3323" w:rsidRPr="00B07B55" w:rsidRDefault="00CD3323" w:rsidP="00CD3323">
            <w:pPr>
              <w:pStyle w:val="Tablehead1"/>
              <w:rPr>
                <w:lang w:val="en-GB"/>
              </w:rPr>
            </w:pPr>
          </w:p>
        </w:tc>
        <w:tc>
          <w:tcPr>
            <w:tcW w:w="1895" w:type="pct"/>
            <w:gridSpan w:val="4"/>
            <w:tcBorders>
              <w:top w:val="single" w:sz="4" w:space="0" w:color="auto"/>
              <w:bottom w:val="nil"/>
              <w:right w:val="dashed" w:sz="4" w:space="0" w:color="auto"/>
            </w:tcBorders>
          </w:tcPr>
          <w:p w:rsidR="00CD3323" w:rsidRPr="00B07B55" w:rsidRDefault="00CD3323" w:rsidP="00CD3323">
            <w:pPr>
              <w:pStyle w:val="Tablehead1"/>
              <w:jc w:val="center"/>
              <w:rPr>
                <w:rFonts w:cs="Arial"/>
                <w:color w:val="000000"/>
                <w:lang w:val="en-GB"/>
              </w:rPr>
            </w:pPr>
            <w:r w:rsidRPr="00B07B55">
              <w:rPr>
                <w:rFonts w:cs="Arial"/>
                <w:color w:val="000000"/>
                <w:lang w:val="en-GB"/>
              </w:rPr>
              <w:t>Not studying</w:t>
            </w:r>
          </w:p>
        </w:tc>
        <w:tc>
          <w:tcPr>
            <w:tcW w:w="1896" w:type="pct"/>
            <w:gridSpan w:val="4"/>
            <w:tcBorders>
              <w:top w:val="single" w:sz="4" w:space="0" w:color="auto"/>
              <w:left w:val="dashed" w:sz="4" w:space="0" w:color="auto"/>
              <w:bottom w:val="nil"/>
            </w:tcBorders>
          </w:tcPr>
          <w:p w:rsidR="00CD3323" w:rsidRPr="00B07B55" w:rsidRDefault="00CD3323" w:rsidP="00CD3323">
            <w:pPr>
              <w:pStyle w:val="Tablehead1"/>
              <w:jc w:val="center"/>
              <w:rPr>
                <w:rFonts w:cs="Arial"/>
                <w:color w:val="000000"/>
                <w:lang w:val="en-GB"/>
              </w:rPr>
            </w:pPr>
            <w:r w:rsidRPr="00B07B55">
              <w:rPr>
                <w:rFonts w:cs="Arial"/>
                <w:color w:val="000000"/>
                <w:lang w:val="en-GB"/>
              </w:rPr>
              <w:t>Studying</w:t>
            </w:r>
          </w:p>
        </w:tc>
      </w:tr>
      <w:tr w:rsidR="00CD3323" w:rsidRPr="00B07B55" w:rsidTr="00CE17E6">
        <w:trPr>
          <w:cantSplit/>
        </w:trPr>
        <w:tc>
          <w:tcPr>
            <w:tcW w:w="1209" w:type="pct"/>
            <w:tcBorders>
              <w:top w:val="nil"/>
              <w:bottom w:val="single" w:sz="4" w:space="0" w:color="auto"/>
              <w:right w:val="nil"/>
            </w:tcBorders>
          </w:tcPr>
          <w:p w:rsidR="00CD3323" w:rsidRPr="00B07B55" w:rsidRDefault="00CD3323" w:rsidP="00CD3323">
            <w:pPr>
              <w:pStyle w:val="Tablehead2"/>
              <w:rPr>
                <w:lang w:val="en-GB"/>
              </w:rPr>
            </w:pPr>
            <w:r w:rsidRPr="00B07B55">
              <w:rPr>
                <w:lang w:val="en-GB"/>
              </w:rPr>
              <w:t>Age group in 2001</w:t>
            </w:r>
          </w:p>
        </w:tc>
        <w:tc>
          <w:tcPr>
            <w:tcW w:w="473" w:type="pct"/>
            <w:tcBorders>
              <w:top w:val="nil"/>
              <w:bottom w:val="single" w:sz="4" w:space="0" w:color="auto"/>
              <w:right w:val="nil"/>
            </w:tcBorders>
          </w:tcPr>
          <w:p w:rsidR="00CD3323" w:rsidRPr="00B07B55" w:rsidRDefault="00CD3323" w:rsidP="00CD3323">
            <w:pPr>
              <w:pStyle w:val="Tablehead2"/>
              <w:jc w:val="center"/>
              <w:rPr>
                <w:rFonts w:cs="Arial"/>
                <w:bCs/>
                <w:color w:val="000000"/>
                <w:lang w:val="en-GB"/>
              </w:rPr>
            </w:pPr>
            <w:r>
              <w:rPr>
                <w:rFonts w:cs="Arial"/>
                <w:bCs/>
                <w:color w:val="000000"/>
                <w:lang w:val="en-GB"/>
              </w:rPr>
              <w:t>25–</w:t>
            </w:r>
            <w:r w:rsidRPr="00B07B55">
              <w:rPr>
                <w:rFonts w:cs="Arial"/>
                <w:bCs/>
                <w:color w:val="000000"/>
                <w:lang w:val="en-GB"/>
              </w:rPr>
              <w:t>34</w:t>
            </w:r>
          </w:p>
        </w:tc>
        <w:tc>
          <w:tcPr>
            <w:tcW w:w="474" w:type="pct"/>
            <w:tcBorders>
              <w:top w:val="nil"/>
              <w:bottom w:val="single" w:sz="4" w:space="0" w:color="auto"/>
              <w:right w:val="nil"/>
            </w:tcBorders>
          </w:tcPr>
          <w:p w:rsidR="00CD3323" w:rsidRPr="00B07B55" w:rsidRDefault="00CD3323" w:rsidP="00CD3323">
            <w:pPr>
              <w:pStyle w:val="Tablehead2"/>
              <w:jc w:val="center"/>
              <w:rPr>
                <w:rFonts w:cs="Arial"/>
                <w:bCs/>
                <w:color w:val="000000"/>
                <w:lang w:val="en-GB"/>
              </w:rPr>
            </w:pPr>
            <w:r w:rsidRPr="00B07B55">
              <w:rPr>
                <w:rFonts w:cs="Arial"/>
                <w:bCs/>
                <w:color w:val="000000"/>
                <w:lang w:val="en-GB"/>
              </w:rPr>
              <w:t>35</w:t>
            </w:r>
            <w:r>
              <w:rPr>
                <w:rFonts w:cs="Arial"/>
                <w:bCs/>
                <w:color w:val="000000"/>
                <w:lang w:val="en-GB"/>
              </w:rPr>
              <w:t>–</w:t>
            </w:r>
            <w:r w:rsidRPr="00B07B55">
              <w:rPr>
                <w:rFonts w:cs="Arial"/>
                <w:bCs/>
                <w:color w:val="000000"/>
                <w:lang w:val="en-GB"/>
              </w:rPr>
              <w:t>44</w:t>
            </w:r>
          </w:p>
        </w:tc>
        <w:tc>
          <w:tcPr>
            <w:tcW w:w="474" w:type="pct"/>
            <w:tcBorders>
              <w:top w:val="nil"/>
              <w:bottom w:val="single" w:sz="4" w:space="0" w:color="auto"/>
              <w:right w:val="nil"/>
            </w:tcBorders>
          </w:tcPr>
          <w:p w:rsidR="00CD3323" w:rsidRPr="00B07B55" w:rsidRDefault="00CD3323" w:rsidP="00CD3323">
            <w:pPr>
              <w:pStyle w:val="Tablehead2"/>
              <w:jc w:val="center"/>
              <w:rPr>
                <w:rFonts w:cs="Arial"/>
                <w:bCs/>
                <w:color w:val="000000"/>
                <w:lang w:val="en-GB"/>
              </w:rPr>
            </w:pPr>
            <w:r w:rsidRPr="00B07B55">
              <w:rPr>
                <w:rFonts w:cs="Arial"/>
                <w:bCs/>
                <w:color w:val="000000"/>
                <w:lang w:val="en-GB"/>
              </w:rPr>
              <w:t>45</w:t>
            </w:r>
            <w:r>
              <w:rPr>
                <w:rFonts w:cs="Arial"/>
                <w:bCs/>
                <w:color w:val="000000"/>
                <w:lang w:val="en-GB"/>
              </w:rPr>
              <w:t>–</w:t>
            </w:r>
            <w:r w:rsidRPr="00B07B55">
              <w:rPr>
                <w:rFonts w:cs="Arial"/>
                <w:bCs/>
                <w:color w:val="000000"/>
                <w:lang w:val="en-GB"/>
              </w:rPr>
              <w:t>54</w:t>
            </w:r>
          </w:p>
        </w:tc>
        <w:tc>
          <w:tcPr>
            <w:tcW w:w="474" w:type="pct"/>
            <w:tcBorders>
              <w:top w:val="nil"/>
              <w:left w:val="nil"/>
              <w:bottom w:val="single" w:sz="4" w:space="0" w:color="auto"/>
              <w:right w:val="dashed" w:sz="4" w:space="0" w:color="auto"/>
            </w:tcBorders>
          </w:tcPr>
          <w:p w:rsidR="00CD3323" w:rsidRPr="00B07B55" w:rsidRDefault="00CD3323" w:rsidP="00CD3323">
            <w:pPr>
              <w:pStyle w:val="Tablehead2"/>
              <w:jc w:val="center"/>
              <w:rPr>
                <w:rFonts w:cs="Arial"/>
                <w:bCs/>
                <w:color w:val="000000"/>
                <w:lang w:val="en-GB"/>
              </w:rPr>
            </w:pPr>
            <w:r>
              <w:rPr>
                <w:rFonts w:cs="Arial"/>
                <w:bCs/>
                <w:color w:val="000000"/>
                <w:lang w:val="en-GB"/>
              </w:rPr>
              <w:t>55–</w:t>
            </w:r>
            <w:r w:rsidRPr="00B07B55">
              <w:rPr>
                <w:rFonts w:cs="Arial"/>
                <w:bCs/>
                <w:color w:val="000000"/>
                <w:lang w:val="en-GB"/>
              </w:rPr>
              <w:t>64</w:t>
            </w:r>
          </w:p>
        </w:tc>
        <w:tc>
          <w:tcPr>
            <w:tcW w:w="474" w:type="pct"/>
            <w:tcBorders>
              <w:top w:val="nil"/>
              <w:left w:val="dashed" w:sz="4" w:space="0" w:color="auto"/>
              <w:bottom w:val="single" w:sz="4" w:space="0" w:color="auto"/>
              <w:right w:val="nil"/>
            </w:tcBorders>
          </w:tcPr>
          <w:p w:rsidR="00CD3323" w:rsidRPr="00B07B55" w:rsidRDefault="00CD3323" w:rsidP="00CD3323">
            <w:pPr>
              <w:pStyle w:val="Tablehead2"/>
              <w:jc w:val="center"/>
              <w:rPr>
                <w:rFonts w:cs="Arial"/>
                <w:bCs/>
                <w:color w:val="000000"/>
                <w:lang w:val="en-GB"/>
              </w:rPr>
            </w:pPr>
            <w:r>
              <w:rPr>
                <w:rFonts w:cs="Arial"/>
                <w:bCs/>
                <w:color w:val="000000"/>
                <w:lang w:val="en-GB"/>
              </w:rPr>
              <w:t>25–</w:t>
            </w:r>
            <w:r w:rsidRPr="00B07B55">
              <w:rPr>
                <w:rFonts w:cs="Arial"/>
                <w:bCs/>
                <w:color w:val="000000"/>
                <w:lang w:val="en-GB"/>
              </w:rPr>
              <w:t>34</w:t>
            </w:r>
          </w:p>
        </w:tc>
        <w:tc>
          <w:tcPr>
            <w:tcW w:w="474" w:type="pct"/>
            <w:tcBorders>
              <w:top w:val="nil"/>
              <w:left w:val="nil"/>
              <w:bottom w:val="single" w:sz="4" w:space="0" w:color="auto"/>
              <w:right w:val="nil"/>
            </w:tcBorders>
          </w:tcPr>
          <w:p w:rsidR="00CD3323" w:rsidRPr="00B07B55" w:rsidRDefault="00CD3323" w:rsidP="00CD3323">
            <w:pPr>
              <w:pStyle w:val="Tablehead2"/>
              <w:jc w:val="center"/>
              <w:rPr>
                <w:rFonts w:cs="Arial"/>
                <w:bCs/>
                <w:color w:val="000000"/>
                <w:lang w:val="en-GB"/>
              </w:rPr>
            </w:pPr>
            <w:r>
              <w:rPr>
                <w:rFonts w:cs="Arial"/>
                <w:bCs/>
                <w:color w:val="000000"/>
                <w:lang w:val="en-GB"/>
              </w:rPr>
              <w:t>35–</w:t>
            </w:r>
            <w:r w:rsidRPr="00B07B55">
              <w:rPr>
                <w:rFonts w:cs="Arial"/>
                <w:bCs/>
                <w:color w:val="000000"/>
                <w:lang w:val="en-GB"/>
              </w:rPr>
              <w:t>44</w:t>
            </w:r>
          </w:p>
        </w:tc>
        <w:tc>
          <w:tcPr>
            <w:tcW w:w="474" w:type="pct"/>
            <w:tcBorders>
              <w:top w:val="nil"/>
              <w:left w:val="nil"/>
              <w:bottom w:val="single" w:sz="4" w:space="0" w:color="auto"/>
              <w:right w:val="nil"/>
            </w:tcBorders>
          </w:tcPr>
          <w:p w:rsidR="00CD3323" w:rsidRPr="00B07B55" w:rsidRDefault="00CD3323" w:rsidP="00CD3323">
            <w:pPr>
              <w:pStyle w:val="Tablehead2"/>
              <w:jc w:val="center"/>
              <w:rPr>
                <w:rFonts w:cs="Arial"/>
                <w:bCs/>
                <w:color w:val="000000"/>
                <w:lang w:val="en-GB"/>
              </w:rPr>
            </w:pPr>
            <w:r>
              <w:rPr>
                <w:rFonts w:cs="Arial"/>
                <w:bCs/>
                <w:color w:val="000000"/>
                <w:lang w:val="en-GB"/>
              </w:rPr>
              <w:t>45–</w:t>
            </w:r>
            <w:r w:rsidRPr="00B07B55">
              <w:rPr>
                <w:rFonts w:cs="Arial"/>
                <w:bCs/>
                <w:color w:val="000000"/>
                <w:lang w:val="en-GB"/>
              </w:rPr>
              <w:t>54</w:t>
            </w:r>
          </w:p>
        </w:tc>
        <w:tc>
          <w:tcPr>
            <w:tcW w:w="474" w:type="pct"/>
            <w:tcBorders>
              <w:top w:val="nil"/>
              <w:left w:val="nil"/>
              <w:bottom w:val="single" w:sz="4" w:space="0" w:color="auto"/>
            </w:tcBorders>
          </w:tcPr>
          <w:p w:rsidR="00CD3323" w:rsidRPr="00B07B55" w:rsidRDefault="00CD3323" w:rsidP="00CD3323">
            <w:pPr>
              <w:pStyle w:val="Tablehead2"/>
              <w:jc w:val="center"/>
              <w:rPr>
                <w:rFonts w:cs="Arial"/>
                <w:bCs/>
                <w:color w:val="000000"/>
                <w:lang w:val="en-GB"/>
              </w:rPr>
            </w:pPr>
            <w:r>
              <w:rPr>
                <w:rFonts w:cs="Arial"/>
                <w:bCs/>
                <w:color w:val="000000"/>
                <w:lang w:val="en-GB"/>
              </w:rPr>
              <w:t>55–</w:t>
            </w:r>
            <w:r w:rsidRPr="00B07B55">
              <w:rPr>
                <w:rFonts w:cs="Arial"/>
                <w:bCs/>
                <w:color w:val="000000"/>
                <w:lang w:val="en-GB"/>
              </w:rPr>
              <w:t>64</w:t>
            </w:r>
          </w:p>
        </w:tc>
      </w:tr>
      <w:tr w:rsidR="00CD3323" w:rsidRPr="00B07B55" w:rsidTr="00CE17E6">
        <w:trPr>
          <w:cantSplit/>
        </w:trPr>
        <w:tc>
          <w:tcPr>
            <w:tcW w:w="1209" w:type="pct"/>
            <w:tcBorders>
              <w:top w:val="single" w:sz="4" w:space="0" w:color="auto"/>
              <w:bottom w:val="nil"/>
              <w:right w:val="nil"/>
            </w:tcBorders>
          </w:tcPr>
          <w:p w:rsidR="00CD3323" w:rsidRPr="00CD3323" w:rsidRDefault="00CD3323" w:rsidP="00CD3323">
            <w:pPr>
              <w:pStyle w:val="Tabletext"/>
              <w:spacing w:before="120"/>
              <w:rPr>
                <w:b/>
                <w:lang w:val="en-GB"/>
              </w:rPr>
            </w:pPr>
            <w:r w:rsidRPr="00CD3323">
              <w:rPr>
                <w:b/>
                <w:lang w:val="en-GB"/>
              </w:rPr>
              <w:t>Males</w:t>
            </w:r>
          </w:p>
        </w:tc>
        <w:tc>
          <w:tcPr>
            <w:tcW w:w="473" w:type="pct"/>
            <w:tcBorders>
              <w:top w:val="single" w:sz="4" w:space="0" w:color="auto"/>
              <w:bottom w:val="nil"/>
              <w:right w:val="nil"/>
            </w:tcBorders>
          </w:tcPr>
          <w:p w:rsidR="00CD3323" w:rsidRPr="00B07B55" w:rsidRDefault="00CD3323" w:rsidP="00CD3323">
            <w:pPr>
              <w:pStyle w:val="Tabletext"/>
              <w:spacing w:before="120"/>
              <w:rPr>
                <w:lang w:val="en-GB"/>
              </w:rPr>
            </w:pPr>
          </w:p>
        </w:tc>
        <w:tc>
          <w:tcPr>
            <w:tcW w:w="474" w:type="pct"/>
            <w:tcBorders>
              <w:top w:val="single" w:sz="4" w:space="0" w:color="auto"/>
              <w:bottom w:val="nil"/>
              <w:right w:val="nil"/>
            </w:tcBorders>
          </w:tcPr>
          <w:p w:rsidR="00CD3323" w:rsidRPr="00B07B55" w:rsidRDefault="00CD3323" w:rsidP="00CD3323">
            <w:pPr>
              <w:pStyle w:val="Tabletext"/>
              <w:spacing w:before="120"/>
              <w:rPr>
                <w:lang w:val="en-GB"/>
              </w:rPr>
            </w:pPr>
          </w:p>
        </w:tc>
        <w:tc>
          <w:tcPr>
            <w:tcW w:w="474" w:type="pct"/>
            <w:tcBorders>
              <w:top w:val="single" w:sz="4" w:space="0" w:color="auto"/>
              <w:bottom w:val="nil"/>
              <w:right w:val="nil"/>
            </w:tcBorders>
          </w:tcPr>
          <w:p w:rsidR="00CD3323" w:rsidRPr="00B07B55" w:rsidRDefault="00CD3323" w:rsidP="00CD3323">
            <w:pPr>
              <w:pStyle w:val="Tabletext"/>
              <w:spacing w:before="120"/>
              <w:rPr>
                <w:lang w:val="en-GB"/>
              </w:rPr>
            </w:pPr>
          </w:p>
        </w:tc>
        <w:tc>
          <w:tcPr>
            <w:tcW w:w="474" w:type="pct"/>
            <w:tcBorders>
              <w:top w:val="single" w:sz="4" w:space="0" w:color="auto"/>
              <w:left w:val="nil"/>
              <w:bottom w:val="nil"/>
              <w:right w:val="dashed" w:sz="4" w:space="0" w:color="auto"/>
            </w:tcBorders>
          </w:tcPr>
          <w:p w:rsidR="00CD3323" w:rsidRPr="00B07B55" w:rsidRDefault="00CD3323" w:rsidP="00CD3323">
            <w:pPr>
              <w:pStyle w:val="Tabletext"/>
              <w:spacing w:before="120"/>
              <w:rPr>
                <w:lang w:val="en-GB"/>
              </w:rPr>
            </w:pPr>
          </w:p>
        </w:tc>
        <w:tc>
          <w:tcPr>
            <w:tcW w:w="474" w:type="pct"/>
            <w:tcBorders>
              <w:top w:val="single" w:sz="4" w:space="0" w:color="auto"/>
              <w:left w:val="dashed" w:sz="4" w:space="0" w:color="auto"/>
              <w:bottom w:val="nil"/>
              <w:right w:val="nil"/>
            </w:tcBorders>
          </w:tcPr>
          <w:p w:rsidR="00CD3323" w:rsidRPr="00B07B55" w:rsidRDefault="00CD3323" w:rsidP="00CD3323">
            <w:pPr>
              <w:pStyle w:val="Tabletext"/>
              <w:spacing w:before="120"/>
              <w:rPr>
                <w:lang w:val="en-GB"/>
              </w:rPr>
            </w:pPr>
          </w:p>
        </w:tc>
        <w:tc>
          <w:tcPr>
            <w:tcW w:w="474" w:type="pct"/>
            <w:tcBorders>
              <w:top w:val="single" w:sz="4" w:space="0" w:color="auto"/>
              <w:left w:val="nil"/>
              <w:bottom w:val="nil"/>
              <w:right w:val="nil"/>
            </w:tcBorders>
          </w:tcPr>
          <w:p w:rsidR="00CD3323" w:rsidRPr="00B07B55" w:rsidRDefault="00CD3323" w:rsidP="00CD3323">
            <w:pPr>
              <w:pStyle w:val="Tabletext"/>
              <w:spacing w:before="120"/>
              <w:rPr>
                <w:lang w:val="en-GB"/>
              </w:rPr>
            </w:pPr>
          </w:p>
        </w:tc>
        <w:tc>
          <w:tcPr>
            <w:tcW w:w="474" w:type="pct"/>
            <w:tcBorders>
              <w:top w:val="single" w:sz="4" w:space="0" w:color="auto"/>
              <w:left w:val="nil"/>
              <w:bottom w:val="nil"/>
              <w:right w:val="nil"/>
            </w:tcBorders>
          </w:tcPr>
          <w:p w:rsidR="00CD3323" w:rsidRPr="00B07B55" w:rsidRDefault="00CD3323" w:rsidP="00CD3323">
            <w:pPr>
              <w:pStyle w:val="Tabletext"/>
              <w:spacing w:before="120"/>
              <w:rPr>
                <w:lang w:val="en-GB"/>
              </w:rPr>
            </w:pPr>
          </w:p>
        </w:tc>
        <w:tc>
          <w:tcPr>
            <w:tcW w:w="474" w:type="pct"/>
            <w:tcBorders>
              <w:top w:val="single" w:sz="4" w:space="0" w:color="auto"/>
              <w:left w:val="nil"/>
              <w:bottom w:val="nil"/>
            </w:tcBorders>
          </w:tcPr>
          <w:p w:rsidR="00CD3323" w:rsidRPr="00B07B55" w:rsidRDefault="00CD3323" w:rsidP="00CD3323">
            <w:pPr>
              <w:pStyle w:val="Tabletext"/>
              <w:spacing w:before="120"/>
              <w:rPr>
                <w:lang w:val="en-GB"/>
              </w:rPr>
            </w:pPr>
          </w:p>
        </w:tc>
      </w:tr>
      <w:tr w:rsidR="00CD3323" w:rsidRPr="009B641C" w:rsidTr="00CE17E6">
        <w:trPr>
          <w:cantSplit/>
        </w:trPr>
        <w:tc>
          <w:tcPr>
            <w:tcW w:w="1209" w:type="pct"/>
            <w:tcBorders>
              <w:top w:val="nil"/>
              <w:bottom w:val="nil"/>
              <w:right w:val="nil"/>
            </w:tcBorders>
          </w:tcPr>
          <w:p w:rsidR="00CD3323" w:rsidRPr="009B641C" w:rsidRDefault="00CD3323" w:rsidP="00CD3323">
            <w:pPr>
              <w:pStyle w:val="Tabletext"/>
              <w:rPr>
                <w:i/>
                <w:iCs/>
                <w:lang w:val="en-GB"/>
              </w:rPr>
            </w:pPr>
            <w:r w:rsidRPr="009B641C">
              <w:rPr>
                <w:i/>
                <w:lang w:val="en-GB"/>
              </w:rPr>
              <w:t>Observations</w:t>
            </w:r>
          </w:p>
        </w:tc>
        <w:tc>
          <w:tcPr>
            <w:tcW w:w="473" w:type="pct"/>
            <w:tcBorders>
              <w:top w:val="nil"/>
              <w:bottom w:val="nil"/>
              <w:right w:val="nil"/>
            </w:tcBorders>
          </w:tcPr>
          <w:p w:rsidR="00CD3323" w:rsidRPr="009B641C" w:rsidRDefault="00CD3323" w:rsidP="00CD3323">
            <w:pPr>
              <w:pStyle w:val="Tabletext"/>
              <w:jc w:val="center"/>
              <w:rPr>
                <w:i/>
                <w:lang w:val="en-GB"/>
              </w:rPr>
            </w:pPr>
            <w:r w:rsidRPr="009B641C">
              <w:rPr>
                <w:i/>
                <w:lang w:val="en-GB"/>
              </w:rPr>
              <w:t>371</w:t>
            </w:r>
          </w:p>
        </w:tc>
        <w:tc>
          <w:tcPr>
            <w:tcW w:w="474" w:type="pct"/>
            <w:tcBorders>
              <w:top w:val="nil"/>
              <w:bottom w:val="nil"/>
              <w:right w:val="nil"/>
            </w:tcBorders>
          </w:tcPr>
          <w:p w:rsidR="00CD3323" w:rsidRPr="009B641C" w:rsidRDefault="00CD3323" w:rsidP="00CD3323">
            <w:pPr>
              <w:pStyle w:val="Tabletext"/>
              <w:jc w:val="center"/>
              <w:rPr>
                <w:i/>
                <w:lang w:val="en-GB"/>
              </w:rPr>
            </w:pPr>
            <w:r w:rsidRPr="009B641C">
              <w:rPr>
                <w:i/>
                <w:lang w:val="en-GB"/>
              </w:rPr>
              <w:t>573</w:t>
            </w:r>
          </w:p>
        </w:tc>
        <w:tc>
          <w:tcPr>
            <w:tcW w:w="474" w:type="pct"/>
            <w:tcBorders>
              <w:top w:val="nil"/>
              <w:bottom w:val="nil"/>
              <w:right w:val="nil"/>
            </w:tcBorders>
          </w:tcPr>
          <w:p w:rsidR="00CD3323" w:rsidRPr="009B641C" w:rsidRDefault="00CD3323" w:rsidP="00CD3323">
            <w:pPr>
              <w:pStyle w:val="Tabletext"/>
              <w:jc w:val="center"/>
              <w:rPr>
                <w:i/>
                <w:lang w:val="en-GB"/>
              </w:rPr>
            </w:pPr>
            <w:r w:rsidRPr="009B641C">
              <w:rPr>
                <w:i/>
                <w:lang w:val="en-GB"/>
              </w:rPr>
              <w:t>569</w:t>
            </w:r>
          </w:p>
        </w:tc>
        <w:tc>
          <w:tcPr>
            <w:tcW w:w="474" w:type="pct"/>
            <w:tcBorders>
              <w:top w:val="nil"/>
              <w:left w:val="nil"/>
              <w:bottom w:val="nil"/>
              <w:right w:val="dashed" w:sz="4" w:space="0" w:color="auto"/>
            </w:tcBorders>
          </w:tcPr>
          <w:p w:rsidR="00CD3323" w:rsidRPr="009B641C" w:rsidRDefault="00CD3323" w:rsidP="00CD3323">
            <w:pPr>
              <w:pStyle w:val="Tabletext"/>
              <w:jc w:val="center"/>
              <w:rPr>
                <w:i/>
                <w:lang w:val="en-GB"/>
              </w:rPr>
            </w:pPr>
            <w:r w:rsidRPr="009B641C">
              <w:rPr>
                <w:i/>
                <w:lang w:val="en-GB"/>
              </w:rPr>
              <w:t>466</w:t>
            </w:r>
          </w:p>
        </w:tc>
        <w:tc>
          <w:tcPr>
            <w:tcW w:w="474" w:type="pct"/>
            <w:tcBorders>
              <w:top w:val="nil"/>
              <w:left w:val="dashed" w:sz="4" w:space="0" w:color="auto"/>
              <w:bottom w:val="nil"/>
              <w:right w:val="nil"/>
            </w:tcBorders>
          </w:tcPr>
          <w:p w:rsidR="00CD3323" w:rsidRPr="009B641C" w:rsidRDefault="00CD3323" w:rsidP="00CD3323">
            <w:pPr>
              <w:pStyle w:val="Tabletext"/>
              <w:jc w:val="center"/>
              <w:rPr>
                <w:i/>
                <w:lang w:val="en-GB"/>
              </w:rPr>
            </w:pPr>
            <w:r w:rsidRPr="009B641C">
              <w:rPr>
                <w:i/>
                <w:lang w:val="en-GB"/>
              </w:rPr>
              <w:t>285</w:t>
            </w:r>
          </w:p>
        </w:tc>
        <w:tc>
          <w:tcPr>
            <w:tcW w:w="474" w:type="pct"/>
            <w:tcBorders>
              <w:top w:val="nil"/>
              <w:left w:val="nil"/>
              <w:bottom w:val="nil"/>
              <w:right w:val="nil"/>
            </w:tcBorders>
          </w:tcPr>
          <w:p w:rsidR="00CD3323" w:rsidRPr="009B641C" w:rsidRDefault="00CD3323" w:rsidP="00CD3323">
            <w:pPr>
              <w:pStyle w:val="Tabletext"/>
              <w:jc w:val="center"/>
              <w:rPr>
                <w:i/>
                <w:lang w:val="en-GB"/>
              </w:rPr>
            </w:pPr>
            <w:r w:rsidRPr="009B641C">
              <w:rPr>
                <w:i/>
                <w:lang w:val="en-GB"/>
              </w:rPr>
              <w:t>255</w:t>
            </w:r>
          </w:p>
        </w:tc>
        <w:tc>
          <w:tcPr>
            <w:tcW w:w="474" w:type="pct"/>
            <w:tcBorders>
              <w:top w:val="nil"/>
              <w:left w:val="nil"/>
              <w:bottom w:val="nil"/>
              <w:right w:val="nil"/>
            </w:tcBorders>
          </w:tcPr>
          <w:p w:rsidR="00CD3323" w:rsidRPr="009B641C" w:rsidRDefault="00CD3323" w:rsidP="00CD3323">
            <w:pPr>
              <w:pStyle w:val="Tabletext"/>
              <w:jc w:val="center"/>
              <w:rPr>
                <w:i/>
                <w:lang w:val="en-GB"/>
              </w:rPr>
            </w:pPr>
            <w:r w:rsidRPr="009B641C">
              <w:rPr>
                <w:i/>
                <w:lang w:val="en-GB"/>
              </w:rPr>
              <w:t>119</w:t>
            </w:r>
          </w:p>
        </w:tc>
        <w:tc>
          <w:tcPr>
            <w:tcW w:w="474" w:type="pct"/>
            <w:tcBorders>
              <w:top w:val="nil"/>
              <w:left w:val="nil"/>
              <w:bottom w:val="nil"/>
            </w:tcBorders>
          </w:tcPr>
          <w:p w:rsidR="00CD3323" w:rsidRPr="009B641C" w:rsidRDefault="00CD3323" w:rsidP="00CD3323">
            <w:pPr>
              <w:pStyle w:val="Tabletext"/>
              <w:jc w:val="center"/>
              <w:rPr>
                <w:i/>
                <w:lang w:val="en-GB"/>
              </w:rPr>
            </w:pPr>
            <w:r w:rsidRPr="009B641C">
              <w:rPr>
                <w:i/>
                <w:lang w:val="en-GB"/>
              </w:rPr>
              <w:t>34</w:t>
            </w:r>
          </w:p>
        </w:tc>
      </w:tr>
      <w:tr w:rsidR="00CD3323" w:rsidRPr="00B07B55" w:rsidTr="00CE17E6">
        <w:trPr>
          <w:cantSplit/>
        </w:trPr>
        <w:tc>
          <w:tcPr>
            <w:tcW w:w="1209" w:type="pct"/>
            <w:tcBorders>
              <w:top w:val="nil"/>
              <w:bottom w:val="nil"/>
              <w:right w:val="nil"/>
            </w:tcBorders>
          </w:tcPr>
          <w:p w:rsidR="00CD3323" w:rsidRPr="009B641C" w:rsidRDefault="00CD3323" w:rsidP="00CD3323">
            <w:pPr>
              <w:pStyle w:val="Tabletext"/>
              <w:spacing w:before="120"/>
              <w:rPr>
                <w:iCs/>
                <w:lang w:val="en-GB"/>
              </w:rPr>
            </w:pPr>
            <w:r w:rsidRPr="009B641C">
              <w:rPr>
                <w:iCs/>
                <w:lang w:val="en-GB"/>
              </w:rPr>
              <w:t>Education level</w:t>
            </w:r>
          </w:p>
        </w:tc>
        <w:tc>
          <w:tcPr>
            <w:tcW w:w="473" w:type="pct"/>
            <w:tcBorders>
              <w:top w:val="nil"/>
              <w:bottom w:val="nil"/>
              <w:right w:val="nil"/>
            </w:tcBorders>
          </w:tcPr>
          <w:p w:rsidR="00CD3323" w:rsidRPr="00B07B55" w:rsidRDefault="00CD3323" w:rsidP="00CD3323">
            <w:pPr>
              <w:pStyle w:val="Tabletext"/>
              <w:spacing w:before="120"/>
              <w:rPr>
                <w:lang w:val="en-GB"/>
              </w:rPr>
            </w:pPr>
          </w:p>
        </w:tc>
        <w:tc>
          <w:tcPr>
            <w:tcW w:w="474" w:type="pct"/>
            <w:tcBorders>
              <w:top w:val="nil"/>
              <w:bottom w:val="nil"/>
              <w:right w:val="nil"/>
            </w:tcBorders>
          </w:tcPr>
          <w:p w:rsidR="00CD3323" w:rsidRPr="00B07B55" w:rsidRDefault="00CD3323" w:rsidP="00CD3323">
            <w:pPr>
              <w:pStyle w:val="Tabletext"/>
              <w:spacing w:before="120"/>
              <w:rPr>
                <w:lang w:val="en-GB"/>
              </w:rPr>
            </w:pPr>
          </w:p>
        </w:tc>
        <w:tc>
          <w:tcPr>
            <w:tcW w:w="474" w:type="pct"/>
            <w:tcBorders>
              <w:top w:val="nil"/>
              <w:bottom w:val="nil"/>
              <w:right w:val="nil"/>
            </w:tcBorders>
          </w:tcPr>
          <w:p w:rsidR="00CD3323" w:rsidRPr="00B07B55" w:rsidRDefault="00CD3323" w:rsidP="00CD3323">
            <w:pPr>
              <w:pStyle w:val="Tabletext"/>
              <w:spacing w:before="120"/>
              <w:rPr>
                <w:lang w:val="en-GB"/>
              </w:rPr>
            </w:pPr>
          </w:p>
        </w:tc>
        <w:tc>
          <w:tcPr>
            <w:tcW w:w="474" w:type="pct"/>
            <w:tcBorders>
              <w:top w:val="nil"/>
              <w:left w:val="nil"/>
              <w:bottom w:val="nil"/>
              <w:right w:val="dashed" w:sz="4" w:space="0" w:color="auto"/>
            </w:tcBorders>
          </w:tcPr>
          <w:p w:rsidR="00CD3323" w:rsidRPr="00B07B55" w:rsidRDefault="00CD3323" w:rsidP="00CD3323">
            <w:pPr>
              <w:pStyle w:val="Tabletext"/>
              <w:spacing w:before="120"/>
              <w:rPr>
                <w:lang w:val="en-GB"/>
              </w:rPr>
            </w:pPr>
          </w:p>
        </w:tc>
        <w:tc>
          <w:tcPr>
            <w:tcW w:w="474" w:type="pct"/>
            <w:tcBorders>
              <w:top w:val="nil"/>
              <w:left w:val="dashed" w:sz="4" w:space="0" w:color="auto"/>
              <w:bottom w:val="nil"/>
              <w:right w:val="nil"/>
            </w:tcBorders>
          </w:tcPr>
          <w:p w:rsidR="00CD3323" w:rsidRPr="00B07B55" w:rsidRDefault="00CD3323" w:rsidP="00CD3323">
            <w:pPr>
              <w:pStyle w:val="Tabletext"/>
              <w:spacing w:before="120"/>
              <w:rPr>
                <w:lang w:val="en-GB"/>
              </w:rPr>
            </w:pPr>
          </w:p>
        </w:tc>
        <w:tc>
          <w:tcPr>
            <w:tcW w:w="474" w:type="pct"/>
            <w:tcBorders>
              <w:top w:val="nil"/>
              <w:left w:val="nil"/>
              <w:bottom w:val="nil"/>
              <w:right w:val="nil"/>
            </w:tcBorders>
          </w:tcPr>
          <w:p w:rsidR="00CD3323" w:rsidRPr="00B07B55" w:rsidRDefault="00CD3323" w:rsidP="00CD3323">
            <w:pPr>
              <w:pStyle w:val="Tabletext"/>
              <w:spacing w:before="120"/>
              <w:rPr>
                <w:lang w:val="en-GB"/>
              </w:rPr>
            </w:pPr>
          </w:p>
        </w:tc>
        <w:tc>
          <w:tcPr>
            <w:tcW w:w="474" w:type="pct"/>
            <w:tcBorders>
              <w:top w:val="nil"/>
              <w:left w:val="nil"/>
              <w:bottom w:val="nil"/>
              <w:right w:val="nil"/>
            </w:tcBorders>
          </w:tcPr>
          <w:p w:rsidR="00CD3323" w:rsidRPr="00B07B55" w:rsidRDefault="00CD3323" w:rsidP="00CD3323">
            <w:pPr>
              <w:pStyle w:val="Tabletext"/>
              <w:spacing w:before="120"/>
              <w:rPr>
                <w:lang w:val="en-GB"/>
              </w:rPr>
            </w:pPr>
          </w:p>
        </w:tc>
        <w:tc>
          <w:tcPr>
            <w:tcW w:w="474" w:type="pct"/>
            <w:tcBorders>
              <w:top w:val="nil"/>
              <w:left w:val="nil"/>
              <w:bottom w:val="nil"/>
            </w:tcBorders>
          </w:tcPr>
          <w:p w:rsidR="00CD3323" w:rsidRPr="00B07B55" w:rsidRDefault="00CD3323" w:rsidP="00CD3323">
            <w:pPr>
              <w:pStyle w:val="Tabletext"/>
              <w:spacing w:before="120"/>
              <w:rPr>
                <w:lang w:val="en-GB"/>
              </w:rPr>
            </w:pPr>
          </w:p>
        </w:tc>
      </w:tr>
      <w:tr w:rsidR="00CD3323" w:rsidRPr="00B07B55" w:rsidTr="00CE17E6">
        <w:trPr>
          <w:cantSplit/>
        </w:trPr>
        <w:tc>
          <w:tcPr>
            <w:tcW w:w="1209" w:type="pct"/>
            <w:tcBorders>
              <w:top w:val="nil"/>
              <w:bottom w:val="nil"/>
              <w:right w:val="nil"/>
            </w:tcBorders>
            <w:tcMar>
              <w:left w:w="170" w:type="dxa"/>
            </w:tcMar>
          </w:tcPr>
          <w:p w:rsidR="00CD3323" w:rsidRPr="00B07B55" w:rsidRDefault="00CD3323" w:rsidP="00CD3323">
            <w:pPr>
              <w:pStyle w:val="Tabletext"/>
              <w:ind w:left="170" w:hanging="170"/>
              <w:rPr>
                <w:lang w:val="en-GB"/>
              </w:rPr>
            </w:pPr>
            <w:r w:rsidRPr="00B07B55">
              <w:rPr>
                <w:lang w:val="en-GB"/>
              </w:rPr>
              <w:t xml:space="preserve">Below </w:t>
            </w:r>
            <w:r w:rsidR="008F2383" w:rsidRPr="00B07B55">
              <w:rPr>
                <w:lang w:val="en-GB"/>
              </w:rPr>
              <w:t xml:space="preserve">Year </w:t>
            </w:r>
            <w:r w:rsidRPr="00B07B55">
              <w:rPr>
                <w:lang w:val="en-GB"/>
              </w:rPr>
              <w:t>10</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3.65</w:t>
            </w:r>
          </w:p>
        </w:tc>
        <w:tc>
          <w:tcPr>
            <w:tcW w:w="474"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7.65</w:t>
            </w:r>
          </w:p>
        </w:tc>
        <w:tc>
          <w:tcPr>
            <w:tcW w:w="474" w:type="pct"/>
            <w:tcBorders>
              <w:top w:val="nil"/>
              <w:bottom w:val="nil"/>
              <w:right w:val="nil"/>
            </w:tcBorders>
          </w:tcPr>
          <w:p w:rsidR="00CD3323" w:rsidRPr="00B07B55" w:rsidRDefault="00CD3323" w:rsidP="00CE17E6">
            <w:pPr>
              <w:pStyle w:val="Tabletext"/>
              <w:tabs>
                <w:tab w:val="decimal" w:pos="312"/>
              </w:tabs>
              <w:rPr>
                <w:lang w:val="en-GB"/>
              </w:rPr>
            </w:pPr>
            <w:r w:rsidRPr="00B07B55">
              <w:rPr>
                <w:lang w:val="en-GB"/>
              </w:rPr>
              <w:t>10.12</w:t>
            </w: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21.78</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r w:rsidRPr="00B07B55">
              <w:rPr>
                <w:lang w:val="en-GB"/>
              </w:rPr>
              <w:t>1.29</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3.37</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1.71</w:t>
            </w:r>
          </w:p>
        </w:tc>
        <w:tc>
          <w:tcPr>
            <w:tcW w:w="474" w:type="pct"/>
            <w:tcBorders>
              <w:top w:val="nil"/>
              <w:left w:val="nil"/>
              <w:bottom w:val="nil"/>
            </w:tcBorders>
          </w:tcPr>
          <w:p w:rsidR="00CD3323" w:rsidRPr="00B07B55" w:rsidRDefault="00CD3323" w:rsidP="00CE17E6">
            <w:pPr>
              <w:pStyle w:val="Tabletext"/>
              <w:tabs>
                <w:tab w:val="decimal" w:pos="284"/>
              </w:tabs>
              <w:rPr>
                <w:lang w:val="en-GB"/>
              </w:rPr>
            </w:pPr>
            <w:r w:rsidRPr="00B07B55">
              <w:rPr>
                <w:lang w:val="en-GB"/>
              </w:rPr>
              <w:t>4.58</w:t>
            </w:r>
          </w:p>
        </w:tc>
      </w:tr>
      <w:tr w:rsidR="00CD3323" w:rsidRPr="00B07B55" w:rsidTr="00CE17E6">
        <w:trPr>
          <w:cantSplit/>
        </w:trPr>
        <w:tc>
          <w:tcPr>
            <w:tcW w:w="1209" w:type="pct"/>
            <w:tcBorders>
              <w:top w:val="nil"/>
              <w:bottom w:val="nil"/>
              <w:right w:val="nil"/>
            </w:tcBorders>
            <w:tcMar>
              <w:left w:w="170" w:type="dxa"/>
            </w:tcMar>
          </w:tcPr>
          <w:p w:rsidR="00CD3323" w:rsidRPr="00B07B55" w:rsidRDefault="00CD3323" w:rsidP="00CD3323">
            <w:pPr>
              <w:pStyle w:val="Tabletext"/>
              <w:ind w:left="170" w:hanging="170"/>
              <w:rPr>
                <w:lang w:val="en-GB"/>
              </w:rPr>
            </w:pPr>
            <w:r>
              <w:rPr>
                <w:lang w:val="en-GB"/>
              </w:rPr>
              <w:t>Year 10</w:t>
            </w:r>
            <w:r>
              <w:rPr>
                <w:sz w:val="17"/>
                <w:szCs w:val="17"/>
                <w:lang w:val="en-GB"/>
              </w:rPr>
              <w:t>–</w:t>
            </w:r>
            <w:r w:rsidRPr="00B07B55">
              <w:rPr>
                <w:lang w:val="en-GB"/>
              </w:rPr>
              <w:t>11 or cert</w:t>
            </w:r>
            <w:r>
              <w:rPr>
                <w:lang w:val="en-GB"/>
              </w:rPr>
              <w:t>.</w:t>
            </w:r>
            <w:r w:rsidRPr="00B07B55">
              <w:rPr>
                <w:lang w:val="en-GB"/>
              </w:rPr>
              <w:t xml:space="preserve"> I/II</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20.01</w:t>
            </w:r>
          </w:p>
        </w:tc>
        <w:tc>
          <w:tcPr>
            <w:tcW w:w="474"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22.96</w:t>
            </w:r>
          </w:p>
        </w:tc>
        <w:tc>
          <w:tcPr>
            <w:tcW w:w="474" w:type="pct"/>
            <w:tcBorders>
              <w:top w:val="nil"/>
              <w:bottom w:val="nil"/>
              <w:right w:val="nil"/>
            </w:tcBorders>
          </w:tcPr>
          <w:p w:rsidR="00CD3323" w:rsidRPr="00B07B55" w:rsidRDefault="00CD3323" w:rsidP="00CE17E6">
            <w:pPr>
              <w:pStyle w:val="Tabletext"/>
              <w:tabs>
                <w:tab w:val="decimal" w:pos="312"/>
              </w:tabs>
              <w:rPr>
                <w:lang w:val="en-GB"/>
              </w:rPr>
            </w:pPr>
            <w:r w:rsidRPr="00B07B55">
              <w:rPr>
                <w:lang w:val="en-GB"/>
              </w:rPr>
              <w:t>22.39</w:t>
            </w: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16.38</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r w:rsidRPr="00B07B55">
              <w:rPr>
                <w:lang w:val="en-GB"/>
              </w:rPr>
              <w:t>14.85</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13.27</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10.74</w:t>
            </w:r>
          </w:p>
        </w:tc>
        <w:tc>
          <w:tcPr>
            <w:tcW w:w="474" w:type="pct"/>
            <w:tcBorders>
              <w:top w:val="nil"/>
              <w:left w:val="nil"/>
              <w:bottom w:val="nil"/>
            </w:tcBorders>
          </w:tcPr>
          <w:p w:rsidR="00CD3323" w:rsidRPr="00B07B55" w:rsidRDefault="00CD3323" w:rsidP="00CE17E6">
            <w:pPr>
              <w:pStyle w:val="Tabletext"/>
              <w:tabs>
                <w:tab w:val="decimal" w:pos="284"/>
              </w:tabs>
              <w:rPr>
                <w:lang w:val="en-GB"/>
              </w:rPr>
            </w:pPr>
            <w:r w:rsidRPr="00B07B55">
              <w:rPr>
                <w:lang w:val="en-GB"/>
              </w:rPr>
              <w:t>8.73</w:t>
            </w:r>
          </w:p>
        </w:tc>
      </w:tr>
      <w:tr w:rsidR="00CD3323" w:rsidRPr="00B07B55" w:rsidTr="00CE17E6">
        <w:trPr>
          <w:cantSplit/>
        </w:trPr>
        <w:tc>
          <w:tcPr>
            <w:tcW w:w="1209" w:type="pct"/>
            <w:tcBorders>
              <w:top w:val="nil"/>
              <w:bottom w:val="nil"/>
              <w:right w:val="nil"/>
            </w:tcBorders>
            <w:tcMar>
              <w:left w:w="170" w:type="dxa"/>
            </w:tcMar>
          </w:tcPr>
          <w:p w:rsidR="00CD3323" w:rsidRPr="00B07B55" w:rsidRDefault="00CD3323" w:rsidP="00CD3323">
            <w:pPr>
              <w:pStyle w:val="Tabletext"/>
              <w:ind w:left="170" w:hanging="170"/>
              <w:rPr>
                <w:lang w:val="en-GB"/>
              </w:rPr>
            </w:pPr>
            <w:r>
              <w:rPr>
                <w:lang w:val="en-GB"/>
              </w:rPr>
              <w:t>Completed Y</w:t>
            </w:r>
            <w:r w:rsidRPr="00B07B55">
              <w:rPr>
                <w:lang w:val="en-GB"/>
              </w:rPr>
              <w:t>ear 12</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16.47</w:t>
            </w:r>
          </w:p>
        </w:tc>
        <w:tc>
          <w:tcPr>
            <w:tcW w:w="474"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11.47</w:t>
            </w:r>
          </w:p>
        </w:tc>
        <w:tc>
          <w:tcPr>
            <w:tcW w:w="474" w:type="pct"/>
            <w:tcBorders>
              <w:top w:val="nil"/>
              <w:bottom w:val="nil"/>
              <w:right w:val="nil"/>
            </w:tcBorders>
          </w:tcPr>
          <w:p w:rsidR="00CD3323" w:rsidRPr="00B07B55" w:rsidRDefault="00CD3323" w:rsidP="00CE17E6">
            <w:pPr>
              <w:pStyle w:val="Tabletext"/>
              <w:tabs>
                <w:tab w:val="decimal" w:pos="312"/>
              </w:tabs>
              <w:rPr>
                <w:lang w:val="en-GB"/>
              </w:rPr>
            </w:pPr>
            <w:r w:rsidRPr="00B07B55">
              <w:rPr>
                <w:lang w:val="en-GB"/>
              </w:rPr>
              <w:t>11.39</w:t>
            </w: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7.85</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r w:rsidRPr="00B07B55">
              <w:rPr>
                <w:lang w:val="en-GB"/>
              </w:rPr>
              <w:t>20.50</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7.61</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15.18</w:t>
            </w:r>
          </w:p>
        </w:tc>
        <w:tc>
          <w:tcPr>
            <w:tcW w:w="474" w:type="pct"/>
            <w:tcBorders>
              <w:top w:val="nil"/>
              <w:left w:val="nil"/>
              <w:bottom w:val="nil"/>
            </w:tcBorders>
          </w:tcPr>
          <w:p w:rsidR="00CD3323" w:rsidRPr="00B07B55" w:rsidRDefault="00CD3323" w:rsidP="00CE17E6">
            <w:pPr>
              <w:pStyle w:val="Tabletext"/>
              <w:tabs>
                <w:tab w:val="decimal" w:pos="284"/>
              </w:tabs>
              <w:rPr>
                <w:lang w:val="en-GB"/>
              </w:rPr>
            </w:pPr>
            <w:r w:rsidRPr="00B07B55">
              <w:rPr>
                <w:lang w:val="en-GB"/>
              </w:rPr>
              <w:t>7.11</w:t>
            </w:r>
          </w:p>
        </w:tc>
      </w:tr>
      <w:tr w:rsidR="00CD3323" w:rsidRPr="00B07B55" w:rsidTr="00CE17E6">
        <w:trPr>
          <w:cantSplit/>
        </w:trPr>
        <w:tc>
          <w:tcPr>
            <w:tcW w:w="1209" w:type="pct"/>
            <w:tcBorders>
              <w:top w:val="nil"/>
              <w:bottom w:val="nil"/>
              <w:right w:val="nil"/>
            </w:tcBorders>
            <w:tcMar>
              <w:left w:w="170" w:type="dxa"/>
            </w:tcMar>
          </w:tcPr>
          <w:p w:rsidR="00CD3323" w:rsidRPr="00B07B55" w:rsidRDefault="00CD3323" w:rsidP="00CD3323">
            <w:pPr>
              <w:pStyle w:val="Tabletext"/>
              <w:ind w:left="170" w:hanging="170"/>
              <w:rPr>
                <w:lang w:val="en-GB"/>
              </w:rPr>
            </w:pPr>
            <w:r w:rsidRPr="00B07B55">
              <w:rPr>
                <w:lang w:val="en-GB"/>
              </w:rPr>
              <w:t>Certificate III/IV</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29.34</w:t>
            </w:r>
          </w:p>
        </w:tc>
        <w:tc>
          <w:tcPr>
            <w:tcW w:w="474"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31.54</w:t>
            </w:r>
          </w:p>
        </w:tc>
        <w:tc>
          <w:tcPr>
            <w:tcW w:w="474" w:type="pct"/>
            <w:tcBorders>
              <w:top w:val="nil"/>
              <w:bottom w:val="nil"/>
              <w:right w:val="nil"/>
            </w:tcBorders>
          </w:tcPr>
          <w:p w:rsidR="00CD3323" w:rsidRPr="00B07B55" w:rsidRDefault="00CD3323" w:rsidP="00CE17E6">
            <w:pPr>
              <w:pStyle w:val="Tabletext"/>
              <w:tabs>
                <w:tab w:val="decimal" w:pos="312"/>
              </w:tabs>
              <w:rPr>
                <w:lang w:val="en-GB"/>
              </w:rPr>
            </w:pPr>
            <w:r w:rsidRPr="00B07B55">
              <w:rPr>
                <w:lang w:val="en-GB"/>
              </w:rPr>
              <w:t>27.65</w:t>
            </w: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28.59</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r w:rsidRPr="00B07B55">
              <w:rPr>
                <w:lang w:val="en-GB"/>
              </w:rPr>
              <w:t>22.07</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33.14</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25.15</w:t>
            </w:r>
          </w:p>
        </w:tc>
        <w:tc>
          <w:tcPr>
            <w:tcW w:w="474" w:type="pct"/>
            <w:tcBorders>
              <w:top w:val="nil"/>
              <w:left w:val="nil"/>
              <w:bottom w:val="nil"/>
            </w:tcBorders>
          </w:tcPr>
          <w:p w:rsidR="00CD3323" w:rsidRPr="00B07B55" w:rsidRDefault="00CD3323" w:rsidP="00CE17E6">
            <w:pPr>
              <w:pStyle w:val="Tabletext"/>
              <w:tabs>
                <w:tab w:val="decimal" w:pos="284"/>
              </w:tabs>
              <w:rPr>
                <w:lang w:val="en-GB"/>
              </w:rPr>
            </w:pPr>
            <w:r w:rsidRPr="00B07B55">
              <w:rPr>
                <w:lang w:val="en-GB"/>
              </w:rPr>
              <w:t>31.49</w:t>
            </w:r>
          </w:p>
        </w:tc>
      </w:tr>
      <w:tr w:rsidR="00CD3323" w:rsidRPr="00B07B55" w:rsidTr="00CE17E6">
        <w:trPr>
          <w:cantSplit/>
        </w:trPr>
        <w:tc>
          <w:tcPr>
            <w:tcW w:w="1209" w:type="pct"/>
            <w:tcBorders>
              <w:top w:val="nil"/>
              <w:bottom w:val="nil"/>
              <w:right w:val="nil"/>
            </w:tcBorders>
            <w:tcMar>
              <w:left w:w="170" w:type="dxa"/>
            </w:tcMar>
          </w:tcPr>
          <w:p w:rsidR="00CD3323" w:rsidRPr="00B07B55" w:rsidRDefault="00CD3323" w:rsidP="00CD3323">
            <w:pPr>
              <w:pStyle w:val="Tabletext"/>
              <w:ind w:left="170" w:hanging="170"/>
              <w:rPr>
                <w:lang w:val="en-GB"/>
              </w:rPr>
            </w:pPr>
            <w:r w:rsidRPr="00B07B55">
              <w:rPr>
                <w:lang w:val="en-GB"/>
              </w:rPr>
              <w:t>Diploma</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8.64</w:t>
            </w:r>
          </w:p>
        </w:tc>
        <w:tc>
          <w:tcPr>
            <w:tcW w:w="474"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10.34</w:t>
            </w:r>
          </w:p>
        </w:tc>
        <w:tc>
          <w:tcPr>
            <w:tcW w:w="474" w:type="pct"/>
            <w:tcBorders>
              <w:top w:val="nil"/>
              <w:bottom w:val="nil"/>
              <w:right w:val="nil"/>
            </w:tcBorders>
          </w:tcPr>
          <w:p w:rsidR="00CD3323" w:rsidRPr="00B07B55" w:rsidRDefault="00CD3323" w:rsidP="00CE17E6">
            <w:pPr>
              <w:pStyle w:val="Tabletext"/>
              <w:tabs>
                <w:tab w:val="decimal" w:pos="312"/>
              </w:tabs>
              <w:rPr>
                <w:lang w:val="en-GB"/>
              </w:rPr>
            </w:pPr>
            <w:r w:rsidRPr="00B07B55">
              <w:rPr>
                <w:lang w:val="en-GB"/>
              </w:rPr>
              <w:t>9.34</w:t>
            </w: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11.39</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r w:rsidRPr="00B07B55">
              <w:rPr>
                <w:lang w:val="en-GB"/>
              </w:rPr>
              <w:t>9.01</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14.25</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13.49</w:t>
            </w:r>
          </w:p>
        </w:tc>
        <w:tc>
          <w:tcPr>
            <w:tcW w:w="474" w:type="pct"/>
            <w:tcBorders>
              <w:top w:val="nil"/>
              <w:left w:val="nil"/>
              <w:bottom w:val="nil"/>
            </w:tcBorders>
          </w:tcPr>
          <w:p w:rsidR="00CD3323" w:rsidRPr="00B07B55" w:rsidRDefault="00CD3323" w:rsidP="00CE17E6">
            <w:pPr>
              <w:pStyle w:val="Tabletext"/>
              <w:tabs>
                <w:tab w:val="decimal" w:pos="284"/>
              </w:tabs>
              <w:rPr>
                <w:lang w:val="en-GB"/>
              </w:rPr>
            </w:pPr>
            <w:r w:rsidRPr="00B07B55">
              <w:rPr>
                <w:lang w:val="en-GB"/>
              </w:rPr>
              <w:t>16.40</w:t>
            </w:r>
          </w:p>
        </w:tc>
      </w:tr>
      <w:tr w:rsidR="00CD3323" w:rsidRPr="00B07B55" w:rsidTr="00CE17E6">
        <w:trPr>
          <w:cantSplit/>
        </w:trPr>
        <w:tc>
          <w:tcPr>
            <w:tcW w:w="1209" w:type="pct"/>
            <w:tcBorders>
              <w:top w:val="nil"/>
              <w:bottom w:val="nil"/>
              <w:right w:val="nil"/>
            </w:tcBorders>
            <w:tcMar>
              <w:left w:w="170" w:type="dxa"/>
            </w:tcMar>
          </w:tcPr>
          <w:p w:rsidR="00CD3323" w:rsidRPr="00B07B55" w:rsidRDefault="00CD3323" w:rsidP="00CD3323">
            <w:pPr>
              <w:pStyle w:val="Tabletext"/>
              <w:ind w:left="170" w:hanging="170"/>
              <w:rPr>
                <w:lang w:val="en-GB"/>
              </w:rPr>
            </w:pPr>
            <w:r w:rsidRPr="00B07B55">
              <w:rPr>
                <w:lang w:val="en-GB"/>
              </w:rPr>
              <w:t>Degree and above</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21.89</w:t>
            </w:r>
          </w:p>
        </w:tc>
        <w:tc>
          <w:tcPr>
            <w:tcW w:w="474"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16.04</w:t>
            </w:r>
          </w:p>
        </w:tc>
        <w:tc>
          <w:tcPr>
            <w:tcW w:w="474" w:type="pct"/>
            <w:tcBorders>
              <w:top w:val="nil"/>
              <w:bottom w:val="nil"/>
              <w:right w:val="nil"/>
            </w:tcBorders>
          </w:tcPr>
          <w:p w:rsidR="00CD3323" w:rsidRPr="00B07B55" w:rsidRDefault="00CD3323" w:rsidP="00CE17E6">
            <w:pPr>
              <w:pStyle w:val="Tabletext"/>
              <w:tabs>
                <w:tab w:val="decimal" w:pos="312"/>
              </w:tabs>
              <w:rPr>
                <w:lang w:val="en-GB"/>
              </w:rPr>
            </w:pPr>
            <w:r w:rsidRPr="00B07B55">
              <w:rPr>
                <w:lang w:val="en-GB"/>
              </w:rPr>
              <w:t>19.11</w:t>
            </w: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14.01</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r w:rsidRPr="00B07B55">
              <w:rPr>
                <w:lang w:val="en-GB"/>
              </w:rPr>
              <w:t>32.28</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28.37</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33.73</w:t>
            </w:r>
          </w:p>
        </w:tc>
        <w:tc>
          <w:tcPr>
            <w:tcW w:w="474" w:type="pct"/>
            <w:tcBorders>
              <w:top w:val="nil"/>
              <w:left w:val="nil"/>
              <w:bottom w:val="nil"/>
            </w:tcBorders>
          </w:tcPr>
          <w:p w:rsidR="00CD3323" w:rsidRPr="00B07B55" w:rsidRDefault="00CD3323" w:rsidP="00CE17E6">
            <w:pPr>
              <w:pStyle w:val="Tabletext"/>
              <w:tabs>
                <w:tab w:val="decimal" w:pos="284"/>
              </w:tabs>
              <w:rPr>
                <w:lang w:val="en-GB"/>
              </w:rPr>
            </w:pPr>
            <w:r w:rsidRPr="00B07B55">
              <w:rPr>
                <w:lang w:val="en-GB"/>
              </w:rPr>
              <w:t>31.68</w:t>
            </w:r>
          </w:p>
        </w:tc>
      </w:tr>
      <w:tr w:rsidR="00CD3323" w:rsidRPr="00B07B55" w:rsidTr="00CE17E6">
        <w:trPr>
          <w:cantSplit/>
        </w:trPr>
        <w:tc>
          <w:tcPr>
            <w:tcW w:w="1209" w:type="pct"/>
            <w:tcBorders>
              <w:top w:val="nil"/>
              <w:bottom w:val="nil"/>
              <w:right w:val="nil"/>
            </w:tcBorders>
          </w:tcPr>
          <w:p w:rsidR="00CD3323" w:rsidRPr="009B641C" w:rsidRDefault="00CD3323" w:rsidP="008F2383">
            <w:pPr>
              <w:pStyle w:val="Tabletext"/>
              <w:rPr>
                <w:iCs/>
                <w:lang w:val="en-GB"/>
              </w:rPr>
            </w:pPr>
            <w:r w:rsidRPr="009B641C">
              <w:rPr>
                <w:iCs/>
                <w:lang w:val="en-GB"/>
              </w:rPr>
              <w:t>Employment status</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p>
        </w:tc>
        <w:tc>
          <w:tcPr>
            <w:tcW w:w="474" w:type="pct"/>
            <w:tcBorders>
              <w:top w:val="nil"/>
              <w:bottom w:val="nil"/>
              <w:right w:val="nil"/>
            </w:tcBorders>
          </w:tcPr>
          <w:p w:rsidR="00CD3323" w:rsidRPr="00B07B55" w:rsidRDefault="00CD3323" w:rsidP="00CE17E6">
            <w:pPr>
              <w:pStyle w:val="Tabletext"/>
              <w:tabs>
                <w:tab w:val="decimal" w:pos="284"/>
              </w:tabs>
              <w:rPr>
                <w:lang w:val="en-GB"/>
              </w:rPr>
            </w:pPr>
          </w:p>
        </w:tc>
        <w:tc>
          <w:tcPr>
            <w:tcW w:w="474" w:type="pct"/>
            <w:tcBorders>
              <w:top w:val="nil"/>
              <w:bottom w:val="nil"/>
              <w:right w:val="nil"/>
            </w:tcBorders>
          </w:tcPr>
          <w:p w:rsidR="00CD3323" w:rsidRPr="00B07B55" w:rsidRDefault="00CD3323" w:rsidP="00CE17E6">
            <w:pPr>
              <w:pStyle w:val="Tabletext"/>
              <w:tabs>
                <w:tab w:val="decimal" w:pos="312"/>
              </w:tabs>
              <w:rPr>
                <w:lang w:val="en-GB"/>
              </w:rPr>
            </w:pP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 </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p>
        </w:tc>
        <w:tc>
          <w:tcPr>
            <w:tcW w:w="474" w:type="pct"/>
            <w:tcBorders>
              <w:top w:val="nil"/>
              <w:left w:val="nil"/>
              <w:bottom w:val="nil"/>
            </w:tcBorders>
          </w:tcPr>
          <w:p w:rsidR="00CD3323" w:rsidRPr="00B07B55" w:rsidRDefault="00CD3323" w:rsidP="00CE17E6">
            <w:pPr>
              <w:pStyle w:val="Tabletext"/>
              <w:tabs>
                <w:tab w:val="decimal" w:pos="284"/>
              </w:tabs>
              <w:rPr>
                <w:lang w:val="en-GB"/>
              </w:rPr>
            </w:pPr>
          </w:p>
        </w:tc>
      </w:tr>
      <w:tr w:rsidR="00CD3323" w:rsidRPr="00B07B55" w:rsidTr="00CE17E6">
        <w:trPr>
          <w:cantSplit/>
        </w:trPr>
        <w:tc>
          <w:tcPr>
            <w:tcW w:w="1209" w:type="pct"/>
            <w:tcBorders>
              <w:top w:val="nil"/>
              <w:bottom w:val="nil"/>
              <w:right w:val="nil"/>
            </w:tcBorders>
            <w:tcMar>
              <w:left w:w="170" w:type="dxa"/>
            </w:tcMar>
          </w:tcPr>
          <w:p w:rsidR="00CD3323" w:rsidRPr="00B07B55" w:rsidRDefault="00CD3323" w:rsidP="00CD3323">
            <w:pPr>
              <w:pStyle w:val="Tabletext"/>
              <w:ind w:left="170" w:hanging="170"/>
              <w:rPr>
                <w:lang w:val="en-GB"/>
              </w:rPr>
            </w:pPr>
            <w:r w:rsidRPr="00B07B55">
              <w:rPr>
                <w:lang w:val="en-GB"/>
              </w:rPr>
              <w:t>Full-time</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86.15</w:t>
            </w:r>
          </w:p>
        </w:tc>
        <w:tc>
          <w:tcPr>
            <w:tcW w:w="474"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82.97</w:t>
            </w:r>
          </w:p>
        </w:tc>
        <w:tc>
          <w:tcPr>
            <w:tcW w:w="474" w:type="pct"/>
            <w:tcBorders>
              <w:top w:val="nil"/>
              <w:bottom w:val="nil"/>
              <w:right w:val="nil"/>
            </w:tcBorders>
          </w:tcPr>
          <w:p w:rsidR="00CD3323" w:rsidRPr="00B07B55" w:rsidRDefault="00CD3323" w:rsidP="00CE17E6">
            <w:pPr>
              <w:pStyle w:val="Tabletext"/>
              <w:tabs>
                <w:tab w:val="decimal" w:pos="312"/>
              </w:tabs>
              <w:rPr>
                <w:lang w:val="en-GB"/>
              </w:rPr>
            </w:pPr>
            <w:r w:rsidRPr="00B07B55">
              <w:rPr>
                <w:lang w:val="en-GB"/>
              </w:rPr>
              <w:t>68.97</w:t>
            </w: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28.82</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r w:rsidRPr="00B07B55">
              <w:rPr>
                <w:lang w:val="en-GB"/>
              </w:rPr>
              <w:t>78.14</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75.52</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76.05</w:t>
            </w:r>
          </w:p>
        </w:tc>
        <w:tc>
          <w:tcPr>
            <w:tcW w:w="474" w:type="pct"/>
            <w:tcBorders>
              <w:top w:val="nil"/>
              <w:left w:val="nil"/>
              <w:bottom w:val="nil"/>
            </w:tcBorders>
          </w:tcPr>
          <w:p w:rsidR="00CD3323" w:rsidRPr="00B07B55" w:rsidRDefault="00CD3323" w:rsidP="00CE17E6">
            <w:pPr>
              <w:pStyle w:val="Tabletext"/>
              <w:tabs>
                <w:tab w:val="decimal" w:pos="284"/>
              </w:tabs>
              <w:rPr>
                <w:lang w:val="en-GB"/>
              </w:rPr>
            </w:pPr>
            <w:r w:rsidRPr="00B07B55">
              <w:rPr>
                <w:lang w:val="en-GB"/>
              </w:rPr>
              <w:t>41.84</w:t>
            </w:r>
          </w:p>
        </w:tc>
      </w:tr>
      <w:tr w:rsidR="00CD3323" w:rsidRPr="00B07B55" w:rsidTr="00CE17E6">
        <w:trPr>
          <w:cantSplit/>
        </w:trPr>
        <w:tc>
          <w:tcPr>
            <w:tcW w:w="1209" w:type="pct"/>
            <w:tcBorders>
              <w:top w:val="nil"/>
              <w:bottom w:val="nil"/>
              <w:right w:val="nil"/>
            </w:tcBorders>
            <w:tcMar>
              <w:left w:w="170" w:type="dxa"/>
            </w:tcMar>
          </w:tcPr>
          <w:p w:rsidR="00CD3323" w:rsidRPr="00B07B55" w:rsidRDefault="00CD3323" w:rsidP="00CD3323">
            <w:pPr>
              <w:pStyle w:val="Tabletext"/>
              <w:ind w:left="170" w:hanging="170"/>
              <w:rPr>
                <w:lang w:val="en-GB"/>
              </w:rPr>
            </w:pPr>
            <w:r w:rsidRPr="00B07B55">
              <w:rPr>
                <w:lang w:val="en-GB"/>
              </w:rPr>
              <w:t>Part-time</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5.00</w:t>
            </w:r>
          </w:p>
        </w:tc>
        <w:tc>
          <w:tcPr>
            <w:tcW w:w="474"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5.53</w:t>
            </w:r>
          </w:p>
        </w:tc>
        <w:tc>
          <w:tcPr>
            <w:tcW w:w="474" w:type="pct"/>
            <w:tcBorders>
              <w:top w:val="nil"/>
              <w:bottom w:val="nil"/>
              <w:right w:val="nil"/>
            </w:tcBorders>
          </w:tcPr>
          <w:p w:rsidR="00CD3323" w:rsidRPr="00B07B55" w:rsidRDefault="00CD3323" w:rsidP="00CE17E6">
            <w:pPr>
              <w:pStyle w:val="Tabletext"/>
              <w:tabs>
                <w:tab w:val="decimal" w:pos="312"/>
              </w:tabs>
              <w:rPr>
                <w:lang w:val="en-GB"/>
              </w:rPr>
            </w:pPr>
            <w:r w:rsidRPr="00B07B55">
              <w:rPr>
                <w:lang w:val="en-GB"/>
              </w:rPr>
              <w:t>10.05</w:t>
            </w: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16.92</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r w:rsidRPr="00B07B55">
              <w:rPr>
                <w:lang w:val="en-GB"/>
              </w:rPr>
              <w:t>11.42</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9.89</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6.97</w:t>
            </w:r>
          </w:p>
        </w:tc>
        <w:tc>
          <w:tcPr>
            <w:tcW w:w="474" w:type="pct"/>
            <w:tcBorders>
              <w:top w:val="nil"/>
              <w:left w:val="nil"/>
              <w:bottom w:val="nil"/>
            </w:tcBorders>
          </w:tcPr>
          <w:p w:rsidR="00CD3323" w:rsidRPr="00B07B55" w:rsidRDefault="00CD3323" w:rsidP="00CE17E6">
            <w:pPr>
              <w:pStyle w:val="Tabletext"/>
              <w:tabs>
                <w:tab w:val="decimal" w:pos="284"/>
              </w:tabs>
              <w:rPr>
                <w:lang w:val="en-GB"/>
              </w:rPr>
            </w:pPr>
            <w:r w:rsidRPr="00B07B55">
              <w:rPr>
                <w:lang w:val="en-GB"/>
              </w:rPr>
              <w:t>16.00</w:t>
            </w:r>
          </w:p>
        </w:tc>
      </w:tr>
      <w:tr w:rsidR="00CD3323" w:rsidRPr="00B07B55" w:rsidTr="00CE17E6">
        <w:trPr>
          <w:cantSplit/>
        </w:trPr>
        <w:tc>
          <w:tcPr>
            <w:tcW w:w="1209" w:type="pct"/>
            <w:tcBorders>
              <w:top w:val="nil"/>
              <w:bottom w:val="nil"/>
              <w:right w:val="nil"/>
            </w:tcBorders>
            <w:tcMar>
              <w:left w:w="170" w:type="dxa"/>
            </w:tcMar>
          </w:tcPr>
          <w:p w:rsidR="00CD3323" w:rsidRPr="00B07B55" w:rsidRDefault="00CD3323" w:rsidP="00CD3323">
            <w:pPr>
              <w:pStyle w:val="Tabletext"/>
              <w:ind w:left="170" w:hanging="170"/>
              <w:rPr>
                <w:lang w:val="en-GB"/>
              </w:rPr>
            </w:pPr>
            <w:r w:rsidRPr="00B07B55">
              <w:rPr>
                <w:lang w:val="en-GB"/>
              </w:rPr>
              <w:t>Unemployed</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1.99</w:t>
            </w:r>
          </w:p>
        </w:tc>
        <w:tc>
          <w:tcPr>
            <w:tcW w:w="474"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1.79</w:t>
            </w:r>
          </w:p>
        </w:tc>
        <w:tc>
          <w:tcPr>
            <w:tcW w:w="474" w:type="pct"/>
            <w:tcBorders>
              <w:top w:val="nil"/>
              <w:bottom w:val="nil"/>
              <w:right w:val="nil"/>
            </w:tcBorders>
          </w:tcPr>
          <w:p w:rsidR="00CD3323" w:rsidRPr="00B07B55" w:rsidRDefault="00CD3323" w:rsidP="00CE17E6">
            <w:pPr>
              <w:pStyle w:val="Tabletext"/>
              <w:tabs>
                <w:tab w:val="decimal" w:pos="312"/>
              </w:tabs>
              <w:rPr>
                <w:lang w:val="en-GB"/>
              </w:rPr>
            </w:pPr>
            <w:r w:rsidRPr="00B07B55">
              <w:rPr>
                <w:lang w:val="en-GB"/>
              </w:rPr>
              <w:t>1.75</w:t>
            </w: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1.70</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r w:rsidRPr="00B07B55">
              <w:rPr>
                <w:lang w:val="en-GB"/>
              </w:rPr>
              <w:t>4.31</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6.97</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5.92</w:t>
            </w:r>
          </w:p>
        </w:tc>
        <w:tc>
          <w:tcPr>
            <w:tcW w:w="474" w:type="pct"/>
            <w:tcBorders>
              <w:top w:val="nil"/>
              <w:left w:val="nil"/>
              <w:bottom w:val="nil"/>
            </w:tcBorders>
          </w:tcPr>
          <w:p w:rsidR="00CD3323" w:rsidRPr="00B07B55" w:rsidRDefault="00CD3323" w:rsidP="00CE17E6">
            <w:pPr>
              <w:pStyle w:val="Tabletext"/>
              <w:tabs>
                <w:tab w:val="decimal" w:pos="284"/>
              </w:tabs>
              <w:rPr>
                <w:lang w:val="en-GB"/>
              </w:rPr>
            </w:pPr>
            <w:r w:rsidRPr="00B07B55">
              <w:rPr>
                <w:lang w:val="en-GB"/>
              </w:rPr>
              <w:t>10.52</w:t>
            </w:r>
          </w:p>
        </w:tc>
      </w:tr>
      <w:tr w:rsidR="00CD3323" w:rsidRPr="00B07B55" w:rsidTr="00CE17E6">
        <w:trPr>
          <w:cantSplit/>
        </w:trPr>
        <w:tc>
          <w:tcPr>
            <w:tcW w:w="1209" w:type="pct"/>
            <w:tcBorders>
              <w:top w:val="nil"/>
              <w:bottom w:val="nil"/>
              <w:right w:val="nil"/>
            </w:tcBorders>
            <w:tcMar>
              <w:left w:w="170" w:type="dxa"/>
            </w:tcMar>
          </w:tcPr>
          <w:p w:rsidR="00CD3323" w:rsidRPr="00B07B55" w:rsidRDefault="00CD3323" w:rsidP="00CD3323">
            <w:pPr>
              <w:pStyle w:val="Tabletext"/>
              <w:ind w:left="170" w:hanging="170"/>
              <w:rPr>
                <w:lang w:val="en-GB"/>
              </w:rPr>
            </w:pPr>
            <w:r w:rsidRPr="00B07B55">
              <w:rPr>
                <w:lang w:val="en-GB"/>
              </w:rPr>
              <w:t>Not in the labour force</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6.85</w:t>
            </w:r>
          </w:p>
        </w:tc>
        <w:tc>
          <w:tcPr>
            <w:tcW w:w="474"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9.71</w:t>
            </w:r>
          </w:p>
        </w:tc>
        <w:tc>
          <w:tcPr>
            <w:tcW w:w="474" w:type="pct"/>
            <w:tcBorders>
              <w:top w:val="nil"/>
              <w:bottom w:val="nil"/>
              <w:right w:val="nil"/>
            </w:tcBorders>
          </w:tcPr>
          <w:p w:rsidR="00CD3323" w:rsidRPr="00B07B55" w:rsidRDefault="00CD3323" w:rsidP="00CE17E6">
            <w:pPr>
              <w:pStyle w:val="Tabletext"/>
              <w:tabs>
                <w:tab w:val="decimal" w:pos="312"/>
              </w:tabs>
              <w:rPr>
                <w:lang w:val="en-GB"/>
              </w:rPr>
            </w:pPr>
            <w:r w:rsidRPr="00B07B55">
              <w:rPr>
                <w:lang w:val="en-GB"/>
              </w:rPr>
              <w:t>19.23</w:t>
            </w: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52.55</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r w:rsidRPr="00B07B55">
              <w:rPr>
                <w:lang w:val="en-GB"/>
              </w:rPr>
              <w:t>6.13</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7.62</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11.06</w:t>
            </w:r>
          </w:p>
        </w:tc>
        <w:tc>
          <w:tcPr>
            <w:tcW w:w="474" w:type="pct"/>
            <w:tcBorders>
              <w:top w:val="nil"/>
              <w:left w:val="nil"/>
              <w:bottom w:val="nil"/>
            </w:tcBorders>
          </w:tcPr>
          <w:p w:rsidR="00CD3323" w:rsidRPr="00B07B55" w:rsidRDefault="00CD3323" w:rsidP="00CE17E6">
            <w:pPr>
              <w:pStyle w:val="Tabletext"/>
              <w:tabs>
                <w:tab w:val="decimal" w:pos="284"/>
              </w:tabs>
              <w:rPr>
                <w:lang w:val="en-GB"/>
              </w:rPr>
            </w:pPr>
            <w:r w:rsidRPr="00B07B55">
              <w:rPr>
                <w:lang w:val="en-GB"/>
              </w:rPr>
              <w:t>31.64</w:t>
            </w:r>
          </w:p>
        </w:tc>
      </w:tr>
      <w:tr w:rsidR="00CD3323" w:rsidRPr="00B07B55" w:rsidTr="00CE17E6">
        <w:trPr>
          <w:cantSplit/>
        </w:trPr>
        <w:tc>
          <w:tcPr>
            <w:tcW w:w="1209" w:type="pct"/>
            <w:tcBorders>
              <w:top w:val="nil"/>
              <w:bottom w:val="nil"/>
              <w:right w:val="nil"/>
            </w:tcBorders>
          </w:tcPr>
          <w:p w:rsidR="00CD3323" w:rsidRPr="00CD3323" w:rsidRDefault="00CD3323" w:rsidP="00CD3323">
            <w:pPr>
              <w:pStyle w:val="Tabletext"/>
              <w:spacing w:before="120"/>
              <w:rPr>
                <w:b/>
                <w:lang w:val="en-GB"/>
              </w:rPr>
            </w:pPr>
            <w:r w:rsidRPr="00CD3323">
              <w:rPr>
                <w:b/>
                <w:lang w:val="en-GB"/>
              </w:rPr>
              <w:t>Females</w:t>
            </w:r>
          </w:p>
        </w:tc>
        <w:tc>
          <w:tcPr>
            <w:tcW w:w="473" w:type="pct"/>
            <w:tcBorders>
              <w:top w:val="nil"/>
              <w:bottom w:val="nil"/>
              <w:right w:val="nil"/>
            </w:tcBorders>
          </w:tcPr>
          <w:p w:rsidR="00CD3323" w:rsidRPr="00B07B55" w:rsidRDefault="00CD3323" w:rsidP="00CD3323">
            <w:pPr>
              <w:pStyle w:val="Tabletext"/>
              <w:spacing w:before="120"/>
              <w:rPr>
                <w:lang w:val="en-GB"/>
              </w:rPr>
            </w:pPr>
          </w:p>
        </w:tc>
        <w:tc>
          <w:tcPr>
            <w:tcW w:w="474" w:type="pct"/>
            <w:tcBorders>
              <w:top w:val="nil"/>
              <w:bottom w:val="nil"/>
              <w:right w:val="nil"/>
            </w:tcBorders>
          </w:tcPr>
          <w:p w:rsidR="00CD3323" w:rsidRPr="00B07B55" w:rsidRDefault="00CD3323" w:rsidP="00CD3323">
            <w:pPr>
              <w:pStyle w:val="Tabletext"/>
              <w:spacing w:before="120"/>
              <w:rPr>
                <w:lang w:val="en-GB"/>
              </w:rPr>
            </w:pPr>
          </w:p>
        </w:tc>
        <w:tc>
          <w:tcPr>
            <w:tcW w:w="474" w:type="pct"/>
            <w:tcBorders>
              <w:top w:val="nil"/>
              <w:bottom w:val="nil"/>
              <w:right w:val="nil"/>
            </w:tcBorders>
          </w:tcPr>
          <w:p w:rsidR="00CD3323" w:rsidRPr="00B07B55" w:rsidRDefault="00CD3323" w:rsidP="00CD3323">
            <w:pPr>
              <w:pStyle w:val="Tabletext"/>
              <w:spacing w:before="120"/>
              <w:rPr>
                <w:lang w:val="en-GB"/>
              </w:rPr>
            </w:pPr>
          </w:p>
        </w:tc>
        <w:tc>
          <w:tcPr>
            <w:tcW w:w="474" w:type="pct"/>
            <w:tcBorders>
              <w:top w:val="nil"/>
              <w:left w:val="nil"/>
              <w:bottom w:val="nil"/>
              <w:right w:val="dashed" w:sz="4" w:space="0" w:color="auto"/>
            </w:tcBorders>
          </w:tcPr>
          <w:p w:rsidR="00CD3323" w:rsidRPr="00B07B55" w:rsidRDefault="00CD3323" w:rsidP="00CD3323">
            <w:pPr>
              <w:pStyle w:val="Tabletext"/>
              <w:spacing w:before="120"/>
              <w:rPr>
                <w:lang w:val="en-GB"/>
              </w:rPr>
            </w:pPr>
            <w:r w:rsidRPr="00B07B55">
              <w:rPr>
                <w:lang w:val="en-GB"/>
              </w:rPr>
              <w:t> </w:t>
            </w:r>
          </w:p>
        </w:tc>
        <w:tc>
          <w:tcPr>
            <w:tcW w:w="474" w:type="pct"/>
            <w:tcBorders>
              <w:top w:val="nil"/>
              <w:left w:val="dashed" w:sz="4" w:space="0" w:color="auto"/>
              <w:bottom w:val="nil"/>
              <w:right w:val="nil"/>
            </w:tcBorders>
          </w:tcPr>
          <w:p w:rsidR="00CD3323" w:rsidRPr="00B07B55" w:rsidRDefault="00CD3323" w:rsidP="00CD3323">
            <w:pPr>
              <w:pStyle w:val="Tabletext"/>
              <w:spacing w:before="120"/>
              <w:rPr>
                <w:lang w:val="en-GB"/>
              </w:rPr>
            </w:pPr>
          </w:p>
        </w:tc>
        <w:tc>
          <w:tcPr>
            <w:tcW w:w="474" w:type="pct"/>
            <w:tcBorders>
              <w:top w:val="nil"/>
              <w:left w:val="nil"/>
              <w:bottom w:val="nil"/>
              <w:right w:val="nil"/>
            </w:tcBorders>
          </w:tcPr>
          <w:p w:rsidR="00CD3323" w:rsidRPr="00B07B55" w:rsidRDefault="00CD3323" w:rsidP="00CD3323">
            <w:pPr>
              <w:pStyle w:val="Tabletext"/>
              <w:spacing w:before="120"/>
              <w:rPr>
                <w:lang w:val="en-GB"/>
              </w:rPr>
            </w:pPr>
          </w:p>
        </w:tc>
        <w:tc>
          <w:tcPr>
            <w:tcW w:w="474" w:type="pct"/>
            <w:tcBorders>
              <w:top w:val="nil"/>
              <w:left w:val="nil"/>
              <w:bottom w:val="nil"/>
              <w:right w:val="nil"/>
            </w:tcBorders>
          </w:tcPr>
          <w:p w:rsidR="00CD3323" w:rsidRPr="00B07B55" w:rsidRDefault="00CD3323" w:rsidP="00CD3323">
            <w:pPr>
              <w:pStyle w:val="Tabletext"/>
              <w:spacing w:before="120"/>
              <w:rPr>
                <w:lang w:val="en-GB"/>
              </w:rPr>
            </w:pPr>
          </w:p>
        </w:tc>
        <w:tc>
          <w:tcPr>
            <w:tcW w:w="474" w:type="pct"/>
            <w:tcBorders>
              <w:top w:val="nil"/>
              <w:left w:val="nil"/>
              <w:bottom w:val="nil"/>
            </w:tcBorders>
          </w:tcPr>
          <w:p w:rsidR="00CD3323" w:rsidRPr="00B07B55" w:rsidRDefault="00CD3323" w:rsidP="00CD3323">
            <w:pPr>
              <w:pStyle w:val="Tabletext"/>
              <w:spacing w:before="120"/>
              <w:rPr>
                <w:lang w:val="en-GB"/>
              </w:rPr>
            </w:pPr>
          </w:p>
        </w:tc>
      </w:tr>
      <w:tr w:rsidR="00CD3323" w:rsidRPr="009B641C" w:rsidTr="00CE17E6">
        <w:trPr>
          <w:cantSplit/>
        </w:trPr>
        <w:tc>
          <w:tcPr>
            <w:tcW w:w="1209" w:type="pct"/>
            <w:tcBorders>
              <w:top w:val="nil"/>
              <w:bottom w:val="nil"/>
              <w:right w:val="nil"/>
            </w:tcBorders>
          </w:tcPr>
          <w:p w:rsidR="00CD3323" w:rsidRPr="009B641C" w:rsidRDefault="00CD3323" w:rsidP="00CD3323">
            <w:pPr>
              <w:pStyle w:val="Tabletext"/>
              <w:rPr>
                <w:i/>
                <w:iCs/>
                <w:lang w:val="en-GB"/>
              </w:rPr>
            </w:pPr>
            <w:r w:rsidRPr="009B641C">
              <w:rPr>
                <w:i/>
                <w:lang w:val="en-GB"/>
              </w:rPr>
              <w:t>Observations</w:t>
            </w:r>
          </w:p>
        </w:tc>
        <w:tc>
          <w:tcPr>
            <w:tcW w:w="473" w:type="pct"/>
            <w:tcBorders>
              <w:top w:val="nil"/>
              <w:bottom w:val="nil"/>
              <w:right w:val="nil"/>
            </w:tcBorders>
          </w:tcPr>
          <w:p w:rsidR="00CD3323" w:rsidRPr="009B641C" w:rsidRDefault="00CD3323" w:rsidP="00CD3323">
            <w:pPr>
              <w:pStyle w:val="Tabletext"/>
              <w:jc w:val="center"/>
              <w:rPr>
                <w:i/>
                <w:lang w:val="en-GB"/>
              </w:rPr>
            </w:pPr>
            <w:r w:rsidRPr="009B641C">
              <w:rPr>
                <w:i/>
                <w:lang w:val="en-GB"/>
              </w:rPr>
              <w:t>412</w:t>
            </w:r>
          </w:p>
        </w:tc>
        <w:tc>
          <w:tcPr>
            <w:tcW w:w="474" w:type="pct"/>
            <w:tcBorders>
              <w:top w:val="nil"/>
              <w:bottom w:val="nil"/>
              <w:right w:val="nil"/>
            </w:tcBorders>
          </w:tcPr>
          <w:p w:rsidR="00CD3323" w:rsidRPr="009B641C" w:rsidRDefault="00CD3323" w:rsidP="00CD3323">
            <w:pPr>
              <w:pStyle w:val="Tabletext"/>
              <w:jc w:val="center"/>
              <w:rPr>
                <w:i/>
                <w:lang w:val="en-GB"/>
              </w:rPr>
            </w:pPr>
            <w:r w:rsidRPr="009B641C">
              <w:rPr>
                <w:i/>
                <w:lang w:val="en-GB"/>
              </w:rPr>
              <w:t>622</w:t>
            </w:r>
          </w:p>
        </w:tc>
        <w:tc>
          <w:tcPr>
            <w:tcW w:w="474" w:type="pct"/>
            <w:tcBorders>
              <w:top w:val="nil"/>
              <w:bottom w:val="nil"/>
              <w:right w:val="nil"/>
            </w:tcBorders>
          </w:tcPr>
          <w:p w:rsidR="00CD3323" w:rsidRPr="009B641C" w:rsidRDefault="00CD3323" w:rsidP="00CD3323">
            <w:pPr>
              <w:pStyle w:val="Tabletext"/>
              <w:jc w:val="center"/>
              <w:rPr>
                <w:i/>
                <w:lang w:val="en-GB"/>
              </w:rPr>
            </w:pPr>
            <w:r w:rsidRPr="009B641C">
              <w:rPr>
                <w:i/>
                <w:lang w:val="en-GB"/>
              </w:rPr>
              <w:t>622</w:t>
            </w:r>
          </w:p>
        </w:tc>
        <w:tc>
          <w:tcPr>
            <w:tcW w:w="474" w:type="pct"/>
            <w:tcBorders>
              <w:top w:val="nil"/>
              <w:left w:val="nil"/>
              <w:bottom w:val="nil"/>
              <w:right w:val="dashed" w:sz="4" w:space="0" w:color="auto"/>
            </w:tcBorders>
          </w:tcPr>
          <w:p w:rsidR="00CD3323" w:rsidRPr="009B641C" w:rsidRDefault="00CD3323" w:rsidP="00CD3323">
            <w:pPr>
              <w:pStyle w:val="Tabletext"/>
              <w:jc w:val="center"/>
              <w:rPr>
                <w:i/>
                <w:lang w:val="en-GB"/>
              </w:rPr>
            </w:pPr>
            <w:r w:rsidRPr="009B641C">
              <w:rPr>
                <w:i/>
                <w:lang w:val="en-GB"/>
              </w:rPr>
              <w:t>510</w:t>
            </w:r>
          </w:p>
        </w:tc>
        <w:tc>
          <w:tcPr>
            <w:tcW w:w="474" w:type="pct"/>
            <w:tcBorders>
              <w:top w:val="nil"/>
              <w:left w:val="dashed" w:sz="4" w:space="0" w:color="auto"/>
              <w:bottom w:val="nil"/>
              <w:right w:val="nil"/>
            </w:tcBorders>
          </w:tcPr>
          <w:p w:rsidR="00CD3323" w:rsidRPr="009B641C" w:rsidRDefault="00CD3323" w:rsidP="00CD3323">
            <w:pPr>
              <w:pStyle w:val="Tabletext"/>
              <w:jc w:val="center"/>
              <w:rPr>
                <w:i/>
                <w:lang w:val="en-GB"/>
              </w:rPr>
            </w:pPr>
            <w:r w:rsidRPr="009B641C">
              <w:rPr>
                <w:i/>
                <w:lang w:val="en-GB"/>
              </w:rPr>
              <w:t>367</w:t>
            </w:r>
          </w:p>
        </w:tc>
        <w:tc>
          <w:tcPr>
            <w:tcW w:w="474" w:type="pct"/>
            <w:tcBorders>
              <w:top w:val="nil"/>
              <w:left w:val="nil"/>
              <w:bottom w:val="nil"/>
              <w:right w:val="nil"/>
            </w:tcBorders>
          </w:tcPr>
          <w:p w:rsidR="00CD3323" w:rsidRPr="009B641C" w:rsidRDefault="00CD3323" w:rsidP="00CD3323">
            <w:pPr>
              <w:pStyle w:val="Tabletext"/>
              <w:jc w:val="center"/>
              <w:rPr>
                <w:i/>
                <w:lang w:val="en-GB"/>
              </w:rPr>
            </w:pPr>
            <w:r w:rsidRPr="009B641C">
              <w:rPr>
                <w:i/>
                <w:lang w:val="en-GB"/>
              </w:rPr>
              <w:t>371</w:t>
            </w:r>
          </w:p>
        </w:tc>
        <w:tc>
          <w:tcPr>
            <w:tcW w:w="474" w:type="pct"/>
            <w:tcBorders>
              <w:top w:val="nil"/>
              <w:left w:val="nil"/>
              <w:bottom w:val="nil"/>
              <w:right w:val="nil"/>
            </w:tcBorders>
          </w:tcPr>
          <w:p w:rsidR="00CD3323" w:rsidRPr="009B641C" w:rsidRDefault="00CD3323" w:rsidP="00CD3323">
            <w:pPr>
              <w:pStyle w:val="Tabletext"/>
              <w:jc w:val="center"/>
              <w:rPr>
                <w:i/>
                <w:lang w:val="en-GB"/>
              </w:rPr>
            </w:pPr>
            <w:r w:rsidRPr="009B641C">
              <w:rPr>
                <w:i/>
                <w:lang w:val="en-GB"/>
              </w:rPr>
              <w:t>180</w:t>
            </w:r>
          </w:p>
        </w:tc>
        <w:tc>
          <w:tcPr>
            <w:tcW w:w="474" w:type="pct"/>
            <w:tcBorders>
              <w:top w:val="nil"/>
              <w:left w:val="nil"/>
              <w:bottom w:val="nil"/>
            </w:tcBorders>
          </w:tcPr>
          <w:p w:rsidR="00CD3323" w:rsidRPr="009B641C" w:rsidRDefault="00CD3323" w:rsidP="00CD3323">
            <w:pPr>
              <w:pStyle w:val="Tabletext"/>
              <w:jc w:val="center"/>
              <w:rPr>
                <w:i/>
                <w:lang w:val="en-GB"/>
              </w:rPr>
            </w:pPr>
            <w:r w:rsidRPr="009B641C">
              <w:rPr>
                <w:i/>
                <w:lang w:val="en-GB"/>
              </w:rPr>
              <w:t>54</w:t>
            </w:r>
          </w:p>
        </w:tc>
      </w:tr>
      <w:tr w:rsidR="00CD3323" w:rsidRPr="00B07B55" w:rsidTr="00CE17E6">
        <w:trPr>
          <w:cantSplit/>
        </w:trPr>
        <w:tc>
          <w:tcPr>
            <w:tcW w:w="1209" w:type="pct"/>
            <w:tcBorders>
              <w:top w:val="nil"/>
              <w:bottom w:val="nil"/>
              <w:right w:val="nil"/>
            </w:tcBorders>
          </w:tcPr>
          <w:p w:rsidR="00CD3323" w:rsidRPr="009B641C" w:rsidRDefault="00CD3323" w:rsidP="00CD3323">
            <w:pPr>
              <w:pStyle w:val="Tabletext"/>
              <w:spacing w:before="120"/>
              <w:rPr>
                <w:iCs/>
                <w:lang w:val="en-GB"/>
              </w:rPr>
            </w:pPr>
            <w:r w:rsidRPr="009B641C">
              <w:rPr>
                <w:iCs/>
                <w:lang w:val="en-GB"/>
              </w:rPr>
              <w:t>Education level</w:t>
            </w:r>
          </w:p>
        </w:tc>
        <w:tc>
          <w:tcPr>
            <w:tcW w:w="473" w:type="pct"/>
            <w:tcBorders>
              <w:top w:val="nil"/>
              <w:bottom w:val="nil"/>
              <w:right w:val="nil"/>
            </w:tcBorders>
          </w:tcPr>
          <w:p w:rsidR="00CD3323" w:rsidRPr="00B07B55" w:rsidRDefault="00CD3323" w:rsidP="00CD3323">
            <w:pPr>
              <w:pStyle w:val="Tabletext"/>
              <w:spacing w:before="120"/>
              <w:rPr>
                <w:lang w:val="en-GB"/>
              </w:rPr>
            </w:pPr>
          </w:p>
        </w:tc>
        <w:tc>
          <w:tcPr>
            <w:tcW w:w="474" w:type="pct"/>
            <w:tcBorders>
              <w:top w:val="nil"/>
              <w:bottom w:val="nil"/>
              <w:right w:val="nil"/>
            </w:tcBorders>
          </w:tcPr>
          <w:p w:rsidR="00CD3323" w:rsidRPr="00B07B55" w:rsidRDefault="00CD3323" w:rsidP="00CD3323">
            <w:pPr>
              <w:pStyle w:val="Tabletext"/>
              <w:spacing w:before="120"/>
              <w:rPr>
                <w:lang w:val="en-GB"/>
              </w:rPr>
            </w:pPr>
          </w:p>
        </w:tc>
        <w:tc>
          <w:tcPr>
            <w:tcW w:w="474" w:type="pct"/>
            <w:tcBorders>
              <w:top w:val="nil"/>
              <w:bottom w:val="nil"/>
              <w:right w:val="nil"/>
            </w:tcBorders>
          </w:tcPr>
          <w:p w:rsidR="00CD3323" w:rsidRPr="00B07B55" w:rsidRDefault="00CD3323" w:rsidP="00CD3323">
            <w:pPr>
              <w:pStyle w:val="Tabletext"/>
              <w:spacing w:before="120"/>
              <w:rPr>
                <w:lang w:val="en-GB"/>
              </w:rPr>
            </w:pPr>
          </w:p>
        </w:tc>
        <w:tc>
          <w:tcPr>
            <w:tcW w:w="474" w:type="pct"/>
            <w:tcBorders>
              <w:top w:val="nil"/>
              <w:left w:val="nil"/>
              <w:bottom w:val="nil"/>
              <w:right w:val="dashed" w:sz="4" w:space="0" w:color="auto"/>
            </w:tcBorders>
          </w:tcPr>
          <w:p w:rsidR="00CD3323" w:rsidRPr="00B07B55" w:rsidRDefault="00CD3323" w:rsidP="00CD3323">
            <w:pPr>
              <w:pStyle w:val="Tabletext"/>
              <w:spacing w:before="120"/>
              <w:rPr>
                <w:lang w:val="en-GB"/>
              </w:rPr>
            </w:pPr>
            <w:r w:rsidRPr="00B07B55">
              <w:rPr>
                <w:lang w:val="en-GB"/>
              </w:rPr>
              <w:t> </w:t>
            </w:r>
          </w:p>
        </w:tc>
        <w:tc>
          <w:tcPr>
            <w:tcW w:w="474" w:type="pct"/>
            <w:tcBorders>
              <w:top w:val="nil"/>
              <w:left w:val="dashed" w:sz="4" w:space="0" w:color="auto"/>
              <w:bottom w:val="nil"/>
              <w:right w:val="nil"/>
            </w:tcBorders>
          </w:tcPr>
          <w:p w:rsidR="00CD3323" w:rsidRPr="00B07B55" w:rsidRDefault="00CD3323" w:rsidP="00CD3323">
            <w:pPr>
              <w:pStyle w:val="Tabletext"/>
              <w:spacing w:before="120"/>
              <w:rPr>
                <w:lang w:val="en-GB"/>
              </w:rPr>
            </w:pPr>
          </w:p>
        </w:tc>
        <w:tc>
          <w:tcPr>
            <w:tcW w:w="474" w:type="pct"/>
            <w:tcBorders>
              <w:top w:val="nil"/>
              <w:left w:val="nil"/>
              <w:bottom w:val="nil"/>
              <w:right w:val="nil"/>
            </w:tcBorders>
          </w:tcPr>
          <w:p w:rsidR="00CD3323" w:rsidRPr="00B07B55" w:rsidRDefault="00CD3323" w:rsidP="00CD3323">
            <w:pPr>
              <w:pStyle w:val="Tabletext"/>
              <w:spacing w:before="120"/>
              <w:rPr>
                <w:lang w:val="en-GB"/>
              </w:rPr>
            </w:pPr>
          </w:p>
        </w:tc>
        <w:tc>
          <w:tcPr>
            <w:tcW w:w="474" w:type="pct"/>
            <w:tcBorders>
              <w:top w:val="nil"/>
              <w:left w:val="nil"/>
              <w:bottom w:val="nil"/>
              <w:right w:val="nil"/>
            </w:tcBorders>
          </w:tcPr>
          <w:p w:rsidR="00CD3323" w:rsidRPr="00B07B55" w:rsidRDefault="00CD3323" w:rsidP="00CD3323">
            <w:pPr>
              <w:pStyle w:val="Tabletext"/>
              <w:spacing w:before="120"/>
              <w:rPr>
                <w:lang w:val="en-GB"/>
              </w:rPr>
            </w:pPr>
          </w:p>
        </w:tc>
        <w:tc>
          <w:tcPr>
            <w:tcW w:w="474" w:type="pct"/>
            <w:tcBorders>
              <w:top w:val="nil"/>
              <w:left w:val="nil"/>
              <w:bottom w:val="nil"/>
            </w:tcBorders>
          </w:tcPr>
          <w:p w:rsidR="00CD3323" w:rsidRPr="00B07B55" w:rsidRDefault="00CD3323" w:rsidP="00CD3323">
            <w:pPr>
              <w:pStyle w:val="Tabletext"/>
              <w:spacing w:before="120"/>
              <w:rPr>
                <w:lang w:val="en-GB"/>
              </w:rPr>
            </w:pPr>
          </w:p>
        </w:tc>
      </w:tr>
      <w:tr w:rsidR="00CD3323" w:rsidRPr="00B07B55" w:rsidTr="00CE17E6">
        <w:trPr>
          <w:cantSplit/>
        </w:trPr>
        <w:tc>
          <w:tcPr>
            <w:tcW w:w="1209" w:type="pct"/>
            <w:tcBorders>
              <w:top w:val="nil"/>
              <w:bottom w:val="nil"/>
              <w:right w:val="nil"/>
            </w:tcBorders>
            <w:tcMar>
              <w:left w:w="170" w:type="dxa"/>
            </w:tcMar>
          </w:tcPr>
          <w:p w:rsidR="00CD3323" w:rsidRPr="00B07B55" w:rsidRDefault="00CD3323" w:rsidP="00CD3323">
            <w:pPr>
              <w:pStyle w:val="Tabletext"/>
              <w:ind w:left="170" w:hanging="170"/>
              <w:rPr>
                <w:lang w:val="en-GB"/>
              </w:rPr>
            </w:pPr>
            <w:r>
              <w:rPr>
                <w:lang w:val="en-GB"/>
              </w:rPr>
              <w:t>Below Y</w:t>
            </w:r>
            <w:r w:rsidRPr="00B07B55">
              <w:rPr>
                <w:lang w:val="en-GB"/>
              </w:rPr>
              <w:t>ear 10</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3.29</w:t>
            </w:r>
          </w:p>
        </w:tc>
        <w:tc>
          <w:tcPr>
            <w:tcW w:w="474"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7.88</w:t>
            </w:r>
          </w:p>
        </w:tc>
        <w:tc>
          <w:tcPr>
            <w:tcW w:w="474" w:type="pct"/>
            <w:tcBorders>
              <w:top w:val="nil"/>
              <w:bottom w:val="nil"/>
              <w:right w:val="nil"/>
            </w:tcBorders>
          </w:tcPr>
          <w:p w:rsidR="00CD3323" w:rsidRPr="00B07B55" w:rsidRDefault="00CD3323" w:rsidP="00CE17E6">
            <w:pPr>
              <w:pStyle w:val="Tabletext"/>
              <w:tabs>
                <w:tab w:val="decimal" w:pos="312"/>
              </w:tabs>
              <w:rPr>
                <w:lang w:val="en-GB"/>
              </w:rPr>
            </w:pPr>
            <w:r w:rsidRPr="00B07B55">
              <w:rPr>
                <w:lang w:val="en-GB"/>
              </w:rPr>
              <w:t>16.70</w:t>
            </w: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26.96</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r w:rsidRPr="00B07B55">
              <w:rPr>
                <w:lang w:val="en-GB"/>
              </w:rPr>
              <w:t>2.30</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5.16</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4.99</w:t>
            </w:r>
          </w:p>
        </w:tc>
        <w:tc>
          <w:tcPr>
            <w:tcW w:w="474" w:type="pct"/>
            <w:tcBorders>
              <w:top w:val="nil"/>
              <w:left w:val="nil"/>
              <w:bottom w:val="nil"/>
            </w:tcBorders>
          </w:tcPr>
          <w:p w:rsidR="00CD3323" w:rsidRPr="00B07B55" w:rsidRDefault="00CD3323" w:rsidP="00CE17E6">
            <w:pPr>
              <w:pStyle w:val="Tabletext"/>
              <w:tabs>
                <w:tab w:val="decimal" w:pos="284"/>
              </w:tabs>
              <w:rPr>
                <w:lang w:val="en-GB"/>
              </w:rPr>
            </w:pPr>
            <w:r w:rsidRPr="00B07B55">
              <w:rPr>
                <w:lang w:val="en-GB"/>
              </w:rPr>
              <w:t>9.04</w:t>
            </w:r>
          </w:p>
        </w:tc>
      </w:tr>
      <w:tr w:rsidR="00CD3323" w:rsidRPr="00B07B55" w:rsidTr="00CE17E6">
        <w:trPr>
          <w:cantSplit/>
        </w:trPr>
        <w:tc>
          <w:tcPr>
            <w:tcW w:w="1209" w:type="pct"/>
            <w:tcBorders>
              <w:top w:val="nil"/>
              <w:bottom w:val="nil"/>
              <w:right w:val="nil"/>
            </w:tcBorders>
            <w:tcMar>
              <w:left w:w="170" w:type="dxa"/>
            </w:tcMar>
          </w:tcPr>
          <w:p w:rsidR="00CD3323" w:rsidRPr="00B07B55" w:rsidRDefault="00CD3323" w:rsidP="00CD3323">
            <w:pPr>
              <w:pStyle w:val="Tabletext"/>
              <w:ind w:left="170" w:hanging="170"/>
              <w:rPr>
                <w:lang w:val="en-GB"/>
              </w:rPr>
            </w:pPr>
            <w:r>
              <w:rPr>
                <w:lang w:val="en-GB"/>
              </w:rPr>
              <w:t>Year 10–</w:t>
            </w:r>
            <w:r w:rsidRPr="00B07B55">
              <w:rPr>
                <w:lang w:val="en-GB"/>
              </w:rPr>
              <w:t>11 or cert</w:t>
            </w:r>
            <w:r>
              <w:rPr>
                <w:lang w:val="en-GB"/>
              </w:rPr>
              <w:t>.</w:t>
            </w:r>
            <w:r w:rsidRPr="00B07B55">
              <w:rPr>
                <w:lang w:val="en-GB"/>
              </w:rPr>
              <w:t xml:space="preserve"> I/II</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29.52</w:t>
            </w:r>
          </w:p>
        </w:tc>
        <w:tc>
          <w:tcPr>
            <w:tcW w:w="474"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33.32</w:t>
            </w:r>
          </w:p>
        </w:tc>
        <w:tc>
          <w:tcPr>
            <w:tcW w:w="474" w:type="pct"/>
            <w:tcBorders>
              <w:top w:val="nil"/>
              <w:bottom w:val="nil"/>
              <w:right w:val="nil"/>
            </w:tcBorders>
          </w:tcPr>
          <w:p w:rsidR="00CD3323" w:rsidRPr="00B07B55" w:rsidRDefault="00CD3323" w:rsidP="00CE17E6">
            <w:pPr>
              <w:pStyle w:val="Tabletext"/>
              <w:tabs>
                <w:tab w:val="decimal" w:pos="312"/>
              </w:tabs>
              <w:rPr>
                <w:lang w:val="en-GB"/>
              </w:rPr>
            </w:pPr>
            <w:r w:rsidRPr="00B07B55">
              <w:rPr>
                <w:lang w:val="en-GB"/>
              </w:rPr>
              <w:t>37.12</w:t>
            </w: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39.13</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r w:rsidRPr="00B07B55">
              <w:rPr>
                <w:lang w:val="en-GB"/>
              </w:rPr>
              <w:t>16.00</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26.65</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21.20</w:t>
            </w:r>
          </w:p>
        </w:tc>
        <w:tc>
          <w:tcPr>
            <w:tcW w:w="474" w:type="pct"/>
            <w:tcBorders>
              <w:top w:val="nil"/>
              <w:left w:val="nil"/>
              <w:bottom w:val="nil"/>
            </w:tcBorders>
          </w:tcPr>
          <w:p w:rsidR="00CD3323" w:rsidRPr="00B07B55" w:rsidRDefault="00CD3323" w:rsidP="00CE17E6">
            <w:pPr>
              <w:pStyle w:val="Tabletext"/>
              <w:tabs>
                <w:tab w:val="decimal" w:pos="284"/>
              </w:tabs>
              <w:rPr>
                <w:lang w:val="en-GB"/>
              </w:rPr>
            </w:pPr>
            <w:r w:rsidRPr="00B07B55">
              <w:rPr>
                <w:lang w:val="en-GB"/>
              </w:rPr>
              <w:t>24.85</w:t>
            </w:r>
          </w:p>
        </w:tc>
      </w:tr>
      <w:tr w:rsidR="00CD3323" w:rsidRPr="00B07B55" w:rsidTr="00CE17E6">
        <w:trPr>
          <w:cantSplit/>
        </w:trPr>
        <w:tc>
          <w:tcPr>
            <w:tcW w:w="1209" w:type="pct"/>
            <w:tcBorders>
              <w:top w:val="nil"/>
              <w:bottom w:val="nil"/>
              <w:right w:val="nil"/>
            </w:tcBorders>
            <w:tcMar>
              <w:left w:w="170" w:type="dxa"/>
            </w:tcMar>
          </w:tcPr>
          <w:p w:rsidR="00CD3323" w:rsidRPr="00B07B55" w:rsidRDefault="00CD3323" w:rsidP="00CD3323">
            <w:pPr>
              <w:pStyle w:val="Tabletext"/>
              <w:ind w:left="170" w:hanging="170"/>
              <w:rPr>
                <w:lang w:val="en-GB"/>
              </w:rPr>
            </w:pPr>
            <w:r>
              <w:rPr>
                <w:lang w:val="en-GB"/>
              </w:rPr>
              <w:t>Completed Y</w:t>
            </w:r>
            <w:r w:rsidRPr="00B07B55">
              <w:rPr>
                <w:lang w:val="en-GB"/>
              </w:rPr>
              <w:t>ear 12</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23.68</w:t>
            </w:r>
          </w:p>
        </w:tc>
        <w:tc>
          <w:tcPr>
            <w:tcW w:w="474"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15.72</w:t>
            </w:r>
          </w:p>
        </w:tc>
        <w:tc>
          <w:tcPr>
            <w:tcW w:w="474" w:type="pct"/>
            <w:tcBorders>
              <w:top w:val="nil"/>
              <w:bottom w:val="nil"/>
              <w:right w:val="nil"/>
            </w:tcBorders>
          </w:tcPr>
          <w:p w:rsidR="00CD3323" w:rsidRPr="00B07B55" w:rsidRDefault="00CD3323" w:rsidP="00CE17E6">
            <w:pPr>
              <w:pStyle w:val="Tabletext"/>
              <w:tabs>
                <w:tab w:val="decimal" w:pos="312"/>
              </w:tabs>
              <w:rPr>
                <w:lang w:val="en-GB"/>
              </w:rPr>
            </w:pPr>
            <w:r w:rsidRPr="00B07B55">
              <w:rPr>
                <w:lang w:val="en-GB"/>
              </w:rPr>
              <w:t>13.31</w:t>
            </w: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5.56</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r w:rsidRPr="00B07B55">
              <w:rPr>
                <w:lang w:val="en-GB"/>
              </w:rPr>
              <w:t>22.51</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13.84</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20.05</w:t>
            </w:r>
          </w:p>
        </w:tc>
        <w:tc>
          <w:tcPr>
            <w:tcW w:w="474" w:type="pct"/>
            <w:tcBorders>
              <w:top w:val="nil"/>
              <w:left w:val="nil"/>
              <w:bottom w:val="nil"/>
            </w:tcBorders>
          </w:tcPr>
          <w:p w:rsidR="00CD3323" w:rsidRPr="00B07B55" w:rsidRDefault="00CD3323" w:rsidP="00CE17E6">
            <w:pPr>
              <w:pStyle w:val="Tabletext"/>
              <w:tabs>
                <w:tab w:val="decimal" w:pos="284"/>
              </w:tabs>
              <w:rPr>
                <w:lang w:val="en-GB"/>
              </w:rPr>
            </w:pPr>
            <w:r w:rsidRPr="00B07B55">
              <w:rPr>
                <w:lang w:val="en-GB"/>
              </w:rPr>
              <w:t>5.60</w:t>
            </w:r>
          </w:p>
        </w:tc>
      </w:tr>
      <w:tr w:rsidR="00CD3323" w:rsidRPr="00B07B55" w:rsidTr="00CE17E6">
        <w:trPr>
          <w:cantSplit/>
        </w:trPr>
        <w:tc>
          <w:tcPr>
            <w:tcW w:w="1209" w:type="pct"/>
            <w:tcBorders>
              <w:top w:val="nil"/>
              <w:bottom w:val="nil"/>
              <w:right w:val="nil"/>
            </w:tcBorders>
            <w:tcMar>
              <w:left w:w="170" w:type="dxa"/>
            </w:tcMar>
          </w:tcPr>
          <w:p w:rsidR="00CD3323" w:rsidRPr="00B07B55" w:rsidRDefault="00CD3323" w:rsidP="00CD3323">
            <w:pPr>
              <w:pStyle w:val="Tabletext"/>
              <w:ind w:left="170" w:hanging="170"/>
              <w:rPr>
                <w:lang w:val="en-GB"/>
              </w:rPr>
            </w:pPr>
            <w:r w:rsidRPr="00B07B55">
              <w:rPr>
                <w:lang w:val="en-GB"/>
              </w:rPr>
              <w:t>Certificate III/IV</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9.32</w:t>
            </w:r>
          </w:p>
        </w:tc>
        <w:tc>
          <w:tcPr>
            <w:tcW w:w="474"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8.69</w:t>
            </w:r>
          </w:p>
        </w:tc>
        <w:tc>
          <w:tcPr>
            <w:tcW w:w="474" w:type="pct"/>
            <w:tcBorders>
              <w:top w:val="nil"/>
              <w:bottom w:val="nil"/>
              <w:right w:val="nil"/>
            </w:tcBorders>
          </w:tcPr>
          <w:p w:rsidR="00CD3323" w:rsidRPr="00B07B55" w:rsidRDefault="00CD3323" w:rsidP="00CE17E6">
            <w:pPr>
              <w:pStyle w:val="Tabletext"/>
              <w:tabs>
                <w:tab w:val="decimal" w:pos="312"/>
              </w:tabs>
              <w:rPr>
                <w:lang w:val="en-GB"/>
              </w:rPr>
            </w:pPr>
            <w:r w:rsidRPr="00B07B55">
              <w:rPr>
                <w:lang w:val="en-GB"/>
              </w:rPr>
              <w:t>10.12</w:t>
            </w: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8.34</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r w:rsidRPr="00B07B55">
              <w:rPr>
                <w:lang w:val="en-GB"/>
              </w:rPr>
              <w:t>10.89</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14.21</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15.11</w:t>
            </w:r>
          </w:p>
        </w:tc>
        <w:tc>
          <w:tcPr>
            <w:tcW w:w="474" w:type="pct"/>
            <w:tcBorders>
              <w:top w:val="nil"/>
              <w:left w:val="nil"/>
              <w:bottom w:val="nil"/>
            </w:tcBorders>
          </w:tcPr>
          <w:p w:rsidR="00CD3323" w:rsidRPr="00B07B55" w:rsidRDefault="00CD3323" w:rsidP="00CE17E6">
            <w:pPr>
              <w:pStyle w:val="Tabletext"/>
              <w:tabs>
                <w:tab w:val="decimal" w:pos="284"/>
              </w:tabs>
              <w:rPr>
                <w:lang w:val="en-GB"/>
              </w:rPr>
            </w:pPr>
            <w:r w:rsidRPr="00B07B55">
              <w:rPr>
                <w:lang w:val="en-GB"/>
              </w:rPr>
              <w:t>8.87</w:t>
            </w:r>
          </w:p>
        </w:tc>
      </w:tr>
      <w:tr w:rsidR="00CD3323" w:rsidRPr="00B07B55" w:rsidTr="00CE17E6">
        <w:trPr>
          <w:cantSplit/>
        </w:trPr>
        <w:tc>
          <w:tcPr>
            <w:tcW w:w="1209" w:type="pct"/>
            <w:tcBorders>
              <w:top w:val="nil"/>
              <w:bottom w:val="nil"/>
              <w:right w:val="nil"/>
            </w:tcBorders>
            <w:tcMar>
              <w:left w:w="170" w:type="dxa"/>
            </w:tcMar>
          </w:tcPr>
          <w:p w:rsidR="00CD3323" w:rsidRPr="00B07B55" w:rsidRDefault="00CD3323" w:rsidP="00CD3323">
            <w:pPr>
              <w:pStyle w:val="Tabletext"/>
              <w:ind w:left="170" w:hanging="170"/>
              <w:rPr>
                <w:lang w:val="en-GB"/>
              </w:rPr>
            </w:pPr>
            <w:r w:rsidRPr="00B07B55">
              <w:rPr>
                <w:lang w:val="en-GB"/>
              </w:rPr>
              <w:t>Diploma</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7.87</w:t>
            </w:r>
          </w:p>
        </w:tc>
        <w:tc>
          <w:tcPr>
            <w:tcW w:w="474"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9.83</w:t>
            </w:r>
          </w:p>
        </w:tc>
        <w:tc>
          <w:tcPr>
            <w:tcW w:w="474" w:type="pct"/>
            <w:tcBorders>
              <w:top w:val="nil"/>
              <w:bottom w:val="nil"/>
              <w:right w:val="nil"/>
            </w:tcBorders>
          </w:tcPr>
          <w:p w:rsidR="00CD3323" w:rsidRPr="00B07B55" w:rsidRDefault="00CD3323" w:rsidP="00CE17E6">
            <w:pPr>
              <w:pStyle w:val="Tabletext"/>
              <w:tabs>
                <w:tab w:val="decimal" w:pos="312"/>
              </w:tabs>
              <w:rPr>
                <w:lang w:val="en-GB"/>
              </w:rPr>
            </w:pPr>
            <w:r w:rsidRPr="00B07B55">
              <w:rPr>
                <w:lang w:val="en-GB"/>
              </w:rPr>
              <w:t>7.08</w:t>
            </w: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8.70</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r w:rsidRPr="00B07B55">
              <w:rPr>
                <w:lang w:val="en-GB"/>
              </w:rPr>
              <w:t>18.45</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11.84</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9.28</w:t>
            </w:r>
          </w:p>
        </w:tc>
        <w:tc>
          <w:tcPr>
            <w:tcW w:w="474" w:type="pct"/>
            <w:tcBorders>
              <w:top w:val="nil"/>
              <w:left w:val="nil"/>
              <w:bottom w:val="nil"/>
            </w:tcBorders>
          </w:tcPr>
          <w:p w:rsidR="00CD3323" w:rsidRPr="00B07B55" w:rsidRDefault="00CD3323" w:rsidP="00CE17E6">
            <w:pPr>
              <w:pStyle w:val="Tabletext"/>
              <w:tabs>
                <w:tab w:val="decimal" w:pos="284"/>
              </w:tabs>
              <w:rPr>
                <w:lang w:val="en-GB"/>
              </w:rPr>
            </w:pPr>
            <w:r w:rsidRPr="00B07B55">
              <w:rPr>
                <w:lang w:val="en-GB"/>
              </w:rPr>
              <w:t>21.03</w:t>
            </w:r>
          </w:p>
        </w:tc>
      </w:tr>
      <w:tr w:rsidR="00CD3323" w:rsidRPr="00B07B55" w:rsidTr="00CE17E6">
        <w:trPr>
          <w:cantSplit/>
        </w:trPr>
        <w:tc>
          <w:tcPr>
            <w:tcW w:w="1209" w:type="pct"/>
            <w:tcBorders>
              <w:top w:val="nil"/>
              <w:bottom w:val="nil"/>
              <w:right w:val="nil"/>
            </w:tcBorders>
            <w:tcMar>
              <w:left w:w="170" w:type="dxa"/>
            </w:tcMar>
          </w:tcPr>
          <w:p w:rsidR="00CD3323" w:rsidRPr="00B07B55" w:rsidRDefault="00CD3323" w:rsidP="00CD3323">
            <w:pPr>
              <w:pStyle w:val="Tabletext"/>
              <w:ind w:left="170" w:hanging="170"/>
              <w:rPr>
                <w:lang w:val="en-GB"/>
              </w:rPr>
            </w:pPr>
            <w:r w:rsidRPr="00B07B55">
              <w:rPr>
                <w:lang w:val="en-GB"/>
              </w:rPr>
              <w:t>Degree and above</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26.32</w:t>
            </w:r>
          </w:p>
        </w:tc>
        <w:tc>
          <w:tcPr>
            <w:tcW w:w="474"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24.56</w:t>
            </w:r>
          </w:p>
        </w:tc>
        <w:tc>
          <w:tcPr>
            <w:tcW w:w="474" w:type="pct"/>
            <w:tcBorders>
              <w:top w:val="nil"/>
              <w:bottom w:val="nil"/>
              <w:right w:val="nil"/>
            </w:tcBorders>
          </w:tcPr>
          <w:p w:rsidR="00CD3323" w:rsidRPr="00B07B55" w:rsidRDefault="00CD3323" w:rsidP="00CE17E6">
            <w:pPr>
              <w:pStyle w:val="Tabletext"/>
              <w:tabs>
                <w:tab w:val="decimal" w:pos="312"/>
              </w:tabs>
              <w:rPr>
                <w:lang w:val="en-GB"/>
              </w:rPr>
            </w:pPr>
            <w:r w:rsidRPr="00B07B55">
              <w:rPr>
                <w:lang w:val="en-GB"/>
              </w:rPr>
              <w:t>15.67</w:t>
            </w: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11.31</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r w:rsidRPr="00B07B55">
              <w:rPr>
                <w:lang w:val="en-GB"/>
              </w:rPr>
              <w:t>29.85</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28.30</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29.38</w:t>
            </w:r>
          </w:p>
        </w:tc>
        <w:tc>
          <w:tcPr>
            <w:tcW w:w="474" w:type="pct"/>
            <w:tcBorders>
              <w:top w:val="nil"/>
              <w:left w:val="nil"/>
              <w:bottom w:val="nil"/>
            </w:tcBorders>
          </w:tcPr>
          <w:p w:rsidR="00CD3323" w:rsidRPr="00B07B55" w:rsidRDefault="00CD3323" w:rsidP="00CE17E6">
            <w:pPr>
              <w:pStyle w:val="Tabletext"/>
              <w:tabs>
                <w:tab w:val="decimal" w:pos="284"/>
              </w:tabs>
              <w:rPr>
                <w:lang w:val="en-GB"/>
              </w:rPr>
            </w:pPr>
            <w:r w:rsidRPr="00B07B55">
              <w:rPr>
                <w:lang w:val="en-GB"/>
              </w:rPr>
              <w:t>30.60</w:t>
            </w:r>
          </w:p>
        </w:tc>
      </w:tr>
      <w:tr w:rsidR="00CD3323" w:rsidRPr="00B07B55" w:rsidTr="00CE17E6">
        <w:trPr>
          <w:cantSplit/>
        </w:trPr>
        <w:tc>
          <w:tcPr>
            <w:tcW w:w="1209" w:type="pct"/>
            <w:tcBorders>
              <w:top w:val="nil"/>
              <w:bottom w:val="nil"/>
              <w:right w:val="nil"/>
            </w:tcBorders>
          </w:tcPr>
          <w:p w:rsidR="00CD3323" w:rsidRPr="009B641C" w:rsidRDefault="00CD3323" w:rsidP="008F2383">
            <w:pPr>
              <w:pStyle w:val="Tabletext"/>
              <w:rPr>
                <w:iCs/>
                <w:lang w:val="en-GB"/>
              </w:rPr>
            </w:pPr>
            <w:r w:rsidRPr="009B641C">
              <w:rPr>
                <w:iCs/>
                <w:lang w:val="en-GB"/>
              </w:rPr>
              <w:t>Employment status</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p>
        </w:tc>
        <w:tc>
          <w:tcPr>
            <w:tcW w:w="474" w:type="pct"/>
            <w:tcBorders>
              <w:top w:val="nil"/>
              <w:bottom w:val="nil"/>
              <w:right w:val="nil"/>
            </w:tcBorders>
          </w:tcPr>
          <w:p w:rsidR="00CD3323" w:rsidRPr="00B07B55" w:rsidRDefault="00CD3323" w:rsidP="00CE17E6">
            <w:pPr>
              <w:pStyle w:val="Tabletext"/>
              <w:tabs>
                <w:tab w:val="decimal" w:pos="284"/>
              </w:tabs>
              <w:rPr>
                <w:lang w:val="en-GB"/>
              </w:rPr>
            </w:pPr>
          </w:p>
        </w:tc>
        <w:tc>
          <w:tcPr>
            <w:tcW w:w="474" w:type="pct"/>
            <w:tcBorders>
              <w:top w:val="nil"/>
              <w:bottom w:val="nil"/>
              <w:right w:val="nil"/>
            </w:tcBorders>
          </w:tcPr>
          <w:p w:rsidR="00CD3323" w:rsidRPr="00B07B55" w:rsidRDefault="00CD3323" w:rsidP="00CE17E6">
            <w:pPr>
              <w:pStyle w:val="Tabletext"/>
              <w:tabs>
                <w:tab w:val="decimal" w:pos="312"/>
              </w:tabs>
              <w:rPr>
                <w:lang w:val="en-GB"/>
              </w:rPr>
            </w:pP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 </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p>
        </w:tc>
        <w:tc>
          <w:tcPr>
            <w:tcW w:w="474" w:type="pct"/>
            <w:tcBorders>
              <w:top w:val="nil"/>
              <w:left w:val="nil"/>
              <w:bottom w:val="nil"/>
            </w:tcBorders>
          </w:tcPr>
          <w:p w:rsidR="00CD3323" w:rsidRPr="00B07B55" w:rsidRDefault="00CD3323" w:rsidP="00CE17E6">
            <w:pPr>
              <w:pStyle w:val="Tabletext"/>
              <w:tabs>
                <w:tab w:val="decimal" w:pos="284"/>
              </w:tabs>
              <w:rPr>
                <w:lang w:val="en-GB"/>
              </w:rPr>
            </w:pPr>
          </w:p>
        </w:tc>
      </w:tr>
      <w:tr w:rsidR="00CD3323" w:rsidRPr="00B07B55" w:rsidTr="00CE17E6">
        <w:trPr>
          <w:cantSplit/>
        </w:trPr>
        <w:tc>
          <w:tcPr>
            <w:tcW w:w="1209" w:type="pct"/>
            <w:tcBorders>
              <w:top w:val="nil"/>
              <w:bottom w:val="nil"/>
              <w:right w:val="nil"/>
            </w:tcBorders>
            <w:tcMar>
              <w:left w:w="170" w:type="dxa"/>
            </w:tcMar>
          </w:tcPr>
          <w:p w:rsidR="00CD3323" w:rsidRPr="00B07B55" w:rsidRDefault="00CD3323" w:rsidP="00CD3323">
            <w:pPr>
              <w:pStyle w:val="Tabletext"/>
              <w:ind w:left="170" w:hanging="170"/>
              <w:rPr>
                <w:lang w:val="en-GB"/>
              </w:rPr>
            </w:pPr>
            <w:r w:rsidRPr="00B07B55">
              <w:rPr>
                <w:lang w:val="en-GB"/>
              </w:rPr>
              <w:t>Full-time</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32.77</w:t>
            </w:r>
          </w:p>
        </w:tc>
        <w:tc>
          <w:tcPr>
            <w:tcW w:w="474"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37.68</w:t>
            </w:r>
          </w:p>
        </w:tc>
        <w:tc>
          <w:tcPr>
            <w:tcW w:w="474" w:type="pct"/>
            <w:tcBorders>
              <w:top w:val="nil"/>
              <w:bottom w:val="nil"/>
              <w:right w:val="nil"/>
            </w:tcBorders>
          </w:tcPr>
          <w:p w:rsidR="00CD3323" w:rsidRPr="00B07B55" w:rsidRDefault="00CD3323" w:rsidP="00CE17E6">
            <w:pPr>
              <w:pStyle w:val="Tabletext"/>
              <w:tabs>
                <w:tab w:val="decimal" w:pos="312"/>
              </w:tabs>
              <w:rPr>
                <w:lang w:val="en-GB"/>
              </w:rPr>
            </w:pPr>
            <w:r w:rsidRPr="00B07B55">
              <w:rPr>
                <w:lang w:val="en-GB"/>
              </w:rPr>
              <w:t>35.14</w:t>
            </w: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11.92</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r w:rsidRPr="00B07B55">
              <w:rPr>
                <w:lang w:val="en-GB"/>
              </w:rPr>
              <w:t>42.36</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38.54</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49.42</w:t>
            </w:r>
          </w:p>
        </w:tc>
        <w:tc>
          <w:tcPr>
            <w:tcW w:w="474" w:type="pct"/>
            <w:tcBorders>
              <w:top w:val="nil"/>
              <w:left w:val="nil"/>
              <w:bottom w:val="nil"/>
            </w:tcBorders>
          </w:tcPr>
          <w:p w:rsidR="00CD3323" w:rsidRPr="00B07B55" w:rsidRDefault="00CD3323" w:rsidP="00CE17E6">
            <w:pPr>
              <w:pStyle w:val="Tabletext"/>
              <w:tabs>
                <w:tab w:val="decimal" w:pos="284"/>
              </w:tabs>
              <w:rPr>
                <w:lang w:val="en-GB"/>
              </w:rPr>
            </w:pPr>
            <w:r w:rsidRPr="00B07B55">
              <w:rPr>
                <w:lang w:val="en-GB"/>
              </w:rPr>
              <w:t>32.47</w:t>
            </w:r>
          </w:p>
        </w:tc>
      </w:tr>
      <w:tr w:rsidR="00CD3323" w:rsidRPr="00B07B55" w:rsidTr="00CE17E6">
        <w:trPr>
          <w:cantSplit/>
        </w:trPr>
        <w:tc>
          <w:tcPr>
            <w:tcW w:w="1209" w:type="pct"/>
            <w:tcBorders>
              <w:top w:val="nil"/>
              <w:bottom w:val="nil"/>
              <w:right w:val="nil"/>
            </w:tcBorders>
            <w:tcMar>
              <w:left w:w="170" w:type="dxa"/>
            </w:tcMar>
          </w:tcPr>
          <w:p w:rsidR="00CD3323" w:rsidRPr="00B07B55" w:rsidRDefault="00CD3323" w:rsidP="00CD3323">
            <w:pPr>
              <w:pStyle w:val="Tabletext"/>
              <w:ind w:left="170" w:hanging="170"/>
              <w:rPr>
                <w:lang w:val="en-GB"/>
              </w:rPr>
            </w:pPr>
            <w:r w:rsidRPr="00B07B55">
              <w:rPr>
                <w:lang w:val="en-GB"/>
              </w:rPr>
              <w:t>Part-time</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33.50</w:t>
            </w:r>
          </w:p>
        </w:tc>
        <w:tc>
          <w:tcPr>
            <w:tcW w:w="474"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34.51</w:t>
            </w:r>
          </w:p>
        </w:tc>
        <w:tc>
          <w:tcPr>
            <w:tcW w:w="474" w:type="pct"/>
            <w:tcBorders>
              <w:top w:val="nil"/>
              <w:bottom w:val="nil"/>
              <w:right w:val="nil"/>
            </w:tcBorders>
          </w:tcPr>
          <w:p w:rsidR="00CD3323" w:rsidRPr="00B07B55" w:rsidRDefault="00CD3323" w:rsidP="00CE17E6">
            <w:pPr>
              <w:pStyle w:val="Tabletext"/>
              <w:tabs>
                <w:tab w:val="decimal" w:pos="312"/>
              </w:tabs>
              <w:rPr>
                <w:lang w:val="en-GB"/>
              </w:rPr>
            </w:pPr>
            <w:r w:rsidRPr="00B07B55">
              <w:rPr>
                <w:lang w:val="en-GB"/>
              </w:rPr>
              <w:t>29.87</w:t>
            </w: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15.84</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r w:rsidRPr="00B07B55">
              <w:rPr>
                <w:lang w:val="en-GB"/>
              </w:rPr>
              <w:t>30.35</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37.19</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26.35</w:t>
            </w:r>
          </w:p>
        </w:tc>
        <w:tc>
          <w:tcPr>
            <w:tcW w:w="474" w:type="pct"/>
            <w:tcBorders>
              <w:top w:val="nil"/>
              <w:left w:val="nil"/>
              <w:bottom w:val="nil"/>
            </w:tcBorders>
          </w:tcPr>
          <w:p w:rsidR="00CD3323" w:rsidRPr="00B07B55" w:rsidRDefault="00CD3323" w:rsidP="00CE17E6">
            <w:pPr>
              <w:pStyle w:val="Tabletext"/>
              <w:tabs>
                <w:tab w:val="decimal" w:pos="284"/>
              </w:tabs>
              <w:rPr>
                <w:lang w:val="en-GB"/>
              </w:rPr>
            </w:pPr>
            <w:r w:rsidRPr="00B07B55">
              <w:rPr>
                <w:lang w:val="en-GB"/>
              </w:rPr>
              <w:t>25.62</w:t>
            </w:r>
          </w:p>
        </w:tc>
      </w:tr>
      <w:tr w:rsidR="00CD3323" w:rsidRPr="00B07B55" w:rsidTr="00CE17E6">
        <w:trPr>
          <w:cantSplit/>
        </w:trPr>
        <w:tc>
          <w:tcPr>
            <w:tcW w:w="1209" w:type="pct"/>
            <w:tcBorders>
              <w:top w:val="nil"/>
              <w:bottom w:val="nil"/>
              <w:right w:val="nil"/>
            </w:tcBorders>
            <w:tcMar>
              <w:left w:w="170" w:type="dxa"/>
            </w:tcMar>
          </w:tcPr>
          <w:p w:rsidR="00CD3323" w:rsidRPr="00B07B55" w:rsidRDefault="00CD3323" w:rsidP="00CD3323">
            <w:pPr>
              <w:pStyle w:val="Tabletext"/>
              <w:ind w:left="170" w:hanging="170"/>
              <w:rPr>
                <w:lang w:val="en-GB"/>
              </w:rPr>
            </w:pPr>
            <w:r w:rsidRPr="00B07B55">
              <w:rPr>
                <w:lang w:val="en-GB"/>
              </w:rPr>
              <w:t>Unemployed</w:t>
            </w:r>
          </w:p>
        </w:tc>
        <w:tc>
          <w:tcPr>
            <w:tcW w:w="473"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0.99</w:t>
            </w:r>
          </w:p>
        </w:tc>
        <w:tc>
          <w:tcPr>
            <w:tcW w:w="474" w:type="pct"/>
            <w:tcBorders>
              <w:top w:val="nil"/>
              <w:bottom w:val="nil"/>
              <w:right w:val="nil"/>
            </w:tcBorders>
          </w:tcPr>
          <w:p w:rsidR="00CD3323" w:rsidRPr="00B07B55" w:rsidRDefault="00CD3323" w:rsidP="00CE17E6">
            <w:pPr>
              <w:pStyle w:val="Tabletext"/>
              <w:tabs>
                <w:tab w:val="decimal" w:pos="284"/>
              </w:tabs>
              <w:rPr>
                <w:lang w:val="en-GB"/>
              </w:rPr>
            </w:pPr>
            <w:r w:rsidRPr="00B07B55">
              <w:rPr>
                <w:lang w:val="en-GB"/>
              </w:rPr>
              <w:t>1.33</w:t>
            </w:r>
          </w:p>
        </w:tc>
        <w:tc>
          <w:tcPr>
            <w:tcW w:w="474" w:type="pct"/>
            <w:tcBorders>
              <w:top w:val="nil"/>
              <w:bottom w:val="nil"/>
              <w:right w:val="nil"/>
            </w:tcBorders>
          </w:tcPr>
          <w:p w:rsidR="00CD3323" w:rsidRPr="00B07B55" w:rsidRDefault="00CD3323" w:rsidP="00CE17E6">
            <w:pPr>
              <w:pStyle w:val="Tabletext"/>
              <w:tabs>
                <w:tab w:val="decimal" w:pos="312"/>
              </w:tabs>
              <w:rPr>
                <w:lang w:val="en-GB"/>
              </w:rPr>
            </w:pPr>
            <w:r w:rsidRPr="00B07B55">
              <w:rPr>
                <w:lang w:val="en-GB"/>
              </w:rPr>
              <w:t>1.41</w:t>
            </w:r>
          </w:p>
        </w:tc>
        <w:tc>
          <w:tcPr>
            <w:tcW w:w="474" w:type="pct"/>
            <w:tcBorders>
              <w:top w:val="nil"/>
              <w:left w:val="nil"/>
              <w:bottom w:val="nil"/>
              <w:right w:val="dashed" w:sz="4" w:space="0" w:color="auto"/>
            </w:tcBorders>
          </w:tcPr>
          <w:p w:rsidR="00CD3323" w:rsidRPr="00B07B55" w:rsidRDefault="00CD3323" w:rsidP="00CE17E6">
            <w:pPr>
              <w:pStyle w:val="Tabletext"/>
              <w:tabs>
                <w:tab w:val="decimal" w:pos="312"/>
              </w:tabs>
              <w:rPr>
                <w:lang w:val="en-GB"/>
              </w:rPr>
            </w:pPr>
            <w:r w:rsidRPr="00B07B55">
              <w:rPr>
                <w:lang w:val="en-GB"/>
              </w:rPr>
              <w:t>0.51</w:t>
            </w:r>
          </w:p>
        </w:tc>
        <w:tc>
          <w:tcPr>
            <w:tcW w:w="474" w:type="pct"/>
            <w:tcBorders>
              <w:top w:val="nil"/>
              <w:left w:val="dashed" w:sz="4" w:space="0" w:color="auto"/>
              <w:bottom w:val="nil"/>
              <w:right w:val="nil"/>
            </w:tcBorders>
          </w:tcPr>
          <w:p w:rsidR="00CD3323" w:rsidRPr="00B07B55" w:rsidRDefault="00CD3323" w:rsidP="00CE17E6">
            <w:pPr>
              <w:pStyle w:val="Tabletext"/>
              <w:tabs>
                <w:tab w:val="decimal" w:pos="284"/>
              </w:tabs>
              <w:rPr>
                <w:lang w:val="en-GB"/>
              </w:rPr>
            </w:pPr>
            <w:r w:rsidRPr="00B07B55">
              <w:rPr>
                <w:lang w:val="en-GB"/>
              </w:rPr>
              <w:t>3.97</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6.06</w:t>
            </w:r>
          </w:p>
        </w:tc>
        <w:tc>
          <w:tcPr>
            <w:tcW w:w="474" w:type="pct"/>
            <w:tcBorders>
              <w:top w:val="nil"/>
              <w:left w:val="nil"/>
              <w:bottom w:val="nil"/>
              <w:right w:val="nil"/>
            </w:tcBorders>
          </w:tcPr>
          <w:p w:rsidR="00CD3323" w:rsidRPr="00B07B55" w:rsidRDefault="00CD3323" w:rsidP="00CE17E6">
            <w:pPr>
              <w:pStyle w:val="Tabletext"/>
              <w:tabs>
                <w:tab w:val="decimal" w:pos="284"/>
              </w:tabs>
              <w:rPr>
                <w:lang w:val="en-GB"/>
              </w:rPr>
            </w:pPr>
            <w:r w:rsidRPr="00B07B55">
              <w:rPr>
                <w:lang w:val="en-GB"/>
              </w:rPr>
              <w:t>3.55</w:t>
            </w:r>
          </w:p>
        </w:tc>
        <w:tc>
          <w:tcPr>
            <w:tcW w:w="474" w:type="pct"/>
            <w:tcBorders>
              <w:top w:val="nil"/>
              <w:left w:val="nil"/>
              <w:bottom w:val="nil"/>
            </w:tcBorders>
          </w:tcPr>
          <w:p w:rsidR="00CD3323" w:rsidRPr="00B07B55" w:rsidRDefault="00CD3323" w:rsidP="00CE17E6">
            <w:pPr>
              <w:pStyle w:val="Tabletext"/>
              <w:tabs>
                <w:tab w:val="decimal" w:pos="284"/>
              </w:tabs>
              <w:rPr>
                <w:lang w:val="en-GB"/>
              </w:rPr>
            </w:pPr>
            <w:r w:rsidRPr="00B07B55">
              <w:rPr>
                <w:lang w:val="en-GB"/>
              </w:rPr>
              <w:t>3.79</w:t>
            </w:r>
          </w:p>
        </w:tc>
      </w:tr>
      <w:tr w:rsidR="00CD3323" w:rsidRPr="00B07B55" w:rsidTr="00CE17E6">
        <w:trPr>
          <w:cantSplit/>
        </w:trPr>
        <w:tc>
          <w:tcPr>
            <w:tcW w:w="1209" w:type="pct"/>
            <w:tcBorders>
              <w:top w:val="nil"/>
              <w:bottom w:val="single" w:sz="4" w:space="0" w:color="auto"/>
              <w:right w:val="nil"/>
            </w:tcBorders>
            <w:tcMar>
              <w:left w:w="170" w:type="dxa"/>
            </w:tcMar>
          </w:tcPr>
          <w:p w:rsidR="00CD3323" w:rsidRPr="00B07B55" w:rsidRDefault="00CD3323" w:rsidP="00CD3323">
            <w:pPr>
              <w:pStyle w:val="Tabletext"/>
              <w:ind w:left="170" w:hanging="170"/>
              <w:rPr>
                <w:lang w:val="en-GB"/>
              </w:rPr>
            </w:pPr>
            <w:r w:rsidRPr="00B07B55">
              <w:rPr>
                <w:lang w:val="en-GB"/>
              </w:rPr>
              <w:t>Not in the labour force</w:t>
            </w:r>
          </w:p>
        </w:tc>
        <w:tc>
          <w:tcPr>
            <w:tcW w:w="473" w:type="pct"/>
            <w:tcBorders>
              <w:top w:val="nil"/>
              <w:bottom w:val="single" w:sz="4" w:space="0" w:color="auto"/>
              <w:right w:val="nil"/>
            </w:tcBorders>
          </w:tcPr>
          <w:p w:rsidR="00CD3323" w:rsidRPr="00B07B55" w:rsidRDefault="00CD3323" w:rsidP="00CE17E6">
            <w:pPr>
              <w:pStyle w:val="Tabletext"/>
              <w:tabs>
                <w:tab w:val="decimal" w:pos="284"/>
              </w:tabs>
              <w:rPr>
                <w:lang w:val="en-GB"/>
              </w:rPr>
            </w:pPr>
            <w:r w:rsidRPr="00B07B55">
              <w:rPr>
                <w:lang w:val="en-GB"/>
              </w:rPr>
              <w:t>32.75</w:t>
            </w:r>
          </w:p>
        </w:tc>
        <w:tc>
          <w:tcPr>
            <w:tcW w:w="474" w:type="pct"/>
            <w:tcBorders>
              <w:top w:val="nil"/>
              <w:bottom w:val="single" w:sz="4" w:space="0" w:color="auto"/>
              <w:right w:val="nil"/>
            </w:tcBorders>
          </w:tcPr>
          <w:p w:rsidR="00CD3323" w:rsidRPr="00B07B55" w:rsidRDefault="00CD3323" w:rsidP="00CE17E6">
            <w:pPr>
              <w:pStyle w:val="Tabletext"/>
              <w:tabs>
                <w:tab w:val="decimal" w:pos="284"/>
              </w:tabs>
              <w:rPr>
                <w:lang w:val="en-GB"/>
              </w:rPr>
            </w:pPr>
            <w:r w:rsidRPr="00B07B55">
              <w:rPr>
                <w:lang w:val="en-GB"/>
              </w:rPr>
              <w:t>26.47</w:t>
            </w:r>
          </w:p>
        </w:tc>
        <w:tc>
          <w:tcPr>
            <w:tcW w:w="474" w:type="pct"/>
            <w:tcBorders>
              <w:top w:val="nil"/>
              <w:bottom w:val="single" w:sz="4" w:space="0" w:color="auto"/>
              <w:right w:val="nil"/>
            </w:tcBorders>
          </w:tcPr>
          <w:p w:rsidR="00CD3323" w:rsidRPr="00B07B55" w:rsidRDefault="00CD3323" w:rsidP="00CE17E6">
            <w:pPr>
              <w:pStyle w:val="Tabletext"/>
              <w:tabs>
                <w:tab w:val="decimal" w:pos="312"/>
              </w:tabs>
              <w:rPr>
                <w:lang w:val="en-GB"/>
              </w:rPr>
            </w:pPr>
            <w:r w:rsidRPr="00B07B55">
              <w:rPr>
                <w:lang w:val="en-GB"/>
              </w:rPr>
              <w:t>33.59</w:t>
            </w:r>
          </w:p>
        </w:tc>
        <w:tc>
          <w:tcPr>
            <w:tcW w:w="474" w:type="pct"/>
            <w:tcBorders>
              <w:top w:val="nil"/>
              <w:left w:val="nil"/>
              <w:bottom w:val="single" w:sz="4" w:space="0" w:color="auto"/>
              <w:right w:val="dashed" w:sz="4" w:space="0" w:color="auto"/>
            </w:tcBorders>
          </w:tcPr>
          <w:p w:rsidR="00CD3323" w:rsidRPr="00B07B55" w:rsidRDefault="00CD3323" w:rsidP="00CE17E6">
            <w:pPr>
              <w:pStyle w:val="Tabletext"/>
              <w:tabs>
                <w:tab w:val="decimal" w:pos="312"/>
              </w:tabs>
              <w:rPr>
                <w:lang w:val="en-GB"/>
              </w:rPr>
            </w:pPr>
            <w:r w:rsidRPr="00B07B55">
              <w:rPr>
                <w:lang w:val="en-GB"/>
              </w:rPr>
              <w:t>71.73</w:t>
            </w:r>
          </w:p>
        </w:tc>
        <w:tc>
          <w:tcPr>
            <w:tcW w:w="474" w:type="pct"/>
            <w:tcBorders>
              <w:top w:val="nil"/>
              <w:left w:val="dashed" w:sz="4" w:space="0" w:color="auto"/>
              <w:bottom w:val="single" w:sz="4" w:space="0" w:color="auto"/>
              <w:right w:val="nil"/>
            </w:tcBorders>
          </w:tcPr>
          <w:p w:rsidR="00CD3323" w:rsidRPr="00B07B55" w:rsidRDefault="00CD3323" w:rsidP="00CE17E6">
            <w:pPr>
              <w:pStyle w:val="Tabletext"/>
              <w:tabs>
                <w:tab w:val="decimal" w:pos="284"/>
              </w:tabs>
              <w:rPr>
                <w:lang w:val="en-GB"/>
              </w:rPr>
            </w:pPr>
            <w:r w:rsidRPr="00B07B55">
              <w:rPr>
                <w:lang w:val="en-GB"/>
              </w:rPr>
              <w:t>23.32</w:t>
            </w:r>
          </w:p>
        </w:tc>
        <w:tc>
          <w:tcPr>
            <w:tcW w:w="474" w:type="pct"/>
            <w:tcBorders>
              <w:top w:val="nil"/>
              <w:left w:val="nil"/>
              <w:bottom w:val="single" w:sz="4" w:space="0" w:color="auto"/>
              <w:right w:val="nil"/>
            </w:tcBorders>
          </w:tcPr>
          <w:p w:rsidR="00CD3323" w:rsidRPr="00B07B55" w:rsidRDefault="00CD3323" w:rsidP="00CE17E6">
            <w:pPr>
              <w:pStyle w:val="Tabletext"/>
              <w:tabs>
                <w:tab w:val="decimal" w:pos="284"/>
              </w:tabs>
              <w:rPr>
                <w:lang w:val="en-GB"/>
              </w:rPr>
            </w:pPr>
            <w:r w:rsidRPr="00B07B55">
              <w:rPr>
                <w:lang w:val="en-GB"/>
              </w:rPr>
              <w:t>18.21</w:t>
            </w:r>
          </w:p>
        </w:tc>
        <w:tc>
          <w:tcPr>
            <w:tcW w:w="474" w:type="pct"/>
            <w:tcBorders>
              <w:top w:val="nil"/>
              <w:left w:val="nil"/>
              <w:bottom w:val="single" w:sz="4" w:space="0" w:color="auto"/>
              <w:right w:val="nil"/>
            </w:tcBorders>
          </w:tcPr>
          <w:p w:rsidR="00CD3323" w:rsidRPr="00B07B55" w:rsidRDefault="00CD3323" w:rsidP="00CE17E6">
            <w:pPr>
              <w:pStyle w:val="Tabletext"/>
              <w:tabs>
                <w:tab w:val="decimal" w:pos="284"/>
              </w:tabs>
              <w:rPr>
                <w:lang w:val="en-GB"/>
              </w:rPr>
            </w:pPr>
            <w:r w:rsidRPr="00B07B55">
              <w:rPr>
                <w:lang w:val="en-GB"/>
              </w:rPr>
              <w:t>20.68</w:t>
            </w:r>
          </w:p>
        </w:tc>
        <w:tc>
          <w:tcPr>
            <w:tcW w:w="474" w:type="pct"/>
            <w:tcBorders>
              <w:top w:val="nil"/>
              <w:left w:val="nil"/>
              <w:bottom w:val="single" w:sz="4" w:space="0" w:color="auto"/>
            </w:tcBorders>
          </w:tcPr>
          <w:p w:rsidR="00CD3323" w:rsidRPr="00B07B55" w:rsidRDefault="00CD3323" w:rsidP="00CE17E6">
            <w:pPr>
              <w:pStyle w:val="Tabletext"/>
              <w:tabs>
                <w:tab w:val="decimal" w:pos="284"/>
              </w:tabs>
              <w:rPr>
                <w:lang w:val="en-GB"/>
              </w:rPr>
            </w:pPr>
            <w:r w:rsidRPr="00B07B55">
              <w:rPr>
                <w:lang w:val="en-GB"/>
              </w:rPr>
              <w:t>38.12</w:t>
            </w:r>
          </w:p>
        </w:tc>
      </w:tr>
    </w:tbl>
    <w:p w:rsidR="000677C3" w:rsidRPr="00B07B55" w:rsidRDefault="00B10A30" w:rsidP="000677C3">
      <w:pPr>
        <w:pStyle w:val="Source"/>
        <w:rPr>
          <w:lang w:val="en-GB"/>
        </w:rPr>
      </w:pPr>
      <w:r w:rsidRPr="00FC6035">
        <w:rPr>
          <w:rFonts w:cs="Arial"/>
          <w:szCs w:val="15"/>
          <w:lang w:val="en-GB"/>
        </w:rPr>
        <w:t>Source:</w:t>
      </w:r>
      <w:r w:rsidR="00CD3323">
        <w:rPr>
          <w:rFonts w:cs="Arial"/>
          <w:szCs w:val="15"/>
          <w:lang w:val="en-GB"/>
        </w:rPr>
        <w:tab/>
      </w:r>
      <w:r w:rsidRPr="00FC6035">
        <w:rPr>
          <w:rFonts w:cs="Arial"/>
          <w:szCs w:val="15"/>
          <w:lang w:val="en-GB"/>
        </w:rPr>
        <w:t xml:space="preserve">HILDA </w:t>
      </w:r>
      <w:r w:rsidR="000677C3">
        <w:rPr>
          <w:lang w:val="en-GB"/>
        </w:rPr>
        <w:t>data, weighted statistics</w:t>
      </w:r>
      <w:r w:rsidR="008D286A">
        <w:rPr>
          <w:lang w:val="en-GB"/>
        </w:rPr>
        <w:t>.</w:t>
      </w:r>
    </w:p>
    <w:p w:rsidR="00D66538" w:rsidRPr="00B07B55" w:rsidRDefault="008D286A" w:rsidP="00D66538">
      <w:pPr>
        <w:pStyle w:val="Heading2"/>
        <w:rPr>
          <w:lang w:val="en-GB"/>
        </w:rPr>
      </w:pPr>
      <w:bookmarkStart w:id="52" w:name="_Toc334101010"/>
      <w:r>
        <w:rPr>
          <w:lang w:val="en-GB"/>
        </w:rPr>
        <w:t>The British d</w:t>
      </w:r>
      <w:r w:rsidR="00D66538" w:rsidRPr="00B07B55">
        <w:rPr>
          <w:lang w:val="en-GB"/>
        </w:rPr>
        <w:t>ata</w:t>
      </w:r>
      <w:bookmarkEnd w:id="52"/>
      <w:r w:rsidR="00D66538" w:rsidRPr="00B07B55">
        <w:rPr>
          <w:lang w:val="en-GB"/>
        </w:rPr>
        <w:t xml:space="preserve"> </w:t>
      </w:r>
    </w:p>
    <w:p w:rsidR="00D66538" w:rsidRPr="00B07B55" w:rsidRDefault="00D66538" w:rsidP="00CE17E6">
      <w:pPr>
        <w:pStyle w:val="Text"/>
        <w:ind w:right="-143"/>
        <w:rPr>
          <w:lang w:val="en-GB"/>
        </w:rPr>
      </w:pPr>
      <w:r w:rsidRPr="00B07B55">
        <w:rPr>
          <w:lang w:val="en-GB"/>
        </w:rPr>
        <w:t xml:space="preserve">With respect to the last research question, the comparison will be conducted using Great Britain as the reference country. Great Britain was selected for two reasons. First, the two countries have cultural and institutional similarities and yet very different enrolment rates. Second, the investigation can be based on relatively comparable data sources. The analysis will be conducted by complementing the HILDA data with data from the British Household </w:t>
      </w:r>
      <w:r w:rsidR="00C11EBC">
        <w:rPr>
          <w:lang w:val="en-GB"/>
        </w:rPr>
        <w:t>Panel Survey (BHPS),</w:t>
      </w:r>
      <w:r w:rsidRPr="00B07B55">
        <w:rPr>
          <w:lang w:val="en-GB"/>
        </w:rPr>
        <w:t xml:space="preserve"> an annual survey consisting of a</w:t>
      </w:r>
      <w:r w:rsidR="00CE17E6">
        <w:rPr>
          <w:lang w:val="en-GB"/>
        </w:rPr>
        <w:t> </w:t>
      </w:r>
      <w:r w:rsidRPr="00B07B55">
        <w:rPr>
          <w:lang w:val="en-GB"/>
        </w:rPr>
        <w:t>nationally representative sample of about 5500 households</w:t>
      </w:r>
      <w:r w:rsidR="00C11EBC">
        <w:rPr>
          <w:lang w:val="en-GB"/>
        </w:rPr>
        <w:t xml:space="preserve"> recruited in 1991, and containing</w:t>
      </w:r>
      <w:r w:rsidRPr="00B07B55">
        <w:rPr>
          <w:lang w:val="en-GB"/>
        </w:rPr>
        <w:t xml:space="preserve"> a total of approximately 10 000 interviewed individuals. As in HILDA, the same individuals are re-interviewed each year.</w:t>
      </w:r>
      <w:r w:rsidR="001C73D5">
        <w:rPr>
          <w:lang w:val="en-GB"/>
        </w:rPr>
        <w:t xml:space="preserve"> </w:t>
      </w:r>
      <w:r w:rsidRPr="00B07B55">
        <w:rPr>
          <w:lang w:val="en-GB"/>
        </w:rPr>
        <w:t xml:space="preserve">The analysis of HILDA and </w:t>
      </w:r>
      <w:r w:rsidR="00C11EBC">
        <w:rPr>
          <w:lang w:val="en-GB"/>
        </w:rPr>
        <w:t>the British survey</w:t>
      </w:r>
      <w:r w:rsidRPr="00B07B55">
        <w:rPr>
          <w:lang w:val="en-GB"/>
        </w:rPr>
        <w:t xml:space="preserve"> will cover the same interval of time, starting from 2001, in order to maintain a degree of comparability between samples.</w:t>
      </w:r>
      <w:r w:rsidR="001C73D5">
        <w:rPr>
          <w:lang w:val="en-GB"/>
        </w:rPr>
        <w:t xml:space="preserve"> </w:t>
      </w:r>
      <w:r w:rsidRPr="00B07B55">
        <w:rPr>
          <w:lang w:val="en-GB"/>
        </w:rPr>
        <w:t>Note t</w:t>
      </w:r>
      <w:r w:rsidR="00EB5247">
        <w:rPr>
          <w:lang w:val="en-GB"/>
        </w:rPr>
        <w:t>hat the Australian data include</w:t>
      </w:r>
      <w:r w:rsidRPr="00B07B55">
        <w:rPr>
          <w:lang w:val="en-GB"/>
        </w:rPr>
        <w:t xml:space="preserve"> 2009, while the British data </w:t>
      </w:r>
      <w:r w:rsidR="00C11EBC">
        <w:rPr>
          <w:lang w:val="en-GB"/>
        </w:rPr>
        <w:t>are</w:t>
      </w:r>
      <w:r w:rsidRPr="00B07B55">
        <w:rPr>
          <w:lang w:val="en-GB"/>
        </w:rPr>
        <w:t xml:space="preserve"> only currently available until 2008. </w:t>
      </w:r>
    </w:p>
    <w:p w:rsidR="003B7CFB" w:rsidRPr="00B07B55" w:rsidRDefault="003B7CFB" w:rsidP="00CE17E6">
      <w:pPr>
        <w:pStyle w:val="Text"/>
        <w:rPr>
          <w:lang w:val="en-GB"/>
        </w:rPr>
      </w:pPr>
      <w:r w:rsidRPr="00B07B55">
        <w:rPr>
          <w:lang w:val="en-GB"/>
        </w:rPr>
        <w:t xml:space="preserve">The sample from the </w:t>
      </w:r>
      <w:r w:rsidR="00C11EBC">
        <w:rPr>
          <w:lang w:val="en-GB"/>
        </w:rPr>
        <w:t>British</w:t>
      </w:r>
      <w:r w:rsidRPr="00B07B55">
        <w:rPr>
          <w:lang w:val="en-GB"/>
        </w:rPr>
        <w:t xml:space="preserve"> dataset has been chosen in the same manner as the</w:t>
      </w:r>
      <w:r w:rsidR="00CE17E6">
        <w:rPr>
          <w:lang w:val="en-GB"/>
        </w:rPr>
        <w:t xml:space="preserve"> </w:t>
      </w:r>
      <w:r w:rsidRPr="00B07B55">
        <w:rPr>
          <w:lang w:val="en-GB"/>
        </w:rPr>
        <w:t>HILDA sample. We thus focus on individuals aged 25 to 64 years and we start following their working and educational paths in 2001. Our analysis is based on 7738 survey participants, 55.</w:t>
      </w:r>
      <w:r w:rsidR="0083056E">
        <w:rPr>
          <w:lang w:val="en-GB"/>
        </w:rPr>
        <w:t>6</w:t>
      </w:r>
      <w:r w:rsidRPr="00B07B55">
        <w:rPr>
          <w:lang w:val="en-GB"/>
        </w:rPr>
        <w:t>% of wh</w:t>
      </w:r>
      <w:r w:rsidR="00C11EBC">
        <w:rPr>
          <w:lang w:val="en-GB"/>
        </w:rPr>
        <w:t>om</w:t>
      </w:r>
      <w:r w:rsidRPr="00B07B55">
        <w:rPr>
          <w:lang w:val="en-GB"/>
        </w:rPr>
        <w:t xml:space="preserve"> are</w:t>
      </w:r>
      <w:r w:rsidR="00CE17E6">
        <w:rPr>
          <w:lang w:val="en-GB"/>
        </w:rPr>
        <w:t> </w:t>
      </w:r>
      <w:r w:rsidRPr="00B07B55">
        <w:rPr>
          <w:lang w:val="en-GB"/>
        </w:rPr>
        <w:t>women.</w:t>
      </w:r>
    </w:p>
    <w:p w:rsidR="00D66163" w:rsidRDefault="00D66163" w:rsidP="00495869">
      <w:pPr>
        <w:pStyle w:val="Text"/>
        <w:ind w:right="0"/>
        <w:rPr>
          <w:lang w:val="en-GB"/>
        </w:rPr>
      </w:pPr>
      <w:r w:rsidRPr="00B07B55">
        <w:rPr>
          <w:lang w:val="en-GB"/>
        </w:rPr>
        <w:t xml:space="preserve">Table 8 provides participation rates in education of British individuals, </w:t>
      </w:r>
      <w:r w:rsidR="00C11EBC">
        <w:rPr>
          <w:lang w:val="en-GB"/>
        </w:rPr>
        <w:t>similar</w:t>
      </w:r>
      <w:r w:rsidRPr="00B07B55">
        <w:rPr>
          <w:lang w:val="en-GB"/>
        </w:rPr>
        <w:t xml:space="preserve"> to table 5 for Australia. The participation rates refer to any enrolment in edu</w:t>
      </w:r>
      <w:r w:rsidR="00C11EBC">
        <w:rPr>
          <w:lang w:val="en-GB"/>
        </w:rPr>
        <w:t>cation during the period 2001—</w:t>
      </w:r>
      <w:r w:rsidRPr="00B07B55">
        <w:rPr>
          <w:lang w:val="en-GB"/>
        </w:rPr>
        <w:t xml:space="preserve">08 (one year shorter than for Australia). As in the tables presented using HILDA data (tables 5 to 7), each individual is only recorded once, so if a survey participant experiences more than one spell in education, we report the level of the first of these spells. In the </w:t>
      </w:r>
      <w:r w:rsidR="00C11EBC">
        <w:rPr>
          <w:lang w:val="en-GB"/>
        </w:rPr>
        <w:t>British survey</w:t>
      </w:r>
      <w:r w:rsidRPr="00B07B55">
        <w:rPr>
          <w:lang w:val="en-GB"/>
        </w:rPr>
        <w:t>, respondents are asked to specify whether they have enrolled in any full-time education course since the previous interview.</w:t>
      </w:r>
      <w:r w:rsidR="001C73D5">
        <w:rPr>
          <w:lang w:val="en-GB"/>
        </w:rPr>
        <w:t xml:space="preserve"> </w:t>
      </w:r>
      <w:r w:rsidRPr="00B07B55">
        <w:rPr>
          <w:lang w:val="en-GB"/>
        </w:rPr>
        <w:t xml:space="preserve">The definition of part-time education is more complicated, since respondents are asked whether they have taken part in any part-time education or training activity since the last interview. In order to separate the individuals in formal education from those in informal training, we only include those respondents </w:t>
      </w:r>
      <w:r w:rsidR="00934BB9">
        <w:rPr>
          <w:lang w:val="en-GB"/>
        </w:rPr>
        <w:t>who</w:t>
      </w:r>
      <w:r w:rsidRPr="00B07B55">
        <w:rPr>
          <w:lang w:val="en-GB"/>
        </w:rPr>
        <w:t xml:space="preserve"> declared that the course took place in a school or in an academic institution. This choice leads to the exclusion of individuals </w:t>
      </w:r>
      <w:r w:rsidR="00934BB9">
        <w:rPr>
          <w:lang w:val="en-GB"/>
        </w:rPr>
        <w:t>who</w:t>
      </w:r>
      <w:r w:rsidRPr="00B07B55">
        <w:rPr>
          <w:lang w:val="en-GB"/>
        </w:rPr>
        <w:t xml:space="preserve"> indicated the workplace or a training centre as the course location, and thus should result in a measure of formal education most consistent with that employed using the Australian data. In order to facilitate the comparison between the British and the Australian educational systems, table A</w:t>
      </w:r>
      <w:r w:rsidR="00D87068">
        <w:rPr>
          <w:lang w:val="en-GB"/>
        </w:rPr>
        <w:t>6</w:t>
      </w:r>
      <w:r w:rsidRPr="00B07B55">
        <w:rPr>
          <w:lang w:val="en-GB"/>
        </w:rPr>
        <w:t xml:space="preserve"> links the different educational levels to the structure suggested by the International Standard Classification of Education (ISCED), as developed by the United Nations agency</w:t>
      </w:r>
      <w:r w:rsidR="00934BB9">
        <w:rPr>
          <w:lang w:val="en-GB"/>
        </w:rPr>
        <w:t>,</w:t>
      </w:r>
      <w:r w:rsidRPr="00B07B55">
        <w:rPr>
          <w:lang w:val="en-GB"/>
        </w:rPr>
        <w:t xml:space="preserve"> UNESCO</w:t>
      </w:r>
      <w:r w:rsidR="00EB5247">
        <w:rPr>
          <w:lang w:val="en-GB"/>
        </w:rPr>
        <w:t>.</w:t>
      </w:r>
      <w:r w:rsidR="00934BB9">
        <w:rPr>
          <w:rStyle w:val="FootnoteReference"/>
          <w:lang w:val="en-GB"/>
        </w:rPr>
        <w:footnoteReference w:id="5"/>
      </w:r>
      <w:r w:rsidRPr="00B07B55">
        <w:rPr>
          <w:lang w:val="en-GB"/>
        </w:rPr>
        <w:t xml:space="preserve"> With respect to the educational levels categorised in table 8, the term ‘intermediate education’ identifies all the courses that lead to GCE A level or equivalent (comparable </w:t>
      </w:r>
      <w:r w:rsidR="00D701C5">
        <w:rPr>
          <w:lang w:val="en-GB"/>
        </w:rPr>
        <w:t>with</w:t>
      </w:r>
      <w:r w:rsidRPr="00B07B55">
        <w:rPr>
          <w:lang w:val="en-GB"/>
        </w:rPr>
        <w:t xml:space="preserve"> an Australian cer</w:t>
      </w:r>
      <w:r w:rsidR="00934BB9">
        <w:rPr>
          <w:lang w:val="en-GB"/>
        </w:rPr>
        <w:t>tificate level III/IV), while ‘s</w:t>
      </w:r>
      <w:r w:rsidR="00D701C5">
        <w:rPr>
          <w:lang w:val="en-GB"/>
        </w:rPr>
        <w:t>ub-</w:t>
      </w:r>
      <w:r w:rsidRPr="00B07B55">
        <w:rPr>
          <w:lang w:val="en-GB"/>
        </w:rPr>
        <w:t>degrees’ include courses that lead to a work-related qualification, such as hospitality management or non-degree nursing diploma</w:t>
      </w:r>
      <w:r w:rsidR="00934BB9">
        <w:rPr>
          <w:lang w:val="en-GB"/>
        </w:rPr>
        <w:t>. (T</w:t>
      </w:r>
      <w:r w:rsidRPr="00B07B55">
        <w:rPr>
          <w:lang w:val="en-GB"/>
        </w:rPr>
        <w:t xml:space="preserve">his category is comparable </w:t>
      </w:r>
      <w:r w:rsidR="00D701C5">
        <w:rPr>
          <w:lang w:val="en-GB"/>
        </w:rPr>
        <w:t>with</w:t>
      </w:r>
      <w:r w:rsidRPr="00B07B55">
        <w:rPr>
          <w:lang w:val="en-GB"/>
        </w:rPr>
        <w:t xml:space="preserve"> the Australian diploma</w:t>
      </w:r>
      <w:r w:rsidR="00934BB9">
        <w:rPr>
          <w:lang w:val="en-GB"/>
        </w:rPr>
        <w:t>.)</w:t>
      </w:r>
      <w:r w:rsidRPr="00B07B55">
        <w:rPr>
          <w:lang w:val="en-GB"/>
        </w:rPr>
        <w:t xml:space="preserve"> Similar qualifications can be obtained through ‘</w:t>
      </w:r>
      <w:r w:rsidR="00934BB9" w:rsidRPr="00B07B55">
        <w:rPr>
          <w:lang w:val="en-GB"/>
        </w:rPr>
        <w:t>adult education centres’</w:t>
      </w:r>
      <w:r w:rsidRPr="00B07B55">
        <w:rPr>
          <w:lang w:val="en-GB"/>
        </w:rPr>
        <w:t>. Nonetheless, these institutions may provide different types of educat</w:t>
      </w:r>
      <w:r w:rsidR="00934BB9">
        <w:rPr>
          <w:lang w:val="en-GB"/>
        </w:rPr>
        <w:t>ion, including work-</w:t>
      </w:r>
      <w:r w:rsidRPr="00B07B55">
        <w:rPr>
          <w:lang w:val="en-GB"/>
        </w:rPr>
        <w:t xml:space="preserve">related training, so their inclusion may slightly overestimate the number of individuals </w:t>
      </w:r>
      <w:r w:rsidR="00934BB9">
        <w:rPr>
          <w:lang w:val="en-GB"/>
        </w:rPr>
        <w:t>who</w:t>
      </w:r>
      <w:r w:rsidRPr="00B07B55">
        <w:rPr>
          <w:lang w:val="en-GB"/>
        </w:rPr>
        <w:t xml:space="preserve"> enrol in formal education qualifications. </w:t>
      </w:r>
    </w:p>
    <w:p w:rsidR="005A7962" w:rsidRPr="00B07B55" w:rsidRDefault="005A7962" w:rsidP="00495869">
      <w:pPr>
        <w:pStyle w:val="Text"/>
        <w:ind w:right="0"/>
        <w:rPr>
          <w:lang w:val="en-GB"/>
        </w:rPr>
      </w:pPr>
      <w:r w:rsidRPr="00B07B55">
        <w:rPr>
          <w:lang w:val="en-GB"/>
        </w:rPr>
        <w:t>The numbers reported in table 8 sugge</w:t>
      </w:r>
      <w:r w:rsidR="00D701C5">
        <w:rPr>
          <w:lang w:val="en-GB"/>
        </w:rPr>
        <w:t>st a higher tendency to engage</w:t>
      </w:r>
      <w:r w:rsidRPr="00B07B55">
        <w:rPr>
          <w:lang w:val="en-GB"/>
        </w:rPr>
        <w:t xml:space="preserve"> in education among women and a comparatively negligible role of intermediate courses as an educational choice of more </w:t>
      </w:r>
      <w:r w:rsidR="007A4E37">
        <w:rPr>
          <w:lang w:val="en-GB"/>
        </w:rPr>
        <w:t>mature-age</w:t>
      </w:r>
      <w:r w:rsidRPr="00B07B55">
        <w:rPr>
          <w:lang w:val="en-GB"/>
        </w:rPr>
        <w:t xml:space="preserve"> individuals. Sub–degree courses and college attendance appear to be the most attractive educational tracks, which is not surprising</w:t>
      </w:r>
      <w:r w:rsidR="00934BB9">
        <w:rPr>
          <w:lang w:val="en-GB"/>
        </w:rPr>
        <w:t>,</w:t>
      </w:r>
      <w:r w:rsidRPr="00B07B55">
        <w:rPr>
          <w:lang w:val="en-GB"/>
        </w:rPr>
        <w:t xml:space="preserve"> given the high degree of employability that characterises the qualifications related to these types of education. Note that the British figures related to enrolment in education are considerably lower than the comparable Australian figures in table 5, except in the oldest age group. This difference may be due in part to the questions on education not being identical in the two surveys. The exclusion of all individuals enrolled in training from the British figures</w:t>
      </w:r>
      <w:r w:rsidR="009D307F" w:rsidRPr="00051566">
        <w:rPr>
          <w:vertAlign w:val="superscript"/>
        </w:rPr>
        <w:footnoteReference w:id="6"/>
      </w:r>
      <w:r w:rsidRPr="00B07B55">
        <w:rPr>
          <w:lang w:val="en-GB"/>
        </w:rPr>
        <w:t xml:space="preserve"> may lead to an overestimation of the actual gap in participation rates. If we instead include all individuals </w:t>
      </w:r>
      <w:r w:rsidR="00934BB9">
        <w:rPr>
          <w:lang w:val="en-GB"/>
        </w:rPr>
        <w:t>who</w:t>
      </w:r>
      <w:r w:rsidRPr="00B07B55">
        <w:rPr>
          <w:lang w:val="en-GB"/>
        </w:rPr>
        <w:t xml:space="preserve"> report enrolment in a training centre (either private or employment</w:t>
      </w:r>
      <w:r w:rsidR="00992B3C">
        <w:rPr>
          <w:lang w:val="en-GB"/>
        </w:rPr>
        <w:t>-</w:t>
      </w:r>
      <w:r w:rsidRPr="00B07B55">
        <w:rPr>
          <w:lang w:val="en-GB"/>
        </w:rPr>
        <w:t>related), it increases the share of individuals in education by around 7.5 percentage points</w:t>
      </w:r>
      <w:r w:rsidR="00D701C5">
        <w:rPr>
          <w:lang w:val="en-GB"/>
        </w:rPr>
        <w:t>. (T</w:t>
      </w:r>
      <w:r w:rsidRPr="00B07B55">
        <w:rPr>
          <w:lang w:val="en-GB"/>
        </w:rPr>
        <w:t>he overall enrolment rate of men and women of any age shifts from 15.6% to 23.3%</w:t>
      </w:r>
      <w:r w:rsidR="00D701C5">
        <w:rPr>
          <w:lang w:val="en-GB"/>
        </w:rPr>
        <w:t>.)</w:t>
      </w:r>
      <w:r w:rsidRPr="00B07B55">
        <w:rPr>
          <w:lang w:val="en-GB"/>
        </w:rPr>
        <w:t xml:space="preserve"> The change is larger for men than women, which may be due to the inclusion of study that is linked directly to employment. Given the higher rate of labour market participation of men, it is not surprising to observe a more considerable impact of these courses on male enrolment rates. In particular, for men, the figures reported in the third row of table 8 would double if such training courses were included, while for women the increase would be between </w:t>
      </w:r>
      <w:r w:rsidR="00934BB9">
        <w:rPr>
          <w:lang w:val="en-GB"/>
        </w:rPr>
        <w:t>three</w:t>
      </w:r>
      <w:r w:rsidRPr="00B07B55">
        <w:rPr>
          <w:lang w:val="en-GB"/>
        </w:rPr>
        <w:t xml:space="preserve"> and </w:t>
      </w:r>
      <w:r w:rsidR="00934BB9">
        <w:rPr>
          <w:lang w:val="en-GB"/>
        </w:rPr>
        <w:t>seven</w:t>
      </w:r>
      <w:r w:rsidRPr="00B07B55">
        <w:rPr>
          <w:lang w:val="en-GB"/>
        </w:rPr>
        <w:t xml:space="preserve"> percentage points, depending on age group. Nonetheless, even if we consider this broader definition of enrolment in education, the British rates generally are lower than the Australian ones, with the exception of rates for individuals aged 55 to 64 years. This result can probably be linked to the</w:t>
      </w:r>
      <w:r w:rsidR="00934BB9">
        <w:rPr>
          <w:lang w:val="en-GB"/>
        </w:rPr>
        <w:t xml:space="preserve"> lack of a homogeneous and well-</w:t>
      </w:r>
      <w:r w:rsidRPr="00B07B55">
        <w:rPr>
          <w:lang w:val="en-GB"/>
        </w:rPr>
        <w:t>structured system of vocational education in the British educational model.</w:t>
      </w:r>
      <w:r w:rsidRPr="00051566">
        <w:rPr>
          <w:vertAlign w:val="superscript"/>
          <w:lang w:val="en-GB"/>
        </w:rPr>
        <w:footnoteReference w:id="7"/>
      </w:r>
      <w:r w:rsidRPr="00B07B55">
        <w:rPr>
          <w:lang w:val="en-GB"/>
        </w:rPr>
        <w:t xml:space="preserve"> </w:t>
      </w:r>
    </w:p>
    <w:p w:rsidR="00DD1F08" w:rsidRPr="00B07B55" w:rsidRDefault="00DD1F08" w:rsidP="00DD1F08">
      <w:pPr>
        <w:pStyle w:val="tabletitle"/>
        <w:rPr>
          <w:lang w:val="en-GB"/>
        </w:rPr>
      </w:pPr>
      <w:bookmarkStart w:id="53" w:name="_Toc311576120"/>
      <w:bookmarkStart w:id="54" w:name="_Toc334021175"/>
      <w:r w:rsidRPr="00B07B55">
        <w:rPr>
          <w:lang w:val="en-GB"/>
        </w:rPr>
        <w:t>Table 8</w:t>
      </w:r>
      <w:r w:rsidRPr="00B07B55">
        <w:rPr>
          <w:lang w:val="en-GB"/>
        </w:rPr>
        <w:tab/>
        <w:t xml:space="preserve">Percentages of individuals enrolled in education, </w:t>
      </w:r>
      <w:bookmarkEnd w:id="53"/>
      <w:r w:rsidR="00E428EC">
        <w:rPr>
          <w:lang w:val="en-GB"/>
        </w:rPr>
        <w:t>British survey</w:t>
      </w:r>
      <w:bookmarkEnd w:id="54"/>
    </w:p>
    <w:tbl>
      <w:tblPr>
        <w:tblW w:w="8789" w:type="dxa"/>
        <w:tblInd w:w="108" w:type="dxa"/>
        <w:tblBorders>
          <w:top w:val="single" w:sz="4" w:space="0" w:color="auto"/>
          <w:bottom w:val="single" w:sz="4" w:space="0" w:color="auto"/>
        </w:tblBorders>
        <w:tblLayout w:type="fixed"/>
        <w:tblLook w:val="0000"/>
      </w:tblPr>
      <w:tblGrid>
        <w:gridCol w:w="3260"/>
        <w:gridCol w:w="1105"/>
        <w:gridCol w:w="1106"/>
        <w:gridCol w:w="1106"/>
        <w:gridCol w:w="1106"/>
        <w:gridCol w:w="1106"/>
      </w:tblGrid>
      <w:tr w:rsidR="00E072FD" w:rsidRPr="00B07B55" w:rsidTr="00903944">
        <w:trPr>
          <w:cantSplit/>
        </w:trPr>
        <w:tc>
          <w:tcPr>
            <w:tcW w:w="1855" w:type="pct"/>
            <w:tcBorders>
              <w:top w:val="single" w:sz="4" w:space="0" w:color="auto"/>
              <w:bottom w:val="single" w:sz="4" w:space="0" w:color="auto"/>
              <w:right w:val="nil"/>
            </w:tcBorders>
          </w:tcPr>
          <w:p w:rsidR="00E072FD" w:rsidRPr="00B07B55" w:rsidRDefault="00E072FD" w:rsidP="00903944">
            <w:pPr>
              <w:pStyle w:val="Tablehead1"/>
              <w:rPr>
                <w:lang w:val="en-GB"/>
              </w:rPr>
            </w:pPr>
            <w:r w:rsidRPr="00B07B55">
              <w:rPr>
                <w:lang w:val="en-GB"/>
              </w:rPr>
              <w:t>Age group in 2001</w:t>
            </w:r>
          </w:p>
        </w:tc>
        <w:tc>
          <w:tcPr>
            <w:tcW w:w="629" w:type="pct"/>
            <w:tcBorders>
              <w:top w:val="single" w:sz="4" w:space="0" w:color="auto"/>
              <w:left w:val="nil"/>
              <w:bottom w:val="single" w:sz="4" w:space="0" w:color="auto"/>
              <w:right w:val="nil"/>
            </w:tcBorders>
          </w:tcPr>
          <w:p w:rsidR="00E072FD" w:rsidRPr="00B07B55" w:rsidRDefault="00E428EC" w:rsidP="00903944">
            <w:pPr>
              <w:pStyle w:val="Tablehead1"/>
              <w:jc w:val="center"/>
              <w:rPr>
                <w:rFonts w:cs="Arial"/>
                <w:color w:val="000000"/>
                <w:lang w:val="en-GB"/>
              </w:rPr>
            </w:pPr>
            <w:r>
              <w:rPr>
                <w:rFonts w:cs="Arial"/>
                <w:color w:val="000000"/>
                <w:lang w:val="en-GB"/>
              </w:rPr>
              <w:t>25–</w:t>
            </w:r>
            <w:r w:rsidR="00E072FD" w:rsidRPr="00B07B55">
              <w:rPr>
                <w:rFonts w:cs="Arial"/>
                <w:color w:val="000000"/>
                <w:lang w:val="en-GB"/>
              </w:rPr>
              <w:t>34</w:t>
            </w:r>
          </w:p>
        </w:tc>
        <w:tc>
          <w:tcPr>
            <w:tcW w:w="629" w:type="pct"/>
            <w:tcBorders>
              <w:top w:val="single" w:sz="4" w:space="0" w:color="auto"/>
              <w:left w:val="nil"/>
              <w:bottom w:val="single" w:sz="4" w:space="0" w:color="auto"/>
              <w:right w:val="nil"/>
            </w:tcBorders>
          </w:tcPr>
          <w:p w:rsidR="00E072FD" w:rsidRPr="00B07B55" w:rsidRDefault="00E428EC" w:rsidP="00903944">
            <w:pPr>
              <w:pStyle w:val="Tablehead1"/>
              <w:jc w:val="center"/>
              <w:rPr>
                <w:rFonts w:cs="Arial"/>
                <w:color w:val="000000"/>
                <w:lang w:val="en-GB"/>
              </w:rPr>
            </w:pPr>
            <w:r>
              <w:rPr>
                <w:rFonts w:cs="Arial"/>
                <w:color w:val="000000"/>
                <w:lang w:val="en-GB"/>
              </w:rPr>
              <w:t>35–</w:t>
            </w:r>
            <w:r w:rsidR="00E072FD" w:rsidRPr="00B07B55">
              <w:rPr>
                <w:rFonts w:cs="Arial"/>
                <w:color w:val="000000"/>
                <w:lang w:val="en-GB"/>
              </w:rPr>
              <w:t>44</w:t>
            </w:r>
          </w:p>
        </w:tc>
        <w:tc>
          <w:tcPr>
            <w:tcW w:w="629" w:type="pct"/>
            <w:tcBorders>
              <w:top w:val="single" w:sz="4" w:space="0" w:color="auto"/>
              <w:left w:val="nil"/>
              <w:bottom w:val="single" w:sz="4" w:space="0" w:color="auto"/>
              <w:right w:val="nil"/>
            </w:tcBorders>
          </w:tcPr>
          <w:p w:rsidR="00E072FD" w:rsidRPr="00B07B55" w:rsidRDefault="00E428EC" w:rsidP="00903944">
            <w:pPr>
              <w:pStyle w:val="Tablehead1"/>
              <w:jc w:val="center"/>
              <w:rPr>
                <w:rFonts w:cs="Arial"/>
                <w:color w:val="000000"/>
                <w:lang w:val="en-GB"/>
              </w:rPr>
            </w:pPr>
            <w:r>
              <w:rPr>
                <w:rFonts w:cs="Arial"/>
                <w:color w:val="000000"/>
                <w:lang w:val="en-GB"/>
              </w:rPr>
              <w:t>45–</w:t>
            </w:r>
            <w:r w:rsidR="00E072FD" w:rsidRPr="00B07B55">
              <w:rPr>
                <w:rFonts w:cs="Arial"/>
                <w:color w:val="000000"/>
                <w:lang w:val="en-GB"/>
              </w:rPr>
              <w:t>54</w:t>
            </w:r>
          </w:p>
        </w:tc>
        <w:tc>
          <w:tcPr>
            <w:tcW w:w="629" w:type="pct"/>
            <w:tcBorders>
              <w:top w:val="single" w:sz="4" w:space="0" w:color="auto"/>
              <w:left w:val="nil"/>
              <w:bottom w:val="single" w:sz="4" w:space="0" w:color="auto"/>
            </w:tcBorders>
          </w:tcPr>
          <w:p w:rsidR="00E072FD" w:rsidRPr="00B07B55" w:rsidRDefault="00E428EC" w:rsidP="00903944">
            <w:pPr>
              <w:pStyle w:val="Tablehead1"/>
              <w:jc w:val="center"/>
              <w:rPr>
                <w:rFonts w:cs="Arial"/>
                <w:color w:val="000000"/>
                <w:lang w:val="en-GB"/>
              </w:rPr>
            </w:pPr>
            <w:r>
              <w:rPr>
                <w:rFonts w:cs="Arial"/>
                <w:color w:val="000000"/>
                <w:lang w:val="en-GB"/>
              </w:rPr>
              <w:t>55–</w:t>
            </w:r>
            <w:r w:rsidR="00E072FD" w:rsidRPr="00B07B55">
              <w:rPr>
                <w:rFonts w:cs="Arial"/>
                <w:color w:val="000000"/>
                <w:lang w:val="en-GB"/>
              </w:rPr>
              <w:t>64</w:t>
            </w:r>
          </w:p>
        </w:tc>
        <w:tc>
          <w:tcPr>
            <w:tcW w:w="629" w:type="pct"/>
            <w:tcBorders>
              <w:top w:val="single" w:sz="4" w:space="0" w:color="auto"/>
              <w:left w:val="nil"/>
              <w:bottom w:val="single" w:sz="4" w:space="0" w:color="auto"/>
            </w:tcBorders>
          </w:tcPr>
          <w:p w:rsidR="00E072FD" w:rsidRPr="00B07B55" w:rsidRDefault="00E428EC" w:rsidP="00903944">
            <w:pPr>
              <w:pStyle w:val="Tablehead1"/>
              <w:jc w:val="center"/>
              <w:rPr>
                <w:rFonts w:cs="Arial"/>
                <w:color w:val="000000"/>
                <w:lang w:val="en-GB"/>
              </w:rPr>
            </w:pPr>
            <w:r>
              <w:rPr>
                <w:rFonts w:cs="Arial"/>
                <w:color w:val="000000"/>
                <w:lang w:val="en-GB"/>
              </w:rPr>
              <w:t>Australia, 25–</w:t>
            </w:r>
            <w:r w:rsidR="00E072FD">
              <w:rPr>
                <w:rFonts w:cs="Arial"/>
                <w:color w:val="000000"/>
                <w:lang w:val="en-GB"/>
              </w:rPr>
              <w:t>64</w:t>
            </w:r>
          </w:p>
        </w:tc>
      </w:tr>
      <w:tr w:rsidR="00E072FD" w:rsidRPr="00B07B55" w:rsidTr="00903944">
        <w:trPr>
          <w:cantSplit/>
        </w:trPr>
        <w:tc>
          <w:tcPr>
            <w:tcW w:w="1855" w:type="pct"/>
            <w:tcBorders>
              <w:top w:val="nil"/>
              <w:bottom w:val="nil"/>
              <w:right w:val="nil"/>
            </w:tcBorders>
          </w:tcPr>
          <w:p w:rsidR="00E072FD" w:rsidRPr="00903944" w:rsidRDefault="00E072FD" w:rsidP="00903944">
            <w:pPr>
              <w:pStyle w:val="Tabletext"/>
              <w:spacing w:before="120"/>
              <w:rPr>
                <w:b/>
                <w:lang w:val="en-GB"/>
              </w:rPr>
            </w:pPr>
            <w:r w:rsidRPr="00903944">
              <w:rPr>
                <w:b/>
                <w:lang w:val="en-GB"/>
              </w:rPr>
              <w:t>Males</w:t>
            </w:r>
          </w:p>
        </w:tc>
        <w:tc>
          <w:tcPr>
            <w:tcW w:w="629" w:type="pct"/>
            <w:tcBorders>
              <w:top w:val="nil"/>
              <w:left w:val="nil"/>
              <w:bottom w:val="nil"/>
              <w:right w:val="nil"/>
            </w:tcBorders>
          </w:tcPr>
          <w:p w:rsidR="00E072FD" w:rsidRPr="00B07B55" w:rsidRDefault="00E072FD" w:rsidP="00903944">
            <w:pPr>
              <w:pStyle w:val="Tabletext"/>
              <w:spacing w:before="120"/>
              <w:rPr>
                <w:lang w:val="en-GB"/>
              </w:rPr>
            </w:pPr>
          </w:p>
        </w:tc>
        <w:tc>
          <w:tcPr>
            <w:tcW w:w="629" w:type="pct"/>
            <w:tcBorders>
              <w:top w:val="nil"/>
              <w:left w:val="nil"/>
              <w:bottom w:val="nil"/>
              <w:right w:val="nil"/>
            </w:tcBorders>
          </w:tcPr>
          <w:p w:rsidR="00E072FD" w:rsidRPr="00B07B55" w:rsidRDefault="00E072FD" w:rsidP="00903944">
            <w:pPr>
              <w:pStyle w:val="Tabletext"/>
              <w:spacing w:before="120"/>
              <w:rPr>
                <w:lang w:val="en-GB"/>
              </w:rPr>
            </w:pPr>
          </w:p>
        </w:tc>
        <w:tc>
          <w:tcPr>
            <w:tcW w:w="629" w:type="pct"/>
            <w:tcBorders>
              <w:top w:val="nil"/>
              <w:left w:val="nil"/>
              <w:bottom w:val="nil"/>
              <w:right w:val="nil"/>
            </w:tcBorders>
          </w:tcPr>
          <w:p w:rsidR="00E072FD" w:rsidRPr="00B07B55" w:rsidRDefault="00E072FD" w:rsidP="00903944">
            <w:pPr>
              <w:pStyle w:val="Tabletext"/>
              <w:spacing w:before="120"/>
              <w:rPr>
                <w:lang w:val="en-GB"/>
              </w:rPr>
            </w:pPr>
          </w:p>
        </w:tc>
        <w:tc>
          <w:tcPr>
            <w:tcW w:w="629" w:type="pct"/>
            <w:tcBorders>
              <w:top w:val="nil"/>
              <w:left w:val="nil"/>
              <w:bottom w:val="nil"/>
            </w:tcBorders>
          </w:tcPr>
          <w:p w:rsidR="00E072FD" w:rsidRPr="00B07B55" w:rsidRDefault="00E072FD" w:rsidP="00903944">
            <w:pPr>
              <w:pStyle w:val="Tabletext"/>
              <w:spacing w:before="120"/>
              <w:rPr>
                <w:lang w:val="en-GB"/>
              </w:rPr>
            </w:pPr>
          </w:p>
        </w:tc>
        <w:tc>
          <w:tcPr>
            <w:tcW w:w="629" w:type="pct"/>
            <w:tcBorders>
              <w:top w:val="nil"/>
              <w:left w:val="nil"/>
              <w:bottom w:val="nil"/>
            </w:tcBorders>
          </w:tcPr>
          <w:p w:rsidR="00E072FD" w:rsidRPr="00B07B55" w:rsidRDefault="00E072FD" w:rsidP="00903944">
            <w:pPr>
              <w:pStyle w:val="Tabletext"/>
              <w:spacing w:before="120"/>
              <w:rPr>
                <w:lang w:val="en-GB"/>
              </w:rPr>
            </w:pPr>
          </w:p>
        </w:tc>
      </w:tr>
      <w:tr w:rsidR="00E072FD" w:rsidRPr="009B641C" w:rsidTr="00903944">
        <w:trPr>
          <w:cantSplit/>
        </w:trPr>
        <w:tc>
          <w:tcPr>
            <w:tcW w:w="1855" w:type="pct"/>
            <w:tcBorders>
              <w:top w:val="nil"/>
              <w:bottom w:val="nil"/>
              <w:right w:val="nil"/>
            </w:tcBorders>
          </w:tcPr>
          <w:p w:rsidR="00E072FD" w:rsidRPr="009B641C" w:rsidRDefault="00E072FD" w:rsidP="00903944">
            <w:pPr>
              <w:pStyle w:val="Tabletext"/>
              <w:rPr>
                <w:i/>
                <w:lang w:val="en-GB"/>
              </w:rPr>
            </w:pPr>
            <w:r w:rsidRPr="009B641C">
              <w:rPr>
                <w:i/>
                <w:lang w:val="en-GB"/>
              </w:rPr>
              <w:t>Observations</w:t>
            </w:r>
          </w:p>
        </w:tc>
        <w:tc>
          <w:tcPr>
            <w:tcW w:w="629" w:type="pct"/>
            <w:tcBorders>
              <w:top w:val="nil"/>
              <w:left w:val="nil"/>
              <w:bottom w:val="nil"/>
              <w:right w:val="nil"/>
            </w:tcBorders>
          </w:tcPr>
          <w:p w:rsidR="00E072FD" w:rsidRPr="009B641C" w:rsidRDefault="00E072FD" w:rsidP="00903944">
            <w:pPr>
              <w:pStyle w:val="Tabletext"/>
              <w:jc w:val="center"/>
              <w:rPr>
                <w:i/>
                <w:lang w:val="en-GB"/>
              </w:rPr>
            </w:pPr>
            <w:r w:rsidRPr="009B641C">
              <w:rPr>
                <w:i/>
                <w:lang w:val="en-GB"/>
              </w:rPr>
              <w:t>823</w:t>
            </w:r>
          </w:p>
        </w:tc>
        <w:tc>
          <w:tcPr>
            <w:tcW w:w="629" w:type="pct"/>
            <w:tcBorders>
              <w:top w:val="nil"/>
              <w:left w:val="nil"/>
              <w:bottom w:val="nil"/>
              <w:right w:val="nil"/>
            </w:tcBorders>
          </w:tcPr>
          <w:p w:rsidR="00E072FD" w:rsidRPr="009B641C" w:rsidRDefault="00E072FD" w:rsidP="00903944">
            <w:pPr>
              <w:pStyle w:val="Tabletext"/>
              <w:jc w:val="center"/>
              <w:rPr>
                <w:i/>
                <w:lang w:val="en-GB"/>
              </w:rPr>
            </w:pPr>
            <w:r w:rsidRPr="009B641C">
              <w:rPr>
                <w:i/>
                <w:lang w:val="en-GB"/>
              </w:rPr>
              <w:t>1004</w:t>
            </w:r>
          </w:p>
        </w:tc>
        <w:tc>
          <w:tcPr>
            <w:tcW w:w="629" w:type="pct"/>
            <w:tcBorders>
              <w:top w:val="nil"/>
              <w:left w:val="nil"/>
              <w:bottom w:val="nil"/>
              <w:right w:val="nil"/>
            </w:tcBorders>
          </w:tcPr>
          <w:p w:rsidR="00E072FD" w:rsidRPr="009B641C" w:rsidRDefault="00E072FD" w:rsidP="00903944">
            <w:pPr>
              <w:pStyle w:val="Tabletext"/>
              <w:jc w:val="center"/>
              <w:rPr>
                <w:i/>
                <w:lang w:val="en-GB"/>
              </w:rPr>
            </w:pPr>
            <w:r w:rsidRPr="009B641C">
              <w:rPr>
                <w:i/>
                <w:lang w:val="en-GB"/>
              </w:rPr>
              <w:t>894</w:t>
            </w:r>
          </w:p>
        </w:tc>
        <w:tc>
          <w:tcPr>
            <w:tcW w:w="629" w:type="pct"/>
            <w:tcBorders>
              <w:top w:val="nil"/>
              <w:left w:val="nil"/>
              <w:bottom w:val="nil"/>
            </w:tcBorders>
          </w:tcPr>
          <w:p w:rsidR="00E072FD" w:rsidRPr="009B641C" w:rsidRDefault="00E072FD" w:rsidP="00903944">
            <w:pPr>
              <w:pStyle w:val="Tabletext"/>
              <w:jc w:val="center"/>
              <w:rPr>
                <w:i/>
                <w:lang w:val="en-GB"/>
              </w:rPr>
            </w:pPr>
            <w:r w:rsidRPr="009B641C">
              <w:rPr>
                <w:i/>
                <w:lang w:val="en-GB"/>
              </w:rPr>
              <w:t>709</w:t>
            </w:r>
          </w:p>
        </w:tc>
        <w:tc>
          <w:tcPr>
            <w:tcW w:w="629" w:type="pct"/>
            <w:tcBorders>
              <w:top w:val="nil"/>
              <w:left w:val="nil"/>
              <w:bottom w:val="nil"/>
            </w:tcBorders>
          </w:tcPr>
          <w:p w:rsidR="00E072FD" w:rsidRPr="009B641C" w:rsidRDefault="00E072FD" w:rsidP="00903944">
            <w:pPr>
              <w:pStyle w:val="Tabletext"/>
              <w:jc w:val="center"/>
              <w:rPr>
                <w:i/>
                <w:lang w:val="en-GB"/>
              </w:rPr>
            </w:pPr>
            <w:r w:rsidRPr="009B641C">
              <w:rPr>
                <w:i/>
                <w:lang w:val="en-GB"/>
              </w:rPr>
              <w:t>2672</w:t>
            </w:r>
          </w:p>
        </w:tc>
      </w:tr>
      <w:tr w:rsidR="00E072FD" w:rsidRPr="00B07B55" w:rsidTr="00903944">
        <w:trPr>
          <w:cantSplit/>
        </w:trPr>
        <w:tc>
          <w:tcPr>
            <w:tcW w:w="1855" w:type="pct"/>
            <w:tcBorders>
              <w:top w:val="nil"/>
              <w:bottom w:val="nil"/>
              <w:right w:val="nil"/>
            </w:tcBorders>
          </w:tcPr>
          <w:p w:rsidR="00E072FD" w:rsidRPr="00B07B55" w:rsidRDefault="00E072FD" w:rsidP="00903944">
            <w:pPr>
              <w:pStyle w:val="Tabletext"/>
              <w:spacing w:before="120"/>
              <w:rPr>
                <w:lang w:val="en-GB"/>
              </w:rPr>
            </w:pPr>
            <w:r w:rsidRPr="00B07B55">
              <w:rPr>
                <w:lang w:val="en-GB"/>
              </w:rPr>
              <w:t>No study</w:t>
            </w:r>
          </w:p>
        </w:tc>
        <w:tc>
          <w:tcPr>
            <w:tcW w:w="629" w:type="pct"/>
            <w:tcBorders>
              <w:top w:val="nil"/>
              <w:left w:val="nil"/>
              <w:bottom w:val="nil"/>
              <w:right w:val="nil"/>
            </w:tcBorders>
          </w:tcPr>
          <w:p w:rsidR="00E072FD" w:rsidRPr="00B07B55" w:rsidRDefault="00E072FD" w:rsidP="00DB5811">
            <w:pPr>
              <w:pStyle w:val="Tabletext"/>
              <w:tabs>
                <w:tab w:val="decimal" w:pos="425"/>
              </w:tabs>
              <w:spacing w:before="120"/>
              <w:rPr>
                <w:lang w:val="en-GB"/>
              </w:rPr>
            </w:pPr>
            <w:r w:rsidRPr="00B07B55">
              <w:rPr>
                <w:lang w:val="en-GB"/>
              </w:rPr>
              <w:t>86.39</w:t>
            </w:r>
          </w:p>
        </w:tc>
        <w:tc>
          <w:tcPr>
            <w:tcW w:w="629" w:type="pct"/>
            <w:tcBorders>
              <w:top w:val="nil"/>
              <w:left w:val="nil"/>
              <w:bottom w:val="nil"/>
              <w:right w:val="nil"/>
            </w:tcBorders>
          </w:tcPr>
          <w:p w:rsidR="00E072FD" w:rsidRPr="00B07B55" w:rsidRDefault="00E072FD" w:rsidP="00DB5811">
            <w:pPr>
              <w:pStyle w:val="Tabletext"/>
              <w:tabs>
                <w:tab w:val="decimal" w:pos="425"/>
              </w:tabs>
              <w:spacing w:before="120"/>
              <w:rPr>
                <w:lang w:val="en-GB"/>
              </w:rPr>
            </w:pPr>
            <w:r w:rsidRPr="00B07B55">
              <w:rPr>
                <w:lang w:val="en-GB"/>
              </w:rPr>
              <w:t>87.95</w:t>
            </w:r>
          </w:p>
        </w:tc>
        <w:tc>
          <w:tcPr>
            <w:tcW w:w="629" w:type="pct"/>
            <w:tcBorders>
              <w:top w:val="nil"/>
              <w:left w:val="nil"/>
              <w:bottom w:val="nil"/>
              <w:right w:val="nil"/>
            </w:tcBorders>
          </w:tcPr>
          <w:p w:rsidR="00E072FD" w:rsidRPr="00B07B55" w:rsidRDefault="00E072FD" w:rsidP="00DB5811">
            <w:pPr>
              <w:pStyle w:val="Tabletext"/>
              <w:tabs>
                <w:tab w:val="decimal" w:pos="425"/>
              </w:tabs>
              <w:spacing w:before="120"/>
              <w:rPr>
                <w:lang w:val="en-GB"/>
              </w:rPr>
            </w:pPr>
            <w:r w:rsidRPr="00B07B55">
              <w:rPr>
                <w:lang w:val="en-GB"/>
              </w:rPr>
              <w:t>91.05</w:t>
            </w:r>
          </w:p>
        </w:tc>
        <w:tc>
          <w:tcPr>
            <w:tcW w:w="629" w:type="pct"/>
            <w:tcBorders>
              <w:top w:val="nil"/>
              <w:left w:val="nil"/>
              <w:bottom w:val="nil"/>
            </w:tcBorders>
          </w:tcPr>
          <w:p w:rsidR="00E072FD" w:rsidRPr="00B07B55" w:rsidRDefault="00E072FD" w:rsidP="00DB5811">
            <w:pPr>
              <w:pStyle w:val="Tabletext"/>
              <w:tabs>
                <w:tab w:val="decimal" w:pos="425"/>
              </w:tabs>
              <w:spacing w:before="120"/>
              <w:rPr>
                <w:lang w:val="en-GB"/>
              </w:rPr>
            </w:pPr>
            <w:r w:rsidRPr="00B07B55">
              <w:rPr>
                <w:lang w:val="en-GB"/>
              </w:rPr>
              <w:t>92.10</w:t>
            </w:r>
          </w:p>
        </w:tc>
        <w:tc>
          <w:tcPr>
            <w:tcW w:w="629" w:type="pct"/>
            <w:tcBorders>
              <w:top w:val="nil"/>
              <w:left w:val="nil"/>
              <w:bottom w:val="nil"/>
            </w:tcBorders>
          </w:tcPr>
          <w:p w:rsidR="00E072FD" w:rsidRPr="00B07B55" w:rsidRDefault="00E072FD" w:rsidP="00DB5811">
            <w:pPr>
              <w:pStyle w:val="Tabletext"/>
              <w:tabs>
                <w:tab w:val="decimal" w:pos="425"/>
              </w:tabs>
              <w:spacing w:before="120"/>
              <w:rPr>
                <w:lang w:val="en-GB"/>
              </w:rPr>
            </w:pPr>
            <w:r>
              <w:rPr>
                <w:lang w:val="en-GB"/>
              </w:rPr>
              <w:t>74.06</w:t>
            </w:r>
          </w:p>
        </w:tc>
      </w:tr>
      <w:tr w:rsidR="00E072FD" w:rsidRPr="00B07B55" w:rsidTr="00903944">
        <w:trPr>
          <w:cantSplit/>
        </w:trPr>
        <w:tc>
          <w:tcPr>
            <w:tcW w:w="1855" w:type="pct"/>
            <w:tcBorders>
              <w:top w:val="nil"/>
              <w:bottom w:val="nil"/>
              <w:right w:val="nil"/>
            </w:tcBorders>
          </w:tcPr>
          <w:p w:rsidR="00E072FD" w:rsidRPr="00B07B55" w:rsidRDefault="00E072FD" w:rsidP="00903944">
            <w:pPr>
              <w:pStyle w:val="Tabletext"/>
              <w:rPr>
                <w:lang w:val="en-GB"/>
              </w:rPr>
            </w:pPr>
            <w:r w:rsidRPr="00B07B55">
              <w:rPr>
                <w:lang w:val="en-GB"/>
              </w:rPr>
              <w:t>Any formal study</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13.61</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12.05</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8.95</w:t>
            </w:r>
          </w:p>
        </w:tc>
        <w:tc>
          <w:tcPr>
            <w:tcW w:w="629" w:type="pct"/>
            <w:tcBorders>
              <w:top w:val="nil"/>
              <w:left w:val="nil"/>
              <w:bottom w:val="nil"/>
            </w:tcBorders>
          </w:tcPr>
          <w:p w:rsidR="00E072FD" w:rsidRPr="00B07B55" w:rsidRDefault="00E072FD" w:rsidP="00DB5811">
            <w:pPr>
              <w:pStyle w:val="Tabletext"/>
              <w:tabs>
                <w:tab w:val="decimal" w:pos="425"/>
              </w:tabs>
              <w:rPr>
                <w:lang w:val="en-GB"/>
              </w:rPr>
            </w:pPr>
            <w:r w:rsidRPr="00B07B55">
              <w:rPr>
                <w:lang w:val="en-GB"/>
              </w:rPr>
              <w:t>7.90</w:t>
            </w:r>
          </w:p>
        </w:tc>
        <w:tc>
          <w:tcPr>
            <w:tcW w:w="629" w:type="pct"/>
            <w:tcBorders>
              <w:top w:val="nil"/>
              <w:left w:val="nil"/>
              <w:bottom w:val="nil"/>
            </w:tcBorders>
          </w:tcPr>
          <w:p w:rsidR="00E072FD" w:rsidRPr="00B07B55" w:rsidRDefault="00E072FD" w:rsidP="00DB5811">
            <w:pPr>
              <w:pStyle w:val="Tabletext"/>
              <w:tabs>
                <w:tab w:val="decimal" w:pos="425"/>
              </w:tabs>
              <w:rPr>
                <w:lang w:val="en-GB"/>
              </w:rPr>
            </w:pPr>
            <w:r>
              <w:rPr>
                <w:lang w:val="en-GB"/>
              </w:rPr>
              <w:t>25.94</w:t>
            </w:r>
          </w:p>
        </w:tc>
      </w:tr>
      <w:tr w:rsidR="00E072FD" w:rsidRPr="00B07B55" w:rsidTr="00903944">
        <w:trPr>
          <w:cantSplit/>
        </w:trPr>
        <w:tc>
          <w:tcPr>
            <w:tcW w:w="1855" w:type="pct"/>
            <w:tcBorders>
              <w:top w:val="nil"/>
              <w:bottom w:val="nil"/>
              <w:right w:val="nil"/>
            </w:tcBorders>
          </w:tcPr>
          <w:p w:rsidR="00E072FD" w:rsidRPr="009B641C" w:rsidRDefault="00E072FD" w:rsidP="00903944">
            <w:pPr>
              <w:pStyle w:val="Tabletext"/>
              <w:rPr>
                <w:iCs/>
                <w:lang w:val="en-GB"/>
              </w:rPr>
            </w:pPr>
            <w:r w:rsidRPr="009B641C">
              <w:rPr>
                <w:iCs/>
                <w:lang w:val="en-GB"/>
              </w:rPr>
              <w:t>Of which:</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p>
        </w:tc>
        <w:tc>
          <w:tcPr>
            <w:tcW w:w="629" w:type="pct"/>
            <w:tcBorders>
              <w:top w:val="nil"/>
              <w:left w:val="nil"/>
              <w:bottom w:val="nil"/>
            </w:tcBorders>
          </w:tcPr>
          <w:p w:rsidR="00E072FD" w:rsidRPr="00B07B55" w:rsidRDefault="00E072FD" w:rsidP="00DB5811">
            <w:pPr>
              <w:pStyle w:val="Tabletext"/>
              <w:tabs>
                <w:tab w:val="decimal" w:pos="425"/>
              </w:tabs>
              <w:rPr>
                <w:lang w:val="en-GB"/>
              </w:rPr>
            </w:pPr>
          </w:p>
        </w:tc>
        <w:tc>
          <w:tcPr>
            <w:tcW w:w="629" w:type="pct"/>
            <w:tcBorders>
              <w:top w:val="nil"/>
              <w:left w:val="nil"/>
              <w:bottom w:val="nil"/>
            </w:tcBorders>
          </w:tcPr>
          <w:p w:rsidR="00E072FD" w:rsidRPr="00B07B55" w:rsidRDefault="00E072FD" w:rsidP="00DB5811">
            <w:pPr>
              <w:pStyle w:val="Tabletext"/>
              <w:tabs>
                <w:tab w:val="decimal" w:pos="425"/>
              </w:tabs>
              <w:rPr>
                <w:lang w:val="en-GB"/>
              </w:rPr>
            </w:pPr>
          </w:p>
        </w:tc>
      </w:tr>
      <w:tr w:rsidR="00E072FD" w:rsidRPr="00B07B55" w:rsidTr="00903944">
        <w:trPr>
          <w:cantSplit/>
        </w:trPr>
        <w:tc>
          <w:tcPr>
            <w:tcW w:w="1855" w:type="pct"/>
            <w:tcBorders>
              <w:top w:val="nil"/>
              <w:bottom w:val="nil"/>
              <w:right w:val="nil"/>
            </w:tcBorders>
            <w:tcMar>
              <w:right w:w="0" w:type="dxa"/>
            </w:tcMar>
          </w:tcPr>
          <w:p w:rsidR="00E072FD" w:rsidRPr="00B07B55" w:rsidRDefault="00E072FD" w:rsidP="00903944">
            <w:pPr>
              <w:pStyle w:val="Tabletext"/>
              <w:ind w:left="170"/>
              <w:rPr>
                <w:lang w:val="en-GB"/>
              </w:rPr>
            </w:pPr>
            <w:r w:rsidRPr="00B07B55">
              <w:rPr>
                <w:lang w:val="en-GB"/>
              </w:rPr>
              <w:t>Intermediate education (full-time only)</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0.89</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0.83</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1.25</w:t>
            </w:r>
          </w:p>
        </w:tc>
        <w:tc>
          <w:tcPr>
            <w:tcW w:w="629" w:type="pct"/>
            <w:tcBorders>
              <w:top w:val="nil"/>
              <w:left w:val="nil"/>
              <w:bottom w:val="nil"/>
            </w:tcBorders>
          </w:tcPr>
          <w:p w:rsidR="00E072FD" w:rsidRPr="00B07B55" w:rsidRDefault="00E072FD" w:rsidP="00DB5811">
            <w:pPr>
              <w:pStyle w:val="Tabletext"/>
              <w:tabs>
                <w:tab w:val="decimal" w:pos="425"/>
              </w:tabs>
              <w:rPr>
                <w:lang w:val="en-GB"/>
              </w:rPr>
            </w:pPr>
            <w:r w:rsidRPr="00B07B55">
              <w:rPr>
                <w:lang w:val="en-GB"/>
              </w:rPr>
              <w:t>0.00</w:t>
            </w:r>
          </w:p>
        </w:tc>
        <w:tc>
          <w:tcPr>
            <w:tcW w:w="629" w:type="pct"/>
            <w:tcBorders>
              <w:top w:val="nil"/>
              <w:left w:val="nil"/>
              <w:bottom w:val="nil"/>
            </w:tcBorders>
          </w:tcPr>
          <w:p w:rsidR="00E072FD" w:rsidRPr="00B07B55" w:rsidRDefault="00A85BEC" w:rsidP="00DB5811">
            <w:pPr>
              <w:pStyle w:val="Tabletext"/>
              <w:tabs>
                <w:tab w:val="decimal" w:pos="425"/>
              </w:tabs>
              <w:rPr>
                <w:lang w:val="en-GB"/>
              </w:rPr>
            </w:pPr>
            <w:r>
              <w:rPr>
                <w:lang w:val="en-GB"/>
              </w:rPr>
              <w:t>47.91</w:t>
            </w:r>
            <w:r w:rsidR="00255B6F" w:rsidRPr="00255B6F">
              <w:rPr>
                <w:vertAlign w:val="superscript"/>
                <w:lang w:val="en-GB"/>
              </w:rPr>
              <w:t>a</w:t>
            </w:r>
          </w:p>
        </w:tc>
      </w:tr>
      <w:tr w:rsidR="00E072FD" w:rsidRPr="00B07B55" w:rsidTr="00903944">
        <w:trPr>
          <w:cantSplit/>
        </w:trPr>
        <w:tc>
          <w:tcPr>
            <w:tcW w:w="1855" w:type="pct"/>
            <w:tcBorders>
              <w:top w:val="nil"/>
              <w:bottom w:val="nil"/>
              <w:right w:val="nil"/>
            </w:tcBorders>
            <w:tcMar>
              <w:right w:w="0" w:type="dxa"/>
            </w:tcMar>
          </w:tcPr>
          <w:p w:rsidR="00E072FD" w:rsidRPr="00B07B55" w:rsidRDefault="00E072FD" w:rsidP="00903944">
            <w:pPr>
              <w:pStyle w:val="Tabletext"/>
              <w:ind w:left="170"/>
              <w:rPr>
                <w:lang w:val="en-GB"/>
              </w:rPr>
            </w:pPr>
            <w:r w:rsidRPr="00B07B55">
              <w:rPr>
                <w:lang w:val="en-GB"/>
              </w:rPr>
              <w:t>Adult education centre (</w:t>
            </w:r>
            <w:r w:rsidR="00D701C5">
              <w:rPr>
                <w:lang w:val="en-GB"/>
              </w:rPr>
              <w:t xml:space="preserve">part-time </w:t>
            </w:r>
            <w:r w:rsidRPr="00B07B55">
              <w:rPr>
                <w:lang w:val="en-GB"/>
              </w:rPr>
              <w:t>only)</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11.61</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12.40</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20.00</w:t>
            </w:r>
          </w:p>
        </w:tc>
        <w:tc>
          <w:tcPr>
            <w:tcW w:w="629" w:type="pct"/>
            <w:tcBorders>
              <w:top w:val="nil"/>
              <w:left w:val="nil"/>
              <w:bottom w:val="nil"/>
            </w:tcBorders>
          </w:tcPr>
          <w:p w:rsidR="00E072FD" w:rsidRPr="00B07B55" w:rsidRDefault="00E072FD" w:rsidP="00DB5811">
            <w:pPr>
              <w:pStyle w:val="Tabletext"/>
              <w:tabs>
                <w:tab w:val="decimal" w:pos="425"/>
              </w:tabs>
              <w:rPr>
                <w:lang w:val="en-GB"/>
              </w:rPr>
            </w:pPr>
            <w:r w:rsidRPr="00B07B55">
              <w:rPr>
                <w:lang w:val="en-GB"/>
              </w:rPr>
              <w:t>28.57</w:t>
            </w:r>
          </w:p>
        </w:tc>
        <w:tc>
          <w:tcPr>
            <w:tcW w:w="629" w:type="pct"/>
            <w:tcBorders>
              <w:top w:val="nil"/>
              <w:left w:val="nil"/>
              <w:bottom w:val="nil"/>
            </w:tcBorders>
          </w:tcPr>
          <w:p w:rsidR="00E072FD" w:rsidRPr="00B07B55" w:rsidRDefault="00A85BEC" w:rsidP="00DB5811">
            <w:pPr>
              <w:pStyle w:val="Tabletext"/>
              <w:tabs>
                <w:tab w:val="decimal" w:pos="425"/>
              </w:tabs>
              <w:rPr>
                <w:lang w:val="en-GB"/>
              </w:rPr>
            </w:pPr>
            <w:r>
              <w:rPr>
                <w:lang w:val="en-GB"/>
              </w:rPr>
              <w:t>n/a</w:t>
            </w:r>
          </w:p>
        </w:tc>
      </w:tr>
      <w:tr w:rsidR="00E072FD" w:rsidRPr="00B07B55" w:rsidTr="00903944">
        <w:trPr>
          <w:cantSplit/>
        </w:trPr>
        <w:tc>
          <w:tcPr>
            <w:tcW w:w="1855" w:type="pct"/>
            <w:tcBorders>
              <w:top w:val="nil"/>
              <w:bottom w:val="nil"/>
              <w:right w:val="nil"/>
            </w:tcBorders>
            <w:tcMar>
              <w:right w:w="0" w:type="dxa"/>
            </w:tcMar>
          </w:tcPr>
          <w:p w:rsidR="00E072FD" w:rsidRPr="00B07B55" w:rsidRDefault="00D701C5" w:rsidP="00903944">
            <w:pPr>
              <w:pStyle w:val="Tabletext"/>
              <w:ind w:left="170"/>
              <w:rPr>
                <w:lang w:val="en-GB"/>
              </w:rPr>
            </w:pPr>
            <w:r>
              <w:rPr>
                <w:lang w:val="en-GB"/>
              </w:rPr>
              <w:t>Sub-degree/</w:t>
            </w:r>
            <w:r w:rsidR="00E428EC">
              <w:rPr>
                <w:lang w:val="en-GB"/>
              </w:rPr>
              <w:t>c</w:t>
            </w:r>
            <w:r w:rsidR="00E072FD" w:rsidRPr="00B07B55">
              <w:rPr>
                <w:lang w:val="en-GB"/>
              </w:rPr>
              <w:t>ollege</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58.93</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59.50</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61.25</w:t>
            </w:r>
          </w:p>
        </w:tc>
        <w:tc>
          <w:tcPr>
            <w:tcW w:w="629" w:type="pct"/>
            <w:tcBorders>
              <w:top w:val="nil"/>
              <w:left w:val="nil"/>
              <w:bottom w:val="nil"/>
            </w:tcBorders>
          </w:tcPr>
          <w:p w:rsidR="00E072FD" w:rsidRPr="00B07B55" w:rsidRDefault="00E072FD" w:rsidP="00DB5811">
            <w:pPr>
              <w:pStyle w:val="Tabletext"/>
              <w:tabs>
                <w:tab w:val="decimal" w:pos="425"/>
              </w:tabs>
              <w:rPr>
                <w:lang w:val="en-GB"/>
              </w:rPr>
            </w:pPr>
            <w:r w:rsidRPr="00B07B55">
              <w:rPr>
                <w:lang w:val="en-GB"/>
              </w:rPr>
              <w:t>53.57</w:t>
            </w:r>
          </w:p>
        </w:tc>
        <w:tc>
          <w:tcPr>
            <w:tcW w:w="629" w:type="pct"/>
            <w:tcBorders>
              <w:top w:val="nil"/>
              <w:left w:val="nil"/>
              <w:bottom w:val="nil"/>
            </w:tcBorders>
          </w:tcPr>
          <w:p w:rsidR="00E072FD" w:rsidRPr="00B07B55" w:rsidRDefault="00A85BEC" w:rsidP="00DB5811">
            <w:pPr>
              <w:pStyle w:val="Tabletext"/>
              <w:tabs>
                <w:tab w:val="decimal" w:pos="425"/>
              </w:tabs>
              <w:rPr>
                <w:lang w:val="en-GB"/>
              </w:rPr>
            </w:pPr>
            <w:r>
              <w:rPr>
                <w:lang w:val="en-GB"/>
              </w:rPr>
              <w:t>16.16</w:t>
            </w:r>
            <w:r w:rsidR="00255B6F" w:rsidRPr="00255B6F">
              <w:rPr>
                <w:vertAlign w:val="superscript"/>
                <w:lang w:val="en-GB"/>
              </w:rPr>
              <w:t>b</w:t>
            </w:r>
          </w:p>
        </w:tc>
      </w:tr>
      <w:tr w:rsidR="00E072FD" w:rsidRPr="00B07B55" w:rsidTr="00903944">
        <w:trPr>
          <w:cantSplit/>
        </w:trPr>
        <w:tc>
          <w:tcPr>
            <w:tcW w:w="1855" w:type="pct"/>
            <w:tcBorders>
              <w:top w:val="nil"/>
              <w:bottom w:val="nil"/>
              <w:right w:val="nil"/>
            </w:tcBorders>
            <w:tcMar>
              <w:right w:w="0" w:type="dxa"/>
            </w:tcMar>
          </w:tcPr>
          <w:p w:rsidR="00E072FD" w:rsidRPr="00B07B55" w:rsidRDefault="00E072FD" w:rsidP="00903944">
            <w:pPr>
              <w:pStyle w:val="Tabletext"/>
              <w:ind w:left="170"/>
              <w:rPr>
                <w:lang w:val="en-GB"/>
              </w:rPr>
            </w:pPr>
            <w:r w:rsidRPr="00B07B55">
              <w:rPr>
                <w:lang w:val="en-GB"/>
              </w:rPr>
              <w:t>University</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28.57</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27.27</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17.50</w:t>
            </w:r>
          </w:p>
        </w:tc>
        <w:tc>
          <w:tcPr>
            <w:tcW w:w="629" w:type="pct"/>
            <w:tcBorders>
              <w:top w:val="nil"/>
              <w:left w:val="nil"/>
              <w:bottom w:val="nil"/>
            </w:tcBorders>
          </w:tcPr>
          <w:p w:rsidR="00E072FD" w:rsidRPr="00B07B55" w:rsidRDefault="00E072FD" w:rsidP="00DB5811">
            <w:pPr>
              <w:pStyle w:val="Tabletext"/>
              <w:tabs>
                <w:tab w:val="decimal" w:pos="425"/>
              </w:tabs>
              <w:rPr>
                <w:lang w:val="en-GB"/>
              </w:rPr>
            </w:pPr>
            <w:r w:rsidRPr="00B07B55">
              <w:rPr>
                <w:lang w:val="en-GB"/>
              </w:rPr>
              <w:t>17.86</w:t>
            </w:r>
          </w:p>
        </w:tc>
        <w:tc>
          <w:tcPr>
            <w:tcW w:w="629" w:type="pct"/>
            <w:tcBorders>
              <w:top w:val="nil"/>
              <w:left w:val="nil"/>
              <w:bottom w:val="nil"/>
            </w:tcBorders>
          </w:tcPr>
          <w:p w:rsidR="00E072FD" w:rsidRPr="00B07B55" w:rsidRDefault="00025CDB" w:rsidP="00DB5811">
            <w:pPr>
              <w:pStyle w:val="Tabletext"/>
              <w:tabs>
                <w:tab w:val="decimal" w:pos="425"/>
              </w:tabs>
              <w:rPr>
                <w:lang w:val="en-GB"/>
              </w:rPr>
            </w:pPr>
            <w:r>
              <w:rPr>
                <w:lang w:val="en-GB"/>
              </w:rPr>
              <w:t>31.31</w:t>
            </w:r>
            <w:r w:rsidR="00255B6F" w:rsidRPr="00255B6F">
              <w:rPr>
                <w:vertAlign w:val="superscript"/>
                <w:lang w:val="en-GB"/>
              </w:rPr>
              <w:t>c</w:t>
            </w:r>
          </w:p>
        </w:tc>
      </w:tr>
      <w:tr w:rsidR="00E072FD" w:rsidRPr="00B07B55" w:rsidTr="00903944">
        <w:trPr>
          <w:cantSplit/>
        </w:trPr>
        <w:tc>
          <w:tcPr>
            <w:tcW w:w="1855" w:type="pct"/>
            <w:tcBorders>
              <w:top w:val="nil"/>
              <w:bottom w:val="nil"/>
              <w:right w:val="nil"/>
            </w:tcBorders>
          </w:tcPr>
          <w:p w:rsidR="00E072FD" w:rsidRPr="00903944" w:rsidRDefault="00E072FD" w:rsidP="00903944">
            <w:pPr>
              <w:pStyle w:val="Tabletext"/>
              <w:spacing w:before="120"/>
              <w:rPr>
                <w:b/>
                <w:lang w:val="en-GB"/>
              </w:rPr>
            </w:pPr>
            <w:r w:rsidRPr="00903944">
              <w:rPr>
                <w:b/>
                <w:lang w:val="en-GB"/>
              </w:rPr>
              <w:t>Females</w:t>
            </w:r>
          </w:p>
        </w:tc>
        <w:tc>
          <w:tcPr>
            <w:tcW w:w="629" w:type="pct"/>
            <w:tcBorders>
              <w:top w:val="nil"/>
              <w:left w:val="nil"/>
              <w:bottom w:val="nil"/>
              <w:right w:val="nil"/>
            </w:tcBorders>
          </w:tcPr>
          <w:p w:rsidR="00E072FD" w:rsidRPr="00B07B55" w:rsidRDefault="00E072FD" w:rsidP="00903944">
            <w:pPr>
              <w:pStyle w:val="Tabletext"/>
              <w:spacing w:before="120"/>
              <w:rPr>
                <w:lang w:val="en-GB"/>
              </w:rPr>
            </w:pPr>
          </w:p>
        </w:tc>
        <w:tc>
          <w:tcPr>
            <w:tcW w:w="629" w:type="pct"/>
            <w:tcBorders>
              <w:top w:val="nil"/>
              <w:left w:val="nil"/>
              <w:bottom w:val="nil"/>
              <w:right w:val="nil"/>
            </w:tcBorders>
          </w:tcPr>
          <w:p w:rsidR="00E072FD" w:rsidRPr="00B07B55" w:rsidRDefault="00E072FD" w:rsidP="00903944">
            <w:pPr>
              <w:pStyle w:val="Tabletext"/>
              <w:spacing w:before="120"/>
              <w:rPr>
                <w:lang w:val="en-GB"/>
              </w:rPr>
            </w:pPr>
          </w:p>
        </w:tc>
        <w:tc>
          <w:tcPr>
            <w:tcW w:w="629" w:type="pct"/>
            <w:tcBorders>
              <w:top w:val="nil"/>
              <w:left w:val="nil"/>
              <w:bottom w:val="nil"/>
              <w:right w:val="nil"/>
            </w:tcBorders>
          </w:tcPr>
          <w:p w:rsidR="00E072FD" w:rsidRPr="00B07B55" w:rsidRDefault="00E072FD" w:rsidP="00903944">
            <w:pPr>
              <w:pStyle w:val="Tabletext"/>
              <w:spacing w:before="120"/>
              <w:rPr>
                <w:lang w:val="en-GB"/>
              </w:rPr>
            </w:pPr>
          </w:p>
        </w:tc>
        <w:tc>
          <w:tcPr>
            <w:tcW w:w="629" w:type="pct"/>
            <w:tcBorders>
              <w:top w:val="nil"/>
              <w:left w:val="nil"/>
              <w:bottom w:val="nil"/>
            </w:tcBorders>
          </w:tcPr>
          <w:p w:rsidR="00E072FD" w:rsidRPr="00B07B55" w:rsidRDefault="00E072FD" w:rsidP="00903944">
            <w:pPr>
              <w:pStyle w:val="Tabletext"/>
              <w:spacing w:before="120"/>
              <w:rPr>
                <w:lang w:val="en-GB"/>
              </w:rPr>
            </w:pPr>
          </w:p>
        </w:tc>
        <w:tc>
          <w:tcPr>
            <w:tcW w:w="629" w:type="pct"/>
            <w:tcBorders>
              <w:top w:val="nil"/>
              <w:left w:val="nil"/>
              <w:bottom w:val="nil"/>
            </w:tcBorders>
          </w:tcPr>
          <w:p w:rsidR="00E072FD" w:rsidRPr="00B07B55" w:rsidRDefault="00E072FD" w:rsidP="00903944">
            <w:pPr>
              <w:pStyle w:val="Tabletext"/>
              <w:spacing w:before="120"/>
              <w:rPr>
                <w:lang w:val="en-GB"/>
              </w:rPr>
            </w:pPr>
          </w:p>
        </w:tc>
      </w:tr>
      <w:tr w:rsidR="00E072FD" w:rsidRPr="009B641C" w:rsidTr="00903944">
        <w:trPr>
          <w:cantSplit/>
        </w:trPr>
        <w:tc>
          <w:tcPr>
            <w:tcW w:w="1855" w:type="pct"/>
            <w:tcBorders>
              <w:top w:val="nil"/>
              <w:bottom w:val="nil"/>
              <w:right w:val="nil"/>
            </w:tcBorders>
          </w:tcPr>
          <w:p w:rsidR="00E072FD" w:rsidRPr="009B641C" w:rsidRDefault="00E072FD" w:rsidP="00903944">
            <w:pPr>
              <w:pStyle w:val="Tabletext"/>
              <w:rPr>
                <w:i/>
                <w:lang w:val="en-GB"/>
              </w:rPr>
            </w:pPr>
            <w:r w:rsidRPr="009B641C">
              <w:rPr>
                <w:i/>
                <w:lang w:val="en-GB"/>
              </w:rPr>
              <w:t>Observations</w:t>
            </w:r>
          </w:p>
        </w:tc>
        <w:tc>
          <w:tcPr>
            <w:tcW w:w="629" w:type="pct"/>
            <w:tcBorders>
              <w:top w:val="nil"/>
              <w:left w:val="nil"/>
              <w:bottom w:val="nil"/>
              <w:right w:val="nil"/>
            </w:tcBorders>
          </w:tcPr>
          <w:p w:rsidR="00E072FD" w:rsidRPr="009B641C" w:rsidRDefault="00E072FD" w:rsidP="00903944">
            <w:pPr>
              <w:pStyle w:val="Tabletext"/>
              <w:jc w:val="center"/>
              <w:rPr>
                <w:i/>
                <w:lang w:val="en-GB"/>
              </w:rPr>
            </w:pPr>
            <w:r w:rsidRPr="009B641C">
              <w:rPr>
                <w:i/>
                <w:lang w:val="en-GB"/>
              </w:rPr>
              <w:t>1039</w:t>
            </w:r>
          </w:p>
        </w:tc>
        <w:tc>
          <w:tcPr>
            <w:tcW w:w="629" w:type="pct"/>
            <w:tcBorders>
              <w:top w:val="nil"/>
              <w:left w:val="nil"/>
              <w:bottom w:val="nil"/>
              <w:right w:val="nil"/>
            </w:tcBorders>
          </w:tcPr>
          <w:p w:rsidR="00E072FD" w:rsidRPr="009B641C" w:rsidRDefault="00E072FD" w:rsidP="00903944">
            <w:pPr>
              <w:pStyle w:val="Tabletext"/>
              <w:jc w:val="center"/>
              <w:rPr>
                <w:i/>
                <w:lang w:val="en-GB"/>
              </w:rPr>
            </w:pPr>
            <w:r w:rsidRPr="009B641C">
              <w:rPr>
                <w:i/>
                <w:lang w:val="en-GB"/>
              </w:rPr>
              <w:t>1276</w:t>
            </w:r>
          </w:p>
        </w:tc>
        <w:tc>
          <w:tcPr>
            <w:tcW w:w="629" w:type="pct"/>
            <w:tcBorders>
              <w:top w:val="nil"/>
              <w:left w:val="nil"/>
              <w:bottom w:val="nil"/>
              <w:right w:val="nil"/>
            </w:tcBorders>
          </w:tcPr>
          <w:p w:rsidR="00E072FD" w:rsidRPr="009B641C" w:rsidRDefault="00E072FD" w:rsidP="00903944">
            <w:pPr>
              <w:pStyle w:val="Tabletext"/>
              <w:jc w:val="center"/>
              <w:rPr>
                <w:i/>
                <w:lang w:val="en-GB"/>
              </w:rPr>
            </w:pPr>
            <w:r w:rsidRPr="009B641C">
              <w:rPr>
                <w:i/>
                <w:lang w:val="en-GB"/>
              </w:rPr>
              <w:t>1079</w:t>
            </w:r>
          </w:p>
        </w:tc>
        <w:tc>
          <w:tcPr>
            <w:tcW w:w="629" w:type="pct"/>
            <w:tcBorders>
              <w:top w:val="nil"/>
              <w:left w:val="nil"/>
              <w:bottom w:val="nil"/>
            </w:tcBorders>
          </w:tcPr>
          <w:p w:rsidR="00E072FD" w:rsidRPr="009B641C" w:rsidRDefault="00E072FD" w:rsidP="00903944">
            <w:pPr>
              <w:pStyle w:val="Tabletext"/>
              <w:jc w:val="center"/>
              <w:rPr>
                <w:i/>
                <w:lang w:val="en-GB"/>
              </w:rPr>
            </w:pPr>
            <w:r w:rsidRPr="009B641C">
              <w:rPr>
                <w:i/>
                <w:lang w:val="en-GB"/>
              </w:rPr>
              <w:t>896</w:t>
            </w:r>
          </w:p>
        </w:tc>
        <w:tc>
          <w:tcPr>
            <w:tcW w:w="629" w:type="pct"/>
            <w:tcBorders>
              <w:top w:val="nil"/>
              <w:left w:val="nil"/>
              <w:bottom w:val="nil"/>
            </w:tcBorders>
          </w:tcPr>
          <w:p w:rsidR="00E072FD" w:rsidRPr="009B641C" w:rsidRDefault="00A85BEC" w:rsidP="00903944">
            <w:pPr>
              <w:pStyle w:val="Tabletext"/>
              <w:jc w:val="center"/>
              <w:rPr>
                <w:i/>
                <w:lang w:val="en-GB"/>
              </w:rPr>
            </w:pPr>
            <w:r w:rsidRPr="009B641C">
              <w:rPr>
                <w:i/>
                <w:lang w:val="en-GB"/>
              </w:rPr>
              <w:t>3138</w:t>
            </w:r>
          </w:p>
        </w:tc>
      </w:tr>
      <w:tr w:rsidR="00E072FD" w:rsidRPr="00B07B55" w:rsidTr="00903944">
        <w:trPr>
          <w:cantSplit/>
        </w:trPr>
        <w:tc>
          <w:tcPr>
            <w:tcW w:w="1855" w:type="pct"/>
            <w:tcBorders>
              <w:top w:val="nil"/>
              <w:bottom w:val="nil"/>
              <w:right w:val="nil"/>
            </w:tcBorders>
          </w:tcPr>
          <w:p w:rsidR="00E072FD" w:rsidRPr="00B07B55" w:rsidRDefault="00E072FD" w:rsidP="00903944">
            <w:pPr>
              <w:pStyle w:val="Tabletext"/>
              <w:spacing w:before="120"/>
              <w:rPr>
                <w:lang w:val="en-GB"/>
              </w:rPr>
            </w:pPr>
            <w:r w:rsidRPr="00B07B55">
              <w:rPr>
                <w:lang w:val="en-GB"/>
              </w:rPr>
              <w:t>No study</w:t>
            </w:r>
          </w:p>
        </w:tc>
        <w:tc>
          <w:tcPr>
            <w:tcW w:w="629" w:type="pct"/>
            <w:tcBorders>
              <w:top w:val="nil"/>
              <w:left w:val="nil"/>
              <w:bottom w:val="nil"/>
              <w:right w:val="nil"/>
            </w:tcBorders>
          </w:tcPr>
          <w:p w:rsidR="00E072FD" w:rsidRPr="00B07B55" w:rsidRDefault="00E072FD" w:rsidP="00DB5811">
            <w:pPr>
              <w:pStyle w:val="Tabletext"/>
              <w:tabs>
                <w:tab w:val="decimal" w:pos="425"/>
              </w:tabs>
              <w:spacing w:before="120"/>
              <w:rPr>
                <w:lang w:val="en-GB"/>
              </w:rPr>
            </w:pPr>
            <w:r w:rsidRPr="00B07B55">
              <w:rPr>
                <w:lang w:val="en-GB"/>
              </w:rPr>
              <w:t>80.37</w:t>
            </w:r>
          </w:p>
        </w:tc>
        <w:tc>
          <w:tcPr>
            <w:tcW w:w="629" w:type="pct"/>
            <w:tcBorders>
              <w:top w:val="nil"/>
              <w:left w:val="nil"/>
              <w:bottom w:val="nil"/>
              <w:right w:val="nil"/>
            </w:tcBorders>
          </w:tcPr>
          <w:p w:rsidR="00E072FD" w:rsidRPr="00B07B55" w:rsidRDefault="00E072FD" w:rsidP="00DB5811">
            <w:pPr>
              <w:pStyle w:val="Tabletext"/>
              <w:tabs>
                <w:tab w:val="decimal" w:pos="425"/>
              </w:tabs>
              <w:spacing w:before="120"/>
              <w:rPr>
                <w:lang w:val="en-GB"/>
              </w:rPr>
            </w:pPr>
            <w:r w:rsidRPr="00B07B55">
              <w:rPr>
                <w:lang w:val="en-GB"/>
              </w:rPr>
              <w:t>73.04</w:t>
            </w:r>
          </w:p>
        </w:tc>
        <w:tc>
          <w:tcPr>
            <w:tcW w:w="629" w:type="pct"/>
            <w:tcBorders>
              <w:top w:val="nil"/>
              <w:left w:val="nil"/>
              <w:bottom w:val="nil"/>
              <w:right w:val="nil"/>
            </w:tcBorders>
          </w:tcPr>
          <w:p w:rsidR="00E072FD" w:rsidRPr="00B07B55" w:rsidRDefault="00E072FD" w:rsidP="00DB5811">
            <w:pPr>
              <w:pStyle w:val="Tabletext"/>
              <w:tabs>
                <w:tab w:val="decimal" w:pos="425"/>
              </w:tabs>
              <w:spacing w:before="120"/>
              <w:rPr>
                <w:lang w:val="en-GB"/>
              </w:rPr>
            </w:pPr>
            <w:r w:rsidRPr="00B07B55">
              <w:rPr>
                <w:lang w:val="en-GB"/>
              </w:rPr>
              <w:t>83.41</w:t>
            </w:r>
          </w:p>
        </w:tc>
        <w:tc>
          <w:tcPr>
            <w:tcW w:w="629" w:type="pct"/>
            <w:tcBorders>
              <w:top w:val="nil"/>
              <w:left w:val="nil"/>
              <w:bottom w:val="nil"/>
            </w:tcBorders>
          </w:tcPr>
          <w:p w:rsidR="00E072FD" w:rsidRPr="00B07B55" w:rsidRDefault="00E072FD" w:rsidP="00DB5811">
            <w:pPr>
              <w:pStyle w:val="Tabletext"/>
              <w:tabs>
                <w:tab w:val="decimal" w:pos="425"/>
              </w:tabs>
              <w:spacing w:before="120"/>
              <w:rPr>
                <w:lang w:val="en-GB"/>
              </w:rPr>
            </w:pPr>
            <w:r w:rsidRPr="00B07B55">
              <w:rPr>
                <w:lang w:val="en-GB"/>
              </w:rPr>
              <w:t>89.73</w:t>
            </w:r>
          </w:p>
        </w:tc>
        <w:tc>
          <w:tcPr>
            <w:tcW w:w="629" w:type="pct"/>
            <w:tcBorders>
              <w:top w:val="nil"/>
              <w:left w:val="nil"/>
              <w:bottom w:val="nil"/>
            </w:tcBorders>
          </w:tcPr>
          <w:p w:rsidR="00E072FD" w:rsidRPr="00B07B55" w:rsidRDefault="00A85BEC" w:rsidP="00DB5811">
            <w:pPr>
              <w:pStyle w:val="Tabletext"/>
              <w:tabs>
                <w:tab w:val="decimal" w:pos="425"/>
              </w:tabs>
              <w:spacing w:before="120"/>
              <w:rPr>
                <w:lang w:val="en-GB"/>
              </w:rPr>
            </w:pPr>
            <w:r>
              <w:rPr>
                <w:lang w:val="en-GB"/>
              </w:rPr>
              <w:t>69.00</w:t>
            </w:r>
          </w:p>
        </w:tc>
      </w:tr>
      <w:tr w:rsidR="00E072FD" w:rsidRPr="00B07B55" w:rsidTr="00903944">
        <w:trPr>
          <w:cantSplit/>
        </w:trPr>
        <w:tc>
          <w:tcPr>
            <w:tcW w:w="1855" w:type="pct"/>
            <w:tcBorders>
              <w:top w:val="nil"/>
              <w:bottom w:val="nil"/>
              <w:right w:val="nil"/>
            </w:tcBorders>
          </w:tcPr>
          <w:p w:rsidR="00E072FD" w:rsidRPr="00B07B55" w:rsidRDefault="00E072FD" w:rsidP="00903944">
            <w:pPr>
              <w:pStyle w:val="Tabletext"/>
              <w:rPr>
                <w:lang w:val="en-GB"/>
              </w:rPr>
            </w:pPr>
            <w:r w:rsidRPr="00B07B55">
              <w:rPr>
                <w:lang w:val="en-GB"/>
              </w:rPr>
              <w:t>Any study</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19.63</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26.96</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16.59</w:t>
            </w:r>
          </w:p>
        </w:tc>
        <w:tc>
          <w:tcPr>
            <w:tcW w:w="629" w:type="pct"/>
            <w:tcBorders>
              <w:top w:val="nil"/>
              <w:left w:val="nil"/>
              <w:bottom w:val="nil"/>
            </w:tcBorders>
          </w:tcPr>
          <w:p w:rsidR="00E072FD" w:rsidRPr="00B07B55" w:rsidRDefault="00E072FD" w:rsidP="00DB5811">
            <w:pPr>
              <w:pStyle w:val="Tabletext"/>
              <w:tabs>
                <w:tab w:val="decimal" w:pos="425"/>
              </w:tabs>
              <w:rPr>
                <w:lang w:val="en-GB"/>
              </w:rPr>
            </w:pPr>
            <w:r w:rsidRPr="00B07B55">
              <w:rPr>
                <w:lang w:val="en-GB"/>
              </w:rPr>
              <w:t>10.27</w:t>
            </w:r>
          </w:p>
        </w:tc>
        <w:tc>
          <w:tcPr>
            <w:tcW w:w="629" w:type="pct"/>
            <w:tcBorders>
              <w:top w:val="nil"/>
              <w:left w:val="nil"/>
              <w:bottom w:val="nil"/>
            </w:tcBorders>
          </w:tcPr>
          <w:p w:rsidR="00E072FD" w:rsidRPr="00B07B55" w:rsidRDefault="00A85BEC" w:rsidP="00DB5811">
            <w:pPr>
              <w:pStyle w:val="Tabletext"/>
              <w:tabs>
                <w:tab w:val="decimal" w:pos="425"/>
              </w:tabs>
              <w:rPr>
                <w:lang w:val="en-GB"/>
              </w:rPr>
            </w:pPr>
            <w:r>
              <w:rPr>
                <w:lang w:val="en-GB"/>
              </w:rPr>
              <w:t>31.00</w:t>
            </w:r>
          </w:p>
        </w:tc>
      </w:tr>
      <w:tr w:rsidR="00E072FD" w:rsidRPr="00B07B55" w:rsidTr="00903944">
        <w:trPr>
          <w:cantSplit/>
        </w:trPr>
        <w:tc>
          <w:tcPr>
            <w:tcW w:w="1855" w:type="pct"/>
            <w:tcBorders>
              <w:top w:val="nil"/>
              <w:bottom w:val="nil"/>
              <w:right w:val="nil"/>
            </w:tcBorders>
          </w:tcPr>
          <w:p w:rsidR="00E072FD" w:rsidRPr="009B641C" w:rsidRDefault="00E072FD" w:rsidP="009B641C">
            <w:pPr>
              <w:pStyle w:val="Tabletext"/>
              <w:tabs>
                <w:tab w:val="left" w:pos="1039"/>
              </w:tabs>
              <w:rPr>
                <w:iCs/>
                <w:lang w:val="en-GB"/>
              </w:rPr>
            </w:pPr>
            <w:r w:rsidRPr="009B641C">
              <w:rPr>
                <w:iCs/>
                <w:lang w:val="en-GB"/>
              </w:rPr>
              <w:t>Of which:</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p>
        </w:tc>
        <w:tc>
          <w:tcPr>
            <w:tcW w:w="629" w:type="pct"/>
            <w:tcBorders>
              <w:top w:val="nil"/>
              <w:left w:val="nil"/>
              <w:bottom w:val="nil"/>
            </w:tcBorders>
          </w:tcPr>
          <w:p w:rsidR="00E072FD" w:rsidRPr="00B07B55" w:rsidRDefault="00E072FD" w:rsidP="00DB5811">
            <w:pPr>
              <w:pStyle w:val="Tabletext"/>
              <w:tabs>
                <w:tab w:val="decimal" w:pos="425"/>
              </w:tabs>
              <w:rPr>
                <w:lang w:val="en-GB"/>
              </w:rPr>
            </w:pPr>
          </w:p>
        </w:tc>
        <w:tc>
          <w:tcPr>
            <w:tcW w:w="629" w:type="pct"/>
            <w:tcBorders>
              <w:top w:val="nil"/>
              <w:left w:val="nil"/>
              <w:bottom w:val="nil"/>
            </w:tcBorders>
          </w:tcPr>
          <w:p w:rsidR="00E072FD" w:rsidRPr="00B07B55" w:rsidRDefault="00E072FD" w:rsidP="00DB5811">
            <w:pPr>
              <w:pStyle w:val="Tabletext"/>
              <w:tabs>
                <w:tab w:val="decimal" w:pos="425"/>
              </w:tabs>
              <w:rPr>
                <w:lang w:val="en-GB"/>
              </w:rPr>
            </w:pPr>
          </w:p>
        </w:tc>
      </w:tr>
      <w:tr w:rsidR="00E072FD" w:rsidRPr="00B07B55" w:rsidTr="00903944">
        <w:trPr>
          <w:cantSplit/>
        </w:trPr>
        <w:tc>
          <w:tcPr>
            <w:tcW w:w="1855" w:type="pct"/>
            <w:tcBorders>
              <w:top w:val="nil"/>
              <w:bottom w:val="nil"/>
              <w:right w:val="nil"/>
            </w:tcBorders>
            <w:tcMar>
              <w:right w:w="0" w:type="dxa"/>
            </w:tcMar>
          </w:tcPr>
          <w:p w:rsidR="00E072FD" w:rsidRPr="00B07B55" w:rsidRDefault="00E072FD" w:rsidP="00903944">
            <w:pPr>
              <w:pStyle w:val="Tabletext"/>
              <w:ind w:left="170"/>
              <w:rPr>
                <w:lang w:val="en-GB"/>
              </w:rPr>
            </w:pPr>
            <w:r w:rsidRPr="00B07B55">
              <w:rPr>
                <w:lang w:val="en-GB"/>
              </w:rPr>
              <w:t>Intermediate education (full-time only)</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1.47</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1.45</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0.00</w:t>
            </w:r>
          </w:p>
        </w:tc>
        <w:tc>
          <w:tcPr>
            <w:tcW w:w="629" w:type="pct"/>
            <w:tcBorders>
              <w:top w:val="nil"/>
              <w:left w:val="nil"/>
              <w:bottom w:val="nil"/>
            </w:tcBorders>
          </w:tcPr>
          <w:p w:rsidR="00E072FD" w:rsidRPr="00B07B55" w:rsidRDefault="00E072FD" w:rsidP="00DB5811">
            <w:pPr>
              <w:pStyle w:val="Tabletext"/>
              <w:tabs>
                <w:tab w:val="decimal" w:pos="425"/>
              </w:tabs>
              <w:rPr>
                <w:lang w:val="en-GB"/>
              </w:rPr>
            </w:pPr>
            <w:r w:rsidRPr="00B07B55">
              <w:rPr>
                <w:lang w:val="en-GB"/>
              </w:rPr>
              <w:t xml:space="preserve">0.00 </w:t>
            </w:r>
          </w:p>
        </w:tc>
        <w:tc>
          <w:tcPr>
            <w:tcW w:w="629" w:type="pct"/>
            <w:tcBorders>
              <w:top w:val="nil"/>
              <w:left w:val="nil"/>
              <w:bottom w:val="nil"/>
            </w:tcBorders>
          </w:tcPr>
          <w:p w:rsidR="00E072FD" w:rsidRPr="00B07B55" w:rsidRDefault="002C0ADC" w:rsidP="00DB5811">
            <w:pPr>
              <w:pStyle w:val="Tabletext"/>
              <w:tabs>
                <w:tab w:val="decimal" w:pos="425"/>
              </w:tabs>
              <w:rPr>
                <w:lang w:val="en-GB"/>
              </w:rPr>
            </w:pPr>
            <w:r>
              <w:rPr>
                <w:lang w:val="en-GB"/>
              </w:rPr>
              <w:t>53.81</w:t>
            </w:r>
            <w:r w:rsidRPr="00025CDB">
              <w:rPr>
                <w:vertAlign w:val="superscript"/>
                <w:lang w:val="en-GB"/>
              </w:rPr>
              <w:t xml:space="preserve"> a</w:t>
            </w:r>
          </w:p>
        </w:tc>
      </w:tr>
      <w:tr w:rsidR="00E072FD" w:rsidRPr="00B07B55" w:rsidTr="00903944">
        <w:trPr>
          <w:cantSplit/>
        </w:trPr>
        <w:tc>
          <w:tcPr>
            <w:tcW w:w="1855" w:type="pct"/>
            <w:tcBorders>
              <w:top w:val="nil"/>
              <w:bottom w:val="nil"/>
              <w:right w:val="nil"/>
            </w:tcBorders>
            <w:tcMar>
              <w:right w:w="0" w:type="dxa"/>
            </w:tcMar>
          </w:tcPr>
          <w:p w:rsidR="00E072FD" w:rsidRPr="00B07B55" w:rsidRDefault="00E072FD" w:rsidP="00903944">
            <w:pPr>
              <w:pStyle w:val="Tabletext"/>
              <w:ind w:left="170"/>
              <w:rPr>
                <w:lang w:val="en-GB"/>
              </w:rPr>
            </w:pPr>
            <w:r w:rsidRPr="00B07B55">
              <w:rPr>
                <w:lang w:val="en-GB"/>
              </w:rPr>
              <w:t>Adul</w:t>
            </w:r>
            <w:r w:rsidR="00D701C5">
              <w:rPr>
                <w:lang w:val="en-GB"/>
              </w:rPr>
              <w:t>t education centre (part-time</w:t>
            </w:r>
            <w:r w:rsidRPr="00B07B55">
              <w:rPr>
                <w:lang w:val="en-GB"/>
              </w:rPr>
              <w:t xml:space="preserve"> only)</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16.18</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16.86</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22.91</w:t>
            </w:r>
          </w:p>
        </w:tc>
        <w:tc>
          <w:tcPr>
            <w:tcW w:w="629" w:type="pct"/>
            <w:tcBorders>
              <w:top w:val="nil"/>
              <w:left w:val="nil"/>
              <w:bottom w:val="nil"/>
            </w:tcBorders>
          </w:tcPr>
          <w:p w:rsidR="00E072FD" w:rsidRPr="00B07B55" w:rsidRDefault="00E072FD" w:rsidP="00DB5811">
            <w:pPr>
              <w:pStyle w:val="Tabletext"/>
              <w:tabs>
                <w:tab w:val="decimal" w:pos="425"/>
              </w:tabs>
              <w:rPr>
                <w:lang w:val="en-GB"/>
              </w:rPr>
            </w:pPr>
            <w:r w:rsidRPr="00B07B55">
              <w:rPr>
                <w:lang w:val="en-GB"/>
              </w:rPr>
              <w:t>38.04</w:t>
            </w:r>
          </w:p>
        </w:tc>
        <w:tc>
          <w:tcPr>
            <w:tcW w:w="629" w:type="pct"/>
            <w:tcBorders>
              <w:top w:val="nil"/>
              <w:left w:val="nil"/>
              <w:bottom w:val="nil"/>
            </w:tcBorders>
          </w:tcPr>
          <w:p w:rsidR="00E072FD" w:rsidRPr="00B07B55" w:rsidRDefault="00A85BEC" w:rsidP="00DB5811">
            <w:pPr>
              <w:pStyle w:val="Tabletext"/>
              <w:tabs>
                <w:tab w:val="decimal" w:pos="425"/>
              </w:tabs>
              <w:rPr>
                <w:lang w:val="en-GB"/>
              </w:rPr>
            </w:pPr>
            <w:r>
              <w:rPr>
                <w:lang w:val="en-GB"/>
              </w:rPr>
              <w:t>n/a</w:t>
            </w:r>
          </w:p>
        </w:tc>
      </w:tr>
      <w:tr w:rsidR="00E072FD" w:rsidRPr="00B07B55" w:rsidTr="00903944">
        <w:trPr>
          <w:cantSplit/>
        </w:trPr>
        <w:tc>
          <w:tcPr>
            <w:tcW w:w="1855" w:type="pct"/>
            <w:tcBorders>
              <w:top w:val="nil"/>
              <w:bottom w:val="nil"/>
              <w:right w:val="nil"/>
            </w:tcBorders>
            <w:tcMar>
              <w:right w:w="0" w:type="dxa"/>
            </w:tcMar>
          </w:tcPr>
          <w:p w:rsidR="00E072FD" w:rsidRPr="00B07B55" w:rsidRDefault="00D701C5" w:rsidP="00903944">
            <w:pPr>
              <w:pStyle w:val="Tabletext"/>
              <w:ind w:left="170"/>
              <w:rPr>
                <w:lang w:val="en-GB"/>
              </w:rPr>
            </w:pPr>
            <w:r>
              <w:rPr>
                <w:lang w:val="en-GB"/>
              </w:rPr>
              <w:t>Sub-degree/</w:t>
            </w:r>
            <w:r w:rsidR="00E428EC">
              <w:rPr>
                <w:lang w:val="en-GB"/>
              </w:rPr>
              <w:t>c</w:t>
            </w:r>
            <w:r w:rsidR="00E072FD" w:rsidRPr="00B07B55">
              <w:rPr>
                <w:lang w:val="en-GB"/>
              </w:rPr>
              <w:t>ollege</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59.31</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59.88</w:t>
            </w:r>
          </w:p>
        </w:tc>
        <w:tc>
          <w:tcPr>
            <w:tcW w:w="629" w:type="pct"/>
            <w:tcBorders>
              <w:top w:val="nil"/>
              <w:left w:val="nil"/>
              <w:bottom w:val="nil"/>
              <w:right w:val="nil"/>
            </w:tcBorders>
          </w:tcPr>
          <w:p w:rsidR="00E072FD" w:rsidRPr="00B07B55" w:rsidRDefault="00E072FD" w:rsidP="00DB5811">
            <w:pPr>
              <w:pStyle w:val="Tabletext"/>
              <w:tabs>
                <w:tab w:val="decimal" w:pos="425"/>
              </w:tabs>
              <w:rPr>
                <w:lang w:val="en-GB"/>
              </w:rPr>
            </w:pPr>
            <w:r w:rsidRPr="00B07B55">
              <w:rPr>
                <w:lang w:val="en-GB"/>
              </w:rPr>
              <w:t>57.54</w:t>
            </w:r>
          </w:p>
        </w:tc>
        <w:tc>
          <w:tcPr>
            <w:tcW w:w="629" w:type="pct"/>
            <w:tcBorders>
              <w:top w:val="nil"/>
              <w:left w:val="nil"/>
              <w:bottom w:val="nil"/>
            </w:tcBorders>
          </w:tcPr>
          <w:p w:rsidR="00E072FD" w:rsidRPr="00B07B55" w:rsidRDefault="00E072FD" w:rsidP="00DB5811">
            <w:pPr>
              <w:pStyle w:val="Tabletext"/>
              <w:tabs>
                <w:tab w:val="decimal" w:pos="425"/>
              </w:tabs>
              <w:rPr>
                <w:lang w:val="en-GB"/>
              </w:rPr>
            </w:pPr>
            <w:r w:rsidRPr="00B07B55">
              <w:rPr>
                <w:lang w:val="en-GB"/>
              </w:rPr>
              <w:t>52.17</w:t>
            </w:r>
          </w:p>
        </w:tc>
        <w:tc>
          <w:tcPr>
            <w:tcW w:w="629" w:type="pct"/>
            <w:tcBorders>
              <w:top w:val="nil"/>
              <w:left w:val="nil"/>
              <w:bottom w:val="nil"/>
            </w:tcBorders>
          </w:tcPr>
          <w:p w:rsidR="00E072FD" w:rsidRPr="00B07B55" w:rsidRDefault="002C0ADC" w:rsidP="00DB5811">
            <w:pPr>
              <w:pStyle w:val="Tabletext"/>
              <w:tabs>
                <w:tab w:val="decimal" w:pos="425"/>
              </w:tabs>
              <w:rPr>
                <w:lang w:val="en-GB"/>
              </w:rPr>
            </w:pPr>
            <w:r>
              <w:rPr>
                <w:lang w:val="en-GB"/>
              </w:rPr>
              <w:t>11.41</w:t>
            </w:r>
            <w:r w:rsidRPr="00025CDB">
              <w:rPr>
                <w:vertAlign w:val="superscript"/>
                <w:lang w:val="en-GB"/>
              </w:rPr>
              <w:t xml:space="preserve"> </w:t>
            </w:r>
            <w:r>
              <w:rPr>
                <w:vertAlign w:val="superscript"/>
                <w:lang w:val="en-GB"/>
              </w:rPr>
              <w:t>b</w:t>
            </w:r>
          </w:p>
        </w:tc>
      </w:tr>
      <w:tr w:rsidR="00E072FD" w:rsidRPr="00B07B55" w:rsidTr="00903944">
        <w:trPr>
          <w:cantSplit/>
        </w:trPr>
        <w:tc>
          <w:tcPr>
            <w:tcW w:w="1855" w:type="pct"/>
            <w:tcBorders>
              <w:top w:val="nil"/>
              <w:bottom w:val="single" w:sz="4" w:space="0" w:color="auto"/>
              <w:right w:val="nil"/>
            </w:tcBorders>
            <w:tcMar>
              <w:right w:w="0" w:type="dxa"/>
            </w:tcMar>
          </w:tcPr>
          <w:p w:rsidR="00E072FD" w:rsidRPr="00B07B55" w:rsidRDefault="00E072FD" w:rsidP="00903944">
            <w:pPr>
              <w:pStyle w:val="Tabletext"/>
              <w:ind w:left="170"/>
              <w:rPr>
                <w:lang w:val="en-GB"/>
              </w:rPr>
            </w:pPr>
            <w:r w:rsidRPr="00B07B55">
              <w:rPr>
                <w:lang w:val="en-GB"/>
              </w:rPr>
              <w:t>University</w:t>
            </w:r>
          </w:p>
        </w:tc>
        <w:tc>
          <w:tcPr>
            <w:tcW w:w="629" w:type="pct"/>
            <w:tcBorders>
              <w:top w:val="nil"/>
              <w:left w:val="nil"/>
              <w:bottom w:val="single" w:sz="4" w:space="0" w:color="auto"/>
              <w:right w:val="nil"/>
            </w:tcBorders>
          </w:tcPr>
          <w:p w:rsidR="00E072FD" w:rsidRPr="00B07B55" w:rsidRDefault="00E072FD" w:rsidP="00DB5811">
            <w:pPr>
              <w:pStyle w:val="Tabletext"/>
              <w:tabs>
                <w:tab w:val="decimal" w:pos="425"/>
              </w:tabs>
              <w:rPr>
                <w:lang w:val="en-GB"/>
              </w:rPr>
            </w:pPr>
            <w:r w:rsidRPr="00B07B55">
              <w:rPr>
                <w:lang w:val="en-GB"/>
              </w:rPr>
              <w:t>23.04</w:t>
            </w:r>
          </w:p>
        </w:tc>
        <w:tc>
          <w:tcPr>
            <w:tcW w:w="629" w:type="pct"/>
            <w:tcBorders>
              <w:top w:val="nil"/>
              <w:left w:val="nil"/>
              <w:bottom w:val="single" w:sz="4" w:space="0" w:color="auto"/>
              <w:right w:val="nil"/>
            </w:tcBorders>
          </w:tcPr>
          <w:p w:rsidR="00E072FD" w:rsidRPr="00B07B55" w:rsidRDefault="00E072FD" w:rsidP="00DB5811">
            <w:pPr>
              <w:pStyle w:val="Tabletext"/>
              <w:tabs>
                <w:tab w:val="decimal" w:pos="425"/>
              </w:tabs>
              <w:rPr>
                <w:lang w:val="en-GB"/>
              </w:rPr>
            </w:pPr>
            <w:r w:rsidRPr="00B07B55">
              <w:rPr>
                <w:lang w:val="en-GB"/>
              </w:rPr>
              <w:t>21.80</w:t>
            </w:r>
          </w:p>
        </w:tc>
        <w:tc>
          <w:tcPr>
            <w:tcW w:w="629" w:type="pct"/>
            <w:tcBorders>
              <w:top w:val="nil"/>
              <w:left w:val="nil"/>
              <w:bottom w:val="single" w:sz="4" w:space="0" w:color="auto"/>
              <w:right w:val="nil"/>
            </w:tcBorders>
          </w:tcPr>
          <w:p w:rsidR="00E072FD" w:rsidRPr="00B07B55" w:rsidRDefault="00E072FD" w:rsidP="00DB5811">
            <w:pPr>
              <w:pStyle w:val="Tabletext"/>
              <w:tabs>
                <w:tab w:val="decimal" w:pos="425"/>
              </w:tabs>
              <w:rPr>
                <w:lang w:val="en-GB"/>
              </w:rPr>
            </w:pPr>
            <w:r w:rsidRPr="00B07B55">
              <w:rPr>
                <w:lang w:val="en-GB"/>
              </w:rPr>
              <w:t>19.55</w:t>
            </w:r>
          </w:p>
        </w:tc>
        <w:tc>
          <w:tcPr>
            <w:tcW w:w="629" w:type="pct"/>
            <w:tcBorders>
              <w:top w:val="nil"/>
              <w:left w:val="nil"/>
              <w:bottom w:val="single" w:sz="4" w:space="0" w:color="auto"/>
            </w:tcBorders>
          </w:tcPr>
          <w:p w:rsidR="00E072FD" w:rsidRPr="00B07B55" w:rsidRDefault="00E072FD" w:rsidP="00DB5811">
            <w:pPr>
              <w:pStyle w:val="Tabletext"/>
              <w:tabs>
                <w:tab w:val="decimal" w:pos="425"/>
              </w:tabs>
              <w:rPr>
                <w:lang w:val="en-GB"/>
              </w:rPr>
            </w:pPr>
            <w:r w:rsidRPr="00B07B55">
              <w:rPr>
                <w:lang w:val="en-GB"/>
              </w:rPr>
              <w:t>9.78</w:t>
            </w:r>
          </w:p>
        </w:tc>
        <w:tc>
          <w:tcPr>
            <w:tcW w:w="629" w:type="pct"/>
            <w:tcBorders>
              <w:top w:val="nil"/>
              <w:left w:val="nil"/>
              <w:bottom w:val="single" w:sz="4" w:space="0" w:color="auto"/>
            </w:tcBorders>
          </w:tcPr>
          <w:p w:rsidR="00E072FD" w:rsidRPr="00B07B55" w:rsidRDefault="002C0ADC" w:rsidP="00DB5811">
            <w:pPr>
              <w:pStyle w:val="Tabletext"/>
              <w:tabs>
                <w:tab w:val="decimal" w:pos="425"/>
              </w:tabs>
              <w:rPr>
                <w:lang w:val="en-GB"/>
              </w:rPr>
            </w:pPr>
            <w:r>
              <w:rPr>
                <w:lang w:val="en-GB"/>
              </w:rPr>
              <w:t>4.22</w:t>
            </w:r>
            <w:r w:rsidRPr="00025CDB">
              <w:rPr>
                <w:vertAlign w:val="superscript"/>
                <w:lang w:val="en-GB"/>
              </w:rPr>
              <w:t xml:space="preserve"> </w:t>
            </w:r>
            <w:r>
              <w:rPr>
                <w:vertAlign w:val="superscript"/>
                <w:lang w:val="en-GB"/>
              </w:rPr>
              <w:t>c</w:t>
            </w:r>
          </w:p>
        </w:tc>
      </w:tr>
    </w:tbl>
    <w:p w:rsidR="00E428EC" w:rsidRPr="00DB5811" w:rsidRDefault="00D701C5" w:rsidP="00DB5811">
      <w:pPr>
        <w:pStyle w:val="Source"/>
      </w:pPr>
      <w:r>
        <w:rPr>
          <w:lang w:val="en-GB"/>
        </w:rPr>
        <w:t>Note</w:t>
      </w:r>
      <w:r w:rsidR="00DB5811">
        <w:rPr>
          <w:lang w:val="en-GB"/>
        </w:rPr>
        <w:t>s</w:t>
      </w:r>
      <w:r w:rsidR="00E428EC">
        <w:rPr>
          <w:lang w:val="en-GB"/>
        </w:rPr>
        <w:t>:</w:t>
      </w:r>
      <w:r w:rsidR="00DB5811">
        <w:rPr>
          <w:lang w:val="en-GB"/>
        </w:rPr>
        <w:tab/>
      </w:r>
      <w:r w:rsidR="00E428EC">
        <w:rPr>
          <w:lang w:val="en-GB"/>
        </w:rPr>
        <w:t>a</w:t>
      </w:r>
      <w:r w:rsidR="00992B3C">
        <w:rPr>
          <w:lang w:val="en-GB"/>
        </w:rPr>
        <w:t xml:space="preserve"> =</w:t>
      </w:r>
      <w:r w:rsidR="00E428EC">
        <w:rPr>
          <w:lang w:val="en-GB"/>
        </w:rPr>
        <w:t xml:space="preserve"> </w:t>
      </w:r>
      <w:r w:rsidR="00E428EC" w:rsidRPr="00DB5811">
        <w:t>certificate level I–IV; b</w:t>
      </w:r>
      <w:r w:rsidR="00992B3C">
        <w:t xml:space="preserve"> =</w:t>
      </w:r>
      <w:r w:rsidR="00E428EC" w:rsidRPr="00DB5811">
        <w:t xml:space="preserve"> diploma; c</w:t>
      </w:r>
      <w:r w:rsidR="00992B3C">
        <w:t xml:space="preserve"> =</w:t>
      </w:r>
      <w:r w:rsidR="00E428EC" w:rsidRPr="00DB5811">
        <w:t xml:space="preserve"> u</w:t>
      </w:r>
      <w:r w:rsidR="00025CDB" w:rsidRPr="00DB5811">
        <w:t>niversity degree and above.</w:t>
      </w:r>
    </w:p>
    <w:p w:rsidR="00025CDB" w:rsidRPr="00B07B55" w:rsidRDefault="00E428EC" w:rsidP="00DB5811">
      <w:pPr>
        <w:pStyle w:val="Source"/>
        <w:rPr>
          <w:lang w:val="en-GB"/>
        </w:rPr>
      </w:pPr>
      <w:r w:rsidRPr="00DB5811">
        <w:t>Source:</w:t>
      </w:r>
      <w:r w:rsidR="00DB5811">
        <w:tab/>
      </w:r>
      <w:r w:rsidRPr="00DB5811">
        <w:t>BHPS d</w:t>
      </w:r>
      <w:r>
        <w:rPr>
          <w:lang w:val="en-GB"/>
        </w:rPr>
        <w:t>ata, weighted statistics; Australia: HILDA data, weighted statistics.</w:t>
      </w:r>
      <w:r w:rsidR="00025CDB">
        <w:rPr>
          <w:lang w:val="en-GB"/>
        </w:rPr>
        <w:t xml:space="preserve"> </w:t>
      </w:r>
    </w:p>
    <w:p w:rsidR="00D66163" w:rsidRDefault="00D66163" w:rsidP="00DB5811">
      <w:pPr>
        <w:pStyle w:val="Textmorebefore"/>
      </w:pPr>
      <w:r w:rsidRPr="00B07B55">
        <w:t xml:space="preserve">Summary statistics for the </w:t>
      </w:r>
      <w:r w:rsidR="00E428EC">
        <w:t>British</w:t>
      </w:r>
      <w:r w:rsidRPr="00B07B55">
        <w:t xml:space="preserve"> sample are provided in tables A</w:t>
      </w:r>
      <w:r w:rsidR="00D87068">
        <w:t>7</w:t>
      </w:r>
      <w:r w:rsidRPr="00B07B55">
        <w:t xml:space="preserve"> and A</w:t>
      </w:r>
      <w:r w:rsidR="00D87068">
        <w:t>8</w:t>
      </w:r>
      <w:r w:rsidRPr="00B07B55">
        <w:t xml:space="preserve"> of appendix A for males and females respectively. There are some important differences in the composition of the populations in the two countries under analysis. Examples of differences are highlighted in table 9, in which details are provided on country of origin and age group. Regarding age distributions, the share of the population in the oldest age group is lower in Australia than in Great Britain, while the opposite is the case for individuals aged 35 to 54. Larger differences emerge in relation to country of birth. The proportion of the British population born in a non-English speaking country is markedly lower than in Australia. Such differences in population composition will be explored as a potential explanation of the different participation rates in education between the two countries. The method of exploration is discussed in the next section.</w:t>
      </w:r>
    </w:p>
    <w:p w:rsidR="00DB5811" w:rsidRDefault="00DB5811">
      <w:pPr>
        <w:spacing w:before="0" w:line="240" w:lineRule="auto"/>
        <w:rPr>
          <w:rFonts w:ascii="Tahoma" w:hAnsi="Tahoma"/>
          <w:b/>
          <w:sz w:val="17"/>
          <w:lang w:val="en-GB"/>
        </w:rPr>
      </w:pPr>
      <w:bookmarkStart w:id="55" w:name="_Toc311576121"/>
      <w:r>
        <w:rPr>
          <w:lang w:val="en-GB"/>
        </w:rPr>
        <w:br w:type="page"/>
      </w:r>
    </w:p>
    <w:p w:rsidR="007835F8" w:rsidRPr="00B07B55" w:rsidRDefault="001C6B5B" w:rsidP="007835F8">
      <w:pPr>
        <w:pStyle w:val="tabletitle"/>
        <w:rPr>
          <w:lang w:val="en-GB"/>
        </w:rPr>
      </w:pPr>
      <w:bookmarkStart w:id="56" w:name="_Toc334021176"/>
      <w:r w:rsidRPr="00B07B55">
        <w:rPr>
          <w:lang w:val="en-GB"/>
        </w:rPr>
        <w:t xml:space="preserve">Table </w:t>
      </w:r>
      <w:r w:rsidR="00E20E3E" w:rsidRPr="00B07B55">
        <w:rPr>
          <w:lang w:val="en-GB"/>
        </w:rPr>
        <w:t>9</w:t>
      </w:r>
      <w:r w:rsidR="00DC7DBB" w:rsidRPr="00B07B55">
        <w:rPr>
          <w:lang w:val="en-GB"/>
        </w:rPr>
        <w:tab/>
      </w:r>
      <w:r w:rsidR="007835F8" w:rsidRPr="00B07B55">
        <w:rPr>
          <w:lang w:val="en-GB"/>
        </w:rPr>
        <w:t xml:space="preserve">Population </w:t>
      </w:r>
      <w:r w:rsidR="00DC7DBB" w:rsidRPr="00B07B55">
        <w:rPr>
          <w:lang w:val="en-GB"/>
        </w:rPr>
        <w:t>composition</w:t>
      </w:r>
      <w:r w:rsidR="00914F37" w:rsidRPr="00B07B55">
        <w:rPr>
          <w:lang w:val="en-GB"/>
        </w:rPr>
        <w:t>, Australia an</w:t>
      </w:r>
      <w:r w:rsidR="00D66538" w:rsidRPr="00B07B55">
        <w:rPr>
          <w:lang w:val="en-GB"/>
        </w:rPr>
        <w:t>d</w:t>
      </w:r>
      <w:r w:rsidR="00914F37" w:rsidRPr="00B07B55">
        <w:rPr>
          <w:lang w:val="en-GB"/>
        </w:rPr>
        <w:t xml:space="preserve"> the UK</w:t>
      </w:r>
      <w:r w:rsidR="00A957C6">
        <w:rPr>
          <w:lang w:val="en-GB"/>
        </w:rPr>
        <w:t>:</w:t>
      </w:r>
      <w:r w:rsidR="007835F8" w:rsidRPr="00B07B55">
        <w:rPr>
          <w:lang w:val="en-GB"/>
        </w:rPr>
        <w:t xml:space="preserve"> </w:t>
      </w:r>
      <w:r w:rsidR="00DC7DBB" w:rsidRPr="00B07B55">
        <w:rPr>
          <w:lang w:val="en-GB"/>
        </w:rPr>
        <w:t xml:space="preserve">age groups </w:t>
      </w:r>
      <w:r w:rsidR="007835F8" w:rsidRPr="00B07B55">
        <w:rPr>
          <w:lang w:val="en-GB"/>
        </w:rPr>
        <w:t xml:space="preserve">and </w:t>
      </w:r>
      <w:r w:rsidR="00DC7DBB" w:rsidRPr="00B07B55">
        <w:rPr>
          <w:lang w:val="en-GB"/>
        </w:rPr>
        <w:t xml:space="preserve">country </w:t>
      </w:r>
      <w:r w:rsidR="007835F8" w:rsidRPr="00B07B55">
        <w:rPr>
          <w:lang w:val="en-GB"/>
        </w:rPr>
        <w:t xml:space="preserve">of </w:t>
      </w:r>
      <w:r w:rsidR="00DC7DBB" w:rsidRPr="00B07B55">
        <w:rPr>
          <w:lang w:val="en-GB"/>
        </w:rPr>
        <w:t>origin</w:t>
      </w:r>
      <w:bookmarkEnd w:id="55"/>
      <w:bookmarkEnd w:id="56"/>
    </w:p>
    <w:tbl>
      <w:tblPr>
        <w:tblW w:w="8789" w:type="dxa"/>
        <w:tblInd w:w="108" w:type="dxa"/>
        <w:tblBorders>
          <w:top w:val="single" w:sz="4" w:space="0" w:color="auto"/>
          <w:bottom w:val="single" w:sz="4" w:space="0" w:color="auto"/>
        </w:tblBorders>
        <w:tblLayout w:type="fixed"/>
        <w:tblLook w:val="0000"/>
      </w:tblPr>
      <w:tblGrid>
        <w:gridCol w:w="3475"/>
        <w:gridCol w:w="1328"/>
        <w:gridCol w:w="1329"/>
        <w:gridCol w:w="1328"/>
        <w:gridCol w:w="1329"/>
      </w:tblGrid>
      <w:tr w:rsidR="007835F8" w:rsidRPr="00B07B55" w:rsidTr="00DB5811">
        <w:trPr>
          <w:cantSplit/>
        </w:trPr>
        <w:tc>
          <w:tcPr>
            <w:tcW w:w="3475" w:type="dxa"/>
            <w:tcBorders>
              <w:top w:val="single" w:sz="4" w:space="0" w:color="auto"/>
              <w:bottom w:val="single" w:sz="4" w:space="0" w:color="auto"/>
              <w:right w:val="nil"/>
            </w:tcBorders>
          </w:tcPr>
          <w:p w:rsidR="007835F8" w:rsidRPr="00B07B55" w:rsidRDefault="007835F8" w:rsidP="00DB5811">
            <w:pPr>
              <w:pStyle w:val="Tablehead1"/>
              <w:rPr>
                <w:lang w:val="en-GB"/>
              </w:rPr>
            </w:pPr>
            <w:r w:rsidRPr="00B07B55">
              <w:rPr>
                <w:lang w:val="en-GB"/>
              </w:rPr>
              <w:t>Age group in 2001</w:t>
            </w:r>
          </w:p>
        </w:tc>
        <w:tc>
          <w:tcPr>
            <w:tcW w:w="1328" w:type="dxa"/>
            <w:tcBorders>
              <w:top w:val="single" w:sz="4" w:space="0" w:color="auto"/>
              <w:left w:val="nil"/>
              <w:bottom w:val="single" w:sz="4" w:space="0" w:color="auto"/>
              <w:right w:val="nil"/>
            </w:tcBorders>
          </w:tcPr>
          <w:p w:rsidR="007835F8" w:rsidRPr="00B07B55" w:rsidRDefault="00E428EC" w:rsidP="00DB5811">
            <w:pPr>
              <w:pStyle w:val="Tablehead1"/>
              <w:jc w:val="center"/>
              <w:rPr>
                <w:rFonts w:cs="Arial"/>
                <w:color w:val="000000"/>
                <w:lang w:val="en-GB"/>
              </w:rPr>
            </w:pPr>
            <w:r>
              <w:rPr>
                <w:rFonts w:cs="Arial"/>
                <w:color w:val="000000"/>
                <w:lang w:val="en-GB"/>
              </w:rPr>
              <w:t>25–</w:t>
            </w:r>
            <w:r w:rsidR="007835F8" w:rsidRPr="00B07B55">
              <w:rPr>
                <w:rFonts w:cs="Arial"/>
                <w:color w:val="000000"/>
                <w:lang w:val="en-GB"/>
              </w:rPr>
              <w:t>34</w:t>
            </w:r>
          </w:p>
        </w:tc>
        <w:tc>
          <w:tcPr>
            <w:tcW w:w="1329" w:type="dxa"/>
            <w:tcBorders>
              <w:top w:val="single" w:sz="4" w:space="0" w:color="auto"/>
              <w:left w:val="nil"/>
              <w:bottom w:val="single" w:sz="4" w:space="0" w:color="auto"/>
              <w:right w:val="nil"/>
            </w:tcBorders>
          </w:tcPr>
          <w:p w:rsidR="007835F8" w:rsidRPr="00B07B55" w:rsidRDefault="00E428EC" w:rsidP="00DB5811">
            <w:pPr>
              <w:pStyle w:val="Tablehead1"/>
              <w:jc w:val="center"/>
              <w:rPr>
                <w:rFonts w:cs="Arial"/>
                <w:color w:val="000000"/>
                <w:lang w:val="en-GB"/>
              </w:rPr>
            </w:pPr>
            <w:r>
              <w:rPr>
                <w:rFonts w:cs="Arial"/>
                <w:color w:val="000000"/>
                <w:lang w:val="en-GB"/>
              </w:rPr>
              <w:t>35–</w:t>
            </w:r>
            <w:r w:rsidR="007835F8" w:rsidRPr="00B07B55">
              <w:rPr>
                <w:rFonts w:cs="Arial"/>
                <w:color w:val="000000"/>
                <w:lang w:val="en-GB"/>
              </w:rPr>
              <w:t>44</w:t>
            </w:r>
          </w:p>
        </w:tc>
        <w:tc>
          <w:tcPr>
            <w:tcW w:w="1328" w:type="dxa"/>
            <w:tcBorders>
              <w:top w:val="single" w:sz="4" w:space="0" w:color="auto"/>
              <w:left w:val="nil"/>
              <w:bottom w:val="single" w:sz="4" w:space="0" w:color="auto"/>
              <w:right w:val="nil"/>
            </w:tcBorders>
          </w:tcPr>
          <w:p w:rsidR="007835F8" w:rsidRPr="00B07B55" w:rsidRDefault="00E428EC" w:rsidP="00DB5811">
            <w:pPr>
              <w:pStyle w:val="Tablehead1"/>
              <w:jc w:val="center"/>
              <w:rPr>
                <w:rFonts w:cs="Arial"/>
                <w:color w:val="000000"/>
                <w:lang w:val="en-GB"/>
              </w:rPr>
            </w:pPr>
            <w:r>
              <w:rPr>
                <w:rFonts w:cs="Arial"/>
                <w:color w:val="000000"/>
                <w:lang w:val="en-GB"/>
              </w:rPr>
              <w:t>45–</w:t>
            </w:r>
            <w:r w:rsidR="007835F8" w:rsidRPr="00B07B55">
              <w:rPr>
                <w:rFonts w:cs="Arial"/>
                <w:color w:val="000000"/>
                <w:lang w:val="en-GB"/>
              </w:rPr>
              <w:t>54</w:t>
            </w:r>
          </w:p>
        </w:tc>
        <w:tc>
          <w:tcPr>
            <w:tcW w:w="1329" w:type="dxa"/>
            <w:tcBorders>
              <w:top w:val="single" w:sz="4" w:space="0" w:color="auto"/>
              <w:left w:val="nil"/>
              <w:bottom w:val="single" w:sz="4" w:space="0" w:color="auto"/>
            </w:tcBorders>
          </w:tcPr>
          <w:p w:rsidR="007835F8" w:rsidRPr="00B07B55" w:rsidRDefault="00E428EC" w:rsidP="00DB5811">
            <w:pPr>
              <w:pStyle w:val="Tablehead1"/>
              <w:jc w:val="center"/>
              <w:rPr>
                <w:rFonts w:cs="Arial"/>
                <w:color w:val="000000"/>
                <w:lang w:val="en-GB"/>
              </w:rPr>
            </w:pPr>
            <w:r>
              <w:rPr>
                <w:rFonts w:cs="Arial"/>
                <w:color w:val="000000"/>
                <w:lang w:val="en-GB"/>
              </w:rPr>
              <w:t>55–</w:t>
            </w:r>
            <w:r w:rsidR="007835F8" w:rsidRPr="00B07B55">
              <w:rPr>
                <w:rFonts w:cs="Arial"/>
                <w:color w:val="000000"/>
                <w:lang w:val="en-GB"/>
              </w:rPr>
              <w:t>64</w:t>
            </w:r>
          </w:p>
        </w:tc>
      </w:tr>
      <w:tr w:rsidR="007835F8" w:rsidRPr="00B07B55" w:rsidTr="00DB5811">
        <w:trPr>
          <w:cantSplit/>
        </w:trPr>
        <w:tc>
          <w:tcPr>
            <w:tcW w:w="3475" w:type="dxa"/>
            <w:tcBorders>
              <w:top w:val="nil"/>
              <w:bottom w:val="nil"/>
              <w:right w:val="nil"/>
            </w:tcBorders>
          </w:tcPr>
          <w:p w:rsidR="007835F8" w:rsidRPr="00DB5811" w:rsidRDefault="007835F8" w:rsidP="00DB5811">
            <w:pPr>
              <w:pStyle w:val="Tabletext"/>
              <w:spacing w:before="120"/>
              <w:rPr>
                <w:b/>
                <w:lang w:val="en-GB"/>
              </w:rPr>
            </w:pPr>
            <w:r w:rsidRPr="00DB5811">
              <w:rPr>
                <w:b/>
                <w:lang w:val="en-GB"/>
              </w:rPr>
              <w:t xml:space="preserve">Great </w:t>
            </w:r>
            <w:r w:rsidR="008B1814" w:rsidRPr="00DB5811">
              <w:rPr>
                <w:b/>
                <w:lang w:val="en-GB"/>
              </w:rPr>
              <w:t>Britain, m</w:t>
            </w:r>
            <w:r w:rsidRPr="00DB5811">
              <w:rPr>
                <w:b/>
                <w:lang w:val="en-GB"/>
              </w:rPr>
              <w:t>ales</w:t>
            </w:r>
          </w:p>
        </w:tc>
        <w:tc>
          <w:tcPr>
            <w:tcW w:w="1328" w:type="dxa"/>
            <w:tcBorders>
              <w:top w:val="nil"/>
              <w:left w:val="nil"/>
              <w:bottom w:val="nil"/>
              <w:right w:val="nil"/>
            </w:tcBorders>
          </w:tcPr>
          <w:p w:rsidR="007835F8" w:rsidRPr="00B07B55" w:rsidRDefault="007835F8" w:rsidP="00DB5811">
            <w:pPr>
              <w:pStyle w:val="Tabletext"/>
              <w:spacing w:before="120"/>
              <w:rPr>
                <w:lang w:val="en-GB"/>
              </w:rPr>
            </w:pPr>
          </w:p>
        </w:tc>
        <w:tc>
          <w:tcPr>
            <w:tcW w:w="1329" w:type="dxa"/>
            <w:tcBorders>
              <w:top w:val="nil"/>
              <w:left w:val="nil"/>
              <w:bottom w:val="nil"/>
              <w:right w:val="nil"/>
            </w:tcBorders>
          </w:tcPr>
          <w:p w:rsidR="007835F8" w:rsidRPr="00B07B55" w:rsidRDefault="007835F8" w:rsidP="00DB5811">
            <w:pPr>
              <w:pStyle w:val="Tabletext"/>
              <w:spacing w:before="120"/>
              <w:rPr>
                <w:lang w:val="en-GB"/>
              </w:rPr>
            </w:pPr>
          </w:p>
        </w:tc>
        <w:tc>
          <w:tcPr>
            <w:tcW w:w="1328" w:type="dxa"/>
            <w:tcBorders>
              <w:top w:val="nil"/>
              <w:left w:val="nil"/>
              <w:bottom w:val="nil"/>
              <w:right w:val="nil"/>
            </w:tcBorders>
          </w:tcPr>
          <w:p w:rsidR="007835F8" w:rsidRPr="00B07B55" w:rsidRDefault="007835F8" w:rsidP="00DB5811">
            <w:pPr>
              <w:pStyle w:val="Tabletext"/>
              <w:spacing w:before="120"/>
              <w:rPr>
                <w:lang w:val="en-GB"/>
              </w:rPr>
            </w:pPr>
          </w:p>
        </w:tc>
        <w:tc>
          <w:tcPr>
            <w:tcW w:w="1329" w:type="dxa"/>
            <w:tcBorders>
              <w:top w:val="nil"/>
              <w:left w:val="nil"/>
              <w:bottom w:val="nil"/>
            </w:tcBorders>
          </w:tcPr>
          <w:p w:rsidR="007835F8" w:rsidRPr="00B07B55" w:rsidRDefault="007835F8" w:rsidP="00DB5811">
            <w:pPr>
              <w:pStyle w:val="Tabletext"/>
              <w:spacing w:before="120"/>
              <w:rPr>
                <w:lang w:val="en-GB"/>
              </w:rPr>
            </w:pPr>
          </w:p>
        </w:tc>
      </w:tr>
      <w:tr w:rsidR="007835F8" w:rsidRPr="00B07B55" w:rsidTr="00DB5811">
        <w:trPr>
          <w:cantSplit/>
        </w:trPr>
        <w:tc>
          <w:tcPr>
            <w:tcW w:w="3475" w:type="dxa"/>
            <w:tcBorders>
              <w:top w:val="nil"/>
              <w:bottom w:val="nil"/>
              <w:right w:val="nil"/>
            </w:tcBorders>
          </w:tcPr>
          <w:p w:rsidR="007835F8" w:rsidRPr="00B07B55" w:rsidRDefault="007835F8" w:rsidP="00DB5811">
            <w:pPr>
              <w:pStyle w:val="Tabletext"/>
              <w:rPr>
                <w:lang w:val="en-GB"/>
              </w:rPr>
            </w:pPr>
            <w:r w:rsidRPr="00B07B55">
              <w:rPr>
                <w:lang w:val="en-GB"/>
              </w:rPr>
              <w:t>Share of individuals in the age group</w:t>
            </w:r>
          </w:p>
        </w:tc>
        <w:tc>
          <w:tcPr>
            <w:tcW w:w="1328" w:type="dxa"/>
            <w:tcBorders>
              <w:top w:val="nil"/>
              <w:left w:val="nil"/>
              <w:bottom w:val="nil"/>
              <w:right w:val="nil"/>
            </w:tcBorders>
          </w:tcPr>
          <w:p w:rsidR="007835F8" w:rsidRPr="00B07B55" w:rsidRDefault="007835F8" w:rsidP="00DB5811">
            <w:pPr>
              <w:pStyle w:val="Tabletext"/>
              <w:tabs>
                <w:tab w:val="decimal" w:pos="539"/>
              </w:tabs>
              <w:rPr>
                <w:lang w:val="en-GB"/>
              </w:rPr>
            </w:pPr>
            <w:r w:rsidRPr="00B07B55">
              <w:rPr>
                <w:lang w:val="en-GB"/>
              </w:rPr>
              <w:t>24.99</w:t>
            </w:r>
          </w:p>
        </w:tc>
        <w:tc>
          <w:tcPr>
            <w:tcW w:w="1329" w:type="dxa"/>
            <w:tcBorders>
              <w:top w:val="nil"/>
              <w:left w:val="nil"/>
              <w:bottom w:val="nil"/>
              <w:right w:val="nil"/>
            </w:tcBorders>
          </w:tcPr>
          <w:p w:rsidR="007835F8" w:rsidRPr="00B07B55" w:rsidRDefault="007835F8" w:rsidP="00DB5811">
            <w:pPr>
              <w:pStyle w:val="Tabletext"/>
              <w:tabs>
                <w:tab w:val="decimal" w:pos="539"/>
              </w:tabs>
              <w:rPr>
                <w:lang w:val="en-GB"/>
              </w:rPr>
            </w:pPr>
            <w:r w:rsidRPr="00B07B55">
              <w:rPr>
                <w:lang w:val="en-GB"/>
              </w:rPr>
              <w:t>29.04</w:t>
            </w:r>
          </w:p>
        </w:tc>
        <w:tc>
          <w:tcPr>
            <w:tcW w:w="1328" w:type="dxa"/>
            <w:tcBorders>
              <w:top w:val="nil"/>
              <w:left w:val="nil"/>
              <w:bottom w:val="nil"/>
              <w:right w:val="nil"/>
            </w:tcBorders>
          </w:tcPr>
          <w:p w:rsidR="007835F8" w:rsidRPr="00B07B55" w:rsidRDefault="007835F8" w:rsidP="00DB5811">
            <w:pPr>
              <w:pStyle w:val="Tabletext"/>
              <w:tabs>
                <w:tab w:val="decimal" w:pos="539"/>
              </w:tabs>
              <w:rPr>
                <w:lang w:val="en-GB"/>
              </w:rPr>
            </w:pPr>
            <w:r w:rsidRPr="00B07B55">
              <w:rPr>
                <w:lang w:val="en-GB"/>
              </w:rPr>
              <w:t>25.66</w:t>
            </w:r>
          </w:p>
        </w:tc>
        <w:tc>
          <w:tcPr>
            <w:tcW w:w="1329" w:type="dxa"/>
            <w:tcBorders>
              <w:top w:val="nil"/>
              <w:left w:val="nil"/>
              <w:bottom w:val="nil"/>
            </w:tcBorders>
          </w:tcPr>
          <w:p w:rsidR="007835F8" w:rsidRPr="00B07B55" w:rsidRDefault="007835F8" w:rsidP="00DB5811">
            <w:pPr>
              <w:pStyle w:val="Tabletext"/>
              <w:tabs>
                <w:tab w:val="decimal" w:pos="539"/>
              </w:tabs>
              <w:rPr>
                <w:lang w:val="en-GB"/>
              </w:rPr>
            </w:pPr>
            <w:r w:rsidRPr="00B07B55">
              <w:rPr>
                <w:lang w:val="en-GB"/>
              </w:rPr>
              <w:t>20.31</w:t>
            </w:r>
          </w:p>
        </w:tc>
      </w:tr>
      <w:tr w:rsidR="007835F8" w:rsidRPr="00B07B55" w:rsidTr="00DB5811">
        <w:trPr>
          <w:cantSplit/>
        </w:trPr>
        <w:tc>
          <w:tcPr>
            <w:tcW w:w="3475" w:type="dxa"/>
            <w:tcBorders>
              <w:top w:val="nil"/>
              <w:bottom w:val="nil"/>
              <w:right w:val="nil"/>
            </w:tcBorders>
          </w:tcPr>
          <w:p w:rsidR="007835F8" w:rsidRPr="00B07B55" w:rsidRDefault="00E428EC" w:rsidP="00DB5811">
            <w:pPr>
              <w:pStyle w:val="Tabletext"/>
              <w:rPr>
                <w:lang w:val="en-GB"/>
              </w:rPr>
            </w:pPr>
            <w:r>
              <w:rPr>
                <w:lang w:val="en-GB"/>
              </w:rPr>
              <w:t>British-</w:t>
            </w:r>
            <w:r w:rsidR="007835F8" w:rsidRPr="00B07B55">
              <w:rPr>
                <w:lang w:val="en-GB"/>
              </w:rPr>
              <w:t>born</w:t>
            </w:r>
          </w:p>
        </w:tc>
        <w:tc>
          <w:tcPr>
            <w:tcW w:w="1328" w:type="dxa"/>
            <w:tcBorders>
              <w:top w:val="nil"/>
              <w:left w:val="nil"/>
              <w:bottom w:val="nil"/>
              <w:right w:val="nil"/>
            </w:tcBorders>
          </w:tcPr>
          <w:p w:rsidR="007835F8" w:rsidRPr="00B07B55" w:rsidRDefault="007835F8" w:rsidP="00DB5811">
            <w:pPr>
              <w:pStyle w:val="Tabletext"/>
              <w:tabs>
                <w:tab w:val="decimal" w:pos="539"/>
              </w:tabs>
              <w:rPr>
                <w:lang w:val="en-GB"/>
              </w:rPr>
            </w:pPr>
            <w:r w:rsidRPr="00B07B55">
              <w:rPr>
                <w:lang w:val="en-GB"/>
              </w:rPr>
              <w:t>96.97</w:t>
            </w:r>
          </w:p>
        </w:tc>
        <w:tc>
          <w:tcPr>
            <w:tcW w:w="1329" w:type="dxa"/>
            <w:tcBorders>
              <w:top w:val="nil"/>
              <w:left w:val="nil"/>
              <w:bottom w:val="nil"/>
              <w:right w:val="nil"/>
            </w:tcBorders>
          </w:tcPr>
          <w:p w:rsidR="007835F8" w:rsidRPr="00B07B55" w:rsidRDefault="007835F8" w:rsidP="00DB5811">
            <w:pPr>
              <w:pStyle w:val="Tabletext"/>
              <w:tabs>
                <w:tab w:val="decimal" w:pos="539"/>
              </w:tabs>
              <w:rPr>
                <w:lang w:val="en-GB"/>
              </w:rPr>
            </w:pPr>
            <w:r w:rsidRPr="00B07B55">
              <w:rPr>
                <w:lang w:val="en-GB"/>
              </w:rPr>
              <w:t>95.59</w:t>
            </w:r>
          </w:p>
        </w:tc>
        <w:tc>
          <w:tcPr>
            <w:tcW w:w="1328" w:type="dxa"/>
            <w:tcBorders>
              <w:top w:val="nil"/>
              <w:left w:val="nil"/>
              <w:bottom w:val="nil"/>
              <w:right w:val="nil"/>
            </w:tcBorders>
          </w:tcPr>
          <w:p w:rsidR="007835F8" w:rsidRPr="00B07B55" w:rsidRDefault="007835F8" w:rsidP="00DB5811">
            <w:pPr>
              <w:pStyle w:val="Tabletext"/>
              <w:tabs>
                <w:tab w:val="decimal" w:pos="539"/>
              </w:tabs>
              <w:rPr>
                <w:lang w:val="en-GB"/>
              </w:rPr>
            </w:pPr>
            <w:r w:rsidRPr="00B07B55">
              <w:rPr>
                <w:lang w:val="en-GB"/>
              </w:rPr>
              <w:t>95.12</w:t>
            </w:r>
          </w:p>
        </w:tc>
        <w:tc>
          <w:tcPr>
            <w:tcW w:w="1329" w:type="dxa"/>
            <w:tcBorders>
              <w:top w:val="nil"/>
              <w:left w:val="nil"/>
              <w:bottom w:val="nil"/>
            </w:tcBorders>
          </w:tcPr>
          <w:p w:rsidR="007835F8" w:rsidRPr="00B07B55" w:rsidRDefault="007835F8" w:rsidP="00DB5811">
            <w:pPr>
              <w:pStyle w:val="Tabletext"/>
              <w:tabs>
                <w:tab w:val="decimal" w:pos="539"/>
              </w:tabs>
              <w:rPr>
                <w:lang w:val="en-GB"/>
              </w:rPr>
            </w:pPr>
            <w:r w:rsidRPr="00B07B55">
              <w:rPr>
                <w:lang w:val="en-GB"/>
              </w:rPr>
              <w:t>95.7</w:t>
            </w:r>
          </w:p>
        </w:tc>
      </w:tr>
      <w:tr w:rsidR="007835F8" w:rsidRPr="00B07B55" w:rsidTr="00DB5811">
        <w:trPr>
          <w:cantSplit/>
        </w:trPr>
        <w:tc>
          <w:tcPr>
            <w:tcW w:w="3475" w:type="dxa"/>
            <w:tcBorders>
              <w:top w:val="nil"/>
              <w:bottom w:val="nil"/>
              <w:right w:val="nil"/>
            </w:tcBorders>
          </w:tcPr>
          <w:p w:rsidR="007835F8" w:rsidRPr="00B07B55" w:rsidRDefault="00D66163" w:rsidP="00DB5811">
            <w:pPr>
              <w:pStyle w:val="Tabletext"/>
              <w:rPr>
                <w:lang w:val="en-GB"/>
              </w:rPr>
            </w:pPr>
            <w:r w:rsidRPr="00B07B55">
              <w:rPr>
                <w:lang w:val="en-GB"/>
              </w:rPr>
              <w:t xml:space="preserve">Immigrants, </w:t>
            </w:r>
            <w:r w:rsidR="007835F8" w:rsidRPr="00B07B55">
              <w:rPr>
                <w:lang w:val="en-GB"/>
              </w:rPr>
              <w:t>English speaking</w:t>
            </w:r>
          </w:p>
        </w:tc>
        <w:tc>
          <w:tcPr>
            <w:tcW w:w="1328" w:type="dxa"/>
            <w:tcBorders>
              <w:top w:val="nil"/>
              <w:left w:val="nil"/>
              <w:bottom w:val="nil"/>
              <w:right w:val="nil"/>
            </w:tcBorders>
          </w:tcPr>
          <w:p w:rsidR="007835F8" w:rsidRPr="00B07B55" w:rsidRDefault="007835F8" w:rsidP="00DB5811">
            <w:pPr>
              <w:pStyle w:val="Tabletext"/>
              <w:tabs>
                <w:tab w:val="decimal" w:pos="539"/>
              </w:tabs>
              <w:rPr>
                <w:lang w:val="en-GB"/>
              </w:rPr>
            </w:pPr>
            <w:r w:rsidRPr="00B07B55">
              <w:rPr>
                <w:lang w:val="en-GB"/>
              </w:rPr>
              <w:t>2.44</w:t>
            </w:r>
          </w:p>
        </w:tc>
        <w:tc>
          <w:tcPr>
            <w:tcW w:w="1329" w:type="dxa"/>
            <w:tcBorders>
              <w:top w:val="nil"/>
              <w:left w:val="nil"/>
              <w:bottom w:val="nil"/>
              <w:right w:val="nil"/>
            </w:tcBorders>
          </w:tcPr>
          <w:p w:rsidR="007835F8" w:rsidRPr="00B07B55" w:rsidRDefault="007835F8" w:rsidP="00DB5811">
            <w:pPr>
              <w:pStyle w:val="Tabletext"/>
              <w:tabs>
                <w:tab w:val="decimal" w:pos="539"/>
              </w:tabs>
              <w:rPr>
                <w:lang w:val="en-GB"/>
              </w:rPr>
            </w:pPr>
            <w:r w:rsidRPr="00B07B55">
              <w:rPr>
                <w:lang w:val="en-GB"/>
              </w:rPr>
              <w:t>2.4</w:t>
            </w:r>
          </w:p>
        </w:tc>
        <w:tc>
          <w:tcPr>
            <w:tcW w:w="1328" w:type="dxa"/>
            <w:tcBorders>
              <w:top w:val="nil"/>
              <w:left w:val="nil"/>
              <w:bottom w:val="nil"/>
              <w:right w:val="nil"/>
            </w:tcBorders>
          </w:tcPr>
          <w:p w:rsidR="007835F8" w:rsidRPr="00B07B55" w:rsidRDefault="007835F8" w:rsidP="00DB5811">
            <w:pPr>
              <w:pStyle w:val="Tabletext"/>
              <w:tabs>
                <w:tab w:val="decimal" w:pos="539"/>
              </w:tabs>
              <w:rPr>
                <w:lang w:val="en-GB"/>
              </w:rPr>
            </w:pPr>
            <w:r w:rsidRPr="00B07B55">
              <w:rPr>
                <w:lang w:val="en-GB"/>
              </w:rPr>
              <w:t>3.29</w:t>
            </w:r>
          </w:p>
        </w:tc>
        <w:tc>
          <w:tcPr>
            <w:tcW w:w="1329" w:type="dxa"/>
            <w:tcBorders>
              <w:top w:val="nil"/>
              <w:left w:val="nil"/>
              <w:bottom w:val="nil"/>
            </w:tcBorders>
          </w:tcPr>
          <w:p w:rsidR="007835F8" w:rsidRPr="00B07B55" w:rsidRDefault="007835F8" w:rsidP="00DB5811">
            <w:pPr>
              <w:pStyle w:val="Tabletext"/>
              <w:tabs>
                <w:tab w:val="decimal" w:pos="539"/>
              </w:tabs>
              <w:rPr>
                <w:lang w:val="en-GB"/>
              </w:rPr>
            </w:pPr>
            <w:r w:rsidRPr="00B07B55">
              <w:rPr>
                <w:lang w:val="en-GB"/>
              </w:rPr>
              <w:t>3.15</w:t>
            </w:r>
          </w:p>
        </w:tc>
      </w:tr>
      <w:tr w:rsidR="007835F8" w:rsidRPr="00B07B55" w:rsidTr="00DB5811">
        <w:trPr>
          <w:cantSplit/>
        </w:trPr>
        <w:tc>
          <w:tcPr>
            <w:tcW w:w="3475" w:type="dxa"/>
            <w:tcBorders>
              <w:top w:val="nil"/>
              <w:bottom w:val="nil"/>
              <w:right w:val="nil"/>
            </w:tcBorders>
          </w:tcPr>
          <w:p w:rsidR="007835F8" w:rsidRPr="00B07B55" w:rsidRDefault="00D66163" w:rsidP="00DB5811">
            <w:pPr>
              <w:pStyle w:val="Tabletext"/>
              <w:rPr>
                <w:lang w:val="en-GB"/>
              </w:rPr>
            </w:pPr>
            <w:r w:rsidRPr="00B07B55">
              <w:rPr>
                <w:lang w:val="en-GB"/>
              </w:rPr>
              <w:t>Immigrants, n</w:t>
            </w:r>
            <w:r w:rsidR="007835F8" w:rsidRPr="00B07B55">
              <w:rPr>
                <w:lang w:val="en-GB"/>
              </w:rPr>
              <w:t xml:space="preserve">on-English speaking </w:t>
            </w:r>
          </w:p>
        </w:tc>
        <w:tc>
          <w:tcPr>
            <w:tcW w:w="1328" w:type="dxa"/>
            <w:tcBorders>
              <w:top w:val="nil"/>
              <w:left w:val="nil"/>
              <w:bottom w:val="nil"/>
              <w:right w:val="nil"/>
            </w:tcBorders>
          </w:tcPr>
          <w:p w:rsidR="007835F8" w:rsidRPr="00B07B55" w:rsidRDefault="007835F8" w:rsidP="00DB5811">
            <w:pPr>
              <w:pStyle w:val="Tabletext"/>
              <w:tabs>
                <w:tab w:val="decimal" w:pos="539"/>
              </w:tabs>
              <w:rPr>
                <w:lang w:val="en-GB"/>
              </w:rPr>
            </w:pPr>
            <w:r w:rsidRPr="00B07B55">
              <w:rPr>
                <w:lang w:val="en-GB"/>
              </w:rPr>
              <w:t>0.58</w:t>
            </w:r>
          </w:p>
        </w:tc>
        <w:tc>
          <w:tcPr>
            <w:tcW w:w="1329" w:type="dxa"/>
            <w:tcBorders>
              <w:top w:val="nil"/>
              <w:left w:val="nil"/>
              <w:bottom w:val="nil"/>
              <w:right w:val="nil"/>
            </w:tcBorders>
          </w:tcPr>
          <w:p w:rsidR="007835F8" w:rsidRPr="00B07B55" w:rsidRDefault="007835F8" w:rsidP="00DB5811">
            <w:pPr>
              <w:pStyle w:val="Tabletext"/>
              <w:tabs>
                <w:tab w:val="decimal" w:pos="539"/>
              </w:tabs>
              <w:rPr>
                <w:lang w:val="en-GB"/>
              </w:rPr>
            </w:pPr>
            <w:r w:rsidRPr="00B07B55">
              <w:rPr>
                <w:lang w:val="en-GB"/>
              </w:rPr>
              <w:t>2</w:t>
            </w:r>
          </w:p>
        </w:tc>
        <w:tc>
          <w:tcPr>
            <w:tcW w:w="1328" w:type="dxa"/>
            <w:tcBorders>
              <w:top w:val="nil"/>
              <w:left w:val="nil"/>
              <w:bottom w:val="nil"/>
              <w:right w:val="nil"/>
            </w:tcBorders>
          </w:tcPr>
          <w:p w:rsidR="007835F8" w:rsidRPr="00B07B55" w:rsidRDefault="007835F8" w:rsidP="00DB5811">
            <w:pPr>
              <w:pStyle w:val="Tabletext"/>
              <w:tabs>
                <w:tab w:val="decimal" w:pos="539"/>
              </w:tabs>
              <w:rPr>
                <w:lang w:val="en-GB"/>
              </w:rPr>
            </w:pPr>
            <w:r w:rsidRPr="00B07B55">
              <w:rPr>
                <w:lang w:val="en-GB"/>
              </w:rPr>
              <w:t>1.59</w:t>
            </w:r>
          </w:p>
        </w:tc>
        <w:tc>
          <w:tcPr>
            <w:tcW w:w="1329" w:type="dxa"/>
            <w:tcBorders>
              <w:top w:val="nil"/>
              <w:left w:val="nil"/>
              <w:bottom w:val="nil"/>
            </w:tcBorders>
          </w:tcPr>
          <w:p w:rsidR="007835F8" w:rsidRPr="00B07B55" w:rsidRDefault="007835F8" w:rsidP="00DB5811">
            <w:pPr>
              <w:pStyle w:val="Tabletext"/>
              <w:tabs>
                <w:tab w:val="decimal" w:pos="539"/>
              </w:tabs>
              <w:rPr>
                <w:lang w:val="en-GB"/>
              </w:rPr>
            </w:pPr>
            <w:r w:rsidRPr="00B07B55">
              <w:rPr>
                <w:lang w:val="en-GB"/>
              </w:rPr>
              <w:t>1.15</w:t>
            </w:r>
          </w:p>
        </w:tc>
      </w:tr>
      <w:tr w:rsidR="007835F8" w:rsidRPr="00B07B55" w:rsidTr="00DB5811">
        <w:trPr>
          <w:cantSplit/>
        </w:trPr>
        <w:tc>
          <w:tcPr>
            <w:tcW w:w="3475" w:type="dxa"/>
            <w:tcBorders>
              <w:top w:val="nil"/>
              <w:bottom w:val="nil"/>
              <w:right w:val="nil"/>
            </w:tcBorders>
          </w:tcPr>
          <w:p w:rsidR="007835F8" w:rsidRPr="00DB5811" w:rsidRDefault="00E428EC" w:rsidP="00DB5811">
            <w:pPr>
              <w:pStyle w:val="Tabletext"/>
              <w:spacing w:before="120"/>
              <w:rPr>
                <w:b/>
                <w:lang w:val="en-GB"/>
              </w:rPr>
            </w:pPr>
            <w:r w:rsidRPr="00DB5811">
              <w:rPr>
                <w:b/>
                <w:lang w:val="en-GB"/>
              </w:rPr>
              <w:t>Great Britain, f</w:t>
            </w:r>
            <w:r w:rsidR="007835F8" w:rsidRPr="00DB5811">
              <w:rPr>
                <w:b/>
                <w:lang w:val="en-GB"/>
              </w:rPr>
              <w:t>emales</w:t>
            </w:r>
          </w:p>
        </w:tc>
        <w:tc>
          <w:tcPr>
            <w:tcW w:w="1328" w:type="dxa"/>
            <w:tcBorders>
              <w:top w:val="nil"/>
              <w:left w:val="nil"/>
              <w:bottom w:val="nil"/>
              <w:right w:val="nil"/>
            </w:tcBorders>
          </w:tcPr>
          <w:p w:rsidR="007835F8" w:rsidRPr="00B07B55" w:rsidRDefault="007835F8" w:rsidP="00DB5811">
            <w:pPr>
              <w:pStyle w:val="Tabletext"/>
              <w:tabs>
                <w:tab w:val="decimal" w:pos="539"/>
              </w:tabs>
              <w:spacing w:before="120"/>
              <w:rPr>
                <w:lang w:val="en-GB"/>
              </w:rPr>
            </w:pPr>
          </w:p>
        </w:tc>
        <w:tc>
          <w:tcPr>
            <w:tcW w:w="1329" w:type="dxa"/>
            <w:tcBorders>
              <w:top w:val="nil"/>
              <w:left w:val="nil"/>
              <w:bottom w:val="nil"/>
              <w:right w:val="nil"/>
            </w:tcBorders>
          </w:tcPr>
          <w:p w:rsidR="007835F8" w:rsidRPr="00B07B55" w:rsidRDefault="007835F8" w:rsidP="00DB5811">
            <w:pPr>
              <w:pStyle w:val="Tabletext"/>
              <w:tabs>
                <w:tab w:val="decimal" w:pos="539"/>
              </w:tabs>
              <w:spacing w:before="120"/>
              <w:rPr>
                <w:lang w:val="en-GB"/>
              </w:rPr>
            </w:pPr>
          </w:p>
        </w:tc>
        <w:tc>
          <w:tcPr>
            <w:tcW w:w="1328" w:type="dxa"/>
            <w:tcBorders>
              <w:top w:val="nil"/>
              <w:left w:val="nil"/>
              <w:bottom w:val="nil"/>
              <w:right w:val="nil"/>
            </w:tcBorders>
          </w:tcPr>
          <w:p w:rsidR="007835F8" w:rsidRPr="00B07B55" w:rsidRDefault="007835F8" w:rsidP="00DB5811">
            <w:pPr>
              <w:pStyle w:val="Tabletext"/>
              <w:tabs>
                <w:tab w:val="decimal" w:pos="539"/>
              </w:tabs>
              <w:spacing w:before="120"/>
              <w:rPr>
                <w:lang w:val="en-GB"/>
              </w:rPr>
            </w:pPr>
          </w:p>
        </w:tc>
        <w:tc>
          <w:tcPr>
            <w:tcW w:w="1329" w:type="dxa"/>
            <w:tcBorders>
              <w:top w:val="nil"/>
              <w:left w:val="nil"/>
              <w:bottom w:val="nil"/>
            </w:tcBorders>
          </w:tcPr>
          <w:p w:rsidR="007835F8" w:rsidRPr="00B07B55" w:rsidRDefault="007835F8" w:rsidP="00DB5811">
            <w:pPr>
              <w:pStyle w:val="Tabletext"/>
              <w:tabs>
                <w:tab w:val="decimal" w:pos="539"/>
              </w:tabs>
              <w:spacing w:before="120"/>
              <w:rPr>
                <w:lang w:val="en-GB"/>
              </w:rPr>
            </w:pPr>
          </w:p>
        </w:tc>
      </w:tr>
      <w:tr w:rsidR="007835F8" w:rsidRPr="00B07B55" w:rsidTr="00DB5811">
        <w:trPr>
          <w:cantSplit/>
        </w:trPr>
        <w:tc>
          <w:tcPr>
            <w:tcW w:w="3475" w:type="dxa"/>
            <w:tcBorders>
              <w:top w:val="nil"/>
              <w:bottom w:val="nil"/>
              <w:right w:val="nil"/>
            </w:tcBorders>
          </w:tcPr>
          <w:p w:rsidR="007835F8" w:rsidRPr="00B07B55" w:rsidRDefault="007835F8" w:rsidP="00DB5811">
            <w:pPr>
              <w:pStyle w:val="Tabletext"/>
              <w:rPr>
                <w:lang w:val="en-GB"/>
              </w:rPr>
            </w:pPr>
            <w:r w:rsidRPr="00B07B55">
              <w:rPr>
                <w:lang w:val="en-GB"/>
              </w:rPr>
              <w:t>Share of individuals in the age group</w:t>
            </w:r>
          </w:p>
        </w:tc>
        <w:tc>
          <w:tcPr>
            <w:tcW w:w="1328" w:type="dxa"/>
            <w:tcBorders>
              <w:top w:val="nil"/>
              <w:left w:val="nil"/>
              <w:bottom w:val="nil"/>
              <w:right w:val="nil"/>
            </w:tcBorders>
          </w:tcPr>
          <w:p w:rsidR="007835F8" w:rsidRPr="00B07B55" w:rsidRDefault="007835F8" w:rsidP="00DB5811">
            <w:pPr>
              <w:pStyle w:val="Tabletext"/>
              <w:tabs>
                <w:tab w:val="decimal" w:pos="539"/>
              </w:tabs>
              <w:rPr>
                <w:lang w:val="en-GB"/>
              </w:rPr>
            </w:pPr>
            <w:r w:rsidRPr="00B07B55">
              <w:rPr>
                <w:lang w:val="en-GB"/>
              </w:rPr>
              <w:t>25.97</w:t>
            </w:r>
          </w:p>
        </w:tc>
        <w:tc>
          <w:tcPr>
            <w:tcW w:w="1329" w:type="dxa"/>
            <w:tcBorders>
              <w:top w:val="nil"/>
              <w:left w:val="nil"/>
              <w:bottom w:val="nil"/>
              <w:right w:val="nil"/>
            </w:tcBorders>
          </w:tcPr>
          <w:p w:rsidR="007835F8" w:rsidRPr="00B07B55" w:rsidRDefault="007835F8" w:rsidP="00DB5811">
            <w:pPr>
              <w:pStyle w:val="Tabletext"/>
              <w:tabs>
                <w:tab w:val="decimal" w:pos="539"/>
              </w:tabs>
              <w:rPr>
                <w:lang w:val="en-GB"/>
              </w:rPr>
            </w:pPr>
            <w:r w:rsidRPr="00B07B55">
              <w:rPr>
                <w:lang w:val="en-GB"/>
              </w:rPr>
              <w:t>29.09</w:t>
            </w:r>
          </w:p>
        </w:tc>
        <w:tc>
          <w:tcPr>
            <w:tcW w:w="1328" w:type="dxa"/>
            <w:tcBorders>
              <w:top w:val="nil"/>
              <w:left w:val="nil"/>
              <w:bottom w:val="nil"/>
              <w:right w:val="nil"/>
            </w:tcBorders>
          </w:tcPr>
          <w:p w:rsidR="007835F8" w:rsidRPr="00B07B55" w:rsidRDefault="007835F8" w:rsidP="00DB5811">
            <w:pPr>
              <w:pStyle w:val="Tabletext"/>
              <w:tabs>
                <w:tab w:val="decimal" w:pos="539"/>
              </w:tabs>
              <w:rPr>
                <w:lang w:val="en-GB"/>
              </w:rPr>
            </w:pPr>
            <w:r w:rsidRPr="00B07B55">
              <w:rPr>
                <w:lang w:val="en-GB"/>
              </w:rPr>
              <w:t>24.58</w:t>
            </w:r>
          </w:p>
        </w:tc>
        <w:tc>
          <w:tcPr>
            <w:tcW w:w="1329" w:type="dxa"/>
            <w:tcBorders>
              <w:top w:val="nil"/>
              <w:left w:val="nil"/>
              <w:bottom w:val="nil"/>
            </w:tcBorders>
          </w:tcPr>
          <w:p w:rsidR="007835F8" w:rsidRPr="00B07B55" w:rsidRDefault="007835F8" w:rsidP="00DB5811">
            <w:pPr>
              <w:pStyle w:val="Tabletext"/>
              <w:tabs>
                <w:tab w:val="decimal" w:pos="539"/>
              </w:tabs>
              <w:rPr>
                <w:lang w:val="en-GB"/>
              </w:rPr>
            </w:pPr>
            <w:r w:rsidRPr="00B07B55">
              <w:rPr>
                <w:lang w:val="en-GB"/>
              </w:rPr>
              <w:t>20.37</w:t>
            </w:r>
          </w:p>
        </w:tc>
      </w:tr>
      <w:tr w:rsidR="007835F8" w:rsidRPr="00B07B55" w:rsidTr="00DB5811">
        <w:trPr>
          <w:cantSplit/>
        </w:trPr>
        <w:tc>
          <w:tcPr>
            <w:tcW w:w="3475" w:type="dxa"/>
            <w:tcBorders>
              <w:top w:val="nil"/>
              <w:bottom w:val="nil"/>
              <w:right w:val="nil"/>
            </w:tcBorders>
          </w:tcPr>
          <w:p w:rsidR="007835F8" w:rsidRPr="00B07B55" w:rsidRDefault="00E428EC" w:rsidP="00DB5811">
            <w:pPr>
              <w:pStyle w:val="Tabletext"/>
              <w:rPr>
                <w:lang w:val="en-GB"/>
              </w:rPr>
            </w:pPr>
            <w:r>
              <w:rPr>
                <w:lang w:val="en-GB"/>
              </w:rPr>
              <w:t>British-</w:t>
            </w:r>
            <w:r w:rsidR="007835F8" w:rsidRPr="00B07B55">
              <w:rPr>
                <w:lang w:val="en-GB"/>
              </w:rPr>
              <w:t>born</w:t>
            </w:r>
          </w:p>
        </w:tc>
        <w:tc>
          <w:tcPr>
            <w:tcW w:w="1328" w:type="dxa"/>
            <w:tcBorders>
              <w:top w:val="nil"/>
              <w:left w:val="nil"/>
              <w:bottom w:val="nil"/>
              <w:right w:val="nil"/>
            </w:tcBorders>
          </w:tcPr>
          <w:p w:rsidR="007835F8" w:rsidRPr="00B07B55" w:rsidRDefault="007835F8" w:rsidP="00DB5811">
            <w:pPr>
              <w:pStyle w:val="Tabletext"/>
              <w:tabs>
                <w:tab w:val="decimal" w:pos="539"/>
              </w:tabs>
              <w:rPr>
                <w:lang w:val="en-GB"/>
              </w:rPr>
            </w:pPr>
            <w:r w:rsidRPr="00B07B55">
              <w:rPr>
                <w:lang w:val="en-GB"/>
              </w:rPr>
              <w:t>96.24</w:t>
            </w:r>
          </w:p>
        </w:tc>
        <w:tc>
          <w:tcPr>
            <w:tcW w:w="1329" w:type="dxa"/>
            <w:tcBorders>
              <w:top w:val="nil"/>
              <w:left w:val="nil"/>
              <w:bottom w:val="nil"/>
              <w:right w:val="nil"/>
            </w:tcBorders>
          </w:tcPr>
          <w:p w:rsidR="007835F8" w:rsidRPr="00B07B55" w:rsidRDefault="007835F8" w:rsidP="00DB5811">
            <w:pPr>
              <w:pStyle w:val="Tabletext"/>
              <w:tabs>
                <w:tab w:val="decimal" w:pos="539"/>
              </w:tabs>
              <w:rPr>
                <w:lang w:val="en-GB"/>
              </w:rPr>
            </w:pPr>
            <w:r w:rsidRPr="00B07B55">
              <w:rPr>
                <w:lang w:val="en-GB"/>
              </w:rPr>
              <w:t>95.28</w:t>
            </w:r>
          </w:p>
        </w:tc>
        <w:tc>
          <w:tcPr>
            <w:tcW w:w="1328" w:type="dxa"/>
            <w:tcBorders>
              <w:top w:val="nil"/>
              <w:left w:val="nil"/>
              <w:bottom w:val="nil"/>
              <w:right w:val="nil"/>
            </w:tcBorders>
          </w:tcPr>
          <w:p w:rsidR="007835F8" w:rsidRPr="00B07B55" w:rsidRDefault="007835F8" w:rsidP="00DB5811">
            <w:pPr>
              <w:pStyle w:val="Tabletext"/>
              <w:tabs>
                <w:tab w:val="decimal" w:pos="539"/>
              </w:tabs>
              <w:rPr>
                <w:lang w:val="en-GB"/>
              </w:rPr>
            </w:pPr>
            <w:r w:rsidRPr="00B07B55">
              <w:rPr>
                <w:lang w:val="en-GB"/>
              </w:rPr>
              <w:t>93.66</w:t>
            </w:r>
          </w:p>
        </w:tc>
        <w:tc>
          <w:tcPr>
            <w:tcW w:w="1329" w:type="dxa"/>
            <w:tcBorders>
              <w:top w:val="nil"/>
              <w:left w:val="nil"/>
              <w:bottom w:val="nil"/>
            </w:tcBorders>
          </w:tcPr>
          <w:p w:rsidR="007835F8" w:rsidRPr="00B07B55" w:rsidRDefault="007835F8" w:rsidP="00DB5811">
            <w:pPr>
              <w:pStyle w:val="Tabletext"/>
              <w:tabs>
                <w:tab w:val="decimal" w:pos="539"/>
              </w:tabs>
              <w:rPr>
                <w:lang w:val="en-GB"/>
              </w:rPr>
            </w:pPr>
            <w:r w:rsidRPr="00B07B55">
              <w:rPr>
                <w:lang w:val="en-GB"/>
              </w:rPr>
              <w:t>95.66</w:t>
            </w:r>
          </w:p>
        </w:tc>
      </w:tr>
      <w:tr w:rsidR="00D66163" w:rsidRPr="00B07B55" w:rsidTr="00DB5811">
        <w:trPr>
          <w:cantSplit/>
        </w:trPr>
        <w:tc>
          <w:tcPr>
            <w:tcW w:w="3475" w:type="dxa"/>
            <w:tcBorders>
              <w:top w:val="nil"/>
              <w:bottom w:val="nil"/>
              <w:right w:val="nil"/>
            </w:tcBorders>
          </w:tcPr>
          <w:p w:rsidR="00D66163" w:rsidRPr="00B07B55" w:rsidRDefault="00D66163" w:rsidP="00DB5811">
            <w:pPr>
              <w:pStyle w:val="Tabletext"/>
              <w:rPr>
                <w:lang w:val="en-GB"/>
              </w:rPr>
            </w:pPr>
            <w:r w:rsidRPr="00B07B55">
              <w:rPr>
                <w:lang w:val="en-GB"/>
              </w:rPr>
              <w:t>Immigrants, English speaking</w:t>
            </w:r>
          </w:p>
        </w:tc>
        <w:tc>
          <w:tcPr>
            <w:tcW w:w="1328"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2.15</w:t>
            </w:r>
          </w:p>
        </w:tc>
        <w:tc>
          <w:tcPr>
            <w:tcW w:w="1329"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3.12</w:t>
            </w:r>
          </w:p>
        </w:tc>
        <w:tc>
          <w:tcPr>
            <w:tcW w:w="1328"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3.78</w:t>
            </w:r>
          </w:p>
        </w:tc>
        <w:tc>
          <w:tcPr>
            <w:tcW w:w="1329" w:type="dxa"/>
            <w:tcBorders>
              <w:top w:val="nil"/>
              <w:left w:val="nil"/>
              <w:bottom w:val="nil"/>
            </w:tcBorders>
          </w:tcPr>
          <w:p w:rsidR="00D66163" w:rsidRPr="00B07B55" w:rsidRDefault="00D66163" w:rsidP="00DB5811">
            <w:pPr>
              <w:pStyle w:val="Tabletext"/>
              <w:tabs>
                <w:tab w:val="decimal" w:pos="539"/>
              </w:tabs>
              <w:rPr>
                <w:lang w:val="en-GB"/>
              </w:rPr>
            </w:pPr>
            <w:r w:rsidRPr="00B07B55">
              <w:rPr>
                <w:lang w:val="en-GB"/>
              </w:rPr>
              <w:t>3.31</w:t>
            </w:r>
          </w:p>
        </w:tc>
      </w:tr>
      <w:tr w:rsidR="00D66163" w:rsidRPr="00B07B55" w:rsidTr="00DB5811">
        <w:trPr>
          <w:cantSplit/>
        </w:trPr>
        <w:tc>
          <w:tcPr>
            <w:tcW w:w="3475" w:type="dxa"/>
            <w:tcBorders>
              <w:top w:val="nil"/>
              <w:bottom w:val="nil"/>
              <w:right w:val="nil"/>
            </w:tcBorders>
          </w:tcPr>
          <w:p w:rsidR="00D66163" w:rsidRPr="00B07B55" w:rsidRDefault="00D66163" w:rsidP="00DB5811">
            <w:pPr>
              <w:pStyle w:val="Tabletext"/>
              <w:rPr>
                <w:lang w:val="en-GB"/>
              </w:rPr>
            </w:pPr>
            <w:r w:rsidRPr="00B07B55">
              <w:rPr>
                <w:lang w:val="en-GB"/>
              </w:rPr>
              <w:t xml:space="preserve">Immigrants, non-English speaking </w:t>
            </w:r>
          </w:p>
        </w:tc>
        <w:tc>
          <w:tcPr>
            <w:tcW w:w="1328"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1.61</w:t>
            </w:r>
          </w:p>
        </w:tc>
        <w:tc>
          <w:tcPr>
            <w:tcW w:w="1329"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1.6</w:t>
            </w:r>
          </w:p>
        </w:tc>
        <w:tc>
          <w:tcPr>
            <w:tcW w:w="1328"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2.55</w:t>
            </w:r>
          </w:p>
        </w:tc>
        <w:tc>
          <w:tcPr>
            <w:tcW w:w="1329" w:type="dxa"/>
            <w:tcBorders>
              <w:top w:val="nil"/>
              <w:left w:val="nil"/>
              <w:bottom w:val="nil"/>
            </w:tcBorders>
          </w:tcPr>
          <w:p w:rsidR="00D66163" w:rsidRPr="00B07B55" w:rsidRDefault="00D66163" w:rsidP="00DB5811">
            <w:pPr>
              <w:pStyle w:val="Tabletext"/>
              <w:tabs>
                <w:tab w:val="decimal" w:pos="539"/>
              </w:tabs>
              <w:rPr>
                <w:lang w:val="en-GB"/>
              </w:rPr>
            </w:pPr>
            <w:r w:rsidRPr="00B07B55">
              <w:rPr>
                <w:lang w:val="en-GB"/>
              </w:rPr>
              <w:t>1.03</w:t>
            </w:r>
          </w:p>
        </w:tc>
      </w:tr>
      <w:tr w:rsidR="00D66163" w:rsidRPr="00B07B55" w:rsidTr="00DB5811">
        <w:trPr>
          <w:cantSplit/>
        </w:trPr>
        <w:tc>
          <w:tcPr>
            <w:tcW w:w="3475" w:type="dxa"/>
            <w:tcBorders>
              <w:top w:val="nil"/>
              <w:bottom w:val="nil"/>
              <w:right w:val="nil"/>
            </w:tcBorders>
          </w:tcPr>
          <w:p w:rsidR="00D66163" w:rsidRPr="00DB5811" w:rsidRDefault="00E428EC" w:rsidP="00DB5811">
            <w:pPr>
              <w:pStyle w:val="Tabletext"/>
              <w:spacing w:before="120"/>
              <w:rPr>
                <w:b/>
                <w:lang w:val="en-GB"/>
              </w:rPr>
            </w:pPr>
            <w:r w:rsidRPr="00DB5811">
              <w:rPr>
                <w:b/>
                <w:lang w:val="en-GB"/>
              </w:rPr>
              <w:t>Australia, m</w:t>
            </w:r>
            <w:r w:rsidR="00D66163" w:rsidRPr="00DB5811">
              <w:rPr>
                <w:b/>
                <w:lang w:val="en-GB"/>
              </w:rPr>
              <w:t>ales</w:t>
            </w:r>
          </w:p>
        </w:tc>
        <w:tc>
          <w:tcPr>
            <w:tcW w:w="1328" w:type="dxa"/>
            <w:tcBorders>
              <w:top w:val="nil"/>
              <w:left w:val="nil"/>
              <w:bottom w:val="nil"/>
              <w:right w:val="nil"/>
            </w:tcBorders>
          </w:tcPr>
          <w:p w:rsidR="00D66163" w:rsidRPr="00B07B55" w:rsidRDefault="00D66163" w:rsidP="00DB5811">
            <w:pPr>
              <w:pStyle w:val="Tabletext"/>
              <w:tabs>
                <w:tab w:val="decimal" w:pos="539"/>
              </w:tabs>
              <w:spacing w:before="120"/>
              <w:rPr>
                <w:lang w:val="en-GB"/>
              </w:rPr>
            </w:pPr>
          </w:p>
        </w:tc>
        <w:tc>
          <w:tcPr>
            <w:tcW w:w="1329" w:type="dxa"/>
            <w:tcBorders>
              <w:top w:val="nil"/>
              <w:left w:val="nil"/>
              <w:bottom w:val="nil"/>
              <w:right w:val="nil"/>
            </w:tcBorders>
          </w:tcPr>
          <w:p w:rsidR="00D66163" w:rsidRPr="00B07B55" w:rsidRDefault="00D66163" w:rsidP="00DB5811">
            <w:pPr>
              <w:pStyle w:val="Tabletext"/>
              <w:tabs>
                <w:tab w:val="decimal" w:pos="539"/>
              </w:tabs>
              <w:spacing w:before="120"/>
              <w:rPr>
                <w:lang w:val="en-GB"/>
              </w:rPr>
            </w:pPr>
          </w:p>
        </w:tc>
        <w:tc>
          <w:tcPr>
            <w:tcW w:w="1328" w:type="dxa"/>
            <w:tcBorders>
              <w:top w:val="nil"/>
              <w:left w:val="nil"/>
              <w:bottom w:val="nil"/>
              <w:right w:val="nil"/>
            </w:tcBorders>
          </w:tcPr>
          <w:p w:rsidR="00D66163" w:rsidRPr="00B07B55" w:rsidRDefault="00D66163" w:rsidP="00DB5811">
            <w:pPr>
              <w:pStyle w:val="Tabletext"/>
              <w:tabs>
                <w:tab w:val="decimal" w:pos="539"/>
              </w:tabs>
              <w:spacing w:before="120"/>
              <w:rPr>
                <w:lang w:val="en-GB"/>
              </w:rPr>
            </w:pPr>
          </w:p>
        </w:tc>
        <w:tc>
          <w:tcPr>
            <w:tcW w:w="1329" w:type="dxa"/>
            <w:tcBorders>
              <w:top w:val="nil"/>
              <w:left w:val="nil"/>
              <w:bottom w:val="nil"/>
            </w:tcBorders>
          </w:tcPr>
          <w:p w:rsidR="00D66163" w:rsidRPr="00B07B55" w:rsidRDefault="00D66163" w:rsidP="00DB5811">
            <w:pPr>
              <w:pStyle w:val="Tabletext"/>
              <w:tabs>
                <w:tab w:val="decimal" w:pos="539"/>
              </w:tabs>
              <w:spacing w:before="120"/>
              <w:rPr>
                <w:lang w:val="en-GB"/>
              </w:rPr>
            </w:pPr>
          </w:p>
        </w:tc>
      </w:tr>
      <w:tr w:rsidR="00D66163" w:rsidRPr="00B07B55" w:rsidTr="00DB5811">
        <w:trPr>
          <w:cantSplit/>
        </w:trPr>
        <w:tc>
          <w:tcPr>
            <w:tcW w:w="3475" w:type="dxa"/>
            <w:tcBorders>
              <w:top w:val="nil"/>
              <w:bottom w:val="nil"/>
              <w:right w:val="nil"/>
            </w:tcBorders>
          </w:tcPr>
          <w:p w:rsidR="00D66163" w:rsidRPr="00B07B55" w:rsidRDefault="00D66163" w:rsidP="00DB5811">
            <w:pPr>
              <w:pStyle w:val="Tabletext"/>
              <w:rPr>
                <w:lang w:val="en-GB"/>
              </w:rPr>
            </w:pPr>
            <w:r w:rsidRPr="00B07B55">
              <w:rPr>
                <w:lang w:val="en-GB"/>
              </w:rPr>
              <w:t>Share of individuals in the age group</w:t>
            </w:r>
          </w:p>
        </w:tc>
        <w:tc>
          <w:tcPr>
            <w:tcW w:w="1328"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24.55</w:t>
            </w:r>
          </w:p>
        </w:tc>
        <w:tc>
          <w:tcPr>
            <w:tcW w:w="1329"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30.99</w:t>
            </w:r>
          </w:p>
        </w:tc>
        <w:tc>
          <w:tcPr>
            <w:tcW w:w="1328"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25.75</w:t>
            </w:r>
          </w:p>
        </w:tc>
        <w:tc>
          <w:tcPr>
            <w:tcW w:w="1329" w:type="dxa"/>
            <w:tcBorders>
              <w:top w:val="nil"/>
              <w:left w:val="nil"/>
              <w:bottom w:val="nil"/>
            </w:tcBorders>
          </w:tcPr>
          <w:p w:rsidR="00D66163" w:rsidRPr="00B07B55" w:rsidRDefault="00D66163" w:rsidP="00DB5811">
            <w:pPr>
              <w:pStyle w:val="Tabletext"/>
              <w:tabs>
                <w:tab w:val="decimal" w:pos="539"/>
              </w:tabs>
              <w:rPr>
                <w:lang w:val="en-GB"/>
              </w:rPr>
            </w:pPr>
            <w:r w:rsidRPr="00B07B55">
              <w:rPr>
                <w:lang w:val="en-GB"/>
              </w:rPr>
              <w:t>18.71</w:t>
            </w:r>
          </w:p>
        </w:tc>
      </w:tr>
      <w:tr w:rsidR="00D66163" w:rsidRPr="00B07B55" w:rsidTr="00DB5811">
        <w:trPr>
          <w:cantSplit/>
        </w:trPr>
        <w:tc>
          <w:tcPr>
            <w:tcW w:w="3475" w:type="dxa"/>
            <w:tcBorders>
              <w:top w:val="nil"/>
              <w:bottom w:val="nil"/>
              <w:right w:val="nil"/>
            </w:tcBorders>
          </w:tcPr>
          <w:p w:rsidR="00D66163" w:rsidRPr="00B07B55" w:rsidRDefault="00E428EC" w:rsidP="00DB5811">
            <w:pPr>
              <w:pStyle w:val="Tabletext"/>
              <w:rPr>
                <w:lang w:val="en-GB"/>
              </w:rPr>
            </w:pPr>
            <w:r>
              <w:rPr>
                <w:lang w:val="en-GB"/>
              </w:rPr>
              <w:t>Australian-</w:t>
            </w:r>
            <w:r w:rsidR="00D66163" w:rsidRPr="00B07B55">
              <w:rPr>
                <w:lang w:val="en-GB"/>
              </w:rPr>
              <w:t>born</w:t>
            </w:r>
          </w:p>
        </w:tc>
        <w:tc>
          <w:tcPr>
            <w:tcW w:w="1328"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80.67</w:t>
            </w:r>
          </w:p>
        </w:tc>
        <w:tc>
          <w:tcPr>
            <w:tcW w:w="1329"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73.05</w:t>
            </w:r>
          </w:p>
        </w:tc>
        <w:tc>
          <w:tcPr>
            <w:tcW w:w="1328"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69.03</w:t>
            </w:r>
          </w:p>
        </w:tc>
        <w:tc>
          <w:tcPr>
            <w:tcW w:w="1329" w:type="dxa"/>
            <w:tcBorders>
              <w:top w:val="nil"/>
              <w:left w:val="nil"/>
              <w:bottom w:val="nil"/>
            </w:tcBorders>
          </w:tcPr>
          <w:p w:rsidR="00D66163" w:rsidRPr="00B07B55" w:rsidRDefault="00D66163" w:rsidP="00DB5811">
            <w:pPr>
              <w:pStyle w:val="Tabletext"/>
              <w:tabs>
                <w:tab w:val="decimal" w:pos="539"/>
              </w:tabs>
              <w:rPr>
                <w:lang w:val="en-GB"/>
              </w:rPr>
            </w:pPr>
            <w:r w:rsidRPr="00B07B55">
              <w:rPr>
                <w:lang w:val="en-GB"/>
              </w:rPr>
              <w:t>65.44</w:t>
            </w:r>
          </w:p>
        </w:tc>
      </w:tr>
      <w:tr w:rsidR="00D66163" w:rsidRPr="00B07B55" w:rsidTr="00DB5811">
        <w:trPr>
          <w:cantSplit/>
        </w:trPr>
        <w:tc>
          <w:tcPr>
            <w:tcW w:w="3475" w:type="dxa"/>
            <w:tcBorders>
              <w:top w:val="nil"/>
              <w:bottom w:val="nil"/>
              <w:right w:val="nil"/>
            </w:tcBorders>
          </w:tcPr>
          <w:p w:rsidR="00D66163" w:rsidRPr="00B07B55" w:rsidRDefault="00D66163" w:rsidP="00DB5811">
            <w:pPr>
              <w:pStyle w:val="Tabletext"/>
              <w:rPr>
                <w:lang w:val="en-GB"/>
              </w:rPr>
            </w:pPr>
            <w:r w:rsidRPr="00B07B55">
              <w:rPr>
                <w:lang w:val="en-GB"/>
              </w:rPr>
              <w:t>Immigrants, English speaking</w:t>
            </w:r>
          </w:p>
        </w:tc>
        <w:tc>
          <w:tcPr>
            <w:tcW w:w="1328"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8.23</w:t>
            </w:r>
          </w:p>
        </w:tc>
        <w:tc>
          <w:tcPr>
            <w:tcW w:w="1329"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13.10</w:t>
            </w:r>
          </w:p>
        </w:tc>
        <w:tc>
          <w:tcPr>
            <w:tcW w:w="1328"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15.66</w:t>
            </w:r>
          </w:p>
        </w:tc>
        <w:tc>
          <w:tcPr>
            <w:tcW w:w="1329" w:type="dxa"/>
            <w:tcBorders>
              <w:top w:val="nil"/>
              <w:left w:val="nil"/>
              <w:bottom w:val="nil"/>
            </w:tcBorders>
          </w:tcPr>
          <w:p w:rsidR="00D66163" w:rsidRPr="00B07B55" w:rsidRDefault="00D66163" w:rsidP="00DB5811">
            <w:pPr>
              <w:pStyle w:val="Tabletext"/>
              <w:tabs>
                <w:tab w:val="decimal" w:pos="539"/>
              </w:tabs>
              <w:rPr>
                <w:lang w:val="en-GB"/>
              </w:rPr>
            </w:pPr>
            <w:r w:rsidRPr="00B07B55">
              <w:rPr>
                <w:lang w:val="en-GB"/>
              </w:rPr>
              <w:t>14.61</w:t>
            </w:r>
          </w:p>
        </w:tc>
      </w:tr>
      <w:tr w:rsidR="00D66163" w:rsidRPr="00B07B55" w:rsidTr="00DB5811">
        <w:trPr>
          <w:cantSplit/>
        </w:trPr>
        <w:tc>
          <w:tcPr>
            <w:tcW w:w="3475" w:type="dxa"/>
            <w:tcBorders>
              <w:top w:val="nil"/>
              <w:bottom w:val="nil"/>
              <w:right w:val="nil"/>
            </w:tcBorders>
          </w:tcPr>
          <w:p w:rsidR="00D66163" w:rsidRPr="00B07B55" w:rsidRDefault="00D66163" w:rsidP="00DB5811">
            <w:pPr>
              <w:pStyle w:val="Tabletext"/>
              <w:rPr>
                <w:lang w:val="en-GB"/>
              </w:rPr>
            </w:pPr>
            <w:r w:rsidRPr="00B07B55">
              <w:rPr>
                <w:lang w:val="en-GB"/>
              </w:rPr>
              <w:t xml:space="preserve">Immigrants, non-English speaking </w:t>
            </w:r>
          </w:p>
        </w:tc>
        <w:tc>
          <w:tcPr>
            <w:tcW w:w="1328"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11.10</w:t>
            </w:r>
          </w:p>
        </w:tc>
        <w:tc>
          <w:tcPr>
            <w:tcW w:w="1329"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13.85</w:t>
            </w:r>
          </w:p>
        </w:tc>
        <w:tc>
          <w:tcPr>
            <w:tcW w:w="1328"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15.31</w:t>
            </w:r>
          </w:p>
        </w:tc>
        <w:tc>
          <w:tcPr>
            <w:tcW w:w="1329" w:type="dxa"/>
            <w:tcBorders>
              <w:top w:val="nil"/>
              <w:left w:val="nil"/>
              <w:bottom w:val="nil"/>
            </w:tcBorders>
          </w:tcPr>
          <w:p w:rsidR="00D66163" w:rsidRPr="00B07B55" w:rsidRDefault="00D66163" w:rsidP="00DB5811">
            <w:pPr>
              <w:pStyle w:val="Tabletext"/>
              <w:tabs>
                <w:tab w:val="decimal" w:pos="539"/>
              </w:tabs>
              <w:rPr>
                <w:lang w:val="en-GB"/>
              </w:rPr>
            </w:pPr>
            <w:r w:rsidRPr="00B07B55">
              <w:rPr>
                <w:lang w:val="en-GB"/>
              </w:rPr>
              <w:t>19.63</w:t>
            </w:r>
          </w:p>
        </w:tc>
      </w:tr>
      <w:tr w:rsidR="00D66163" w:rsidRPr="00B07B55" w:rsidTr="00DB5811">
        <w:trPr>
          <w:cantSplit/>
        </w:trPr>
        <w:tc>
          <w:tcPr>
            <w:tcW w:w="3475" w:type="dxa"/>
            <w:tcBorders>
              <w:top w:val="nil"/>
              <w:bottom w:val="nil"/>
              <w:right w:val="nil"/>
            </w:tcBorders>
          </w:tcPr>
          <w:p w:rsidR="00D66163" w:rsidRPr="00DB5811" w:rsidRDefault="00E428EC" w:rsidP="00DB5811">
            <w:pPr>
              <w:pStyle w:val="Tabletext"/>
              <w:spacing w:before="120"/>
              <w:rPr>
                <w:b/>
                <w:lang w:val="en-GB"/>
              </w:rPr>
            </w:pPr>
            <w:r w:rsidRPr="00DB5811">
              <w:rPr>
                <w:b/>
                <w:lang w:val="en-GB"/>
              </w:rPr>
              <w:t>Australia, f</w:t>
            </w:r>
            <w:r w:rsidR="00D66163" w:rsidRPr="00DB5811">
              <w:rPr>
                <w:b/>
                <w:lang w:val="en-GB"/>
              </w:rPr>
              <w:t>emales</w:t>
            </w:r>
          </w:p>
        </w:tc>
        <w:tc>
          <w:tcPr>
            <w:tcW w:w="1328" w:type="dxa"/>
            <w:tcBorders>
              <w:top w:val="nil"/>
              <w:left w:val="nil"/>
              <w:bottom w:val="nil"/>
              <w:right w:val="nil"/>
            </w:tcBorders>
          </w:tcPr>
          <w:p w:rsidR="00D66163" w:rsidRPr="00B07B55" w:rsidRDefault="00D66163" w:rsidP="00DB5811">
            <w:pPr>
              <w:pStyle w:val="Tabletext"/>
              <w:tabs>
                <w:tab w:val="decimal" w:pos="539"/>
              </w:tabs>
              <w:spacing w:before="120"/>
              <w:rPr>
                <w:lang w:val="en-GB"/>
              </w:rPr>
            </w:pPr>
          </w:p>
        </w:tc>
        <w:tc>
          <w:tcPr>
            <w:tcW w:w="1329" w:type="dxa"/>
            <w:tcBorders>
              <w:top w:val="nil"/>
              <w:left w:val="nil"/>
              <w:bottom w:val="nil"/>
              <w:right w:val="nil"/>
            </w:tcBorders>
          </w:tcPr>
          <w:p w:rsidR="00D66163" w:rsidRPr="00B07B55" w:rsidRDefault="00D66163" w:rsidP="00DB5811">
            <w:pPr>
              <w:pStyle w:val="Tabletext"/>
              <w:tabs>
                <w:tab w:val="decimal" w:pos="539"/>
              </w:tabs>
              <w:spacing w:before="120"/>
              <w:rPr>
                <w:lang w:val="en-GB"/>
              </w:rPr>
            </w:pPr>
          </w:p>
        </w:tc>
        <w:tc>
          <w:tcPr>
            <w:tcW w:w="1328" w:type="dxa"/>
            <w:tcBorders>
              <w:top w:val="nil"/>
              <w:left w:val="nil"/>
              <w:bottom w:val="nil"/>
              <w:right w:val="nil"/>
            </w:tcBorders>
          </w:tcPr>
          <w:p w:rsidR="00D66163" w:rsidRPr="00B07B55" w:rsidRDefault="00D66163" w:rsidP="00DB5811">
            <w:pPr>
              <w:pStyle w:val="Tabletext"/>
              <w:tabs>
                <w:tab w:val="decimal" w:pos="539"/>
              </w:tabs>
              <w:spacing w:before="120"/>
              <w:rPr>
                <w:lang w:val="en-GB"/>
              </w:rPr>
            </w:pPr>
          </w:p>
        </w:tc>
        <w:tc>
          <w:tcPr>
            <w:tcW w:w="1329" w:type="dxa"/>
            <w:tcBorders>
              <w:top w:val="nil"/>
              <w:left w:val="nil"/>
              <w:bottom w:val="nil"/>
            </w:tcBorders>
          </w:tcPr>
          <w:p w:rsidR="00D66163" w:rsidRPr="00B07B55" w:rsidRDefault="00D66163" w:rsidP="00DB5811">
            <w:pPr>
              <w:pStyle w:val="Tabletext"/>
              <w:tabs>
                <w:tab w:val="decimal" w:pos="539"/>
              </w:tabs>
              <w:spacing w:before="120"/>
              <w:rPr>
                <w:lang w:val="en-GB"/>
              </w:rPr>
            </w:pPr>
          </w:p>
        </w:tc>
      </w:tr>
      <w:tr w:rsidR="00D66163" w:rsidRPr="00B07B55" w:rsidTr="00DB5811">
        <w:trPr>
          <w:cantSplit/>
        </w:trPr>
        <w:tc>
          <w:tcPr>
            <w:tcW w:w="3475" w:type="dxa"/>
            <w:tcBorders>
              <w:top w:val="nil"/>
              <w:bottom w:val="nil"/>
              <w:right w:val="nil"/>
            </w:tcBorders>
          </w:tcPr>
          <w:p w:rsidR="00D66163" w:rsidRPr="00B07B55" w:rsidRDefault="00D66163" w:rsidP="00DB5811">
            <w:pPr>
              <w:pStyle w:val="Tabletext"/>
              <w:rPr>
                <w:lang w:val="en-GB"/>
              </w:rPr>
            </w:pPr>
            <w:r w:rsidRPr="00B07B55">
              <w:rPr>
                <w:lang w:val="en-GB"/>
              </w:rPr>
              <w:t>Share of individuals in the age group</w:t>
            </w:r>
          </w:p>
        </w:tc>
        <w:tc>
          <w:tcPr>
            <w:tcW w:w="1328"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24.82</w:t>
            </w:r>
          </w:p>
        </w:tc>
        <w:tc>
          <w:tcPr>
            <w:tcW w:w="1329"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31.64</w:t>
            </w:r>
          </w:p>
        </w:tc>
        <w:tc>
          <w:tcPr>
            <w:tcW w:w="1328"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25.56</w:t>
            </w:r>
          </w:p>
        </w:tc>
        <w:tc>
          <w:tcPr>
            <w:tcW w:w="1329" w:type="dxa"/>
            <w:tcBorders>
              <w:top w:val="nil"/>
              <w:left w:val="nil"/>
              <w:bottom w:val="nil"/>
            </w:tcBorders>
          </w:tcPr>
          <w:p w:rsidR="00D66163" w:rsidRPr="00B07B55" w:rsidRDefault="00D66163" w:rsidP="00DB5811">
            <w:pPr>
              <w:pStyle w:val="Tabletext"/>
              <w:tabs>
                <w:tab w:val="decimal" w:pos="539"/>
              </w:tabs>
              <w:rPr>
                <w:lang w:val="en-GB"/>
              </w:rPr>
            </w:pPr>
            <w:r w:rsidRPr="00B07B55">
              <w:rPr>
                <w:lang w:val="en-GB"/>
              </w:rPr>
              <w:t>17.97</w:t>
            </w:r>
          </w:p>
        </w:tc>
      </w:tr>
      <w:tr w:rsidR="00D66163" w:rsidRPr="00B07B55" w:rsidTr="00DB5811">
        <w:trPr>
          <w:cantSplit/>
        </w:trPr>
        <w:tc>
          <w:tcPr>
            <w:tcW w:w="3475" w:type="dxa"/>
            <w:tcBorders>
              <w:top w:val="nil"/>
              <w:bottom w:val="nil"/>
              <w:right w:val="nil"/>
            </w:tcBorders>
          </w:tcPr>
          <w:p w:rsidR="00D66163" w:rsidRPr="00B07B55" w:rsidRDefault="00E428EC" w:rsidP="00DB5811">
            <w:pPr>
              <w:pStyle w:val="Tabletext"/>
              <w:rPr>
                <w:lang w:val="en-GB"/>
              </w:rPr>
            </w:pPr>
            <w:r>
              <w:rPr>
                <w:lang w:val="en-GB"/>
              </w:rPr>
              <w:t>Australian-</w:t>
            </w:r>
            <w:r w:rsidR="00D66163" w:rsidRPr="00B07B55">
              <w:rPr>
                <w:lang w:val="en-GB"/>
              </w:rPr>
              <w:t>born</w:t>
            </w:r>
          </w:p>
        </w:tc>
        <w:tc>
          <w:tcPr>
            <w:tcW w:w="1328"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80.43</w:t>
            </w:r>
          </w:p>
        </w:tc>
        <w:tc>
          <w:tcPr>
            <w:tcW w:w="1329"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71.10</w:t>
            </w:r>
          </w:p>
        </w:tc>
        <w:tc>
          <w:tcPr>
            <w:tcW w:w="1328"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70.06</w:t>
            </w:r>
          </w:p>
        </w:tc>
        <w:tc>
          <w:tcPr>
            <w:tcW w:w="1329" w:type="dxa"/>
            <w:tcBorders>
              <w:top w:val="nil"/>
              <w:left w:val="nil"/>
              <w:bottom w:val="nil"/>
            </w:tcBorders>
          </w:tcPr>
          <w:p w:rsidR="00D66163" w:rsidRPr="00B07B55" w:rsidRDefault="00D66163" w:rsidP="00DB5811">
            <w:pPr>
              <w:pStyle w:val="Tabletext"/>
              <w:tabs>
                <w:tab w:val="decimal" w:pos="539"/>
              </w:tabs>
              <w:rPr>
                <w:lang w:val="en-GB"/>
              </w:rPr>
            </w:pPr>
            <w:r w:rsidRPr="00B07B55">
              <w:rPr>
                <w:lang w:val="en-GB"/>
              </w:rPr>
              <w:t>71.34</w:t>
            </w:r>
          </w:p>
        </w:tc>
      </w:tr>
      <w:tr w:rsidR="00D66163" w:rsidRPr="00B07B55" w:rsidTr="00DB5811">
        <w:trPr>
          <w:cantSplit/>
        </w:trPr>
        <w:tc>
          <w:tcPr>
            <w:tcW w:w="3475" w:type="dxa"/>
            <w:tcBorders>
              <w:top w:val="nil"/>
              <w:bottom w:val="nil"/>
              <w:right w:val="nil"/>
            </w:tcBorders>
          </w:tcPr>
          <w:p w:rsidR="00D66163" w:rsidRPr="00B07B55" w:rsidRDefault="00D66163" w:rsidP="00DB5811">
            <w:pPr>
              <w:pStyle w:val="Tabletext"/>
              <w:rPr>
                <w:lang w:val="en-GB"/>
              </w:rPr>
            </w:pPr>
            <w:r w:rsidRPr="00B07B55">
              <w:rPr>
                <w:lang w:val="en-GB"/>
              </w:rPr>
              <w:t>Immigrants, English speaking</w:t>
            </w:r>
          </w:p>
        </w:tc>
        <w:tc>
          <w:tcPr>
            <w:tcW w:w="1328"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7.99</w:t>
            </w:r>
          </w:p>
        </w:tc>
        <w:tc>
          <w:tcPr>
            <w:tcW w:w="1329"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9.92</w:t>
            </w:r>
          </w:p>
        </w:tc>
        <w:tc>
          <w:tcPr>
            <w:tcW w:w="1328" w:type="dxa"/>
            <w:tcBorders>
              <w:top w:val="nil"/>
              <w:left w:val="nil"/>
              <w:bottom w:val="nil"/>
              <w:right w:val="nil"/>
            </w:tcBorders>
          </w:tcPr>
          <w:p w:rsidR="00D66163" w:rsidRPr="00B07B55" w:rsidRDefault="00D66163" w:rsidP="00DB5811">
            <w:pPr>
              <w:pStyle w:val="Tabletext"/>
              <w:tabs>
                <w:tab w:val="decimal" w:pos="539"/>
              </w:tabs>
              <w:rPr>
                <w:lang w:val="en-GB"/>
              </w:rPr>
            </w:pPr>
            <w:r w:rsidRPr="00B07B55">
              <w:rPr>
                <w:lang w:val="en-GB"/>
              </w:rPr>
              <w:t>11.78</w:t>
            </w:r>
          </w:p>
        </w:tc>
        <w:tc>
          <w:tcPr>
            <w:tcW w:w="1329" w:type="dxa"/>
            <w:tcBorders>
              <w:top w:val="nil"/>
              <w:left w:val="nil"/>
              <w:bottom w:val="nil"/>
            </w:tcBorders>
          </w:tcPr>
          <w:p w:rsidR="00D66163" w:rsidRPr="00B07B55" w:rsidRDefault="00D66163" w:rsidP="00DB5811">
            <w:pPr>
              <w:pStyle w:val="Tabletext"/>
              <w:tabs>
                <w:tab w:val="decimal" w:pos="539"/>
              </w:tabs>
              <w:rPr>
                <w:lang w:val="en-GB"/>
              </w:rPr>
            </w:pPr>
            <w:r w:rsidRPr="00B07B55">
              <w:rPr>
                <w:lang w:val="en-GB"/>
              </w:rPr>
              <w:t>13.84</w:t>
            </w:r>
          </w:p>
        </w:tc>
      </w:tr>
      <w:tr w:rsidR="00D66163" w:rsidRPr="00B07B55" w:rsidTr="00DB5811">
        <w:trPr>
          <w:cantSplit/>
        </w:trPr>
        <w:tc>
          <w:tcPr>
            <w:tcW w:w="3475" w:type="dxa"/>
            <w:tcBorders>
              <w:top w:val="nil"/>
              <w:bottom w:val="single" w:sz="4" w:space="0" w:color="auto"/>
              <w:right w:val="nil"/>
            </w:tcBorders>
          </w:tcPr>
          <w:p w:rsidR="00D66163" w:rsidRPr="00B07B55" w:rsidRDefault="00D66163" w:rsidP="00DB5811">
            <w:pPr>
              <w:pStyle w:val="Tabletext"/>
              <w:rPr>
                <w:lang w:val="en-GB"/>
              </w:rPr>
            </w:pPr>
            <w:r w:rsidRPr="00B07B55">
              <w:rPr>
                <w:lang w:val="en-GB"/>
              </w:rPr>
              <w:t xml:space="preserve">Immigrants, non-English speaking </w:t>
            </w:r>
          </w:p>
        </w:tc>
        <w:tc>
          <w:tcPr>
            <w:tcW w:w="1328" w:type="dxa"/>
            <w:tcBorders>
              <w:top w:val="nil"/>
              <w:left w:val="nil"/>
              <w:bottom w:val="single" w:sz="4" w:space="0" w:color="auto"/>
              <w:right w:val="nil"/>
            </w:tcBorders>
          </w:tcPr>
          <w:p w:rsidR="00D66163" w:rsidRPr="00B07B55" w:rsidRDefault="00D66163" w:rsidP="00DB5811">
            <w:pPr>
              <w:pStyle w:val="Tabletext"/>
              <w:tabs>
                <w:tab w:val="decimal" w:pos="539"/>
              </w:tabs>
              <w:rPr>
                <w:lang w:val="en-GB"/>
              </w:rPr>
            </w:pPr>
            <w:r w:rsidRPr="00B07B55">
              <w:rPr>
                <w:lang w:val="en-GB"/>
              </w:rPr>
              <w:t>11.58</w:t>
            </w:r>
          </w:p>
        </w:tc>
        <w:tc>
          <w:tcPr>
            <w:tcW w:w="1329" w:type="dxa"/>
            <w:tcBorders>
              <w:top w:val="nil"/>
              <w:left w:val="nil"/>
              <w:bottom w:val="single" w:sz="4" w:space="0" w:color="auto"/>
              <w:right w:val="nil"/>
            </w:tcBorders>
          </w:tcPr>
          <w:p w:rsidR="00D66163" w:rsidRPr="00B07B55" w:rsidRDefault="00D66163" w:rsidP="00DB5811">
            <w:pPr>
              <w:pStyle w:val="Tabletext"/>
              <w:tabs>
                <w:tab w:val="decimal" w:pos="539"/>
              </w:tabs>
              <w:rPr>
                <w:lang w:val="en-GB"/>
              </w:rPr>
            </w:pPr>
            <w:r w:rsidRPr="00B07B55">
              <w:rPr>
                <w:lang w:val="en-GB"/>
              </w:rPr>
              <w:t>18.98</w:t>
            </w:r>
          </w:p>
        </w:tc>
        <w:tc>
          <w:tcPr>
            <w:tcW w:w="1328" w:type="dxa"/>
            <w:tcBorders>
              <w:top w:val="nil"/>
              <w:left w:val="nil"/>
              <w:bottom w:val="single" w:sz="4" w:space="0" w:color="auto"/>
              <w:right w:val="nil"/>
            </w:tcBorders>
          </w:tcPr>
          <w:p w:rsidR="00D66163" w:rsidRPr="00B07B55" w:rsidRDefault="00D66163" w:rsidP="00DB5811">
            <w:pPr>
              <w:pStyle w:val="Tabletext"/>
              <w:tabs>
                <w:tab w:val="decimal" w:pos="539"/>
              </w:tabs>
              <w:rPr>
                <w:lang w:val="en-GB"/>
              </w:rPr>
            </w:pPr>
            <w:r w:rsidRPr="00B07B55">
              <w:rPr>
                <w:lang w:val="en-GB"/>
              </w:rPr>
              <w:t>18.15</w:t>
            </w:r>
          </w:p>
        </w:tc>
        <w:tc>
          <w:tcPr>
            <w:tcW w:w="1329" w:type="dxa"/>
            <w:tcBorders>
              <w:top w:val="nil"/>
              <w:left w:val="nil"/>
              <w:bottom w:val="single" w:sz="4" w:space="0" w:color="auto"/>
            </w:tcBorders>
          </w:tcPr>
          <w:p w:rsidR="00D66163" w:rsidRPr="00B07B55" w:rsidRDefault="00D66163" w:rsidP="00DB5811">
            <w:pPr>
              <w:pStyle w:val="Tabletext"/>
              <w:tabs>
                <w:tab w:val="decimal" w:pos="539"/>
              </w:tabs>
              <w:rPr>
                <w:lang w:val="en-GB"/>
              </w:rPr>
            </w:pPr>
            <w:r w:rsidRPr="00B07B55">
              <w:rPr>
                <w:lang w:val="en-GB"/>
              </w:rPr>
              <w:t>14.82</w:t>
            </w:r>
          </w:p>
        </w:tc>
      </w:tr>
    </w:tbl>
    <w:p w:rsidR="007835F8" w:rsidRPr="00B07B55" w:rsidRDefault="007835F8" w:rsidP="00DB5811">
      <w:pPr>
        <w:pStyle w:val="Source"/>
        <w:rPr>
          <w:lang w:val="en-GB"/>
        </w:rPr>
      </w:pPr>
      <w:r w:rsidRPr="00B07B55">
        <w:rPr>
          <w:lang w:val="en-GB"/>
        </w:rPr>
        <w:t>Source:</w:t>
      </w:r>
      <w:r w:rsidR="00DB5811">
        <w:rPr>
          <w:lang w:val="en-GB"/>
        </w:rPr>
        <w:tab/>
      </w:r>
      <w:r w:rsidRPr="00B07B55">
        <w:rPr>
          <w:lang w:val="en-GB"/>
        </w:rPr>
        <w:t>BHPS and HILDA</w:t>
      </w:r>
      <w:r w:rsidR="007738FB" w:rsidRPr="00B07B55">
        <w:rPr>
          <w:lang w:val="en-GB"/>
        </w:rPr>
        <w:t xml:space="preserve"> </w:t>
      </w:r>
      <w:r w:rsidR="00DA2721">
        <w:rPr>
          <w:lang w:val="en-GB"/>
        </w:rPr>
        <w:t>data, weighted statistics</w:t>
      </w:r>
      <w:r w:rsidR="008B1814">
        <w:rPr>
          <w:lang w:val="en-GB"/>
        </w:rPr>
        <w:t>.</w:t>
      </w:r>
    </w:p>
    <w:p w:rsidR="007835F8" w:rsidRPr="00B07B55" w:rsidRDefault="007835F8" w:rsidP="0093652C">
      <w:pPr>
        <w:pStyle w:val="Text"/>
        <w:rPr>
          <w:lang w:val="en-GB"/>
        </w:rPr>
      </w:pPr>
    </w:p>
    <w:p w:rsidR="001672E7" w:rsidRPr="00B07B55" w:rsidRDefault="001672E7">
      <w:pPr>
        <w:spacing w:before="0" w:line="240" w:lineRule="auto"/>
        <w:rPr>
          <w:lang w:val="en-GB"/>
        </w:rPr>
      </w:pPr>
      <w:r w:rsidRPr="00B07B55">
        <w:rPr>
          <w:lang w:val="en-GB"/>
        </w:rPr>
        <w:br w:type="page"/>
      </w:r>
    </w:p>
    <w:p w:rsidR="00331C70" w:rsidRPr="00B07B55" w:rsidRDefault="00331C70" w:rsidP="00051566">
      <w:pPr>
        <w:pStyle w:val="Heading1"/>
        <w:rPr>
          <w:lang w:val="en-GB"/>
        </w:rPr>
      </w:pPr>
      <w:bookmarkStart w:id="57" w:name="_Toc334101011"/>
      <w:r w:rsidRPr="00B07B55">
        <w:rPr>
          <w:lang w:val="en-GB"/>
        </w:rPr>
        <w:t>Methodology</w:t>
      </w:r>
      <w:bookmarkEnd w:id="57"/>
    </w:p>
    <w:p w:rsidR="00331C70" w:rsidRPr="00B07B55" w:rsidRDefault="00331C70" w:rsidP="00DB5811">
      <w:pPr>
        <w:pStyle w:val="Text"/>
        <w:ind w:right="-143"/>
        <w:rPr>
          <w:lang w:val="en-GB"/>
        </w:rPr>
      </w:pPr>
      <w:r w:rsidRPr="00B07B55">
        <w:rPr>
          <w:lang w:val="en-GB"/>
        </w:rPr>
        <w:t xml:space="preserve">The education participation rates by age group presented in the previous section provide a useful background on </w:t>
      </w:r>
      <w:r w:rsidR="007A4E37">
        <w:rPr>
          <w:lang w:val="en-GB"/>
        </w:rPr>
        <w:t>mature-age</w:t>
      </w:r>
      <w:r w:rsidRPr="00B07B55">
        <w:rPr>
          <w:lang w:val="en-GB"/>
        </w:rPr>
        <w:t xml:space="preserve"> education in Australia (research question 1). A comparison of a small number of the characteristics of individuals who undertake education at more mature ages and those </w:t>
      </w:r>
      <w:r w:rsidR="008B1814">
        <w:rPr>
          <w:lang w:val="en-GB"/>
        </w:rPr>
        <w:t>who</w:t>
      </w:r>
      <w:r w:rsidRPr="00B07B55">
        <w:rPr>
          <w:lang w:val="en-GB"/>
        </w:rPr>
        <w:t xml:space="preserve"> do not wa</w:t>
      </w:r>
      <w:r w:rsidR="008B1814">
        <w:rPr>
          <w:lang w:val="en-GB"/>
        </w:rPr>
        <w:t xml:space="preserve">s also </w:t>
      </w:r>
      <w:r w:rsidR="00D701C5">
        <w:rPr>
          <w:lang w:val="en-GB"/>
        </w:rPr>
        <w:t>given</w:t>
      </w:r>
      <w:r w:rsidR="008B1814">
        <w:rPr>
          <w:lang w:val="en-GB"/>
        </w:rPr>
        <w:t xml:space="preserve"> in table 7</w:t>
      </w:r>
      <w:r w:rsidRPr="00B07B55">
        <w:rPr>
          <w:lang w:val="en-GB"/>
        </w:rPr>
        <w:t xml:space="preserve">. This provided some simple information regarding question 2 on who undertakes formal education at more mature ages. In particular, individuals who already have higher levels of education are also more likely to undertake study at more mature ages. We continue the analysis of question 2 in the next section by estimating several multivariate regression models that relate the enrolment outcome to a large set of individual characteristics. Such multivariate analysis allows for the correlations inherent among the set of individual characteristics under investigation, allowing us to observe the effect of each characteristic after controlling for the effects of the other characteristics on the enrolment outcome. For example, earnings and current education levels are closely related, while both these characteristics may be related to the decision to undertake further study. The estimation results from the multivariate analysis will enable us to observe the effect of earnings on enrolment over and above the effect of initial education levels. We employ the Probit technique to estimate these equations, given the outcome (enrolment) is </w:t>
      </w:r>
      <w:r w:rsidR="00D6663B" w:rsidRPr="00B07B55">
        <w:rPr>
          <w:lang w:val="en-GB"/>
        </w:rPr>
        <w:t>binary (0 or 1)</w:t>
      </w:r>
      <w:r w:rsidRPr="00B07B55">
        <w:rPr>
          <w:lang w:val="en-GB"/>
        </w:rPr>
        <w:t xml:space="preserve">. </w:t>
      </w:r>
    </w:p>
    <w:p w:rsidR="00331C70" w:rsidRPr="00B07B55" w:rsidRDefault="00331C70" w:rsidP="00495869">
      <w:pPr>
        <w:pStyle w:val="Text"/>
        <w:ind w:right="0"/>
        <w:rPr>
          <w:lang w:val="en-GB"/>
        </w:rPr>
      </w:pPr>
      <w:r w:rsidRPr="00B07B55">
        <w:rPr>
          <w:lang w:val="en-GB"/>
        </w:rPr>
        <w:t xml:space="preserve">When attempting to estimate the causal effects of education (at any age) on labour market and </w:t>
      </w:r>
      <w:r w:rsidR="006A5795">
        <w:rPr>
          <w:lang w:val="en-GB"/>
        </w:rPr>
        <w:t>wellbeing</w:t>
      </w:r>
      <w:r w:rsidRPr="00B07B55">
        <w:rPr>
          <w:lang w:val="en-GB"/>
        </w:rPr>
        <w:t xml:space="preserve"> outcomes (research question 3), it is important to consider the potential effect of self-selection bias. Those individuals </w:t>
      </w:r>
      <w:r w:rsidR="008B1814">
        <w:rPr>
          <w:lang w:val="en-GB"/>
        </w:rPr>
        <w:t>who</w:t>
      </w:r>
      <w:r w:rsidRPr="00B07B55">
        <w:rPr>
          <w:lang w:val="en-GB"/>
        </w:rPr>
        <w:t xml:space="preserve"> choose to invest in education may be more able or motivated than others, thus they may have better labour market outcomes (hi</w:t>
      </w:r>
      <w:r w:rsidR="00D701C5">
        <w:rPr>
          <w:lang w:val="en-GB"/>
        </w:rPr>
        <w:t>gher earnings, employment rates</w:t>
      </w:r>
      <w:r w:rsidRPr="00B07B55">
        <w:rPr>
          <w:lang w:val="en-GB"/>
        </w:rPr>
        <w:t xml:space="preserve"> </w:t>
      </w:r>
      <w:r w:rsidR="008B1814">
        <w:rPr>
          <w:lang w:val="en-GB"/>
        </w:rPr>
        <w:t>etc.</w:t>
      </w:r>
      <w:r w:rsidRPr="00B07B55">
        <w:rPr>
          <w:lang w:val="en-GB"/>
        </w:rPr>
        <w:t xml:space="preserve">) due to this higher ability or motivation rather than due to the education they undertake. In the returns </w:t>
      </w:r>
      <w:r w:rsidR="008B1814">
        <w:rPr>
          <w:lang w:val="en-GB"/>
        </w:rPr>
        <w:t>from</w:t>
      </w:r>
      <w:r w:rsidRPr="00B07B55">
        <w:rPr>
          <w:lang w:val="en-GB"/>
        </w:rPr>
        <w:t xml:space="preserve"> education literature, researchers have tended to employ either instrumental variable techniques (using a variable that changes the education level of individuals but has no direct impact on the labour market outcomes) or have compared twins or siblings when trying to estimate the causal effect of education on labour market earnings. These methodological choices are related to the use of cross-sectional data.</w:t>
      </w:r>
    </w:p>
    <w:p w:rsidR="00331C70" w:rsidRPr="00B07B55" w:rsidRDefault="00331C70" w:rsidP="00495869">
      <w:pPr>
        <w:pStyle w:val="Text"/>
        <w:ind w:right="0"/>
        <w:rPr>
          <w:lang w:val="en-GB"/>
        </w:rPr>
      </w:pPr>
      <w:r w:rsidRPr="00B07B55">
        <w:rPr>
          <w:lang w:val="en-GB"/>
        </w:rPr>
        <w:t>Such instrumen</w:t>
      </w:r>
      <w:r w:rsidR="008B1814">
        <w:rPr>
          <w:lang w:val="en-GB"/>
        </w:rPr>
        <w:t>tal variable or twin comparison-</w:t>
      </w:r>
      <w:r w:rsidRPr="00B07B55">
        <w:rPr>
          <w:lang w:val="en-GB"/>
        </w:rPr>
        <w:t xml:space="preserve">based techniques will not be employed here. It is not clear that a suitable instrument is available and there is insufficient sample size for a twin-based approach. Instead, the longitudinal or panel nature of HILDA is exploited to ascertain the labour market effects of undertaking education at more mature ages. To control for potential ability or self-selection bias, the initial </w:t>
      </w:r>
      <w:r w:rsidR="004417D0" w:rsidRPr="00B07B55">
        <w:rPr>
          <w:lang w:val="en-GB"/>
        </w:rPr>
        <w:t xml:space="preserve">labour market and </w:t>
      </w:r>
      <w:r w:rsidR="006A5795">
        <w:rPr>
          <w:lang w:val="en-GB"/>
        </w:rPr>
        <w:t>wellbeing</w:t>
      </w:r>
      <w:r w:rsidR="004417D0" w:rsidRPr="00B07B55">
        <w:rPr>
          <w:lang w:val="en-GB"/>
        </w:rPr>
        <w:t xml:space="preserve"> </w:t>
      </w:r>
      <w:r w:rsidRPr="00B07B55">
        <w:rPr>
          <w:lang w:val="en-GB"/>
        </w:rPr>
        <w:t xml:space="preserve">outcomes (prior to undertaking education at more mature ages) of individuals are used. For example, if an individual is more able and productive, that should be reflected in their initial earnings level. In other words, we investigate the effect of undertaking education at </w:t>
      </w:r>
      <w:r w:rsidR="006329A1">
        <w:rPr>
          <w:lang w:val="en-GB"/>
        </w:rPr>
        <w:t xml:space="preserve">more </w:t>
      </w:r>
      <w:r w:rsidRPr="00B07B55">
        <w:rPr>
          <w:lang w:val="en-GB"/>
        </w:rPr>
        <w:t xml:space="preserve">mature ages on the change in earnings </w:t>
      </w:r>
      <w:r w:rsidR="00D6663B" w:rsidRPr="00B07B55">
        <w:rPr>
          <w:lang w:val="en-GB"/>
        </w:rPr>
        <w:t xml:space="preserve">or change in other outcomes </w:t>
      </w:r>
      <w:r w:rsidRPr="00B07B55">
        <w:rPr>
          <w:lang w:val="en-GB"/>
        </w:rPr>
        <w:t>from before the education is undertaken to after. Th</w:t>
      </w:r>
      <w:r w:rsidR="00D6663B" w:rsidRPr="00B07B55">
        <w:rPr>
          <w:lang w:val="en-GB"/>
        </w:rPr>
        <w:t>e</w:t>
      </w:r>
      <w:r w:rsidRPr="00B07B55">
        <w:rPr>
          <w:lang w:val="en-GB"/>
        </w:rPr>
        <w:t xml:space="preserve"> change in </w:t>
      </w:r>
      <w:r w:rsidR="00D6663B" w:rsidRPr="00B07B55">
        <w:rPr>
          <w:lang w:val="en-GB"/>
        </w:rPr>
        <w:t xml:space="preserve">outcomes </w:t>
      </w:r>
      <w:r w:rsidRPr="00B07B55">
        <w:rPr>
          <w:lang w:val="en-GB"/>
        </w:rPr>
        <w:t xml:space="preserve">will be compared </w:t>
      </w:r>
      <w:r w:rsidR="008B1814">
        <w:rPr>
          <w:lang w:val="en-GB"/>
        </w:rPr>
        <w:t>with</w:t>
      </w:r>
      <w:r w:rsidRPr="00B07B55">
        <w:rPr>
          <w:lang w:val="en-GB"/>
        </w:rPr>
        <w:t xml:space="preserve"> the change in </w:t>
      </w:r>
      <w:r w:rsidR="00D6663B" w:rsidRPr="00B07B55">
        <w:rPr>
          <w:lang w:val="en-GB"/>
        </w:rPr>
        <w:t xml:space="preserve">outcomes </w:t>
      </w:r>
      <w:r w:rsidRPr="00B07B55">
        <w:rPr>
          <w:lang w:val="en-GB"/>
        </w:rPr>
        <w:t>experienced over the same time period by similar individuals who did not participate in education at more mature ages. Those individuals used as the relevant ‘control group’ will essentially be selected based on their gender, initial earnings levels, initial education level,</w:t>
      </w:r>
      <w:r w:rsidR="00D701C5">
        <w:rPr>
          <w:lang w:val="en-GB"/>
        </w:rPr>
        <w:t xml:space="preserve"> age, work experience etc</w:t>
      </w:r>
      <w:r w:rsidRPr="00B07B55">
        <w:rPr>
          <w:lang w:val="en-GB"/>
        </w:rPr>
        <w:t xml:space="preserve">. This method of estimating the labour market effects of </w:t>
      </w:r>
      <w:r w:rsidR="007A4E37">
        <w:rPr>
          <w:lang w:val="en-GB"/>
        </w:rPr>
        <w:t>mature-age</w:t>
      </w:r>
      <w:r w:rsidRPr="00B07B55">
        <w:rPr>
          <w:lang w:val="en-GB"/>
        </w:rPr>
        <w:t xml:space="preserve"> education using changes in earnings and controlling for initial characteristics has been employed by recent studies in Australia (Headey </w:t>
      </w:r>
      <w:r w:rsidR="00B24059">
        <w:rPr>
          <w:lang w:val="en-GB"/>
        </w:rPr>
        <w:t>&amp;</w:t>
      </w:r>
      <w:r w:rsidRPr="00B07B55">
        <w:rPr>
          <w:lang w:val="en-GB"/>
        </w:rPr>
        <w:t xml:space="preserve"> Warren 2008), the United Kingdom (Jenkins et al</w:t>
      </w:r>
      <w:r w:rsidR="007B0B42">
        <w:rPr>
          <w:lang w:val="en-GB"/>
        </w:rPr>
        <w:t>.</w:t>
      </w:r>
      <w:r w:rsidRPr="00B07B55">
        <w:rPr>
          <w:lang w:val="en-GB"/>
        </w:rPr>
        <w:t xml:space="preserve"> 2003; Silles 2007; Buscha</w:t>
      </w:r>
      <w:r w:rsidR="00E93FCA">
        <w:rPr>
          <w:lang w:val="en-GB"/>
        </w:rPr>
        <w:t xml:space="preserve">, Blanden </w:t>
      </w:r>
      <w:r w:rsidR="00051566">
        <w:rPr>
          <w:lang w:val="en-GB"/>
        </w:rPr>
        <w:t>&amp;</w:t>
      </w:r>
      <w:r w:rsidR="00E93FCA">
        <w:rPr>
          <w:lang w:val="en-GB"/>
        </w:rPr>
        <w:t xml:space="preserve"> Sturgis</w:t>
      </w:r>
      <w:r w:rsidRPr="00B07B55">
        <w:rPr>
          <w:lang w:val="en-GB"/>
        </w:rPr>
        <w:t xml:space="preserve"> 2009), and Canada (Zhang </w:t>
      </w:r>
      <w:r w:rsidR="00B24059">
        <w:rPr>
          <w:lang w:val="en-GB"/>
        </w:rPr>
        <w:t>&amp;</w:t>
      </w:r>
      <w:r w:rsidRPr="00B07B55">
        <w:rPr>
          <w:lang w:val="en-GB"/>
        </w:rPr>
        <w:t xml:space="preserve"> Palameta 2006). </w:t>
      </w:r>
    </w:p>
    <w:p w:rsidR="00331C70" w:rsidRPr="00B07B55" w:rsidRDefault="00331C70" w:rsidP="00495869">
      <w:pPr>
        <w:pStyle w:val="Text"/>
        <w:ind w:right="0"/>
        <w:rPr>
          <w:lang w:val="en-GB"/>
        </w:rPr>
      </w:pPr>
      <w:r w:rsidRPr="00B07B55">
        <w:rPr>
          <w:lang w:val="en-GB"/>
        </w:rPr>
        <w:t xml:space="preserve">Note that we investigate the effect of </w:t>
      </w:r>
      <w:r w:rsidR="007A4E37">
        <w:rPr>
          <w:lang w:val="en-GB"/>
        </w:rPr>
        <w:t>mature-age</w:t>
      </w:r>
      <w:r w:rsidRPr="00B07B55">
        <w:rPr>
          <w:lang w:val="en-GB"/>
        </w:rPr>
        <w:t xml:space="preserve"> education on more than just earnings rates. Using the same method, we also investigate the effect of such </w:t>
      </w:r>
      <w:r w:rsidR="007A4E37">
        <w:rPr>
          <w:lang w:val="en-GB"/>
        </w:rPr>
        <w:t>mature-age</w:t>
      </w:r>
      <w:r w:rsidRPr="00B07B55">
        <w:rPr>
          <w:lang w:val="en-GB"/>
        </w:rPr>
        <w:t xml:space="preserve"> education on employment status (employed, permanent, hours of work), occupation level, level of job satisfaction, use of skills in the job held, and subjective </w:t>
      </w:r>
      <w:r w:rsidR="006A5795">
        <w:rPr>
          <w:lang w:val="en-GB"/>
        </w:rPr>
        <w:t>wellbeing</w:t>
      </w:r>
      <w:r w:rsidRPr="00B07B55">
        <w:rPr>
          <w:lang w:val="en-GB"/>
        </w:rPr>
        <w:t xml:space="preserve">. </w:t>
      </w:r>
    </w:p>
    <w:p w:rsidR="00331C70" w:rsidRPr="00B07B55" w:rsidRDefault="00331C70" w:rsidP="00495869">
      <w:pPr>
        <w:pStyle w:val="Text"/>
        <w:ind w:right="0"/>
        <w:rPr>
          <w:lang w:val="en-GB"/>
        </w:rPr>
      </w:pPr>
      <w:r w:rsidRPr="00B07B55">
        <w:rPr>
          <w:lang w:val="en-GB"/>
        </w:rPr>
        <w:t xml:space="preserve">In order to obtain a more complete picture of the patterns of these labour market outcomes leading up to and after undertaking education at more mature ages, we also </w:t>
      </w:r>
      <w:r w:rsidR="004417D0" w:rsidRPr="00B07B55">
        <w:rPr>
          <w:lang w:val="en-GB"/>
        </w:rPr>
        <w:t>report</w:t>
      </w:r>
      <w:r w:rsidRPr="00B07B55">
        <w:rPr>
          <w:lang w:val="en-GB"/>
        </w:rPr>
        <w:t xml:space="preserve"> estimates based on </w:t>
      </w:r>
      <w:r w:rsidR="00D6663B" w:rsidRPr="00B07B55">
        <w:rPr>
          <w:lang w:val="en-GB"/>
        </w:rPr>
        <w:t>panel regression</w:t>
      </w:r>
      <w:r w:rsidR="00C17D32" w:rsidRPr="00B07B55">
        <w:rPr>
          <w:lang w:val="en-GB"/>
        </w:rPr>
        <w:t>s</w:t>
      </w:r>
      <w:r w:rsidR="00D6663B" w:rsidRPr="00B07B55">
        <w:rPr>
          <w:lang w:val="en-GB"/>
        </w:rPr>
        <w:t xml:space="preserve"> with individual fixed effects.</w:t>
      </w:r>
      <w:r w:rsidRPr="00B07B55">
        <w:rPr>
          <w:lang w:val="en-GB"/>
        </w:rPr>
        <w:t xml:space="preserve"> The regressions include indicators of how many years the observation is prior to and after an education spell. The estimated coefficients on these indicators measure how the outcome for this individual who undertakes education differs from the outcome of similar individuals who do not undertake further education. We will thus be able to observe </w:t>
      </w:r>
      <w:r w:rsidR="00D701C5">
        <w:rPr>
          <w:lang w:val="en-GB"/>
        </w:rPr>
        <w:t>whether</w:t>
      </w:r>
      <w:r w:rsidR="00653E97">
        <w:rPr>
          <w:lang w:val="en-GB"/>
        </w:rPr>
        <w:t xml:space="preserve"> </w:t>
      </w:r>
      <w:r w:rsidRPr="00B07B55">
        <w:rPr>
          <w:lang w:val="en-GB"/>
        </w:rPr>
        <w:t>outcomes dip just before an education spell (</w:t>
      </w:r>
      <w:r w:rsidR="00C17D32" w:rsidRPr="00B07B55">
        <w:rPr>
          <w:lang w:val="en-GB"/>
        </w:rPr>
        <w:t xml:space="preserve">a phenomenon known in the literature as </w:t>
      </w:r>
      <w:r w:rsidR="008B1814">
        <w:rPr>
          <w:lang w:val="en-GB"/>
        </w:rPr>
        <w:t>‘Ashenfelter dip</w:t>
      </w:r>
      <w:r w:rsidR="00992B3C">
        <w:rPr>
          <w:lang w:val="en-GB"/>
        </w:rPr>
        <w:t>’</w:t>
      </w:r>
      <w:r w:rsidR="00783F42" w:rsidRPr="00B07B55">
        <w:rPr>
          <w:lang w:val="en-GB"/>
        </w:rPr>
        <w:t xml:space="preserve">, from </w:t>
      </w:r>
      <w:r w:rsidR="008B1814">
        <w:rPr>
          <w:lang w:val="en-GB"/>
        </w:rPr>
        <w:t>the contribution of Ashenfelter</w:t>
      </w:r>
      <w:r w:rsidR="00783F42" w:rsidRPr="00B07B55">
        <w:rPr>
          <w:lang w:val="en-GB"/>
        </w:rPr>
        <w:t xml:space="preserve"> 1978</w:t>
      </w:r>
      <w:r w:rsidRPr="00B07B55">
        <w:rPr>
          <w:lang w:val="en-GB"/>
        </w:rPr>
        <w:t xml:space="preserve">), and if outcomes after the education is completed jump up quickly or take some years to improve. </w:t>
      </w:r>
    </w:p>
    <w:p w:rsidR="00331C70" w:rsidRPr="00B07B55" w:rsidRDefault="00783F42" w:rsidP="00495869">
      <w:pPr>
        <w:pStyle w:val="Text"/>
        <w:ind w:right="0"/>
        <w:rPr>
          <w:lang w:val="en-GB"/>
        </w:rPr>
      </w:pPr>
      <w:r w:rsidRPr="00B07B55">
        <w:rPr>
          <w:lang w:val="en-GB"/>
        </w:rPr>
        <w:t>T</w:t>
      </w:r>
      <w:r w:rsidR="00331C70" w:rsidRPr="00B07B55">
        <w:rPr>
          <w:lang w:val="en-GB"/>
        </w:rPr>
        <w:t xml:space="preserve">o attempt to identify sources of differentiation between the Australian and British rates of </w:t>
      </w:r>
      <w:r w:rsidR="007A4E37">
        <w:rPr>
          <w:lang w:val="en-GB"/>
        </w:rPr>
        <w:t>mature-age</w:t>
      </w:r>
      <w:r w:rsidR="00331C70" w:rsidRPr="00B07B55">
        <w:rPr>
          <w:lang w:val="en-GB"/>
        </w:rPr>
        <w:t xml:space="preserve"> education participation</w:t>
      </w:r>
      <w:r w:rsidRPr="00B07B55">
        <w:rPr>
          <w:lang w:val="en-GB"/>
        </w:rPr>
        <w:t>,</w:t>
      </w:r>
      <w:r w:rsidR="00331C70" w:rsidRPr="00B07B55">
        <w:rPr>
          <w:lang w:val="en-GB"/>
        </w:rPr>
        <w:t xml:space="preserve"> </w:t>
      </w:r>
      <w:r w:rsidRPr="00B07B55">
        <w:rPr>
          <w:lang w:val="en-GB"/>
        </w:rPr>
        <w:t>w</w:t>
      </w:r>
      <w:r w:rsidR="00331C70" w:rsidRPr="00B07B55">
        <w:rPr>
          <w:lang w:val="en-GB"/>
        </w:rPr>
        <w:t>e employ decomposition anal</w:t>
      </w:r>
      <w:r w:rsidR="00B24059">
        <w:rPr>
          <w:lang w:val="en-GB"/>
        </w:rPr>
        <w:t>ysis (see Blinder 1973; Oaxaca</w:t>
      </w:r>
      <w:r w:rsidR="00331C70" w:rsidRPr="00B07B55">
        <w:rPr>
          <w:lang w:val="en-GB"/>
        </w:rPr>
        <w:t xml:space="preserve"> 1973) to disentangle the role played by differences in the composition of the </w:t>
      </w:r>
      <w:r w:rsidR="007A4E37">
        <w:rPr>
          <w:lang w:val="en-GB"/>
        </w:rPr>
        <w:t>mature-age</w:t>
      </w:r>
      <w:r w:rsidR="00331C70" w:rsidRPr="00B07B55">
        <w:rPr>
          <w:lang w:val="en-GB"/>
        </w:rPr>
        <w:t xml:space="preserve"> populations in the two countries (</w:t>
      </w:r>
      <w:r w:rsidR="0064378F">
        <w:rPr>
          <w:lang w:val="en-GB"/>
        </w:rPr>
        <w:t>for example,</w:t>
      </w:r>
      <w:r w:rsidR="00331C70" w:rsidRPr="00B07B55">
        <w:rPr>
          <w:lang w:val="en-GB"/>
        </w:rPr>
        <w:t xml:space="preserve"> gender-age profiles, proportion of immigrants, prior qualifications, prio</w:t>
      </w:r>
      <w:r w:rsidR="0064378F">
        <w:rPr>
          <w:lang w:val="en-GB"/>
        </w:rPr>
        <w:t>r employment outcomes etc.</w:t>
      </w:r>
      <w:r w:rsidR="00331C70" w:rsidRPr="00B07B55">
        <w:rPr>
          <w:lang w:val="en-GB"/>
        </w:rPr>
        <w:t>) and other differences (</w:t>
      </w:r>
      <w:r w:rsidR="0064378F">
        <w:rPr>
          <w:lang w:val="en-GB"/>
        </w:rPr>
        <w:t>for example,</w:t>
      </w:r>
      <w:r w:rsidR="00331C70" w:rsidRPr="00B07B55">
        <w:rPr>
          <w:lang w:val="en-GB"/>
        </w:rPr>
        <w:t xml:space="preserve"> in preferences, in returns </w:t>
      </w:r>
      <w:r w:rsidR="0064378F">
        <w:rPr>
          <w:lang w:val="en-GB"/>
        </w:rPr>
        <w:t>from</w:t>
      </w:r>
      <w:r w:rsidR="00331C70" w:rsidRPr="00B07B55">
        <w:rPr>
          <w:lang w:val="en-GB"/>
        </w:rPr>
        <w:t xml:space="preserve"> education/training and in institutional contexts</w:t>
      </w:r>
      <w:r w:rsidR="004417D0" w:rsidRPr="00B07B55">
        <w:rPr>
          <w:lang w:val="en-GB"/>
        </w:rPr>
        <w:t>)</w:t>
      </w:r>
      <w:r w:rsidR="00331C70" w:rsidRPr="00B07B55">
        <w:rPr>
          <w:lang w:val="en-GB"/>
        </w:rPr>
        <w:t>, although note that th</w:t>
      </w:r>
      <w:r w:rsidRPr="00B07B55">
        <w:rPr>
          <w:lang w:val="en-GB"/>
        </w:rPr>
        <w:t>is second group of factors</w:t>
      </w:r>
      <w:r w:rsidR="00331C70" w:rsidRPr="00B07B55">
        <w:rPr>
          <w:lang w:val="en-GB"/>
        </w:rPr>
        <w:t xml:space="preserve"> cannot be separately identified by our analysis.</w:t>
      </w:r>
      <w:r w:rsidR="001C73D5">
        <w:rPr>
          <w:lang w:val="en-GB"/>
        </w:rPr>
        <w:t xml:space="preserve"> </w:t>
      </w:r>
    </w:p>
    <w:p w:rsidR="00331C70" w:rsidRPr="00B07B55" w:rsidRDefault="00331C70" w:rsidP="00495869">
      <w:pPr>
        <w:pStyle w:val="Text"/>
        <w:ind w:right="0"/>
        <w:rPr>
          <w:lang w:val="en-GB"/>
        </w:rPr>
      </w:pPr>
      <w:r w:rsidRPr="00B07B55">
        <w:rPr>
          <w:lang w:val="en-GB"/>
        </w:rPr>
        <w:t>The standard Oaxaca-Blinder decomposition can be illustrated as follows. Imagine we are interested in studying the following relation:</w:t>
      </w:r>
    </w:p>
    <w:p w:rsidR="00331C70" w:rsidRPr="00B07B55" w:rsidRDefault="00331C70" w:rsidP="00DB5811">
      <w:pPr>
        <w:pStyle w:val="MTDisplayEquation"/>
        <w:tabs>
          <w:tab w:val="clear" w:pos="4160"/>
          <w:tab w:val="clear" w:pos="8300"/>
          <w:tab w:val="left" w:pos="2268"/>
          <w:tab w:val="right" w:pos="8222"/>
        </w:tabs>
        <w:jc w:val="left"/>
        <w:rPr>
          <w:lang w:val="en-GB"/>
        </w:rPr>
      </w:pPr>
      <w:r w:rsidRPr="00B07B55">
        <w:rPr>
          <w:lang w:val="en-GB"/>
        </w:rPr>
        <w:tab/>
      </w:r>
      <w:r w:rsidRPr="00B07B55">
        <w:rPr>
          <w:position w:val="-12"/>
          <w:lang w:val="en-GB"/>
        </w:rPr>
        <w:object w:dxaOrig="1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6pt" o:ole="">
            <v:imagedata r:id="rId12" o:title=""/>
          </v:shape>
          <o:OLEObject Type="Embed" ProgID="Equation.DSMT4" ShapeID="_x0000_i1025" DrawAspect="Content" ObjectID="_1410856149" r:id="rId13"/>
        </w:object>
      </w:r>
      <w:r w:rsidRPr="00B07B55">
        <w:rPr>
          <w:lang w:val="en-GB"/>
        </w:rPr>
        <w:tab/>
      </w:r>
      <w:r w:rsidR="00393D47" w:rsidRPr="00B07B55">
        <w:rPr>
          <w:rFonts w:ascii="Trebuchet MS" w:hAnsi="Trebuchet MS"/>
          <w:sz w:val="19"/>
          <w:szCs w:val="19"/>
          <w:lang w:val="en-GB"/>
        </w:rPr>
        <w:t>(1)</w:t>
      </w:r>
    </w:p>
    <w:p w:rsidR="00331C70" w:rsidRPr="00B07B55" w:rsidRDefault="00331C70" w:rsidP="00495869">
      <w:pPr>
        <w:pStyle w:val="Text"/>
        <w:ind w:right="0"/>
        <w:rPr>
          <w:lang w:val="en-GB"/>
        </w:rPr>
      </w:pPr>
      <w:r w:rsidRPr="00B07B55">
        <w:rPr>
          <w:lang w:val="en-GB"/>
        </w:rPr>
        <w:t xml:space="preserve">where </w:t>
      </w:r>
      <w:r w:rsidRPr="00051566">
        <w:rPr>
          <w:i/>
          <w:lang w:val="en-GB"/>
        </w:rPr>
        <w:t>Y</w:t>
      </w:r>
      <w:r w:rsidRPr="00B07B55">
        <w:rPr>
          <w:lang w:val="en-GB"/>
        </w:rPr>
        <w:t xml:space="preserve"> is the outcome we want to investigate (in our case, participation in education</w:t>
      </w:r>
      <w:r w:rsidR="00783F42" w:rsidRPr="00B07B55">
        <w:rPr>
          <w:lang w:val="en-GB"/>
        </w:rPr>
        <w:t xml:space="preserve"> for individual </w:t>
      </w:r>
      <w:r w:rsidR="00783F42" w:rsidRPr="00495869">
        <w:rPr>
          <w:lang w:val="en-GB"/>
        </w:rPr>
        <w:t>i</w:t>
      </w:r>
      <w:r w:rsidRPr="00B07B55">
        <w:rPr>
          <w:lang w:val="en-GB"/>
        </w:rPr>
        <w:t xml:space="preserve">), </w:t>
      </w:r>
      <w:r w:rsidRPr="00051566">
        <w:rPr>
          <w:i/>
          <w:lang w:val="en-GB"/>
        </w:rPr>
        <w:t>X</w:t>
      </w:r>
      <w:r w:rsidRPr="00B07B55">
        <w:rPr>
          <w:lang w:val="en-GB"/>
        </w:rPr>
        <w:t xml:space="preserve"> is a matrix of characteristics believed to be related to the outcome, </w:t>
      </w:r>
      <w:r w:rsidRPr="00051566">
        <w:rPr>
          <w:i/>
          <w:lang w:val="en-GB"/>
        </w:rPr>
        <w:t>β</w:t>
      </w:r>
      <w:r w:rsidRPr="00B07B55">
        <w:rPr>
          <w:lang w:val="en-GB"/>
        </w:rPr>
        <w:t xml:space="preserve"> represents a vector of coefficients that characterise the relation under investigation and </w:t>
      </w:r>
      <w:r w:rsidRPr="00051566">
        <w:rPr>
          <w:i/>
          <w:lang w:val="en-GB"/>
        </w:rPr>
        <w:t>u</w:t>
      </w:r>
      <w:r w:rsidRPr="00B07B55">
        <w:rPr>
          <w:lang w:val="en-GB"/>
        </w:rPr>
        <w:t xml:space="preserve"> is an error term. Assume now that we are interested in studying this relation for two different populations, A (Australia) and B (Britain). We then have:</w:t>
      </w:r>
    </w:p>
    <w:p w:rsidR="00255B6F" w:rsidRPr="00255B6F" w:rsidRDefault="00DB5811" w:rsidP="00DB5811">
      <w:pPr>
        <w:pStyle w:val="Text"/>
        <w:tabs>
          <w:tab w:val="left" w:pos="2268"/>
          <w:tab w:val="right" w:pos="8222"/>
        </w:tabs>
        <w:ind w:right="0"/>
        <w:rPr>
          <w:oMath/>
          <w:rFonts w:ascii="Times New Roman" w:hAnsi="Times New Roman"/>
          <w:spacing w:val="40"/>
          <w:w w:val="120"/>
          <w:sz w:val="22"/>
        </w:rPr>
      </w:pPr>
      <w:r>
        <w:rPr>
          <w:spacing w:val="40"/>
          <w:w w:val="120"/>
          <w:sz w:val="22"/>
          <w:lang w:val="en-GB"/>
        </w:rPr>
        <w:tab/>
      </w:r>
      <m:oMath>
        <m:sSubSup>
          <m:sSubSupPr>
            <m:ctrlPr>
              <w:rPr>
                <w:rFonts w:ascii="Cambria Math" w:hAnsi="Times New Roman"/>
                <w:i/>
                <w:spacing w:val="40"/>
                <w:w w:val="120"/>
                <w:sz w:val="22"/>
                <w:lang w:val="en-GB"/>
              </w:rPr>
            </m:ctrlPr>
          </m:sSubSupPr>
          <m:e>
            <m:r>
              <m:rPr>
                <m:nor/>
              </m:rPr>
              <w:rPr>
                <w:rFonts w:ascii="Times New Roman" w:hAnsi="Times New Roman"/>
                <w:i/>
                <w:spacing w:val="40"/>
                <w:w w:val="120"/>
                <w:sz w:val="22"/>
              </w:rPr>
              <m:t>Y</m:t>
            </m:r>
          </m:e>
          <m:sub>
            <m:r>
              <m:rPr>
                <m:nor/>
              </m:rPr>
              <w:rPr>
                <w:rFonts w:ascii="Times New Roman" w:hAnsi="Times New Roman"/>
                <w:i/>
                <w:spacing w:val="40"/>
                <w:w w:val="120"/>
                <w:sz w:val="22"/>
              </w:rPr>
              <m:t>i</m:t>
            </m:r>
          </m:sub>
          <m:sup>
            <m:r>
              <m:rPr>
                <m:nor/>
              </m:rPr>
              <w:rPr>
                <w:rFonts w:ascii="Times New Roman" w:hAnsi="Times New Roman"/>
                <w:i/>
                <w:spacing w:val="40"/>
                <w:w w:val="120"/>
                <w:sz w:val="22"/>
              </w:rPr>
              <m:t>A</m:t>
            </m:r>
          </m:sup>
        </m:sSubSup>
        <m:r>
          <m:rPr>
            <m:nor/>
          </m:rPr>
          <w:rPr>
            <w:rFonts w:ascii="Times New Roman" w:hAnsi="Times New Roman"/>
            <w:i/>
            <w:spacing w:val="40"/>
            <w:w w:val="120"/>
            <w:sz w:val="22"/>
          </w:rPr>
          <m:t>=</m:t>
        </m:r>
        <m:sSubSup>
          <m:sSubSupPr>
            <m:ctrlPr>
              <w:rPr>
                <w:rFonts w:ascii="Cambria Math" w:hAnsi="Times New Roman"/>
                <w:i/>
                <w:spacing w:val="40"/>
                <w:w w:val="120"/>
                <w:sz w:val="22"/>
                <w:lang w:val="en-GB"/>
              </w:rPr>
            </m:ctrlPr>
          </m:sSubSupPr>
          <m:e>
            <m:r>
              <m:rPr>
                <m:nor/>
              </m:rPr>
              <w:rPr>
                <w:rFonts w:ascii="Times New Roman" w:hAnsi="Times New Roman"/>
                <w:i/>
                <w:spacing w:val="40"/>
                <w:w w:val="120"/>
                <w:sz w:val="22"/>
              </w:rPr>
              <m:t>X</m:t>
            </m:r>
          </m:e>
          <m:sub>
            <m:r>
              <m:rPr>
                <m:nor/>
              </m:rPr>
              <w:rPr>
                <w:rFonts w:ascii="Times New Roman" w:hAnsi="Times New Roman"/>
                <w:i/>
                <w:spacing w:val="40"/>
                <w:w w:val="120"/>
                <w:sz w:val="22"/>
              </w:rPr>
              <m:t>i</m:t>
            </m:r>
          </m:sub>
          <m:sup>
            <m:r>
              <m:rPr>
                <m:nor/>
              </m:rPr>
              <w:rPr>
                <w:rFonts w:ascii="Times New Roman" w:hAnsi="Times New Roman"/>
                <w:i/>
                <w:spacing w:val="40"/>
                <w:w w:val="120"/>
                <w:sz w:val="22"/>
              </w:rPr>
              <m:t>A</m:t>
            </m:r>
          </m:sup>
        </m:sSubSup>
        <m:sSup>
          <m:sSupPr>
            <m:ctrlPr>
              <w:rPr>
                <w:rFonts w:ascii="Cambria Math" w:hAnsi="Times New Roman"/>
                <w:i/>
                <w:spacing w:val="40"/>
                <w:w w:val="120"/>
                <w:sz w:val="22"/>
                <w:lang w:val="en-GB"/>
              </w:rPr>
            </m:ctrlPr>
          </m:sSupPr>
          <m:e>
            <m:r>
              <m:rPr>
                <m:nor/>
              </m:rPr>
              <w:rPr>
                <w:rFonts w:ascii="Times New Roman" w:hAnsi="Times New Roman"/>
                <w:i/>
                <w:spacing w:val="40"/>
                <w:w w:val="120"/>
                <w:sz w:val="22"/>
                <w:lang w:val="en-GB"/>
              </w:rPr>
              <m:t>β</m:t>
            </m:r>
          </m:e>
          <m:sup>
            <m:r>
              <m:rPr>
                <m:nor/>
              </m:rPr>
              <w:rPr>
                <w:rFonts w:ascii="Times New Roman" w:hAnsi="Times New Roman"/>
                <w:i/>
                <w:spacing w:val="40"/>
                <w:w w:val="120"/>
                <w:sz w:val="22"/>
              </w:rPr>
              <m:t>A</m:t>
            </m:r>
          </m:sup>
        </m:sSup>
        <m:r>
          <m:rPr>
            <m:nor/>
          </m:rPr>
          <w:rPr>
            <w:rFonts w:ascii="Times New Roman" w:hAnsi="Times New Roman"/>
            <w:i/>
            <w:spacing w:val="40"/>
            <w:w w:val="120"/>
            <w:sz w:val="22"/>
          </w:rPr>
          <m:t>+</m:t>
        </m:r>
        <m:sSubSup>
          <m:sSubSupPr>
            <m:ctrlPr>
              <w:rPr>
                <w:rFonts w:ascii="Cambria Math" w:hAnsi="Times New Roman"/>
                <w:i/>
                <w:spacing w:val="40"/>
                <w:w w:val="120"/>
                <w:sz w:val="22"/>
                <w:lang w:val="en-GB"/>
              </w:rPr>
            </m:ctrlPr>
          </m:sSubSupPr>
          <m:e>
            <m:r>
              <m:rPr>
                <m:nor/>
              </m:rPr>
              <w:rPr>
                <w:rFonts w:ascii="Times New Roman" w:hAnsi="Times New Roman"/>
                <w:i/>
                <w:spacing w:val="40"/>
                <w:w w:val="120"/>
                <w:sz w:val="22"/>
              </w:rPr>
              <m:t>u</m:t>
            </m:r>
          </m:e>
          <m:sub>
            <m:eqArr>
              <m:eqArrPr>
                <m:ctrlPr>
                  <w:rPr>
                    <w:rFonts w:ascii="Cambria Math" w:hAnsi="Times New Roman"/>
                    <w:i/>
                    <w:spacing w:val="40"/>
                    <w:w w:val="120"/>
                    <w:sz w:val="22"/>
                    <w:lang w:val="en-GB"/>
                  </w:rPr>
                </m:ctrlPr>
              </m:eqArrPr>
              <m:e>
                <m:r>
                  <m:rPr>
                    <m:nor/>
                  </m:rPr>
                  <w:rPr>
                    <w:rFonts w:ascii="Times New Roman" w:hAnsi="Times New Roman"/>
                    <w:i/>
                    <w:spacing w:val="40"/>
                    <w:w w:val="120"/>
                    <w:sz w:val="22"/>
                  </w:rPr>
                  <m:t>i</m:t>
                </m:r>
              </m:e>
              <m:e/>
            </m:eqArr>
          </m:sub>
          <m:sup>
            <m:r>
              <m:rPr>
                <m:nor/>
              </m:rPr>
              <w:rPr>
                <w:rFonts w:ascii="Times New Roman" w:hAnsi="Times New Roman"/>
                <w:i/>
                <w:spacing w:val="40"/>
                <w:w w:val="120"/>
                <w:sz w:val="22"/>
              </w:rPr>
              <m:t>A</m:t>
            </m:r>
          </m:sup>
        </m:sSubSup>
      </m:oMath>
      <w:r w:rsidR="00255B6F" w:rsidRPr="00255B6F">
        <w:rPr>
          <w:spacing w:val="40"/>
          <w:w w:val="120"/>
          <w:sz w:val="22"/>
        </w:rPr>
        <w:tab/>
      </w:r>
      <w:r w:rsidR="00255B6F" w:rsidRPr="00255B6F">
        <w:rPr>
          <w:szCs w:val="19"/>
        </w:rPr>
        <w:t>(1.1)</w:t>
      </w:r>
    </w:p>
    <w:p w:rsidR="00255B6F" w:rsidRDefault="00DB5811" w:rsidP="00DB5811">
      <w:pPr>
        <w:pStyle w:val="Text"/>
        <w:tabs>
          <w:tab w:val="left" w:pos="2268"/>
          <w:tab w:val="right" w:pos="8222"/>
        </w:tabs>
        <w:ind w:right="0"/>
        <w:rPr>
          <w:oMath/>
          <w:rFonts w:ascii="Times New Roman" w:hAnsi="Times New Roman"/>
          <w:w w:val="120"/>
          <w:sz w:val="22"/>
          <w:lang w:val="en-GB"/>
        </w:rPr>
      </w:pPr>
      <w:r>
        <w:rPr>
          <w:w w:val="120"/>
          <w:sz w:val="22"/>
          <w:lang w:val="en-GB"/>
        </w:rPr>
        <w:tab/>
      </w:r>
      <m:oMath>
        <m:sSubSup>
          <m:sSubSupPr>
            <m:ctrlPr>
              <w:rPr>
                <w:rFonts w:ascii="Cambria Math" w:hAnsi="Times New Roman"/>
                <w:i/>
                <w:w w:val="120"/>
                <w:sz w:val="22"/>
                <w:lang w:val="en-GB"/>
              </w:rPr>
            </m:ctrlPr>
          </m:sSubSupPr>
          <m:e>
            <m:r>
              <m:rPr>
                <m:nor/>
              </m:rPr>
              <w:rPr>
                <w:rFonts w:ascii="Times New Roman" w:hAnsi="Times New Roman"/>
                <w:i/>
                <w:w w:val="120"/>
                <w:sz w:val="22"/>
                <w:lang w:val="en-GB"/>
              </w:rPr>
              <m:t>Y</m:t>
            </m:r>
          </m:e>
          <m:sub>
            <m:r>
              <m:rPr>
                <m:nor/>
              </m:rPr>
              <w:rPr>
                <w:rFonts w:ascii="Times New Roman" w:hAnsi="Times New Roman"/>
                <w:i/>
                <w:w w:val="120"/>
                <w:sz w:val="22"/>
                <w:lang w:val="en-GB"/>
              </w:rPr>
              <m:t>i</m:t>
            </m:r>
          </m:sub>
          <m:sup>
            <m:r>
              <m:rPr>
                <m:nor/>
              </m:rPr>
              <w:rPr>
                <w:rFonts w:ascii="Times New Roman" w:hAnsi="Times New Roman"/>
                <w:i/>
                <w:w w:val="120"/>
                <w:sz w:val="22"/>
                <w:lang w:val="en-GB"/>
              </w:rPr>
              <m:t>B</m:t>
            </m:r>
          </m:sup>
        </m:sSubSup>
        <m:r>
          <m:rPr>
            <m:nor/>
          </m:rPr>
          <w:rPr>
            <w:rFonts w:ascii="Times New Roman" w:hAnsi="Times New Roman"/>
            <w:i/>
            <w:w w:val="120"/>
            <w:sz w:val="22"/>
            <w:lang w:val="en-GB"/>
          </w:rPr>
          <m:t>=</m:t>
        </m:r>
        <m:sSubSup>
          <m:sSubSupPr>
            <m:ctrlPr>
              <w:rPr>
                <w:rFonts w:ascii="Cambria Math" w:hAnsi="Times New Roman"/>
                <w:i/>
                <w:w w:val="120"/>
                <w:sz w:val="22"/>
                <w:lang w:val="en-GB"/>
              </w:rPr>
            </m:ctrlPr>
          </m:sSubSupPr>
          <m:e>
            <m:r>
              <m:rPr>
                <m:nor/>
              </m:rPr>
              <w:rPr>
                <w:rFonts w:ascii="Times New Roman" w:hAnsi="Times New Roman"/>
                <w:i/>
                <w:w w:val="120"/>
                <w:sz w:val="22"/>
                <w:lang w:val="en-GB"/>
              </w:rPr>
              <m:t>X</m:t>
            </m:r>
          </m:e>
          <m:sub>
            <m:r>
              <m:rPr>
                <m:nor/>
              </m:rPr>
              <w:rPr>
                <w:rFonts w:ascii="Times New Roman" w:hAnsi="Times New Roman"/>
                <w:i/>
                <w:w w:val="120"/>
                <w:sz w:val="22"/>
                <w:lang w:val="en-GB"/>
              </w:rPr>
              <m:t>i</m:t>
            </m:r>
          </m:sub>
          <m:sup>
            <m:r>
              <m:rPr>
                <m:nor/>
              </m:rPr>
              <w:rPr>
                <w:rFonts w:ascii="Cambria Math" w:hAnsi="Times New Roman"/>
                <w:i/>
                <w:w w:val="120"/>
                <w:sz w:val="22"/>
                <w:lang w:val="en-GB"/>
              </w:rPr>
              <m:t>B</m:t>
            </m:r>
          </m:sup>
        </m:sSubSup>
        <m:sSup>
          <m:sSupPr>
            <m:ctrlPr>
              <w:rPr>
                <w:rFonts w:ascii="Cambria Math" w:hAnsi="Times New Roman"/>
                <w:i/>
                <w:w w:val="120"/>
                <w:sz w:val="22"/>
                <w:lang w:val="en-GB"/>
              </w:rPr>
            </m:ctrlPr>
          </m:sSupPr>
          <m:e>
            <m:r>
              <m:rPr>
                <m:nor/>
              </m:rPr>
              <w:rPr>
                <w:rFonts w:ascii="Times New Roman" w:hAnsi="Times New Roman"/>
                <w:i/>
                <w:w w:val="120"/>
                <w:sz w:val="22"/>
                <w:lang w:val="en-GB"/>
              </w:rPr>
              <m:t>β</m:t>
            </m:r>
          </m:e>
          <m:sup>
            <m:r>
              <m:rPr>
                <m:nor/>
              </m:rPr>
              <w:rPr>
                <w:rFonts w:ascii="Cambria Math" w:hAnsi="Times New Roman"/>
                <w:i/>
                <w:w w:val="120"/>
                <w:sz w:val="22"/>
                <w:lang w:val="en-GB"/>
              </w:rPr>
              <m:t>B</m:t>
            </m:r>
          </m:sup>
        </m:sSup>
        <m:r>
          <m:rPr>
            <m:nor/>
          </m:rPr>
          <w:rPr>
            <w:rFonts w:ascii="Times New Roman" w:hAnsi="Times New Roman"/>
            <w:i/>
            <w:w w:val="120"/>
            <w:sz w:val="22"/>
            <w:lang w:val="en-GB"/>
          </w:rPr>
          <m:t>+</m:t>
        </m:r>
        <m:sSubSup>
          <m:sSubSupPr>
            <m:ctrlPr>
              <w:rPr>
                <w:rFonts w:ascii="Cambria Math" w:hAnsi="Times New Roman"/>
                <w:i/>
                <w:w w:val="120"/>
                <w:sz w:val="22"/>
                <w:lang w:val="en-GB"/>
              </w:rPr>
            </m:ctrlPr>
          </m:sSubSupPr>
          <m:e>
            <m:r>
              <m:rPr>
                <m:nor/>
              </m:rPr>
              <w:rPr>
                <w:rFonts w:ascii="Times New Roman" w:hAnsi="Times New Roman"/>
                <w:i/>
                <w:w w:val="120"/>
                <w:sz w:val="22"/>
                <w:lang w:val="en-GB"/>
              </w:rPr>
              <m:t>u</m:t>
            </m:r>
          </m:e>
          <m:sub>
            <m:eqArr>
              <m:eqArrPr>
                <m:ctrlPr>
                  <w:rPr>
                    <w:rFonts w:ascii="Cambria Math" w:hAnsi="Times New Roman"/>
                    <w:i/>
                    <w:w w:val="120"/>
                    <w:sz w:val="22"/>
                    <w:lang w:val="en-GB"/>
                  </w:rPr>
                </m:ctrlPr>
              </m:eqArrPr>
              <m:e>
                <m:r>
                  <m:rPr>
                    <m:nor/>
                  </m:rPr>
                  <w:rPr>
                    <w:rFonts w:ascii="Times New Roman" w:hAnsi="Times New Roman"/>
                    <w:i/>
                    <w:w w:val="120"/>
                    <w:sz w:val="22"/>
                    <w:lang w:val="en-GB"/>
                  </w:rPr>
                  <m:t>i</m:t>
                </m:r>
              </m:e>
              <m:e/>
            </m:eqArr>
          </m:sub>
          <m:sup>
            <m:r>
              <m:rPr>
                <m:nor/>
              </m:rPr>
              <w:rPr>
                <w:rFonts w:ascii="Cambria Math" w:hAnsi="Times New Roman"/>
                <w:i/>
                <w:w w:val="120"/>
                <w:sz w:val="22"/>
                <w:lang w:val="en-GB"/>
              </w:rPr>
              <m:t>B</m:t>
            </m:r>
          </m:sup>
        </m:sSubSup>
      </m:oMath>
      <w:r w:rsidR="006329A1">
        <w:rPr>
          <w:w w:val="120"/>
          <w:sz w:val="22"/>
          <w:lang w:val="en-GB"/>
        </w:rPr>
        <w:t xml:space="preserve"> </w:t>
      </w:r>
      <w:r w:rsidR="00857459">
        <w:rPr>
          <w:w w:val="120"/>
          <w:sz w:val="22"/>
          <w:lang w:val="en-GB"/>
        </w:rPr>
        <w:tab/>
      </w:r>
      <w:r w:rsidR="00857459" w:rsidRPr="00B07B55">
        <w:rPr>
          <w:szCs w:val="19"/>
          <w:lang w:val="en-GB"/>
        </w:rPr>
        <w:t>(1</w:t>
      </w:r>
      <w:r w:rsidR="00857459">
        <w:rPr>
          <w:szCs w:val="19"/>
          <w:lang w:val="en-GB"/>
        </w:rPr>
        <w:t>.2</w:t>
      </w:r>
      <w:r w:rsidR="00857459" w:rsidRPr="00B07B55">
        <w:rPr>
          <w:szCs w:val="19"/>
          <w:lang w:val="en-GB"/>
        </w:rPr>
        <w:t>)</w:t>
      </w:r>
    </w:p>
    <w:p w:rsidR="00331C70" w:rsidRPr="00B07B55" w:rsidRDefault="008C7EA6" w:rsidP="00495869">
      <w:pPr>
        <w:pStyle w:val="Text"/>
        <w:ind w:right="0"/>
        <w:rPr>
          <w:lang w:val="en-GB"/>
        </w:rPr>
      </w:pPr>
      <w:r w:rsidRPr="00B07B55">
        <w:rPr>
          <w:lang w:val="en-GB"/>
        </w:rPr>
        <w:t xml:space="preserve">Both Oaxaca and Blinder separately suggested the same method for disentangling the difference in the expected values of </w:t>
      </w:r>
      <w:r w:rsidRPr="00051566">
        <w:rPr>
          <w:i/>
          <w:lang w:val="en-GB"/>
        </w:rPr>
        <w:t>Y</w:t>
      </w:r>
      <w:r w:rsidRPr="00B07B55">
        <w:rPr>
          <w:lang w:val="en-GB"/>
        </w:rPr>
        <w:t xml:space="preserve"> between the two populations (to be approximated by the difference in the average values of the dependent variable for the two groups) into a component that can be attributed to differences between the two populations in the average levels of the variables included in </w:t>
      </w:r>
      <w:r w:rsidRPr="00051566">
        <w:rPr>
          <w:i/>
          <w:lang w:val="en-GB"/>
        </w:rPr>
        <w:t>X</w:t>
      </w:r>
      <w:r w:rsidR="0064378F">
        <w:rPr>
          <w:lang w:val="en-GB"/>
        </w:rPr>
        <w:t xml:space="preserve"> (the ‘explained’</w:t>
      </w:r>
      <w:r w:rsidRPr="00B07B55">
        <w:rPr>
          <w:lang w:val="en-GB"/>
        </w:rPr>
        <w:t xml:space="preserve"> component) and the remainder</w:t>
      </w:r>
      <w:r w:rsidR="00992B3C">
        <w:rPr>
          <w:lang w:val="en-GB"/>
        </w:rPr>
        <w:t>,</w:t>
      </w:r>
      <w:r w:rsidRPr="00B07B55">
        <w:rPr>
          <w:lang w:val="en-GB"/>
        </w:rPr>
        <w:t xml:space="preserve"> which cannot be explained by differences in </w:t>
      </w:r>
      <w:r w:rsidRPr="00051566">
        <w:rPr>
          <w:i/>
          <w:lang w:val="en-GB"/>
        </w:rPr>
        <w:t>X</w:t>
      </w:r>
      <w:r w:rsidRPr="00B07B55">
        <w:rPr>
          <w:lang w:val="en-GB"/>
        </w:rPr>
        <w:t>. In studies of racial or gender differences, this rem</w:t>
      </w:r>
      <w:r w:rsidR="0064378F">
        <w:rPr>
          <w:lang w:val="en-GB"/>
        </w:rPr>
        <w:t>ainder is often interpreted as ‘discrimination’</w:t>
      </w:r>
      <w:r w:rsidRPr="00B07B55">
        <w:rPr>
          <w:lang w:val="en-GB"/>
        </w:rPr>
        <w:t>. The formula can be expressed as:</w:t>
      </w:r>
    </w:p>
    <w:p w:rsidR="008C7EA6" w:rsidRPr="00B07B55" w:rsidRDefault="008C7EA6" w:rsidP="00DB5811">
      <w:pPr>
        <w:pStyle w:val="MTDisplayEquation"/>
        <w:tabs>
          <w:tab w:val="clear" w:pos="4160"/>
          <w:tab w:val="clear" w:pos="8300"/>
          <w:tab w:val="left" w:pos="2268"/>
          <w:tab w:val="right" w:pos="8222"/>
        </w:tabs>
        <w:rPr>
          <w:lang w:val="en-GB"/>
        </w:rPr>
      </w:pPr>
      <w:r w:rsidRPr="00B07B55">
        <w:rPr>
          <w:lang w:val="en-GB"/>
        </w:rPr>
        <w:tab/>
      </w:r>
      <w:r w:rsidRPr="00B07B55">
        <w:rPr>
          <w:position w:val="-18"/>
          <w:lang w:val="en-GB"/>
        </w:rPr>
        <w:object w:dxaOrig="4040" w:dyaOrig="480">
          <v:shape id="_x0000_i1026" type="#_x0000_t75" style="width:202.6pt;height:24.3pt" o:ole="">
            <v:imagedata r:id="rId14" o:title=""/>
          </v:shape>
          <o:OLEObject Type="Embed" ProgID="Equation.DSMT4" ShapeID="_x0000_i1026" DrawAspect="Content" ObjectID="_1410856150" r:id="rId15"/>
        </w:object>
      </w:r>
      <w:r w:rsidRPr="00B07B55">
        <w:rPr>
          <w:lang w:val="en-GB"/>
        </w:rPr>
        <w:tab/>
      </w:r>
      <w:r w:rsidR="00393D47" w:rsidRPr="00B07B55">
        <w:rPr>
          <w:rFonts w:ascii="Trebuchet MS" w:hAnsi="Trebuchet MS"/>
          <w:sz w:val="19"/>
          <w:szCs w:val="19"/>
          <w:lang w:val="en-GB"/>
        </w:rPr>
        <w:t>(2)</w:t>
      </w:r>
    </w:p>
    <w:p w:rsidR="008C7EA6" w:rsidRPr="00495869" w:rsidRDefault="008C7EA6" w:rsidP="00495869">
      <w:pPr>
        <w:pStyle w:val="Text"/>
        <w:ind w:right="0"/>
        <w:rPr>
          <w:lang w:val="en-GB"/>
        </w:rPr>
      </w:pPr>
      <w:r w:rsidRPr="00495869">
        <w:rPr>
          <w:lang w:val="en-GB"/>
        </w:rPr>
        <w:t>The</w:t>
      </w:r>
      <w:r w:rsidRPr="00193882">
        <w:rPr>
          <w:position w:val="-10"/>
          <w:lang w:val="en-GB"/>
        </w:rPr>
        <w:object w:dxaOrig="240" w:dyaOrig="380">
          <v:shape id="_x0000_i1027" type="#_x0000_t75" style="width:10.9pt;height:17.6pt" o:ole="">
            <v:imagedata r:id="rId16" o:title=""/>
          </v:shape>
          <o:OLEObject Type="Embed" ProgID="Equation.DSMT4" ShapeID="_x0000_i1027" DrawAspect="Content" ObjectID="_1410856151" r:id="rId17"/>
        </w:object>
      </w:r>
      <w:r w:rsidRPr="00193882">
        <w:rPr>
          <w:position w:val="-10"/>
          <w:lang w:val="en-GB"/>
        </w:rPr>
        <w:t>’</w:t>
      </w:r>
      <w:r w:rsidRPr="00495869">
        <w:rPr>
          <w:lang w:val="en-GB"/>
        </w:rPr>
        <w:t xml:space="preserve">s are the estimated coefficients that we obtain by estimating equation (1.1) for the two populations separately. The first term on the </w:t>
      </w:r>
      <w:r w:rsidR="0064378F">
        <w:rPr>
          <w:lang w:val="en-GB"/>
        </w:rPr>
        <w:t>right of equation (1.2) is the ‘explained’ component (or ‘attributable to the endowments’</w:t>
      </w:r>
      <w:r w:rsidRPr="00495869">
        <w:rPr>
          <w:lang w:val="en-GB"/>
        </w:rPr>
        <w:t xml:space="preserve"> as defined by Blinder). The second term is the component that cannot be explained by differences in endowment</w:t>
      </w:r>
      <w:r w:rsidR="0064378F">
        <w:rPr>
          <w:lang w:val="en-GB"/>
        </w:rPr>
        <w:t>s, and is often interpreted as ‘discrimination’</w:t>
      </w:r>
      <w:r w:rsidRPr="00495869">
        <w:rPr>
          <w:lang w:val="en-GB"/>
        </w:rPr>
        <w:t xml:space="preserve"> (or </w:t>
      </w:r>
      <w:r w:rsidR="0064378F">
        <w:rPr>
          <w:lang w:val="en-GB"/>
        </w:rPr>
        <w:t>‘</w:t>
      </w:r>
      <w:r w:rsidRPr="00495869">
        <w:rPr>
          <w:lang w:val="en-GB"/>
        </w:rPr>
        <w:t>attributable to the coefficients</w:t>
      </w:r>
      <w:r w:rsidR="0064378F">
        <w:rPr>
          <w:lang w:val="en-GB"/>
        </w:rPr>
        <w:t>’</w:t>
      </w:r>
      <w:r w:rsidRPr="00495869">
        <w:rPr>
          <w:lang w:val="en-GB"/>
        </w:rPr>
        <w:t xml:space="preserve">). </w:t>
      </w:r>
    </w:p>
    <w:p w:rsidR="008C7EA6" w:rsidRPr="00495869" w:rsidRDefault="008C7EA6" w:rsidP="00495869">
      <w:pPr>
        <w:pStyle w:val="Text"/>
        <w:ind w:right="0"/>
        <w:rPr>
          <w:lang w:val="en-GB"/>
        </w:rPr>
      </w:pPr>
      <w:r w:rsidRPr="00495869">
        <w:rPr>
          <w:lang w:val="en-GB"/>
        </w:rPr>
        <w:t>Our specification differs from standard applications of the Oaxaca-Blinder decomposition</w:t>
      </w:r>
      <w:r w:rsidR="00992B3C">
        <w:rPr>
          <w:lang w:val="en-GB"/>
        </w:rPr>
        <w:t>,</w:t>
      </w:r>
      <w:r w:rsidRPr="00495869">
        <w:rPr>
          <w:lang w:val="en-GB"/>
        </w:rPr>
        <w:t xml:space="preserve"> as the dependent variable under investigation (</w:t>
      </w:r>
      <w:r w:rsidR="0064378F">
        <w:rPr>
          <w:lang w:val="en-GB"/>
        </w:rPr>
        <w:t>that is,</w:t>
      </w:r>
      <w:r w:rsidRPr="00495869">
        <w:rPr>
          <w:lang w:val="en-GB"/>
        </w:rPr>
        <w:t xml:space="preserve"> our </w:t>
      </w:r>
      <w:r w:rsidRPr="00051566">
        <w:rPr>
          <w:i/>
          <w:lang w:val="en-GB"/>
        </w:rPr>
        <w:t>Y</w:t>
      </w:r>
      <w:r w:rsidRPr="00495869">
        <w:rPr>
          <w:lang w:val="en-GB"/>
        </w:rPr>
        <w:t>) is a binary variable that takes value 1</w:t>
      </w:r>
      <w:r w:rsidR="00D701C5">
        <w:rPr>
          <w:lang w:val="en-GB"/>
        </w:rPr>
        <w:t xml:space="preserve"> in case the individuals engage</w:t>
      </w:r>
      <w:r w:rsidRPr="00495869">
        <w:rPr>
          <w:lang w:val="en-GB"/>
        </w:rPr>
        <w:t xml:space="preserve"> in education and 0 otherwise. We employ a modified version of equation 1.2 in order to deal with estimation in a non-linear context (see Gomulka </w:t>
      </w:r>
      <w:r w:rsidR="00B24059" w:rsidRPr="00495869">
        <w:rPr>
          <w:lang w:val="en-GB"/>
        </w:rPr>
        <w:t>&amp;</w:t>
      </w:r>
      <w:r w:rsidRPr="00495869">
        <w:rPr>
          <w:lang w:val="en-GB"/>
        </w:rPr>
        <w:t xml:space="preserve"> Stern 1989</w:t>
      </w:r>
      <w:r w:rsidR="00B24059" w:rsidRPr="00495869">
        <w:rPr>
          <w:lang w:val="en-GB"/>
        </w:rPr>
        <w:t>;</w:t>
      </w:r>
      <w:r w:rsidRPr="00495869">
        <w:rPr>
          <w:lang w:val="en-GB"/>
        </w:rPr>
        <w:t xml:space="preserve"> Fairlie 2005</w:t>
      </w:r>
      <w:r w:rsidR="00B24059" w:rsidRPr="00495869">
        <w:rPr>
          <w:lang w:val="en-GB"/>
        </w:rPr>
        <w:t>;</w:t>
      </w:r>
      <w:r w:rsidRPr="00495869">
        <w:rPr>
          <w:lang w:val="en-GB"/>
        </w:rPr>
        <w:t xml:space="preserve"> </w:t>
      </w:r>
      <w:r w:rsidR="00B24059" w:rsidRPr="00495869">
        <w:rPr>
          <w:lang w:val="en-GB"/>
        </w:rPr>
        <w:t>Bauer</w:t>
      </w:r>
      <w:r w:rsidR="00E93FCA" w:rsidRPr="00495869">
        <w:rPr>
          <w:lang w:val="en-GB"/>
        </w:rPr>
        <w:t xml:space="preserve">, Hahn </w:t>
      </w:r>
      <w:r w:rsidR="00051566">
        <w:rPr>
          <w:lang w:val="en-GB"/>
        </w:rPr>
        <w:t>&amp;</w:t>
      </w:r>
      <w:r w:rsidR="00E93FCA" w:rsidRPr="00495869">
        <w:rPr>
          <w:lang w:val="en-GB"/>
        </w:rPr>
        <w:t xml:space="preserve"> Sinning</w:t>
      </w:r>
      <w:r w:rsidR="00B24059" w:rsidRPr="00495869">
        <w:rPr>
          <w:lang w:val="en-GB"/>
        </w:rPr>
        <w:t xml:space="preserve"> </w:t>
      </w:r>
      <w:r w:rsidRPr="00495869">
        <w:rPr>
          <w:lang w:val="en-GB"/>
        </w:rPr>
        <w:t>2008).</w:t>
      </w:r>
      <w:r w:rsidR="001C73D5">
        <w:rPr>
          <w:lang w:val="en-GB"/>
        </w:rPr>
        <w:t xml:space="preserve"> </w:t>
      </w:r>
      <w:r w:rsidRPr="00495869">
        <w:rPr>
          <w:lang w:val="en-GB"/>
        </w:rPr>
        <w:t xml:space="preserve"> </w:t>
      </w:r>
    </w:p>
    <w:p w:rsidR="001672E7" w:rsidRPr="00B07B55" w:rsidRDefault="001672E7" w:rsidP="001672E7">
      <w:pPr>
        <w:pStyle w:val="Text"/>
        <w:jc w:val="both"/>
        <w:rPr>
          <w:lang w:val="en-GB"/>
        </w:rPr>
      </w:pPr>
    </w:p>
    <w:p w:rsidR="001672E7" w:rsidRPr="00B07B55" w:rsidRDefault="001672E7">
      <w:pPr>
        <w:spacing w:before="0" w:line="240" w:lineRule="auto"/>
        <w:rPr>
          <w:rFonts w:ascii="Tahoma" w:hAnsi="Tahoma" w:cs="Tahoma"/>
          <w:color w:val="000000"/>
          <w:kern w:val="28"/>
          <w:sz w:val="56"/>
          <w:szCs w:val="56"/>
          <w:lang w:val="en-GB"/>
        </w:rPr>
      </w:pPr>
      <w:r w:rsidRPr="00B07B55">
        <w:rPr>
          <w:lang w:val="en-GB"/>
        </w:rPr>
        <w:br w:type="page"/>
      </w:r>
    </w:p>
    <w:p w:rsidR="003D1F0E" w:rsidRPr="00B07B55" w:rsidRDefault="003D1F0E" w:rsidP="00051566">
      <w:pPr>
        <w:pStyle w:val="Heading1"/>
        <w:rPr>
          <w:lang w:val="en-GB"/>
        </w:rPr>
      </w:pPr>
      <w:bookmarkStart w:id="58" w:name="_Toc334101012"/>
      <w:r w:rsidRPr="00B07B55">
        <w:rPr>
          <w:lang w:val="en-GB"/>
        </w:rPr>
        <w:t xml:space="preserve">Multivariate </w:t>
      </w:r>
      <w:r w:rsidR="00051566">
        <w:rPr>
          <w:lang w:val="en-GB"/>
        </w:rPr>
        <w:t>r</w:t>
      </w:r>
      <w:r w:rsidRPr="00B07B55">
        <w:rPr>
          <w:lang w:val="en-GB"/>
        </w:rPr>
        <w:t xml:space="preserve">egressions </w:t>
      </w:r>
      <w:r w:rsidR="00051566">
        <w:rPr>
          <w:lang w:val="en-GB"/>
        </w:rPr>
        <w:t>r</w:t>
      </w:r>
      <w:r w:rsidRPr="00B07B55">
        <w:rPr>
          <w:lang w:val="en-GB"/>
        </w:rPr>
        <w:t>esults</w:t>
      </w:r>
      <w:bookmarkEnd w:id="58"/>
    </w:p>
    <w:p w:rsidR="003D1F0E" w:rsidRPr="00B07B55" w:rsidRDefault="003D1F0E" w:rsidP="003D1F0E">
      <w:pPr>
        <w:pStyle w:val="Heading2"/>
        <w:rPr>
          <w:lang w:val="en-GB"/>
        </w:rPr>
      </w:pPr>
      <w:bookmarkStart w:id="59" w:name="_Toc334101013"/>
      <w:r w:rsidRPr="00B07B55">
        <w:rPr>
          <w:lang w:val="en-GB"/>
        </w:rPr>
        <w:t>The decision to enrol in education</w:t>
      </w:r>
      <w:bookmarkEnd w:id="59"/>
    </w:p>
    <w:p w:rsidR="003D1F0E" w:rsidRPr="00B07B55" w:rsidRDefault="003D1F0E" w:rsidP="00495869">
      <w:pPr>
        <w:pStyle w:val="Text"/>
        <w:ind w:right="0"/>
        <w:rPr>
          <w:lang w:val="en-GB"/>
        </w:rPr>
      </w:pPr>
      <w:r w:rsidRPr="00B07B55">
        <w:rPr>
          <w:lang w:val="en-GB"/>
        </w:rPr>
        <w:t>The decision to enrol in education at mature ages may be related to a whole host of individual characteristics simultaneously. In order to uncover which particular characteristics are related to this decision, we estimate Probit models</w:t>
      </w:r>
      <w:r w:rsidR="0064378F">
        <w:rPr>
          <w:lang w:val="en-GB"/>
        </w:rPr>
        <w:t>,</w:t>
      </w:r>
      <w:r w:rsidRPr="00B07B55">
        <w:rPr>
          <w:lang w:val="en-GB"/>
        </w:rPr>
        <w:t xml:space="preserve"> in which the outcome</w:t>
      </w:r>
      <w:r w:rsidR="00CE1C07" w:rsidRPr="00B07B55">
        <w:rPr>
          <w:lang w:val="en-GB"/>
        </w:rPr>
        <w:t xml:space="preserve"> (</w:t>
      </w:r>
      <w:r w:rsidRPr="00B07B55">
        <w:rPr>
          <w:lang w:val="en-GB"/>
        </w:rPr>
        <w:t>enrolment</w:t>
      </w:r>
      <w:r w:rsidR="00CE1C07" w:rsidRPr="00B07B55">
        <w:rPr>
          <w:lang w:val="en-GB"/>
        </w:rPr>
        <w:t>)</w:t>
      </w:r>
      <w:r w:rsidRPr="00B07B55">
        <w:rPr>
          <w:lang w:val="en-GB"/>
        </w:rPr>
        <w:t xml:space="preserve"> is estimated as a function of a number of labour marke</w:t>
      </w:r>
      <w:r w:rsidR="0064378F">
        <w:rPr>
          <w:lang w:val="en-GB"/>
        </w:rPr>
        <w:t>t, prior education level, socio</w:t>
      </w:r>
      <w:r w:rsidRPr="00B07B55">
        <w:rPr>
          <w:lang w:val="en-GB"/>
        </w:rPr>
        <w:t xml:space="preserve">economic and demographic characteristics of individuals (the regressors). For each respondent, the dependent variable takes </w:t>
      </w:r>
      <w:r w:rsidR="00CE1C07" w:rsidRPr="00B07B55">
        <w:rPr>
          <w:lang w:val="en-GB"/>
        </w:rPr>
        <w:t xml:space="preserve">the </w:t>
      </w:r>
      <w:r w:rsidRPr="00B07B55">
        <w:rPr>
          <w:lang w:val="en-GB"/>
        </w:rPr>
        <w:t xml:space="preserve">value 1 if they enrol in education at any time in waves 2 to 9 of the HILDA survey. The variable takes </w:t>
      </w:r>
      <w:r w:rsidR="00CE1C07" w:rsidRPr="00B07B55">
        <w:rPr>
          <w:lang w:val="en-GB"/>
        </w:rPr>
        <w:t xml:space="preserve">the </w:t>
      </w:r>
      <w:r w:rsidRPr="00B07B55">
        <w:rPr>
          <w:lang w:val="en-GB"/>
        </w:rPr>
        <w:t xml:space="preserve">value 0 if the individual never engaged in education during this period. All the regressors are measured at their wave 1 values. </w:t>
      </w:r>
    </w:p>
    <w:p w:rsidR="00546F9E" w:rsidRDefault="003D1F0E" w:rsidP="00495869">
      <w:pPr>
        <w:pStyle w:val="Text"/>
        <w:ind w:right="0"/>
        <w:rPr>
          <w:lang w:val="en-GB"/>
        </w:rPr>
      </w:pPr>
      <w:r w:rsidRPr="00B07B55">
        <w:rPr>
          <w:lang w:val="en-GB"/>
        </w:rPr>
        <w:t xml:space="preserve">Note that for these estimates, we exclude from the estimation sample those individuals </w:t>
      </w:r>
      <w:r w:rsidR="00D701C5">
        <w:rPr>
          <w:lang w:val="en-GB"/>
        </w:rPr>
        <w:t>who</w:t>
      </w:r>
      <w:r w:rsidRPr="00B07B55">
        <w:rPr>
          <w:lang w:val="en-GB"/>
        </w:rPr>
        <w:t xml:space="preserve"> are already studying in wave 1 of HILDA. This exclusion was undertaken in order to ensure that the </w:t>
      </w:r>
      <w:r w:rsidR="00CE1C07" w:rsidRPr="00B07B55">
        <w:rPr>
          <w:lang w:val="en-GB"/>
        </w:rPr>
        <w:t xml:space="preserve">prior </w:t>
      </w:r>
      <w:r w:rsidRPr="00B07B55">
        <w:rPr>
          <w:lang w:val="en-GB"/>
        </w:rPr>
        <w:t xml:space="preserve">labour market </w:t>
      </w:r>
      <w:r w:rsidR="00CE1C07" w:rsidRPr="00B07B55">
        <w:rPr>
          <w:lang w:val="en-GB"/>
        </w:rPr>
        <w:t xml:space="preserve">factors </w:t>
      </w:r>
      <w:r w:rsidRPr="00B07B55">
        <w:rPr>
          <w:lang w:val="en-GB"/>
        </w:rPr>
        <w:t xml:space="preserve">we enter into these </w:t>
      </w:r>
      <w:r w:rsidR="00CE1C07" w:rsidRPr="00B07B55">
        <w:rPr>
          <w:lang w:val="en-GB"/>
        </w:rPr>
        <w:t xml:space="preserve">models </w:t>
      </w:r>
      <w:r w:rsidRPr="00B07B55">
        <w:rPr>
          <w:lang w:val="en-GB"/>
        </w:rPr>
        <w:t>are not a function of currently being a student. If we included students in wave 1 in the estimates, their wave 1 labour force status may be a direct outcome of studying</w:t>
      </w:r>
      <w:r w:rsidR="0064378F">
        <w:rPr>
          <w:lang w:val="en-GB"/>
        </w:rPr>
        <w:t>, that is,</w:t>
      </w:r>
      <w:r w:rsidRPr="00B07B55">
        <w:rPr>
          <w:lang w:val="en-GB"/>
        </w:rPr>
        <w:t xml:space="preserve"> they may not be working or only working in a casual job in order to study. This exclusion results in a sample that is less educated and older than the full sample, as younger and more educated individuals were more likely to be studying in wave 1. We employ a </w:t>
      </w:r>
      <w:r w:rsidR="0064378F">
        <w:rPr>
          <w:lang w:val="en-GB"/>
        </w:rPr>
        <w:t>standard inverse probability re</w:t>
      </w:r>
      <w:r w:rsidRPr="00B07B55">
        <w:rPr>
          <w:lang w:val="en-GB"/>
        </w:rPr>
        <w:t>weighting technique to construct appropriate weights for our subsequent regressions</w:t>
      </w:r>
      <w:r w:rsidR="00CE1C07" w:rsidRPr="00B07B55">
        <w:rPr>
          <w:lang w:val="en-GB"/>
        </w:rPr>
        <w:t>.</w:t>
      </w:r>
      <w:r w:rsidRPr="00B07B55">
        <w:rPr>
          <w:lang w:val="en-GB"/>
        </w:rPr>
        <w:t xml:space="preserve"> </w:t>
      </w:r>
      <w:r w:rsidR="00CE1C07" w:rsidRPr="00B07B55">
        <w:rPr>
          <w:lang w:val="en-GB"/>
        </w:rPr>
        <w:t xml:space="preserve">In this way we guarantee that the subsample of individuals we employ in our regression is still representative of the </w:t>
      </w:r>
      <w:r w:rsidR="00D92E9C">
        <w:rPr>
          <w:lang w:val="en-GB"/>
        </w:rPr>
        <w:t>Australian population</w:t>
      </w:r>
      <w:r w:rsidRPr="00B07B55">
        <w:rPr>
          <w:lang w:val="en-GB"/>
        </w:rPr>
        <w:t>. To do this, we estimate Probit models of studying in wave 1 separately by gender as a function of standard demographic characteristics (age, prior education level, immigrant status, parental occupational status and resid</w:t>
      </w:r>
      <w:r w:rsidR="00D701C5">
        <w:rPr>
          <w:lang w:val="en-GB"/>
        </w:rPr>
        <w:t>ence). We then adjust the HILDA-</w:t>
      </w:r>
      <w:r w:rsidRPr="00B07B55">
        <w:rPr>
          <w:lang w:val="en-GB"/>
        </w:rPr>
        <w:t>provided longitudinal weights by dividing them by one</w:t>
      </w:r>
      <w:r w:rsidR="00992B3C">
        <w:rPr>
          <w:lang w:val="en-GB"/>
        </w:rPr>
        <w:t>,</w:t>
      </w:r>
      <w:r w:rsidRPr="00B07B55">
        <w:rPr>
          <w:lang w:val="en-GB"/>
        </w:rPr>
        <w:t xml:space="preserve"> minus the predicted probability of studying constructed from these Probit estimates</w:t>
      </w:r>
      <w:r w:rsidR="00546F9E">
        <w:rPr>
          <w:lang w:val="en-GB"/>
        </w:rPr>
        <w:t>.</w:t>
      </w:r>
    </w:p>
    <w:p w:rsidR="003D1F0E" w:rsidRPr="00B07B55" w:rsidRDefault="003D1F0E" w:rsidP="00495869">
      <w:pPr>
        <w:pStyle w:val="Text"/>
        <w:ind w:right="0"/>
        <w:rPr>
          <w:lang w:val="en-GB"/>
        </w:rPr>
      </w:pPr>
      <w:r w:rsidRPr="00B07B55">
        <w:rPr>
          <w:lang w:val="en-GB"/>
        </w:rPr>
        <w:t>Tables 1</w:t>
      </w:r>
      <w:r w:rsidR="00B16752" w:rsidRPr="00B07B55">
        <w:rPr>
          <w:lang w:val="en-GB"/>
        </w:rPr>
        <w:t>0</w:t>
      </w:r>
      <w:r w:rsidRPr="00B07B55">
        <w:rPr>
          <w:lang w:val="en-GB"/>
        </w:rPr>
        <w:t xml:space="preserve"> and 1</w:t>
      </w:r>
      <w:r w:rsidR="00B16752" w:rsidRPr="00B07B55">
        <w:rPr>
          <w:lang w:val="en-GB"/>
        </w:rPr>
        <w:t>1</w:t>
      </w:r>
      <w:r w:rsidRPr="00B07B55">
        <w:rPr>
          <w:lang w:val="en-GB"/>
        </w:rPr>
        <w:t xml:space="preserve"> report the main estimates of our Probit regressions of the outcome of enrolment in any wave from wave 2 to 9 of HILDA for male and females respectively. The reported estimates are marginal effects constructed</w:t>
      </w:r>
      <w:r w:rsidR="0064378F">
        <w:rPr>
          <w:lang w:val="en-GB"/>
        </w:rPr>
        <w:t xml:space="preserve"> from the Probit estimates, that is,</w:t>
      </w:r>
      <w:r w:rsidRPr="00B07B55">
        <w:rPr>
          <w:lang w:val="en-GB"/>
        </w:rPr>
        <w:t xml:space="preserve"> they are the estimated change in the probabilit</w:t>
      </w:r>
      <w:r w:rsidR="00D701C5">
        <w:rPr>
          <w:lang w:val="en-GB"/>
        </w:rPr>
        <w:t>y of enrolment related to a one-</w:t>
      </w:r>
      <w:r w:rsidRPr="00B07B55">
        <w:rPr>
          <w:lang w:val="en-GB"/>
        </w:rPr>
        <w:t xml:space="preserve">unit change in each </w:t>
      </w:r>
      <w:r w:rsidR="00CE1C07" w:rsidRPr="00B07B55">
        <w:rPr>
          <w:lang w:val="en-GB"/>
        </w:rPr>
        <w:t>factor</w:t>
      </w:r>
      <w:r w:rsidRPr="00B07B55">
        <w:rPr>
          <w:lang w:val="en-GB"/>
        </w:rPr>
        <w:t xml:space="preserve">, keeping all other </w:t>
      </w:r>
      <w:r w:rsidR="00CE1C07" w:rsidRPr="00B07B55">
        <w:rPr>
          <w:lang w:val="en-GB"/>
        </w:rPr>
        <w:t xml:space="preserve">factors </w:t>
      </w:r>
      <w:r w:rsidRPr="00B07B55">
        <w:rPr>
          <w:lang w:val="en-GB"/>
        </w:rPr>
        <w:t xml:space="preserve">constant. In each table we report results for all individuals in the selected sample, for employees only (as only they have employee earnings data) and for all employed individuals (as only they have job satisfaction measures). </w:t>
      </w:r>
      <w:r w:rsidR="004A5AF7" w:rsidRPr="00B07B55">
        <w:rPr>
          <w:lang w:val="en-GB"/>
        </w:rPr>
        <w:t>Note that the sample here (and below) is restricted to those aged 25 to 57 in 2001, in order to only keep individuals of standard working age (64 and under) for</w:t>
      </w:r>
      <w:r w:rsidR="00EF2740">
        <w:rPr>
          <w:lang w:val="en-GB"/>
        </w:rPr>
        <w:t xml:space="preserve"> the entire HILDA panel. The 57-year-</w:t>
      </w:r>
      <w:r w:rsidR="004A5AF7" w:rsidRPr="00B07B55">
        <w:rPr>
          <w:lang w:val="en-GB"/>
        </w:rPr>
        <w:t xml:space="preserve">old individuals will be 64 in 2009, the last HILDA wave employed. </w:t>
      </w:r>
    </w:p>
    <w:p w:rsidR="00A55CF9" w:rsidRPr="00B07B55" w:rsidRDefault="004A5AF7" w:rsidP="00495869">
      <w:pPr>
        <w:pStyle w:val="Text"/>
        <w:ind w:right="0"/>
        <w:rPr>
          <w:lang w:val="en-GB"/>
        </w:rPr>
      </w:pPr>
      <w:r w:rsidRPr="00B07B55">
        <w:rPr>
          <w:lang w:val="en-GB"/>
        </w:rPr>
        <w:t>Note</w:t>
      </w:r>
      <w:r w:rsidR="00C30BF2" w:rsidRPr="00B07B55">
        <w:rPr>
          <w:lang w:val="en-GB"/>
        </w:rPr>
        <w:t xml:space="preserve"> </w:t>
      </w:r>
      <w:r w:rsidR="00A32F28" w:rsidRPr="00B07B55">
        <w:rPr>
          <w:lang w:val="en-GB"/>
        </w:rPr>
        <w:t xml:space="preserve">the </w:t>
      </w:r>
      <w:r w:rsidR="00F05540" w:rsidRPr="00B07B55">
        <w:rPr>
          <w:lang w:val="en-GB"/>
        </w:rPr>
        <w:t xml:space="preserve">clear negative relation between age and the probability </w:t>
      </w:r>
      <w:r w:rsidR="00546F9E">
        <w:rPr>
          <w:lang w:val="en-GB"/>
        </w:rPr>
        <w:t>of</w:t>
      </w:r>
      <w:r w:rsidR="00546F9E" w:rsidRPr="00B07B55">
        <w:rPr>
          <w:lang w:val="en-GB"/>
        </w:rPr>
        <w:t xml:space="preserve"> </w:t>
      </w:r>
      <w:r w:rsidR="00F05540" w:rsidRPr="00B07B55">
        <w:rPr>
          <w:lang w:val="en-GB"/>
        </w:rPr>
        <w:t>enrol</w:t>
      </w:r>
      <w:r w:rsidR="00546F9E">
        <w:rPr>
          <w:lang w:val="en-GB"/>
        </w:rPr>
        <w:t>ling</w:t>
      </w:r>
      <w:r w:rsidR="00F05540" w:rsidRPr="00B07B55">
        <w:rPr>
          <w:lang w:val="en-GB"/>
        </w:rPr>
        <w:t xml:space="preserve"> in education</w:t>
      </w:r>
      <w:r w:rsidRPr="00B07B55">
        <w:rPr>
          <w:lang w:val="en-GB"/>
        </w:rPr>
        <w:t xml:space="preserve"> f</w:t>
      </w:r>
      <w:r w:rsidR="00A32F28" w:rsidRPr="00B07B55">
        <w:rPr>
          <w:lang w:val="en-GB"/>
        </w:rPr>
        <w:t xml:space="preserve">or </w:t>
      </w:r>
      <w:r w:rsidRPr="00B07B55">
        <w:rPr>
          <w:lang w:val="en-GB"/>
        </w:rPr>
        <w:t xml:space="preserve">both </w:t>
      </w:r>
      <w:r w:rsidR="004079CE" w:rsidRPr="00B07B55">
        <w:rPr>
          <w:lang w:val="en-GB"/>
        </w:rPr>
        <w:t>men</w:t>
      </w:r>
      <w:r w:rsidR="00A32F28" w:rsidRPr="00B07B55">
        <w:rPr>
          <w:lang w:val="en-GB"/>
        </w:rPr>
        <w:t xml:space="preserve"> </w:t>
      </w:r>
      <w:r w:rsidR="00A32F28" w:rsidRPr="00495869">
        <w:rPr>
          <w:lang w:val="en-GB"/>
        </w:rPr>
        <w:t>and women</w:t>
      </w:r>
      <w:r w:rsidRPr="00495869">
        <w:rPr>
          <w:lang w:val="en-GB"/>
        </w:rPr>
        <w:t>. The</w:t>
      </w:r>
      <w:r w:rsidR="00A32F28" w:rsidRPr="00495869">
        <w:rPr>
          <w:lang w:val="en-GB"/>
        </w:rPr>
        <w:t xml:space="preserve"> </w:t>
      </w:r>
      <w:r w:rsidR="00561C6E" w:rsidRPr="00495869">
        <w:rPr>
          <w:lang w:val="en-GB"/>
        </w:rPr>
        <w:t>age</w:t>
      </w:r>
      <w:r w:rsidR="00A55CF9" w:rsidRPr="00495869">
        <w:rPr>
          <w:lang w:val="en-GB"/>
        </w:rPr>
        <w:t xml:space="preserve"> effects get stronger </w:t>
      </w:r>
      <w:r w:rsidR="00561C6E" w:rsidRPr="00495869">
        <w:rPr>
          <w:lang w:val="en-GB"/>
        </w:rPr>
        <w:t xml:space="preserve">as we move toward older </w:t>
      </w:r>
      <w:r w:rsidR="00A55CF9" w:rsidRPr="00495869">
        <w:rPr>
          <w:lang w:val="en-GB"/>
        </w:rPr>
        <w:t xml:space="preserve">age </w:t>
      </w:r>
      <w:r w:rsidR="00561C6E" w:rsidRPr="00495869">
        <w:rPr>
          <w:lang w:val="en-GB"/>
        </w:rPr>
        <w:t>groups</w:t>
      </w:r>
      <w:r w:rsidR="004079CE" w:rsidRPr="00495869">
        <w:rPr>
          <w:lang w:val="en-GB"/>
        </w:rPr>
        <w:t>.</w:t>
      </w:r>
      <w:r w:rsidR="00A82C0B" w:rsidRPr="00495869">
        <w:rPr>
          <w:lang w:val="en-GB"/>
        </w:rPr>
        <w:t xml:space="preserve"> </w:t>
      </w:r>
      <w:r w:rsidR="003D1F0E" w:rsidRPr="00495869">
        <w:rPr>
          <w:lang w:val="en-GB"/>
        </w:rPr>
        <w:t>The results for</w:t>
      </w:r>
      <w:r w:rsidR="003D1F0E" w:rsidRPr="00B07B55">
        <w:rPr>
          <w:lang w:val="en-GB"/>
        </w:rPr>
        <w:t xml:space="preserve"> males suggest some interesting regularities regarding prior education levels. More educated individuals have a higher probability (by 20 to 30 percentage points) of enrolling in education than the base education group of those with no post-secondary credentials and having left</w:t>
      </w:r>
      <w:r w:rsidR="00EF2740">
        <w:rPr>
          <w:lang w:val="en-GB"/>
        </w:rPr>
        <w:t xml:space="preserve"> high school before completing Y</w:t>
      </w:r>
      <w:r w:rsidR="003D1F0E" w:rsidRPr="00B07B55">
        <w:rPr>
          <w:lang w:val="en-GB"/>
        </w:rPr>
        <w:t>ear 10.</w:t>
      </w:r>
      <w:r w:rsidR="001C73D5">
        <w:rPr>
          <w:lang w:val="en-GB"/>
        </w:rPr>
        <w:t xml:space="preserve"> </w:t>
      </w:r>
      <w:r w:rsidR="00F9751D">
        <w:rPr>
          <w:lang w:val="en-GB"/>
        </w:rPr>
        <w:t>F</w:t>
      </w:r>
      <w:r w:rsidR="00B53C94">
        <w:rPr>
          <w:lang w:val="en-GB"/>
        </w:rPr>
        <w:t>or m</w:t>
      </w:r>
      <w:r w:rsidR="00F23F1E">
        <w:rPr>
          <w:lang w:val="en-GB"/>
        </w:rPr>
        <w:t>ale</w:t>
      </w:r>
      <w:r w:rsidR="003D1F0E" w:rsidRPr="00B07B55">
        <w:rPr>
          <w:lang w:val="en-GB"/>
        </w:rPr>
        <w:t xml:space="preserve">s </w:t>
      </w:r>
      <w:r w:rsidR="00F9751D">
        <w:rPr>
          <w:lang w:val="en-GB"/>
        </w:rPr>
        <w:t>with</w:t>
      </w:r>
      <w:r w:rsidR="003D1F0E" w:rsidRPr="00B07B55">
        <w:rPr>
          <w:lang w:val="en-GB"/>
        </w:rPr>
        <w:t xml:space="preserve"> very low education levels (Years 10 and 11 only and those </w:t>
      </w:r>
      <w:r w:rsidR="00EF2740">
        <w:rPr>
          <w:lang w:val="en-GB"/>
        </w:rPr>
        <w:t>who</w:t>
      </w:r>
      <w:r w:rsidR="003D1F0E" w:rsidRPr="00B07B55">
        <w:rPr>
          <w:lang w:val="en-GB"/>
        </w:rPr>
        <w:t xml:space="preserve"> hold a certificate </w:t>
      </w:r>
      <w:r w:rsidR="00F9751D">
        <w:rPr>
          <w:lang w:val="en-GB"/>
        </w:rPr>
        <w:t>not further</w:t>
      </w:r>
      <w:r w:rsidR="003D1F0E" w:rsidRPr="00B07B55">
        <w:rPr>
          <w:lang w:val="en-GB"/>
        </w:rPr>
        <w:t xml:space="preserve"> defined)</w:t>
      </w:r>
      <w:r w:rsidR="00EF2740">
        <w:rPr>
          <w:lang w:val="en-GB"/>
        </w:rPr>
        <w:t>;</w:t>
      </w:r>
      <w:r w:rsidR="00F9751D">
        <w:rPr>
          <w:lang w:val="en-GB"/>
        </w:rPr>
        <w:t xml:space="preserve"> however, the probability of enrolling in education at more mature ages is only marginally higher than the lowest base education group</w:t>
      </w:r>
      <w:r w:rsidR="003D1F0E" w:rsidRPr="00B07B55">
        <w:rPr>
          <w:lang w:val="en-GB"/>
        </w:rPr>
        <w:t xml:space="preserve">. </w:t>
      </w:r>
    </w:p>
    <w:p w:rsidR="00B640F5" w:rsidRDefault="00B640F5">
      <w:pPr>
        <w:spacing w:before="0" w:line="240" w:lineRule="auto"/>
        <w:rPr>
          <w:rFonts w:ascii="Tahoma" w:hAnsi="Tahoma"/>
          <w:b/>
          <w:sz w:val="17"/>
          <w:lang w:val="en-GB"/>
        </w:rPr>
      </w:pPr>
      <w:bookmarkStart w:id="60" w:name="_Toc311576122"/>
      <w:r>
        <w:rPr>
          <w:lang w:val="en-GB"/>
        </w:rPr>
        <w:br w:type="page"/>
      </w:r>
    </w:p>
    <w:p w:rsidR="00A55CF9" w:rsidRPr="00B07B55" w:rsidRDefault="00A55CF9" w:rsidP="00B640F5">
      <w:pPr>
        <w:pStyle w:val="tabletitle"/>
        <w:rPr>
          <w:lang w:val="en-GB"/>
        </w:rPr>
      </w:pPr>
      <w:bookmarkStart w:id="61" w:name="_Toc334021177"/>
      <w:r w:rsidRPr="00B07B55">
        <w:rPr>
          <w:lang w:val="en-GB"/>
        </w:rPr>
        <w:t>Table 10</w:t>
      </w:r>
      <w:r w:rsidRPr="00B07B55">
        <w:rPr>
          <w:lang w:val="en-GB"/>
        </w:rPr>
        <w:tab/>
      </w:r>
      <w:r w:rsidR="00553351" w:rsidRPr="00B07B55">
        <w:rPr>
          <w:lang w:val="en-GB"/>
        </w:rPr>
        <w:t>Impacts on the p</w:t>
      </w:r>
      <w:r w:rsidRPr="00B07B55">
        <w:rPr>
          <w:lang w:val="en-GB"/>
        </w:rPr>
        <w:t>robab</w:t>
      </w:r>
      <w:r w:rsidR="00EF2740">
        <w:rPr>
          <w:lang w:val="en-GB"/>
        </w:rPr>
        <w:t>ility of engaging in education:</w:t>
      </w:r>
      <w:r w:rsidRPr="00B07B55">
        <w:rPr>
          <w:lang w:val="en-GB"/>
        </w:rPr>
        <w:t xml:space="preserve"> males, HILDA</w:t>
      </w:r>
      <w:bookmarkEnd w:id="60"/>
      <w:bookmarkEnd w:id="61"/>
    </w:p>
    <w:tbl>
      <w:tblPr>
        <w:tblW w:w="8792" w:type="dxa"/>
        <w:tblLayout w:type="fixed"/>
        <w:tblCellMar>
          <w:left w:w="0" w:type="dxa"/>
          <w:right w:w="0" w:type="dxa"/>
        </w:tblCellMar>
        <w:tblLook w:val="04A0"/>
      </w:tblPr>
      <w:tblGrid>
        <w:gridCol w:w="3140"/>
        <w:gridCol w:w="1131"/>
        <w:gridCol w:w="754"/>
        <w:gridCol w:w="1131"/>
        <w:gridCol w:w="756"/>
        <w:gridCol w:w="1127"/>
        <w:gridCol w:w="753"/>
      </w:tblGrid>
      <w:tr w:rsidR="00A55CF9" w:rsidRPr="00B07B55" w:rsidTr="009B641C">
        <w:trPr>
          <w:tblHeader/>
        </w:trPr>
        <w:tc>
          <w:tcPr>
            <w:tcW w:w="1786" w:type="pct"/>
            <w:tcBorders>
              <w:top w:val="single" w:sz="8" w:space="0" w:color="auto"/>
              <w:left w:val="nil"/>
              <w:bottom w:val="nil"/>
              <w:right w:val="nil"/>
            </w:tcBorders>
            <w:shd w:val="clear" w:color="auto" w:fill="auto"/>
            <w:noWrap/>
            <w:tcMar>
              <w:top w:w="17" w:type="dxa"/>
              <w:left w:w="17" w:type="dxa"/>
              <w:bottom w:w="0" w:type="dxa"/>
              <w:right w:w="17" w:type="dxa"/>
            </w:tcMar>
            <w:hideMark/>
          </w:tcPr>
          <w:p w:rsidR="00A55CF9" w:rsidRPr="00B07B55" w:rsidRDefault="00A55CF9" w:rsidP="003A05E0">
            <w:pPr>
              <w:pStyle w:val="Tablehead1"/>
              <w:rPr>
                <w:lang w:val="en-GB"/>
              </w:rPr>
            </w:pPr>
            <w:r w:rsidRPr="00B07B55">
              <w:rPr>
                <w:lang w:val="en-GB"/>
              </w:rPr>
              <w:t> </w:t>
            </w:r>
          </w:p>
        </w:tc>
        <w:tc>
          <w:tcPr>
            <w:tcW w:w="1072" w:type="pct"/>
            <w:gridSpan w:val="2"/>
            <w:tcBorders>
              <w:top w:val="single" w:sz="8" w:space="0" w:color="auto"/>
              <w:left w:val="nil"/>
              <w:bottom w:val="nil"/>
              <w:right w:val="nil"/>
            </w:tcBorders>
            <w:shd w:val="clear" w:color="auto" w:fill="auto"/>
            <w:noWrap/>
            <w:tcMar>
              <w:top w:w="17" w:type="dxa"/>
              <w:left w:w="17" w:type="dxa"/>
              <w:bottom w:w="0" w:type="dxa"/>
              <w:right w:w="17" w:type="dxa"/>
            </w:tcMar>
            <w:hideMark/>
          </w:tcPr>
          <w:p w:rsidR="00A55CF9" w:rsidRPr="00B07B55" w:rsidRDefault="00A55CF9" w:rsidP="003A05E0">
            <w:pPr>
              <w:pStyle w:val="Tablehead1"/>
              <w:jc w:val="center"/>
              <w:rPr>
                <w:lang w:val="en-GB"/>
              </w:rPr>
            </w:pPr>
            <w:r w:rsidRPr="00B07B55">
              <w:rPr>
                <w:lang w:val="en-GB"/>
              </w:rPr>
              <w:t xml:space="preserve">All </w:t>
            </w:r>
            <w:r w:rsidR="00992B3C" w:rsidRPr="00B07B55">
              <w:rPr>
                <w:lang w:val="en-GB"/>
              </w:rPr>
              <w:t>individuals</w:t>
            </w:r>
          </w:p>
        </w:tc>
        <w:tc>
          <w:tcPr>
            <w:tcW w:w="1073" w:type="pct"/>
            <w:gridSpan w:val="2"/>
            <w:tcBorders>
              <w:top w:val="single" w:sz="8" w:space="0" w:color="auto"/>
              <w:left w:val="nil"/>
              <w:bottom w:val="nil"/>
              <w:right w:val="nil"/>
            </w:tcBorders>
            <w:shd w:val="clear" w:color="auto" w:fill="auto"/>
            <w:noWrap/>
            <w:tcMar>
              <w:top w:w="17" w:type="dxa"/>
              <w:left w:w="17" w:type="dxa"/>
              <w:bottom w:w="0" w:type="dxa"/>
              <w:right w:w="17" w:type="dxa"/>
            </w:tcMar>
            <w:hideMark/>
          </w:tcPr>
          <w:p w:rsidR="00A55CF9" w:rsidRPr="00B07B55" w:rsidRDefault="00EF2740" w:rsidP="003A05E0">
            <w:pPr>
              <w:pStyle w:val="Tablehead1"/>
              <w:jc w:val="center"/>
              <w:rPr>
                <w:lang w:val="en-GB"/>
              </w:rPr>
            </w:pPr>
            <w:r>
              <w:rPr>
                <w:lang w:val="en-GB"/>
              </w:rPr>
              <w:t>Employees o</w:t>
            </w:r>
            <w:r w:rsidR="00A55CF9" w:rsidRPr="00B07B55">
              <w:rPr>
                <w:lang w:val="en-GB"/>
              </w:rPr>
              <w:t>nly</w:t>
            </w:r>
          </w:p>
        </w:tc>
        <w:tc>
          <w:tcPr>
            <w:tcW w:w="1069" w:type="pct"/>
            <w:gridSpan w:val="2"/>
            <w:tcBorders>
              <w:top w:val="single" w:sz="8" w:space="0" w:color="auto"/>
              <w:left w:val="nil"/>
              <w:bottom w:val="nil"/>
              <w:right w:val="nil"/>
            </w:tcBorders>
            <w:shd w:val="clear" w:color="auto" w:fill="auto"/>
            <w:noWrap/>
            <w:tcMar>
              <w:top w:w="17" w:type="dxa"/>
              <w:left w:w="17" w:type="dxa"/>
              <w:bottom w:w="0" w:type="dxa"/>
              <w:right w:w="17" w:type="dxa"/>
            </w:tcMar>
            <w:hideMark/>
          </w:tcPr>
          <w:p w:rsidR="00A55CF9" w:rsidRPr="00B07B55" w:rsidRDefault="00EF2740" w:rsidP="003A05E0">
            <w:pPr>
              <w:pStyle w:val="Tablehead1"/>
              <w:jc w:val="center"/>
              <w:rPr>
                <w:lang w:val="en-GB"/>
              </w:rPr>
            </w:pPr>
            <w:r>
              <w:rPr>
                <w:lang w:val="en-GB"/>
              </w:rPr>
              <w:t>All e</w:t>
            </w:r>
            <w:r w:rsidR="00A55CF9" w:rsidRPr="00B07B55">
              <w:rPr>
                <w:lang w:val="en-GB"/>
              </w:rPr>
              <w:t>mployed</w:t>
            </w:r>
          </w:p>
        </w:tc>
      </w:tr>
      <w:tr w:rsidR="00A55CF9" w:rsidRPr="00B07B55" w:rsidTr="009B641C">
        <w:trPr>
          <w:tblHeader/>
        </w:trPr>
        <w:tc>
          <w:tcPr>
            <w:tcW w:w="1786" w:type="pct"/>
            <w:tcBorders>
              <w:top w:val="nil"/>
              <w:left w:val="nil"/>
              <w:bottom w:val="single" w:sz="8" w:space="0" w:color="auto"/>
              <w:right w:val="nil"/>
            </w:tcBorders>
            <w:shd w:val="clear" w:color="auto" w:fill="auto"/>
            <w:noWrap/>
            <w:tcMar>
              <w:top w:w="17" w:type="dxa"/>
              <w:left w:w="17" w:type="dxa"/>
              <w:bottom w:w="0" w:type="dxa"/>
              <w:right w:w="17" w:type="dxa"/>
            </w:tcMar>
            <w:hideMark/>
          </w:tcPr>
          <w:p w:rsidR="00A55CF9" w:rsidRPr="00B07B55" w:rsidRDefault="00A55CF9" w:rsidP="003A05E0">
            <w:pPr>
              <w:pStyle w:val="Tablehead2"/>
              <w:rPr>
                <w:lang w:val="en-GB"/>
              </w:rPr>
            </w:pPr>
            <w:r w:rsidRPr="00B07B55">
              <w:rPr>
                <w:lang w:val="en-GB"/>
              </w:rPr>
              <w:t> </w:t>
            </w:r>
          </w:p>
        </w:tc>
        <w:tc>
          <w:tcPr>
            <w:tcW w:w="643" w:type="pct"/>
            <w:tcBorders>
              <w:top w:val="nil"/>
              <w:left w:val="nil"/>
              <w:bottom w:val="single" w:sz="8" w:space="0" w:color="auto"/>
              <w:right w:val="nil"/>
            </w:tcBorders>
            <w:shd w:val="clear" w:color="auto" w:fill="auto"/>
            <w:noWrap/>
            <w:tcMar>
              <w:top w:w="17" w:type="dxa"/>
              <w:left w:w="17" w:type="dxa"/>
              <w:bottom w:w="0" w:type="dxa"/>
              <w:right w:w="17" w:type="dxa"/>
            </w:tcMar>
            <w:hideMark/>
          </w:tcPr>
          <w:p w:rsidR="00A55CF9" w:rsidRPr="00B07B55" w:rsidRDefault="00A55CF9" w:rsidP="003A05E0">
            <w:pPr>
              <w:pStyle w:val="Tablehead2"/>
              <w:jc w:val="center"/>
              <w:rPr>
                <w:lang w:val="en-GB"/>
              </w:rPr>
            </w:pPr>
            <w:r w:rsidRPr="00B07B55">
              <w:rPr>
                <w:lang w:val="en-GB"/>
              </w:rPr>
              <w:t>Coeff.</w:t>
            </w:r>
          </w:p>
        </w:tc>
        <w:tc>
          <w:tcPr>
            <w:tcW w:w="429" w:type="pct"/>
            <w:tcBorders>
              <w:top w:val="nil"/>
              <w:left w:val="nil"/>
              <w:bottom w:val="single" w:sz="8" w:space="0" w:color="auto"/>
              <w:right w:val="nil"/>
            </w:tcBorders>
            <w:shd w:val="clear" w:color="auto" w:fill="auto"/>
            <w:noWrap/>
            <w:tcMar>
              <w:top w:w="17" w:type="dxa"/>
              <w:left w:w="17" w:type="dxa"/>
              <w:bottom w:w="0" w:type="dxa"/>
              <w:right w:w="17" w:type="dxa"/>
            </w:tcMar>
            <w:hideMark/>
          </w:tcPr>
          <w:p w:rsidR="00A55CF9" w:rsidRPr="00B07B55" w:rsidRDefault="00A55CF9" w:rsidP="003A05E0">
            <w:pPr>
              <w:pStyle w:val="Tablehead2"/>
              <w:jc w:val="center"/>
              <w:rPr>
                <w:i/>
                <w:iCs/>
                <w:lang w:val="en-GB"/>
              </w:rPr>
            </w:pPr>
            <w:r w:rsidRPr="00B07B55">
              <w:rPr>
                <w:i/>
                <w:iCs/>
                <w:lang w:val="en-GB"/>
              </w:rPr>
              <w:t>t-stat.</w:t>
            </w:r>
          </w:p>
        </w:tc>
        <w:tc>
          <w:tcPr>
            <w:tcW w:w="643" w:type="pct"/>
            <w:tcBorders>
              <w:top w:val="nil"/>
              <w:left w:val="nil"/>
              <w:bottom w:val="single" w:sz="8" w:space="0" w:color="auto"/>
              <w:right w:val="nil"/>
            </w:tcBorders>
            <w:shd w:val="clear" w:color="auto" w:fill="auto"/>
            <w:noWrap/>
            <w:tcMar>
              <w:top w:w="17" w:type="dxa"/>
              <w:left w:w="17" w:type="dxa"/>
              <w:bottom w:w="0" w:type="dxa"/>
              <w:right w:w="17" w:type="dxa"/>
            </w:tcMar>
            <w:hideMark/>
          </w:tcPr>
          <w:p w:rsidR="00A55CF9" w:rsidRPr="00B07B55" w:rsidRDefault="00A55CF9" w:rsidP="003A05E0">
            <w:pPr>
              <w:pStyle w:val="Tablehead2"/>
              <w:jc w:val="center"/>
              <w:rPr>
                <w:lang w:val="en-GB"/>
              </w:rPr>
            </w:pPr>
            <w:r w:rsidRPr="00B07B55">
              <w:rPr>
                <w:lang w:val="en-GB"/>
              </w:rPr>
              <w:t>Coeff.</w:t>
            </w:r>
          </w:p>
        </w:tc>
        <w:tc>
          <w:tcPr>
            <w:tcW w:w="430" w:type="pct"/>
            <w:tcBorders>
              <w:top w:val="nil"/>
              <w:left w:val="nil"/>
              <w:bottom w:val="single" w:sz="8" w:space="0" w:color="auto"/>
              <w:right w:val="nil"/>
            </w:tcBorders>
            <w:shd w:val="clear" w:color="auto" w:fill="auto"/>
            <w:noWrap/>
            <w:tcMar>
              <w:top w:w="17" w:type="dxa"/>
              <w:left w:w="17" w:type="dxa"/>
              <w:bottom w:w="0" w:type="dxa"/>
              <w:right w:w="17" w:type="dxa"/>
            </w:tcMar>
            <w:hideMark/>
          </w:tcPr>
          <w:p w:rsidR="00A55CF9" w:rsidRPr="00B07B55" w:rsidRDefault="00A55CF9" w:rsidP="003A05E0">
            <w:pPr>
              <w:pStyle w:val="Tablehead2"/>
              <w:jc w:val="center"/>
              <w:rPr>
                <w:i/>
                <w:iCs/>
                <w:lang w:val="en-GB"/>
              </w:rPr>
            </w:pPr>
            <w:r w:rsidRPr="00B07B55">
              <w:rPr>
                <w:i/>
                <w:iCs/>
                <w:lang w:val="en-GB"/>
              </w:rPr>
              <w:t>t-stat.</w:t>
            </w:r>
          </w:p>
        </w:tc>
        <w:tc>
          <w:tcPr>
            <w:tcW w:w="641" w:type="pct"/>
            <w:tcBorders>
              <w:top w:val="nil"/>
              <w:left w:val="nil"/>
              <w:bottom w:val="single" w:sz="8" w:space="0" w:color="auto"/>
              <w:right w:val="nil"/>
            </w:tcBorders>
            <w:shd w:val="clear" w:color="auto" w:fill="auto"/>
            <w:noWrap/>
            <w:tcMar>
              <w:top w:w="17" w:type="dxa"/>
              <w:left w:w="17" w:type="dxa"/>
              <w:bottom w:w="0" w:type="dxa"/>
              <w:right w:w="17" w:type="dxa"/>
            </w:tcMar>
            <w:hideMark/>
          </w:tcPr>
          <w:p w:rsidR="00A55CF9" w:rsidRPr="00B07B55" w:rsidRDefault="00A55CF9" w:rsidP="003A05E0">
            <w:pPr>
              <w:pStyle w:val="Tablehead2"/>
              <w:jc w:val="center"/>
              <w:rPr>
                <w:lang w:val="en-GB"/>
              </w:rPr>
            </w:pPr>
            <w:r w:rsidRPr="00B07B55">
              <w:rPr>
                <w:lang w:val="en-GB"/>
              </w:rPr>
              <w:t>Coeff.</w:t>
            </w:r>
          </w:p>
        </w:tc>
        <w:tc>
          <w:tcPr>
            <w:tcW w:w="428" w:type="pct"/>
            <w:tcBorders>
              <w:top w:val="nil"/>
              <w:left w:val="nil"/>
              <w:bottom w:val="single" w:sz="8" w:space="0" w:color="auto"/>
              <w:right w:val="nil"/>
            </w:tcBorders>
            <w:shd w:val="clear" w:color="auto" w:fill="auto"/>
            <w:noWrap/>
            <w:tcMar>
              <w:top w:w="17" w:type="dxa"/>
              <w:left w:w="17" w:type="dxa"/>
              <w:bottom w:w="0" w:type="dxa"/>
              <w:right w:w="17" w:type="dxa"/>
            </w:tcMar>
            <w:hideMark/>
          </w:tcPr>
          <w:p w:rsidR="00A55CF9" w:rsidRPr="00B07B55" w:rsidRDefault="00A55CF9" w:rsidP="00694318">
            <w:pPr>
              <w:pStyle w:val="Tablehead2"/>
              <w:tabs>
                <w:tab w:val="clear" w:pos="992"/>
              </w:tabs>
              <w:jc w:val="center"/>
              <w:rPr>
                <w:i/>
                <w:iCs/>
                <w:lang w:val="en-GB"/>
              </w:rPr>
            </w:pPr>
            <w:r w:rsidRPr="00B07B55">
              <w:rPr>
                <w:i/>
                <w:iCs/>
                <w:lang w:val="en-GB"/>
              </w:rPr>
              <w:t>t-stat.</w:t>
            </w:r>
          </w:p>
        </w:tc>
      </w:tr>
      <w:tr w:rsidR="00750FBA"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750FBA" w:rsidRPr="009B641C" w:rsidRDefault="00750FBA" w:rsidP="003A05E0">
            <w:pPr>
              <w:pStyle w:val="Tabletext"/>
              <w:rPr>
                <w:b/>
                <w:lang w:val="en-GB"/>
              </w:rPr>
            </w:pPr>
            <w:r w:rsidRPr="009B641C">
              <w:rPr>
                <w:b/>
                <w:lang w:val="en-GB"/>
              </w:rPr>
              <w:t>R</w:t>
            </w:r>
            <w:r w:rsidR="00EF2740" w:rsidRPr="009B641C">
              <w:rPr>
                <w:b/>
                <w:lang w:val="en-GB"/>
              </w:rPr>
              <w:t>eference category: age group 25–</w:t>
            </w:r>
            <w:r w:rsidRPr="009B641C">
              <w:rPr>
                <w:b/>
                <w:lang w:val="en-GB"/>
              </w:rPr>
              <w:t>29</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750FBA" w:rsidRPr="00B07B55" w:rsidRDefault="00750FBA" w:rsidP="003A05E0">
            <w:pPr>
              <w:pStyle w:val="Tabletext"/>
              <w:tabs>
                <w:tab w:val="decimal" w:pos="369"/>
              </w:tabs>
              <w:rPr>
                <w:lang w:val="en-GB"/>
              </w:rPr>
            </w:pPr>
          </w:p>
        </w:tc>
        <w:tc>
          <w:tcPr>
            <w:tcW w:w="429" w:type="pct"/>
            <w:tcBorders>
              <w:top w:val="nil"/>
              <w:left w:val="nil"/>
              <w:bottom w:val="nil"/>
              <w:right w:val="nil"/>
            </w:tcBorders>
            <w:shd w:val="clear" w:color="auto" w:fill="auto"/>
            <w:tcMar>
              <w:top w:w="17" w:type="dxa"/>
              <w:left w:w="17" w:type="dxa"/>
              <w:bottom w:w="0" w:type="dxa"/>
              <w:right w:w="17" w:type="dxa"/>
            </w:tcMar>
            <w:hideMark/>
          </w:tcPr>
          <w:p w:rsidR="00750FBA" w:rsidRPr="00B07B55" w:rsidRDefault="00750FBA" w:rsidP="00694318">
            <w:pPr>
              <w:pStyle w:val="Tabletext"/>
              <w:tabs>
                <w:tab w:val="decimal" w:pos="312"/>
              </w:tabs>
              <w:rPr>
                <w:lang w:val="en-GB"/>
              </w:rPr>
            </w:pPr>
          </w:p>
        </w:tc>
        <w:tc>
          <w:tcPr>
            <w:tcW w:w="643" w:type="pct"/>
            <w:tcBorders>
              <w:top w:val="nil"/>
              <w:left w:val="nil"/>
              <w:bottom w:val="nil"/>
              <w:right w:val="nil"/>
            </w:tcBorders>
            <w:shd w:val="clear" w:color="auto" w:fill="auto"/>
            <w:tcMar>
              <w:top w:w="17" w:type="dxa"/>
              <w:left w:w="17" w:type="dxa"/>
              <w:bottom w:w="0" w:type="dxa"/>
              <w:right w:w="17" w:type="dxa"/>
            </w:tcMar>
            <w:hideMark/>
          </w:tcPr>
          <w:p w:rsidR="00750FBA" w:rsidRPr="00B07B55" w:rsidRDefault="00750FBA" w:rsidP="00694318">
            <w:pPr>
              <w:pStyle w:val="Tabletext"/>
              <w:tabs>
                <w:tab w:val="decimal" w:pos="369"/>
              </w:tabs>
              <w:rPr>
                <w:lang w:val="en-GB"/>
              </w:rPr>
            </w:pPr>
          </w:p>
        </w:tc>
        <w:tc>
          <w:tcPr>
            <w:tcW w:w="430" w:type="pct"/>
            <w:tcBorders>
              <w:top w:val="nil"/>
              <w:left w:val="nil"/>
              <w:bottom w:val="nil"/>
              <w:right w:val="nil"/>
            </w:tcBorders>
            <w:shd w:val="clear" w:color="auto" w:fill="auto"/>
            <w:tcMar>
              <w:top w:w="17" w:type="dxa"/>
              <w:left w:w="17" w:type="dxa"/>
              <w:bottom w:w="0" w:type="dxa"/>
              <w:right w:w="17" w:type="dxa"/>
            </w:tcMar>
            <w:hideMark/>
          </w:tcPr>
          <w:p w:rsidR="00750FBA" w:rsidRPr="00B07B55" w:rsidRDefault="00750FBA" w:rsidP="00694318">
            <w:pPr>
              <w:pStyle w:val="Tabletext"/>
              <w:tabs>
                <w:tab w:val="decimal" w:pos="312"/>
              </w:tabs>
              <w:rPr>
                <w:lang w:val="en-GB"/>
              </w:rPr>
            </w:pPr>
          </w:p>
        </w:tc>
        <w:tc>
          <w:tcPr>
            <w:tcW w:w="641" w:type="pct"/>
            <w:tcBorders>
              <w:top w:val="nil"/>
              <w:left w:val="nil"/>
              <w:bottom w:val="nil"/>
              <w:right w:val="nil"/>
            </w:tcBorders>
            <w:shd w:val="clear" w:color="auto" w:fill="auto"/>
            <w:tcMar>
              <w:top w:w="17" w:type="dxa"/>
              <w:left w:w="17" w:type="dxa"/>
              <w:bottom w:w="0" w:type="dxa"/>
              <w:right w:w="17" w:type="dxa"/>
            </w:tcMar>
            <w:hideMark/>
          </w:tcPr>
          <w:p w:rsidR="00750FBA" w:rsidRPr="00B07B55" w:rsidRDefault="00750FBA" w:rsidP="00694318">
            <w:pPr>
              <w:pStyle w:val="Tabletext"/>
              <w:tabs>
                <w:tab w:val="decimal" w:pos="369"/>
              </w:tabs>
              <w:rPr>
                <w:lang w:val="en-GB"/>
              </w:rPr>
            </w:pPr>
          </w:p>
        </w:tc>
        <w:tc>
          <w:tcPr>
            <w:tcW w:w="428" w:type="pct"/>
            <w:tcBorders>
              <w:top w:val="nil"/>
              <w:left w:val="nil"/>
              <w:bottom w:val="nil"/>
              <w:right w:val="nil"/>
            </w:tcBorders>
            <w:shd w:val="clear" w:color="auto" w:fill="auto"/>
            <w:tcMar>
              <w:top w:w="17" w:type="dxa"/>
              <w:left w:w="17" w:type="dxa"/>
              <w:bottom w:w="0" w:type="dxa"/>
              <w:right w:w="17" w:type="dxa"/>
            </w:tcMar>
            <w:hideMark/>
          </w:tcPr>
          <w:p w:rsidR="00750FBA" w:rsidRPr="00B07B55" w:rsidRDefault="00750FBA" w:rsidP="00694318">
            <w:pPr>
              <w:pStyle w:val="Tabletext"/>
              <w:tabs>
                <w:tab w:val="decimal" w:pos="312"/>
              </w:tabs>
              <w:rPr>
                <w:lang w:val="en-GB"/>
              </w:rPr>
            </w:pPr>
          </w:p>
        </w:tc>
      </w:tr>
      <w:tr w:rsidR="00A55CF9"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EF2740" w:rsidP="003A05E0">
            <w:pPr>
              <w:pStyle w:val="Tabletext"/>
              <w:rPr>
                <w:lang w:val="en-GB"/>
              </w:rPr>
            </w:pPr>
            <w:r>
              <w:rPr>
                <w:lang w:val="en-GB"/>
              </w:rPr>
              <w:t>Age group: 30–</w:t>
            </w:r>
            <w:r w:rsidR="00A55CF9" w:rsidRPr="00B07B55">
              <w:rPr>
                <w:lang w:val="en-GB"/>
              </w:rPr>
              <w:t>3</w:t>
            </w:r>
            <w:r w:rsidR="00750FBA">
              <w:rPr>
                <w:lang w:val="en-GB"/>
              </w:rPr>
              <w:t>4</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3A05E0">
            <w:pPr>
              <w:pStyle w:val="Tabletext"/>
              <w:tabs>
                <w:tab w:val="decimal" w:pos="369"/>
              </w:tabs>
              <w:rPr>
                <w:lang w:val="en-GB"/>
              </w:rPr>
            </w:pPr>
            <w:r w:rsidRPr="00B07B55">
              <w:rPr>
                <w:lang w:val="en-GB"/>
              </w:rPr>
              <w:t>-0.0542</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-1.37</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w:t>
            </w:r>
            <w:r w:rsidR="00546F9E" w:rsidRPr="00B07B55">
              <w:rPr>
                <w:lang w:val="en-GB"/>
              </w:rPr>
              <w:t>007</w:t>
            </w:r>
            <w:r w:rsidR="00546F9E">
              <w:rPr>
                <w:lang w:val="en-GB"/>
              </w:rPr>
              <w:t>2</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-0.14</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-0.0444</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-1.05</w:t>
            </w:r>
          </w:p>
        </w:tc>
      </w:tr>
      <w:tr w:rsidR="00A55CF9"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EF2740" w:rsidP="003A05E0">
            <w:pPr>
              <w:pStyle w:val="Tabletext"/>
              <w:rPr>
                <w:lang w:val="en-GB"/>
              </w:rPr>
            </w:pPr>
            <w:r>
              <w:rPr>
                <w:lang w:val="en-GB"/>
              </w:rPr>
              <w:t>Age group: 35–</w:t>
            </w:r>
            <w:r w:rsidR="00750FBA">
              <w:rPr>
                <w:lang w:val="en-GB"/>
              </w:rPr>
              <w:t>39</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3A05E0">
            <w:pPr>
              <w:pStyle w:val="Tabletext"/>
              <w:tabs>
                <w:tab w:val="decimal" w:pos="369"/>
              </w:tabs>
              <w:rPr>
                <w:lang w:val="en-GB"/>
              </w:rPr>
            </w:pPr>
            <w:r w:rsidRPr="00B07B55">
              <w:rPr>
                <w:lang w:val="en-GB"/>
              </w:rPr>
              <w:t>-0.0636</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-1.72</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-0.0668</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-1.42</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-0.0796</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-2.04</w:t>
            </w:r>
          </w:p>
        </w:tc>
      </w:tr>
      <w:tr w:rsidR="00A55CF9"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EF2740" w:rsidP="003A05E0">
            <w:pPr>
              <w:pStyle w:val="Tabletext"/>
              <w:rPr>
                <w:lang w:val="en-GB"/>
              </w:rPr>
            </w:pPr>
            <w:r>
              <w:rPr>
                <w:lang w:val="en-GB"/>
              </w:rPr>
              <w:t>Age group: 40–</w:t>
            </w:r>
            <w:r w:rsidR="00A55CF9" w:rsidRPr="00B07B55">
              <w:rPr>
                <w:lang w:val="en-GB"/>
              </w:rPr>
              <w:t>4</w:t>
            </w:r>
            <w:r w:rsidR="00750FBA">
              <w:rPr>
                <w:lang w:val="en-GB"/>
              </w:rPr>
              <w:t>4</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3A05E0">
            <w:pPr>
              <w:pStyle w:val="Tabletext"/>
              <w:tabs>
                <w:tab w:val="decimal" w:pos="369"/>
              </w:tabs>
              <w:rPr>
                <w:lang w:val="en-GB"/>
              </w:rPr>
            </w:pPr>
            <w:r w:rsidRPr="00B07B55">
              <w:rPr>
                <w:lang w:val="en-GB"/>
              </w:rPr>
              <w:t>-0.073</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-1.90</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-0.0644</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-1.30</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-0.105</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-2.70</w:t>
            </w:r>
          </w:p>
        </w:tc>
      </w:tr>
      <w:tr w:rsidR="00A55CF9"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EF2740" w:rsidP="003A05E0">
            <w:pPr>
              <w:pStyle w:val="Tabletext"/>
              <w:rPr>
                <w:lang w:val="en-GB"/>
              </w:rPr>
            </w:pPr>
            <w:r>
              <w:rPr>
                <w:lang w:val="en-GB"/>
              </w:rPr>
              <w:t>Age group: 45–</w:t>
            </w:r>
            <w:r w:rsidR="00750FBA">
              <w:rPr>
                <w:lang w:val="en-GB"/>
              </w:rPr>
              <w:t>49</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3A05E0">
            <w:pPr>
              <w:pStyle w:val="Tabletext"/>
              <w:tabs>
                <w:tab w:val="decimal" w:pos="369"/>
              </w:tabs>
              <w:rPr>
                <w:lang w:val="en-GB"/>
              </w:rPr>
            </w:pPr>
            <w:r w:rsidRPr="00B07B55">
              <w:rPr>
                <w:lang w:val="en-GB"/>
              </w:rPr>
              <w:t>-0.136</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-4.19</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-0.129</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-3.03</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-0.137</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-3.79</w:t>
            </w:r>
          </w:p>
        </w:tc>
      </w:tr>
      <w:tr w:rsidR="00A55CF9"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EF2740" w:rsidP="003A05E0">
            <w:pPr>
              <w:pStyle w:val="Tabletext"/>
              <w:rPr>
                <w:lang w:val="en-GB"/>
              </w:rPr>
            </w:pPr>
            <w:r>
              <w:rPr>
                <w:lang w:val="en-GB"/>
              </w:rPr>
              <w:t>Age group: 50–</w:t>
            </w:r>
            <w:r w:rsidR="00A55CF9" w:rsidRPr="00B07B55">
              <w:rPr>
                <w:lang w:val="en-GB"/>
              </w:rPr>
              <w:t>57</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3A05E0">
            <w:pPr>
              <w:pStyle w:val="Tabletext"/>
              <w:tabs>
                <w:tab w:val="decimal" w:pos="369"/>
              </w:tabs>
              <w:rPr>
                <w:lang w:val="en-GB"/>
              </w:rPr>
            </w:pPr>
            <w:r w:rsidRPr="00B07B55">
              <w:rPr>
                <w:lang w:val="en-GB"/>
              </w:rPr>
              <w:t>-0.190</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-6.12</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-0.187</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-4.67</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-0.187</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-5.58</w:t>
            </w:r>
          </w:p>
        </w:tc>
      </w:tr>
      <w:tr w:rsidR="00C419F3" w:rsidRPr="00C419F3"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C419F3" w:rsidRPr="009B641C" w:rsidRDefault="00C419F3" w:rsidP="003A05E0">
            <w:pPr>
              <w:pStyle w:val="Tabletext"/>
              <w:rPr>
                <w:b/>
                <w:lang w:val="en-GB"/>
              </w:rPr>
            </w:pPr>
            <w:r w:rsidRPr="009B641C">
              <w:rPr>
                <w:b/>
                <w:lang w:val="en-GB"/>
              </w:rPr>
              <w:t>Reference category: below Year 10*</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C419F3" w:rsidRPr="00C419F3" w:rsidRDefault="00C419F3" w:rsidP="003A05E0">
            <w:pPr>
              <w:pStyle w:val="Tabletext"/>
              <w:tabs>
                <w:tab w:val="decimal" w:pos="369"/>
              </w:tabs>
              <w:rPr>
                <w:lang w:val="en-GB"/>
              </w:rPr>
            </w:pPr>
          </w:p>
        </w:tc>
        <w:tc>
          <w:tcPr>
            <w:tcW w:w="429" w:type="pct"/>
            <w:tcBorders>
              <w:top w:val="nil"/>
              <w:left w:val="nil"/>
              <w:bottom w:val="nil"/>
              <w:right w:val="nil"/>
            </w:tcBorders>
            <w:shd w:val="clear" w:color="auto" w:fill="auto"/>
            <w:tcMar>
              <w:top w:w="17" w:type="dxa"/>
              <w:left w:w="17" w:type="dxa"/>
              <w:bottom w:w="0" w:type="dxa"/>
              <w:right w:w="17" w:type="dxa"/>
            </w:tcMar>
            <w:hideMark/>
          </w:tcPr>
          <w:p w:rsidR="00C419F3" w:rsidRPr="00C419F3" w:rsidRDefault="00C419F3" w:rsidP="00694318">
            <w:pPr>
              <w:pStyle w:val="Tabletext"/>
              <w:tabs>
                <w:tab w:val="decimal" w:pos="312"/>
              </w:tabs>
              <w:rPr>
                <w:lang w:val="en-GB"/>
              </w:rPr>
            </w:pPr>
          </w:p>
        </w:tc>
        <w:tc>
          <w:tcPr>
            <w:tcW w:w="643" w:type="pct"/>
            <w:tcBorders>
              <w:top w:val="nil"/>
              <w:left w:val="nil"/>
              <w:bottom w:val="nil"/>
              <w:right w:val="nil"/>
            </w:tcBorders>
            <w:shd w:val="clear" w:color="auto" w:fill="auto"/>
            <w:tcMar>
              <w:top w:w="17" w:type="dxa"/>
              <w:left w:w="17" w:type="dxa"/>
              <w:bottom w:w="0" w:type="dxa"/>
              <w:right w:w="17" w:type="dxa"/>
            </w:tcMar>
            <w:hideMark/>
          </w:tcPr>
          <w:p w:rsidR="00C419F3" w:rsidRPr="00C419F3" w:rsidRDefault="00C419F3" w:rsidP="00694318">
            <w:pPr>
              <w:pStyle w:val="Tabletext"/>
              <w:tabs>
                <w:tab w:val="decimal" w:pos="369"/>
              </w:tabs>
              <w:rPr>
                <w:lang w:val="en-GB"/>
              </w:rPr>
            </w:pPr>
          </w:p>
        </w:tc>
        <w:tc>
          <w:tcPr>
            <w:tcW w:w="430" w:type="pct"/>
            <w:tcBorders>
              <w:top w:val="nil"/>
              <w:left w:val="nil"/>
              <w:bottom w:val="nil"/>
              <w:right w:val="nil"/>
            </w:tcBorders>
            <w:shd w:val="clear" w:color="auto" w:fill="auto"/>
            <w:tcMar>
              <w:top w:w="17" w:type="dxa"/>
              <w:left w:w="17" w:type="dxa"/>
              <w:bottom w:w="0" w:type="dxa"/>
              <w:right w:w="17" w:type="dxa"/>
            </w:tcMar>
            <w:hideMark/>
          </w:tcPr>
          <w:p w:rsidR="00C419F3" w:rsidRPr="00C419F3" w:rsidRDefault="00C419F3" w:rsidP="00694318">
            <w:pPr>
              <w:pStyle w:val="Tabletext"/>
              <w:tabs>
                <w:tab w:val="decimal" w:pos="312"/>
              </w:tabs>
              <w:rPr>
                <w:lang w:val="en-GB"/>
              </w:rPr>
            </w:pPr>
          </w:p>
        </w:tc>
        <w:tc>
          <w:tcPr>
            <w:tcW w:w="641" w:type="pct"/>
            <w:tcBorders>
              <w:top w:val="nil"/>
              <w:left w:val="nil"/>
              <w:bottom w:val="nil"/>
              <w:right w:val="nil"/>
            </w:tcBorders>
            <w:shd w:val="clear" w:color="auto" w:fill="auto"/>
            <w:tcMar>
              <w:top w:w="17" w:type="dxa"/>
              <w:left w:w="17" w:type="dxa"/>
              <w:bottom w:w="0" w:type="dxa"/>
              <w:right w:w="17" w:type="dxa"/>
            </w:tcMar>
            <w:hideMark/>
          </w:tcPr>
          <w:p w:rsidR="00C419F3" w:rsidRPr="00C419F3" w:rsidRDefault="00C419F3" w:rsidP="00694318">
            <w:pPr>
              <w:pStyle w:val="Tabletext"/>
              <w:tabs>
                <w:tab w:val="decimal" w:pos="369"/>
              </w:tabs>
              <w:rPr>
                <w:lang w:val="en-GB"/>
              </w:rPr>
            </w:pPr>
          </w:p>
        </w:tc>
        <w:tc>
          <w:tcPr>
            <w:tcW w:w="428" w:type="pct"/>
            <w:tcBorders>
              <w:top w:val="nil"/>
              <w:left w:val="nil"/>
              <w:bottom w:val="nil"/>
              <w:right w:val="nil"/>
            </w:tcBorders>
            <w:shd w:val="clear" w:color="auto" w:fill="auto"/>
            <w:tcMar>
              <w:top w:w="17" w:type="dxa"/>
              <w:left w:w="17" w:type="dxa"/>
              <w:bottom w:w="0" w:type="dxa"/>
              <w:right w:w="17" w:type="dxa"/>
            </w:tcMar>
            <w:hideMark/>
          </w:tcPr>
          <w:p w:rsidR="00C419F3" w:rsidRPr="00C419F3" w:rsidRDefault="00C419F3" w:rsidP="00694318">
            <w:pPr>
              <w:pStyle w:val="Tabletext"/>
              <w:tabs>
                <w:tab w:val="decimal" w:pos="312"/>
              </w:tabs>
              <w:rPr>
                <w:lang w:val="en-GB"/>
              </w:rPr>
            </w:pPr>
          </w:p>
        </w:tc>
      </w:tr>
      <w:tr w:rsidR="00A55CF9"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E219CC" w:rsidP="003A05E0">
            <w:pPr>
              <w:pStyle w:val="Tabletext"/>
              <w:rPr>
                <w:lang w:val="en-GB"/>
              </w:rPr>
            </w:pPr>
            <w:r>
              <w:rPr>
                <w:lang w:val="en-GB"/>
              </w:rPr>
              <w:t>Post</w:t>
            </w:r>
            <w:r w:rsidR="00A55CF9" w:rsidRPr="00B07B55">
              <w:rPr>
                <w:lang w:val="en-GB"/>
              </w:rPr>
              <w:t>graduate degree</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3A05E0">
            <w:pPr>
              <w:pStyle w:val="Tabletext"/>
              <w:tabs>
                <w:tab w:val="decimal" w:pos="369"/>
              </w:tabs>
              <w:rPr>
                <w:lang w:val="en-GB"/>
              </w:rPr>
            </w:pPr>
            <w:r w:rsidRPr="00B07B55">
              <w:rPr>
                <w:lang w:val="en-GB"/>
              </w:rPr>
              <w:t>0.277</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2.80</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0.126</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1.03</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0.283</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2.87</w:t>
            </w:r>
          </w:p>
        </w:tc>
      </w:tr>
      <w:tr w:rsidR="00A55CF9"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3A05E0">
            <w:pPr>
              <w:pStyle w:val="Tabletext"/>
              <w:rPr>
                <w:lang w:val="en-GB"/>
              </w:rPr>
            </w:pPr>
            <w:r w:rsidRPr="00B07B55">
              <w:rPr>
                <w:lang w:val="en-GB"/>
              </w:rPr>
              <w:t>Graduate certificate or diploma</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3A05E0">
            <w:pPr>
              <w:pStyle w:val="Tabletext"/>
              <w:tabs>
                <w:tab w:val="decimal" w:pos="369"/>
              </w:tabs>
              <w:rPr>
                <w:lang w:val="en-GB"/>
              </w:rPr>
            </w:pPr>
            <w:r w:rsidRPr="00B07B55">
              <w:rPr>
                <w:lang w:val="en-GB"/>
              </w:rPr>
              <w:t>0.260</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2.99</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0.220</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2.10</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0.270</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2.90</w:t>
            </w:r>
          </w:p>
        </w:tc>
      </w:tr>
      <w:tr w:rsidR="00A55CF9"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3A05E0">
            <w:pPr>
              <w:pStyle w:val="Tabletext"/>
              <w:rPr>
                <w:lang w:val="en-GB"/>
              </w:rPr>
            </w:pPr>
            <w:r w:rsidRPr="00B07B55">
              <w:rPr>
                <w:lang w:val="en-GB"/>
              </w:rPr>
              <w:t>Bachelor</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3A05E0">
            <w:pPr>
              <w:pStyle w:val="Tabletext"/>
              <w:tabs>
                <w:tab w:val="decimal" w:pos="369"/>
              </w:tabs>
              <w:rPr>
                <w:lang w:val="en-GB"/>
              </w:rPr>
            </w:pPr>
            <w:r w:rsidRPr="00B07B55">
              <w:rPr>
                <w:lang w:val="en-GB"/>
              </w:rPr>
              <w:t>0.335</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4.80</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0.224</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2.56</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0.262</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3.36</w:t>
            </w:r>
          </w:p>
        </w:tc>
      </w:tr>
      <w:tr w:rsidR="00A55CF9"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EF2740" w:rsidP="003A05E0">
            <w:pPr>
              <w:pStyle w:val="Tabletext"/>
              <w:rPr>
                <w:lang w:val="en-GB"/>
              </w:rPr>
            </w:pPr>
            <w:r>
              <w:rPr>
                <w:lang w:val="en-GB"/>
              </w:rPr>
              <w:t>Advanced diploma/</w:t>
            </w:r>
            <w:r w:rsidR="00A55CF9" w:rsidRPr="00B07B55">
              <w:rPr>
                <w:lang w:val="en-GB"/>
              </w:rPr>
              <w:t>diploma</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3A05E0">
            <w:pPr>
              <w:pStyle w:val="Tabletext"/>
              <w:tabs>
                <w:tab w:val="decimal" w:pos="369"/>
              </w:tabs>
              <w:rPr>
                <w:lang w:val="en-GB"/>
              </w:rPr>
            </w:pPr>
            <w:r w:rsidRPr="00B07B55">
              <w:rPr>
                <w:lang w:val="en-GB"/>
              </w:rPr>
              <w:t>0.260</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3.57</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0.161</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1.76</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0.222</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2.66</w:t>
            </w:r>
          </w:p>
        </w:tc>
      </w:tr>
      <w:tr w:rsidR="00A55CF9"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EF2740" w:rsidP="003A05E0">
            <w:pPr>
              <w:pStyle w:val="Tabletext"/>
              <w:rPr>
                <w:lang w:val="en-GB"/>
              </w:rPr>
            </w:pPr>
            <w:r>
              <w:rPr>
                <w:lang w:val="en-GB"/>
              </w:rPr>
              <w:t>Certificate III/</w:t>
            </w:r>
            <w:r w:rsidR="00A55CF9" w:rsidRPr="00B07B55">
              <w:rPr>
                <w:lang w:val="en-GB"/>
              </w:rPr>
              <w:t>IV</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3A05E0">
            <w:pPr>
              <w:pStyle w:val="Tabletext"/>
              <w:tabs>
                <w:tab w:val="decimal" w:pos="369"/>
              </w:tabs>
              <w:rPr>
                <w:lang w:val="en-GB"/>
              </w:rPr>
            </w:pPr>
            <w:r w:rsidRPr="00B07B55">
              <w:rPr>
                <w:lang w:val="en-GB"/>
              </w:rPr>
              <w:t>0.248</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4.20</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0.192</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2.52</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0.178</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2.66</w:t>
            </w:r>
          </w:p>
        </w:tc>
      </w:tr>
      <w:tr w:rsidR="00A55CF9"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EF2740" w:rsidP="003A05E0">
            <w:pPr>
              <w:pStyle w:val="Tabletext"/>
              <w:rPr>
                <w:lang w:val="en-GB"/>
              </w:rPr>
            </w:pPr>
            <w:r>
              <w:rPr>
                <w:lang w:val="en-GB"/>
              </w:rPr>
              <w:t>Certificate I/</w:t>
            </w:r>
            <w:r w:rsidR="00A55CF9" w:rsidRPr="00B07B55">
              <w:rPr>
                <w:lang w:val="en-GB"/>
              </w:rPr>
              <w:t>II</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3A05E0">
            <w:pPr>
              <w:pStyle w:val="Tabletext"/>
              <w:tabs>
                <w:tab w:val="decimal" w:pos="369"/>
              </w:tabs>
              <w:rPr>
                <w:lang w:val="en-GB"/>
              </w:rPr>
            </w:pPr>
            <w:r w:rsidRPr="00B07B55">
              <w:rPr>
                <w:lang w:val="en-GB"/>
              </w:rPr>
              <w:t>0.321</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2.34</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0.26</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1.73</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0.201</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1.35</w:t>
            </w:r>
          </w:p>
        </w:tc>
      </w:tr>
      <w:tr w:rsidR="00A55CF9"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3A05E0">
            <w:pPr>
              <w:pStyle w:val="Tabletext"/>
              <w:rPr>
                <w:lang w:val="en-GB"/>
              </w:rPr>
            </w:pPr>
            <w:r w:rsidRPr="00B07B55">
              <w:rPr>
                <w:lang w:val="en-GB"/>
              </w:rPr>
              <w:t>Certificate not defined</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3A05E0">
            <w:pPr>
              <w:pStyle w:val="Tabletext"/>
              <w:tabs>
                <w:tab w:val="decimal" w:pos="369"/>
              </w:tabs>
              <w:rPr>
                <w:lang w:val="en-GB"/>
              </w:rPr>
            </w:pPr>
            <w:r w:rsidRPr="00B07B55">
              <w:rPr>
                <w:lang w:val="en-GB"/>
              </w:rPr>
              <w:t>0.211</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0.70</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0.733</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51.55</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0.138</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0.40</w:t>
            </w:r>
          </w:p>
        </w:tc>
      </w:tr>
      <w:tr w:rsidR="00A55CF9"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3A05E0">
            <w:pPr>
              <w:pStyle w:val="Tabletext"/>
              <w:rPr>
                <w:lang w:val="en-GB"/>
              </w:rPr>
            </w:pPr>
            <w:r w:rsidRPr="00B07B55">
              <w:rPr>
                <w:lang w:val="en-GB"/>
              </w:rPr>
              <w:t>Year 12</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3A05E0">
            <w:pPr>
              <w:pStyle w:val="Tabletext"/>
              <w:tabs>
                <w:tab w:val="decimal" w:pos="369"/>
              </w:tabs>
              <w:rPr>
                <w:lang w:val="en-GB"/>
              </w:rPr>
            </w:pPr>
            <w:r w:rsidRPr="00B07B55">
              <w:rPr>
                <w:lang w:val="en-GB"/>
              </w:rPr>
              <w:t>0.214</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2.99</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0.157</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1.77</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0.145</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1.87</w:t>
            </w:r>
          </w:p>
        </w:tc>
      </w:tr>
      <w:tr w:rsidR="00A55CF9"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3A05E0">
            <w:pPr>
              <w:pStyle w:val="Tabletext"/>
              <w:rPr>
                <w:lang w:val="en-GB"/>
              </w:rPr>
            </w:pPr>
            <w:r w:rsidRPr="00B07B55">
              <w:rPr>
                <w:lang w:val="en-GB"/>
              </w:rPr>
              <w:t>Year 10 or 11</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3A05E0">
            <w:pPr>
              <w:pStyle w:val="Tabletext"/>
              <w:tabs>
                <w:tab w:val="decimal" w:pos="369"/>
              </w:tabs>
              <w:rPr>
                <w:lang w:val="en-GB"/>
              </w:rPr>
            </w:pPr>
            <w:r w:rsidRPr="00B07B55">
              <w:rPr>
                <w:lang w:val="en-GB"/>
              </w:rPr>
              <w:t>0.114</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1.86</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0.0798</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1.02</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0.0409</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0.62</w:t>
            </w:r>
          </w:p>
        </w:tc>
      </w:tr>
      <w:tr w:rsidR="0048461D"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48461D" w:rsidRPr="009B641C" w:rsidRDefault="0048461D" w:rsidP="003A05E0">
            <w:pPr>
              <w:pStyle w:val="Tabletext"/>
              <w:rPr>
                <w:b/>
                <w:lang w:val="en-GB"/>
              </w:rPr>
            </w:pPr>
            <w:r w:rsidRPr="009B641C">
              <w:rPr>
                <w:b/>
                <w:lang w:val="en-GB"/>
              </w:rPr>
              <w:t>Reference category: non-immigrant</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r>
      <w:tr w:rsidR="00A55CF9"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3A05E0">
            <w:pPr>
              <w:pStyle w:val="Tabletext"/>
              <w:rPr>
                <w:lang w:val="en-GB"/>
              </w:rPr>
            </w:pPr>
            <w:r w:rsidRPr="00B07B55">
              <w:rPr>
                <w:lang w:val="en-GB"/>
              </w:rPr>
              <w:t>Immigrant, English speaking</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3A05E0">
            <w:pPr>
              <w:pStyle w:val="Tabletext"/>
              <w:tabs>
                <w:tab w:val="decimal" w:pos="369"/>
              </w:tabs>
              <w:rPr>
                <w:lang w:val="en-GB"/>
              </w:rPr>
            </w:pPr>
            <w:r w:rsidRPr="00B07B55">
              <w:rPr>
                <w:lang w:val="en-GB"/>
              </w:rPr>
              <w:t>-0.0201</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-0.58</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-0.0401</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-0.88</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-0.0233</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-0.62</w:t>
            </w:r>
          </w:p>
        </w:tc>
      </w:tr>
      <w:tr w:rsidR="00A55CF9"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3A05E0">
            <w:pPr>
              <w:pStyle w:val="Tabletext"/>
              <w:rPr>
                <w:lang w:val="en-GB"/>
              </w:rPr>
            </w:pPr>
            <w:r w:rsidRPr="00B07B55">
              <w:rPr>
                <w:lang w:val="en-GB"/>
              </w:rPr>
              <w:t>Immigrant, non-English speaking</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3A05E0">
            <w:pPr>
              <w:pStyle w:val="Tabletext"/>
              <w:tabs>
                <w:tab w:val="decimal" w:pos="369"/>
              </w:tabs>
              <w:rPr>
                <w:lang w:val="en-GB"/>
              </w:rPr>
            </w:pPr>
            <w:r w:rsidRPr="00B07B55">
              <w:rPr>
                <w:lang w:val="en-GB"/>
              </w:rPr>
              <w:t>-0.00844</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-0.21</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0.0183</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0.34</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0.0585</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1.22</w:t>
            </w:r>
          </w:p>
        </w:tc>
      </w:tr>
      <w:tr w:rsidR="003A05E0"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3A05E0" w:rsidRPr="009B641C" w:rsidRDefault="003A05E0" w:rsidP="003A05E0">
            <w:pPr>
              <w:pStyle w:val="Tabletext"/>
              <w:rPr>
                <w:b/>
                <w:lang w:val="en-GB"/>
              </w:rPr>
            </w:pPr>
            <w:r w:rsidRPr="009B641C">
              <w:rPr>
                <w:b/>
                <w:lang w:val="en-GB"/>
              </w:rPr>
              <w:t>Reference category: father job status –</w:t>
            </w:r>
            <w:r w:rsidRPr="009B641C">
              <w:rPr>
                <w:b/>
                <w:lang w:val="en-GB"/>
              </w:rPr>
              <w:br/>
              <w:t>fourth quartile</w:t>
            </w:r>
          </w:p>
        </w:tc>
        <w:tc>
          <w:tcPr>
            <w:tcW w:w="643" w:type="pct"/>
            <w:tcBorders>
              <w:top w:val="nil"/>
              <w:left w:val="nil"/>
              <w:bottom w:val="nil"/>
              <w:right w:val="nil"/>
            </w:tcBorders>
            <w:shd w:val="clear" w:color="auto" w:fill="auto"/>
          </w:tcPr>
          <w:p w:rsidR="003A05E0" w:rsidRPr="003A05E0" w:rsidRDefault="003A05E0" w:rsidP="003A05E0">
            <w:pPr>
              <w:pStyle w:val="Tabletext"/>
              <w:tabs>
                <w:tab w:val="decimal" w:pos="369"/>
              </w:tabs>
              <w:rPr>
                <w:i/>
                <w:lang w:val="en-GB"/>
              </w:rPr>
            </w:pPr>
          </w:p>
        </w:tc>
        <w:tc>
          <w:tcPr>
            <w:tcW w:w="429" w:type="pct"/>
            <w:tcBorders>
              <w:top w:val="nil"/>
              <w:left w:val="nil"/>
              <w:bottom w:val="nil"/>
              <w:right w:val="nil"/>
            </w:tcBorders>
            <w:shd w:val="clear" w:color="auto" w:fill="auto"/>
            <w:tcMar>
              <w:top w:w="17" w:type="dxa"/>
              <w:left w:w="17" w:type="dxa"/>
              <w:bottom w:w="0" w:type="dxa"/>
              <w:right w:w="17" w:type="dxa"/>
            </w:tcMar>
            <w:hideMark/>
          </w:tcPr>
          <w:p w:rsidR="003A05E0" w:rsidRPr="00B07B55" w:rsidRDefault="003A05E0" w:rsidP="00694318">
            <w:pPr>
              <w:pStyle w:val="Tabletext"/>
              <w:tabs>
                <w:tab w:val="decimal" w:pos="312"/>
              </w:tabs>
              <w:rPr>
                <w:lang w:val="en-GB"/>
              </w:rPr>
            </w:pPr>
          </w:p>
        </w:tc>
        <w:tc>
          <w:tcPr>
            <w:tcW w:w="643" w:type="pct"/>
            <w:tcBorders>
              <w:top w:val="nil"/>
              <w:left w:val="nil"/>
              <w:bottom w:val="nil"/>
              <w:right w:val="nil"/>
            </w:tcBorders>
            <w:shd w:val="clear" w:color="auto" w:fill="auto"/>
            <w:tcMar>
              <w:top w:w="17" w:type="dxa"/>
              <w:left w:w="17" w:type="dxa"/>
              <w:bottom w:w="0" w:type="dxa"/>
              <w:right w:w="17" w:type="dxa"/>
            </w:tcMar>
            <w:hideMark/>
          </w:tcPr>
          <w:p w:rsidR="003A05E0" w:rsidRPr="00B07B55" w:rsidRDefault="003A05E0" w:rsidP="00694318">
            <w:pPr>
              <w:pStyle w:val="Tabletext"/>
              <w:tabs>
                <w:tab w:val="decimal" w:pos="369"/>
              </w:tabs>
              <w:rPr>
                <w:lang w:val="en-GB"/>
              </w:rPr>
            </w:pPr>
          </w:p>
        </w:tc>
        <w:tc>
          <w:tcPr>
            <w:tcW w:w="430" w:type="pct"/>
            <w:tcBorders>
              <w:top w:val="nil"/>
              <w:left w:val="nil"/>
              <w:bottom w:val="nil"/>
              <w:right w:val="nil"/>
            </w:tcBorders>
            <w:shd w:val="clear" w:color="auto" w:fill="auto"/>
            <w:tcMar>
              <w:top w:w="17" w:type="dxa"/>
              <w:left w:w="17" w:type="dxa"/>
              <w:bottom w:w="0" w:type="dxa"/>
              <w:right w:w="17" w:type="dxa"/>
            </w:tcMar>
            <w:hideMark/>
          </w:tcPr>
          <w:p w:rsidR="003A05E0" w:rsidRPr="00B07B55" w:rsidRDefault="003A05E0" w:rsidP="00694318">
            <w:pPr>
              <w:pStyle w:val="Tabletext"/>
              <w:tabs>
                <w:tab w:val="decimal" w:pos="312"/>
              </w:tabs>
              <w:rPr>
                <w:lang w:val="en-GB"/>
              </w:rPr>
            </w:pPr>
          </w:p>
        </w:tc>
        <w:tc>
          <w:tcPr>
            <w:tcW w:w="641" w:type="pct"/>
            <w:tcBorders>
              <w:top w:val="nil"/>
              <w:left w:val="nil"/>
              <w:bottom w:val="nil"/>
              <w:right w:val="nil"/>
            </w:tcBorders>
            <w:shd w:val="clear" w:color="auto" w:fill="auto"/>
            <w:tcMar>
              <w:top w:w="17" w:type="dxa"/>
              <w:left w:w="17" w:type="dxa"/>
              <w:bottom w:w="0" w:type="dxa"/>
              <w:right w:w="17" w:type="dxa"/>
            </w:tcMar>
            <w:hideMark/>
          </w:tcPr>
          <w:p w:rsidR="003A05E0" w:rsidRPr="00B07B55" w:rsidRDefault="003A05E0" w:rsidP="00694318">
            <w:pPr>
              <w:pStyle w:val="Tabletext"/>
              <w:tabs>
                <w:tab w:val="decimal" w:pos="369"/>
              </w:tabs>
              <w:rPr>
                <w:lang w:val="en-GB"/>
              </w:rPr>
            </w:pPr>
          </w:p>
        </w:tc>
        <w:tc>
          <w:tcPr>
            <w:tcW w:w="428" w:type="pct"/>
            <w:tcBorders>
              <w:top w:val="nil"/>
              <w:left w:val="nil"/>
              <w:bottom w:val="nil"/>
              <w:right w:val="nil"/>
            </w:tcBorders>
            <w:shd w:val="clear" w:color="auto" w:fill="auto"/>
            <w:tcMar>
              <w:top w:w="17" w:type="dxa"/>
              <w:left w:w="17" w:type="dxa"/>
              <w:bottom w:w="0" w:type="dxa"/>
              <w:right w:w="17" w:type="dxa"/>
            </w:tcMar>
            <w:hideMark/>
          </w:tcPr>
          <w:p w:rsidR="003A05E0" w:rsidRPr="00B07B55" w:rsidRDefault="003A05E0" w:rsidP="00694318">
            <w:pPr>
              <w:pStyle w:val="Tabletext"/>
              <w:tabs>
                <w:tab w:val="decimal" w:pos="312"/>
              </w:tabs>
              <w:rPr>
                <w:lang w:val="en-GB"/>
              </w:rPr>
            </w:pPr>
          </w:p>
        </w:tc>
      </w:tr>
      <w:tr w:rsidR="00A55CF9"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EF2740" w:rsidP="003A05E0">
            <w:pPr>
              <w:pStyle w:val="Tabletext"/>
              <w:rPr>
                <w:lang w:val="en-GB"/>
              </w:rPr>
            </w:pPr>
            <w:r>
              <w:rPr>
                <w:lang w:val="en-GB"/>
              </w:rPr>
              <w:t>Father job status –</w:t>
            </w:r>
            <w:r w:rsidR="00A55CF9" w:rsidRPr="00B07B55">
              <w:rPr>
                <w:lang w:val="en-GB"/>
              </w:rPr>
              <w:t xml:space="preserve"> first quartile</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3A05E0">
            <w:pPr>
              <w:pStyle w:val="Tabletext"/>
              <w:tabs>
                <w:tab w:val="decimal" w:pos="369"/>
              </w:tabs>
              <w:rPr>
                <w:lang w:val="en-GB"/>
              </w:rPr>
            </w:pPr>
            <w:r w:rsidRPr="00B07B55">
              <w:rPr>
                <w:lang w:val="en-GB"/>
              </w:rPr>
              <w:t>-0.0121</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-0.35</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-0.0352</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-0.79</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-0.0168</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-0.45</w:t>
            </w:r>
          </w:p>
        </w:tc>
      </w:tr>
      <w:tr w:rsidR="00A55CF9"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EF2740" w:rsidP="003A05E0">
            <w:pPr>
              <w:pStyle w:val="Tabletext"/>
              <w:rPr>
                <w:lang w:val="en-GB"/>
              </w:rPr>
            </w:pPr>
            <w:r>
              <w:rPr>
                <w:lang w:val="en-GB"/>
              </w:rPr>
              <w:t>Father job status –</w:t>
            </w:r>
            <w:r w:rsidR="00A55CF9" w:rsidRPr="00B07B55">
              <w:rPr>
                <w:lang w:val="en-GB"/>
              </w:rPr>
              <w:t xml:space="preserve"> second quartile</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3A05E0">
            <w:pPr>
              <w:pStyle w:val="Tabletext"/>
              <w:tabs>
                <w:tab w:val="decimal" w:pos="369"/>
              </w:tabs>
              <w:rPr>
                <w:lang w:val="en-GB"/>
              </w:rPr>
            </w:pPr>
            <w:r w:rsidRPr="00B07B55">
              <w:rPr>
                <w:lang w:val="en-GB"/>
              </w:rPr>
              <w:t>-0.0174</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-0.50</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-0.0302</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-0.66</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-0.00598</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-0.16</w:t>
            </w:r>
          </w:p>
        </w:tc>
      </w:tr>
      <w:tr w:rsidR="00A55CF9"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EF2740" w:rsidP="003A05E0">
            <w:pPr>
              <w:pStyle w:val="Tabletext"/>
              <w:rPr>
                <w:lang w:val="en-GB"/>
              </w:rPr>
            </w:pPr>
            <w:r>
              <w:rPr>
                <w:lang w:val="en-GB"/>
              </w:rPr>
              <w:t>Father job status –</w:t>
            </w:r>
            <w:r w:rsidR="00A55CF9" w:rsidRPr="00B07B55">
              <w:rPr>
                <w:lang w:val="en-GB"/>
              </w:rPr>
              <w:t xml:space="preserve"> third quartile</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3A05E0">
            <w:pPr>
              <w:pStyle w:val="Tabletext"/>
              <w:tabs>
                <w:tab w:val="decimal" w:pos="369"/>
              </w:tabs>
              <w:rPr>
                <w:lang w:val="en-GB"/>
              </w:rPr>
            </w:pPr>
            <w:r w:rsidRPr="00B07B55">
              <w:rPr>
                <w:lang w:val="en-GB"/>
              </w:rPr>
              <w:t>-0.00406</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-0.12</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-0.00258</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-0.06</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69"/>
              </w:tabs>
              <w:rPr>
                <w:lang w:val="en-GB"/>
              </w:rPr>
            </w:pPr>
            <w:r w:rsidRPr="00B07B55">
              <w:rPr>
                <w:lang w:val="en-GB"/>
              </w:rPr>
              <w:t>-0.0192</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694318">
            <w:pPr>
              <w:pStyle w:val="Tabletext"/>
              <w:tabs>
                <w:tab w:val="decimal" w:pos="312"/>
              </w:tabs>
              <w:rPr>
                <w:lang w:val="en-GB"/>
              </w:rPr>
            </w:pPr>
            <w:r w:rsidRPr="00B07B55">
              <w:rPr>
                <w:lang w:val="en-GB"/>
              </w:rPr>
              <w:t>-0.57</w:t>
            </w:r>
          </w:p>
        </w:tc>
      </w:tr>
      <w:tr w:rsidR="003A05E0"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3A05E0" w:rsidRPr="009B641C" w:rsidRDefault="003A05E0" w:rsidP="003A05E0">
            <w:pPr>
              <w:pStyle w:val="Tabletext"/>
              <w:rPr>
                <w:b/>
                <w:lang w:val="en-GB"/>
              </w:rPr>
            </w:pPr>
            <w:r w:rsidRPr="009B641C">
              <w:rPr>
                <w:b/>
                <w:lang w:val="en-GB"/>
              </w:rPr>
              <w:t>Reference category: mother job status –</w:t>
            </w:r>
            <w:r w:rsidRPr="009B641C">
              <w:rPr>
                <w:b/>
                <w:lang w:val="en-GB"/>
              </w:rPr>
              <w:br/>
              <w:t>fourth quartile</w:t>
            </w:r>
          </w:p>
        </w:tc>
        <w:tc>
          <w:tcPr>
            <w:tcW w:w="643" w:type="pct"/>
            <w:tcBorders>
              <w:top w:val="nil"/>
              <w:left w:val="nil"/>
              <w:bottom w:val="nil"/>
              <w:right w:val="nil"/>
            </w:tcBorders>
            <w:shd w:val="clear" w:color="auto" w:fill="auto"/>
          </w:tcPr>
          <w:p w:rsidR="003A05E0" w:rsidRPr="003A05E0" w:rsidRDefault="003A05E0" w:rsidP="003A05E0">
            <w:pPr>
              <w:pStyle w:val="Tabletext"/>
              <w:tabs>
                <w:tab w:val="decimal" w:pos="369"/>
              </w:tabs>
              <w:rPr>
                <w:i/>
                <w:lang w:val="en-GB"/>
              </w:rPr>
            </w:pPr>
          </w:p>
        </w:tc>
        <w:tc>
          <w:tcPr>
            <w:tcW w:w="429" w:type="pct"/>
            <w:tcBorders>
              <w:top w:val="nil"/>
              <w:left w:val="nil"/>
              <w:bottom w:val="nil"/>
              <w:right w:val="nil"/>
            </w:tcBorders>
            <w:shd w:val="clear" w:color="auto" w:fill="auto"/>
            <w:tcMar>
              <w:top w:w="17" w:type="dxa"/>
              <w:left w:w="17" w:type="dxa"/>
              <w:bottom w:w="0" w:type="dxa"/>
              <w:right w:w="17" w:type="dxa"/>
            </w:tcMar>
            <w:hideMark/>
          </w:tcPr>
          <w:p w:rsidR="003A05E0" w:rsidRPr="00B07B55" w:rsidRDefault="003A05E0" w:rsidP="00694318">
            <w:pPr>
              <w:pStyle w:val="Tabletext"/>
              <w:tabs>
                <w:tab w:val="decimal" w:pos="312"/>
              </w:tabs>
              <w:rPr>
                <w:lang w:val="en-GB"/>
              </w:rPr>
            </w:pPr>
          </w:p>
        </w:tc>
        <w:tc>
          <w:tcPr>
            <w:tcW w:w="643" w:type="pct"/>
            <w:tcBorders>
              <w:top w:val="nil"/>
              <w:left w:val="nil"/>
              <w:bottom w:val="nil"/>
              <w:right w:val="nil"/>
            </w:tcBorders>
            <w:shd w:val="clear" w:color="auto" w:fill="auto"/>
            <w:tcMar>
              <w:top w:w="17" w:type="dxa"/>
              <w:left w:w="17" w:type="dxa"/>
              <w:bottom w:w="0" w:type="dxa"/>
              <w:right w:w="17" w:type="dxa"/>
            </w:tcMar>
            <w:hideMark/>
          </w:tcPr>
          <w:p w:rsidR="003A05E0" w:rsidRPr="00B07B55" w:rsidRDefault="003A05E0" w:rsidP="00694318">
            <w:pPr>
              <w:pStyle w:val="Tabletext"/>
              <w:tabs>
                <w:tab w:val="decimal" w:pos="369"/>
              </w:tabs>
              <w:rPr>
                <w:lang w:val="en-GB"/>
              </w:rPr>
            </w:pPr>
          </w:p>
        </w:tc>
        <w:tc>
          <w:tcPr>
            <w:tcW w:w="430" w:type="pct"/>
            <w:tcBorders>
              <w:top w:val="nil"/>
              <w:left w:val="nil"/>
              <w:bottom w:val="nil"/>
              <w:right w:val="nil"/>
            </w:tcBorders>
            <w:shd w:val="clear" w:color="auto" w:fill="auto"/>
            <w:tcMar>
              <w:top w:w="17" w:type="dxa"/>
              <w:left w:w="17" w:type="dxa"/>
              <w:bottom w:w="0" w:type="dxa"/>
              <w:right w:w="17" w:type="dxa"/>
            </w:tcMar>
            <w:hideMark/>
          </w:tcPr>
          <w:p w:rsidR="003A05E0" w:rsidRPr="00B07B55" w:rsidRDefault="003A05E0" w:rsidP="00694318">
            <w:pPr>
              <w:pStyle w:val="Tabletext"/>
              <w:tabs>
                <w:tab w:val="decimal" w:pos="312"/>
              </w:tabs>
              <w:rPr>
                <w:lang w:val="en-GB"/>
              </w:rPr>
            </w:pPr>
          </w:p>
        </w:tc>
        <w:tc>
          <w:tcPr>
            <w:tcW w:w="641" w:type="pct"/>
            <w:tcBorders>
              <w:top w:val="nil"/>
              <w:left w:val="nil"/>
              <w:bottom w:val="nil"/>
              <w:right w:val="nil"/>
            </w:tcBorders>
            <w:shd w:val="clear" w:color="auto" w:fill="auto"/>
            <w:tcMar>
              <w:top w:w="17" w:type="dxa"/>
              <w:left w:w="17" w:type="dxa"/>
              <w:bottom w:w="0" w:type="dxa"/>
              <w:right w:w="17" w:type="dxa"/>
            </w:tcMar>
            <w:hideMark/>
          </w:tcPr>
          <w:p w:rsidR="003A05E0" w:rsidRPr="00B07B55" w:rsidRDefault="003A05E0" w:rsidP="00694318">
            <w:pPr>
              <w:pStyle w:val="Tabletext"/>
              <w:tabs>
                <w:tab w:val="decimal" w:pos="369"/>
              </w:tabs>
              <w:rPr>
                <w:lang w:val="en-GB"/>
              </w:rPr>
            </w:pPr>
          </w:p>
        </w:tc>
        <w:tc>
          <w:tcPr>
            <w:tcW w:w="428" w:type="pct"/>
            <w:tcBorders>
              <w:top w:val="nil"/>
              <w:left w:val="nil"/>
              <w:bottom w:val="nil"/>
              <w:right w:val="nil"/>
            </w:tcBorders>
            <w:shd w:val="clear" w:color="auto" w:fill="auto"/>
            <w:tcMar>
              <w:top w:w="17" w:type="dxa"/>
              <w:left w:w="17" w:type="dxa"/>
              <w:bottom w:w="0" w:type="dxa"/>
              <w:right w:w="17" w:type="dxa"/>
            </w:tcMar>
            <w:hideMark/>
          </w:tcPr>
          <w:p w:rsidR="003A05E0" w:rsidRPr="00B07B55" w:rsidRDefault="003A05E0" w:rsidP="00694318">
            <w:pPr>
              <w:pStyle w:val="Tabletext"/>
              <w:tabs>
                <w:tab w:val="decimal" w:pos="312"/>
              </w:tabs>
              <w:rPr>
                <w:lang w:val="en-GB"/>
              </w:rPr>
            </w:pPr>
          </w:p>
        </w:tc>
      </w:tr>
      <w:tr w:rsidR="0048461D"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EF2740" w:rsidP="003A05E0">
            <w:pPr>
              <w:pStyle w:val="Tabletext"/>
              <w:rPr>
                <w:lang w:val="en-GB"/>
              </w:rPr>
            </w:pPr>
            <w:r>
              <w:rPr>
                <w:lang w:val="en-GB"/>
              </w:rPr>
              <w:t>Mother job status –</w:t>
            </w:r>
            <w:r w:rsidR="0048461D" w:rsidRPr="00B07B55">
              <w:rPr>
                <w:lang w:val="en-GB"/>
              </w:rPr>
              <w:t xml:space="preserve"> first quartile</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-0.0135</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-0.39</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r w:rsidRPr="00B07B55">
              <w:rPr>
                <w:lang w:val="en-GB"/>
              </w:rPr>
              <w:t>-0.031</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-0.70</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r w:rsidRPr="00B07B55">
              <w:rPr>
                <w:lang w:val="en-GB"/>
              </w:rPr>
              <w:t>-0.0408</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-1.13</w:t>
            </w:r>
          </w:p>
        </w:tc>
      </w:tr>
      <w:tr w:rsidR="0048461D"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EF2740" w:rsidP="003A05E0">
            <w:pPr>
              <w:pStyle w:val="Tabletext"/>
              <w:rPr>
                <w:lang w:val="en-GB"/>
              </w:rPr>
            </w:pPr>
            <w:r>
              <w:rPr>
                <w:lang w:val="en-GB"/>
              </w:rPr>
              <w:t>Mother job status –</w:t>
            </w:r>
            <w:r w:rsidR="0048461D" w:rsidRPr="00B07B55">
              <w:rPr>
                <w:lang w:val="en-GB"/>
              </w:rPr>
              <w:t xml:space="preserve"> second quartile</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0.00607</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0.18</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r w:rsidRPr="00B07B55">
              <w:rPr>
                <w:lang w:val="en-GB"/>
              </w:rPr>
              <w:t>0.0165</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0.38</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r w:rsidRPr="00B07B55">
              <w:rPr>
                <w:lang w:val="en-GB"/>
              </w:rPr>
              <w:t>0.0244</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0.66</w:t>
            </w:r>
          </w:p>
        </w:tc>
      </w:tr>
      <w:tr w:rsidR="0048461D"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EF2740" w:rsidP="003A05E0">
            <w:pPr>
              <w:pStyle w:val="Tabletext"/>
              <w:rPr>
                <w:lang w:val="en-GB"/>
              </w:rPr>
            </w:pPr>
            <w:r>
              <w:rPr>
                <w:lang w:val="en-GB"/>
              </w:rPr>
              <w:t>Mother job status –</w:t>
            </w:r>
            <w:r w:rsidR="0048461D" w:rsidRPr="00B07B55">
              <w:rPr>
                <w:lang w:val="en-GB"/>
              </w:rPr>
              <w:t xml:space="preserve"> third quartile</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-0.0285</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-0.95</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r w:rsidRPr="00B07B55">
              <w:rPr>
                <w:lang w:val="en-GB"/>
              </w:rPr>
              <w:t>-0.0441</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-1.13</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r w:rsidRPr="00B07B55">
              <w:rPr>
                <w:lang w:val="en-GB"/>
              </w:rPr>
              <w:t>-0.0288</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-0.90</w:t>
            </w:r>
          </w:p>
        </w:tc>
      </w:tr>
      <w:tr w:rsidR="0048461D" w:rsidRPr="00B07B55" w:rsidTr="009B641C">
        <w:tc>
          <w:tcPr>
            <w:tcW w:w="1786" w:type="pct"/>
            <w:tcBorders>
              <w:top w:val="nil"/>
              <w:left w:val="nil"/>
              <w:bottom w:val="nil"/>
              <w:right w:val="nil"/>
            </w:tcBorders>
            <w:shd w:val="clear" w:color="auto" w:fill="auto"/>
            <w:tcMar>
              <w:top w:w="17" w:type="dxa"/>
              <w:left w:w="17" w:type="dxa"/>
              <w:bottom w:w="0" w:type="dxa"/>
              <w:right w:w="17" w:type="dxa"/>
            </w:tcMar>
            <w:hideMark/>
          </w:tcPr>
          <w:p w:rsidR="0048461D" w:rsidRPr="009B641C" w:rsidRDefault="0048461D" w:rsidP="003A05E0">
            <w:pPr>
              <w:pStyle w:val="Tabletext"/>
              <w:rPr>
                <w:b/>
                <w:lang w:val="en-GB"/>
              </w:rPr>
            </w:pPr>
            <w:r w:rsidRPr="009B641C">
              <w:rPr>
                <w:b/>
                <w:lang w:val="en-GB"/>
              </w:rPr>
              <w:t>Reference category: married</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r>
      <w:tr w:rsidR="0048461D" w:rsidRPr="00B07B55" w:rsidTr="009B641C">
        <w:tc>
          <w:tcPr>
            <w:tcW w:w="1786"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rPr>
                <w:lang w:val="en-GB"/>
              </w:rPr>
            </w:pPr>
            <w:r w:rsidRPr="00B07B55">
              <w:rPr>
                <w:lang w:val="en-GB"/>
              </w:rPr>
              <w:t>De facto</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-0.0161</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-0.45</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r w:rsidRPr="00B07B55">
              <w:rPr>
                <w:lang w:val="en-GB"/>
              </w:rPr>
              <w:t>-0.0243</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-0.54</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r w:rsidRPr="00B07B55">
              <w:rPr>
                <w:lang w:val="en-GB"/>
              </w:rPr>
              <w:t>-0.0262</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-0.68</w:t>
            </w:r>
          </w:p>
        </w:tc>
      </w:tr>
      <w:tr w:rsidR="0048461D" w:rsidRPr="00B07B55" w:rsidTr="009B641C">
        <w:tc>
          <w:tcPr>
            <w:tcW w:w="1786"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rPr>
                <w:lang w:val="en-GB"/>
              </w:rPr>
            </w:pPr>
            <w:r w:rsidRPr="00B07B55">
              <w:rPr>
                <w:lang w:val="en-GB"/>
              </w:rPr>
              <w:t>Separated</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-0.00063</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-0.01</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r w:rsidRPr="00B07B55">
              <w:rPr>
                <w:lang w:val="en-GB"/>
              </w:rPr>
              <w:t>0.0434</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0.49</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r w:rsidRPr="00B07B55">
              <w:rPr>
                <w:lang w:val="en-GB"/>
              </w:rPr>
              <w:t>0.0471</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0.62</w:t>
            </w:r>
          </w:p>
        </w:tc>
      </w:tr>
      <w:tr w:rsidR="0048461D" w:rsidRPr="00B07B55" w:rsidTr="009B641C">
        <w:tc>
          <w:tcPr>
            <w:tcW w:w="1786" w:type="pct"/>
            <w:tcBorders>
              <w:top w:val="nil"/>
              <w:left w:val="nil"/>
              <w:bottom w:val="nil"/>
              <w:right w:val="nil"/>
            </w:tcBorders>
            <w:shd w:val="clear" w:color="auto" w:fill="auto"/>
            <w:tcMar>
              <w:top w:w="15" w:type="dxa"/>
              <w:left w:w="17" w:type="dxa"/>
              <w:bottom w:w="0" w:type="dxa"/>
              <w:right w:w="17" w:type="dxa"/>
            </w:tcMar>
            <w:hideMark/>
          </w:tcPr>
          <w:p w:rsidR="0048461D" w:rsidRPr="00B07B55" w:rsidRDefault="0048461D" w:rsidP="003A05E0">
            <w:pPr>
              <w:pStyle w:val="Tabletext"/>
              <w:rPr>
                <w:lang w:val="en-GB"/>
              </w:rPr>
            </w:pPr>
            <w:r w:rsidRPr="00B07B55">
              <w:rPr>
                <w:lang w:val="en-GB"/>
              </w:rPr>
              <w:t>Divorced</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0.0555</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0.95</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r w:rsidRPr="00B07B55">
              <w:rPr>
                <w:lang w:val="en-GB"/>
              </w:rPr>
              <w:t>0.0582</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0.74</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r w:rsidRPr="00B07B55">
              <w:rPr>
                <w:lang w:val="en-GB"/>
              </w:rPr>
              <w:t>0.0375</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0.57</w:t>
            </w:r>
          </w:p>
        </w:tc>
      </w:tr>
      <w:tr w:rsidR="0048461D" w:rsidRPr="00B07B55" w:rsidTr="009B641C">
        <w:tc>
          <w:tcPr>
            <w:tcW w:w="1786" w:type="pct"/>
            <w:tcBorders>
              <w:top w:val="nil"/>
              <w:left w:val="nil"/>
              <w:bottom w:val="nil"/>
              <w:right w:val="nil"/>
            </w:tcBorders>
            <w:shd w:val="clear" w:color="auto" w:fill="auto"/>
            <w:tcMar>
              <w:top w:w="15" w:type="dxa"/>
              <w:left w:w="17" w:type="dxa"/>
              <w:bottom w:w="0" w:type="dxa"/>
              <w:right w:w="17" w:type="dxa"/>
            </w:tcMar>
            <w:hideMark/>
          </w:tcPr>
          <w:p w:rsidR="0048461D" w:rsidRPr="00B07B55" w:rsidRDefault="0048461D" w:rsidP="003A05E0">
            <w:pPr>
              <w:pStyle w:val="Tabletext"/>
              <w:rPr>
                <w:lang w:val="en-GB"/>
              </w:rPr>
            </w:pPr>
            <w:r w:rsidRPr="00B07B55">
              <w:rPr>
                <w:lang w:val="en-GB"/>
              </w:rPr>
              <w:t>Never married</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0.0322</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0.80</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r w:rsidRPr="00B07B55">
              <w:rPr>
                <w:lang w:val="en-GB"/>
              </w:rPr>
              <w:t>0.0563</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1.07</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r w:rsidRPr="00B07B55">
              <w:rPr>
                <w:lang w:val="en-GB"/>
              </w:rPr>
              <w:t>0.078</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1.65</w:t>
            </w:r>
          </w:p>
        </w:tc>
      </w:tr>
      <w:tr w:rsidR="0048461D"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rPr>
                <w:lang w:val="en-GB"/>
              </w:rPr>
            </w:pPr>
            <w:r w:rsidRPr="00B07B55">
              <w:rPr>
                <w:lang w:val="en-GB"/>
              </w:rPr>
              <w:t>Number of dependent children</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-0.00547</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-0.49</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r w:rsidRPr="00B07B55">
              <w:rPr>
                <w:lang w:val="en-GB"/>
              </w:rPr>
              <w:t>-0.0134</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-0.94</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r w:rsidRPr="00B07B55">
              <w:rPr>
                <w:lang w:val="en-GB"/>
              </w:rPr>
              <w:t>0.000733</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0.06</w:t>
            </w:r>
          </w:p>
        </w:tc>
      </w:tr>
      <w:tr w:rsidR="0048461D" w:rsidRPr="00B07B55" w:rsidTr="009B641C">
        <w:tc>
          <w:tcPr>
            <w:tcW w:w="1786" w:type="pct"/>
            <w:tcBorders>
              <w:top w:val="nil"/>
              <w:left w:val="nil"/>
              <w:bottom w:val="nil"/>
              <w:right w:val="nil"/>
            </w:tcBorders>
            <w:shd w:val="clear" w:color="auto" w:fill="auto"/>
            <w:noWrap/>
            <w:tcMar>
              <w:top w:w="15" w:type="dxa"/>
              <w:left w:w="17" w:type="dxa"/>
              <w:bottom w:w="0" w:type="dxa"/>
              <w:right w:w="17" w:type="dxa"/>
            </w:tcMar>
            <w:hideMark/>
          </w:tcPr>
          <w:p w:rsidR="0048461D" w:rsidRPr="00B07B55" w:rsidRDefault="0048461D" w:rsidP="003A05E0">
            <w:pPr>
              <w:pStyle w:val="Tabletext"/>
              <w:rPr>
                <w:lang w:val="en-GB"/>
              </w:rPr>
            </w:pPr>
            <w:r w:rsidRPr="00B07B55">
              <w:rPr>
                <w:lang w:val="en-GB"/>
              </w:rPr>
              <w:t>Health limits work</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0.0603</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1.46</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r w:rsidRPr="00B07B55">
              <w:rPr>
                <w:lang w:val="en-GB"/>
              </w:rPr>
              <w:t>-0.0315</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-0.53</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69"/>
              </w:tabs>
              <w:rPr>
                <w:lang w:val="en-GB"/>
              </w:rPr>
            </w:pPr>
            <w:r w:rsidRPr="00B07B55">
              <w:rPr>
                <w:lang w:val="en-GB"/>
              </w:rPr>
              <w:t>-0.0235</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-0.51</w:t>
            </w:r>
          </w:p>
        </w:tc>
      </w:tr>
      <w:tr w:rsidR="0048461D" w:rsidRPr="00B07B55" w:rsidTr="009B641C">
        <w:tc>
          <w:tcPr>
            <w:tcW w:w="1786" w:type="pct"/>
            <w:tcBorders>
              <w:top w:val="nil"/>
              <w:left w:val="nil"/>
              <w:bottom w:val="nil"/>
              <w:right w:val="nil"/>
            </w:tcBorders>
            <w:shd w:val="clear" w:color="auto" w:fill="auto"/>
            <w:noWrap/>
            <w:tcMar>
              <w:top w:w="15" w:type="dxa"/>
              <w:left w:w="17" w:type="dxa"/>
              <w:bottom w:w="0" w:type="dxa"/>
              <w:right w:w="17" w:type="dxa"/>
            </w:tcMar>
            <w:hideMark/>
          </w:tcPr>
          <w:p w:rsidR="0048461D" w:rsidRPr="00B07B55" w:rsidRDefault="0048461D" w:rsidP="003A05E0">
            <w:pPr>
              <w:pStyle w:val="Tabletext"/>
              <w:rPr>
                <w:lang w:val="en-GB"/>
              </w:rPr>
            </w:pPr>
            <w:r w:rsidRPr="00B07B55">
              <w:rPr>
                <w:lang w:val="en-GB"/>
              </w:rPr>
              <w:t>Health prevents work</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-0.247</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-22.03</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1"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r>
      <w:tr w:rsidR="0048461D"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48461D" w:rsidRPr="009B641C" w:rsidRDefault="0048461D" w:rsidP="003A05E0">
            <w:pPr>
              <w:pStyle w:val="Tabletext"/>
              <w:rPr>
                <w:b/>
                <w:lang w:val="en-GB"/>
              </w:rPr>
            </w:pPr>
            <w:r w:rsidRPr="009B641C">
              <w:rPr>
                <w:b/>
                <w:lang w:val="en-GB"/>
              </w:rPr>
              <w:t>Reference category: employed full-time</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1"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r>
      <w:tr w:rsidR="0048461D"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rPr>
                <w:lang w:val="en-GB"/>
              </w:rPr>
            </w:pPr>
            <w:r w:rsidRPr="00B07B55">
              <w:rPr>
                <w:lang w:val="en-GB"/>
              </w:rPr>
              <w:t>Employed part-time</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0.017</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0.39</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1"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r>
      <w:tr w:rsidR="0048461D"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rPr>
                <w:lang w:val="en-GB"/>
              </w:rPr>
            </w:pPr>
            <w:r w:rsidRPr="00B07B55">
              <w:rPr>
                <w:lang w:val="en-GB"/>
              </w:rPr>
              <w:t>Unemployed, wants full-time</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0.0257</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0.43</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1"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r>
      <w:tr w:rsidR="0048461D"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rPr>
                <w:lang w:val="en-GB"/>
              </w:rPr>
            </w:pPr>
            <w:r w:rsidRPr="00B07B55">
              <w:rPr>
                <w:lang w:val="en-GB"/>
              </w:rPr>
              <w:t>Unemployed, wants part-time</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0.0198</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0.15</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1"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r>
      <w:tr w:rsidR="0048461D"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rPr>
                <w:lang w:val="en-GB"/>
              </w:rPr>
            </w:pPr>
            <w:r w:rsidRPr="00B07B55">
              <w:rPr>
                <w:lang w:val="en-GB"/>
              </w:rPr>
              <w:t>Not in labour force, marginal (looking)</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-0.096</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-1.49</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1"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r>
      <w:tr w:rsidR="0048461D"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rPr>
                <w:lang w:val="en-GB"/>
              </w:rPr>
            </w:pPr>
            <w:r w:rsidRPr="00B07B55">
              <w:rPr>
                <w:lang w:val="en-GB"/>
              </w:rPr>
              <w:t>Not in labour force</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-0.00628</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-0.10</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1"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r>
      <w:tr w:rsidR="0048461D" w:rsidRPr="00B07B55" w:rsidTr="009B641C">
        <w:tc>
          <w:tcPr>
            <w:tcW w:w="1786" w:type="pct"/>
            <w:tcBorders>
              <w:top w:val="nil"/>
              <w:left w:val="nil"/>
              <w:bottom w:val="nil"/>
              <w:right w:val="nil"/>
            </w:tcBorders>
            <w:shd w:val="clear" w:color="auto" w:fill="auto"/>
            <w:noWrap/>
            <w:tcMar>
              <w:top w:w="15" w:type="dxa"/>
              <w:left w:w="17" w:type="dxa"/>
              <w:bottom w:w="0" w:type="dxa"/>
              <w:right w:w="17" w:type="dxa"/>
            </w:tcMar>
            <w:hideMark/>
          </w:tcPr>
          <w:p w:rsidR="0048461D" w:rsidRPr="00B07B55" w:rsidRDefault="0048461D" w:rsidP="003A05E0">
            <w:pPr>
              <w:pStyle w:val="Tabletext"/>
              <w:rPr>
                <w:lang w:val="en-GB"/>
              </w:rPr>
            </w:pPr>
            <w:r w:rsidRPr="00B07B55">
              <w:rPr>
                <w:lang w:val="en-GB"/>
              </w:rPr>
              <w:t>Receive disability pension</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-0.0403</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-0.43</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1"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r>
      <w:tr w:rsidR="0048461D" w:rsidRPr="00B07B55" w:rsidTr="009B641C">
        <w:tc>
          <w:tcPr>
            <w:tcW w:w="1786" w:type="pct"/>
            <w:tcBorders>
              <w:top w:val="nil"/>
              <w:left w:val="nil"/>
              <w:bottom w:val="nil"/>
              <w:right w:val="nil"/>
            </w:tcBorders>
            <w:shd w:val="clear" w:color="auto" w:fill="auto"/>
            <w:noWrap/>
            <w:tcMar>
              <w:top w:w="15" w:type="dxa"/>
              <w:left w:w="17" w:type="dxa"/>
              <w:bottom w:w="0" w:type="dxa"/>
              <w:right w:w="17" w:type="dxa"/>
            </w:tcMar>
            <w:hideMark/>
          </w:tcPr>
          <w:p w:rsidR="0048461D" w:rsidRPr="00B07B55" w:rsidRDefault="0048461D" w:rsidP="003A05E0">
            <w:pPr>
              <w:pStyle w:val="Tabletext"/>
              <w:rPr>
                <w:lang w:val="en-GB"/>
              </w:rPr>
            </w:pPr>
            <w:r w:rsidRPr="00B07B55">
              <w:rPr>
                <w:lang w:val="en-GB"/>
              </w:rPr>
              <w:t>Receive disability support</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-0.137</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-2.90</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1"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r>
      <w:tr w:rsidR="0048461D"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rPr>
                <w:lang w:val="en-GB"/>
              </w:rPr>
            </w:pPr>
            <w:r w:rsidRPr="00B07B55">
              <w:rPr>
                <w:lang w:val="en-GB"/>
              </w:rPr>
              <w:t>Disposable income (annual in $1000s)</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-0.0016</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-2.82</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30"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-0.0017</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-2.78</w:t>
            </w:r>
          </w:p>
        </w:tc>
      </w:tr>
      <w:tr w:rsidR="0048461D" w:rsidRPr="00B07B55" w:rsidTr="009B641C">
        <w:tc>
          <w:tcPr>
            <w:tcW w:w="1786"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rPr>
                <w:lang w:val="en-GB"/>
              </w:rPr>
            </w:pPr>
            <w:r w:rsidRPr="00B07B55">
              <w:rPr>
                <w:lang w:val="en-GB"/>
              </w:rPr>
              <w:t>Log wage residual</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9"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-0.115</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-3.27</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r>
      <w:tr w:rsidR="0048461D" w:rsidRPr="00B07B55" w:rsidTr="009B641C">
        <w:tc>
          <w:tcPr>
            <w:tcW w:w="1786"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rPr>
                <w:lang w:val="en-GB"/>
              </w:rPr>
            </w:pPr>
            <w:r w:rsidRPr="00B07B55">
              <w:rPr>
                <w:lang w:val="en-GB"/>
              </w:rPr>
              <w:t>Working hours</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9"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0.000109</w:t>
            </w:r>
          </w:p>
        </w:tc>
        <w:tc>
          <w:tcPr>
            <w:tcW w:w="430"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0.08</w:t>
            </w: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0.00156</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1.52</w:t>
            </w:r>
          </w:p>
        </w:tc>
      </w:tr>
      <w:tr w:rsidR="00E67A14" w:rsidRPr="00EA0C91"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E67A14" w:rsidRPr="009B641C" w:rsidRDefault="00E67A14" w:rsidP="003A05E0">
            <w:pPr>
              <w:pStyle w:val="Tabletext"/>
              <w:rPr>
                <w:b/>
                <w:lang w:val="en-GB"/>
              </w:rPr>
            </w:pPr>
            <w:r w:rsidRPr="009B641C">
              <w:rPr>
                <w:b/>
                <w:lang w:val="en-GB"/>
              </w:rPr>
              <w:t>Reference category: employee</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E67A14" w:rsidRPr="00EA0C91" w:rsidRDefault="00E67A14" w:rsidP="003A05E0">
            <w:pPr>
              <w:pStyle w:val="Tabletext"/>
              <w:tabs>
                <w:tab w:val="decimal" w:pos="369"/>
              </w:tabs>
              <w:rPr>
                <w:lang w:val="en-GB"/>
              </w:rPr>
            </w:pPr>
          </w:p>
        </w:tc>
        <w:tc>
          <w:tcPr>
            <w:tcW w:w="429" w:type="pct"/>
            <w:tcBorders>
              <w:top w:val="nil"/>
              <w:left w:val="nil"/>
              <w:bottom w:val="nil"/>
              <w:right w:val="nil"/>
            </w:tcBorders>
            <w:shd w:val="clear" w:color="auto" w:fill="auto"/>
            <w:tcMar>
              <w:top w:w="17" w:type="dxa"/>
              <w:left w:w="17" w:type="dxa"/>
              <w:bottom w:w="0" w:type="dxa"/>
              <w:right w:w="17" w:type="dxa"/>
            </w:tcMar>
            <w:hideMark/>
          </w:tcPr>
          <w:p w:rsidR="00E67A14" w:rsidRPr="00EA0C91" w:rsidRDefault="00E67A14" w:rsidP="00694318">
            <w:pPr>
              <w:pStyle w:val="Tabletext"/>
              <w:tabs>
                <w:tab w:val="decimal" w:pos="312"/>
              </w:tabs>
              <w:rPr>
                <w:lang w:val="en-GB"/>
              </w:rPr>
            </w:pPr>
          </w:p>
        </w:tc>
        <w:tc>
          <w:tcPr>
            <w:tcW w:w="643" w:type="pct"/>
            <w:tcBorders>
              <w:top w:val="nil"/>
              <w:left w:val="nil"/>
              <w:bottom w:val="nil"/>
              <w:right w:val="nil"/>
            </w:tcBorders>
            <w:shd w:val="clear" w:color="auto" w:fill="auto"/>
            <w:noWrap/>
            <w:tcMar>
              <w:top w:w="17" w:type="dxa"/>
              <w:left w:w="17" w:type="dxa"/>
              <w:bottom w:w="0" w:type="dxa"/>
              <w:right w:w="17" w:type="dxa"/>
            </w:tcMar>
            <w:hideMark/>
          </w:tcPr>
          <w:p w:rsidR="00E67A14" w:rsidRPr="00EA0C91" w:rsidRDefault="00E67A14" w:rsidP="003A05E0">
            <w:pPr>
              <w:pStyle w:val="Tabletext"/>
              <w:tabs>
                <w:tab w:val="decimal" w:pos="369"/>
              </w:tabs>
              <w:rPr>
                <w:lang w:val="en-GB"/>
              </w:rPr>
            </w:pPr>
          </w:p>
        </w:tc>
        <w:tc>
          <w:tcPr>
            <w:tcW w:w="430" w:type="pct"/>
            <w:tcBorders>
              <w:top w:val="nil"/>
              <w:left w:val="nil"/>
              <w:bottom w:val="nil"/>
              <w:right w:val="nil"/>
            </w:tcBorders>
            <w:shd w:val="clear" w:color="auto" w:fill="auto"/>
            <w:noWrap/>
            <w:tcMar>
              <w:top w:w="17" w:type="dxa"/>
              <w:left w:w="17" w:type="dxa"/>
              <w:bottom w:w="0" w:type="dxa"/>
              <w:right w:w="17" w:type="dxa"/>
            </w:tcMar>
            <w:hideMark/>
          </w:tcPr>
          <w:p w:rsidR="00E67A14" w:rsidRPr="00EA0C91" w:rsidRDefault="00E67A14" w:rsidP="00694318">
            <w:pPr>
              <w:pStyle w:val="Tabletext"/>
              <w:tabs>
                <w:tab w:val="decimal" w:pos="312"/>
              </w:tabs>
              <w:rPr>
                <w:lang w:val="en-GB"/>
              </w:rPr>
            </w:pPr>
          </w:p>
        </w:tc>
        <w:tc>
          <w:tcPr>
            <w:tcW w:w="641" w:type="pct"/>
            <w:tcBorders>
              <w:top w:val="nil"/>
              <w:left w:val="nil"/>
              <w:bottom w:val="nil"/>
              <w:right w:val="nil"/>
            </w:tcBorders>
            <w:shd w:val="clear" w:color="auto" w:fill="auto"/>
            <w:tcMar>
              <w:top w:w="17" w:type="dxa"/>
              <w:left w:w="17" w:type="dxa"/>
              <w:bottom w:w="0" w:type="dxa"/>
              <w:right w:w="17" w:type="dxa"/>
            </w:tcMar>
            <w:hideMark/>
          </w:tcPr>
          <w:p w:rsidR="00E67A14" w:rsidRPr="00EA0C91" w:rsidRDefault="00E67A14" w:rsidP="003A05E0">
            <w:pPr>
              <w:pStyle w:val="Tabletext"/>
              <w:tabs>
                <w:tab w:val="decimal" w:pos="369"/>
              </w:tabs>
              <w:rPr>
                <w:lang w:val="en-GB"/>
              </w:rPr>
            </w:pPr>
          </w:p>
        </w:tc>
        <w:tc>
          <w:tcPr>
            <w:tcW w:w="428" w:type="pct"/>
            <w:tcBorders>
              <w:top w:val="nil"/>
              <w:left w:val="nil"/>
              <w:bottom w:val="nil"/>
              <w:right w:val="nil"/>
            </w:tcBorders>
            <w:shd w:val="clear" w:color="auto" w:fill="auto"/>
            <w:tcMar>
              <w:top w:w="17" w:type="dxa"/>
              <w:left w:w="17" w:type="dxa"/>
              <w:bottom w:w="0" w:type="dxa"/>
              <w:right w:w="17" w:type="dxa"/>
            </w:tcMar>
            <w:hideMark/>
          </w:tcPr>
          <w:p w:rsidR="00E67A14" w:rsidRPr="00EA0C91" w:rsidRDefault="00E67A14" w:rsidP="00694318">
            <w:pPr>
              <w:pStyle w:val="Tabletext"/>
              <w:tabs>
                <w:tab w:val="decimal" w:pos="312"/>
              </w:tabs>
              <w:rPr>
                <w:lang w:val="en-GB"/>
              </w:rPr>
            </w:pPr>
          </w:p>
        </w:tc>
      </w:tr>
      <w:tr w:rsidR="0048461D"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rPr>
                <w:lang w:val="en-GB"/>
              </w:rPr>
            </w:pPr>
            <w:r w:rsidRPr="00B07B55">
              <w:rPr>
                <w:lang w:val="en-GB"/>
              </w:rPr>
              <w:t>Employee of own business</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3"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30"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0.00384</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0.08</w:t>
            </w:r>
          </w:p>
        </w:tc>
      </w:tr>
      <w:tr w:rsidR="0048461D"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rPr>
                <w:lang w:val="en-GB"/>
              </w:rPr>
            </w:pPr>
            <w:r w:rsidRPr="00B07B55">
              <w:rPr>
                <w:lang w:val="en-GB"/>
              </w:rPr>
              <w:t>Employer, own account worker</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3"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30"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-0.0459</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-1.42</w:t>
            </w:r>
          </w:p>
        </w:tc>
      </w:tr>
      <w:tr w:rsidR="003A05E0" w:rsidRPr="000A7D5F" w:rsidTr="009B641C">
        <w:tc>
          <w:tcPr>
            <w:tcW w:w="1786" w:type="pct"/>
            <w:tcBorders>
              <w:top w:val="nil"/>
              <w:left w:val="nil"/>
              <w:bottom w:val="nil"/>
              <w:right w:val="nil"/>
            </w:tcBorders>
            <w:shd w:val="clear" w:color="auto" w:fill="auto"/>
            <w:noWrap/>
            <w:tcMar>
              <w:top w:w="15" w:type="dxa"/>
              <w:left w:w="17" w:type="dxa"/>
              <w:bottom w:w="0" w:type="dxa"/>
              <w:right w:w="17" w:type="dxa"/>
            </w:tcMar>
            <w:hideMark/>
          </w:tcPr>
          <w:p w:rsidR="003A05E0" w:rsidRPr="009B641C" w:rsidRDefault="003A05E0" w:rsidP="003A05E0">
            <w:pPr>
              <w:pStyle w:val="Tabletext"/>
              <w:rPr>
                <w:b/>
                <w:lang w:val="en-GB"/>
              </w:rPr>
            </w:pPr>
            <w:r w:rsidRPr="009B641C">
              <w:rPr>
                <w:b/>
                <w:lang w:val="en-GB"/>
              </w:rPr>
              <w:t xml:space="preserve">Reference category: skills used in job – </w:t>
            </w:r>
            <w:r w:rsidRPr="009B641C">
              <w:rPr>
                <w:b/>
                <w:lang w:val="en-GB"/>
              </w:rPr>
              <w:br/>
              <w:t>do not agree</w:t>
            </w:r>
          </w:p>
        </w:tc>
        <w:tc>
          <w:tcPr>
            <w:tcW w:w="643" w:type="pct"/>
            <w:tcBorders>
              <w:top w:val="nil"/>
              <w:left w:val="nil"/>
              <w:bottom w:val="nil"/>
              <w:right w:val="nil"/>
            </w:tcBorders>
            <w:shd w:val="clear" w:color="auto" w:fill="auto"/>
          </w:tcPr>
          <w:p w:rsidR="003A05E0" w:rsidRPr="003A05E0" w:rsidRDefault="003A05E0" w:rsidP="003A05E0">
            <w:pPr>
              <w:pStyle w:val="Tabletext"/>
              <w:tabs>
                <w:tab w:val="decimal" w:pos="369"/>
              </w:tabs>
              <w:rPr>
                <w:i/>
                <w:lang w:val="en-GB"/>
              </w:rPr>
            </w:pPr>
          </w:p>
        </w:tc>
        <w:tc>
          <w:tcPr>
            <w:tcW w:w="429" w:type="pct"/>
            <w:tcBorders>
              <w:top w:val="nil"/>
              <w:left w:val="nil"/>
              <w:bottom w:val="nil"/>
              <w:right w:val="nil"/>
            </w:tcBorders>
            <w:shd w:val="clear" w:color="auto" w:fill="auto"/>
            <w:tcMar>
              <w:top w:w="17" w:type="dxa"/>
              <w:left w:w="17" w:type="dxa"/>
              <w:bottom w:w="0" w:type="dxa"/>
              <w:right w:w="17" w:type="dxa"/>
            </w:tcMar>
            <w:hideMark/>
          </w:tcPr>
          <w:p w:rsidR="003A05E0" w:rsidRPr="000A7D5F" w:rsidRDefault="003A05E0" w:rsidP="00694318">
            <w:pPr>
              <w:pStyle w:val="Tabletext"/>
              <w:tabs>
                <w:tab w:val="decimal" w:pos="312"/>
              </w:tabs>
              <w:rPr>
                <w:lang w:val="en-GB"/>
              </w:rPr>
            </w:pPr>
          </w:p>
        </w:tc>
        <w:tc>
          <w:tcPr>
            <w:tcW w:w="643" w:type="pct"/>
            <w:tcBorders>
              <w:top w:val="nil"/>
              <w:left w:val="nil"/>
              <w:bottom w:val="nil"/>
              <w:right w:val="nil"/>
            </w:tcBorders>
            <w:shd w:val="clear" w:color="auto" w:fill="auto"/>
            <w:noWrap/>
            <w:tcMar>
              <w:top w:w="17" w:type="dxa"/>
              <w:left w:w="17" w:type="dxa"/>
              <w:bottom w:w="0" w:type="dxa"/>
              <w:right w:w="17" w:type="dxa"/>
            </w:tcMar>
            <w:hideMark/>
          </w:tcPr>
          <w:p w:rsidR="003A05E0" w:rsidRPr="000A7D5F" w:rsidRDefault="003A05E0" w:rsidP="003A05E0">
            <w:pPr>
              <w:pStyle w:val="Tabletext"/>
              <w:tabs>
                <w:tab w:val="decimal" w:pos="369"/>
              </w:tabs>
              <w:rPr>
                <w:lang w:val="en-GB"/>
              </w:rPr>
            </w:pPr>
          </w:p>
        </w:tc>
        <w:tc>
          <w:tcPr>
            <w:tcW w:w="430" w:type="pct"/>
            <w:tcBorders>
              <w:top w:val="nil"/>
              <w:left w:val="nil"/>
              <w:bottom w:val="nil"/>
              <w:right w:val="nil"/>
            </w:tcBorders>
            <w:shd w:val="clear" w:color="auto" w:fill="auto"/>
            <w:noWrap/>
            <w:tcMar>
              <w:top w:w="17" w:type="dxa"/>
              <w:left w:w="17" w:type="dxa"/>
              <w:bottom w:w="0" w:type="dxa"/>
              <w:right w:w="17" w:type="dxa"/>
            </w:tcMar>
            <w:hideMark/>
          </w:tcPr>
          <w:p w:rsidR="003A05E0" w:rsidRPr="000A7D5F" w:rsidRDefault="003A05E0" w:rsidP="00694318">
            <w:pPr>
              <w:pStyle w:val="Tabletext"/>
              <w:tabs>
                <w:tab w:val="decimal" w:pos="312"/>
              </w:tabs>
              <w:rPr>
                <w:lang w:val="en-GB"/>
              </w:rPr>
            </w:pPr>
          </w:p>
        </w:tc>
        <w:tc>
          <w:tcPr>
            <w:tcW w:w="641" w:type="pct"/>
            <w:tcBorders>
              <w:top w:val="nil"/>
              <w:left w:val="nil"/>
              <w:bottom w:val="nil"/>
              <w:right w:val="nil"/>
            </w:tcBorders>
            <w:shd w:val="clear" w:color="auto" w:fill="auto"/>
            <w:tcMar>
              <w:top w:w="17" w:type="dxa"/>
              <w:left w:w="17" w:type="dxa"/>
              <w:bottom w:w="0" w:type="dxa"/>
              <w:right w:w="17" w:type="dxa"/>
            </w:tcMar>
            <w:hideMark/>
          </w:tcPr>
          <w:p w:rsidR="003A05E0" w:rsidRPr="000A7D5F" w:rsidRDefault="003A05E0" w:rsidP="003A05E0">
            <w:pPr>
              <w:pStyle w:val="Tabletext"/>
              <w:tabs>
                <w:tab w:val="decimal" w:pos="369"/>
              </w:tabs>
              <w:rPr>
                <w:lang w:val="en-GB"/>
              </w:rPr>
            </w:pPr>
          </w:p>
        </w:tc>
        <w:tc>
          <w:tcPr>
            <w:tcW w:w="428" w:type="pct"/>
            <w:tcBorders>
              <w:top w:val="nil"/>
              <w:left w:val="nil"/>
              <w:bottom w:val="nil"/>
              <w:right w:val="nil"/>
            </w:tcBorders>
            <w:shd w:val="clear" w:color="auto" w:fill="auto"/>
            <w:tcMar>
              <w:top w:w="17" w:type="dxa"/>
              <w:left w:w="17" w:type="dxa"/>
              <w:bottom w:w="0" w:type="dxa"/>
              <w:right w:w="17" w:type="dxa"/>
            </w:tcMar>
            <w:hideMark/>
          </w:tcPr>
          <w:p w:rsidR="003A05E0" w:rsidRPr="000A7D5F" w:rsidRDefault="003A05E0" w:rsidP="00694318">
            <w:pPr>
              <w:pStyle w:val="Tabletext"/>
              <w:tabs>
                <w:tab w:val="decimal" w:pos="312"/>
              </w:tabs>
              <w:rPr>
                <w:lang w:val="en-GB"/>
              </w:rPr>
            </w:pPr>
          </w:p>
        </w:tc>
      </w:tr>
      <w:tr w:rsidR="0048461D" w:rsidRPr="00B07B55" w:rsidTr="009B641C">
        <w:tc>
          <w:tcPr>
            <w:tcW w:w="1786" w:type="pct"/>
            <w:tcBorders>
              <w:top w:val="nil"/>
              <w:left w:val="nil"/>
              <w:bottom w:val="nil"/>
              <w:right w:val="nil"/>
            </w:tcBorders>
            <w:shd w:val="clear" w:color="auto" w:fill="auto"/>
            <w:noWrap/>
            <w:tcMar>
              <w:top w:w="15" w:type="dxa"/>
              <w:left w:w="17" w:type="dxa"/>
              <w:bottom w:w="0" w:type="dxa"/>
              <w:right w:w="17" w:type="dxa"/>
            </w:tcMar>
            <w:hideMark/>
          </w:tcPr>
          <w:p w:rsidR="0048461D" w:rsidRPr="00B07B55" w:rsidRDefault="00EF2740" w:rsidP="003A05E0">
            <w:pPr>
              <w:pStyle w:val="Tabletext"/>
              <w:rPr>
                <w:lang w:val="en-GB"/>
              </w:rPr>
            </w:pPr>
            <w:r>
              <w:rPr>
                <w:lang w:val="en-GB"/>
              </w:rPr>
              <w:t>Skills used in job</w:t>
            </w:r>
            <w:r w:rsidR="001C73D5">
              <w:rPr>
                <w:lang w:val="en-GB"/>
              </w:rPr>
              <w:t xml:space="preserve"> </w:t>
            </w:r>
            <w:r>
              <w:rPr>
                <w:lang w:val="en-GB"/>
              </w:rPr>
              <w:t>–</w:t>
            </w:r>
            <w:r w:rsidR="0048461D" w:rsidRPr="00B07B55">
              <w:rPr>
                <w:lang w:val="en-GB"/>
              </w:rPr>
              <w:t xml:space="preserve"> strongly agree</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3"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30"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-0.0367</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-0.86</w:t>
            </w:r>
          </w:p>
        </w:tc>
      </w:tr>
      <w:tr w:rsidR="0048461D" w:rsidRPr="00B07B55" w:rsidTr="009B641C">
        <w:tc>
          <w:tcPr>
            <w:tcW w:w="1786" w:type="pct"/>
            <w:tcBorders>
              <w:top w:val="nil"/>
              <w:left w:val="nil"/>
              <w:bottom w:val="nil"/>
              <w:right w:val="nil"/>
            </w:tcBorders>
            <w:shd w:val="clear" w:color="auto" w:fill="auto"/>
            <w:noWrap/>
            <w:tcMar>
              <w:top w:w="15" w:type="dxa"/>
              <w:left w:w="17" w:type="dxa"/>
              <w:bottom w:w="0" w:type="dxa"/>
              <w:right w:w="17" w:type="dxa"/>
            </w:tcMar>
            <w:hideMark/>
          </w:tcPr>
          <w:p w:rsidR="0048461D" w:rsidRPr="00B07B55" w:rsidRDefault="001C73D5" w:rsidP="00992B3C">
            <w:pPr>
              <w:pStyle w:val="Tabletext"/>
              <w:rPr>
                <w:lang w:val="en-GB"/>
              </w:rPr>
            </w:pPr>
            <w:r>
              <w:rPr>
                <w:lang w:val="en-GB"/>
              </w:rPr>
              <w:t xml:space="preserve">Skills used in job </w:t>
            </w:r>
            <w:r w:rsidR="00EF2740">
              <w:rPr>
                <w:lang w:val="en-GB"/>
              </w:rPr>
              <w:t>–</w:t>
            </w:r>
            <w:r w:rsidR="0048461D" w:rsidRPr="00B07B55">
              <w:rPr>
                <w:lang w:val="en-GB"/>
              </w:rPr>
              <w:t xml:space="preserve"> agree</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3"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30"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-0.0665</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-1.56</w:t>
            </w:r>
          </w:p>
        </w:tc>
      </w:tr>
      <w:tr w:rsidR="009B641C" w:rsidRPr="000A7D5F" w:rsidTr="009B641C">
        <w:tc>
          <w:tcPr>
            <w:tcW w:w="2429" w:type="pct"/>
            <w:gridSpan w:val="2"/>
            <w:tcBorders>
              <w:top w:val="nil"/>
              <w:left w:val="nil"/>
              <w:bottom w:val="nil"/>
              <w:right w:val="nil"/>
            </w:tcBorders>
            <w:shd w:val="clear" w:color="auto" w:fill="auto"/>
            <w:noWrap/>
            <w:tcMar>
              <w:top w:w="17" w:type="dxa"/>
              <w:left w:w="17" w:type="dxa"/>
              <w:bottom w:w="0" w:type="dxa"/>
              <w:right w:w="0" w:type="dxa"/>
            </w:tcMar>
            <w:hideMark/>
          </w:tcPr>
          <w:p w:rsidR="009B641C" w:rsidRPr="000A7D5F" w:rsidRDefault="009B641C" w:rsidP="003A05E0">
            <w:pPr>
              <w:pStyle w:val="Tabletext"/>
              <w:tabs>
                <w:tab w:val="decimal" w:pos="369"/>
              </w:tabs>
              <w:rPr>
                <w:lang w:val="en-GB"/>
              </w:rPr>
            </w:pPr>
            <w:r w:rsidRPr="009B641C">
              <w:rPr>
                <w:b/>
                <w:lang w:val="en-GB"/>
              </w:rPr>
              <w:t>Reference category: job satisfaction – low</w:t>
            </w:r>
          </w:p>
        </w:tc>
        <w:tc>
          <w:tcPr>
            <w:tcW w:w="429" w:type="pct"/>
            <w:tcBorders>
              <w:top w:val="nil"/>
              <w:left w:val="nil"/>
              <w:bottom w:val="nil"/>
              <w:right w:val="nil"/>
            </w:tcBorders>
            <w:shd w:val="clear" w:color="auto" w:fill="auto"/>
            <w:tcMar>
              <w:top w:w="17" w:type="dxa"/>
              <w:left w:w="17" w:type="dxa"/>
              <w:bottom w:w="0" w:type="dxa"/>
              <w:right w:w="17" w:type="dxa"/>
            </w:tcMar>
            <w:hideMark/>
          </w:tcPr>
          <w:p w:rsidR="009B641C" w:rsidRPr="000A7D5F" w:rsidRDefault="009B641C" w:rsidP="00694318">
            <w:pPr>
              <w:pStyle w:val="Tabletext"/>
              <w:tabs>
                <w:tab w:val="decimal" w:pos="312"/>
              </w:tabs>
              <w:rPr>
                <w:lang w:val="en-GB"/>
              </w:rPr>
            </w:pPr>
          </w:p>
        </w:tc>
        <w:tc>
          <w:tcPr>
            <w:tcW w:w="643" w:type="pct"/>
            <w:tcBorders>
              <w:top w:val="nil"/>
              <w:left w:val="nil"/>
              <w:bottom w:val="nil"/>
              <w:right w:val="nil"/>
            </w:tcBorders>
            <w:shd w:val="clear" w:color="auto" w:fill="auto"/>
            <w:noWrap/>
            <w:tcMar>
              <w:top w:w="17" w:type="dxa"/>
              <w:left w:w="17" w:type="dxa"/>
              <w:bottom w:w="0" w:type="dxa"/>
              <w:right w:w="17" w:type="dxa"/>
            </w:tcMar>
            <w:hideMark/>
          </w:tcPr>
          <w:p w:rsidR="009B641C" w:rsidRPr="000A7D5F" w:rsidRDefault="009B641C" w:rsidP="003A05E0">
            <w:pPr>
              <w:pStyle w:val="Tabletext"/>
              <w:tabs>
                <w:tab w:val="decimal" w:pos="369"/>
              </w:tabs>
              <w:rPr>
                <w:lang w:val="en-GB"/>
              </w:rPr>
            </w:pPr>
          </w:p>
        </w:tc>
        <w:tc>
          <w:tcPr>
            <w:tcW w:w="430" w:type="pct"/>
            <w:tcBorders>
              <w:top w:val="nil"/>
              <w:left w:val="nil"/>
              <w:bottom w:val="nil"/>
              <w:right w:val="nil"/>
            </w:tcBorders>
            <w:shd w:val="clear" w:color="auto" w:fill="auto"/>
            <w:noWrap/>
            <w:tcMar>
              <w:top w:w="17" w:type="dxa"/>
              <w:left w:w="17" w:type="dxa"/>
              <w:bottom w:w="0" w:type="dxa"/>
              <w:right w:w="17" w:type="dxa"/>
            </w:tcMar>
            <w:hideMark/>
          </w:tcPr>
          <w:p w:rsidR="009B641C" w:rsidRPr="000A7D5F" w:rsidRDefault="009B641C" w:rsidP="00694318">
            <w:pPr>
              <w:pStyle w:val="Tabletext"/>
              <w:tabs>
                <w:tab w:val="decimal" w:pos="312"/>
              </w:tabs>
              <w:rPr>
                <w:lang w:val="en-GB"/>
              </w:rPr>
            </w:pPr>
          </w:p>
        </w:tc>
        <w:tc>
          <w:tcPr>
            <w:tcW w:w="641" w:type="pct"/>
            <w:tcBorders>
              <w:top w:val="nil"/>
              <w:left w:val="nil"/>
              <w:bottom w:val="nil"/>
              <w:right w:val="nil"/>
            </w:tcBorders>
            <w:shd w:val="clear" w:color="auto" w:fill="auto"/>
            <w:tcMar>
              <w:top w:w="17" w:type="dxa"/>
              <w:left w:w="17" w:type="dxa"/>
              <w:bottom w:w="0" w:type="dxa"/>
              <w:right w:w="17" w:type="dxa"/>
            </w:tcMar>
            <w:hideMark/>
          </w:tcPr>
          <w:p w:rsidR="009B641C" w:rsidRPr="000A7D5F" w:rsidRDefault="009B641C" w:rsidP="003A05E0">
            <w:pPr>
              <w:pStyle w:val="Tabletext"/>
              <w:tabs>
                <w:tab w:val="decimal" w:pos="369"/>
              </w:tabs>
              <w:rPr>
                <w:lang w:val="en-GB"/>
              </w:rPr>
            </w:pPr>
          </w:p>
        </w:tc>
        <w:tc>
          <w:tcPr>
            <w:tcW w:w="428" w:type="pct"/>
            <w:tcBorders>
              <w:top w:val="nil"/>
              <w:left w:val="nil"/>
              <w:bottom w:val="nil"/>
              <w:right w:val="nil"/>
            </w:tcBorders>
            <w:shd w:val="clear" w:color="auto" w:fill="auto"/>
            <w:tcMar>
              <w:top w:w="17" w:type="dxa"/>
              <w:left w:w="17" w:type="dxa"/>
              <w:bottom w:w="0" w:type="dxa"/>
              <w:right w:w="17" w:type="dxa"/>
            </w:tcMar>
            <w:hideMark/>
          </w:tcPr>
          <w:p w:rsidR="009B641C" w:rsidRPr="000A7D5F" w:rsidRDefault="009B641C" w:rsidP="00694318">
            <w:pPr>
              <w:pStyle w:val="Tabletext"/>
              <w:tabs>
                <w:tab w:val="decimal" w:pos="312"/>
              </w:tabs>
              <w:rPr>
                <w:lang w:val="en-GB"/>
              </w:rPr>
            </w:pPr>
          </w:p>
        </w:tc>
      </w:tr>
      <w:tr w:rsidR="0048461D"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EF2740" w:rsidP="003A05E0">
            <w:pPr>
              <w:pStyle w:val="Tabletext"/>
              <w:rPr>
                <w:lang w:val="en-GB"/>
              </w:rPr>
            </w:pPr>
            <w:r>
              <w:rPr>
                <w:lang w:val="en-GB"/>
              </w:rPr>
              <w:t>Job satisfaction –</w:t>
            </w:r>
            <w:r w:rsidR="0048461D" w:rsidRPr="00B07B55">
              <w:rPr>
                <w:lang w:val="en-GB"/>
              </w:rPr>
              <w:t xml:space="preserve"> very high</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3"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30"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-0.156</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-3.56</w:t>
            </w:r>
          </w:p>
        </w:tc>
      </w:tr>
      <w:tr w:rsidR="0048461D"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EF2740" w:rsidP="003A05E0">
            <w:pPr>
              <w:pStyle w:val="Tabletext"/>
              <w:rPr>
                <w:lang w:val="en-GB"/>
              </w:rPr>
            </w:pPr>
            <w:r>
              <w:rPr>
                <w:lang w:val="en-GB"/>
              </w:rPr>
              <w:t>Job satisfaction –</w:t>
            </w:r>
            <w:r w:rsidR="0048461D" w:rsidRPr="00B07B55">
              <w:rPr>
                <w:lang w:val="en-GB"/>
              </w:rPr>
              <w:t xml:space="preserve"> high</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AD13CA">
            <w:pPr>
              <w:pStyle w:val="Tabletext"/>
              <w:tabs>
                <w:tab w:val="decimal" w:pos="369"/>
              </w:tabs>
              <w:rPr>
                <w:lang w:val="en-GB"/>
              </w:rPr>
            </w:pP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3"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30"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-0.177</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r w:rsidRPr="00B07B55">
              <w:rPr>
                <w:lang w:val="en-GB"/>
              </w:rPr>
              <w:t>-3.66</w:t>
            </w:r>
          </w:p>
        </w:tc>
      </w:tr>
      <w:tr w:rsidR="0048461D" w:rsidRPr="00B07B55" w:rsidTr="009B641C">
        <w:tc>
          <w:tcPr>
            <w:tcW w:w="1786"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EF2740" w:rsidP="003A05E0">
            <w:pPr>
              <w:pStyle w:val="Tabletext"/>
              <w:rPr>
                <w:lang w:val="en-GB"/>
              </w:rPr>
            </w:pPr>
            <w:r>
              <w:rPr>
                <w:lang w:val="en-GB"/>
              </w:rPr>
              <w:t>Job satisfaction –</w:t>
            </w:r>
            <w:r w:rsidR="0048461D" w:rsidRPr="00B07B55">
              <w:rPr>
                <w:lang w:val="en-GB"/>
              </w:rPr>
              <w:t xml:space="preserve"> medium</w:t>
            </w:r>
          </w:p>
        </w:tc>
        <w:tc>
          <w:tcPr>
            <w:tcW w:w="643"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29"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3"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3A05E0">
            <w:pPr>
              <w:pStyle w:val="Tabletext"/>
              <w:tabs>
                <w:tab w:val="decimal" w:pos="369"/>
              </w:tabs>
              <w:rPr>
                <w:lang w:val="en-GB"/>
              </w:rPr>
            </w:pPr>
          </w:p>
        </w:tc>
        <w:tc>
          <w:tcPr>
            <w:tcW w:w="430" w:type="pct"/>
            <w:tcBorders>
              <w:top w:val="nil"/>
              <w:left w:val="nil"/>
              <w:bottom w:val="nil"/>
              <w:right w:val="nil"/>
            </w:tcBorders>
            <w:shd w:val="clear" w:color="auto" w:fill="auto"/>
            <w:noWrap/>
            <w:tcMar>
              <w:top w:w="17" w:type="dxa"/>
              <w:left w:w="17" w:type="dxa"/>
              <w:bottom w:w="0" w:type="dxa"/>
              <w:right w:w="17" w:type="dxa"/>
            </w:tcMar>
            <w:hideMark/>
          </w:tcPr>
          <w:p w:rsidR="0048461D" w:rsidRPr="00B07B55" w:rsidRDefault="0048461D" w:rsidP="00694318">
            <w:pPr>
              <w:pStyle w:val="Tabletext"/>
              <w:tabs>
                <w:tab w:val="decimal" w:pos="312"/>
              </w:tabs>
              <w:rPr>
                <w:lang w:val="en-GB"/>
              </w:rPr>
            </w:pPr>
          </w:p>
        </w:tc>
        <w:tc>
          <w:tcPr>
            <w:tcW w:w="641"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3A05E0">
            <w:pPr>
              <w:pStyle w:val="Tabletext"/>
              <w:tabs>
                <w:tab w:val="decimal" w:pos="369"/>
              </w:tabs>
              <w:rPr>
                <w:lang w:val="en-GB"/>
              </w:rPr>
            </w:pPr>
            <w:r w:rsidRPr="00B07B55">
              <w:rPr>
                <w:lang w:val="en-GB"/>
              </w:rPr>
              <w:t>-0.120</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48461D" w:rsidRPr="00B07B55" w:rsidRDefault="0048461D" w:rsidP="00AD13CA">
            <w:pPr>
              <w:pStyle w:val="Tabletext"/>
              <w:tabs>
                <w:tab w:val="decimal" w:pos="312"/>
              </w:tabs>
              <w:rPr>
                <w:lang w:val="en-GB"/>
              </w:rPr>
            </w:pPr>
            <w:r w:rsidRPr="00B07B55">
              <w:rPr>
                <w:lang w:val="en-GB"/>
              </w:rPr>
              <w:t>-2.76</w:t>
            </w:r>
          </w:p>
        </w:tc>
      </w:tr>
      <w:tr w:rsidR="0048461D" w:rsidRPr="009B641C" w:rsidTr="009B641C">
        <w:tc>
          <w:tcPr>
            <w:tcW w:w="1786" w:type="pct"/>
            <w:tcBorders>
              <w:top w:val="nil"/>
              <w:left w:val="nil"/>
              <w:bottom w:val="single" w:sz="8" w:space="0" w:color="auto"/>
              <w:right w:val="nil"/>
            </w:tcBorders>
            <w:shd w:val="clear" w:color="auto" w:fill="auto"/>
            <w:tcMar>
              <w:top w:w="17" w:type="dxa"/>
              <w:left w:w="17" w:type="dxa"/>
              <w:bottom w:w="0" w:type="dxa"/>
              <w:right w:w="17" w:type="dxa"/>
            </w:tcMar>
            <w:hideMark/>
          </w:tcPr>
          <w:p w:rsidR="0048461D" w:rsidRPr="009B641C" w:rsidRDefault="0048461D" w:rsidP="00694318">
            <w:pPr>
              <w:pStyle w:val="Tabletext"/>
              <w:spacing w:before="120"/>
              <w:rPr>
                <w:i/>
                <w:iCs/>
                <w:lang w:val="en-GB"/>
              </w:rPr>
            </w:pPr>
            <w:r w:rsidRPr="009B641C">
              <w:rPr>
                <w:i/>
                <w:iCs/>
                <w:lang w:val="en-GB"/>
              </w:rPr>
              <w:t>Observations</w:t>
            </w:r>
          </w:p>
        </w:tc>
        <w:tc>
          <w:tcPr>
            <w:tcW w:w="1072" w:type="pct"/>
            <w:gridSpan w:val="2"/>
            <w:tcBorders>
              <w:top w:val="nil"/>
              <w:left w:val="nil"/>
              <w:bottom w:val="single" w:sz="8" w:space="0" w:color="auto"/>
              <w:right w:val="nil"/>
            </w:tcBorders>
            <w:shd w:val="clear" w:color="auto" w:fill="auto"/>
            <w:tcMar>
              <w:top w:w="17" w:type="dxa"/>
              <w:left w:w="17" w:type="dxa"/>
              <w:bottom w:w="0" w:type="dxa"/>
              <w:right w:w="17" w:type="dxa"/>
            </w:tcMar>
            <w:hideMark/>
          </w:tcPr>
          <w:p w:rsidR="0048461D" w:rsidRPr="009B641C" w:rsidRDefault="0048461D" w:rsidP="00694318">
            <w:pPr>
              <w:pStyle w:val="Tabletext"/>
              <w:spacing w:before="120"/>
              <w:jc w:val="center"/>
              <w:rPr>
                <w:i/>
                <w:iCs/>
                <w:lang w:val="en-GB"/>
              </w:rPr>
            </w:pPr>
            <w:r w:rsidRPr="009B641C">
              <w:rPr>
                <w:i/>
                <w:iCs/>
                <w:lang w:val="en-GB"/>
              </w:rPr>
              <w:t>2029</w:t>
            </w:r>
          </w:p>
        </w:tc>
        <w:tc>
          <w:tcPr>
            <w:tcW w:w="1073" w:type="pct"/>
            <w:gridSpan w:val="2"/>
            <w:tcBorders>
              <w:top w:val="nil"/>
              <w:left w:val="nil"/>
              <w:bottom w:val="single" w:sz="8" w:space="0" w:color="auto"/>
              <w:right w:val="nil"/>
            </w:tcBorders>
            <w:shd w:val="clear" w:color="auto" w:fill="auto"/>
            <w:tcMar>
              <w:top w:w="17" w:type="dxa"/>
              <w:left w:w="17" w:type="dxa"/>
              <w:bottom w:w="0" w:type="dxa"/>
              <w:right w:w="17" w:type="dxa"/>
            </w:tcMar>
            <w:hideMark/>
          </w:tcPr>
          <w:p w:rsidR="0048461D" w:rsidRPr="009B641C" w:rsidRDefault="0048461D" w:rsidP="00694318">
            <w:pPr>
              <w:pStyle w:val="Tabletext"/>
              <w:spacing w:before="120"/>
              <w:jc w:val="center"/>
              <w:rPr>
                <w:i/>
                <w:iCs/>
                <w:lang w:val="en-GB"/>
              </w:rPr>
            </w:pPr>
            <w:r w:rsidRPr="009B641C">
              <w:rPr>
                <w:i/>
                <w:iCs/>
                <w:lang w:val="en-GB"/>
              </w:rPr>
              <w:t>1323</w:t>
            </w:r>
          </w:p>
        </w:tc>
        <w:tc>
          <w:tcPr>
            <w:tcW w:w="1069" w:type="pct"/>
            <w:gridSpan w:val="2"/>
            <w:tcBorders>
              <w:top w:val="nil"/>
              <w:left w:val="nil"/>
              <w:bottom w:val="single" w:sz="8" w:space="0" w:color="auto"/>
              <w:right w:val="nil"/>
            </w:tcBorders>
            <w:shd w:val="clear" w:color="auto" w:fill="auto"/>
            <w:tcMar>
              <w:top w:w="17" w:type="dxa"/>
              <w:left w:w="17" w:type="dxa"/>
              <w:bottom w:w="0" w:type="dxa"/>
              <w:right w:w="17" w:type="dxa"/>
            </w:tcMar>
            <w:hideMark/>
          </w:tcPr>
          <w:p w:rsidR="0048461D" w:rsidRPr="009B641C" w:rsidRDefault="0048461D" w:rsidP="00694318">
            <w:pPr>
              <w:pStyle w:val="Tabletext"/>
              <w:spacing w:before="120"/>
              <w:jc w:val="center"/>
              <w:rPr>
                <w:i/>
                <w:iCs/>
                <w:lang w:val="en-GB"/>
              </w:rPr>
            </w:pPr>
            <w:r w:rsidRPr="009B641C">
              <w:rPr>
                <w:i/>
                <w:iCs/>
                <w:lang w:val="en-GB"/>
              </w:rPr>
              <w:t>1673</w:t>
            </w:r>
          </w:p>
        </w:tc>
      </w:tr>
    </w:tbl>
    <w:p w:rsidR="00EF2740" w:rsidRPr="00694318" w:rsidRDefault="00EF2740" w:rsidP="00694318">
      <w:pPr>
        <w:pStyle w:val="Source"/>
      </w:pPr>
      <w:r>
        <w:rPr>
          <w:lang w:val="en-GB"/>
        </w:rPr>
        <w:t>Note:</w:t>
      </w:r>
      <w:r w:rsidR="00694318">
        <w:rPr>
          <w:lang w:val="en-GB"/>
        </w:rPr>
        <w:tab/>
      </w:r>
      <w:r>
        <w:rPr>
          <w:lang w:val="en-GB"/>
        </w:rPr>
        <w:t xml:space="preserve">* Reference category for education levels also includes a few individuals with undetermined education. </w:t>
      </w:r>
      <w:r w:rsidRPr="00B07B55">
        <w:rPr>
          <w:lang w:val="en-GB"/>
        </w:rPr>
        <w:t xml:space="preserve">Regressions include state </w:t>
      </w:r>
      <w:r w:rsidRPr="00694318">
        <w:t xml:space="preserve">indicators and indicators of city and regional residence. Coefficients estimated using adjusted weights. </w:t>
      </w:r>
      <w:bookmarkStart w:id="62" w:name="OLE_LINK2"/>
      <w:bookmarkStart w:id="63" w:name="OLE_LINK3"/>
      <w:r w:rsidRPr="00694318">
        <w:t>The t-statistics are based on heteroskedasticity-robust White standard errors.</w:t>
      </w:r>
      <w:bookmarkEnd w:id="62"/>
      <w:bookmarkEnd w:id="63"/>
    </w:p>
    <w:p w:rsidR="00C419F3" w:rsidRDefault="00D701C5" w:rsidP="00694318">
      <w:pPr>
        <w:pStyle w:val="Source"/>
        <w:rPr>
          <w:lang w:val="en-GB"/>
        </w:rPr>
      </w:pPr>
      <w:r w:rsidRPr="00694318">
        <w:t>Source:</w:t>
      </w:r>
      <w:r w:rsidRPr="00694318">
        <w:tab/>
        <w:t>HILD</w:t>
      </w:r>
      <w:r>
        <w:rPr>
          <w:lang w:val="en-GB"/>
        </w:rPr>
        <w:t>A d</w:t>
      </w:r>
      <w:r w:rsidR="00A55CF9" w:rsidRPr="00B07B55">
        <w:rPr>
          <w:lang w:val="en-GB"/>
        </w:rPr>
        <w:t xml:space="preserve">ata. </w:t>
      </w:r>
    </w:p>
    <w:p w:rsidR="00A55CF9" w:rsidRPr="00B07B55" w:rsidRDefault="00A55CF9" w:rsidP="00A55CF9">
      <w:pPr>
        <w:pStyle w:val="tabletitle"/>
        <w:rPr>
          <w:lang w:val="en-GB"/>
        </w:rPr>
      </w:pPr>
      <w:bookmarkStart w:id="64" w:name="_Toc311576123"/>
      <w:bookmarkStart w:id="65" w:name="_Toc334021178"/>
      <w:r w:rsidRPr="00B07B55">
        <w:rPr>
          <w:lang w:val="en-GB"/>
        </w:rPr>
        <w:t>Table 11</w:t>
      </w:r>
      <w:r w:rsidRPr="00B07B55">
        <w:rPr>
          <w:lang w:val="en-GB"/>
        </w:rPr>
        <w:tab/>
      </w:r>
      <w:r w:rsidR="00553351" w:rsidRPr="00B07B55">
        <w:rPr>
          <w:lang w:val="en-GB"/>
        </w:rPr>
        <w:t>Impacts on the p</w:t>
      </w:r>
      <w:r w:rsidRPr="00B07B55">
        <w:rPr>
          <w:lang w:val="en-GB"/>
        </w:rPr>
        <w:t>robab</w:t>
      </w:r>
      <w:r w:rsidR="00EF2740">
        <w:rPr>
          <w:lang w:val="en-GB"/>
        </w:rPr>
        <w:t>ility of engaging in education:</w:t>
      </w:r>
      <w:r w:rsidRPr="00B07B55">
        <w:rPr>
          <w:lang w:val="en-GB"/>
        </w:rPr>
        <w:t xml:space="preserve"> females, HILDA</w:t>
      </w:r>
      <w:bookmarkEnd w:id="64"/>
      <w:bookmarkEnd w:id="65"/>
    </w:p>
    <w:tbl>
      <w:tblPr>
        <w:tblW w:w="8810" w:type="dxa"/>
        <w:tblLayout w:type="fixed"/>
        <w:tblCellMar>
          <w:left w:w="0" w:type="dxa"/>
          <w:right w:w="0" w:type="dxa"/>
        </w:tblCellMar>
        <w:tblLook w:val="04A0"/>
      </w:tblPr>
      <w:tblGrid>
        <w:gridCol w:w="3133"/>
        <w:gridCol w:w="1131"/>
        <w:gridCol w:w="759"/>
        <w:gridCol w:w="1128"/>
        <w:gridCol w:w="759"/>
        <w:gridCol w:w="11"/>
        <w:gridCol w:w="1121"/>
        <w:gridCol w:w="754"/>
        <w:gridCol w:w="14"/>
      </w:tblGrid>
      <w:tr w:rsidR="001526FB" w:rsidRPr="00B07B55" w:rsidTr="00AD13CA">
        <w:trPr>
          <w:tblHeader/>
        </w:trPr>
        <w:tc>
          <w:tcPr>
            <w:tcW w:w="1778" w:type="pct"/>
            <w:tcBorders>
              <w:top w:val="single" w:sz="8" w:space="0" w:color="auto"/>
              <w:left w:val="nil"/>
              <w:bottom w:val="nil"/>
              <w:right w:val="nil"/>
            </w:tcBorders>
            <w:shd w:val="clear" w:color="auto" w:fill="auto"/>
            <w:noWrap/>
            <w:tcMar>
              <w:top w:w="17" w:type="dxa"/>
              <w:left w:w="17" w:type="dxa"/>
              <w:bottom w:w="0" w:type="dxa"/>
              <w:right w:w="17" w:type="dxa"/>
            </w:tcMar>
            <w:hideMark/>
          </w:tcPr>
          <w:p w:rsidR="00A55CF9" w:rsidRPr="00B07B55" w:rsidRDefault="00A55CF9" w:rsidP="001526FB">
            <w:pPr>
              <w:pStyle w:val="Tablehead1"/>
              <w:rPr>
                <w:lang w:val="en-GB"/>
              </w:rPr>
            </w:pPr>
            <w:r w:rsidRPr="00B07B55">
              <w:rPr>
                <w:lang w:val="en-GB"/>
              </w:rPr>
              <w:t> </w:t>
            </w:r>
          </w:p>
        </w:tc>
        <w:tc>
          <w:tcPr>
            <w:tcW w:w="1073" w:type="pct"/>
            <w:gridSpan w:val="2"/>
            <w:tcBorders>
              <w:top w:val="single" w:sz="8" w:space="0" w:color="auto"/>
              <w:left w:val="nil"/>
              <w:bottom w:val="nil"/>
              <w:right w:val="nil"/>
            </w:tcBorders>
            <w:shd w:val="clear" w:color="auto" w:fill="auto"/>
            <w:noWrap/>
            <w:tcMar>
              <w:top w:w="17" w:type="dxa"/>
              <w:left w:w="17" w:type="dxa"/>
              <w:bottom w:w="0" w:type="dxa"/>
              <w:right w:w="17" w:type="dxa"/>
            </w:tcMar>
            <w:hideMark/>
          </w:tcPr>
          <w:p w:rsidR="00A55CF9" w:rsidRPr="00B07B55" w:rsidRDefault="00544E70" w:rsidP="00AD13CA">
            <w:pPr>
              <w:pStyle w:val="Tablehead1"/>
              <w:jc w:val="center"/>
              <w:rPr>
                <w:lang w:val="en-GB"/>
              </w:rPr>
            </w:pPr>
            <w:r>
              <w:rPr>
                <w:lang w:val="en-GB"/>
              </w:rPr>
              <w:t>All i</w:t>
            </w:r>
            <w:r w:rsidR="00A55CF9" w:rsidRPr="00B07B55">
              <w:rPr>
                <w:lang w:val="en-GB"/>
              </w:rPr>
              <w:t>ndividuals</w:t>
            </w:r>
          </w:p>
        </w:tc>
        <w:tc>
          <w:tcPr>
            <w:tcW w:w="1077" w:type="pct"/>
            <w:gridSpan w:val="3"/>
            <w:tcBorders>
              <w:top w:val="single" w:sz="8" w:space="0" w:color="auto"/>
              <w:left w:val="nil"/>
              <w:bottom w:val="nil"/>
              <w:right w:val="nil"/>
            </w:tcBorders>
            <w:shd w:val="clear" w:color="auto" w:fill="auto"/>
            <w:noWrap/>
            <w:tcMar>
              <w:top w:w="17" w:type="dxa"/>
              <w:left w:w="17" w:type="dxa"/>
              <w:bottom w:w="0" w:type="dxa"/>
              <w:right w:w="17" w:type="dxa"/>
            </w:tcMar>
            <w:hideMark/>
          </w:tcPr>
          <w:p w:rsidR="00A55CF9" w:rsidRPr="00B07B55" w:rsidRDefault="00EF2740" w:rsidP="00AD13CA">
            <w:pPr>
              <w:pStyle w:val="Tablehead1"/>
              <w:jc w:val="center"/>
              <w:rPr>
                <w:lang w:val="en-GB"/>
              </w:rPr>
            </w:pPr>
            <w:r>
              <w:rPr>
                <w:lang w:val="en-GB"/>
              </w:rPr>
              <w:t>Employees o</w:t>
            </w:r>
            <w:r w:rsidR="00A55CF9" w:rsidRPr="00B07B55">
              <w:rPr>
                <w:lang w:val="en-GB"/>
              </w:rPr>
              <w:t>nly</w:t>
            </w:r>
          </w:p>
        </w:tc>
        <w:tc>
          <w:tcPr>
            <w:tcW w:w="1072" w:type="pct"/>
            <w:gridSpan w:val="3"/>
            <w:tcBorders>
              <w:top w:val="single" w:sz="8" w:space="0" w:color="auto"/>
              <w:left w:val="nil"/>
              <w:bottom w:val="nil"/>
              <w:right w:val="nil"/>
            </w:tcBorders>
            <w:shd w:val="clear" w:color="auto" w:fill="auto"/>
            <w:noWrap/>
            <w:tcMar>
              <w:top w:w="17" w:type="dxa"/>
              <w:left w:w="17" w:type="dxa"/>
              <w:bottom w:w="0" w:type="dxa"/>
              <w:right w:w="17" w:type="dxa"/>
            </w:tcMar>
            <w:hideMark/>
          </w:tcPr>
          <w:p w:rsidR="00A55CF9" w:rsidRPr="00B07B55" w:rsidRDefault="00EF2740" w:rsidP="00AD13CA">
            <w:pPr>
              <w:pStyle w:val="Tablehead1"/>
              <w:jc w:val="center"/>
              <w:rPr>
                <w:lang w:val="en-GB"/>
              </w:rPr>
            </w:pPr>
            <w:r>
              <w:rPr>
                <w:lang w:val="en-GB"/>
              </w:rPr>
              <w:t>All e</w:t>
            </w:r>
            <w:r w:rsidR="00A55CF9" w:rsidRPr="00B07B55">
              <w:rPr>
                <w:lang w:val="en-GB"/>
              </w:rPr>
              <w:t>mployed</w:t>
            </w:r>
          </w:p>
        </w:tc>
      </w:tr>
      <w:tr w:rsidR="001526FB" w:rsidRPr="00B07B55" w:rsidTr="00AD13CA">
        <w:trPr>
          <w:tblHeader/>
        </w:trPr>
        <w:tc>
          <w:tcPr>
            <w:tcW w:w="1778" w:type="pct"/>
            <w:tcBorders>
              <w:top w:val="nil"/>
              <w:left w:val="nil"/>
              <w:bottom w:val="single" w:sz="8" w:space="0" w:color="auto"/>
              <w:right w:val="nil"/>
            </w:tcBorders>
            <w:shd w:val="clear" w:color="auto" w:fill="auto"/>
            <w:noWrap/>
            <w:tcMar>
              <w:top w:w="17" w:type="dxa"/>
              <w:left w:w="17" w:type="dxa"/>
              <w:bottom w:w="0" w:type="dxa"/>
              <w:right w:w="17" w:type="dxa"/>
            </w:tcMar>
            <w:hideMark/>
          </w:tcPr>
          <w:p w:rsidR="00A55CF9" w:rsidRPr="00B07B55" w:rsidRDefault="00A55CF9" w:rsidP="001526FB">
            <w:pPr>
              <w:pStyle w:val="Tablehead2"/>
              <w:rPr>
                <w:lang w:val="en-GB"/>
              </w:rPr>
            </w:pPr>
            <w:r w:rsidRPr="00B07B55">
              <w:rPr>
                <w:lang w:val="en-GB"/>
              </w:rPr>
              <w:t> </w:t>
            </w:r>
          </w:p>
        </w:tc>
        <w:tc>
          <w:tcPr>
            <w:tcW w:w="642" w:type="pct"/>
            <w:tcBorders>
              <w:top w:val="nil"/>
              <w:left w:val="nil"/>
              <w:bottom w:val="single" w:sz="8" w:space="0" w:color="auto"/>
              <w:right w:val="nil"/>
            </w:tcBorders>
            <w:shd w:val="clear" w:color="auto" w:fill="auto"/>
            <w:noWrap/>
            <w:tcMar>
              <w:top w:w="17" w:type="dxa"/>
              <w:left w:w="17" w:type="dxa"/>
              <w:bottom w:w="0" w:type="dxa"/>
              <w:right w:w="17" w:type="dxa"/>
            </w:tcMar>
            <w:hideMark/>
          </w:tcPr>
          <w:p w:rsidR="00A55CF9" w:rsidRPr="00B07B55" w:rsidRDefault="00A55CF9" w:rsidP="00AD13CA">
            <w:pPr>
              <w:pStyle w:val="Tablehead2"/>
              <w:jc w:val="center"/>
              <w:rPr>
                <w:lang w:val="en-GB"/>
              </w:rPr>
            </w:pPr>
            <w:r w:rsidRPr="00B07B55">
              <w:rPr>
                <w:lang w:val="en-GB"/>
              </w:rPr>
              <w:t>Coeff.</w:t>
            </w:r>
          </w:p>
        </w:tc>
        <w:tc>
          <w:tcPr>
            <w:tcW w:w="431" w:type="pct"/>
            <w:tcBorders>
              <w:top w:val="nil"/>
              <w:left w:val="nil"/>
              <w:bottom w:val="single" w:sz="8" w:space="0" w:color="auto"/>
              <w:right w:val="nil"/>
            </w:tcBorders>
            <w:shd w:val="clear" w:color="auto" w:fill="auto"/>
            <w:noWrap/>
            <w:tcMar>
              <w:top w:w="17" w:type="dxa"/>
              <w:left w:w="17" w:type="dxa"/>
              <w:bottom w:w="0" w:type="dxa"/>
              <w:right w:w="17" w:type="dxa"/>
            </w:tcMar>
            <w:hideMark/>
          </w:tcPr>
          <w:p w:rsidR="00A55CF9" w:rsidRPr="00B07B55" w:rsidRDefault="00A55CF9" w:rsidP="00AD13CA">
            <w:pPr>
              <w:pStyle w:val="Tablehead2"/>
              <w:jc w:val="center"/>
              <w:rPr>
                <w:i/>
                <w:iCs/>
                <w:lang w:val="en-GB"/>
              </w:rPr>
            </w:pPr>
            <w:r w:rsidRPr="00B07B55">
              <w:rPr>
                <w:i/>
                <w:iCs/>
                <w:lang w:val="en-GB"/>
              </w:rPr>
              <w:t>t-stat.</w:t>
            </w:r>
          </w:p>
        </w:tc>
        <w:tc>
          <w:tcPr>
            <w:tcW w:w="640" w:type="pct"/>
            <w:tcBorders>
              <w:top w:val="nil"/>
              <w:left w:val="nil"/>
              <w:bottom w:val="single" w:sz="8" w:space="0" w:color="auto"/>
              <w:right w:val="nil"/>
            </w:tcBorders>
            <w:shd w:val="clear" w:color="auto" w:fill="auto"/>
            <w:noWrap/>
            <w:tcMar>
              <w:top w:w="17" w:type="dxa"/>
              <w:left w:w="17" w:type="dxa"/>
              <w:bottom w:w="0" w:type="dxa"/>
              <w:right w:w="17" w:type="dxa"/>
            </w:tcMar>
            <w:hideMark/>
          </w:tcPr>
          <w:p w:rsidR="00A55CF9" w:rsidRPr="00B07B55" w:rsidRDefault="00A55CF9" w:rsidP="00AD13CA">
            <w:pPr>
              <w:pStyle w:val="Tablehead2"/>
              <w:jc w:val="center"/>
              <w:rPr>
                <w:lang w:val="en-GB"/>
              </w:rPr>
            </w:pPr>
            <w:r w:rsidRPr="00B07B55">
              <w:rPr>
                <w:lang w:val="en-GB"/>
              </w:rPr>
              <w:t>Coeff.</w:t>
            </w:r>
          </w:p>
        </w:tc>
        <w:tc>
          <w:tcPr>
            <w:tcW w:w="431" w:type="pct"/>
            <w:tcBorders>
              <w:top w:val="nil"/>
              <w:left w:val="nil"/>
              <w:bottom w:val="single" w:sz="8" w:space="0" w:color="auto"/>
              <w:right w:val="nil"/>
            </w:tcBorders>
            <w:shd w:val="clear" w:color="auto" w:fill="auto"/>
            <w:noWrap/>
            <w:tcMar>
              <w:top w:w="17" w:type="dxa"/>
              <w:left w:w="17" w:type="dxa"/>
              <w:bottom w:w="0" w:type="dxa"/>
              <w:right w:w="17" w:type="dxa"/>
            </w:tcMar>
            <w:hideMark/>
          </w:tcPr>
          <w:p w:rsidR="00A55CF9" w:rsidRPr="00B07B55" w:rsidRDefault="00A55CF9" w:rsidP="00AD13CA">
            <w:pPr>
              <w:pStyle w:val="Tablehead2"/>
              <w:jc w:val="center"/>
              <w:rPr>
                <w:i/>
                <w:iCs/>
                <w:lang w:val="en-GB"/>
              </w:rPr>
            </w:pPr>
            <w:r w:rsidRPr="00B07B55">
              <w:rPr>
                <w:i/>
                <w:iCs/>
                <w:lang w:val="en-GB"/>
              </w:rPr>
              <w:t>t-stat.</w:t>
            </w:r>
          </w:p>
        </w:tc>
        <w:tc>
          <w:tcPr>
            <w:tcW w:w="642" w:type="pct"/>
            <w:gridSpan w:val="2"/>
            <w:tcBorders>
              <w:top w:val="nil"/>
              <w:left w:val="nil"/>
              <w:bottom w:val="single" w:sz="8" w:space="0" w:color="auto"/>
              <w:right w:val="nil"/>
            </w:tcBorders>
            <w:shd w:val="clear" w:color="auto" w:fill="auto"/>
            <w:noWrap/>
            <w:tcMar>
              <w:top w:w="17" w:type="dxa"/>
              <w:left w:w="17" w:type="dxa"/>
              <w:bottom w:w="0" w:type="dxa"/>
              <w:right w:w="17" w:type="dxa"/>
            </w:tcMar>
            <w:hideMark/>
          </w:tcPr>
          <w:p w:rsidR="00A55CF9" w:rsidRPr="00B07B55" w:rsidRDefault="00A55CF9" w:rsidP="00AD13CA">
            <w:pPr>
              <w:pStyle w:val="Tablehead2"/>
              <w:jc w:val="center"/>
              <w:rPr>
                <w:lang w:val="en-GB"/>
              </w:rPr>
            </w:pPr>
            <w:r w:rsidRPr="00B07B55">
              <w:rPr>
                <w:lang w:val="en-GB"/>
              </w:rPr>
              <w:t>Coeff.</w:t>
            </w:r>
          </w:p>
        </w:tc>
        <w:tc>
          <w:tcPr>
            <w:tcW w:w="436" w:type="pct"/>
            <w:gridSpan w:val="2"/>
            <w:tcBorders>
              <w:top w:val="nil"/>
              <w:left w:val="nil"/>
              <w:bottom w:val="single" w:sz="8" w:space="0" w:color="auto"/>
              <w:right w:val="nil"/>
            </w:tcBorders>
            <w:shd w:val="clear" w:color="auto" w:fill="auto"/>
            <w:noWrap/>
            <w:tcMar>
              <w:top w:w="17" w:type="dxa"/>
              <w:left w:w="17" w:type="dxa"/>
              <w:bottom w:w="0" w:type="dxa"/>
              <w:right w:w="17" w:type="dxa"/>
            </w:tcMar>
            <w:hideMark/>
          </w:tcPr>
          <w:p w:rsidR="00A55CF9" w:rsidRPr="00B07B55" w:rsidRDefault="00A55CF9" w:rsidP="00AD13CA">
            <w:pPr>
              <w:pStyle w:val="Tablehead2"/>
              <w:jc w:val="center"/>
              <w:rPr>
                <w:i/>
                <w:iCs/>
                <w:lang w:val="en-GB"/>
              </w:rPr>
            </w:pPr>
            <w:r w:rsidRPr="00B07B55">
              <w:rPr>
                <w:i/>
                <w:iCs/>
                <w:lang w:val="en-GB"/>
              </w:rPr>
              <w:t>t-stat.</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EA0C91" w:rsidRPr="009B641C" w:rsidRDefault="00EA0C91" w:rsidP="001526FB">
            <w:pPr>
              <w:pStyle w:val="Tabletext"/>
              <w:rPr>
                <w:b/>
                <w:lang w:val="en-GB"/>
              </w:rPr>
            </w:pPr>
            <w:r w:rsidRPr="009B641C">
              <w:rPr>
                <w:b/>
                <w:lang w:val="en-GB"/>
              </w:rPr>
              <w:t>R</w:t>
            </w:r>
            <w:r w:rsidR="00EF2740" w:rsidRPr="009B641C">
              <w:rPr>
                <w:b/>
                <w:lang w:val="en-GB"/>
              </w:rPr>
              <w:t>eference category: age group 25–</w:t>
            </w:r>
            <w:r w:rsidRPr="009B641C">
              <w:rPr>
                <w:b/>
                <w:lang w:val="en-GB"/>
              </w:rPr>
              <w:t>29</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12"/>
              </w:tabs>
              <w:rPr>
                <w:lang w:val="en-GB"/>
              </w:rPr>
            </w:pPr>
          </w:p>
        </w:tc>
        <w:tc>
          <w:tcPr>
            <w:tcW w:w="640" w:type="pct"/>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12"/>
              </w:tabs>
              <w:rPr>
                <w:lang w:val="en-GB"/>
              </w:rPr>
            </w:pP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69"/>
              </w:tabs>
              <w:rPr>
                <w:lang w:val="en-GB"/>
              </w:rPr>
            </w:pP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12"/>
              </w:tabs>
              <w:rPr>
                <w:lang w:val="en-GB"/>
              </w:rPr>
            </w:pP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E219CC" w:rsidRPr="00B07B55" w:rsidRDefault="00E219CC" w:rsidP="001526FB">
            <w:pPr>
              <w:pStyle w:val="Tabletext"/>
              <w:rPr>
                <w:lang w:val="en-GB"/>
              </w:rPr>
            </w:pPr>
            <w:r>
              <w:rPr>
                <w:lang w:val="en-GB"/>
              </w:rPr>
              <w:t>Age group: 30–</w:t>
            </w:r>
            <w:r w:rsidRPr="00B07B55">
              <w:rPr>
                <w:lang w:val="en-GB"/>
              </w:rPr>
              <w:t>3</w:t>
            </w:r>
            <w:r>
              <w:rPr>
                <w:lang w:val="en-GB"/>
              </w:rPr>
              <w:t>4</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-0.0201</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-0.51</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0.0111</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0.20</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0.0106</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0.20</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E219CC" w:rsidRPr="00B07B55" w:rsidRDefault="00E219CC" w:rsidP="001526FB">
            <w:pPr>
              <w:pStyle w:val="Tabletext"/>
              <w:rPr>
                <w:lang w:val="en-GB"/>
              </w:rPr>
            </w:pPr>
            <w:r>
              <w:rPr>
                <w:lang w:val="en-GB"/>
              </w:rPr>
              <w:t>Age group: 35–39</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-0.0603</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-1.56</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-0.036</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-0.66</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-0.033</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-0.64</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E219CC" w:rsidRPr="00B07B55" w:rsidRDefault="00E219CC" w:rsidP="001526FB">
            <w:pPr>
              <w:pStyle w:val="Tabletext"/>
              <w:rPr>
                <w:lang w:val="en-GB"/>
              </w:rPr>
            </w:pPr>
            <w:r>
              <w:rPr>
                <w:lang w:val="en-GB"/>
              </w:rPr>
              <w:t>Age group: 40–</w:t>
            </w:r>
            <w:r w:rsidRPr="00B07B55">
              <w:rPr>
                <w:lang w:val="en-GB"/>
              </w:rPr>
              <w:t>4</w:t>
            </w:r>
            <w:r>
              <w:rPr>
                <w:lang w:val="en-GB"/>
              </w:rPr>
              <w:t>4</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-0.101</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-2.71</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-0.0549</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-1.02</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-0.0685</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-1.38</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E219CC" w:rsidRPr="00B07B55" w:rsidRDefault="00E219CC" w:rsidP="001526FB">
            <w:pPr>
              <w:pStyle w:val="Tabletext"/>
              <w:rPr>
                <w:lang w:val="en-GB"/>
              </w:rPr>
            </w:pPr>
            <w:r>
              <w:rPr>
                <w:lang w:val="en-GB"/>
              </w:rPr>
              <w:t>Age group: 45–49</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-0.117</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-3.19</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-0.0378</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-0.70</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-0.0562</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-1.12</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E219CC" w:rsidRPr="00B07B55" w:rsidRDefault="00E219CC" w:rsidP="001526FB">
            <w:pPr>
              <w:pStyle w:val="Tabletext"/>
              <w:rPr>
                <w:lang w:val="en-GB"/>
              </w:rPr>
            </w:pPr>
            <w:r>
              <w:rPr>
                <w:lang w:val="en-GB"/>
              </w:rPr>
              <w:t>Age group: 50–</w:t>
            </w:r>
            <w:r w:rsidRPr="00B07B55">
              <w:rPr>
                <w:lang w:val="en-GB"/>
              </w:rPr>
              <w:t>57</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-0.189</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-5.68</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-0.151</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-3.14</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-0.14</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-3.10</w:t>
            </w:r>
          </w:p>
        </w:tc>
      </w:tr>
      <w:tr w:rsidR="001526FB" w:rsidRPr="00C419F3"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EA0C91" w:rsidRPr="009B641C" w:rsidRDefault="00EA0C91" w:rsidP="001526FB">
            <w:pPr>
              <w:pStyle w:val="Tabletext"/>
              <w:rPr>
                <w:b/>
                <w:lang w:val="en-GB"/>
              </w:rPr>
            </w:pPr>
            <w:r w:rsidRPr="009B641C">
              <w:rPr>
                <w:b/>
                <w:lang w:val="en-GB"/>
              </w:rPr>
              <w:t>Reference category: below Year 10*</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EA0C91" w:rsidRPr="00C419F3" w:rsidRDefault="00EA0C91"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EA0C91" w:rsidRPr="00C419F3" w:rsidRDefault="00EA0C91" w:rsidP="00AD13CA">
            <w:pPr>
              <w:pStyle w:val="Tabletext"/>
              <w:tabs>
                <w:tab w:val="decimal" w:pos="312"/>
              </w:tabs>
              <w:rPr>
                <w:lang w:val="en-GB"/>
              </w:rPr>
            </w:pPr>
          </w:p>
        </w:tc>
        <w:tc>
          <w:tcPr>
            <w:tcW w:w="640" w:type="pct"/>
            <w:tcBorders>
              <w:top w:val="nil"/>
              <w:left w:val="nil"/>
              <w:bottom w:val="nil"/>
              <w:right w:val="nil"/>
            </w:tcBorders>
            <w:shd w:val="clear" w:color="auto" w:fill="auto"/>
            <w:tcMar>
              <w:top w:w="17" w:type="dxa"/>
              <w:left w:w="17" w:type="dxa"/>
              <w:bottom w:w="0" w:type="dxa"/>
              <w:right w:w="17" w:type="dxa"/>
            </w:tcMar>
            <w:hideMark/>
          </w:tcPr>
          <w:p w:rsidR="00EA0C91" w:rsidRPr="00C419F3" w:rsidRDefault="00EA0C91"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EA0C91" w:rsidRPr="00C419F3" w:rsidRDefault="00EA0C91" w:rsidP="00AD13CA">
            <w:pPr>
              <w:pStyle w:val="Tabletext"/>
              <w:tabs>
                <w:tab w:val="decimal" w:pos="312"/>
              </w:tabs>
              <w:rPr>
                <w:lang w:val="en-GB"/>
              </w:rPr>
            </w:pP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EA0C91" w:rsidRPr="00C419F3" w:rsidRDefault="00EA0C91" w:rsidP="00AD13CA">
            <w:pPr>
              <w:pStyle w:val="Tabletext"/>
              <w:tabs>
                <w:tab w:val="decimal" w:pos="369"/>
              </w:tabs>
              <w:rPr>
                <w:lang w:val="en-GB"/>
              </w:rPr>
            </w:pP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EA0C91" w:rsidRPr="00C419F3" w:rsidRDefault="00EA0C91" w:rsidP="00AD13CA">
            <w:pPr>
              <w:pStyle w:val="Tabletext"/>
              <w:tabs>
                <w:tab w:val="decimal" w:pos="312"/>
              </w:tabs>
              <w:rPr>
                <w:lang w:val="en-GB"/>
              </w:rPr>
            </w:pP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E219CC" w:rsidP="001526FB">
            <w:pPr>
              <w:pStyle w:val="Tabletext"/>
              <w:rPr>
                <w:lang w:val="en-GB"/>
              </w:rPr>
            </w:pPr>
            <w:r>
              <w:rPr>
                <w:lang w:val="en-GB"/>
              </w:rPr>
              <w:t>Post</w:t>
            </w:r>
            <w:r w:rsidR="00A55CF9" w:rsidRPr="00B07B55">
              <w:rPr>
                <w:lang w:val="en-GB"/>
              </w:rPr>
              <w:t>graduate degree</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0.200</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2.21</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0.177</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1.61</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0.207</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1.89</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1526FB">
            <w:pPr>
              <w:pStyle w:val="Tabletext"/>
              <w:rPr>
                <w:lang w:val="en-GB"/>
              </w:rPr>
            </w:pPr>
            <w:r w:rsidRPr="00B07B55">
              <w:rPr>
                <w:lang w:val="en-GB"/>
              </w:rPr>
              <w:t>Graduate certificate or diploma</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0.077</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1.06</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0.0716</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0.81</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0.128</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1.48</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1526FB">
            <w:pPr>
              <w:pStyle w:val="Tabletext"/>
              <w:rPr>
                <w:lang w:val="en-GB"/>
              </w:rPr>
            </w:pPr>
            <w:r w:rsidRPr="00B07B55">
              <w:rPr>
                <w:lang w:val="en-GB"/>
              </w:rPr>
              <w:t>Bachelor</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0.187</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2.97</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0.230</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2.87</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0.223</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2.90</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1526FB">
            <w:pPr>
              <w:pStyle w:val="Tabletext"/>
              <w:rPr>
                <w:lang w:val="en-GB"/>
              </w:rPr>
            </w:pPr>
            <w:r w:rsidRPr="00B07B55">
              <w:rPr>
                <w:lang w:val="en-GB"/>
              </w:rPr>
              <w:t>Advanced diploma / diploma</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0.116</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1.82</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0.128</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1.52</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0.146</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1.83</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E219CC" w:rsidRPr="00B07B55" w:rsidRDefault="00E219CC" w:rsidP="001526FB">
            <w:pPr>
              <w:pStyle w:val="Tabletext"/>
              <w:rPr>
                <w:lang w:val="en-GB"/>
              </w:rPr>
            </w:pPr>
            <w:r>
              <w:rPr>
                <w:lang w:val="en-GB"/>
              </w:rPr>
              <w:t>Certificate III/</w:t>
            </w:r>
            <w:r w:rsidRPr="00B07B55">
              <w:rPr>
                <w:lang w:val="en-GB"/>
              </w:rPr>
              <w:t>IV</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0.140</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2.23</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0.153</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1.76</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0.119</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1.49</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E219CC" w:rsidRPr="00B07B55" w:rsidRDefault="00E219CC" w:rsidP="001526FB">
            <w:pPr>
              <w:pStyle w:val="Tabletext"/>
              <w:rPr>
                <w:lang w:val="en-GB"/>
              </w:rPr>
            </w:pPr>
            <w:r>
              <w:rPr>
                <w:lang w:val="en-GB"/>
              </w:rPr>
              <w:t>Certificate I/</w:t>
            </w:r>
            <w:r w:rsidRPr="00B07B55">
              <w:rPr>
                <w:lang w:val="en-GB"/>
              </w:rPr>
              <w:t>II</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0.331</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3.31</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0.320</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2.26</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69"/>
              </w:tabs>
              <w:rPr>
                <w:lang w:val="en-GB"/>
              </w:rPr>
            </w:pPr>
            <w:r w:rsidRPr="00B07B55">
              <w:rPr>
                <w:lang w:val="en-GB"/>
              </w:rPr>
              <w:t>0.288</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E219CC" w:rsidRPr="00B07B55" w:rsidRDefault="00E219CC" w:rsidP="00AD13CA">
            <w:pPr>
              <w:pStyle w:val="Tabletext"/>
              <w:tabs>
                <w:tab w:val="decimal" w:pos="312"/>
              </w:tabs>
              <w:rPr>
                <w:lang w:val="en-GB"/>
              </w:rPr>
            </w:pPr>
            <w:r w:rsidRPr="00B07B55">
              <w:rPr>
                <w:lang w:val="en-GB"/>
              </w:rPr>
              <w:t>2.16</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1526FB">
            <w:pPr>
              <w:pStyle w:val="Tabletext"/>
              <w:rPr>
                <w:lang w:val="en-GB"/>
              </w:rPr>
            </w:pPr>
            <w:r w:rsidRPr="00B07B55">
              <w:rPr>
                <w:lang w:val="en-GB"/>
              </w:rPr>
              <w:t>Certificate not defined</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0.0282</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0.21</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0.0833</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0.37</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0.265</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1.40</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1526FB">
            <w:pPr>
              <w:pStyle w:val="Tabletext"/>
              <w:rPr>
                <w:lang w:val="en-GB"/>
              </w:rPr>
            </w:pPr>
            <w:r w:rsidRPr="00B07B55">
              <w:rPr>
                <w:lang w:val="en-GB"/>
              </w:rPr>
              <w:t>Year 12</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0.108</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1.84</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0.107</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1.33</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0.116</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1.57</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1526FB">
            <w:pPr>
              <w:pStyle w:val="Tabletext"/>
              <w:rPr>
                <w:lang w:val="en-GB"/>
              </w:rPr>
            </w:pPr>
            <w:r w:rsidRPr="00B07B55">
              <w:rPr>
                <w:lang w:val="en-GB"/>
              </w:rPr>
              <w:t>Year 10 or 11</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0.0893</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1.71</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0.0812</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1.10</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0.0854</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1.27</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EA0C91" w:rsidRPr="009B641C" w:rsidRDefault="00EA0C91" w:rsidP="001526FB">
            <w:pPr>
              <w:pStyle w:val="Tabletext"/>
              <w:rPr>
                <w:b/>
                <w:lang w:val="en-GB"/>
              </w:rPr>
            </w:pPr>
            <w:r w:rsidRPr="009B641C">
              <w:rPr>
                <w:b/>
                <w:lang w:val="en-GB"/>
              </w:rPr>
              <w:t>Reference category: non-immigrant</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12"/>
              </w:tabs>
              <w:rPr>
                <w:lang w:val="en-GB"/>
              </w:rPr>
            </w:pPr>
          </w:p>
        </w:tc>
        <w:tc>
          <w:tcPr>
            <w:tcW w:w="640" w:type="pct"/>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12"/>
              </w:tabs>
              <w:rPr>
                <w:lang w:val="en-GB"/>
              </w:rPr>
            </w:pP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69"/>
              </w:tabs>
              <w:rPr>
                <w:lang w:val="en-GB"/>
              </w:rPr>
            </w:pP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12"/>
              </w:tabs>
              <w:rPr>
                <w:lang w:val="en-GB"/>
              </w:rPr>
            </w:pP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1526FB">
            <w:pPr>
              <w:pStyle w:val="Tabletext"/>
              <w:rPr>
                <w:lang w:val="en-GB"/>
              </w:rPr>
            </w:pPr>
            <w:r w:rsidRPr="00B07B55">
              <w:rPr>
                <w:lang w:val="en-GB"/>
              </w:rPr>
              <w:t>Immigrant, English speaking</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-0.00177</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-0.05</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-0.0504</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-1.12</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-0.0195</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-0.45</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1526FB">
            <w:pPr>
              <w:pStyle w:val="Tabletext"/>
              <w:rPr>
                <w:lang w:val="en-GB"/>
              </w:rPr>
            </w:pPr>
            <w:r w:rsidRPr="00B07B55">
              <w:rPr>
                <w:lang w:val="en-GB"/>
              </w:rPr>
              <w:t>Immigrant, non-English speaking</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-0.0642</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-1.87</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-0.123</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-2.79</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-0.108</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-2.55</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1526FB" w:rsidRPr="009B641C" w:rsidRDefault="001526FB" w:rsidP="001526FB">
            <w:pPr>
              <w:pStyle w:val="Tabletext"/>
              <w:rPr>
                <w:b/>
                <w:lang w:val="en-GB"/>
              </w:rPr>
            </w:pPr>
            <w:r w:rsidRPr="009B641C">
              <w:rPr>
                <w:b/>
                <w:lang w:val="en-GB"/>
              </w:rPr>
              <w:t xml:space="preserve">Reference category: father job status – </w:t>
            </w:r>
            <w:r w:rsidRPr="009B641C">
              <w:rPr>
                <w:b/>
                <w:lang w:val="en-GB"/>
              </w:rPr>
              <w:br/>
              <w:t>fourth quartile</w:t>
            </w:r>
          </w:p>
        </w:tc>
        <w:tc>
          <w:tcPr>
            <w:tcW w:w="642" w:type="pct"/>
            <w:tcBorders>
              <w:top w:val="nil"/>
              <w:left w:val="nil"/>
              <w:bottom w:val="nil"/>
              <w:right w:val="nil"/>
            </w:tcBorders>
            <w:shd w:val="clear" w:color="auto" w:fill="auto"/>
          </w:tcPr>
          <w:p w:rsidR="001526FB" w:rsidRPr="001526FB" w:rsidRDefault="001526FB" w:rsidP="00AD13CA">
            <w:pPr>
              <w:pStyle w:val="Tabletext"/>
              <w:tabs>
                <w:tab w:val="decimal" w:pos="369"/>
              </w:tabs>
              <w:rPr>
                <w:i/>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1526FB" w:rsidRPr="00B07B55" w:rsidRDefault="001526FB" w:rsidP="00AD13CA">
            <w:pPr>
              <w:pStyle w:val="Tabletext"/>
              <w:tabs>
                <w:tab w:val="decimal" w:pos="312"/>
              </w:tabs>
              <w:rPr>
                <w:lang w:val="en-GB"/>
              </w:rPr>
            </w:pPr>
          </w:p>
        </w:tc>
        <w:tc>
          <w:tcPr>
            <w:tcW w:w="640" w:type="pct"/>
            <w:tcBorders>
              <w:top w:val="nil"/>
              <w:left w:val="nil"/>
              <w:bottom w:val="nil"/>
              <w:right w:val="nil"/>
            </w:tcBorders>
            <w:shd w:val="clear" w:color="auto" w:fill="auto"/>
            <w:tcMar>
              <w:top w:w="17" w:type="dxa"/>
              <w:left w:w="17" w:type="dxa"/>
              <w:bottom w:w="0" w:type="dxa"/>
              <w:right w:w="17" w:type="dxa"/>
            </w:tcMar>
            <w:hideMark/>
          </w:tcPr>
          <w:p w:rsidR="001526FB" w:rsidRPr="00B07B55" w:rsidRDefault="001526FB"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1526FB" w:rsidRPr="00B07B55" w:rsidRDefault="001526FB" w:rsidP="00AD13CA">
            <w:pPr>
              <w:pStyle w:val="Tabletext"/>
              <w:tabs>
                <w:tab w:val="decimal" w:pos="312"/>
              </w:tabs>
              <w:rPr>
                <w:lang w:val="en-GB"/>
              </w:rPr>
            </w:pP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1526FB" w:rsidRPr="00B07B55" w:rsidRDefault="001526FB" w:rsidP="00AD13CA">
            <w:pPr>
              <w:pStyle w:val="Tabletext"/>
              <w:tabs>
                <w:tab w:val="decimal" w:pos="369"/>
              </w:tabs>
              <w:rPr>
                <w:lang w:val="en-GB"/>
              </w:rPr>
            </w:pP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1526FB" w:rsidRPr="00B07B55" w:rsidRDefault="001526FB" w:rsidP="00AD13CA">
            <w:pPr>
              <w:pStyle w:val="Tabletext"/>
              <w:tabs>
                <w:tab w:val="decimal" w:pos="312"/>
              </w:tabs>
              <w:rPr>
                <w:lang w:val="en-GB"/>
              </w:rPr>
            </w:pP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1526FB">
            <w:pPr>
              <w:pStyle w:val="Tabletext"/>
              <w:rPr>
                <w:lang w:val="en-GB"/>
              </w:rPr>
            </w:pPr>
            <w:r w:rsidRPr="00B07B55">
              <w:rPr>
                <w:lang w:val="en-GB"/>
              </w:rPr>
              <w:t>F</w:t>
            </w:r>
            <w:r w:rsidR="00E219CC">
              <w:rPr>
                <w:lang w:val="en-GB"/>
              </w:rPr>
              <w:t>ather job status –</w:t>
            </w:r>
            <w:r w:rsidRPr="00B07B55">
              <w:rPr>
                <w:lang w:val="en-GB"/>
              </w:rPr>
              <w:t xml:space="preserve"> first quartile</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-0.027</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-0.81</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-0.0293</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-0.67</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-0.00011</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0.00</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E219CC" w:rsidP="001526FB">
            <w:pPr>
              <w:pStyle w:val="Tabletext"/>
              <w:rPr>
                <w:lang w:val="en-GB"/>
              </w:rPr>
            </w:pPr>
            <w:r>
              <w:rPr>
                <w:lang w:val="en-GB"/>
              </w:rPr>
              <w:t>Father job status –</w:t>
            </w:r>
            <w:r w:rsidR="00A55CF9" w:rsidRPr="00B07B55">
              <w:rPr>
                <w:lang w:val="en-GB"/>
              </w:rPr>
              <w:t xml:space="preserve"> second quartile</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-0.0238</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-0.77</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-0.0714</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-1.84</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-0.0456</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-1.23</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E219CC" w:rsidP="001526FB">
            <w:pPr>
              <w:pStyle w:val="Tabletext"/>
              <w:rPr>
                <w:lang w:val="en-GB"/>
              </w:rPr>
            </w:pPr>
            <w:r>
              <w:rPr>
                <w:lang w:val="en-GB"/>
              </w:rPr>
              <w:t>Father job status –</w:t>
            </w:r>
            <w:r w:rsidR="00A55CF9" w:rsidRPr="00B07B55">
              <w:rPr>
                <w:lang w:val="en-GB"/>
              </w:rPr>
              <w:t xml:space="preserve"> third quartile</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-0.0105</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-0.35</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-0.00742</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-0.19</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0.0218</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0.59</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1526FB" w:rsidRPr="009B641C" w:rsidRDefault="001526FB" w:rsidP="001526FB">
            <w:pPr>
              <w:pStyle w:val="Tabletext"/>
              <w:rPr>
                <w:b/>
                <w:lang w:val="en-GB"/>
              </w:rPr>
            </w:pPr>
            <w:r w:rsidRPr="009B641C">
              <w:rPr>
                <w:b/>
                <w:lang w:val="en-GB"/>
              </w:rPr>
              <w:t xml:space="preserve">Reference category: mother job status – </w:t>
            </w:r>
            <w:r w:rsidRPr="009B641C">
              <w:rPr>
                <w:b/>
                <w:lang w:val="en-GB"/>
              </w:rPr>
              <w:br/>
              <w:t>fourth quartile</w:t>
            </w:r>
          </w:p>
        </w:tc>
        <w:tc>
          <w:tcPr>
            <w:tcW w:w="642" w:type="pct"/>
            <w:tcBorders>
              <w:top w:val="nil"/>
              <w:left w:val="nil"/>
              <w:bottom w:val="nil"/>
              <w:right w:val="nil"/>
            </w:tcBorders>
            <w:shd w:val="clear" w:color="auto" w:fill="auto"/>
          </w:tcPr>
          <w:p w:rsidR="001526FB" w:rsidRPr="001526FB" w:rsidRDefault="001526FB" w:rsidP="00AD13CA">
            <w:pPr>
              <w:pStyle w:val="Tabletext"/>
              <w:tabs>
                <w:tab w:val="decimal" w:pos="369"/>
              </w:tabs>
              <w:rPr>
                <w:i/>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1526FB" w:rsidRPr="00B07B55" w:rsidRDefault="001526FB" w:rsidP="00AD13CA">
            <w:pPr>
              <w:pStyle w:val="Tabletext"/>
              <w:tabs>
                <w:tab w:val="decimal" w:pos="312"/>
              </w:tabs>
              <w:rPr>
                <w:lang w:val="en-GB"/>
              </w:rPr>
            </w:pPr>
          </w:p>
        </w:tc>
        <w:tc>
          <w:tcPr>
            <w:tcW w:w="640" w:type="pct"/>
            <w:tcBorders>
              <w:top w:val="nil"/>
              <w:left w:val="nil"/>
              <w:bottom w:val="nil"/>
              <w:right w:val="nil"/>
            </w:tcBorders>
            <w:shd w:val="clear" w:color="auto" w:fill="auto"/>
            <w:tcMar>
              <w:top w:w="17" w:type="dxa"/>
              <w:left w:w="17" w:type="dxa"/>
              <w:bottom w:w="0" w:type="dxa"/>
              <w:right w:w="17" w:type="dxa"/>
            </w:tcMar>
            <w:hideMark/>
          </w:tcPr>
          <w:p w:rsidR="001526FB" w:rsidRPr="00B07B55" w:rsidRDefault="001526FB"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1526FB" w:rsidRPr="00B07B55" w:rsidRDefault="001526FB" w:rsidP="00AD13CA">
            <w:pPr>
              <w:pStyle w:val="Tabletext"/>
              <w:tabs>
                <w:tab w:val="decimal" w:pos="312"/>
              </w:tabs>
              <w:rPr>
                <w:lang w:val="en-GB"/>
              </w:rPr>
            </w:pP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1526FB" w:rsidRPr="00B07B55" w:rsidRDefault="001526FB" w:rsidP="00AD13CA">
            <w:pPr>
              <w:pStyle w:val="Tabletext"/>
              <w:tabs>
                <w:tab w:val="decimal" w:pos="369"/>
              </w:tabs>
              <w:rPr>
                <w:lang w:val="en-GB"/>
              </w:rPr>
            </w:pP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1526FB" w:rsidRPr="00B07B55" w:rsidRDefault="001526FB" w:rsidP="00AD13CA">
            <w:pPr>
              <w:pStyle w:val="Tabletext"/>
              <w:tabs>
                <w:tab w:val="decimal" w:pos="312"/>
              </w:tabs>
              <w:rPr>
                <w:lang w:val="en-GB"/>
              </w:rPr>
            </w:pP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E219CC" w:rsidP="001526FB">
            <w:pPr>
              <w:pStyle w:val="Tabletext"/>
              <w:rPr>
                <w:lang w:val="en-GB"/>
              </w:rPr>
            </w:pPr>
            <w:r>
              <w:rPr>
                <w:lang w:val="en-GB"/>
              </w:rPr>
              <w:t>Mother job status –</w:t>
            </w:r>
            <w:r w:rsidR="00A55CF9" w:rsidRPr="00B07B55">
              <w:rPr>
                <w:lang w:val="en-GB"/>
              </w:rPr>
              <w:t xml:space="preserve"> first quartile</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-0.0184</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-0.57</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-0.028</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-0.66</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-0.0121</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-0.30</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E219CC" w:rsidP="001526FB">
            <w:pPr>
              <w:pStyle w:val="Tabletext"/>
              <w:rPr>
                <w:lang w:val="en-GB"/>
              </w:rPr>
            </w:pPr>
            <w:r>
              <w:rPr>
                <w:lang w:val="en-GB"/>
              </w:rPr>
              <w:t>Mother job status –</w:t>
            </w:r>
            <w:r w:rsidR="00A55CF9" w:rsidRPr="00B07B55">
              <w:rPr>
                <w:lang w:val="en-GB"/>
              </w:rPr>
              <w:t xml:space="preserve"> second quartile</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-0.0127</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-0.37</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-0.0166</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-0.36</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0.00705</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0.16</w:t>
            </w:r>
          </w:p>
        </w:tc>
      </w:tr>
      <w:tr w:rsidR="001526FB" w:rsidRPr="00B07B55" w:rsidTr="00AD13CA">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E219CC" w:rsidP="001526FB">
            <w:pPr>
              <w:pStyle w:val="Tabletext"/>
              <w:rPr>
                <w:lang w:val="en-GB"/>
              </w:rPr>
            </w:pPr>
            <w:r>
              <w:rPr>
                <w:lang w:val="en-GB"/>
              </w:rPr>
              <w:t>Mother job status –</w:t>
            </w:r>
            <w:r w:rsidR="00A55CF9" w:rsidRPr="00B07B55">
              <w:rPr>
                <w:lang w:val="en-GB"/>
              </w:rPr>
              <w:t xml:space="preserve"> third quartile</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0.00858</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0.29</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-0.00767</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-0.20</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-0.0187</w:t>
            </w:r>
          </w:p>
        </w:tc>
        <w:tc>
          <w:tcPr>
            <w:tcW w:w="436"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-0.54</w:t>
            </w:r>
          </w:p>
        </w:tc>
      </w:tr>
      <w:tr w:rsidR="001526FB" w:rsidRPr="00B07B55" w:rsidTr="00AD13CA">
        <w:trPr>
          <w:gridAfter w:val="1"/>
          <w:wAfter w:w="8" w:type="pct"/>
        </w:trPr>
        <w:tc>
          <w:tcPr>
            <w:tcW w:w="1778" w:type="pct"/>
            <w:tcBorders>
              <w:top w:val="nil"/>
              <w:left w:val="nil"/>
              <w:bottom w:val="nil"/>
              <w:right w:val="nil"/>
            </w:tcBorders>
            <w:shd w:val="clear" w:color="auto" w:fill="auto"/>
            <w:tcMar>
              <w:top w:w="17" w:type="dxa"/>
              <w:left w:w="17" w:type="dxa"/>
              <w:bottom w:w="0" w:type="dxa"/>
              <w:right w:w="17" w:type="dxa"/>
            </w:tcMar>
            <w:hideMark/>
          </w:tcPr>
          <w:p w:rsidR="00EA0C91" w:rsidRPr="009B641C" w:rsidRDefault="00EA0C91" w:rsidP="001526FB">
            <w:pPr>
              <w:pStyle w:val="Tabletext"/>
              <w:rPr>
                <w:b/>
                <w:lang w:val="en-GB"/>
              </w:rPr>
            </w:pPr>
            <w:r w:rsidRPr="009B641C">
              <w:rPr>
                <w:b/>
                <w:lang w:val="en-GB"/>
              </w:rPr>
              <w:t>Reference category: married</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12"/>
              </w:tabs>
              <w:rPr>
                <w:lang w:val="en-GB"/>
              </w:rPr>
            </w:pPr>
          </w:p>
        </w:tc>
        <w:tc>
          <w:tcPr>
            <w:tcW w:w="640" w:type="pct"/>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12"/>
              </w:tabs>
              <w:rPr>
                <w:lang w:val="en-GB"/>
              </w:rPr>
            </w:pP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69"/>
              </w:tabs>
              <w:rPr>
                <w:lang w:val="en-GB"/>
              </w:rPr>
            </w:pPr>
          </w:p>
        </w:tc>
        <w:tc>
          <w:tcPr>
            <w:tcW w:w="428" w:type="pct"/>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12"/>
              </w:tabs>
              <w:rPr>
                <w:lang w:val="en-GB"/>
              </w:rPr>
            </w:pPr>
          </w:p>
        </w:tc>
      </w:tr>
      <w:tr w:rsidR="001526FB" w:rsidRPr="00B07B55" w:rsidTr="00AD13CA">
        <w:trPr>
          <w:gridAfter w:val="1"/>
          <w:wAfter w:w="8" w:type="pct"/>
        </w:trPr>
        <w:tc>
          <w:tcPr>
            <w:tcW w:w="177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1526FB">
            <w:pPr>
              <w:pStyle w:val="Tabletext"/>
              <w:rPr>
                <w:lang w:val="en-GB"/>
              </w:rPr>
            </w:pPr>
            <w:r w:rsidRPr="00B07B55">
              <w:rPr>
                <w:lang w:val="en-GB"/>
              </w:rPr>
              <w:t>De facto</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0.0165</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0.45</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0.0251</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0.52</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0.0374</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0.81</w:t>
            </w:r>
          </w:p>
        </w:tc>
      </w:tr>
      <w:tr w:rsidR="001526FB" w:rsidRPr="00B07B55" w:rsidTr="00AD13CA">
        <w:trPr>
          <w:gridAfter w:val="1"/>
          <w:wAfter w:w="8" w:type="pct"/>
        </w:trPr>
        <w:tc>
          <w:tcPr>
            <w:tcW w:w="177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1526FB">
            <w:pPr>
              <w:pStyle w:val="Tabletext"/>
              <w:rPr>
                <w:lang w:val="en-GB"/>
              </w:rPr>
            </w:pPr>
            <w:r w:rsidRPr="00B07B55">
              <w:rPr>
                <w:lang w:val="en-GB"/>
              </w:rPr>
              <w:t>Separated</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0.151</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2.56</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0.206</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2.69</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0.221</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2.99</w:t>
            </w:r>
          </w:p>
        </w:tc>
      </w:tr>
      <w:tr w:rsidR="001526FB" w:rsidRPr="00B07B55" w:rsidTr="00AD13CA">
        <w:trPr>
          <w:gridAfter w:val="1"/>
          <w:wAfter w:w="8" w:type="pct"/>
        </w:trPr>
        <w:tc>
          <w:tcPr>
            <w:tcW w:w="1778" w:type="pct"/>
            <w:tcBorders>
              <w:top w:val="nil"/>
              <w:left w:val="nil"/>
              <w:bottom w:val="nil"/>
              <w:right w:val="nil"/>
            </w:tcBorders>
            <w:shd w:val="clear" w:color="auto" w:fill="auto"/>
            <w:tcMar>
              <w:top w:w="15" w:type="dxa"/>
              <w:left w:w="17" w:type="dxa"/>
              <w:bottom w:w="0" w:type="dxa"/>
              <w:right w:w="17" w:type="dxa"/>
            </w:tcMar>
            <w:hideMark/>
          </w:tcPr>
          <w:p w:rsidR="00A55CF9" w:rsidRPr="00B07B55" w:rsidRDefault="00A55CF9" w:rsidP="001526FB">
            <w:pPr>
              <w:pStyle w:val="Tabletext"/>
              <w:rPr>
                <w:lang w:val="en-GB"/>
              </w:rPr>
            </w:pPr>
            <w:r w:rsidRPr="00B07B55">
              <w:rPr>
                <w:lang w:val="en-GB"/>
              </w:rPr>
              <w:t>Divorced</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0.212</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4.34</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0.174</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2.93</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0.209</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3.62</w:t>
            </w:r>
          </w:p>
        </w:tc>
      </w:tr>
      <w:tr w:rsidR="001526FB" w:rsidRPr="00B07B55" w:rsidTr="00AD13CA">
        <w:trPr>
          <w:gridAfter w:val="1"/>
          <w:wAfter w:w="8" w:type="pct"/>
        </w:trPr>
        <w:tc>
          <w:tcPr>
            <w:tcW w:w="1778" w:type="pct"/>
            <w:tcBorders>
              <w:top w:val="nil"/>
              <w:left w:val="nil"/>
              <w:bottom w:val="nil"/>
              <w:right w:val="nil"/>
            </w:tcBorders>
            <w:shd w:val="clear" w:color="auto" w:fill="auto"/>
            <w:tcMar>
              <w:top w:w="15" w:type="dxa"/>
              <w:left w:w="17" w:type="dxa"/>
              <w:bottom w:w="0" w:type="dxa"/>
              <w:right w:w="17" w:type="dxa"/>
            </w:tcMar>
            <w:hideMark/>
          </w:tcPr>
          <w:p w:rsidR="00A55CF9" w:rsidRPr="00B07B55" w:rsidRDefault="00A55CF9" w:rsidP="001526FB">
            <w:pPr>
              <w:pStyle w:val="Tabletext"/>
              <w:rPr>
                <w:lang w:val="en-GB"/>
              </w:rPr>
            </w:pPr>
            <w:r w:rsidRPr="00B07B55">
              <w:rPr>
                <w:lang w:val="en-GB"/>
              </w:rPr>
              <w:t>Never married</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0.0316</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0.78</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0.0037</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0.07</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0.0452</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0.90</w:t>
            </w:r>
          </w:p>
        </w:tc>
      </w:tr>
      <w:tr w:rsidR="001526FB" w:rsidRPr="00B07B55" w:rsidTr="00AD13CA">
        <w:trPr>
          <w:gridAfter w:val="1"/>
          <w:wAfter w:w="8" w:type="pct"/>
        </w:trPr>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1526FB">
            <w:pPr>
              <w:pStyle w:val="Tabletext"/>
              <w:rPr>
                <w:lang w:val="en-GB"/>
              </w:rPr>
            </w:pPr>
            <w:r w:rsidRPr="00B07B55">
              <w:rPr>
                <w:lang w:val="en-GB"/>
              </w:rPr>
              <w:t>Number of dependent children</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0.0201</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1.90</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0.00852</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0.57</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0.0204</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1.46</w:t>
            </w:r>
          </w:p>
        </w:tc>
      </w:tr>
      <w:tr w:rsidR="001526FB" w:rsidRPr="00B07B55" w:rsidTr="00AD13CA">
        <w:trPr>
          <w:gridAfter w:val="1"/>
          <w:wAfter w:w="8" w:type="pct"/>
        </w:trPr>
        <w:tc>
          <w:tcPr>
            <w:tcW w:w="1778" w:type="pct"/>
            <w:tcBorders>
              <w:top w:val="nil"/>
              <w:left w:val="nil"/>
              <w:bottom w:val="nil"/>
              <w:right w:val="nil"/>
            </w:tcBorders>
            <w:shd w:val="clear" w:color="auto" w:fill="auto"/>
            <w:noWrap/>
            <w:tcMar>
              <w:top w:w="15" w:type="dxa"/>
              <w:left w:w="17" w:type="dxa"/>
              <w:bottom w:w="0" w:type="dxa"/>
              <w:right w:w="17" w:type="dxa"/>
            </w:tcMar>
            <w:hideMark/>
          </w:tcPr>
          <w:p w:rsidR="00A55CF9" w:rsidRPr="00B07B55" w:rsidRDefault="00A55CF9" w:rsidP="001526FB">
            <w:pPr>
              <w:pStyle w:val="Tabletext"/>
              <w:rPr>
                <w:lang w:val="en-GB"/>
              </w:rPr>
            </w:pPr>
            <w:r w:rsidRPr="00B07B55">
              <w:rPr>
                <w:lang w:val="en-GB"/>
              </w:rPr>
              <w:t>Health limits work</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0.0339</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0.92</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0.0223</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0.41</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0.0211</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0.44</w:t>
            </w:r>
          </w:p>
        </w:tc>
      </w:tr>
      <w:tr w:rsidR="001526FB" w:rsidRPr="00B07B55" w:rsidTr="00AD13CA">
        <w:trPr>
          <w:gridAfter w:val="1"/>
          <w:wAfter w:w="8" w:type="pct"/>
        </w:trPr>
        <w:tc>
          <w:tcPr>
            <w:tcW w:w="1778" w:type="pct"/>
            <w:tcBorders>
              <w:top w:val="nil"/>
              <w:left w:val="nil"/>
              <w:bottom w:val="nil"/>
              <w:right w:val="nil"/>
            </w:tcBorders>
            <w:shd w:val="clear" w:color="auto" w:fill="auto"/>
            <w:noWrap/>
            <w:tcMar>
              <w:top w:w="15" w:type="dxa"/>
              <w:left w:w="17" w:type="dxa"/>
              <w:bottom w:w="0" w:type="dxa"/>
              <w:right w:w="17" w:type="dxa"/>
            </w:tcMar>
            <w:hideMark/>
          </w:tcPr>
          <w:p w:rsidR="00A55CF9" w:rsidRPr="00B07B55" w:rsidRDefault="00A55CF9" w:rsidP="001526FB">
            <w:pPr>
              <w:pStyle w:val="Tabletext"/>
              <w:rPr>
                <w:lang w:val="en-GB"/>
              </w:rPr>
            </w:pPr>
            <w:r w:rsidRPr="00B07B55">
              <w:rPr>
                <w:lang w:val="en-GB"/>
              </w:rPr>
              <w:t>Health prevents work</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0.175</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0.56</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p>
        </w:tc>
        <w:tc>
          <w:tcPr>
            <w:tcW w:w="642" w:type="pct"/>
            <w:gridSpan w:val="2"/>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AD13CA">
            <w:pPr>
              <w:pStyle w:val="Tabletext"/>
              <w:tabs>
                <w:tab w:val="decimal" w:pos="369"/>
              </w:tabs>
              <w:rPr>
                <w:lang w:val="en-GB"/>
              </w:rPr>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AD13CA">
            <w:pPr>
              <w:pStyle w:val="Tabletext"/>
              <w:tabs>
                <w:tab w:val="decimal" w:pos="312"/>
              </w:tabs>
              <w:rPr>
                <w:lang w:val="en-GB"/>
              </w:rPr>
            </w:pPr>
          </w:p>
        </w:tc>
      </w:tr>
      <w:tr w:rsidR="001526FB" w:rsidRPr="00B07B55" w:rsidTr="00AD13CA">
        <w:trPr>
          <w:gridAfter w:val="1"/>
          <w:wAfter w:w="8" w:type="pct"/>
        </w:trPr>
        <w:tc>
          <w:tcPr>
            <w:tcW w:w="1778" w:type="pct"/>
            <w:tcBorders>
              <w:top w:val="nil"/>
              <w:left w:val="nil"/>
              <w:bottom w:val="nil"/>
              <w:right w:val="nil"/>
            </w:tcBorders>
            <w:shd w:val="clear" w:color="auto" w:fill="auto"/>
            <w:noWrap/>
            <w:tcMar>
              <w:top w:w="17" w:type="dxa"/>
              <w:left w:w="17" w:type="dxa"/>
              <w:bottom w:w="0" w:type="dxa"/>
              <w:right w:w="17" w:type="dxa"/>
            </w:tcMar>
            <w:hideMark/>
          </w:tcPr>
          <w:p w:rsidR="00EA0C91" w:rsidRPr="009B641C" w:rsidRDefault="00EA0C91" w:rsidP="001526FB">
            <w:pPr>
              <w:pStyle w:val="Tabletext"/>
              <w:rPr>
                <w:b/>
                <w:lang w:val="en-GB"/>
              </w:rPr>
            </w:pPr>
            <w:r w:rsidRPr="009B641C">
              <w:rPr>
                <w:b/>
                <w:lang w:val="en-GB"/>
              </w:rPr>
              <w:t>Reference category: employed full-time</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12"/>
              </w:tabs>
              <w:rPr>
                <w:lang w:val="en-GB"/>
              </w:rPr>
            </w:pPr>
          </w:p>
        </w:tc>
        <w:tc>
          <w:tcPr>
            <w:tcW w:w="640" w:type="pct"/>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EA0C91" w:rsidRPr="00B07B55" w:rsidRDefault="00EA0C91" w:rsidP="00AD13CA">
            <w:pPr>
              <w:pStyle w:val="Tabletext"/>
              <w:tabs>
                <w:tab w:val="decimal" w:pos="312"/>
              </w:tabs>
              <w:rPr>
                <w:lang w:val="en-GB"/>
              </w:rPr>
            </w:pPr>
          </w:p>
        </w:tc>
        <w:tc>
          <w:tcPr>
            <w:tcW w:w="642" w:type="pct"/>
            <w:gridSpan w:val="2"/>
            <w:tcBorders>
              <w:top w:val="nil"/>
              <w:left w:val="nil"/>
              <w:bottom w:val="nil"/>
              <w:right w:val="nil"/>
            </w:tcBorders>
            <w:shd w:val="clear" w:color="auto" w:fill="auto"/>
            <w:noWrap/>
            <w:tcMar>
              <w:top w:w="17" w:type="dxa"/>
              <w:left w:w="17" w:type="dxa"/>
              <w:bottom w:w="0" w:type="dxa"/>
              <w:right w:w="17" w:type="dxa"/>
            </w:tcMar>
            <w:hideMark/>
          </w:tcPr>
          <w:p w:rsidR="00EA0C91" w:rsidRPr="00B07B55" w:rsidRDefault="00EA0C91" w:rsidP="00AD13CA">
            <w:pPr>
              <w:pStyle w:val="Tabletext"/>
              <w:tabs>
                <w:tab w:val="decimal" w:pos="369"/>
              </w:tabs>
              <w:rPr>
                <w:lang w:val="en-GB"/>
              </w:rPr>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EA0C91" w:rsidRPr="00B07B55" w:rsidRDefault="00EA0C91" w:rsidP="00AD13CA">
            <w:pPr>
              <w:pStyle w:val="Tabletext"/>
              <w:tabs>
                <w:tab w:val="decimal" w:pos="312"/>
              </w:tabs>
              <w:rPr>
                <w:lang w:val="en-GB"/>
              </w:rPr>
            </w:pPr>
          </w:p>
        </w:tc>
      </w:tr>
      <w:tr w:rsidR="001526FB" w:rsidRPr="00B07B55" w:rsidTr="00AD13CA">
        <w:trPr>
          <w:gridAfter w:val="1"/>
          <w:wAfter w:w="8" w:type="pct"/>
        </w:trPr>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1526FB">
            <w:pPr>
              <w:pStyle w:val="Tabletext"/>
              <w:rPr>
                <w:lang w:val="en-GB"/>
              </w:rPr>
            </w:pPr>
            <w:r w:rsidRPr="00B07B55">
              <w:rPr>
                <w:lang w:val="en-GB"/>
              </w:rPr>
              <w:t>Employed part-time</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-0.0305</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-1.07</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p>
        </w:tc>
        <w:tc>
          <w:tcPr>
            <w:tcW w:w="642" w:type="pct"/>
            <w:gridSpan w:val="2"/>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AD13CA">
            <w:pPr>
              <w:pStyle w:val="Tabletext"/>
              <w:tabs>
                <w:tab w:val="decimal" w:pos="369"/>
              </w:tabs>
              <w:rPr>
                <w:lang w:val="en-GB"/>
              </w:rPr>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AD13CA">
            <w:pPr>
              <w:pStyle w:val="Tabletext"/>
              <w:tabs>
                <w:tab w:val="decimal" w:pos="312"/>
              </w:tabs>
              <w:rPr>
                <w:lang w:val="en-GB"/>
              </w:rPr>
            </w:pPr>
          </w:p>
        </w:tc>
      </w:tr>
      <w:tr w:rsidR="001526FB" w:rsidRPr="00B07B55" w:rsidTr="00AD13CA">
        <w:trPr>
          <w:gridAfter w:val="1"/>
          <w:wAfter w:w="8" w:type="pct"/>
        </w:trPr>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1526FB">
            <w:pPr>
              <w:pStyle w:val="Tabletext"/>
              <w:rPr>
                <w:lang w:val="en-GB"/>
              </w:rPr>
            </w:pPr>
            <w:r w:rsidRPr="00B07B55">
              <w:rPr>
                <w:lang w:val="en-GB"/>
              </w:rPr>
              <w:t>Unemployed, wants full-time</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0.144</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1.46</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p>
        </w:tc>
        <w:tc>
          <w:tcPr>
            <w:tcW w:w="642" w:type="pct"/>
            <w:gridSpan w:val="2"/>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AD13CA">
            <w:pPr>
              <w:pStyle w:val="Tabletext"/>
              <w:tabs>
                <w:tab w:val="decimal" w:pos="369"/>
              </w:tabs>
              <w:rPr>
                <w:lang w:val="en-GB"/>
              </w:rPr>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AD13CA">
            <w:pPr>
              <w:pStyle w:val="Tabletext"/>
              <w:tabs>
                <w:tab w:val="decimal" w:pos="312"/>
              </w:tabs>
              <w:rPr>
                <w:lang w:val="en-GB"/>
              </w:rPr>
            </w:pPr>
          </w:p>
        </w:tc>
      </w:tr>
      <w:tr w:rsidR="001526FB" w:rsidRPr="00B07B55" w:rsidTr="00AD13CA">
        <w:trPr>
          <w:gridAfter w:val="1"/>
          <w:wAfter w:w="8" w:type="pct"/>
        </w:trPr>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1526FB">
            <w:pPr>
              <w:pStyle w:val="Tabletext"/>
              <w:rPr>
                <w:lang w:val="en-GB"/>
              </w:rPr>
            </w:pPr>
            <w:r w:rsidRPr="00B07B55">
              <w:rPr>
                <w:lang w:val="en-GB"/>
              </w:rPr>
              <w:t>Unemployed, wants part-time</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0.219</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2.08</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p>
        </w:tc>
        <w:tc>
          <w:tcPr>
            <w:tcW w:w="642" w:type="pct"/>
            <w:gridSpan w:val="2"/>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AD13CA">
            <w:pPr>
              <w:pStyle w:val="Tabletext"/>
              <w:tabs>
                <w:tab w:val="decimal" w:pos="369"/>
              </w:tabs>
              <w:rPr>
                <w:lang w:val="en-GB"/>
              </w:rPr>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AD13CA">
            <w:pPr>
              <w:pStyle w:val="Tabletext"/>
              <w:tabs>
                <w:tab w:val="decimal" w:pos="312"/>
              </w:tabs>
              <w:rPr>
                <w:lang w:val="en-GB"/>
              </w:rPr>
            </w:pPr>
          </w:p>
        </w:tc>
      </w:tr>
      <w:tr w:rsidR="001526FB" w:rsidRPr="00B07B55" w:rsidTr="00AD13CA">
        <w:trPr>
          <w:gridAfter w:val="1"/>
          <w:wAfter w:w="8" w:type="pct"/>
        </w:trPr>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1526FB">
            <w:pPr>
              <w:pStyle w:val="Tabletext"/>
              <w:rPr>
                <w:lang w:val="en-GB"/>
              </w:rPr>
            </w:pPr>
            <w:r w:rsidRPr="00B07B55">
              <w:rPr>
                <w:lang w:val="en-GB"/>
              </w:rPr>
              <w:t>Not in labour force, marginal (looking)</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0.00722</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0.16</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p>
        </w:tc>
        <w:tc>
          <w:tcPr>
            <w:tcW w:w="642" w:type="pct"/>
            <w:gridSpan w:val="2"/>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AD13CA">
            <w:pPr>
              <w:pStyle w:val="Tabletext"/>
              <w:tabs>
                <w:tab w:val="decimal" w:pos="369"/>
              </w:tabs>
              <w:rPr>
                <w:lang w:val="en-GB"/>
              </w:rPr>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AD13CA">
            <w:pPr>
              <w:pStyle w:val="Tabletext"/>
              <w:tabs>
                <w:tab w:val="decimal" w:pos="312"/>
              </w:tabs>
              <w:rPr>
                <w:lang w:val="en-GB"/>
              </w:rPr>
            </w:pPr>
          </w:p>
        </w:tc>
      </w:tr>
      <w:tr w:rsidR="001526FB" w:rsidRPr="00B07B55" w:rsidTr="00AD13CA">
        <w:trPr>
          <w:gridAfter w:val="1"/>
          <w:wAfter w:w="8" w:type="pct"/>
        </w:trPr>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1526FB">
            <w:pPr>
              <w:pStyle w:val="Tabletext"/>
              <w:rPr>
                <w:lang w:val="en-GB"/>
              </w:rPr>
            </w:pPr>
            <w:r w:rsidRPr="00B07B55">
              <w:rPr>
                <w:lang w:val="en-GB"/>
              </w:rPr>
              <w:t>Not in labour force</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-0.107</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-3.15</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p>
        </w:tc>
        <w:tc>
          <w:tcPr>
            <w:tcW w:w="642" w:type="pct"/>
            <w:gridSpan w:val="2"/>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AD13CA">
            <w:pPr>
              <w:pStyle w:val="Tabletext"/>
              <w:tabs>
                <w:tab w:val="decimal" w:pos="369"/>
              </w:tabs>
              <w:rPr>
                <w:lang w:val="en-GB"/>
              </w:rPr>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AD13CA">
            <w:pPr>
              <w:pStyle w:val="Tabletext"/>
              <w:tabs>
                <w:tab w:val="decimal" w:pos="312"/>
              </w:tabs>
              <w:rPr>
                <w:lang w:val="en-GB"/>
              </w:rPr>
            </w:pPr>
          </w:p>
        </w:tc>
      </w:tr>
      <w:tr w:rsidR="001526FB" w:rsidRPr="00B07B55" w:rsidTr="00AD13CA">
        <w:trPr>
          <w:gridAfter w:val="1"/>
          <w:wAfter w:w="8" w:type="pct"/>
        </w:trPr>
        <w:tc>
          <w:tcPr>
            <w:tcW w:w="1778" w:type="pct"/>
            <w:tcBorders>
              <w:top w:val="nil"/>
              <w:left w:val="nil"/>
              <w:bottom w:val="nil"/>
              <w:right w:val="nil"/>
            </w:tcBorders>
            <w:shd w:val="clear" w:color="auto" w:fill="auto"/>
            <w:noWrap/>
            <w:tcMar>
              <w:top w:w="15" w:type="dxa"/>
              <w:left w:w="17" w:type="dxa"/>
              <w:bottom w:w="0" w:type="dxa"/>
              <w:right w:w="17" w:type="dxa"/>
            </w:tcMar>
            <w:hideMark/>
          </w:tcPr>
          <w:p w:rsidR="00A55CF9" w:rsidRPr="00B07B55" w:rsidRDefault="00A55CF9" w:rsidP="001526FB">
            <w:pPr>
              <w:pStyle w:val="Tabletext"/>
              <w:rPr>
                <w:lang w:val="en-GB"/>
              </w:rPr>
            </w:pPr>
            <w:r w:rsidRPr="00B07B55">
              <w:rPr>
                <w:lang w:val="en-GB"/>
              </w:rPr>
              <w:t>Receive disability pension</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-0.309</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-27.93</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p>
        </w:tc>
        <w:tc>
          <w:tcPr>
            <w:tcW w:w="642" w:type="pct"/>
            <w:gridSpan w:val="2"/>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AD13CA">
            <w:pPr>
              <w:pStyle w:val="Tabletext"/>
              <w:tabs>
                <w:tab w:val="decimal" w:pos="369"/>
              </w:tabs>
              <w:rPr>
                <w:lang w:val="en-GB"/>
              </w:rPr>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AD13CA">
            <w:pPr>
              <w:pStyle w:val="Tabletext"/>
              <w:tabs>
                <w:tab w:val="decimal" w:pos="312"/>
              </w:tabs>
              <w:rPr>
                <w:lang w:val="en-GB"/>
              </w:rPr>
            </w:pPr>
          </w:p>
        </w:tc>
      </w:tr>
      <w:tr w:rsidR="001526FB" w:rsidRPr="00B07B55" w:rsidTr="00AD13CA">
        <w:trPr>
          <w:gridAfter w:val="1"/>
          <w:wAfter w:w="8" w:type="pct"/>
        </w:trPr>
        <w:tc>
          <w:tcPr>
            <w:tcW w:w="1778" w:type="pct"/>
            <w:tcBorders>
              <w:top w:val="nil"/>
              <w:left w:val="nil"/>
              <w:bottom w:val="nil"/>
              <w:right w:val="nil"/>
            </w:tcBorders>
            <w:shd w:val="clear" w:color="auto" w:fill="auto"/>
            <w:noWrap/>
            <w:tcMar>
              <w:top w:w="15" w:type="dxa"/>
              <w:left w:w="17" w:type="dxa"/>
              <w:bottom w:w="0" w:type="dxa"/>
              <w:right w:w="17" w:type="dxa"/>
            </w:tcMar>
            <w:hideMark/>
          </w:tcPr>
          <w:p w:rsidR="00A55CF9" w:rsidRPr="00B07B55" w:rsidRDefault="00A55CF9" w:rsidP="001526FB">
            <w:pPr>
              <w:pStyle w:val="Tabletext"/>
              <w:rPr>
                <w:lang w:val="en-GB"/>
              </w:rPr>
            </w:pPr>
            <w:r w:rsidRPr="00B07B55">
              <w:rPr>
                <w:lang w:val="en-GB"/>
              </w:rPr>
              <w:t>Receive disability support</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-0.0926</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-1.48</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p>
        </w:tc>
        <w:tc>
          <w:tcPr>
            <w:tcW w:w="642" w:type="pct"/>
            <w:gridSpan w:val="2"/>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AD13CA">
            <w:pPr>
              <w:pStyle w:val="Tabletext"/>
              <w:tabs>
                <w:tab w:val="decimal" w:pos="369"/>
              </w:tabs>
              <w:rPr>
                <w:lang w:val="en-GB"/>
              </w:rPr>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AD13CA">
            <w:pPr>
              <w:pStyle w:val="Tabletext"/>
              <w:tabs>
                <w:tab w:val="decimal" w:pos="312"/>
              </w:tabs>
              <w:rPr>
                <w:lang w:val="en-GB"/>
              </w:rPr>
            </w:pPr>
          </w:p>
        </w:tc>
      </w:tr>
      <w:tr w:rsidR="001526FB" w:rsidRPr="00B07B55" w:rsidTr="00AD13CA">
        <w:trPr>
          <w:gridAfter w:val="1"/>
          <w:wAfter w:w="8" w:type="pct"/>
        </w:trPr>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B07B55" w:rsidRDefault="00A55CF9" w:rsidP="001526FB">
            <w:pPr>
              <w:pStyle w:val="Tabletext"/>
              <w:rPr>
                <w:lang w:val="en-GB"/>
              </w:rPr>
            </w:pPr>
            <w:r w:rsidRPr="00B07B55">
              <w:rPr>
                <w:lang w:val="en-GB"/>
              </w:rPr>
              <w:t>Disposable income (annual in $1000s)</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-0.0012</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-1.35</w:t>
            </w: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69"/>
              </w:tabs>
              <w:rPr>
                <w:lang w:val="en-GB"/>
              </w:rPr>
            </w:pPr>
            <w:r w:rsidRPr="00B07B55">
              <w:rPr>
                <w:lang w:val="en-GB"/>
              </w:rPr>
              <w:t>-0.00115</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B07B55" w:rsidRDefault="00A55CF9" w:rsidP="00AD13CA">
            <w:pPr>
              <w:pStyle w:val="Tabletext"/>
              <w:tabs>
                <w:tab w:val="decimal" w:pos="312"/>
              </w:tabs>
              <w:rPr>
                <w:lang w:val="en-GB"/>
              </w:rPr>
            </w:pPr>
            <w:r w:rsidRPr="00B07B55">
              <w:rPr>
                <w:lang w:val="en-GB"/>
              </w:rPr>
              <w:t>-1.01</w:t>
            </w:r>
          </w:p>
        </w:tc>
      </w:tr>
      <w:tr w:rsidR="001526FB" w:rsidRPr="00AD13CA" w:rsidTr="00AD13CA">
        <w:trPr>
          <w:gridAfter w:val="1"/>
          <w:wAfter w:w="8" w:type="pct"/>
        </w:trPr>
        <w:tc>
          <w:tcPr>
            <w:tcW w:w="1778"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pPr>
            <w:r w:rsidRPr="00AD13CA">
              <w:t>Log wage residual</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69"/>
              </w:tabs>
            </w:pPr>
          </w:p>
        </w:tc>
        <w:tc>
          <w:tcPr>
            <w:tcW w:w="431" w:type="pct"/>
            <w:tcBorders>
              <w:top w:val="nil"/>
              <w:left w:val="nil"/>
              <w:bottom w:val="nil"/>
              <w:right w:val="nil"/>
            </w:tcBorders>
            <w:shd w:val="clear" w:color="auto" w:fill="auto"/>
            <w:noWrap/>
            <w:tcMar>
              <w:top w:w="17" w:type="dxa"/>
              <w:left w:w="17" w:type="dxa"/>
              <w:bottom w:w="0" w:type="dxa"/>
              <w:right w:w="17" w:type="dxa"/>
            </w:tcMar>
            <w:hideMark/>
          </w:tcPr>
          <w:p w:rsidR="00A55CF9" w:rsidRPr="00AD13CA" w:rsidRDefault="00A55CF9" w:rsidP="00AD13CA">
            <w:pPr>
              <w:pStyle w:val="Tabletext"/>
              <w:tabs>
                <w:tab w:val="decimal" w:pos="312"/>
              </w:tabs>
              <w:rPr>
                <w:szCs w:val="22"/>
              </w:rPr>
            </w:pP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69"/>
              </w:tabs>
            </w:pPr>
            <w:r w:rsidRPr="00AD13CA">
              <w:t>-0.00375</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12"/>
              </w:tabs>
            </w:pPr>
            <w:r w:rsidRPr="00AD13CA">
              <w:t>-0.11</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69"/>
              </w:tabs>
            </w:pPr>
          </w:p>
        </w:tc>
        <w:tc>
          <w:tcPr>
            <w:tcW w:w="428" w:type="pct"/>
            <w:tcBorders>
              <w:top w:val="nil"/>
              <w:left w:val="nil"/>
              <w:bottom w:val="nil"/>
              <w:right w:val="nil"/>
            </w:tcBorders>
            <w:shd w:val="clear" w:color="auto" w:fill="auto"/>
            <w:noWrap/>
            <w:tcMar>
              <w:top w:w="17" w:type="dxa"/>
              <w:left w:w="17" w:type="dxa"/>
              <w:bottom w:w="0" w:type="dxa"/>
              <w:right w:w="17" w:type="dxa"/>
            </w:tcMar>
            <w:hideMark/>
          </w:tcPr>
          <w:p w:rsidR="00A55CF9" w:rsidRPr="00AD13CA" w:rsidRDefault="00A55CF9" w:rsidP="00AD13CA">
            <w:pPr>
              <w:pStyle w:val="Tabletext"/>
              <w:tabs>
                <w:tab w:val="decimal" w:pos="312"/>
              </w:tabs>
            </w:pPr>
          </w:p>
        </w:tc>
      </w:tr>
      <w:tr w:rsidR="001526FB" w:rsidRPr="00AD13CA" w:rsidTr="00AD13CA">
        <w:trPr>
          <w:gridAfter w:val="1"/>
          <w:wAfter w:w="8" w:type="pct"/>
        </w:trPr>
        <w:tc>
          <w:tcPr>
            <w:tcW w:w="1778"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pPr>
            <w:r w:rsidRPr="00AD13CA">
              <w:t>Working hours</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69"/>
              </w:tabs>
            </w:pPr>
          </w:p>
        </w:tc>
        <w:tc>
          <w:tcPr>
            <w:tcW w:w="431" w:type="pct"/>
            <w:tcBorders>
              <w:top w:val="nil"/>
              <w:left w:val="nil"/>
              <w:bottom w:val="nil"/>
              <w:right w:val="nil"/>
            </w:tcBorders>
            <w:shd w:val="clear" w:color="auto" w:fill="auto"/>
            <w:noWrap/>
            <w:tcMar>
              <w:top w:w="17" w:type="dxa"/>
              <w:left w:w="17" w:type="dxa"/>
              <w:bottom w:w="0" w:type="dxa"/>
              <w:right w:w="17" w:type="dxa"/>
            </w:tcMar>
            <w:hideMark/>
          </w:tcPr>
          <w:p w:rsidR="00A55CF9" w:rsidRPr="00AD13CA" w:rsidRDefault="00A55CF9" w:rsidP="00AD13CA">
            <w:pPr>
              <w:pStyle w:val="Tabletext"/>
              <w:tabs>
                <w:tab w:val="decimal" w:pos="312"/>
              </w:tabs>
              <w:rPr>
                <w:szCs w:val="22"/>
              </w:rPr>
            </w:pPr>
          </w:p>
        </w:tc>
        <w:tc>
          <w:tcPr>
            <w:tcW w:w="640"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69"/>
              </w:tabs>
            </w:pPr>
            <w:r w:rsidRPr="00AD13CA">
              <w:t>1.62E-05</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12"/>
              </w:tabs>
            </w:pPr>
            <w:r w:rsidRPr="00AD13CA">
              <w:t>0.01</w:t>
            </w: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69"/>
              </w:tabs>
            </w:pPr>
            <w:r w:rsidRPr="00AD13CA">
              <w:t>0.00163</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12"/>
              </w:tabs>
            </w:pPr>
            <w:r w:rsidRPr="00AD13CA">
              <w:t>1.49</w:t>
            </w:r>
          </w:p>
        </w:tc>
      </w:tr>
      <w:tr w:rsidR="001526FB" w:rsidRPr="00EA0C91" w:rsidTr="00AD13CA">
        <w:trPr>
          <w:gridAfter w:val="1"/>
          <w:wAfter w:w="8" w:type="pct"/>
        </w:trPr>
        <w:tc>
          <w:tcPr>
            <w:tcW w:w="1778" w:type="pct"/>
            <w:tcBorders>
              <w:top w:val="nil"/>
              <w:left w:val="nil"/>
              <w:bottom w:val="nil"/>
              <w:right w:val="nil"/>
            </w:tcBorders>
            <w:shd w:val="clear" w:color="auto" w:fill="auto"/>
            <w:noWrap/>
            <w:tcMar>
              <w:top w:w="17" w:type="dxa"/>
              <w:left w:w="17" w:type="dxa"/>
              <w:bottom w:w="0" w:type="dxa"/>
              <w:right w:w="17" w:type="dxa"/>
            </w:tcMar>
            <w:hideMark/>
          </w:tcPr>
          <w:p w:rsidR="00EA0C91" w:rsidRPr="00874A6C" w:rsidRDefault="00EA0C91" w:rsidP="001526FB">
            <w:pPr>
              <w:pStyle w:val="Tabletext"/>
              <w:rPr>
                <w:b/>
                <w:lang w:val="en-GB"/>
              </w:rPr>
            </w:pPr>
            <w:r w:rsidRPr="00874A6C">
              <w:rPr>
                <w:b/>
                <w:lang w:val="en-GB"/>
              </w:rPr>
              <w:t>Reference category: employee</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EA0C91" w:rsidRPr="00EA0C91" w:rsidRDefault="00EA0C91" w:rsidP="00AD13CA">
            <w:pPr>
              <w:pStyle w:val="Tabletext"/>
              <w:tabs>
                <w:tab w:val="decimal" w:pos="369"/>
              </w:tabs>
              <w:rPr>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EA0C91" w:rsidRPr="00EA0C91" w:rsidRDefault="00EA0C91" w:rsidP="00AD13CA">
            <w:pPr>
              <w:pStyle w:val="Tabletext"/>
              <w:tabs>
                <w:tab w:val="decimal" w:pos="312"/>
              </w:tabs>
              <w:rPr>
                <w:lang w:val="en-GB"/>
              </w:rPr>
            </w:pPr>
          </w:p>
        </w:tc>
        <w:tc>
          <w:tcPr>
            <w:tcW w:w="640" w:type="pct"/>
            <w:tcBorders>
              <w:top w:val="nil"/>
              <w:left w:val="nil"/>
              <w:bottom w:val="nil"/>
              <w:right w:val="nil"/>
            </w:tcBorders>
            <w:shd w:val="clear" w:color="auto" w:fill="auto"/>
            <w:noWrap/>
            <w:tcMar>
              <w:top w:w="17" w:type="dxa"/>
              <w:left w:w="17" w:type="dxa"/>
              <w:bottom w:w="0" w:type="dxa"/>
              <w:right w:w="17" w:type="dxa"/>
            </w:tcMar>
            <w:hideMark/>
          </w:tcPr>
          <w:p w:rsidR="00EA0C91" w:rsidRPr="00EA0C91" w:rsidRDefault="00EA0C91" w:rsidP="00AD13CA">
            <w:pPr>
              <w:pStyle w:val="Tabletext"/>
              <w:tabs>
                <w:tab w:val="decimal" w:pos="369"/>
              </w:tabs>
              <w:rPr>
                <w:lang w:val="en-GB"/>
              </w:rPr>
            </w:pPr>
          </w:p>
        </w:tc>
        <w:tc>
          <w:tcPr>
            <w:tcW w:w="431" w:type="pct"/>
            <w:tcBorders>
              <w:top w:val="nil"/>
              <w:left w:val="nil"/>
              <w:bottom w:val="nil"/>
              <w:right w:val="nil"/>
            </w:tcBorders>
            <w:shd w:val="clear" w:color="auto" w:fill="auto"/>
            <w:noWrap/>
            <w:tcMar>
              <w:top w:w="17" w:type="dxa"/>
              <w:left w:w="17" w:type="dxa"/>
              <w:bottom w:w="0" w:type="dxa"/>
              <w:right w:w="17" w:type="dxa"/>
            </w:tcMar>
            <w:hideMark/>
          </w:tcPr>
          <w:p w:rsidR="00EA0C91" w:rsidRPr="00EA0C91" w:rsidRDefault="00EA0C91" w:rsidP="00AD13CA">
            <w:pPr>
              <w:pStyle w:val="Tabletext"/>
              <w:tabs>
                <w:tab w:val="decimal" w:pos="312"/>
              </w:tabs>
              <w:rPr>
                <w:lang w:val="en-GB"/>
              </w:rPr>
            </w:pP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EA0C91" w:rsidRPr="00EA0C91" w:rsidRDefault="00EA0C91" w:rsidP="00AD13CA">
            <w:pPr>
              <w:pStyle w:val="Tabletext"/>
              <w:tabs>
                <w:tab w:val="decimal" w:pos="369"/>
              </w:tabs>
              <w:rPr>
                <w:lang w:val="en-GB"/>
              </w:rPr>
            </w:pPr>
          </w:p>
        </w:tc>
        <w:tc>
          <w:tcPr>
            <w:tcW w:w="428" w:type="pct"/>
            <w:tcBorders>
              <w:top w:val="nil"/>
              <w:left w:val="nil"/>
              <w:bottom w:val="nil"/>
              <w:right w:val="nil"/>
            </w:tcBorders>
            <w:shd w:val="clear" w:color="auto" w:fill="auto"/>
            <w:tcMar>
              <w:top w:w="17" w:type="dxa"/>
              <w:left w:w="17" w:type="dxa"/>
              <w:bottom w:w="0" w:type="dxa"/>
              <w:right w:w="17" w:type="dxa"/>
            </w:tcMar>
            <w:hideMark/>
          </w:tcPr>
          <w:p w:rsidR="00EA0C91" w:rsidRPr="00EA0C91" w:rsidRDefault="00EA0C91" w:rsidP="00AD13CA">
            <w:pPr>
              <w:pStyle w:val="Tabletext"/>
              <w:tabs>
                <w:tab w:val="decimal" w:pos="312"/>
              </w:tabs>
              <w:rPr>
                <w:lang w:val="en-GB"/>
              </w:rPr>
            </w:pPr>
          </w:p>
        </w:tc>
      </w:tr>
      <w:tr w:rsidR="001526FB" w:rsidRPr="00AD13CA" w:rsidTr="00AD13CA">
        <w:trPr>
          <w:gridAfter w:val="1"/>
          <w:wAfter w:w="8" w:type="pct"/>
        </w:trPr>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AD13CA" w:rsidRDefault="00A55CF9" w:rsidP="00AD13CA">
            <w:pPr>
              <w:pStyle w:val="Tabletext"/>
            </w:pPr>
            <w:r w:rsidRPr="00AD13CA">
              <w:t>Employee of own business</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69"/>
              </w:tabs>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12"/>
              </w:tabs>
            </w:pPr>
          </w:p>
        </w:tc>
        <w:tc>
          <w:tcPr>
            <w:tcW w:w="640" w:type="pct"/>
            <w:tcBorders>
              <w:top w:val="nil"/>
              <w:left w:val="nil"/>
              <w:bottom w:val="nil"/>
              <w:right w:val="nil"/>
            </w:tcBorders>
            <w:shd w:val="clear" w:color="auto" w:fill="auto"/>
            <w:noWrap/>
            <w:tcMar>
              <w:top w:w="17" w:type="dxa"/>
              <w:left w:w="17" w:type="dxa"/>
              <w:bottom w:w="0" w:type="dxa"/>
              <w:right w:w="17" w:type="dxa"/>
            </w:tcMar>
            <w:hideMark/>
          </w:tcPr>
          <w:p w:rsidR="00A55CF9" w:rsidRPr="00AD13CA" w:rsidRDefault="00A55CF9" w:rsidP="00AD13CA">
            <w:pPr>
              <w:pStyle w:val="Tabletext"/>
              <w:tabs>
                <w:tab w:val="decimal" w:pos="369"/>
              </w:tabs>
              <w:rPr>
                <w:szCs w:val="22"/>
              </w:rPr>
            </w:pPr>
          </w:p>
        </w:tc>
        <w:tc>
          <w:tcPr>
            <w:tcW w:w="431" w:type="pct"/>
            <w:tcBorders>
              <w:top w:val="nil"/>
              <w:left w:val="nil"/>
              <w:bottom w:val="nil"/>
              <w:right w:val="nil"/>
            </w:tcBorders>
            <w:shd w:val="clear" w:color="auto" w:fill="auto"/>
            <w:noWrap/>
            <w:tcMar>
              <w:top w:w="17" w:type="dxa"/>
              <w:left w:w="17" w:type="dxa"/>
              <w:bottom w:w="0" w:type="dxa"/>
              <w:right w:w="17" w:type="dxa"/>
            </w:tcMar>
            <w:hideMark/>
          </w:tcPr>
          <w:p w:rsidR="00A55CF9" w:rsidRPr="00AD13CA" w:rsidRDefault="00A55CF9" w:rsidP="00AD13CA">
            <w:pPr>
              <w:pStyle w:val="Tabletext"/>
              <w:tabs>
                <w:tab w:val="decimal" w:pos="312"/>
              </w:tabs>
              <w:rPr>
                <w:szCs w:val="22"/>
              </w:rPr>
            </w:pP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69"/>
              </w:tabs>
            </w:pPr>
            <w:r w:rsidRPr="00AD13CA">
              <w:t>-0.127</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12"/>
              </w:tabs>
            </w:pPr>
            <w:r w:rsidRPr="00AD13CA">
              <w:t>-1.90</w:t>
            </w:r>
          </w:p>
        </w:tc>
      </w:tr>
      <w:tr w:rsidR="001526FB" w:rsidRPr="00AD13CA" w:rsidTr="00AD13CA">
        <w:trPr>
          <w:gridAfter w:val="1"/>
          <w:wAfter w:w="8" w:type="pct"/>
        </w:trPr>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AD13CA" w:rsidRDefault="00A55CF9" w:rsidP="00AD13CA">
            <w:pPr>
              <w:pStyle w:val="Tabletext"/>
            </w:pPr>
            <w:r w:rsidRPr="00AD13CA">
              <w:t>Employer, own account worker</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69"/>
              </w:tabs>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12"/>
              </w:tabs>
            </w:pPr>
          </w:p>
        </w:tc>
        <w:tc>
          <w:tcPr>
            <w:tcW w:w="640" w:type="pct"/>
            <w:tcBorders>
              <w:top w:val="nil"/>
              <w:left w:val="nil"/>
              <w:bottom w:val="nil"/>
              <w:right w:val="nil"/>
            </w:tcBorders>
            <w:shd w:val="clear" w:color="auto" w:fill="auto"/>
            <w:noWrap/>
            <w:tcMar>
              <w:top w:w="17" w:type="dxa"/>
              <w:left w:w="17" w:type="dxa"/>
              <w:bottom w:w="0" w:type="dxa"/>
              <w:right w:w="17" w:type="dxa"/>
            </w:tcMar>
            <w:hideMark/>
          </w:tcPr>
          <w:p w:rsidR="00A55CF9" w:rsidRPr="00AD13CA" w:rsidRDefault="00A55CF9" w:rsidP="00AD13CA">
            <w:pPr>
              <w:pStyle w:val="Tabletext"/>
              <w:tabs>
                <w:tab w:val="decimal" w:pos="369"/>
              </w:tabs>
              <w:rPr>
                <w:szCs w:val="22"/>
              </w:rPr>
            </w:pPr>
          </w:p>
        </w:tc>
        <w:tc>
          <w:tcPr>
            <w:tcW w:w="431" w:type="pct"/>
            <w:tcBorders>
              <w:top w:val="nil"/>
              <w:left w:val="nil"/>
              <w:bottom w:val="nil"/>
              <w:right w:val="nil"/>
            </w:tcBorders>
            <w:shd w:val="clear" w:color="auto" w:fill="auto"/>
            <w:noWrap/>
            <w:tcMar>
              <w:top w:w="17" w:type="dxa"/>
              <w:left w:w="17" w:type="dxa"/>
              <w:bottom w:w="0" w:type="dxa"/>
              <w:right w:w="17" w:type="dxa"/>
            </w:tcMar>
            <w:hideMark/>
          </w:tcPr>
          <w:p w:rsidR="00A55CF9" w:rsidRPr="00AD13CA" w:rsidRDefault="00A55CF9" w:rsidP="00AD13CA">
            <w:pPr>
              <w:pStyle w:val="Tabletext"/>
              <w:tabs>
                <w:tab w:val="decimal" w:pos="312"/>
              </w:tabs>
              <w:rPr>
                <w:szCs w:val="22"/>
              </w:rPr>
            </w:pP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69"/>
              </w:tabs>
            </w:pPr>
            <w:r w:rsidRPr="00AD13CA">
              <w:t>-0.0397</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12"/>
              </w:tabs>
            </w:pPr>
            <w:r w:rsidRPr="00AD13CA">
              <w:t>-0.87</w:t>
            </w:r>
          </w:p>
        </w:tc>
      </w:tr>
      <w:tr w:rsidR="001526FB" w:rsidRPr="000A7D5F" w:rsidTr="00AD13CA">
        <w:trPr>
          <w:gridAfter w:val="1"/>
          <w:wAfter w:w="8" w:type="pct"/>
        </w:trPr>
        <w:tc>
          <w:tcPr>
            <w:tcW w:w="1778" w:type="pct"/>
            <w:tcBorders>
              <w:top w:val="nil"/>
              <w:left w:val="nil"/>
              <w:bottom w:val="nil"/>
              <w:right w:val="nil"/>
            </w:tcBorders>
            <w:shd w:val="clear" w:color="auto" w:fill="auto"/>
            <w:noWrap/>
            <w:tcMar>
              <w:top w:w="15" w:type="dxa"/>
              <w:left w:w="17" w:type="dxa"/>
              <w:bottom w:w="0" w:type="dxa"/>
              <w:right w:w="17" w:type="dxa"/>
            </w:tcMar>
            <w:hideMark/>
          </w:tcPr>
          <w:p w:rsidR="001526FB" w:rsidRPr="00874A6C" w:rsidRDefault="001526FB" w:rsidP="001526FB">
            <w:pPr>
              <w:pStyle w:val="Tabletext"/>
              <w:rPr>
                <w:b/>
                <w:lang w:val="en-GB"/>
              </w:rPr>
            </w:pPr>
            <w:r w:rsidRPr="00874A6C">
              <w:rPr>
                <w:b/>
                <w:lang w:val="en-GB"/>
              </w:rPr>
              <w:t xml:space="preserve">Reference category: skills used in job – </w:t>
            </w:r>
            <w:r w:rsidRPr="00874A6C">
              <w:rPr>
                <w:b/>
                <w:lang w:val="en-GB"/>
              </w:rPr>
              <w:br/>
              <w:t>do not agree</w:t>
            </w:r>
          </w:p>
        </w:tc>
        <w:tc>
          <w:tcPr>
            <w:tcW w:w="642" w:type="pct"/>
            <w:tcBorders>
              <w:top w:val="nil"/>
              <w:left w:val="nil"/>
              <w:bottom w:val="nil"/>
              <w:right w:val="nil"/>
            </w:tcBorders>
            <w:shd w:val="clear" w:color="auto" w:fill="auto"/>
          </w:tcPr>
          <w:p w:rsidR="001526FB" w:rsidRPr="001526FB" w:rsidRDefault="001526FB" w:rsidP="00AD13CA">
            <w:pPr>
              <w:pStyle w:val="Tabletext"/>
              <w:tabs>
                <w:tab w:val="decimal" w:pos="369"/>
              </w:tabs>
              <w:rPr>
                <w:i/>
                <w:lang w:val="en-GB"/>
              </w:rPr>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1526FB" w:rsidRPr="000A7D5F" w:rsidRDefault="001526FB" w:rsidP="00AD13CA">
            <w:pPr>
              <w:pStyle w:val="Tabletext"/>
              <w:tabs>
                <w:tab w:val="decimal" w:pos="312"/>
              </w:tabs>
              <w:rPr>
                <w:lang w:val="en-GB"/>
              </w:rPr>
            </w:pPr>
          </w:p>
        </w:tc>
        <w:tc>
          <w:tcPr>
            <w:tcW w:w="640" w:type="pct"/>
            <w:tcBorders>
              <w:top w:val="nil"/>
              <w:left w:val="nil"/>
              <w:bottom w:val="nil"/>
              <w:right w:val="nil"/>
            </w:tcBorders>
            <w:shd w:val="clear" w:color="auto" w:fill="auto"/>
            <w:noWrap/>
            <w:tcMar>
              <w:top w:w="17" w:type="dxa"/>
              <w:left w:w="17" w:type="dxa"/>
              <w:bottom w:w="0" w:type="dxa"/>
              <w:right w:w="17" w:type="dxa"/>
            </w:tcMar>
            <w:hideMark/>
          </w:tcPr>
          <w:p w:rsidR="001526FB" w:rsidRPr="000A7D5F" w:rsidRDefault="001526FB" w:rsidP="00AD13CA">
            <w:pPr>
              <w:pStyle w:val="Tabletext"/>
              <w:tabs>
                <w:tab w:val="decimal" w:pos="369"/>
              </w:tabs>
              <w:rPr>
                <w:lang w:val="en-GB"/>
              </w:rPr>
            </w:pPr>
          </w:p>
        </w:tc>
        <w:tc>
          <w:tcPr>
            <w:tcW w:w="431" w:type="pct"/>
            <w:tcBorders>
              <w:top w:val="nil"/>
              <w:left w:val="nil"/>
              <w:bottom w:val="nil"/>
              <w:right w:val="nil"/>
            </w:tcBorders>
            <w:shd w:val="clear" w:color="auto" w:fill="auto"/>
            <w:noWrap/>
            <w:tcMar>
              <w:top w:w="17" w:type="dxa"/>
              <w:left w:w="17" w:type="dxa"/>
              <w:bottom w:w="0" w:type="dxa"/>
              <w:right w:w="17" w:type="dxa"/>
            </w:tcMar>
            <w:hideMark/>
          </w:tcPr>
          <w:p w:rsidR="001526FB" w:rsidRPr="000A7D5F" w:rsidRDefault="001526FB" w:rsidP="00AD13CA">
            <w:pPr>
              <w:pStyle w:val="Tabletext"/>
              <w:tabs>
                <w:tab w:val="decimal" w:pos="312"/>
              </w:tabs>
              <w:rPr>
                <w:lang w:val="en-GB"/>
              </w:rPr>
            </w:pP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1526FB" w:rsidRPr="000A7D5F" w:rsidRDefault="001526FB" w:rsidP="00AD13CA">
            <w:pPr>
              <w:pStyle w:val="Tabletext"/>
              <w:tabs>
                <w:tab w:val="decimal" w:pos="369"/>
              </w:tabs>
              <w:rPr>
                <w:lang w:val="en-GB"/>
              </w:rPr>
            </w:pPr>
          </w:p>
        </w:tc>
        <w:tc>
          <w:tcPr>
            <w:tcW w:w="428" w:type="pct"/>
            <w:tcBorders>
              <w:top w:val="nil"/>
              <w:left w:val="nil"/>
              <w:bottom w:val="nil"/>
              <w:right w:val="nil"/>
            </w:tcBorders>
            <w:shd w:val="clear" w:color="auto" w:fill="auto"/>
            <w:tcMar>
              <w:top w:w="17" w:type="dxa"/>
              <w:left w:w="17" w:type="dxa"/>
              <w:bottom w:w="0" w:type="dxa"/>
              <w:right w:w="17" w:type="dxa"/>
            </w:tcMar>
            <w:hideMark/>
          </w:tcPr>
          <w:p w:rsidR="001526FB" w:rsidRPr="000A7D5F" w:rsidRDefault="001526FB" w:rsidP="00AD13CA">
            <w:pPr>
              <w:pStyle w:val="Tabletext"/>
              <w:tabs>
                <w:tab w:val="decimal" w:pos="312"/>
              </w:tabs>
              <w:rPr>
                <w:lang w:val="en-GB"/>
              </w:rPr>
            </w:pPr>
          </w:p>
        </w:tc>
      </w:tr>
      <w:tr w:rsidR="001526FB" w:rsidRPr="00AD13CA" w:rsidTr="00AD13CA">
        <w:trPr>
          <w:gridAfter w:val="1"/>
          <w:wAfter w:w="8" w:type="pct"/>
        </w:trPr>
        <w:tc>
          <w:tcPr>
            <w:tcW w:w="1778" w:type="pct"/>
            <w:tcBorders>
              <w:top w:val="nil"/>
              <w:left w:val="nil"/>
              <w:bottom w:val="nil"/>
              <w:right w:val="nil"/>
            </w:tcBorders>
            <w:shd w:val="clear" w:color="auto" w:fill="auto"/>
            <w:noWrap/>
            <w:tcMar>
              <w:top w:w="15" w:type="dxa"/>
              <w:left w:w="17" w:type="dxa"/>
              <w:bottom w:w="0" w:type="dxa"/>
              <w:right w:w="17" w:type="dxa"/>
            </w:tcMar>
            <w:hideMark/>
          </w:tcPr>
          <w:p w:rsidR="00A55CF9" w:rsidRPr="00AD13CA" w:rsidRDefault="00E219CC" w:rsidP="00992B3C">
            <w:pPr>
              <w:pStyle w:val="Tabletext"/>
            </w:pPr>
            <w:r w:rsidRPr="00AD13CA">
              <w:t xml:space="preserve">Skills used in job – </w:t>
            </w:r>
            <w:r w:rsidR="00A55CF9" w:rsidRPr="00AD13CA">
              <w:t>strongly agree</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69"/>
              </w:tabs>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12"/>
              </w:tabs>
            </w:pPr>
          </w:p>
        </w:tc>
        <w:tc>
          <w:tcPr>
            <w:tcW w:w="640" w:type="pct"/>
            <w:tcBorders>
              <w:top w:val="nil"/>
              <w:left w:val="nil"/>
              <w:bottom w:val="nil"/>
              <w:right w:val="nil"/>
            </w:tcBorders>
            <w:shd w:val="clear" w:color="auto" w:fill="auto"/>
            <w:noWrap/>
            <w:tcMar>
              <w:top w:w="17" w:type="dxa"/>
              <w:left w:w="17" w:type="dxa"/>
              <w:bottom w:w="0" w:type="dxa"/>
              <w:right w:w="17" w:type="dxa"/>
            </w:tcMar>
            <w:hideMark/>
          </w:tcPr>
          <w:p w:rsidR="00A55CF9" w:rsidRPr="00AD13CA" w:rsidRDefault="00A55CF9" w:rsidP="00AD13CA">
            <w:pPr>
              <w:pStyle w:val="Tabletext"/>
              <w:tabs>
                <w:tab w:val="decimal" w:pos="369"/>
              </w:tabs>
              <w:rPr>
                <w:szCs w:val="22"/>
              </w:rPr>
            </w:pPr>
          </w:p>
        </w:tc>
        <w:tc>
          <w:tcPr>
            <w:tcW w:w="431" w:type="pct"/>
            <w:tcBorders>
              <w:top w:val="nil"/>
              <w:left w:val="nil"/>
              <w:bottom w:val="nil"/>
              <w:right w:val="nil"/>
            </w:tcBorders>
            <w:shd w:val="clear" w:color="auto" w:fill="auto"/>
            <w:noWrap/>
            <w:tcMar>
              <w:top w:w="17" w:type="dxa"/>
              <w:left w:w="17" w:type="dxa"/>
              <w:bottom w:w="0" w:type="dxa"/>
              <w:right w:w="17" w:type="dxa"/>
            </w:tcMar>
            <w:hideMark/>
          </w:tcPr>
          <w:p w:rsidR="00A55CF9" w:rsidRPr="00AD13CA" w:rsidRDefault="00A55CF9" w:rsidP="00AD13CA">
            <w:pPr>
              <w:pStyle w:val="Tabletext"/>
              <w:tabs>
                <w:tab w:val="decimal" w:pos="312"/>
              </w:tabs>
              <w:rPr>
                <w:szCs w:val="22"/>
              </w:rPr>
            </w:pP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69"/>
              </w:tabs>
            </w:pPr>
            <w:r w:rsidRPr="00AD13CA">
              <w:t>-0.0284</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12"/>
              </w:tabs>
            </w:pPr>
            <w:r w:rsidRPr="00AD13CA">
              <w:t>-0.65</w:t>
            </w:r>
          </w:p>
        </w:tc>
      </w:tr>
      <w:tr w:rsidR="001526FB" w:rsidRPr="00AD13CA" w:rsidTr="00AD13CA">
        <w:trPr>
          <w:gridAfter w:val="1"/>
          <w:wAfter w:w="8" w:type="pct"/>
        </w:trPr>
        <w:tc>
          <w:tcPr>
            <w:tcW w:w="1778" w:type="pct"/>
            <w:tcBorders>
              <w:top w:val="nil"/>
              <w:left w:val="nil"/>
              <w:bottom w:val="nil"/>
              <w:right w:val="nil"/>
            </w:tcBorders>
            <w:shd w:val="clear" w:color="auto" w:fill="auto"/>
            <w:noWrap/>
            <w:tcMar>
              <w:top w:w="15" w:type="dxa"/>
              <w:left w:w="17" w:type="dxa"/>
              <w:bottom w:w="0" w:type="dxa"/>
              <w:right w:w="17" w:type="dxa"/>
            </w:tcMar>
            <w:hideMark/>
          </w:tcPr>
          <w:p w:rsidR="00A55CF9" w:rsidRPr="00AD13CA" w:rsidRDefault="00E219CC" w:rsidP="00992B3C">
            <w:pPr>
              <w:pStyle w:val="Tabletext"/>
            </w:pPr>
            <w:r w:rsidRPr="00AD13CA">
              <w:t>Skills used in job –</w:t>
            </w:r>
            <w:r w:rsidR="00A55CF9" w:rsidRPr="00AD13CA">
              <w:t xml:space="preserve"> agree</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69"/>
              </w:tabs>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12"/>
              </w:tabs>
            </w:pPr>
          </w:p>
        </w:tc>
        <w:tc>
          <w:tcPr>
            <w:tcW w:w="640" w:type="pct"/>
            <w:tcBorders>
              <w:top w:val="nil"/>
              <w:left w:val="nil"/>
              <w:bottom w:val="nil"/>
              <w:right w:val="nil"/>
            </w:tcBorders>
            <w:shd w:val="clear" w:color="auto" w:fill="auto"/>
            <w:noWrap/>
            <w:tcMar>
              <w:top w:w="17" w:type="dxa"/>
              <w:left w:w="17" w:type="dxa"/>
              <w:bottom w:w="0" w:type="dxa"/>
              <w:right w:w="17" w:type="dxa"/>
            </w:tcMar>
            <w:hideMark/>
          </w:tcPr>
          <w:p w:rsidR="00A55CF9" w:rsidRPr="00AD13CA" w:rsidRDefault="00A55CF9" w:rsidP="00AD13CA">
            <w:pPr>
              <w:pStyle w:val="Tabletext"/>
              <w:tabs>
                <w:tab w:val="decimal" w:pos="369"/>
              </w:tabs>
              <w:rPr>
                <w:szCs w:val="22"/>
              </w:rPr>
            </w:pPr>
          </w:p>
        </w:tc>
        <w:tc>
          <w:tcPr>
            <w:tcW w:w="431" w:type="pct"/>
            <w:tcBorders>
              <w:top w:val="nil"/>
              <w:left w:val="nil"/>
              <w:bottom w:val="nil"/>
              <w:right w:val="nil"/>
            </w:tcBorders>
            <w:shd w:val="clear" w:color="auto" w:fill="auto"/>
            <w:noWrap/>
            <w:tcMar>
              <w:top w:w="17" w:type="dxa"/>
              <w:left w:w="17" w:type="dxa"/>
              <w:bottom w:w="0" w:type="dxa"/>
              <w:right w:w="17" w:type="dxa"/>
            </w:tcMar>
            <w:hideMark/>
          </w:tcPr>
          <w:p w:rsidR="00A55CF9" w:rsidRPr="00AD13CA" w:rsidRDefault="00A55CF9" w:rsidP="00AD13CA">
            <w:pPr>
              <w:pStyle w:val="Tabletext"/>
              <w:tabs>
                <w:tab w:val="decimal" w:pos="312"/>
              </w:tabs>
              <w:rPr>
                <w:szCs w:val="22"/>
              </w:rPr>
            </w:pP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69"/>
              </w:tabs>
            </w:pPr>
            <w:r w:rsidRPr="00AD13CA">
              <w:t>0.0278</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12"/>
              </w:tabs>
            </w:pPr>
            <w:r w:rsidRPr="00AD13CA">
              <w:t>0.59</w:t>
            </w:r>
          </w:p>
        </w:tc>
      </w:tr>
      <w:tr w:rsidR="00874A6C" w:rsidRPr="000A7D5F" w:rsidTr="00874A6C">
        <w:trPr>
          <w:gridAfter w:val="1"/>
          <w:wAfter w:w="8" w:type="pct"/>
        </w:trPr>
        <w:tc>
          <w:tcPr>
            <w:tcW w:w="2420" w:type="pct"/>
            <w:gridSpan w:val="2"/>
            <w:tcBorders>
              <w:top w:val="nil"/>
              <w:left w:val="nil"/>
              <w:bottom w:val="nil"/>
              <w:right w:val="nil"/>
            </w:tcBorders>
            <w:shd w:val="clear" w:color="auto" w:fill="auto"/>
            <w:noWrap/>
            <w:tcMar>
              <w:top w:w="17" w:type="dxa"/>
              <w:left w:w="17" w:type="dxa"/>
              <w:bottom w:w="0" w:type="dxa"/>
              <w:right w:w="17" w:type="dxa"/>
            </w:tcMar>
            <w:hideMark/>
          </w:tcPr>
          <w:p w:rsidR="00874A6C" w:rsidRPr="000A7D5F" w:rsidRDefault="00874A6C" w:rsidP="00AD13CA">
            <w:pPr>
              <w:pStyle w:val="Tabletext"/>
              <w:tabs>
                <w:tab w:val="decimal" w:pos="369"/>
              </w:tabs>
              <w:rPr>
                <w:lang w:val="en-GB"/>
              </w:rPr>
            </w:pPr>
            <w:r w:rsidRPr="00874A6C">
              <w:rPr>
                <w:b/>
                <w:lang w:val="en-GB"/>
              </w:rPr>
              <w:t>Reference category: job satisfaction – low</w:t>
            </w:r>
          </w:p>
        </w:tc>
        <w:tc>
          <w:tcPr>
            <w:tcW w:w="431" w:type="pct"/>
            <w:tcBorders>
              <w:top w:val="nil"/>
              <w:left w:val="nil"/>
              <w:bottom w:val="nil"/>
              <w:right w:val="nil"/>
            </w:tcBorders>
            <w:shd w:val="clear" w:color="auto" w:fill="auto"/>
            <w:tcMar>
              <w:top w:w="17" w:type="dxa"/>
              <w:left w:w="17" w:type="dxa"/>
              <w:bottom w:w="0" w:type="dxa"/>
              <w:right w:w="17" w:type="dxa"/>
            </w:tcMar>
            <w:hideMark/>
          </w:tcPr>
          <w:p w:rsidR="00874A6C" w:rsidRPr="000A7D5F" w:rsidRDefault="00874A6C" w:rsidP="00AD13CA">
            <w:pPr>
              <w:pStyle w:val="Tabletext"/>
              <w:tabs>
                <w:tab w:val="decimal" w:pos="312"/>
              </w:tabs>
              <w:rPr>
                <w:lang w:val="en-GB"/>
              </w:rPr>
            </w:pPr>
          </w:p>
        </w:tc>
        <w:tc>
          <w:tcPr>
            <w:tcW w:w="640" w:type="pct"/>
            <w:tcBorders>
              <w:top w:val="nil"/>
              <w:left w:val="nil"/>
              <w:bottom w:val="nil"/>
              <w:right w:val="nil"/>
            </w:tcBorders>
            <w:shd w:val="clear" w:color="auto" w:fill="auto"/>
            <w:noWrap/>
            <w:tcMar>
              <w:top w:w="17" w:type="dxa"/>
              <w:left w:w="17" w:type="dxa"/>
              <w:bottom w:w="0" w:type="dxa"/>
              <w:right w:w="17" w:type="dxa"/>
            </w:tcMar>
            <w:hideMark/>
          </w:tcPr>
          <w:p w:rsidR="00874A6C" w:rsidRPr="000A7D5F" w:rsidRDefault="00874A6C" w:rsidP="00AD13CA">
            <w:pPr>
              <w:pStyle w:val="Tabletext"/>
              <w:tabs>
                <w:tab w:val="decimal" w:pos="369"/>
              </w:tabs>
              <w:rPr>
                <w:lang w:val="en-GB"/>
              </w:rPr>
            </w:pPr>
          </w:p>
        </w:tc>
        <w:tc>
          <w:tcPr>
            <w:tcW w:w="431" w:type="pct"/>
            <w:tcBorders>
              <w:top w:val="nil"/>
              <w:left w:val="nil"/>
              <w:bottom w:val="nil"/>
              <w:right w:val="nil"/>
            </w:tcBorders>
            <w:shd w:val="clear" w:color="auto" w:fill="auto"/>
            <w:noWrap/>
            <w:tcMar>
              <w:top w:w="17" w:type="dxa"/>
              <w:left w:w="17" w:type="dxa"/>
              <w:bottom w:w="0" w:type="dxa"/>
              <w:right w:w="17" w:type="dxa"/>
            </w:tcMar>
            <w:hideMark/>
          </w:tcPr>
          <w:p w:rsidR="00874A6C" w:rsidRPr="000A7D5F" w:rsidRDefault="00874A6C" w:rsidP="00AD13CA">
            <w:pPr>
              <w:pStyle w:val="Tabletext"/>
              <w:tabs>
                <w:tab w:val="decimal" w:pos="312"/>
              </w:tabs>
              <w:rPr>
                <w:lang w:val="en-GB"/>
              </w:rPr>
            </w:pP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874A6C" w:rsidRPr="000A7D5F" w:rsidRDefault="00874A6C" w:rsidP="00AD13CA">
            <w:pPr>
              <w:pStyle w:val="Tabletext"/>
              <w:tabs>
                <w:tab w:val="decimal" w:pos="369"/>
              </w:tabs>
              <w:rPr>
                <w:lang w:val="en-GB"/>
              </w:rPr>
            </w:pPr>
          </w:p>
        </w:tc>
        <w:tc>
          <w:tcPr>
            <w:tcW w:w="428" w:type="pct"/>
            <w:tcBorders>
              <w:top w:val="nil"/>
              <w:left w:val="nil"/>
              <w:bottom w:val="nil"/>
              <w:right w:val="nil"/>
            </w:tcBorders>
            <w:shd w:val="clear" w:color="auto" w:fill="auto"/>
            <w:tcMar>
              <w:top w:w="17" w:type="dxa"/>
              <w:left w:w="17" w:type="dxa"/>
              <w:bottom w:w="0" w:type="dxa"/>
              <w:right w:w="17" w:type="dxa"/>
            </w:tcMar>
            <w:hideMark/>
          </w:tcPr>
          <w:p w:rsidR="00874A6C" w:rsidRPr="000A7D5F" w:rsidRDefault="00874A6C" w:rsidP="00AD13CA">
            <w:pPr>
              <w:pStyle w:val="Tabletext"/>
              <w:tabs>
                <w:tab w:val="decimal" w:pos="312"/>
              </w:tabs>
              <w:rPr>
                <w:lang w:val="en-GB"/>
              </w:rPr>
            </w:pPr>
          </w:p>
        </w:tc>
      </w:tr>
      <w:tr w:rsidR="001526FB" w:rsidRPr="00AD13CA" w:rsidTr="00AD13CA">
        <w:trPr>
          <w:gridAfter w:val="1"/>
          <w:wAfter w:w="8" w:type="pct"/>
        </w:trPr>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AD13CA" w:rsidRDefault="00544E70" w:rsidP="00AD13CA">
            <w:pPr>
              <w:pStyle w:val="Tabletext"/>
            </w:pPr>
            <w:r w:rsidRPr="00AD13CA">
              <w:t xml:space="preserve">Job satisfaction </w:t>
            </w:r>
            <w:r w:rsidR="00E219CC" w:rsidRPr="00AD13CA">
              <w:t>–</w:t>
            </w:r>
            <w:r w:rsidR="00A55CF9" w:rsidRPr="00AD13CA">
              <w:t xml:space="preserve"> very high</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69"/>
              </w:tabs>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12"/>
              </w:tabs>
            </w:pPr>
          </w:p>
        </w:tc>
        <w:tc>
          <w:tcPr>
            <w:tcW w:w="640" w:type="pct"/>
            <w:tcBorders>
              <w:top w:val="nil"/>
              <w:left w:val="nil"/>
              <w:bottom w:val="nil"/>
              <w:right w:val="nil"/>
            </w:tcBorders>
            <w:shd w:val="clear" w:color="auto" w:fill="auto"/>
            <w:noWrap/>
            <w:tcMar>
              <w:top w:w="17" w:type="dxa"/>
              <w:left w:w="17" w:type="dxa"/>
              <w:bottom w:w="0" w:type="dxa"/>
              <w:right w:w="17" w:type="dxa"/>
            </w:tcMar>
            <w:hideMark/>
          </w:tcPr>
          <w:p w:rsidR="00A55CF9" w:rsidRPr="00AD13CA" w:rsidRDefault="00A55CF9" w:rsidP="00AD13CA">
            <w:pPr>
              <w:pStyle w:val="Tabletext"/>
              <w:tabs>
                <w:tab w:val="decimal" w:pos="369"/>
              </w:tabs>
              <w:rPr>
                <w:szCs w:val="22"/>
              </w:rPr>
            </w:pPr>
          </w:p>
        </w:tc>
        <w:tc>
          <w:tcPr>
            <w:tcW w:w="431" w:type="pct"/>
            <w:tcBorders>
              <w:top w:val="nil"/>
              <w:left w:val="nil"/>
              <w:bottom w:val="nil"/>
              <w:right w:val="nil"/>
            </w:tcBorders>
            <w:shd w:val="clear" w:color="auto" w:fill="auto"/>
            <w:noWrap/>
            <w:tcMar>
              <w:top w:w="17" w:type="dxa"/>
              <w:left w:w="17" w:type="dxa"/>
              <w:bottom w:w="0" w:type="dxa"/>
              <w:right w:w="17" w:type="dxa"/>
            </w:tcMar>
            <w:hideMark/>
          </w:tcPr>
          <w:p w:rsidR="00A55CF9" w:rsidRPr="00AD13CA" w:rsidRDefault="00A55CF9" w:rsidP="00AD13CA">
            <w:pPr>
              <w:pStyle w:val="Tabletext"/>
              <w:tabs>
                <w:tab w:val="decimal" w:pos="312"/>
              </w:tabs>
              <w:rPr>
                <w:szCs w:val="22"/>
              </w:rPr>
            </w:pP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69"/>
              </w:tabs>
            </w:pPr>
            <w:r w:rsidRPr="00AD13CA">
              <w:t>-0.045</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12"/>
              </w:tabs>
            </w:pPr>
            <w:r w:rsidRPr="00AD13CA">
              <w:t>-0.79</w:t>
            </w:r>
          </w:p>
        </w:tc>
      </w:tr>
      <w:tr w:rsidR="001526FB" w:rsidRPr="00AD13CA" w:rsidTr="00AD13CA">
        <w:trPr>
          <w:gridAfter w:val="1"/>
          <w:wAfter w:w="8" w:type="pct"/>
        </w:trPr>
        <w:tc>
          <w:tcPr>
            <w:tcW w:w="1778" w:type="pct"/>
            <w:tcBorders>
              <w:top w:val="nil"/>
              <w:left w:val="nil"/>
              <w:bottom w:val="nil"/>
              <w:right w:val="nil"/>
            </w:tcBorders>
            <w:shd w:val="clear" w:color="auto" w:fill="auto"/>
            <w:noWrap/>
            <w:tcMar>
              <w:top w:w="17" w:type="dxa"/>
              <w:left w:w="17" w:type="dxa"/>
              <w:bottom w:w="0" w:type="dxa"/>
              <w:right w:w="17" w:type="dxa"/>
            </w:tcMar>
            <w:hideMark/>
          </w:tcPr>
          <w:p w:rsidR="00A55CF9" w:rsidRPr="00AD13CA" w:rsidRDefault="00E219CC" w:rsidP="00AD13CA">
            <w:pPr>
              <w:pStyle w:val="Tabletext"/>
            </w:pPr>
            <w:r w:rsidRPr="00AD13CA">
              <w:t>Job sati</w:t>
            </w:r>
            <w:r w:rsidR="00992B3C">
              <w:t>sfaction</w:t>
            </w:r>
            <w:r w:rsidRPr="00AD13CA">
              <w:t xml:space="preserve"> –</w:t>
            </w:r>
            <w:r w:rsidR="00A55CF9" w:rsidRPr="00AD13CA">
              <w:t xml:space="preserve"> high</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69"/>
              </w:tabs>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12"/>
              </w:tabs>
            </w:pPr>
          </w:p>
        </w:tc>
        <w:tc>
          <w:tcPr>
            <w:tcW w:w="640" w:type="pct"/>
            <w:tcBorders>
              <w:top w:val="nil"/>
              <w:left w:val="nil"/>
              <w:bottom w:val="nil"/>
              <w:right w:val="nil"/>
            </w:tcBorders>
            <w:shd w:val="clear" w:color="auto" w:fill="auto"/>
            <w:noWrap/>
            <w:tcMar>
              <w:top w:w="17" w:type="dxa"/>
              <w:left w:w="17" w:type="dxa"/>
              <w:bottom w:w="0" w:type="dxa"/>
              <w:right w:w="17" w:type="dxa"/>
            </w:tcMar>
            <w:hideMark/>
          </w:tcPr>
          <w:p w:rsidR="00A55CF9" w:rsidRPr="00AD13CA" w:rsidRDefault="00A55CF9" w:rsidP="00AD13CA">
            <w:pPr>
              <w:pStyle w:val="Tabletext"/>
              <w:tabs>
                <w:tab w:val="decimal" w:pos="369"/>
              </w:tabs>
              <w:rPr>
                <w:szCs w:val="22"/>
              </w:rPr>
            </w:pPr>
          </w:p>
        </w:tc>
        <w:tc>
          <w:tcPr>
            <w:tcW w:w="431" w:type="pct"/>
            <w:tcBorders>
              <w:top w:val="nil"/>
              <w:left w:val="nil"/>
              <w:bottom w:val="nil"/>
              <w:right w:val="nil"/>
            </w:tcBorders>
            <w:shd w:val="clear" w:color="auto" w:fill="auto"/>
            <w:noWrap/>
            <w:tcMar>
              <w:top w:w="17" w:type="dxa"/>
              <w:left w:w="17" w:type="dxa"/>
              <w:bottom w:w="0" w:type="dxa"/>
              <w:right w:w="17" w:type="dxa"/>
            </w:tcMar>
            <w:hideMark/>
          </w:tcPr>
          <w:p w:rsidR="00A55CF9" w:rsidRPr="00AD13CA" w:rsidRDefault="00A55CF9" w:rsidP="00AD13CA">
            <w:pPr>
              <w:pStyle w:val="Tabletext"/>
              <w:tabs>
                <w:tab w:val="decimal" w:pos="312"/>
              </w:tabs>
              <w:rPr>
                <w:szCs w:val="22"/>
              </w:rPr>
            </w:pP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69"/>
              </w:tabs>
            </w:pPr>
            <w:r w:rsidRPr="00AD13CA">
              <w:t>-0.0451</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A55CF9" w:rsidRPr="00AD13CA" w:rsidRDefault="00A55CF9" w:rsidP="00AD13CA">
            <w:pPr>
              <w:pStyle w:val="Tabletext"/>
              <w:tabs>
                <w:tab w:val="decimal" w:pos="312"/>
              </w:tabs>
            </w:pPr>
            <w:r w:rsidRPr="00AD13CA">
              <w:t>-0.80</w:t>
            </w:r>
          </w:p>
        </w:tc>
      </w:tr>
      <w:tr w:rsidR="001526FB" w:rsidRPr="00AD13CA" w:rsidTr="00AD13CA">
        <w:trPr>
          <w:gridAfter w:val="1"/>
          <w:wAfter w:w="8" w:type="pct"/>
        </w:trPr>
        <w:tc>
          <w:tcPr>
            <w:tcW w:w="1778" w:type="pct"/>
            <w:tcBorders>
              <w:top w:val="nil"/>
              <w:left w:val="nil"/>
              <w:bottom w:val="nil"/>
              <w:right w:val="nil"/>
            </w:tcBorders>
            <w:shd w:val="clear" w:color="auto" w:fill="auto"/>
            <w:noWrap/>
            <w:tcMar>
              <w:top w:w="17" w:type="dxa"/>
              <w:left w:w="17" w:type="dxa"/>
              <w:bottom w:w="0" w:type="dxa"/>
              <w:right w:w="17" w:type="dxa"/>
            </w:tcMar>
            <w:hideMark/>
          </w:tcPr>
          <w:p w:rsidR="00D91157" w:rsidRPr="00AD13CA" w:rsidRDefault="00E219CC" w:rsidP="00992B3C">
            <w:pPr>
              <w:pStyle w:val="Tabletext"/>
            </w:pPr>
            <w:r w:rsidRPr="00AD13CA">
              <w:t>Job satisfaction –</w:t>
            </w:r>
            <w:r w:rsidR="00D91157" w:rsidRPr="00AD13CA">
              <w:t xml:space="preserve"> medium</w:t>
            </w:r>
          </w:p>
        </w:tc>
        <w:tc>
          <w:tcPr>
            <w:tcW w:w="642" w:type="pct"/>
            <w:tcBorders>
              <w:top w:val="nil"/>
              <w:left w:val="nil"/>
              <w:bottom w:val="nil"/>
              <w:right w:val="nil"/>
            </w:tcBorders>
            <w:shd w:val="clear" w:color="auto" w:fill="auto"/>
            <w:tcMar>
              <w:top w:w="17" w:type="dxa"/>
              <w:left w:w="17" w:type="dxa"/>
              <w:bottom w:w="0" w:type="dxa"/>
              <w:right w:w="17" w:type="dxa"/>
            </w:tcMar>
            <w:hideMark/>
          </w:tcPr>
          <w:p w:rsidR="00D91157" w:rsidRPr="00AD13CA" w:rsidRDefault="00D91157" w:rsidP="00AD13CA">
            <w:pPr>
              <w:pStyle w:val="Tabletext"/>
              <w:tabs>
                <w:tab w:val="decimal" w:pos="369"/>
              </w:tabs>
            </w:pPr>
          </w:p>
        </w:tc>
        <w:tc>
          <w:tcPr>
            <w:tcW w:w="431" w:type="pct"/>
            <w:tcBorders>
              <w:top w:val="nil"/>
              <w:left w:val="nil"/>
              <w:bottom w:val="nil"/>
              <w:right w:val="nil"/>
            </w:tcBorders>
            <w:shd w:val="clear" w:color="auto" w:fill="auto"/>
            <w:tcMar>
              <w:top w:w="17" w:type="dxa"/>
              <w:left w:w="17" w:type="dxa"/>
              <w:bottom w:w="0" w:type="dxa"/>
              <w:right w:w="17" w:type="dxa"/>
            </w:tcMar>
            <w:hideMark/>
          </w:tcPr>
          <w:p w:rsidR="00D91157" w:rsidRPr="00AD13CA" w:rsidRDefault="00D91157" w:rsidP="00AD13CA">
            <w:pPr>
              <w:pStyle w:val="Tabletext"/>
              <w:tabs>
                <w:tab w:val="decimal" w:pos="312"/>
              </w:tabs>
            </w:pPr>
          </w:p>
        </w:tc>
        <w:tc>
          <w:tcPr>
            <w:tcW w:w="640" w:type="pct"/>
            <w:tcBorders>
              <w:top w:val="nil"/>
              <w:left w:val="nil"/>
              <w:bottom w:val="nil"/>
              <w:right w:val="nil"/>
            </w:tcBorders>
            <w:shd w:val="clear" w:color="auto" w:fill="auto"/>
            <w:noWrap/>
            <w:tcMar>
              <w:top w:w="17" w:type="dxa"/>
              <w:left w:w="17" w:type="dxa"/>
              <w:bottom w:w="0" w:type="dxa"/>
              <w:right w:w="17" w:type="dxa"/>
            </w:tcMar>
            <w:hideMark/>
          </w:tcPr>
          <w:p w:rsidR="00D91157" w:rsidRPr="00AD13CA" w:rsidRDefault="00D91157" w:rsidP="00AD13CA">
            <w:pPr>
              <w:pStyle w:val="Tabletext"/>
              <w:tabs>
                <w:tab w:val="decimal" w:pos="369"/>
              </w:tabs>
              <w:rPr>
                <w:szCs w:val="22"/>
              </w:rPr>
            </w:pPr>
          </w:p>
        </w:tc>
        <w:tc>
          <w:tcPr>
            <w:tcW w:w="431" w:type="pct"/>
            <w:tcBorders>
              <w:top w:val="nil"/>
              <w:left w:val="nil"/>
              <w:bottom w:val="nil"/>
              <w:right w:val="nil"/>
            </w:tcBorders>
            <w:shd w:val="clear" w:color="auto" w:fill="auto"/>
            <w:noWrap/>
            <w:tcMar>
              <w:top w:w="17" w:type="dxa"/>
              <w:left w:w="17" w:type="dxa"/>
              <w:bottom w:w="0" w:type="dxa"/>
              <w:right w:w="17" w:type="dxa"/>
            </w:tcMar>
            <w:hideMark/>
          </w:tcPr>
          <w:p w:rsidR="00D91157" w:rsidRPr="00AD13CA" w:rsidRDefault="00D91157" w:rsidP="00AD13CA">
            <w:pPr>
              <w:pStyle w:val="Tabletext"/>
              <w:tabs>
                <w:tab w:val="decimal" w:pos="312"/>
              </w:tabs>
              <w:rPr>
                <w:szCs w:val="22"/>
              </w:rPr>
            </w:pPr>
          </w:p>
        </w:tc>
        <w:tc>
          <w:tcPr>
            <w:tcW w:w="642" w:type="pct"/>
            <w:gridSpan w:val="2"/>
            <w:tcBorders>
              <w:top w:val="nil"/>
              <w:left w:val="nil"/>
              <w:bottom w:val="nil"/>
              <w:right w:val="nil"/>
            </w:tcBorders>
            <w:shd w:val="clear" w:color="auto" w:fill="auto"/>
            <w:tcMar>
              <w:top w:w="17" w:type="dxa"/>
              <w:left w:w="17" w:type="dxa"/>
              <w:bottom w:w="0" w:type="dxa"/>
              <w:right w:w="17" w:type="dxa"/>
            </w:tcMar>
            <w:hideMark/>
          </w:tcPr>
          <w:p w:rsidR="00D91157" w:rsidRPr="00AD13CA" w:rsidRDefault="00D91157" w:rsidP="00AD13CA">
            <w:pPr>
              <w:pStyle w:val="Tabletext"/>
              <w:tabs>
                <w:tab w:val="decimal" w:pos="369"/>
              </w:tabs>
            </w:pPr>
            <w:r w:rsidRPr="00AD13CA">
              <w:t>-0.0442</w:t>
            </w:r>
          </w:p>
        </w:tc>
        <w:tc>
          <w:tcPr>
            <w:tcW w:w="428" w:type="pct"/>
            <w:tcBorders>
              <w:top w:val="nil"/>
              <w:left w:val="nil"/>
              <w:bottom w:val="nil"/>
              <w:right w:val="nil"/>
            </w:tcBorders>
            <w:shd w:val="clear" w:color="auto" w:fill="auto"/>
            <w:tcMar>
              <w:top w:w="17" w:type="dxa"/>
              <w:left w:w="17" w:type="dxa"/>
              <w:bottom w:w="0" w:type="dxa"/>
              <w:right w:w="17" w:type="dxa"/>
            </w:tcMar>
            <w:hideMark/>
          </w:tcPr>
          <w:p w:rsidR="00D91157" w:rsidRPr="00AD13CA" w:rsidRDefault="00D91157" w:rsidP="00AD13CA">
            <w:pPr>
              <w:pStyle w:val="Tabletext"/>
              <w:tabs>
                <w:tab w:val="decimal" w:pos="312"/>
              </w:tabs>
            </w:pPr>
            <w:r w:rsidRPr="00AD13CA">
              <w:t>-0.73</w:t>
            </w:r>
          </w:p>
        </w:tc>
      </w:tr>
      <w:tr w:rsidR="001526FB" w:rsidRPr="00874A6C" w:rsidTr="00AD13CA">
        <w:tc>
          <w:tcPr>
            <w:tcW w:w="1778" w:type="pct"/>
            <w:tcBorders>
              <w:top w:val="nil"/>
              <w:left w:val="nil"/>
              <w:bottom w:val="single" w:sz="8" w:space="0" w:color="auto"/>
              <w:right w:val="nil"/>
            </w:tcBorders>
            <w:shd w:val="clear" w:color="auto" w:fill="auto"/>
            <w:tcMar>
              <w:top w:w="17" w:type="dxa"/>
              <w:left w:w="17" w:type="dxa"/>
              <w:bottom w:w="0" w:type="dxa"/>
              <w:right w:w="17" w:type="dxa"/>
            </w:tcMar>
            <w:hideMark/>
          </w:tcPr>
          <w:p w:rsidR="00D91157" w:rsidRPr="00874A6C" w:rsidRDefault="00D91157" w:rsidP="00AD13CA">
            <w:pPr>
              <w:pStyle w:val="Tabletext"/>
              <w:spacing w:before="120"/>
              <w:rPr>
                <w:i/>
              </w:rPr>
            </w:pPr>
            <w:r w:rsidRPr="00874A6C">
              <w:rPr>
                <w:i/>
              </w:rPr>
              <w:t>Observations</w:t>
            </w:r>
          </w:p>
        </w:tc>
        <w:tc>
          <w:tcPr>
            <w:tcW w:w="1073" w:type="pct"/>
            <w:gridSpan w:val="2"/>
            <w:tcBorders>
              <w:top w:val="nil"/>
              <w:left w:val="nil"/>
              <w:bottom w:val="single" w:sz="8" w:space="0" w:color="auto"/>
              <w:right w:val="nil"/>
            </w:tcBorders>
            <w:shd w:val="clear" w:color="auto" w:fill="auto"/>
            <w:tcMar>
              <w:top w:w="17" w:type="dxa"/>
              <w:left w:w="17" w:type="dxa"/>
              <w:bottom w:w="0" w:type="dxa"/>
              <w:right w:w="17" w:type="dxa"/>
            </w:tcMar>
            <w:hideMark/>
          </w:tcPr>
          <w:p w:rsidR="00D91157" w:rsidRPr="00874A6C" w:rsidRDefault="00D91157" w:rsidP="00AD13CA">
            <w:pPr>
              <w:pStyle w:val="Tabletext"/>
              <w:spacing w:before="120"/>
              <w:jc w:val="center"/>
              <w:rPr>
                <w:i/>
              </w:rPr>
            </w:pPr>
            <w:r w:rsidRPr="00874A6C">
              <w:rPr>
                <w:i/>
              </w:rPr>
              <w:t>2393</w:t>
            </w:r>
          </w:p>
        </w:tc>
        <w:tc>
          <w:tcPr>
            <w:tcW w:w="1077" w:type="pct"/>
            <w:gridSpan w:val="3"/>
            <w:tcBorders>
              <w:top w:val="nil"/>
              <w:left w:val="nil"/>
              <w:bottom w:val="single" w:sz="8" w:space="0" w:color="auto"/>
              <w:right w:val="nil"/>
            </w:tcBorders>
            <w:shd w:val="clear" w:color="auto" w:fill="auto"/>
            <w:tcMar>
              <w:top w:w="17" w:type="dxa"/>
              <w:left w:w="17" w:type="dxa"/>
              <w:bottom w:w="0" w:type="dxa"/>
              <w:right w:w="17" w:type="dxa"/>
            </w:tcMar>
            <w:hideMark/>
          </w:tcPr>
          <w:p w:rsidR="00D91157" w:rsidRPr="00874A6C" w:rsidRDefault="00D91157" w:rsidP="00AD13CA">
            <w:pPr>
              <w:pStyle w:val="Tabletext"/>
              <w:spacing w:before="120"/>
              <w:jc w:val="center"/>
              <w:rPr>
                <w:i/>
              </w:rPr>
            </w:pPr>
            <w:r w:rsidRPr="00874A6C">
              <w:rPr>
                <w:i/>
              </w:rPr>
              <w:t>1372</w:t>
            </w:r>
          </w:p>
        </w:tc>
        <w:tc>
          <w:tcPr>
            <w:tcW w:w="1072" w:type="pct"/>
            <w:gridSpan w:val="3"/>
            <w:tcBorders>
              <w:top w:val="nil"/>
              <w:left w:val="nil"/>
              <w:bottom w:val="single" w:sz="8" w:space="0" w:color="auto"/>
              <w:right w:val="nil"/>
            </w:tcBorders>
            <w:shd w:val="clear" w:color="auto" w:fill="auto"/>
            <w:tcMar>
              <w:top w:w="17" w:type="dxa"/>
              <w:left w:w="17" w:type="dxa"/>
              <w:bottom w:w="0" w:type="dxa"/>
              <w:right w:w="17" w:type="dxa"/>
            </w:tcMar>
            <w:hideMark/>
          </w:tcPr>
          <w:p w:rsidR="00D91157" w:rsidRPr="00874A6C" w:rsidRDefault="00D91157" w:rsidP="00AD13CA">
            <w:pPr>
              <w:pStyle w:val="Tabletext"/>
              <w:spacing w:before="120"/>
              <w:jc w:val="center"/>
              <w:rPr>
                <w:i/>
              </w:rPr>
            </w:pPr>
            <w:r w:rsidRPr="00874A6C">
              <w:rPr>
                <w:i/>
              </w:rPr>
              <w:t>1545</w:t>
            </w:r>
          </w:p>
        </w:tc>
      </w:tr>
    </w:tbl>
    <w:p w:rsidR="006E136C" w:rsidRDefault="00D701C5">
      <w:pPr>
        <w:pStyle w:val="Source"/>
        <w:rPr>
          <w:lang w:val="en-GB"/>
        </w:rPr>
      </w:pPr>
      <w:r>
        <w:rPr>
          <w:lang w:val="en-GB"/>
        </w:rPr>
        <w:t>Note</w:t>
      </w:r>
      <w:r w:rsidR="00E219CC">
        <w:rPr>
          <w:lang w:val="en-GB"/>
        </w:rPr>
        <w:t>:</w:t>
      </w:r>
      <w:r w:rsidR="00AD13CA">
        <w:rPr>
          <w:lang w:val="en-GB"/>
        </w:rPr>
        <w:tab/>
      </w:r>
      <w:r w:rsidR="00D91157" w:rsidRPr="00B07B55">
        <w:rPr>
          <w:lang w:val="en-GB"/>
        </w:rPr>
        <w:t xml:space="preserve">Regressions include state indicators and indicators of city and regional residence. </w:t>
      </w:r>
      <w:r w:rsidR="00D91157">
        <w:rPr>
          <w:lang w:val="en-GB"/>
        </w:rPr>
        <w:t xml:space="preserve">Coefficients estimated using adjusted weights. </w:t>
      </w:r>
      <w:r w:rsidR="00546F9E">
        <w:rPr>
          <w:lang w:val="en-GB"/>
        </w:rPr>
        <w:t>The t-statistics are based on heteroskedasticity-robust White standard errors.</w:t>
      </w:r>
      <w:r w:rsidR="00EA0C91">
        <w:rPr>
          <w:lang w:val="en-GB"/>
        </w:rPr>
        <w:t>* Reference category for education levels also includes a few individuals with undetermined education.</w:t>
      </w:r>
    </w:p>
    <w:p w:rsidR="00E219CC" w:rsidRDefault="00D701C5">
      <w:pPr>
        <w:pStyle w:val="Source"/>
        <w:rPr>
          <w:lang w:val="en-GB"/>
        </w:rPr>
      </w:pPr>
      <w:r>
        <w:rPr>
          <w:lang w:val="en-GB"/>
        </w:rPr>
        <w:t>Source:</w:t>
      </w:r>
      <w:r>
        <w:rPr>
          <w:lang w:val="en-GB"/>
        </w:rPr>
        <w:tab/>
        <w:t>HILDA d</w:t>
      </w:r>
      <w:r w:rsidR="00E219CC" w:rsidRPr="00B07B55">
        <w:rPr>
          <w:lang w:val="en-GB"/>
        </w:rPr>
        <w:t>ata.</w:t>
      </w:r>
    </w:p>
    <w:p w:rsidR="003D1F0E" w:rsidRPr="00B07B55" w:rsidRDefault="003D1F0E" w:rsidP="00AD13CA">
      <w:pPr>
        <w:pStyle w:val="Textmorebefore"/>
      </w:pPr>
      <w:r w:rsidRPr="00B07B55">
        <w:t xml:space="preserve">Most other personal characteristics included in the set of regressors do not seem to have any significant relation </w:t>
      </w:r>
      <w:r w:rsidR="00E219CC">
        <w:t>to</w:t>
      </w:r>
      <w:r w:rsidRPr="00B07B55">
        <w:t xml:space="preserve"> the decision </w:t>
      </w:r>
      <w:r w:rsidR="00E219CC">
        <w:t>by</w:t>
      </w:r>
      <w:r w:rsidR="00E219CC" w:rsidRPr="00B07B55">
        <w:t xml:space="preserve"> </w:t>
      </w:r>
      <w:r w:rsidR="00E219CC">
        <w:t>mature-age</w:t>
      </w:r>
      <w:r w:rsidR="00E219CC" w:rsidRPr="00B07B55">
        <w:t xml:space="preserve"> males </w:t>
      </w:r>
      <w:r w:rsidRPr="00B07B55">
        <w:t xml:space="preserve">to engage in education. </w:t>
      </w:r>
      <w:r w:rsidR="00D701C5">
        <w:t>N</w:t>
      </w:r>
      <w:r w:rsidR="00D701C5" w:rsidRPr="00B07B55">
        <w:t xml:space="preserve">ote </w:t>
      </w:r>
      <w:r w:rsidR="00D701C5">
        <w:t>in particular</w:t>
      </w:r>
      <w:r w:rsidRPr="00B07B55">
        <w:t xml:space="preserve"> that </w:t>
      </w:r>
      <w:r w:rsidR="00C513EA" w:rsidRPr="00B07B55">
        <w:t xml:space="preserve">there is </w:t>
      </w:r>
      <w:r w:rsidRPr="00B07B55">
        <w:t xml:space="preserve">no statistically significant effect </w:t>
      </w:r>
      <w:r w:rsidR="00C513EA" w:rsidRPr="00B07B55">
        <w:t>of being</w:t>
      </w:r>
      <w:r w:rsidRPr="00B07B55">
        <w:t xml:space="preserve"> </w:t>
      </w:r>
      <w:r w:rsidR="00A55CF9" w:rsidRPr="00B07B55">
        <w:t xml:space="preserve">born </w:t>
      </w:r>
      <w:r w:rsidR="00DC616F" w:rsidRPr="00B07B55">
        <w:t>overseas</w:t>
      </w:r>
      <w:r w:rsidRPr="00B07B55">
        <w:t>. This indicates that the high enrolment rate of Australia is not driven by the high proportion of immigrants in the</w:t>
      </w:r>
      <w:r w:rsidR="00A82C0B" w:rsidRPr="00B07B55">
        <w:t xml:space="preserve"> Australian</w:t>
      </w:r>
      <w:r w:rsidRPr="00B07B55">
        <w:t xml:space="preserve"> population. </w:t>
      </w:r>
      <w:r w:rsidR="00FF61C2">
        <w:t>T</w:t>
      </w:r>
      <w:r w:rsidR="00F9074F">
        <w:t xml:space="preserve">his finding </w:t>
      </w:r>
      <w:r w:rsidR="00667CFD">
        <w:t>may be due</w:t>
      </w:r>
      <w:r w:rsidR="00FF61C2">
        <w:t xml:space="preserve"> </w:t>
      </w:r>
      <w:r w:rsidR="00F9074F">
        <w:t>to the Australian system of select</w:t>
      </w:r>
      <w:r w:rsidR="00667CFD">
        <w:t>ing</w:t>
      </w:r>
      <w:r w:rsidR="00F9074F">
        <w:t xml:space="preserve"> s</w:t>
      </w:r>
      <w:r w:rsidR="00E219CC">
        <w:t>killed migrants. Holding a work-</w:t>
      </w:r>
      <w:r w:rsidR="00F9074F">
        <w:t xml:space="preserve">related qualification </w:t>
      </w:r>
      <w:r w:rsidR="00667CFD">
        <w:t>in a</w:t>
      </w:r>
      <w:r w:rsidR="00992B3C">
        <w:t>n</w:t>
      </w:r>
      <w:r w:rsidR="00667CFD">
        <w:t xml:space="preserve"> </w:t>
      </w:r>
      <w:r w:rsidR="0064378F">
        <w:t>‘</w:t>
      </w:r>
      <w:r w:rsidR="00667CFD">
        <w:t>in demand</w:t>
      </w:r>
      <w:r w:rsidR="0064378F">
        <w:t>’</w:t>
      </w:r>
      <w:r w:rsidR="00667CFD">
        <w:t xml:space="preserve"> occupation was </w:t>
      </w:r>
      <w:r w:rsidR="00FF61C2">
        <w:t xml:space="preserve">often </w:t>
      </w:r>
      <w:r w:rsidR="00F9074F">
        <w:t xml:space="preserve">a necessary condition for being granted </w:t>
      </w:r>
      <w:r w:rsidR="00667CFD">
        <w:t>an immigrant visa</w:t>
      </w:r>
      <w:r w:rsidR="00F9074F">
        <w:t xml:space="preserve">, so that a </w:t>
      </w:r>
      <w:r w:rsidR="00667CFD">
        <w:t>significant</w:t>
      </w:r>
      <w:r w:rsidR="00F9074F">
        <w:t xml:space="preserve"> number of migrants </w:t>
      </w:r>
      <w:r w:rsidR="00667CFD">
        <w:t>would</w:t>
      </w:r>
      <w:r w:rsidR="00F9074F">
        <w:t xml:space="preserve"> not require any additional training </w:t>
      </w:r>
      <w:r w:rsidR="00667CFD">
        <w:t>to find a job</w:t>
      </w:r>
      <w:r w:rsidR="00F9074F">
        <w:t>.</w:t>
      </w:r>
    </w:p>
    <w:p w:rsidR="003D1F0E" w:rsidRPr="00B07B55" w:rsidRDefault="00C513EA" w:rsidP="00495869">
      <w:pPr>
        <w:pStyle w:val="Text"/>
        <w:ind w:right="0"/>
        <w:rPr>
          <w:lang w:val="en-GB"/>
        </w:rPr>
      </w:pPr>
      <w:r w:rsidRPr="00B07B55">
        <w:rPr>
          <w:lang w:val="en-GB"/>
        </w:rPr>
        <w:t>P</w:t>
      </w:r>
      <w:r w:rsidR="003D1F0E" w:rsidRPr="00B07B55">
        <w:rPr>
          <w:lang w:val="en-GB"/>
        </w:rPr>
        <w:t>arental occupation levels</w:t>
      </w:r>
      <w:r w:rsidR="005135EC" w:rsidRPr="00E219CC">
        <w:rPr>
          <w:vertAlign w:val="superscript"/>
        </w:rPr>
        <w:footnoteReference w:id="8"/>
      </w:r>
      <w:r w:rsidR="003D1F0E" w:rsidRPr="00B07B55">
        <w:rPr>
          <w:lang w:val="en-GB"/>
        </w:rPr>
        <w:t xml:space="preserve"> are not related to the probability of studying at mature ages in these estimates. Parental occupation levels have been found to be strongly p</w:t>
      </w:r>
      <w:r w:rsidR="00E219CC">
        <w:rPr>
          <w:lang w:val="en-GB"/>
        </w:rPr>
        <w:t>ositively related to university-</w:t>
      </w:r>
      <w:r w:rsidR="003D1F0E" w:rsidRPr="00B07B55">
        <w:rPr>
          <w:lang w:val="en-GB"/>
        </w:rPr>
        <w:t xml:space="preserve">level study in Australia for individuals just leaving high school. The lack of any relationship in these estimates may imply that </w:t>
      </w:r>
      <w:r w:rsidR="007A4E37">
        <w:rPr>
          <w:lang w:val="en-GB"/>
        </w:rPr>
        <w:t>mature-age</w:t>
      </w:r>
      <w:r w:rsidR="003D1F0E" w:rsidRPr="00B07B55">
        <w:rPr>
          <w:lang w:val="en-GB"/>
        </w:rPr>
        <w:t xml:space="preserve"> study is more equally available than study just after high school, as more mature individuals may have their own resources with which to fund further study. It may also reflect the fact that the majority of </w:t>
      </w:r>
      <w:r w:rsidR="007A4E37">
        <w:rPr>
          <w:lang w:val="en-GB"/>
        </w:rPr>
        <w:t>mature-age</w:t>
      </w:r>
      <w:r w:rsidR="003D1F0E" w:rsidRPr="00B07B55">
        <w:rPr>
          <w:lang w:val="en-GB"/>
        </w:rPr>
        <w:t xml:space="preserve"> study is at the certificate and diploma level</w:t>
      </w:r>
      <w:r w:rsidR="00E219CC">
        <w:rPr>
          <w:lang w:val="en-GB"/>
        </w:rPr>
        <w:t>s</w:t>
      </w:r>
      <w:r w:rsidR="003D1F0E" w:rsidRPr="00B07B55">
        <w:rPr>
          <w:lang w:val="en-GB"/>
        </w:rPr>
        <w:t>, not the university level. Parental occupational status is not strongly related to certificate and diploma study</w:t>
      </w:r>
      <w:r w:rsidR="00992B3C">
        <w:rPr>
          <w:lang w:val="en-GB"/>
        </w:rPr>
        <w:t>,</w:t>
      </w:r>
      <w:r w:rsidR="003D1F0E" w:rsidRPr="00B07B55">
        <w:rPr>
          <w:lang w:val="en-GB"/>
        </w:rPr>
        <w:t xml:space="preserve"> e</w:t>
      </w:r>
      <w:r w:rsidR="00A55CF9" w:rsidRPr="00B07B55">
        <w:rPr>
          <w:lang w:val="en-GB"/>
        </w:rPr>
        <w:t>ven among recent school leavers</w:t>
      </w:r>
      <w:r w:rsidR="00D701C5">
        <w:rPr>
          <w:lang w:val="en-GB"/>
        </w:rPr>
        <w:t>,</w:t>
      </w:r>
      <w:r w:rsidR="00A55CF9" w:rsidRPr="00B07B55">
        <w:rPr>
          <w:lang w:val="en-GB"/>
        </w:rPr>
        <w:t xml:space="preserve"> as they may be partially captured</w:t>
      </w:r>
      <w:r w:rsidR="003D1F0E" w:rsidRPr="00B07B55">
        <w:rPr>
          <w:lang w:val="en-GB"/>
        </w:rPr>
        <w:t xml:space="preserve"> </w:t>
      </w:r>
      <w:r w:rsidR="00A55CF9" w:rsidRPr="00B07B55">
        <w:rPr>
          <w:lang w:val="en-GB"/>
        </w:rPr>
        <w:t>by the effects of current education levels.</w:t>
      </w:r>
      <w:r w:rsidR="00667CFD">
        <w:rPr>
          <w:lang w:val="en-GB"/>
        </w:rPr>
        <w:t xml:space="preserve"> </w:t>
      </w:r>
    </w:p>
    <w:p w:rsidR="003D1F0E" w:rsidRPr="00B07B55" w:rsidRDefault="003D1F0E" w:rsidP="00495869">
      <w:pPr>
        <w:pStyle w:val="Text"/>
        <w:ind w:right="0"/>
        <w:rPr>
          <w:lang w:val="en-GB"/>
        </w:rPr>
      </w:pPr>
      <w:r w:rsidRPr="00B07B55">
        <w:rPr>
          <w:lang w:val="en-GB"/>
        </w:rPr>
        <w:t xml:space="preserve">There is a significant negative relationship between individual disposable income </w:t>
      </w:r>
      <w:r w:rsidR="001925F4" w:rsidRPr="00B07B55">
        <w:rPr>
          <w:lang w:val="en-GB"/>
        </w:rPr>
        <w:t>measured at wave 1</w:t>
      </w:r>
      <w:r w:rsidR="001C73D5">
        <w:rPr>
          <w:lang w:val="en-GB"/>
        </w:rPr>
        <w:t xml:space="preserve"> </w:t>
      </w:r>
      <w:r w:rsidRPr="00B07B55">
        <w:rPr>
          <w:lang w:val="en-GB"/>
        </w:rPr>
        <w:t>and further study in the first and t</w:t>
      </w:r>
      <w:r w:rsidR="00F16B62" w:rsidRPr="00B07B55">
        <w:rPr>
          <w:lang w:val="en-GB"/>
        </w:rPr>
        <w:t xml:space="preserve">hird models reported in table </w:t>
      </w:r>
      <w:r w:rsidR="00370E9E" w:rsidRPr="00B07B55">
        <w:rPr>
          <w:lang w:val="en-GB"/>
        </w:rPr>
        <w:t>1</w:t>
      </w:r>
      <w:r w:rsidR="00370E9E">
        <w:rPr>
          <w:lang w:val="en-GB"/>
        </w:rPr>
        <w:t xml:space="preserve">0 </w:t>
      </w:r>
      <w:r w:rsidR="00BC6362">
        <w:rPr>
          <w:lang w:val="en-GB"/>
        </w:rPr>
        <w:t>for males</w:t>
      </w:r>
      <w:r w:rsidRPr="00B07B55">
        <w:rPr>
          <w:lang w:val="en-GB"/>
        </w:rPr>
        <w:t>. The probability of studying is 1.</w:t>
      </w:r>
      <w:r w:rsidR="006027F2">
        <w:rPr>
          <w:lang w:val="en-GB"/>
        </w:rPr>
        <w:t>6</w:t>
      </w:r>
      <w:r w:rsidRPr="00B07B55">
        <w:rPr>
          <w:lang w:val="en-GB"/>
        </w:rPr>
        <w:t xml:space="preserve"> percentage points lower for </w:t>
      </w:r>
      <w:r w:rsidR="003223AE">
        <w:rPr>
          <w:lang w:val="en-GB"/>
        </w:rPr>
        <w:t xml:space="preserve">each additional </w:t>
      </w:r>
      <w:r w:rsidRPr="00B07B55">
        <w:rPr>
          <w:lang w:val="en-GB"/>
        </w:rPr>
        <w:t>$1</w:t>
      </w:r>
      <w:r w:rsidR="00886F79">
        <w:rPr>
          <w:lang w:val="en-GB"/>
        </w:rPr>
        <w:t>0</w:t>
      </w:r>
      <w:r w:rsidR="00AD13CA">
        <w:rPr>
          <w:lang w:val="en-GB"/>
        </w:rPr>
        <w:t> </w:t>
      </w:r>
      <w:r w:rsidRPr="00B07B55">
        <w:rPr>
          <w:lang w:val="en-GB"/>
        </w:rPr>
        <w:t>000</w:t>
      </w:r>
      <w:r w:rsidR="003223AE">
        <w:rPr>
          <w:lang w:val="en-GB"/>
        </w:rPr>
        <w:t xml:space="preserve"> of </w:t>
      </w:r>
      <w:r w:rsidRPr="00B07B55">
        <w:rPr>
          <w:lang w:val="en-GB"/>
        </w:rPr>
        <w:t>annual disposable income, ho</w:t>
      </w:r>
      <w:r w:rsidR="003223AE">
        <w:rPr>
          <w:lang w:val="en-GB"/>
        </w:rPr>
        <w:t xml:space="preserve">lding the other characteristics </w:t>
      </w:r>
      <w:r w:rsidRPr="00B07B55">
        <w:rPr>
          <w:lang w:val="en-GB"/>
        </w:rPr>
        <w:t xml:space="preserve">fixed. </w:t>
      </w:r>
    </w:p>
    <w:p w:rsidR="003D1F0E" w:rsidRPr="00B07B55" w:rsidRDefault="003D1F0E" w:rsidP="00495869">
      <w:pPr>
        <w:pStyle w:val="Text"/>
        <w:ind w:right="0"/>
        <w:rPr>
          <w:lang w:val="en-GB"/>
        </w:rPr>
      </w:pPr>
      <w:r w:rsidRPr="00B07B55">
        <w:rPr>
          <w:lang w:val="en-GB"/>
        </w:rPr>
        <w:t xml:space="preserve">For </w:t>
      </w:r>
      <w:r w:rsidR="00C41F9C">
        <w:rPr>
          <w:lang w:val="en-GB"/>
        </w:rPr>
        <w:t xml:space="preserve">male </w:t>
      </w:r>
      <w:r w:rsidRPr="00B07B55">
        <w:rPr>
          <w:lang w:val="en-GB"/>
        </w:rPr>
        <w:t xml:space="preserve">employees only (second model), note the negative relationship between </w:t>
      </w:r>
      <w:r w:rsidR="002A2EC6" w:rsidRPr="00B07B55">
        <w:rPr>
          <w:lang w:val="en-GB"/>
        </w:rPr>
        <w:t xml:space="preserve">log </w:t>
      </w:r>
      <w:r w:rsidRPr="00B07B55">
        <w:rPr>
          <w:lang w:val="en-GB"/>
        </w:rPr>
        <w:t>wage residuals and the probability of studying. These wage residuals were constructed from an extended Mincer</w:t>
      </w:r>
      <w:r w:rsidR="00992B3C">
        <w:rPr>
          <w:lang w:val="en-GB"/>
        </w:rPr>
        <w:t>-</w:t>
      </w:r>
      <w:r w:rsidRPr="00B07B55">
        <w:rPr>
          <w:lang w:val="en-GB"/>
        </w:rPr>
        <w:t>type log hourly wage regression, where the log of hourly wages w</w:t>
      </w:r>
      <w:r w:rsidR="00E219CC">
        <w:rPr>
          <w:lang w:val="en-GB"/>
        </w:rPr>
        <w:t>as</w:t>
      </w:r>
      <w:r w:rsidRPr="00B07B55">
        <w:rPr>
          <w:lang w:val="en-GB"/>
        </w:rPr>
        <w:t xml:space="preserve"> regressed on a measure of work experience and its square, education levels, interactions of work experience and education levels, the proportion of time since leaving full-time education not working, immigrant status, marital status, number of children, disability status and residence. These residuals thus denote whether the individual is earning a wage that is above or below what we would expect </w:t>
      </w:r>
      <w:r w:rsidR="00193882">
        <w:rPr>
          <w:lang w:val="en-GB"/>
        </w:rPr>
        <w:t>given the</w:t>
      </w:r>
      <w:r w:rsidRPr="00B07B55">
        <w:rPr>
          <w:lang w:val="en-GB"/>
        </w:rPr>
        <w:t xml:space="preserve"> characteristics</w:t>
      </w:r>
      <w:r w:rsidR="00193882">
        <w:rPr>
          <w:lang w:val="en-GB"/>
        </w:rPr>
        <w:t xml:space="preserve"> for this individual</w:t>
      </w:r>
      <w:r w:rsidR="00495869">
        <w:rPr>
          <w:lang w:val="en-GB"/>
        </w:rPr>
        <w:t xml:space="preserve">. </w:t>
      </w:r>
      <w:r w:rsidRPr="00B07B55">
        <w:rPr>
          <w:lang w:val="en-GB"/>
        </w:rPr>
        <w:t xml:space="preserve">The negative relationship between this </w:t>
      </w:r>
      <w:r w:rsidR="002A2EC6" w:rsidRPr="00B07B55">
        <w:rPr>
          <w:lang w:val="en-GB"/>
        </w:rPr>
        <w:t xml:space="preserve">log </w:t>
      </w:r>
      <w:r w:rsidRPr="00B07B55">
        <w:rPr>
          <w:lang w:val="en-GB"/>
        </w:rPr>
        <w:t xml:space="preserve">wage residual and the probability of studying implies that it is males </w:t>
      </w:r>
      <w:r w:rsidR="0073427D">
        <w:rPr>
          <w:lang w:val="en-GB"/>
        </w:rPr>
        <w:t>who</w:t>
      </w:r>
      <w:r w:rsidRPr="00B07B55">
        <w:rPr>
          <w:lang w:val="en-GB"/>
        </w:rPr>
        <w:t xml:space="preserve"> have lower hourly wage rates than we expect</w:t>
      </w:r>
      <w:r w:rsidR="0073427D">
        <w:rPr>
          <w:lang w:val="en-GB"/>
        </w:rPr>
        <w:t xml:space="preserve"> who</w:t>
      </w:r>
      <w:r w:rsidRPr="00B07B55">
        <w:rPr>
          <w:lang w:val="en-GB"/>
        </w:rPr>
        <w:t xml:space="preserve"> are more likely to study. This may be due to dissatisfaction with their current employment situation. </w:t>
      </w:r>
    </w:p>
    <w:p w:rsidR="003D1F0E" w:rsidRPr="00B07B55" w:rsidRDefault="003D1F0E" w:rsidP="00495869">
      <w:pPr>
        <w:pStyle w:val="Text"/>
        <w:ind w:right="0"/>
        <w:rPr>
          <w:lang w:val="en-GB"/>
        </w:rPr>
      </w:pPr>
      <w:r w:rsidRPr="00B07B55">
        <w:rPr>
          <w:lang w:val="en-GB"/>
        </w:rPr>
        <w:t>For employed males (third column), the level of initial job satisfaction is significantly negatively related to the probability of engaging in education. Males reporting satisfaction levels in their job at any level above low (the base category) have much lower probabilities of studying (from 1</w:t>
      </w:r>
      <w:r w:rsidR="00C862CC">
        <w:rPr>
          <w:lang w:val="en-GB"/>
        </w:rPr>
        <w:t>2</w:t>
      </w:r>
      <w:r w:rsidRPr="00B07B55">
        <w:rPr>
          <w:lang w:val="en-GB"/>
        </w:rPr>
        <w:t xml:space="preserve"> to 1</w:t>
      </w:r>
      <w:r w:rsidR="00C862CC">
        <w:rPr>
          <w:lang w:val="en-GB"/>
        </w:rPr>
        <w:t>8</w:t>
      </w:r>
      <w:r w:rsidRPr="00B07B55">
        <w:rPr>
          <w:lang w:val="en-GB"/>
        </w:rPr>
        <w:t xml:space="preserve"> percentage points). In all, the results in table 10 indicate that the decision to (re-)enrol in the education system is more closely related to the working status of males than to their socio-demographic characteristics, apart from initial education level. </w:t>
      </w:r>
    </w:p>
    <w:p w:rsidR="003D1F0E" w:rsidRPr="00B07B55" w:rsidRDefault="003D1F0E" w:rsidP="00495869">
      <w:pPr>
        <w:pStyle w:val="Text"/>
        <w:ind w:right="0"/>
        <w:rPr>
          <w:lang w:val="en-GB"/>
        </w:rPr>
      </w:pPr>
      <w:r w:rsidRPr="00B07B55">
        <w:rPr>
          <w:lang w:val="en-GB"/>
        </w:rPr>
        <w:t>The results for females reported in table 1</w:t>
      </w:r>
      <w:r w:rsidR="00B16752" w:rsidRPr="00B07B55">
        <w:rPr>
          <w:lang w:val="en-GB"/>
        </w:rPr>
        <w:t>1</w:t>
      </w:r>
      <w:r w:rsidRPr="00B07B55">
        <w:rPr>
          <w:lang w:val="en-GB"/>
        </w:rPr>
        <w:t xml:space="preserve"> are in some cases different </w:t>
      </w:r>
      <w:r w:rsidR="0073427D">
        <w:rPr>
          <w:lang w:val="en-GB"/>
        </w:rPr>
        <w:t>from</w:t>
      </w:r>
      <w:r w:rsidRPr="00B07B55">
        <w:rPr>
          <w:lang w:val="en-GB"/>
        </w:rPr>
        <w:t xml:space="preserve"> those for males. Although the estimates related to initial education levels are still generally significant, their pattern in terms of magnitude varies more than for males. More notable differences between the male and female results are observed for work-related characteristics. For females, the decision to engage in education is not significantly related to the level of job satisfaction, to wage residuals or to disposable income. Labour force status, however, appears to be more relevant for females, with unemployed females being significantly more likely to enrol in education (1</w:t>
      </w:r>
      <w:r w:rsidR="00C862CC">
        <w:rPr>
          <w:lang w:val="en-GB"/>
        </w:rPr>
        <w:t>4</w:t>
      </w:r>
      <w:r w:rsidRPr="00B07B55">
        <w:rPr>
          <w:lang w:val="en-GB"/>
        </w:rPr>
        <w:t xml:space="preserve"> to 2</w:t>
      </w:r>
      <w:r w:rsidR="002972FC">
        <w:rPr>
          <w:lang w:val="en-GB"/>
        </w:rPr>
        <w:t>2</w:t>
      </w:r>
      <w:r w:rsidR="0073427D">
        <w:rPr>
          <w:lang w:val="en-GB"/>
        </w:rPr>
        <w:t>-percentage-</w:t>
      </w:r>
      <w:r w:rsidRPr="00B07B55">
        <w:rPr>
          <w:lang w:val="en-GB"/>
        </w:rPr>
        <w:t xml:space="preserve">point higher probability than full-time workers, the base labour force status case). </w:t>
      </w:r>
    </w:p>
    <w:p w:rsidR="003D1F0E" w:rsidRPr="00B07B55" w:rsidRDefault="003D1F0E" w:rsidP="00495869">
      <w:pPr>
        <w:pStyle w:val="Text"/>
        <w:ind w:right="0"/>
        <w:rPr>
          <w:lang w:val="en-GB"/>
        </w:rPr>
      </w:pPr>
      <w:r w:rsidRPr="00B07B55">
        <w:rPr>
          <w:lang w:val="en-GB"/>
        </w:rPr>
        <w:t xml:space="preserve">Another notable difference between males and females is the </w:t>
      </w:r>
      <w:r w:rsidR="00A55CF9" w:rsidRPr="00B07B55">
        <w:rPr>
          <w:lang w:val="en-GB"/>
        </w:rPr>
        <w:t>stronger</w:t>
      </w:r>
      <w:r w:rsidRPr="00B07B55">
        <w:rPr>
          <w:lang w:val="en-GB"/>
        </w:rPr>
        <w:t xml:space="preserve"> relationship between studying and marital status for females. The probability of engaging in education is much higher for separated and divorced females relative to married females (the base category). This may reflect attempts by women who have experienced a marital disruption to re-enter the workforce by firs</w:t>
      </w:r>
      <w:r w:rsidR="0073427D">
        <w:rPr>
          <w:lang w:val="en-GB"/>
        </w:rPr>
        <w:t>t acquiring a higher or more up-to-</w:t>
      </w:r>
      <w:r w:rsidRPr="00B07B55">
        <w:rPr>
          <w:lang w:val="en-GB"/>
        </w:rPr>
        <w:t>date education credential.</w:t>
      </w:r>
    </w:p>
    <w:p w:rsidR="0043566B" w:rsidRPr="00B07B55" w:rsidRDefault="0043566B" w:rsidP="0043566B">
      <w:pPr>
        <w:pStyle w:val="Heading2"/>
        <w:rPr>
          <w:lang w:val="en-GB"/>
        </w:rPr>
      </w:pPr>
      <w:bookmarkStart w:id="66" w:name="_Toc334101014"/>
      <w:r w:rsidRPr="00B07B55">
        <w:rPr>
          <w:lang w:val="en-GB"/>
        </w:rPr>
        <w:t>The outcomes of education</w:t>
      </w:r>
      <w:bookmarkEnd w:id="66"/>
      <w:r w:rsidRPr="00B07B55">
        <w:rPr>
          <w:lang w:val="en-GB"/>
        </w:rPr>
        <w:t xml:space="preserve"> </w:t>
      </w:r>
    </w:p>
    <w:p w:rsidR="0043566B" w:rsidRPr="00B07B55" w:rsidRDefault="0043566B" w:rsidP="0073427D">
      <w:pPr>
        <w:pStyle w:val="Text"/>
        <w:rPr>
          <w:lang w:val="en-GB"/>
        </w:rPr>
      </w:pPr>
      <w:r w:rsidRPr="00B07B55">
        <w:rPr>
          <w:lang w:val="en-GB"/>
        </w:rPr>
        <w:t xml:space="preserve">In this section we focus on investigating the effects of </w:t>
      </w:r>
      <w:r w:rsidR="007A4E37">
        <w:rPr>
          <w:lang w:val="en-GB"/>
        </w:rPr>
        <w:t>mature-age</w:t>
      </w:r>
      <w:r w:rsidRPr="00B07B55">
        <w:rPr>
          <w:lang w:val="en-GB"/>
        </w:rPr>
        <w:t xml:space="preserve"> enrolment and </w:t>
      </w:r>
      <w:r w:rsidR="00D701C5">
        <w:rPr>
          <w:lang w:val="en-GB"/>
        </w:rPr>
        <w:t xml:space="preserve">the </w:t>
      </w:r>
      <w:r w:rsidRPr="00B07B55">
        <w:rPr>
          <w:lang w:val="en-GB"/>
        </w:rPr>
        <w:t xml:space="preserve">completion of education courses on several outcomes. </w:t>
      </w:r>
      <w:r w:rsidR="00121E55" w:rsidRPr="00B07B55">
        <w:rPr>
          <w:lang w:val="en-GB"/>
        </w:rPr>
        <w:t>W</w:t>
      </w:r>
      <w:r w:rsidRPr="00B07B55">
        <w:rPr>
          <w:lang w:val="en-GB"/>
        </w:rPr>
        <w:t xml:space="preserve">e concentrate on </w:t>
      </w:r>
      <w:r w:rsidR="0073427D">
        <w:rPr>
          <w:lang w:val="en-GB"/>
        </w:rPr>
        <w:t>ten</w:t>
      </w:r>
      <w:r w:rsidR="008341EF" w:rsidRPr="00B07B55">
        <w:rPr>
          <w:lang w:val="en-GB"/>
        </w:rPr>
        <w:t xml:space="preserve"> </w:t>
      </w:r>
      <w:r w:rsidRPr="00B07B55">
        <w:rPr>
          <w:lang w:val="en-GB"/>
        </w:rPr>
        <w:t xml:space="preserve">variables: total disposable income, job satisfaction, the perception </w:t>
      </w:r>
      <w:r w:rsidR="00D701C5">
        <w:rPr>
          <w:lang w:val="en-GB"/>
        </w:rPr>
        <w:t>of</w:t>
      </w:r>
      <w:r w:rsidRPr="00B07B55">
        <w:rPr>
          <w:lang w:val="en-GB"/>
        </w:rPr>
        <w:t xml:space="preserve"> the degree of utilisation of individual skills within the job, </w:t>
      </w:r>
      <w:r w:rsidR="008341EF" w:rsidRPr="00B07B55">
        <w:rPr>
          <w:lang w:val="en-GB"/>
        </w:rPr>
        <w:t xml:space="preserve">hourly </w:t>
      </w:r>
      <w:r w:rsidRPr="00B07B55">
        <w:rPr>
          <w:lang w:val="en-GB"/>
        </w:rPr>
        <w:t>wage</w:t>
      </w:r>
      <w:r w:rsidR="008341EF" w:rsidRPr="00B07B55">
        <w:rPr>
          <w:lang w:val="en-GB"/>
        </w:rPr>
        <w:t xml:space="preserve"> rate</w:t>
      </w:r>
      <w:r w:rsidR="00D223E1" w:rsidRPr="00B07B55">
        <w:rPr>
          <w:lang w:val="en-GB"/>
        </w:rPr>
        <w:t xml:space="preserve">, weekly working hours, </w:t>
      </w:r>
      <w:r w:rsidR="0073427D">
        <w:rPr>
          <w:lang w:val="en-GB"/>
        </w:rPr>
        <w:t xml:space="preserve">life satisfaction, satisfaction </w:t>
      </w:r>
      <w:r w:rsidR="00D223E1" w:rsidRPr="00B07B55">
        <w:rPr>
          <w:lang w:val="en-GB"/>
        </w:rPr>
        <w:t>with employment opportunities, occupational status,</w:t>
      </w:r>
      <w:r w:rsidR="00AC2138" w:rsidRPr="00B07B55">
        <w:rPr>
          <w:rStyle w:val="FootnoteReference"/>
          <w:lang w:val="en-GB"/>
        </w:rPr>
        <w:footnoteReference w:id="9"/>
      </w:r>
      <w:r w:rsidR="00D223E1" w:rsidRPr="00B07B55">
        <w:rPr>
          <w:lang w:val="en-GB"/>
        </w:rPr>
        <w:t xml:space="preserve"> probability of employment </w:t>
      </w:r>
      <w:r w:rsidR="008341EF" w:rsidRPr="00B07B55">
        <w:rPr>
          <w:lang w:val="en-GB"/>
        </w:rPr>
        <w:t>and</w:t>
      </w:r>
      <w:r w:rsidR="00FC4A89" w:rsidRPr="00B07B55">
        <w:rPr>
          <w:lang w:val="en-GB"/>
        </w:rPr>
        <w:t xml:space="preserve"> probability of permanent employment</w:t>
      </w:r>
      <w:r w:rsidR="00992B3C">
        <w:rPr>
          <w:lang w:val="en-GB"/>
        </w:rPr>
        <w:t>,</w:t>
      </w:r>
      <w:r w:rsidR="00553351" w:rsidRPr="00B07B55">
        <w:rPr>
          <w:lang w:val="en-GB"/>
        </w:rPr>
        <w:t xml:space="preserve"> a</w:t>
      </w:r>
      <w:r w:rsidR="0073427D">
        <w:rPr>
          <w:lang w:val="en-GB"/>
        </w:rPr>
        <w:t>s opposed to casual or fixed-</w:t>
      </w:r>
      <w:r w:rsidR="00553351" w:rsidRPr="00B07B55">
        <w:rPr>
          <w:lang w:val="en-GB"/>
        </w:rPr>
        <w:t>term</w:t>
      </w:r>
      <w:r w:rsidR="00FC4A89" w:rsidRPr="00B07B55">
        <w:rPr>
          <w:lang w:val="en-GB"/>
        </w:rPr>
        <w:t>.</w:t>
      </w:r>
    </w:p>
    <w:p w:rsidR="0043566B" w:rsidRPr="00B07B55" w:rsidRDefault="0043566B" w:rsidP="00495869">
      <w:pPr>
        <w:pStyle w:val="Text"/>
        <w:ind w:right="0"/>
        <w:rPr>
          <w:lang w:val="en-GB"/>
        </w:rPr>
      </w:pPr>
      <w:r w:rsidRPr="00B07B55">
        <w:rPr>
          <w:lang w:val="en-GB"/>
        </w:rPr>
        <w:t>The analysis presented here is relatively straightforward. For each of the outcomes listed above, we calculate the difference between the value observed in the last (2009) and first (2001) waves of the survey, for all individuals in the sample. Note that in this case our sample includes individuals who are not studying in either wave 1 or wave 9</w:t>
      </w:r>
      <w:r w:rsidR="008341EF" w:rsidRPr="00B07B55">
        <w:rPr>
          <w:lang w:val="en-GB"/>
        </w:rPr>
        <w:t xml:space="preserve"> and </w:t>
      </w:r>
      <w:r w:rsidR="0073427D">
        <w:rPr>
          <w:lang w:val="en-GB"/>
        </w:rPr>
        <w:t xml:space="preserve">who </w:t>
      </w:r>
      <w:r w:rsidR="008341EF" w:rsidRPr="00B07B55">
        <w:rPr>
          <w:lang w:val="en-GB"/>
        </w:rPr>
        <w:t>are aged 25 to 57 at the first wave</w:t>
      </w:r>
      <w:r w:rsidRPr="00B07B55">
        <w:rPr>
          <w:lang w:val="en-GB"/>
        </w:rPr>
        <w:t>. We then regress these differences in outcomes on a set of explanatory variables that control for the socio-</w:t>
      </w:r>
      <w:r w:rsidR="0073427D">
        <w:rPr>
          <w:lang w:val="en-GB"/>
        </w:rPr>
        <w:t>demographic, education and work-</w:t>
      </w:r>
      <w:r w:rsidRPr="00B07B55">
        <w:rPr>
          <w:lang w:val="en-GB"/>
        </w:rPr>
        <w:t>related characte</w:t>
      </w:r>
      <w:r w:rsidR="0073427D">
        <w:rPr>
          <w:lang w:val="en-GB"/>
        </w:rPr>
        <w:t>ristics of individuals in wave 1</w:t>
      </w:r>
      <w:r w:rsidRPr="00B07B55">
        <w:rPr>
          <w:lang w:val="en-GB"/>
        </w:rPr>
        <w:t>. The set of regressors is augmented by</w:t>
      </w:r>
      <w:r w:rsidR="00860349" w:rsidRPr="00B07B55">
        <w:rPr>
          <w:lang w:val="en-GB"/>
        </w:rPr>
        <w:t xml:space="preserve"> two</w:t>
      </w:r>
      <w:r w:rsidRPr="00B07B55">
        <w:rPr>
          <w:lang w:val="en-GB"/>
        </w:rPr>
        <w:t xml:space="preserve"> indicator variables: one denoting whether the individual ever enrolled in education from wave 2 to wave </w:t>
      </w:r>
      <w:r w:rsidR="008341EF" w:rsidRPr="00B07B55">
        <w:rPr>
          <w:lang w:val="en-GB"/>
        </w:rPr>
        <w:t xml:space="preserve">8 </w:t>
      </w:r>
      <w:r w:rsidRPr="00B07B55">
        <w:rPr>
          <w:lang w:val="en-GB"/>
        </w:rPr>
        <w:t>of the survey, and a second indicator</w:t>
      </w:r>
      <w:r w:rsidR="0073427D">
        <w:rPr>
          <w:lang w:val="en-GB"/>
        </w:rPr>
        <w:t>, whether</w:t>
      </w:r>
      <w:r w:rsidRPr="00B07B55">
        <w:rPr>
          <w:lang w:val="en-GB"/>
        </w:rPr>
        <w:t xml:space="preserve"> the individual actually completed the course by the end of </w:t>
      </w:r>
      <w:r w:rsidR="008341EF" w:rsidRPr="00B07B55">
        <w:rPr>
          <w:lang w:val="en-GB"/>
        </w:rPr>
        <w:t>the panel</w:t>
      </w:r>
      <w:r w:rsidRPr="00B07B55">
        <w:rPr>
          <w:lang w:val="en-GB"/>
        </w:rPr>
        <w:t xml:space="preserve"> (received a new qualification). The coef</w:t>
      </w:r>
      <w:r w:rsidR="00860349" w:rsidRPr="00B07B55">
        <w:rPr>
          <w:lang w:val="en-GB"/>
        </w:rPr>
        <w:t>ficients on these two</w:t>
      </w:r>
      <w:r w:rsidRPr="00B07B55">
        <w:rPr>
          <w:lang w:val="en-GB"/>
        </w:rPr>
        <w:t xml:space="preserve"> indicators capture the effect of </w:t>
      </w:r>
      <w:r w:rsidR="007A4E37">
        <w:rPr>
          <w:lang w:val="en-GB"/>
        </w:rPr>
        <w:t>mature-age</w:t>
      </w:r>
      <w:r w:rsidRPr="00B07B55">
        <w:rPr>
          <w:lang w:val="en-GB"/>
        </w:rPr>
        <w:t xml:space="preserve"> education on the outcomes under investigation, once we have controlled for </w:t>
      </w:r>
      <w:r w:rsidR="000B4886">
        <w:rPr>
          <w:lang w:val="en-GB"/>
        </w:rPr>
        <w:t>the set of initial</w:t>
      </w:r>
      <w:r w:rsidR="000B4886" w:rsidRPr="00B07B55">
        <w:rPr>
          <w:lang w:val="en-GB"/>
        </w:rPr>
        <w:t xml:space="preserve"> </w:t>
      </w:r>
      <w:r w:rsidR="000B4886">
        <w:rPr>
          <w:lang w:val="en-GB"/>
        </w:rPr>
        <w:t xml:space="preserve">wave 1 </w:t>
      </w:r>
      <w:r w:rsidRPr="00B07B55">
        <w:rPr>
          <w:lang w:val="en-GB"/>
        </w:rPr>
        <w:t xml:space="preserve">individual characteristics. </w:t>
      </w:r>
      <w:r w:rsidR="000B4886">
        <w:rPr>
          <w:lang w:val="en-GB"/>
        </w:rPr>
        <w:t>Identification of the effect of education on the outcomes relies on the assumption that any intervening shocks to those outcomes over the period from 2001 to 2009 are not correlated with the decision to undertake education.</w:t>
      </w:r>
      <w:r w:rsidR="000B4886" w:rsidRPr="00051566">
        <w:rPr>
          <w:vertAlign w:val="superscript"/>
        </w:rPr>
        <w:footnoteReference w:id="10"/>
      </w:r>
    </w:p>
    <w:p w:rsidR="00A82C0B" w:rsidRPr="00B07B55" w:rsidRDefault="0043566B" w:rsidP="00495869">
      <w:pPr>
        <w:pStyle w:val="Text"/>
        <w:ind w:right="0"/>
        <w:rPr>
          <w:lang w:val="en-GB"/>
        </w:rPr>
      </w:pPr>
      <w:r w:rsidRPr="00B07B55">
        <w:rPr>
          <w:lang w:val="en-GB"/>
        </w:rPr>
        <w:t>The results of these estimat</w:t>
      </w:r>
      <w:r w:rsidR="0035017A" w:rsidRPr="00B07B55">
        <w:rPr>
          <w:lang w:val="en-GB"/>
        </w:rPr>
        <w:t>ions are summarised in table</w:t>
      </w:r>
      <w:r w:rsidR="002E375F" w:rsidRPr="00B07B55">
        <w:rPr>
          <w:lang w:val="en-GB"/>
        </w:rPr>
        <w:t xml:space="preserve"> </w:t>
      </w:r>
      <w:r w:rsidR="00A82C0B" w:rsidRPr="00B07B55">
        <w:rPr>
          <w:lang w:val="en-GB"/>
        </w:rPr>
        <w:t>12</w:t>
      </w:r>
      <w:r w:rsidR="007B0B42">
        <w:rPr>
          <w:lang w:val="en-GB"/>
        </w:rPr>
        <w:t xml:space="preserve">. </w:t>
      </w:r>
      <w:r w:rsidRPr="00B07B55">
        <w:rPr>
          <w:lang w:val="en-GB"/>
        </w:rPr>
        <w:t>In the table we report</w:t>
      </w:r>
      <w:r w:rsidR="009F6515" w:rsidRPr="00B07B55">
        <w:rPr>
          <w:lang w:val="en-GB"/>
        </w:rPr>
        <w:t xml:space="preserve"> two</w:t>
      </w:r>
      <w:r w:rsidRPr="00B07B55">
        <w:rPr>
          <w:lang w:val="en-GB"/>
        </w:rPr>
        <w:t xml:space="preserve"> sets of results for male and female respondents separately for each of the </w:t>
      </w:r>
      <w:r w:rsidR="0073427D">
        <w:rPr>
          <w:lang w:val="en-GB"/>
        </w:rPr>
        <w:t>ten</w:t>
      </w:r>
      <w:r w:rsidR="008341EF" w:rsidRPr="00B07B55">
        <w:rPr>
          <w:lang w:val="en-GB"/>
        </w:rPr>
        <w:t xml:space="preserve"> </w:t>
      </w:r>
      <w:r w:rsidRPr="00B07B55">
        <w:rPr>
          <w:lang w:val="en-GB"/>
        </w:rPr>
        <w:t xml:space="preserve">outcomes. The first set is obtained by including </w:t>
      </w:r>
      <w:r w:rsidR="00A82C0B" w:rsidRPr="00B07B55">
        <w:rPr>
          <w:lang w:val="en-GB"/>
        </w:rPr>
        <w:t>an</w:t>
      </w:r>
      <w:r w:rsidRPr="00B07B55">
        <w:rPr>
          <w:lang w:val="en-GB"/>
        </w:rPr>
        <w:t xml:space="preserve"> indicator for any enrolment in further education, </w:t>
      </w:r>
      <w:r w:rsidR="00FC4A89" w:rsidRPr="00B07B55">
        <w:rPr>
          <w:lang w:val="en-GB"/>
        </w:rPr>
        <w:t xml:space="preserve">while </w:t>
      </w:r>
      <w:r w:rsidRPr="00B07B55">
        <w:rPr>
          <w:lang w:val="en-GB"/>
        </w:rPr>
        <w:t>the second corresponds to the inclusion of the indicator for completion of the course only.</w:t>
      </w:r>
      <w:r w:rsidR="00AB5011" w:rsidRPr="00051566">
        <w:rPr>
          <w:vertAlign w:val="superscript"/>
        </w:rPr>
        <w:footnoteReference w:id="11"/>
      </w:r>
      <w:r w:rsidRPr="00B07B55">
        <w:rPr>
          <w:lang w:val="en-GB"/>
        </w:rPr>
        <w:t xml:space="preserve"> </w:t>
      </w:r>
      <w:r w:rsidR="00D15F4D" w:rsidRPr="00B07B55">
        <w:rPr>
          <w:lang w:val="en-GB"/>
        </w:rPr>
        <w:t xml:space="preserve">We </w:t>
      </w:r>
      <w:r w:rsidR="00FC4A89" w:rsidRPr="00B07B55">
        <w:rPr>
          <w:lang w:val="en-GB"/>
        </w:rPr>
        <w:t xml:space="preserve">distinguish between individuals </w:t>
      </w:r>
      <w:r w:rsidR="0073427D">
        <w:rPr>
          <w:lang w:val="en-GB"/>
        </w:rPr>
        <w:t>who</w:t>
      </w:r>
      <w:r w:rsidR="00FC4A89" w:rsidRPr="00B07B55">
        <w:rPr>
          <w:lang w:val="en-GB"/>
        </w:rPr>
        <w:t xml:space="preserve"> have engaged in VET or in bachelor </w:t>
      </w:r>
      <w:r w:rsidR="003F66A7" w:rsidRPr="00B07B55">
        <w:rPr>
          <w:lang w:val="en-GB"/>
        </w:rPr>
        <w:t xml:space="preserve">and above </w:t>
      </w:r>
      <w:r w:rsidR="00FC4A89" w:rsidRPr="00B07B55">
        <w:rPr>
          <w:lang w:val="en-GB"/>
        </w:rPr>
        <w:t>studies</w:t>
      </w:r>
      <w:r w:rsidRPr="00B07B55">
        <w:rPr>
          <w:lang w:val="en-GB"/>
        </w:rPr>
        <w:t xml:space="preserve">. In both cases we do not report the coefficients related to the other variables included among the regressors. </w:t>
      </w:r>
      <w:r w:rsidR="00860349" w:rsidRPr="00B07B55">
        <w:rPr>
          <w:lang w:val="en-GB"/>
        </w:rPr>
        <w:t xml:space="preserve">For the first eight outcomes we rely on linear regressions, while the last </w:t>
      </w:r>
      <w:r w:rsidR="00761488">
        <w:rPr>
          <w:lang w:val="en-GB"/>
        </w:rPr>
        <w:t>four</w:t>
      </w:r>
      <w:r w:rsidR="00860349" w:rsidRPr="00B07B55">
        <w:rPr>
          <w:lang w:val="en-GB"/>
        </w:rPr>
        <w:t xml:space="preserve"> sets of estimates are based on </w:t>
      </w:r>
      <w:r w:rsidR="008341EF" w:rsidRPr="00B07B55">
        <w:rPr>
          <w:lang w:val="en-GB"/>
        </w:rPr>
        <w:t xml:space="preserve">relevant </w:t>
      </w:r>
      <w:r w:rsidR="00860349" w:rsidRPr="00B07B55">
        <w:rPr>
          <w:lang w:val="en-GB"/>
        </w:rPr>
        <w:t>probit regressions</w:t>
      </w:r>
      <w:r w:rsidR="008341EF" w:rsidRPr="00B07B55">
        <w:rPr>
          <w:lang w:val="en-GB"/>
        </w:rPr>
        <w:t xml:space="preserve"> for the last two outcomes</w:t>
      </w:r>
      <w:r w:rsidR="00860349" w:rsidRPr="00B07B55">
        <w:rPr>
          <w:lang w:val="en-GB"/>
        </w:rPr>
        <w:t>, due to the binary nature of the dependent variables.</w:t>
      </w:r>
      <w:r w:rsidR="002E375F" w:rsidRPr="00B07B55">
        <w:rPr>
          <w:lang w:val="en-GB"/>
        </w:rPr>
        <w:t xml:space="preserve"> </w:t>
      </w:r>
    </w:p>
    <w:p w:rsidR="002E375F" w:rsidRDefault="002E375F" w:rsidP="00495869">
      <w:pPr>
        <w:pStyle w:val="Text"/>
        <w:ind w:right="0"/>
        <w:rPr>
          <w:lang w:val="en-GB"/>
        </w:rPr>
      </w:pPr>
      <w:r w:rsidRPr="00B07B55">
        <w:rPr>
          <w:lang w:val="en-GB"/>
        </w:rPr>
        <w:t xml:space="preserve">The estimates </w:t>
      </w:r>
      <w:r w:rsidR="00A82C0B" w:rsidRPr="00B07B55">
        <w:rPr>
          <w:lang w:val="en-GB"/>
        </w:rPr>
        <w:t xml:space="preserve">in table 12 </w:t>
      </w:r>
      <w:r w:rsidRPr="00B07B55">
        <w:rPr>
          <w:lang w:val="en-GB"/>
        </w:rPr>
        <w:t>provide some useful insights into the effects that different education choices can have on the outcomes we are focusing on</w:t>
      </w:r>
      <w:r w:rsidR="00A82C0B" w:rsidRPr="00B07B55">
        <w:rPr>
          <w:lang w:val="en-GB"/>
        </w:rPr>
        <w:t>. They</w:t>
      </w:r>
      <w:r w:rsidRPr="00B07B55">
        <w:rPr>
          <w:lang w:val="en-GB"/>
        </w:rPr>
        <w:t xml:space="preserve"> generally indicate that </w:t>
      </w:r>
      <w:r w:rsidR="007A4E37">
        <w:rPr>
          <w:lang w:val="en-GB"/>
        </w:rPr>
        <w:t>mature-age</w:t>
      </w:r>
      <w:r w:rsidRPr="00B07B55">
        <w:rPr>
          <w:lang w:val="en-GB"/>
        </w:rPr>
        <w:t xml:space="preserve"> education has stronger effects for men than for women. Furthermore, the outcomes that are more likely to change following study tend to differ across genders. For males, </w:t>
      </w:r>
      <w:r w:rsidR="002D132B" w:rsidRPr="00B07B55">
        <w:rPr>
          <w:lang w:val="en-GB"/>
        </w:rPr>
        <w:t xml:space="preserve">the </w:t>
      </w:r>
      <w:r w:rsidR="00553351" w:rsidRPr="00B07B55">
        <w:rPr>
          <w:lang w:val="en-GB"/>
        </w:rPr>
        <w:t xml:space="preserve">stronger </w:t>
      </w:r>
      <w:r w:rsidR="002D132B" w:rsidRPr="00B07B55">
        <w:rPr>
          <w:lang w:val="en-GB"/>
        </w:rPr>
        <w:t>effects we estimate are</w:t>
      </w:r>
      <w:r w:rsidRPr="00B07B55">
        <w:rPr>
          <w:lang w:val="en-GB"/>
        </w:rPr>
        <w:t xml:space="preserve"> </w:t>
      </w:r>
      <w:r w:rsidR="00553351" w:rsidRPr="00B07B55">
        <w:rPr>
          <w:lang w:val="en-GB"/>
        </w:rPr>
        <w:t xml:space="preserve">mostly </w:t>
      </w:r>
      <w:r w:rsidRPr="00B07B55">
        <w:rPr>
          <w:lang w:val="en-GB"/>
        </w:rPr>
        <w:t>linked to enrolment in and completion of VET courses</w:t>
      </w:r>
      <w:r w:rsidR="00553351" w:rsidRPr="00B07B55">
        <w:rPr>
          <w:lang w:val="en-GB"/>
        </w:rPr>
        <w:t>.</w:t>
      </w:r>
      <w:r w:rsidRPr="00B07B55">
        <w:rPr>
          <w:lang w:val="en-GB"/>
        </w:rPr>
        <w:t xml:space="preserve"> Both enrolment and completion of VET courses are related to a decrease in the hours worked per week. In both cases the change is in the order of around 2.5 hours per week. Given the estimated reduction in hours worked with no estimated corresponding decrease in disposable income, it is not surprising to observe that </w:t>
      </w:r>
      <w:r w:rsidR="002D132B" w:rsidRPr="00B07B55">
        <w:rPr>
          <w:lang w:val="en-GB"/>
        </w:rPr>
        <w:t xml:space="preserve">VET </w:t>
      </w:r>
      <w:r w:rsidRPr="00B07B55">
        <w:rPr>
          <w:lang w:val="en-GB"/>
        </w:rPr>
        <w:t>is r</w:t>
      </w:r>
      <w:r w:rsidR="00FD013F">
        <w:rPr>
          <w:lang w:val="en-GB"/>
        </w:rPr>
        <w:t>elated to increases in the self-</w:t>
      </w:r>
      <w:r w:rsidRPr="00B07B55">
        <w:rPr>
          <w:lang w:val="en-GB"/>
        </w:rPr>
        <w:t xml:space="preserve">reported level of job satisfaction. Note that the reported level of job satisfaction can take values from 0 to 10, and the estimates suggest that </w:t>
      </w:r>
      <w:r w:rsidR="007A4E37">
        <w:rPr>
          <w:lang w:val="en-GB"/>
        </w:rPr>
        <w:t>mature-age</w:t>
      </w:r>
      <w:r w:rsidRPr="00B07B55">
        <w:rPr>
          <w:lang w:val="en-GB"/>
        </w:rPr>
        <w:t xml:space="preserve"> </w:t>
      </w:r>
      <w:r w:rsidR="002D132B" w:rsidRPr="00B07B55">
        <w:rPr>
          <w:lang w:val="en-GB"/>
        </w:rPr>
        <w:t xml:space="preserve">VET </w:t>
      </w:r>
      <w:r w:rsidRPr="00B07B55">
        <w:rPr>
          <w:lang w:val="en-GB"/>
        </w:rPr>
        <w:t>can raise</w:t>
      </w:r>
      <w:r w:rsidR="00FD013F">
        <w:rPr>
          <w:lang w:val="en-GB"/>
        </w:rPr>
        <w:t xml:space="preserve"> job satisfaction by around one-</w:t>
      </w:r>
      <w:r w:rsidRPr="00B07B55">
        <w:rPr>
          <w:lang w:val="en-GB"/>
        </w:rPr>
        <w:t xml:space="preserve">half of a reported level. This change is large when compared </w:t>
      </w:r>
      <w:r w:rsidR="00FD013F">
        <w:rPr>
          <w:lang w:val="en-GB"/>
        </w:rPr>
        <w:t>with</w:t>
      </w:r>
      <w:r w:rsidRPr="00B07B55">
        <w:rPr>
          <w:lang w:val="en-GB"/>
        </w:rPr>
        <w:t xml:space="preserve"> the standard deviation of the reported level of job satisfaction of 1.55. Completing </w:t>
      </w:r>
      <w:r w:rsidR="002D132B" w:rsidRPr="00B07B55">
        <w:rPr>
          <w:lang w:val="en-GB"/>
        </w:rPr>
        <w:t>VET</w:t>
      </w:r>
      <w:r w:rsidRPr="00B07B55">
        <w:rPr>
          <w:lang w:val="en-GB"/>
        </w:rPr>
        <w:t xml:space="preserve"> (but not just enrolling </w:t>
      </w:r>
      <w:r w:rsidR="00FD013F">
        <w:rPr>
          <w:lang w:val="en-GB"/>
        </w:rPr>
        <w:t xml:space="preserve">in it) is also related to a </w:t>
      </w:r>
      <w:r w:rsidR="00193882">
        <w:rPr>
          <w:lang w:val="en-GB"/>
        </w:rPr>
        <w:t>24.6</w:t>
      </w:r>
      <w:r w:rsidR="00FD013F">
        <w:rPr>
          <w:lang w:val="en-GB"/>
        </w:rPr>
        <w:t>-percentage-</w:t>
      </w:r>
      <w:r w:rsidRPr="00B07B55">
        <w:rPr>
          <w:lang w:val="en-GB"/>
        </w:rPr>
        <w:t xml:space="preserve">point increase in the chances that a previously not employed (unemployed or out of the labour force) man will be employed. Enrolling in education at a bachelor or above level appears to pay back (in terms of our outcomes) for those individuals </w:t>
      </w:r>
      <w:r w:rsidR="00FD013F">
        <w:rPr>
          <w:lang w:val="en-GB"/>
        </w:rPr>
        <w:t>who</w:t>
      </w:r>
      <w:r w:rsidRPr="00B07B55">
        <w:rPr>
          <w:lang w:val="en-GB"/>
        </w:rPr>
        <w:t xml:space="preserve"> already had a job before the education spell. The chances of </w:t>
      </w:r>
      <w:r w:rsidR="002D132B" w:rsidRPr="00B07B55">
        <w:rPr>
          <w:lang w:val="en-GB"/>
        </w:rPr>
        <w:t xml:space="preserve">remaining </w:t>
      </w:r>
      <w:r w:rsidRPr="00B07B55">
        <w:rPr>
          <w:lang w:val="en-GB"/>
        </w:rPr>
        <w:t>in employment</w:t>
      </w:r>
      <w:r w:rsidR="00193882">
        <w:rPr>
          <w:lang w:val="en-GB"/>
        </w:rPr>
        <w:t xml:space="preserve"> for males</w:t>
      </w:r>
      <w:r w:rsidRPr="00B07B55">
        <w:rPr>
          <w:lang w:val="en-GB"/>
        </w:rPr>
        <w:t xml:space="preserve"> after </w:t>
      </w:r>
      <w:r w:rsidR="00193882">
        <w:rPr>
          <w:lang w:val="en-GB"/>
        </w:rPr>
        <w:t xml:space="preserve">university-level </w:t>
      </w:r>
      <w:r w:rsidRPr="00B07B55">
        <w:rPr>
          <w:lang w:val="en-GB"/>
        </w:rPr>
        <w:t>education are in fact higher than for other individuals, and the enrolment decision is also linked to an increase in the hourly wage.</w:t>
      </w:r>
      <w:r w:rsidR="001C73D5">
        <w:rPr>
          <w:lang w:val="en-GB"/>
        </w:rPr>
        <w:t xml:space="preserve"> </w:t>
      </w:r>
    </w:p>
    <w:p w:rsidR="00781536" w:rsidRPr="00B07B55" w:rsidRDefault="005E04BA" w:rsidP="00781536">
      <w:pPr>
        <w:pStyle w:val="tabletitle"/>
        <w:rPr>
          <w:lang w:val="en-GB"/>
        </w:rPr>
      </w:pPr>
      <w:bookmarkStart w:id="67" w:name="_Toc311576124"/>
      <w:bookmarkStart w:id="68" w:name="_Toc334021179"/>
      <w:r w:rsidRPr="00B07B55">
        <w:rPr>
          <w:lang w:val="en-GB"/>
        </w:rPr>
        <w:t>Table 1</w:t>
      </w:r>
      <w:r w:rsidR="00E20E3E" w:rsidRPr="00B07B55">
        <w:rPr>
          <w:lang w:val="en-GB"/>
        </w:rPr>
        <w:t>2</w:t>
      </w:r>
      <w:r w:rsidR="00781536" w:rsidRPr="00B07B55">
        <w:rPr>
          <w:lang w:val="en-GB"/>
        </w:rPr>
        <w:tab/>
      </w:r>
      <w:r w:rsidR="00E720BB" w:rsidRPr="00B07B55">
        <w:rPr>
          <w:lang w:val="en-GB"/>
        </w:rPr>
        <w:t>Effect of education on labour market outcomes</w:t>
      </w:r>
      <w:r w:rsidR="001666A3" w:rsidRPr="00B07B55">
        <w:rPr>
          <w:lang w:val="en-GB"/>
        </w:rPr>
        <w:t xml:space="preserve"> by type of course</w:t>
      </w:r>
      <w:r w:rsidR="00E720BB" w:rsidRPr="00B07B55">
        <w:rPr>
          <w:lang w:val="en-GB"/>
        </w:rPr>
        <w:t>, HILDA</w:t>
      </w:r>
      <w:bookmarkEnd w:id="67"/>
      <w:bookmarkEnd w:id="68"/>
    </w:p>
    <w:tbl>
      <w:tblPr>
        <w:tblW w:w="8789" w:type="dxa"/>
        <w:tblLayout w:type="fixed"/>
        <w:tblCellMar>
          <w:left w:w="0" w:type="dxa"/>
          <w:right w:w="0" w:type="dxa"/>
        </w:tblCellMar>
        <w:tblLook w:val="04A0"/>
      </w:tblPr>
      <w:tblGrid>
        <w:gridCol w:w="4128"/>
        <w:gridCol w:w="1165"/>
        <w:gridCol w:w="1165"/>
        <w:gridCol w:w="1165"/>
        <w:gridCol w:w="1166"/>
      </w:tblGrid>
      <w:tr w:rsidR="0061612F" w:rsidRPr="00B07B55" w:rsidTr="00166FC0">
        <w:trPr>
          <w:cantSplit/>
          <w:tblHeader/>
        </w:trPr>
        <w:tc>
          <w:tcPr>
            <w:tcW w:w="4128" w:type="dxa"/>
            <w:tcBorders>
              <w:top w:val="single" w:sz="8" w:space="0" w:color="auto"/>
              <w:left w:val="nil"/>
              <w:right w:val="nil"/>
            </w:tcBorders>
            <w:shd w:val="clear" w:color="auto" w:fill="auto"/>
            <w:noWrap/>
            <w:tcMar>
              <w:top w:w="17" w:type="dxa"/>
              <w:left w:w="17" w:type="dxa"/>
              <w:bottom w:w="0" w:type="dxa"/>
              <w:right w:w="17" w:type="dxa"/>
            </w:tcMar>
            <w:hideMark/>
          </w:tcPr>
          <w:p w:rsidR="0061612F" w:rsidRPr="00B07B55" w:rsidRDefault="0061612F" w:rsidP="006C4708">
            <w:pPr>
              <w:pStyle w:val="Tablehead1"/>
              <w:rPr>
                <w:lang w:val="en-GB"/>
              </w:rPr>
            </w:pPr>
            <w:r w:rsidRPr="00B07B55">
              <w:rPr>
                <w:lang w:val="en-GB"/>
              </w:rPr>
              <w:t> </w:t>
            </w:r>
          </w:p>
        </w:tc>
        <w:tc>
          <w:tcPr>
            <w:tcW w:w="2330" w:type="dxa"/>
            <w:gridSpan w:val="2"/>
            <w:tcBorders>
              <w:top w:val="single" w:sz="8" w:space="0" w:color="auto"/>
              <w:left w:val="nil"/>
              <w:right w:val="nil"/>
            </w:tcBorders>
            <w:shd w:val="clear" w:color="auto" w:fill="auto"/>
            <w:noWrap/>
            <w:tcMar>
              <w:top w:w="17" w:type="dxa"/>
              <w:left w:w="17" w:type="dxa"/>
              <w:bottom w:w="0" w:type="dxa"/>
              <w:right w:w="17" w:type="dxa"/>
            </w:tcMar>
            <w:hideMark/>
          </w:tcPr>
          <w:p w:rsidR="0061612F" w:rsidRPr="00B07B55" w:rsidRDefault="0061612F" w:rsidP="00166FC0">
            <w:pPr>
              <w:pStyle w:val="Tablehead1"/>
              <w:jc w:val="center"/>
              <w:rPr>
                <w:bCs/>
                <w:lang w:val="en-GB"/>
              </w:rPr>
            </w:pPr>
            <w:r w:rsidRPr="00B07B55">
              <w:rPr>
                <w:bCs/>
                <w:lang w:val="en-GB"/>
              </w:rPr>
              <w:t>Males</w:t>
            </w:r>
          </w:p>
        </w:tc>
        <w:tc>
          <w:tcPr>
            <w:tcW w:w="2331" w:type="dxa"/>
            <w:gridSpan w:val="2"/>
            <w:tcBorders>
              <w:top w:val="single" w:sz="8" w:space="0" w:color="auto"/>
              <w:left w:val="nil"/>
              <w:right w:val="nil"/>
            </w:tcBorders>
            <w:shd w:val="clear" w:color="auto" w:fill="auto"/>
            <w:noWrap/>
            <w:tcMar>
              <w:top w:w="17" w:type="dxa"/>
              <w:left w:w="17" w:type="dxa"/>
              <w:bottom w:w="0" w:type="dxa"/>
              <w:right w:w="17" w:type="dxa"/>
            </w:tcMar>
            <w:hideMark/>
          </w:tcPr>
          <w:p w:rsidR="0061612F" w:rsidRPr="00B07B55" w:rsidRDefault="0061612F" w:rsidP="00166FC0">
            <w:pPr>
              <w:pStyle w:val="Tablehead1"/>
              <w:jc w:val="center"/>
              <w:rPr>
                <w:bCs/>
                <w:lang w:val="en-GB"/>
              </w:rPr>
            </w:pPr>
            <w:r w:rsidRPr="00B07B55">
              <w:rPr>
                <w:bCs/>
                <w:lang w:val="en-GB"/>
              </w:rPr>
              <w:t>Females</w:t>
            </w:r>
          </w:p>
        </w:tc>
      </w:tr>
      <w:tr w:rsidR="0061612F" w:rsidRPr="006C4708" w:rsidTr="00166FC0">
        <w:trPr>
          <w:cantSplit/>
          <w:tblHeader/>
        </w:trPr>
        <w:tc>
          <w:tcPr>
            <w:tcW w:w="4128" w:type="dxa"/>
            <w:tcBorders>
              <w:left w:val="nil"/>
              <w:bottom w:val="single" w:sz="4" w:space="0" w:color="auto"/>
              <w:right w:val="nil"/>
            </w:tcBorders>
            <w:shd w:val="clear" w:color="auto" w:fill="auto"/>
            <w:noWrap/>
            <w:tcMar>
              <w:top w:w="17" w:type="dxa"/>
              <w:left w:w="17" w:type="dxa"/>
              <w:bottom w:w="0" w:type="dxa"/>
              <w:right w:w="17" w:type="dxa"/>
            </w:tcMar>
            <w:hideMark/>
          </w:tcPr>
          <w:p w:rsidR="0061612F" w:rsidRPr="006C4708" w:rsidRDefault="0061612F" w:rsidP="006C4708">
            <w:pPr>
              <w:pStyle w:val="Tablehead2"/>
              <w:rPr>
                <w:szCs w:val="22"/>
              </w:rPr>
            </w:pPr>
          </w:p>
        </w:tc>
        <w:tc>
          <w:tcPr>
            <w:tcW w:w="1165" w:type="dxa"/>
            <w:tcBorders>
              <w:left w:val="nil"/>
              <w:bottom w:val="single" w:sz="4" w:space="0" w:color="auto"/>
              <w:right w:val="nil"/>
            </w:tcBorders>
            <w:shd w:val="clear" w:color="auto" w:fill="auto"/>
            <w:noWrap/>
            <w:tcMar>
              <w:top w:w="17" w:type="dxa"/>
              <w:left w:w="17" w:type="dxa"/>
              <w:bottom w:w="0" w:type="dxa"/>
              <w:right w:w="17" w:type="dxa"/>
            </w:tcMar>
            <w:hideMark/>
          </w:tcPr>
          <w:p w:rsidR="0061612F" w:rsidRPr="006C4708" w:rsidRDefault="0061612F" w:rsidP="00166FC0">
            <w:pPr>
              <w:pStyle w:val="Tablehead2"/>
              <w:jc w:val="center"/>
              <w:rPr>
                <w:szCs w:val="17"/>
              </w:rPr>
            </w:pPr>
            <w:r w:rsidRPr="006C4708">
              <w:rPr>
                <w:szCs w:val="17"/>
              </w:rPr>
              <w:t>Enrolled</w:t>
            </w:r>
          </w:p>
        </w:tc>
        <w:tc>
          <w:tcPr>
            <w:tcW w:w="1165" w:type="dxa"/>
            <w:tcBorders>
              <w:left w:val="nil"/>
              <w:bottom w:val="single" w:sz="4" w:space="0" w:color="auto"/>
              <w:right w:val="nil"/>
            </w:tcBorders>
            <w:shd w:val="clear" w:color="auto" w:fill="auto"/>
            <w:noWrap/>
            <w:tcMar>
              <w:top w:w="17" w:type="dxa"/>
              <w:left w:w="17" w:type="dxa"/>
              <w:bottom w:w="0" w:type="dxa"/>
              <w:right w:w="17" w:type="dxa"/>
            </w:tcMar>
            <w:hideMark/>
          </w:tcPr>
          <w:p w:rsidR="0061612F" w:rsidRPr="006C4708" w:rsidRDefault="0061612F" w:rsidP="00166FC0">
            <w:pPr>
              <w:pStyle w:val="Tablehead2"/>
              <w:jc w:val="center"/>
              <w:rPr>
                <w:szCs w:val="17"/>
              </w:rPr>
            </w:pPr>
            <w:r w:rsidRPr="006C4708">
              <w:rPr>
                <w:szCs w:val="17"/>
              </w:rPr>
              <w:t>Completed</w:t>
            </w:r>
          </w:p>
        </w:tc>
        <w:tc>
          <w:tcPr>
            <w:tcW w:w="1165" w:type="dxa"/>
            <w:tcBorders>
              <w:left w:val="nil"/>
              <w:bottom w:val="single" w:sz="4" w:space="0" w:color="auto"/>
              <w:right w:val="nil"/>
            </w:tcBorders>
            <w:shd w:val="clear" w:color="auto" w:fill="auto"/>
            <w:noWrap/>
            <w:tcMar>
              <w:top w:w="17" w:type="dxa"/>
              <w:left w:w="17" w:type="dxa"/>
              <w:bottom w:w="0" w:type="dxa"/>
              <w:right w:w="17" w:type="dxa"/>
            </w:tcMar>
            <w:hideMark/>
          </w:tcPr>
          <w:p w:rsidR="0061612F" w:rsidRPr="006C4708" w:rsidRDefault="0061612F" w:rsidP="00166FC0">
            <w:pPr>
              <w:pStyle w:val="Tablehead2"/>
              <w:jc w:val="center"/>
              <w:rPr>
                <w:szCs w:val="17"/>
              </w:rPr>
            </w:pPr>
            <w:r w:rsidRPr="006C4708">
              <w:rPr>
                <w:szCs w:val="17"/>
              </w:rPr>
              <w:t>Enrolled</w:t>
            </w:r>
          </w:p>
        </w:tc>
        <w:tc>
          <w:tcPr>
            <w:tcW w:w="1166" w:type="dxa"/>
            <w:tcBorders>
              <w:left w:val="nil"/>
              <w:bottom w:val="single" w:sz="4" w:space="0" w:color="auto"/>
              <w:right w:val="nil"/>
            </w:tcBorders>
            <w:shd w:val="clear" w:color="auto" w:fill="auto"/>
            <w:noWrap/>
            <w:tcMar>
              <w:top w:w="17" w:type="dxa"/>
              <w:left w:w="17" w:type="dxa"/>
              <w:bottom w:w="0" w:type="dxa"/>
              <w:right w:w="17" w:type="dxa"/>
            </w:tcMar>
            <w:hideMark/>
          </w:tcPr>
          <w:p w:rsidR="0061612F" w:rsidRPr="006C4708" w:rsidRDefault="0061612F" w:rsidP="00166FC0">
            <w:pPr>
              <w:pStyle w:val="Tablehead2"/>
              <w:jc w:val="center"/>
              <w:rPr>
                <w:szCs w:val="17"/>
              </w:rPr>
            </w:pPr>
            <w:r w:rsidRPr="006C4708">
              <w:rPr>
                <w:szCs w:val="17"/>
              </w:rPr>
              <w:t>Completed</w:t>
            </w:r>
          </w:p>
        </w:tc>
      </w:tr>
      <w:tr w:rsidR="006C4708" w:rsidRPr="00B07B55" w:rsidTr="00166FC0">
        <w:trPr>
          <w:cantSplit/>
        </w:trPr>
        <w:tc>
          <w:tcPr>
            <w:tcW w:w="4128" w:type="dxa"/>
            <w:tcBorders>
              <w:top w:val="single" w:sz="4" w:space="0" w:color="auto"/>
              <w:left w:val="nil"/>
              <w:bottom w:val="nil"/>
              <w:right w:val="nil"/>
            </w:tcBorders>
            <w:shd w:val="clear" w:color="auto" w:fill="auto"/>
            <w:noWrap/>
            <w:tcMar>
              <w:top w:w="17" w:type="dxa"/>
              <w:left w:w="17" w:type="dxa"/>
              <w:bottom w:w="0" w:type="dxa"/>
              <w:right w:w="17" w:type="dxa"/>
            </w:tcMar>
            <w:hideMark/>
          </w:tcPr>
          <w:p w:rsidR="006C4708" w:rsidRPr="00B07B55" w:rsidRDefault="006C4708" w:rsidP="005C2A07">
            <w:pPr>
              <w:pStyle w:val="Tabletext"/>
              <w:spacing w:before="120"/>
              <w:rPr>
                <w:rFonts w:ascii="Cambria" w:hAnsi="Cambria" w:cs="Calibri"/>
                <w:sz w:val="22"/>
                <w:szCs w:val="22"/>
                <w:lang w:val="en-GB"/>
              </w:rPr>
            </w:pPr>
            <w:r w:rsidRPr="006C4708">
              <w:rPr>
                <w:b/>
                <w:lang w:val="en-GB"/>
              </w:rPr>
              <w:t>Change in annual disposable income (</w:t>
            </w:r>
            <w:r w:rsidRPr="00992B3C">
              <w:rPr>
                <w:b/>
                <w:lang w:val="en-GB"/>
              </w:rPr>
              <w:t>in $1000s</w:t>
            </w:r>
            <w:r w:rsidRPr="006C4708">
              <w:rPr>
                <w:b/>
                <w:lang w:val="en-GB"/>
              </w:rPr>
              <w:t>)</w:t>
            </w:r>
          </w:p>
        </w:tc>
        <w:tc>
          <w:tcPr>
            <w:tcW w:w="1165" w:type="dxa"/>
            <w:tcBorders>
              <w:top w:val="single" w:sz="4" w:space="0" w:color="auto"/>
              <w:left w:val="nil"/>
              <w:bottom w:val="nil"/>
              <w:right w:val="nil"/>
            </w:tcBorders>
            <w:shd w:val="clear" w:color="auto" w:fill="auto"/>
          </w:tcPr>
          <w:p w:rsidR="006C4708" w:rsidRPr="00166FC0" w:rsidRDefault="006C4708" w:rsidP="005C2A07">
            <w:pPr>
              <w:pStyle w:val="Tabletext"/>
              <w:spacing w:before="120"/>
            </w:pPr>
          </w:p>
        </w:tc>
        <w:tc>
          <w:tcPr>
            <w:tcW w:w="1165" w:type="dxa"/>
            <w:tcBorders>
              <w:top w:val="single" w:sz="4" w:space="0" w:color="auto"/>
              <w:left w:val="nil"/>
              <w:bottom w:val="nil"/>
              <w:right w:val="nil"/>
            </w:tcBorders>
            <w:shd w:val="clear" w:color="auto" w:fill="auto"/>
          </w:tcPr>
          <w:p w:rsidR="006C4708" w:rsidRPr="00166FC0" w:rsidRDefault="006C4708" w:rsidP="005C2A07">
            <w:pPr>
              <w:pStyle w:val="Tabletext"/>
              <w:spacing w:before="120"/>
            </w:pPr>
          </w:p>
        </w:tc>
        <w:tc>
          <w:tcPr>
            <w:tcW w:w="1165" w:type="dxa"/>
            <w:tcBorders>
              <w:top w:val="single" w:sz="4" w:space="0" w:color="auto"/>
              <w:left w:val="nil"/>
              <w:bottom w:val="nil"/>
              <w:right w:val="nil"/>
            </w:tcBorders>
            <w:shd w:val="clear" w:color="auto" w:fill="auto"/>
          </w:tcPr>
          <w:p w:rsidR="006C4708" w:rsidRPr="00166FC0" w:rsidRDefault="006C4708" w:rsidP="005C2A07">
            <w:pPr>
              <w:pStyle w:val="Tabletext"/>
              <w:spacing w:before="120"/>
            </w:pPr>
          </w:p>
        </w:tc>
        <w:tc>
          <w:tcPr>
            <w:tcW w:w="1166" w:type="dxa"/>
            <w:tcBorders>
              <w:top w:val="single" w:sz="4" w:space="0" w:color="auto"/>
              <w:left w:val="nil"/>
              <w:bottom w:val="nil"/>
              <w:right w:val="nil"/>
            </w:tcBorders>
            <w:shd w:val="clear" w:color="auto" w:fill="auto"/>
          </w:tcPr>
          <w:p w:rsidR="006C4708" w:rsidRPr="00166FC0" w:rsidRDefault="006C4708" w:rsidP="005C2A07">
            <w:pPr>
              <w:pStyle w:val="Tabletext"/>
              <w:spacing w:before="120"/>
            </w:pPr>
          </w:p>
        </w:tc>
      </w:tr>
      <w:tr w:rsidR="0061612F" w:rsidRPr="006C4708"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6C4708">
            <w:pPr>
              <w:pStyle w:val="Tabletext"/>
              <w:rPr>
                <w:szCs w:val="16"/>
              </w:rPr>
            </w:pPr>
            <w:r w:rsidRPr="006C4708">
              <w:rPr>
                <w:szCs w:val="16"/>
              </w:rPr>
              <w:t>Bachelor and above</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5C2A07">
            <w:pPr>
              <w:pStyle w:val="Tabletext"/>
              <w:tabs>
                <w:tab w:val="decimal" w:pos="454"/>
              </w:tabs>
              <w:rPr>
                <w:szCs w:val="16"/>
              </w:rPr>
            </w:pPr>
            <w:r w:rsidRPr="006C4708">
              <w:rPr>
                <w:szCs w:val="16"/>
              </w:rPr>
              <w:t>10.01</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5C2A07">
            <w:pPr>
              <w:pStyle w:val="Tabletext"/>
              <w:tabs>
                <w:tab w:val="decimal" w:pos="454"/>
              </w:tabs>
              <w:rPr>
                <w:szCs w:val="16"/>
              </w:rPr>
            </w:pPr>
            <w:r w:rsidRPr="006C4708">
              <w:rPr>
                <w:szCs w:val="16"/>
              </w:rPr>
              <w:t>19.18</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5C2A07">
            <w:pPr>
              <w:pStyle w:val="Tabletext"/>
              <w:tabs>
                <w:tab w:val="decimal" w:pos="454"/>
              </w:tabs>
              <w:rPr>
                <w:szCs w:val="16"/>
              </w:rPr>
            </w:pPr>
            <w:r w:rsidRPr="006C4708">
              <w:rPr>
                <w:szCs w:val="16"/>
              </w:rPr>
              <w:t>0.728</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5C2A07">
            <w:pPr>
              <w:pStyle w:val="Tabletext"/>
              <w:tabs>
                <w:tab w:val="decimal" w:pos="454"/>
              </w:tabs>
              <w:rPr>
                <w:szCs w:val="16"/>
              </w:rPr>
            </w:pPr>
            <w:r w:rsidRPr="006C4708">
              <w:rPr>
                <w:szCs w:val="16"/>
              </w:rPr>
              <w:t>-1.415</w:t>
            </w:r>
          </w:p>
        </w:tc>
      </w:tr>
      <w:tr w:rsidR="0061612F" w:rsidRPr="006C4708"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6C4708">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5C2A07">
            <w:pPr>
              <w:pStyle w:val="Tabletext"/>
              <w:tabs>
                <w:tab w:val="decimal" w:pos="454"/>
              </w:tabs>
              <w:rPr>
                <w:szCs w:val="16"/>
              </w:rPr>
            </w:pPr>
            <w:r w:rsidRPr="006C4708">
              <w:rPr>
                <w:szCs w:val="16"/>
              </w:rPr>
              <w:t>(1.56)</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5C2A07">
            <w:pPr>
              <w:pStyle w:val="Tabletext"/>
              <w:tabs>
                <w:tab w:val="decimal" w:pos="454"/>
              </w:tabs>
              <w:rPr>
                <w:szCs w:val="16"/>
              </w:rPr>
            </w:pPr>
            <w:r w:rsidRPr="006C4708">
              <w:rPr>
                <w:szCs w:val="16"/>
              </w:rPr>
              <w:t>(1.56)</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5C2A07">
            <w:pPr>
              <w:pStyle w:val="Tabletext"/>
              <w:tabs>
                <w:tab w:val="decimal" w:pos="454"/>
              </w:tabs>
              <w:rPr>
                <w:szCs w:val="16"/>
              </w:rPr>
            </w:pPr>
            <w:r w:rsidRPr="006C4708">
              <w:rPr>
                <w:szCs w:val="16"/>
              </w:rPr>
              <w:t>(0.31)</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5C2A07">
            <w:pPr>
              <w:pStyle w:val="Tabletext"/>
              <w:tabs>
                <w:tab w:val="decimal" w:pos="454"/>
              </w:tabs>
              <w:rPr>
                <w:szCs w:val="16"/>
              </w:rPr>
            </w:pPr>
            <w:r w:rsidRPr="006C4708">
              <w:rPr>
                <w:szCs w:val="16"/>
              </w:rPr>
              <w:t>(-0.52)</w:t>
            </w:r>
          </w:p>
        </w:tc>
      </w:tr>
      <w:tr w:rsidR="0061612F" w:rsidRPr="006C4708"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6C4708">
            <w:pPr>
              <w:pStyle w:val="Tabletext"/>
              <w:rPr>
                <w:szCs w:val="16"/>
              </w:rPr>
            </w:pPr>
            <w:r w:rsidRPr="006C4708">
              <w:rPr>
                <w:szCs w:val="16"/>
              </w:rPr>
              <w:t>VET</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5C2A07">
            <w:pPr>
              <w:pStyle w:val="Tabletext"/>
              <w:tabs>
                <w:tab w:val="decimal" w:pos="454"/>
              </w:tabs>
              <w:rPr>
                <w:szCs w:val="16"/>
              </w:rPr>
            </w:pPr>
            <w:r w:rsidRPr="006C4708">
              <w:rPr>
                <w:szCs w:val="16"/>
              </w:rPr>
              <w:t>-1.642</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5C2A07">
            <w:pPr>
              <w:pStyle w:val="Tabletext"/>
              <w:tabs>
                <w:tab w:val="decimal" w:pos="454"/>
              </w:tabs>
              <w:rPr>
                <w:szCs w:val="16"/>
              </w:rPr>
            </w:pPr>
            <w:r w:rsidRPr="006C4708">
              <w:rPr>
                <w:szCs w:val="16"/>
              </w:rPr>
              <w:t>-2.863</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5C2A07">
            <w:pPr>
              <w:pStyle w:val="Tabletext"/>
              <w:tabs>
                <w:tab w:val="decimal" w:pos="454"/>
              </w:tabs>
              <w:rPr>
                <w:szCs w:val="16"/>
              </w:rPr>
            </w:pPr>
            <w:r w:rsidRPr="006C4708">
              <w:rPr>
                <w:szCs w:val="16"/>
              </w:rPr>
              <w:t>2.064*</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5C2A07">
            <w:pPr>
              <w:pStyle w:val="Tabletext"/>
              <w:tabs>
                <w:tab w:val="decimal" w:pos="454"/>
              </w:tabs>
              <w:rPr>
                <w:szCs w:val="16"/>
              </w:rPr>
            </w:pPr>
            <w:r w:rsidRPr="006C4708">
              <w:rPr>
                <w:szCs w:val="16"/>
              </w:rPr>
              <w:t>0.99</w:t>
            </w:r>
          </w:p>
        </w:tc>
      </w:tr>
      <w:tr w:rsidR="0061612F" w:rsidRPr="006C4708"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6C4708">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5C2A07">
            <w:pPr>
              <w:pStyle w:val="Tabletext"/>
              <w:tabs>
                <w:tab w:val="decimal" w:pos="454"/>
              </w:tabs>
              <w:rPr>
                <w:szCs w:val="16"/>
              </w:rPr>
            </w:pPr>
            <w:r w:rsidRPr="006C4708">
              <w:rPr>
                <w:szCs w:val="16"/>
              </w:rPr>
              <w:t>(-0.59)</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5C2A07">
            <w:pPr>
              <w:pStyle w:val="Tabletext"/>
              <w:tabs>
                <w:tab w:val="decimal" w:pos="454"/>
              </w:tabs>
              <w:rPr>
                <w:szCs w:val="16"/>
              </w:rPr>
            </w:pPr>
            <w:r w:rsidRPr="006C4708">
              <w:rPr>
                <w:szCs w:val="16"/>
              </w:rPr>
              <w:t>(-1.35)</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5C2A07">
            <w:pPr>
              <w:pStyle w:val="Tabletext"/>
              <w:tabs>
                <w:tab w:val="decimal" w:pos="454"/>
              </w:tabs>
              <w:rPr>
                <w:szCs w:val="16"/>
              </w:rPr>
            </w:pPr>
            <w:r w:rsidRPr="006C4708">
              <w:rPr>
                <w:szCs w:val="16"/>
              </w:rPr>
              <w:t>(1.92)</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61612F" w:rsidRPr="006C4708" w:rsidRDefault="0061612F" w:rsidP="005C2A07">
            <w:pPr>
              <w:pStyle w:val="Tabletext"/>
              <w:tabs>
                <w:tab w:val="decimal" w:pos="454"/>
              </w:tabs>
              <w:rPr>
                <w:szCs w:val="16"/>
              </w:rPr>
            </w:pPr>
            <w:r w:rsidRPr="006C4708">
              <w:rPr>
                <w:szCs w:val="16"/>
              </w:rPr>
              <w:t>(0.79)</w:t>
            </w:r>
          </w:p>
        </w:tc>
      </w:tr>
      <w:tr w:rsidR="0061612F"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61612F" w:rsidRPr="00B07B55" w:rsidRDefault="00085113" w:rsidP="006C4708">
            <w:pPr>
              <w:pStyle w:val="Tabletext"/>
              <w:rPr>
                <w:i/>
                <w:iCs/>
                <w:lang w:val="en-GB"/>
              </w:rPr>
            </w:pPr>
            <w:r>
              <w:rPr>
                <w:i/>
                <w:iCs/>
                <w:lang w:val="en-GB"/>
              </w:rPr>
              <w:t>R-s</w:t>
            </w:r>
            <w:r w:rsidR="0061612F" w:rsidRPr="00B07B55">
              <w:rPr>
                <w:i/>
                <w:iCs/>
                <w:lang w:val="en-GB"/>
              </w:rPr>
              <w:t>quared</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B07B55" w:rsidRDefault="0061612F" w:rsidP="005C2A07">
            <w:pPr>
              <w:pStyle w:val="Tabletext"/>
              <w:tabs>
                <w:tab w:val="decimal" w:pos="454"/>
              </w:tabs>
              <w:rPr>
                <w:i/>
                <w:iCs/>
                <w:lang w:val="en-GB"/>
              </w:rPr>
            </w:pPr>
            <w:r w:rsidRPr="00B07B55">
              <w:rPr>
                <w:i/>
                <w:iCs/>
                <w:lang w:val="en-GB"/>
              </w:rPr>
              <w:t>0.085</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B07B55" w:rsidRDefault="0061612F" w:rsidP="005C2A07">
            <w:pPr>
              <w:pStyle w:val="Tabletext"/>
              <w:tabs>
                <w:tab w:val="decimal" w:pos="454"/>
              </w:tabs>
              <w:rPr>
                <w:i/>
                <w:iCs/>
                <w:lang w:val="en-GB"/>
              </w:rPr>
            </w:pPr>
            <w:r w:rsidRPr="00B07B55">
              <w:rPr>
                <w:i/>
                <w:iCs/>
                <w:lang w:val="en-GB"/>
              </w:rPr>
              <w:t>0.088</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B07B55" w:rsidRDefault="0061612F" w:rsidP="005C2A07">
            <w:pPr>
              <w:pStyle w:val="Tabletext"/>
              <w:tabs>
                <w:tab w:val="decimal" w:pos="454"/>
              </w:tabs>
              <w:rPr>
                <w:i/>
                <w:iCs/>
                <w:lang w:val="en-GB"/>
              </w:rPr>
            </w:pPr>
            <w:r w:rsidRPr="00B07B55">
              <w:rPr>
                <w:i/>
                <w:iCs/>
                <w:lang w:val="en-GB"/>
              </w:rPr>
              <w:t>0.062</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61612F" w:rsidRPr="00B07B55" w:rsidRDefault="0061612F" w:rsidP="005C2A07">
            <w:pPr>
              <w:pStyle w:val="Tabletext"/>
              <w:tabs>
                <w:tab w:val="decimal" w:pos="454"/>
              </w:tabs>
              <w:rPr>
                <w:i/>
                <w:iCs/>
                <w:lang w:val="en-GB"/>
              </w:rPr>
            </w:pPr>
            <w:r w:rsidRPr="00B07B55">
              <w:rPr>
                <w:i/>
                <w:iCs/>
                <w:lang w:val="en-GB"/>
              </w:rPr>
              <w:t>0.06</w:t>
            </w:r>
          </w:p>
        </w:tc>
      </w:tr>
      <w:tr w:rsidR="0061612F"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61612F" w:rsidRPr="00B07B55" w:rsidRDefault="0061612F" w:rsidP="005C2A07">
            <w:pPr>
              <w:pStyle w:val="Tabletext"/>
              <w:rPr>
                <w:i/>
                <w:iCs/>
                <w:lang w:val="en-GB"/>
              </w:rPr>
            </w:pPr>
            <w:r w:rsidRPr="00B07B55">
              <w:rPr>
                <w:i/>
                <w:iCs/>
                <w:lang w:val="en-GB"/>
              </w:rPr>
              <w:t>O</w:t>
            </w:r>
            <w:r w:rsidR="007B0B42">
              <w:rPr>
                <w:i/>
                <w:iCs/>
                <w:lang w:val="en-GB"/>
              </w:rPr>
              <w:t>bservations</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B07B55" w:rsidRDefault="0061612F" w:rsidP="005C2A07">
            <w:pPr>
              <w:pStyle w:val="Tabletext"/>
              <w:jc w:val="center"/>
              <w:rPr>
                <w:i/>
                <w:iCs/>
                <w:lang w:val="en-GB"/>
              </w:rPr>
            </w:pPr>
            <w:r w:rsidRPr="00B07B55">
              <w:rPr>
                <w:i/>
                <w:iCs/>
                <w:lang w:val="en-GB"/>
              </w:rPr>
              <w:t>1982</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B07B55" w:rsidRDefault="0061612F" w:rsidP="005C2A07">
            <w:pPr>
              <w:pStyle w:val="Tabletext"/>
              <w:jc w:val="center"/>
              <w:rPr>
                <w:i/>
                <w:iCs/>
                <w:lang w:val="en-GB"/>
              </w:rPr>
            </w:pPr>
            <w:r w:rsidRPr="00B07B55">
              <w:rPr>
                <w:i/>
                <w:iCs/>
                <w:lang w:val="en-GB"/>
              </w:rPr>
              <w:t>1982</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B07B55" w:rsidRDefault="0061612F" w:rsidP="005C2A07">
            <w:pPr>
              <w:pStyle w:val="Tabletext"/>
              <w:jc w:val="center"/>
              <w:rPr>
                <w:i/>
                <w:iCs/>
                <w:lang w:val="en-GB"/>
              </w:rPr>
            </w:pPr>
            <w:r w:rsidRPr="00B07B55">
              <w:rPr>
                <w:i/>
                <w:iCs/>
                <w:lang w:val="en-GB"/>
              </w:rPr>
              <w:t>2314</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61612F" w:rsidRPr="00B07B55" w:rsidRDefault="0061612F" w:rsidP="005C2A07">
            <w:pPr>
              <w:pStyle w:val="Tabletext"/>
              <w:jc w:val="center"/>
              <w:rPr>
                <w:i/>
                <w:iCs/>
                <w:lang w:val="en-GB"/>
              </w:rPr>
            </w:pPr>
            <w:r w:rsidRPr="00B07B55">
              <w:rPr>
                <w:i/>
                <w:iCs/>
                <w:lang w:val="en-GB"/>
              </w:rPr>
              <w:t>2314</w:t>
            </w:r>
          </w:p>
        </w:tc>
      </w:tr>
      <w:tr w:rsidR="006C4708"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6C4708" w:rsidRPr="00B07B55" w:rsidRDefault="006C4708" w:rsidP="005C2A07">
            <w:pPr>
              <w:pStyle w:val="Tabletext"/>
              <w:spacing w:before="120"/>
              <w:rPr>
                <w:rFonts w:ascii="Cambria" w:hAnsi="Cambria" w:cs="Calibri"/>
                <w:sz w:val="22"/>
                <w:szCs w:val="22"/>
                <w:lang w:val="en-GB"/>
              </w:rPr>
            </w:pPr>
            <w:r w:rsidRPr="006C4708">
              <w:rPr>
                <w:b/>
                <w:lang w:val="en-GB"/>
              </w:rPr>
              <w:t>Change in job satisfaction</w:t>
            </w:r>
          </w:p>
        </w:tc>
        <w:tc>
          <w:tcPr>
            <w:tcW w:w="1165" w:type="dxa"/>
            <w:tcBorders>
              <w:top w:val="nil"/>
              <w:left w:val="nil"/>
              <w:bottom w:val="nil"/>
              <w:right w:val="nil"/>
            </w:tcBorders>
            <w:shd w:val="clear" w:color="auto" w:fill="auto"/>
          </w:tcPr>
          <w:p w:rsidR="006C4708" w:rsidRPr="00166FC0" w:rsidRDefault="006C4708" w:rsidP="005C2A07">
            <w:pPr>
              <w:pStyle w:val="Tabletext"/>
              <w:spacing w:before="120"/>
            </w:pPr>
          </w:p>
        </w:tc>
        <w:tc>
          <w:tcPr>
            <w:tcW w:w="1165" w:type="dxa"/>
            <w:tcBorders>
              <w:top w:val="nil"/>
              <w:left w:val="nil"/>
              <w:bottom w:val="nil"/>
              <w:right w:val="nil"/>
            </w:tcBorders>
            <w:shd w:val="clear" w:color="auto" w:fill="auto"/>
          </w:tcPr>
          <w:p w:rsidR="006C4708" w:rsidRPr="00166FC0" w:rsidRDefault="006C4708" w:rsidP="005C2A07">
            <w:pPr>
              <w:pStyle w:val="Tabletext"/>
              <w:spacing w:before="120"/>
            </w:pPr>
          </w:p>
        </w:tc>
        <w:tc>
          <w:tcPr>
            <w:tcW w:w="1165" w:type="dxa"/>
            <w:tcBorders>
              <w:top w:val="nil"/>
              <w:left w:val="nil"/>
              <w:bottom w:val="nil"/>
              <w:right w:val="nil"/>
            </w:tcBorders>
            <w:shd w:val="clear" w:color="auto" w:fill="auto"/>
          </w:tcPr>
          <w:p w:rsidR="006C4708" w:rsidRPr="00166FC0" w:rsidRDefault="006C4708" w:rsidP="005C2A07">
            <w:pPr>
              <w:pStyle w:val="Tabletext"/>
              <w:spacing w:before="120"/>
            </w:pPr>
          </w:p>
        </w:tc>
        <w:tc>
          <w:tcPr>
            <w:tcW w:w="1166" w:type="dxa"/>
            <w:tcBorders>
              <w:top w:val="nil"/>
              <w:left w:val="nil"/>
              <w:bottom w:val="nil"/>
              <w:right w:val="nil"/>
            </w:tcBorders>
            <w:shd w:val="clear" w:color="auto" w:fill="auto"/>
          </w:tcPr>
          <w:p w:rsidR="006C4708" w:rsidRPr="00166FC0" w:rsidRDefault="006C4708" w:rsidP="005C2A07">
            <w:pPr>
              <w:pStyle w:val="Tabletext"/>
              <w:spacing w:before="120"/>
            </w:pPr>
          </w:p>
        </w:tc>
      </w:tr>
      <w:tr w:rsidR="0061612F"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166FC0">
            <w:pPr>
              <w:pStyle w:val="Tabletext"/>
            </w:pPr>
            <w:r w:rsidRPr="00166FC0">
              <w:t>Bachelor and above</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5C2A07">
            <w:pPr>
              <w:pStyle w:val="Tabletext"/>
              <w:tabs>
                <w:tab w:val="decimal" w:pos="454"/>
              </w:tabs>
            </w:pPr>
            <w:r w:rsidRPr="00166FC0">
              <w:t>0.230</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5C2A07">
            <w:pPr>
              <w:pStyle w:val="Tabletext"/>
              <w:tabs>
                <w:tab w:val="decimal" w:pos="454"/>
              </w:tabs>
            </w:pPr>
            <w:r w:rsidRPr="00166FC0">
              <w:t>0.276</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5C2A07">
            <w:pPr>
              <w:pStyle w:val="Tabletext"/>
              <w:tabs>
                <w:tab w:val="decimal" w:pos="454"/>
              </w:tabs>
            </w:pPr>
            <w:r w:rsidRPr="00166FC0">
              <w:t>0.143</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5C2A07">
            <w:pPr>
              <w:pStyle w:val="Tabletext"/>
              <w:tabs>
                <w:tab w:val="decimal" w:pos="454"/>
              </w:tabs>
            </w:pPr>
            <w:r w:rsidRPr="00166FC0">
              <w:t>0.109</w:t>
            </w:r>
          </w:p>
        </w:tc>
      </w:tr>
      <w:tr w:rsidR="0061612F"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5C2A07">
            <w:pPr>
              <w:pStyle w:val="Tabletext"/>
              <w:tabs>
                <w:tab w:val="decimal" w:pos="454"/>
              </w:tabs>
            </w:pPr>
            <w:r w:rsidRPr="00166FC0">
              <w:t>(0.86)</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5C2A07">
            <w:pPr>
              <w:pStyle w:val="Tabletext"/>
              <w:tabs>
                <w:tab w:val="decimal" w:pos="454"/>
              </w:tabs>
            </w:pPr>
            <w:r w:rsidRPr="00166FC0">
              <w:t>(0.77)</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5C2A07">
            <w:pPr>
              <w:pStyle w:val="Tabletext"/>
              <w:tabs>
                <w:tab w:val="decimal" w:pos="454"/>
              </w:tabs>
            </w:pPr>
            <w:r w:rsidRPr="00166FC0">
              <w:t>(0.54)</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5C2A07">
            <w:pPr>
              <w:pStyle w:val="Tabletext"/>
              <w:tabs>
                <w:tab w:val="decimal" w:pos="454"/>
              </w:tabs>
            </w:pPr>
            <w:r w:rsidRPr="00166FC0">
              <w:t>(0.31)</w:t>
            </w:r>
          </w:p>
        </w:tc>
      </w:tr>
      <w:tr w:rsidR="0061612F"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166FC0">
            <w:pPr>
              <w:pStyle w:val="Tabletext"/>
            </w:pPr>
            <w:r w:rsidRPr="00166FC0">
              <w:t>VET</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5C2A07">
            <w:pPr>
              <w:pStyle w:val="Tabletext"/>
              <w:tabs>
                <w:tab w:val="decimal" w:pos="454"/>
              </w:tabs>
            </w:pPr>
            <w:r w:rsidRPr="00166FC0">
              <w:t>0.474***</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5C2A07">
            <w:pPr>
              <w:pStyle w:val="Tabletext"/>
              <w:tabs>
                <w:tab w:val="decimal" w:pos="454"/>
              </w:tabs>
            </w:pPr>
            <w:r w:rsidRPr="00166FC0">
              <w:t>0.627***</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5C2A07">
            <w:pPr>
              <w:pStyle w:val="Tabletext"/>
              <w:tabs>
                <w:tab w:val="decimal" w:pos="454"/>
              </w:tabs>
            </w:pPr>
            <w:r w:rsidRPr="00166FC0">
              <w:t>0.0926</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5C2A07">
            <w:pPr>
              <w:pStyle w:val="Tabletext"/>
              <w:tabs>
                <w:tab w:val="decimal" w:pos="454"/>
              </w:tabs>
            </w:pPr>
            <w:r w:rsidRPr="00166FC0">
              <w:t>0.179</w:t>
            </w:r>
          </w:p>
        </w:tc>
      </w:tr>
      <w:tr w:rsidR="0061612F"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5C2A07">
            <w:pPr>
              <w:pStyle w:val="Tabletext"/>
              <w:tabs>
                <w:tab w:val="decimal" w:pos="454"/>
              </w:tabs>
            </w:pPr>
            <w:r w:rsidRPr="00166FC0">
              <w:t>(3.07)</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5C2A07">
            <w:pPr>
              <w:pStyle w:val="Tabletext"/>
              <w:tabs>
                <w:tab w:val="decimal" w:pos="454"/>
              </w:tabs>
            </w:pPr>
            <w:r w:rsidRPr="00166FC0">
              <w:t>(3.45)</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5C2A07">
            <w:pPr>
              <w:pStyle w:val="Tabletext"/>
              <w:tabs>
                <w:tab w:val="decimal" w:pos="454"/>
              </w:tabs>
            </w:pPr>
            <w:r w:rsidRPr="00166FC0">
              <w:t>(0.54)</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61612F" w:rsidRPr="00166FC0" w:rsidRDefault="0061612F" w:rsidP="005C2A07">
            <w:pPr>
              <w:pStyle w:val="Tabletext"/>
              <w:tabs>
                <w:tab w:val="decimal" w:pos="454"/>
              </w:tabs>
            </w:pPr>
            <w:r w:rsidRPr="00166FC0">
              <w:t>(0.87)</w:t>
            </w:r>
          </w:p>
        </w:tc>
      </w:tr>
      <w:tr w:rsidR="0061612F"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61612F" w:rsidRPr="00B07B55" w:rsidRDefault="00085113" w:rsidP="006C4708">
            <w:pPr>
              <w:pStyle w:val="Tabletext"/>
              <w:rPr>
                <w:i/>
                <w:iCs/>
                <w:lang w:val="en-GB"/>
              </w:rPr>
            </w:pPr>
            <w:r>
              <w:rPr>
                <w:i/>
                <w:iCs/>
                <w:lang w:val="en-GB"/>
              </w:rPr>
              <w:t>R-s</w:t>
            </w:r>
            <w:r w:rsidRPr="00B07B55">
              <w:rPr>
                <w:i/>
                <w:iCs/>
                <w:lang w:val="en-GB"/>
              </w:rPr>
              <w:t>quared</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B07B55" w:rsidRDefault="0061612F" w:rsidP="005C2A07">
            <w:pPr>
              <w:pStyle w:val="Tabletext"/>
              <w:tabs>
                <w:tab w:val="decimal" w:pos="454"/>
              </w:tabs>
              <w:rPr>
                <w:i/>
                <w:iCs/>
                <w:lang w:val="en-GB"/>
              </w:rPr>
            </w:pPr>
            <w:r w:rsidRPr="00B07B55">
              <w:rPr>
                <w:i/>
                <w:iCs/>
                <w:lang w:val="en-GB"/>
              </w:rPr>
              <w:t>0.038</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B07B55" w:rsidRDefault="0061612F" w:rsidP="005C2A07">
            <w:pPr>
              <w:pStyle w:val="Tabletext"/>
              <w:tabs>
                <w:tab w:val="decimal" w:pos="454"/>
              </w:tabs>
              <w:rPr>
                <w:i/>
                <w:iCs/>
                <w:lang w:val="en-GB"/>
              </w:rPr>
            </w:pPr>
            <w:r w:rsidRPr="00B07B55">
              <w:rPr>
                <w:i/>
                <w:iCs/>
                <w:lang w:val="en-GB"/>
              </w:rPr>
              <w:t>0.041</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61612F" w:rsidRPr="00B07B55" w:rsidRDefault="0061612F" w:rsidP="005C2A07">
            <w:pPr>
              <w:pStyle w:val="Tabletext"/>
              <w:tabs>
                <w:tab w:val="decimal" w:pos="454"/>
              </w:tabs>
              <w:rPr>
                <w:i/>
                <w:iCs/>
                <w:lang w:val="en-GB"/>
              </w:rPr>
            </w:pPr>
            <w:r w:rsidRPr="00B07B55">
              <w:rPr>
                <w:i/>
                <w:iCs/>
                <w:lang w:val="en-GB"/>
              </w:rPr>
              <w:t>0.026</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61612F" w:rsidRPr="00B07B55" w:rsidRDefault="0061612F" w:rsidP="005C2A07">
            <w:pPr>
              <w:pStyle w:val="Tabletext"/>
              <w:tabs>
                <w:tab w:val="decimal" w:pos="454"/>
              </w:tabs>
              <w:rPr>
                <w:i/>
                <w:iCs/>
                <w:lang w:val="en-GB"/>
              </w:rPr>
            </w:pPr>
            <w:r w:rsidRPr="00B07B55">
              <w:rPr>
                <w:i/>
                <w:iCs/>
                <w:lang w:val="en-GB"/>
              </w:rPr>
              <w:t>0.026</w:t>
            </w:r>
          </w:p>
        </w:tc>
      </w:tr>
      <w:tr w:rsidR="007B0B42"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rPr>
                <w:i/>
                <w:iCs/>
                <w:lang w:val="en-GB"/>
              </w:rPr>
            </w:pPr>
            <w:r w:rsidRPr="00B07B55">
              <w:rPr>
                <w:i/>
                <w:iCs/>
                <w:lang w:val="en-GB"/>
              </w:rPr>
              <w:t>O</w:t>
            </w:r>
            <w:r>
              <w:rPr>
                <w:i/>
                <w:iCs/>
                <w:lang w:val="en-GB"/>
              </w:rPr>
              <w:t>bservations</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1544</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1544</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1294</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1294</w:t>
            </w:r>
          </w:p>
        </w:tc>
      </w:tr>
      <w:tr w:rsidR="006C4708"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6C4708" w:rsidRPr="00166FC0" w:rsidRDefault="006C4708" w:rsidP="005C2A07">
            <w:pPr>
              <w:pStyle w:val="Tabletext"/>
              <w:spacing w:before="120"/>
              <w:rPr>
                <w:b/>
                <w:szCs w:val="22"/>
              </w:rPr>
            </w:pPr>
            <w:r w:rsidRPr="00166FC0">
              <w:rPr>
                <w:b/>
              </w:rPr>
              <w:t>Change in skills utilisation</w:t>
            </w:r>
          </w:p>
        </w:tc>
        <w:tc>
          <w:tcPr>
            <w:tcW w:w="1165" w:type="dxa"/>
            <w:tcBorders>
              <w:top w:val="nil"/>
              <w:left w:val="nil"/>
              <w:bottom w:val="nil"/>
              <w:right w:val="nil"/>
            </w:tcBorders>
            <w:shd w:val="clear" w:color="auto" w:fill="auto"/>
          </w:tcPr>
          <w:p w:rsidR="006C4708" w:rsidRPr="00166FC0" w:rsidRDefault="006C4708" w:rsidP="005C2A07">
            <w:pPr>
              <w:pStyle w:val="Tabletext"/>
              <w:spacing w:before="120"/>
              <w:rPr>
                <w:b/>
                <w:szCs w:val="22"/>
              </w:rPr>
            </w:pPr>
          </w:p>
        </w:tc>
        <w:tc>
          <w:tcPr>
            <w:tcW w:w="1165" w:type="dxa"/>
            <w:tcBorders>
              <w:top w:val="nil"/>
              <w:left w:val="nil"/>
              <w:bottom w:val="nil"/>
              <w:right w:val="nil"/>
            </w:tcBorders>
            <w:shd w:val="clear" w:color="auto" w:fill="auto"/>
          </w:tcPr>
          <w:p w:rsidR="006C4708" w:rsidRPr="00166FC0" w:rsidRDefault="006C4708" w:rsidP="005C2A07">
            <w:pPr>
              <w:pStyle w:val="Tabletext"/>
              <w:spacing w:before="120"/>
              <w:rPr>
                <w:b/>
                <w:szCs w:val="22"/>
              </w:rPr>
            </w:pPr>
          </w:p>
        </w:tc>
        <w:tc>
          <w:tcPr>
            <w:tcW w:w="1165" w:type="dxa"/>
            <w:tcBorders>
              <w:top w:val="nil"/>
              <w:left w:val="nil"/>
              <w:bottom w:val="nil"/>
              <w:right w:val="nil"/>
            </w:tcBorders>
            <w:shd w:val="clear" w:color="auto" w:fill="auto"/>
          </w:tcPr>
          <w:p w:rsidR="006C4708" w:rsidRPr="00166FC0" w:rsidRDefault="006C4708" w:rsidP="005C2A07">
            <w:pPr>
              <w:pStyle w:val="Tabletext"/>
              <w:spacing w:before="120"/>
              <w:rPr>
                <w:b/>
                <w:szCs w:val="22"/>
              </w:rPr>
            </w:pPr>
          </w:p>
        </w:tc>
        <w:tc>
          <w:tcPr>
            <w:tcW w:w="1166" w:type="dxa"/>
            <w:tcBorders>
              <w:top w:val="nil"/>
              <w:left w:val="nil"/>
              <w:bottom w:val="nil"/>
              <w:right w:val="nil"/>
            </w:tcBorders>
            <w:shd w:val="clear" w:color="auto" w:fill="auto"/>
          </w:tcPr>
          <w:p w:rsidR="006C4708" w:rsidRPr="00166FC0" w:rsidRDefault="006C4708" w:rsidP="005C2A07">
            <w:pPr>
              <w:pStyle w:val="Tabletext"/>
              <w:spacing w:before="120"/>
              <w:rPr>
                <w:b/>
                <w:szCs w:val="22"/>
              </w:rPr>
            </w:pPr>
          </w:p>
        </w:tc>
      </w:tr>
      <w:tr w:rsidR="007B0B42"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6C4708">
            <w:pPr>
              <w:pStyle w:val="Tabletext"/>
              <w:rPr>
                <w:lang w:val="en-GB"/>
              </w:rPr>
            </w:pPr>
            <w:r w:rsidRPr="00B07B55">
              <w:rPr>
                <w:lang w:val="en-GB"/>
              </w:rPr>
              <w:t>Bachelor and above</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lang w:val="en-GB"/>
              </w:rPr>
            </w:pPr>
            <w:r w:rsidRPr="00B07B55">
              <w:rPr>
                <w:lang w:val="en-GB"/>
              </w:rPr>
              <w:t>0.143</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lang w:val="en-GB"/>
              </w:rPr>
            </w:pPr>
            <w:r w:rsidRPr="00B07B55">
              <w:rPr>
                <w:lang w:val="en-GB"/>
              </w:rPr>
              <w:t>0.319</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lang w:val="en-GB"/>
              </w:rPr>
            </w:pPr>
            <w:r w:rsidRPr="00B07B55">
              <w:rPr>
                <w:lang w:val="en-GB"/>
              </w:rPr>
              <w:t>-0.133</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lang w:val="en-GB"/>
              </w:rPr>
            </w:pPr>
            <w:r w:rsidRPr="00B07B55">
              <w:rPr>
                <w:lang w:val="en-GB"/>
              </w:rPr>
              <w:t>0.153</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(0.84)</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(1.32)</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(-0.59)</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(0.58)</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r w:rsidRPr="00166FC0">
              <w:t>VET</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0.236*</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0.109</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0.226</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0.216</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(1.73)</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(0.74)</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(1.53)</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(1.28)</w:t>
            </w:r>
          </w:p>
        </w:tc>
      </w:tr>
      <w:tr w:rsidR="007B0B42"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085113" w:rsidP="006C4708">
            <w:pPr>
              <w:pStyle w:val="Tabletext"/>
              <w:rPr>
                <w:i/>
                <w:iCs/>
                <w:lang w:val="en-GB"/>
              </w:rPr>
            </w:pPr>
            <w:r>
              <w:rPr>
                <w:i/>
                <w:iCs/>
                <w:lang w:val="en-GB"/>
              </w:rPr>
              <w:t>R-s</w:t>
            </w:r>
            <w:r w:rsidRPr="00B07B55">
              <w:rPr>
                <w:i/>
                <w:iCs/>
                <w:lang w:val="en-GB"/>
              </w:rPr>
              <w:t>quared</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0.045</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0.042</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0.024</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0.023</w:t>
            </w:r>
          </w:p>
        </w:tc>
      </w:tr>
      <w:tr w:rsidR="007B0B42"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rPr>
                <w:i/>
                <w:iCs/>
                <w:lang w:val="en-GB"/>
              </w:rPr>
            </w:pPr>
            <w:r w:rsidRPr="00B07B55">
              <w:rPr>
                <w:i/>
                <w:iCs/>
                <w:lang w:val="en-GB"/>
              </w:rPr>
              <w:t>O</w:t>
            </w:r>
            <w:r>
              <w:rPr>
                <w:i/>
                <w:iCs/>
                <w:lang w:val="en-GB"/>
              </w:rPr>
              <w:t>bservations</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1338</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1338</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1152</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1152</w:t>
            </w:r>
          </w:p>
        </w:tc>
      </w:tr>
      <w:tr w:rsidR="006C4708"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6C4708" w:rsidRPr="00B07B55" w:rsidRDefault="006C4708" w:rsidP="005C2A07">
            <w:pPr>
              <w:pStyle w:val="Tabletext"/>
              <w:spacing w:before="120"/>
              <w:rPr>
                <w:rFonts w:ascii="Cambria" w:hAnsi="Cambria" w:cs="Calibri"/>
                <w:sz w:val="22"/>
                <w:szCs w:val="22"/>
                <w:lang w:val="en-GB"/>
              </w:rPr>
            </w:pPr>
            <w:r w:rsidRPr="006C4708">
              <w:rPr>
                <w:b/>
                <w:lang w:val="en-GB"/>
              </w:rPr>
              <w:t>Change in log hourly wage rate</w:t>
            </w:r>
          </w:p>
        </w:tc>
        <w:tc>
          <w:tcPr>
            <w:tcW w:w="1165" w:type="dxa"/>
            <w:tcBorders>
              <w:top w:val="nil"/>
              <w:left w:val="nil"/>
              <w:bottom w:val="nil"/>
              <w:right w:val="nil"/>
            </w:tcBorders>
            <w:shd w:val="clear" w:color="auto" w:fill="auto"/>
          </w:tcPr>
          <w:p w:rsidR="006C4708" w:rsidRPr="00166FC0" w:rsidRDefault="006C4708" w:rsidP="005C2A07">
            <w:pPr>
              <w:pStyle w:val="Tabletext"/>
              <w:spacing w:before="120"/>
            </w:pPr>
          </w:p>
        </w:tc>
        <w:tc>
          <w:tcPr>
            <w:tcW w:w="1165" w:type="dxa"/>
            <w:tcBorders>
              <w:top w:val="nil"/>
              <w:left w:val="nil"/>
              <w:bottom w:val="nil"/>
              <w:right w:val="nil"/>
            </w:tcBorders>
            <w:shd w:val="clear" w:color="auto" w:fill="auto"/>
          </w:tcPr>
          <w:p w:rsidR="006C4708" w:rsidRPr="00166FC0" w:rsidRDefault="006C4708" w:rsidP="005C2A07">
            <w:pPr>
              <w:pStyle w:val="Tabletext"/>
              <w:spacing w:before="120"/>
            </w:pPr>
          </w:p>
        </w:tc>
        <w:tc>
          <w:tcPr>
            <w:tcW w:w="1165" w:type="dxa"/>
            <w:tcBorders>
              <w:top w:val="nil"/>
              <w:left w:val="nil"/>
              <w:bottom w:val="nil"/>
              <w:right w:val="nil"/>
            </w:tcBorders>
            <w:shd w:val="clear" w:color="auto" w:fill="auto"/>
          </w:tcPr>
          <w:p w:rsidR="006C4708" w:rsidRPr="00166FC0" w:rsidRDefault="006C4708" w:rsidP="005C2A07">
            <w:pPr>
              <w:pStyle w:val="Tabletext"/>
              <w:spacing w:before="120"/>
            </w:pPr>
          </w:p>
        </w:tc>
        <w:tc>
          <w:tcPr>
            <w:tcW w:w="1166" w:type="dxa"/>
            <w:tcBorders>
              <w:top w:val="nil"/>
              <w:left w:val="nil"/>
              <w:bottom w:val="nil"/>
              <w:right w:val="nil"/>
            </w:tcBorders>
            <w:shd w:val="clear" w:color="auto" w:fill="auto"/>
          </w:tcPr>
          <w:p w:rsidR="006C4708" w:rsidRPr="00166FC0" w:rsidRDefault="006C4708" w:rsidP="005C2A07">
            <w:pPr>
              <w:pStyle w:val="Tabletext"/>
              <w:spacing w:before="120"/>
            </w:pP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r w:rsidRPr="00166FC0">
              <w:t>Bachelor and above</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0.111**</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0.0572</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0.0864</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-0.0061</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(2.19)</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(0.70)</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(1.47)</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(-0.09)</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r w:rsidRPr="00166FC0">
              <w:t>VET</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0.00748</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0.00919</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0.0259</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0.0386</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(0.22)</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(0.21)</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(0.74)</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(1.06)</w:t>
            </w:r>
          </w:p>
        </w:tc>
      </w:tr>
      <w:tr w:rsidR="007B0B42"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085113" w:rsidP="006C4708">
            <w:pPr>
              <w:pStyle w:val="Tabletext"/>
              <w:rPr>
                <w:i/>
                <w:iCs/>
                <w:lang w:val="en-GB"/>
              </w:rPr>
            </w:pPr>
            <w:r>
              <w:rPr>
                <w:i/>
                <w:iCs/>
                <w:lang w:val="en-GB"/>
              </w:rPr>
              <w:t>R-s</w:t>
            </w:r>
            <w:r w:rsidRPr="00B07B55">
              <w:rPr>
                <w:i/>
                <w:iCs/>
                <w:lang w:val="en-GB"/>
              </w:rPr>
              <w:t>quared</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0.094</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0.095</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0.103</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0.101</w:t>
            </w:r>
          </w:p>
        </w:tc>
      </w:tr>
      <w:tr w:rsidR="007B0B42"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rPr>
                <w:i/>
                <w:iCs/>
                <w:lang w:val="en-GB"/>
              </w:rPr>
            </w:pPr>
            <w:r w:rsidRPr="00B07B55">
              <w:rPr>
                <w:i/>
                <w:iCs/>
                <w:lang w:val="en-GB"/>
              </w:rPr>
              <w:t>O</w:t>
            </w:r>
            <w:r>
              <w:rPr>
                <w:i/>
                <w:iCs/>
                <w:lang w:val="en-GB"/>
              </w:rPr>
              <w:t>bservations</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978</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978</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967</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967</w:t>
            </w:r>
          </w:p>
        </w:tc>
      </w:tr>
      <w:tr w:rsidR="005C2A07"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5C2A07" w:rsidRPr="009F3065" w:rsidRDefault="009F3065" w:rsidP="005C2A07">
            <w:pPr>
              <w:pStyle w:val="Tabletext"/>
              <w:spacing w:before="120"/>
              <w:rPr>
                <w:b/>
                <w:color w:val="FFFFFF" w:themeColor="background1"/>
                <w:lang w:val="en-GB"/>
              </w:rPr>
            </w:pPr>
            <w:r w:rsidRPr="009F3065">
              <w:rPr>
                <w:b/>
                <w:color w:val="FFFFFF" w:themeColor="background1"/>
                <w:lang w:val="en-GB"/>
              </w:rPr>
              <w:t>White text</w:t>
            </w:r>
          </w:p>
        </w:tc>
        <w:tc>
          <w:tcPr>
            <w:tcW w:w="1165" w:type="dxa"/>
            <w:tcBorders>
              <w:top w:val="nil"/>
              <w:left w:val="nil"/>
              <w:bottom w:val="nil"/>
              <w:right w:val="nil"/>
            </w:tcBorders>
            <w:shd w:val="clear" w:color="auto" w:fill="auto"/>
          </w:tcPr>
          <w:p w:rsidR="005C2A07" w:rsidRPr="00166FC0" w:rsidRDefault="005C2A07" w:rsidP="005C2A07">
            <w:pPr>
              <w:pStyle w:val="Tabletext"/>
              <w:spacing w:before="120"/>
            </w:pPr>
          </w:p>
        </w:tc>
        <w:tc>
          <w:tcPr>
            <w:tcW w:w="1165" w:type="dxa"/>
            <w:tcBorders>
              <w:top w:val="nil"/>
              <w:left w:val="nil"/>
              <w:bottom w:val="nil"/>
              <w:right w:val="nil"/>
            </w:tcBorders>
            <w:shd w:val="clear" w:color="auto" w:fill="auto"/>
          </w:tcPr>
          <w:p w:rsidR="005C2A07" w:rsidRPr="00166FC0" w:rsidRDefault="005C2A07" w:rsidP="005C2A07">
            <w:pPr>
              <w:pStyle w:val="Tabletext"/>
              <w:spacing w:before="120"/>
            </w:pPr>
          </w:p>
        </w:tc>
        <w:tc>
          <w:tcPr>
            <w:tcW w:w="1165" w:type="dxa"/>
            <w:tcBorders>
              <w:top w:val="nil"/>
              <w:left w:val="nil"/>
              <w:bottom w:val="nil"/>
              <w:right w:val="nil"/>
            </w:tcBorders>
            <w:shd w:val="clear" w:color="auto" w:fill="auto"/>
          </w:tcPr>
          <w:p w:rsidR="005C2A07" w:rsidRPr="00166FC0" w:rsidRDefault="005C2A07" w:rsidP="005C2A07">
            <w:pPr>
              <w:pStyle w:val="Tabletext"/>
              <w:spacing w:before="120"/>
            </w:pPr>
          </w:p>
        </w:tc>
        <w:tc>
          <w:tcPr>
            <w:tcW w:w="1166" w:type="dxa"/>
            <w:tcBorders>
              <w:top w:val="nil"/>
              <w:left w:val="nil"/>
              <w:bottom w:val="nil"/>
              <w:right w:val="nil"/>
            </w:tcBorders>
            <w:shd w:val="clear" w:color="auto" w:fill="auto"/>
          </w:tcPr>
          <w:p w:rsidR="005C2A07" w:rsidRPr="00166FC0" w:rsidRDefault="005C2A07" w:rsidP="005C2A07">
            <w:pPr>
              <w:pStyle w:val="Tabletext"/>
              <w:spacing w:before="120"/>
            </w:pPr>
          </w:p>
        </w:tc>
      </w:tr>
      <w:tr w:rsidR="005C2A07"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5C2A07" w:rsidRPr="009F3065" w:rsidRDefault="009F3065" w:rsidP="005C2A07">
            <w:pPr>
              <w:pStyle w:val="Tabletext"/>
              <w:spacing w:before="120"/>
              <w:rPr>
                <w:b/>
                <w:color w:val="FFFFFF" w:themeColor="background1"/>
                <w:lang w:val="en-GB"/>
              </w:rPr>
            </w:pPr>
            <w:r w:rsidRPr="009F3065">
              <w:rPr>
                <w:b/>
                <w:color w:val="FFFFFF" w:themeColor="background1"/>
                <w:lang w:val="en-GB"/>
              </w:rPr>
              <w:t>White text</w:t>
            </w:r>
          </w:p>
        </w:tc>
        <w:tc>
          <w:tcPr>
            <w:tcW w:w="1165" w:type="dxa"/>
            <w:tcBorders>
              <w:top w:val="nil"/>
              <w:left w:val="nil"/>
              <w:bottom w:val="nil"/>
              <w:right w:val="nil"/>
            </w:tcBorders>
            <w:shd w:val="clear" w:color="auto" w:fill="auto"/>
          </w:tcPr>
          <w:p w:rsidR="005C2A07" w:rsidRPr="00166FC0" w:rsidRDefault="005C2A07" w:rsidP="005C2A07">
            <w:pPr>
              <w:pStyle w:val="Tabletext"/>
              <w:spacing w:before="120"/>
            </w:pPr>
          </w:p>
        </w:tc>
        <w:tc>
          <w:tcPr>
            <w:tcW w:w="1165" w:type="dxa"/>
            <w:tcBorders>
              <w:top w:val="nil"/>
              <w:left w:val="nil"/>
              <w:bottom w:val="nil"/>
              <w:right w:val="nil"/>
            </w:tcBorders>
            <w:shd w:val="clear" w:color="auto" w:fill="auto"/>
          </w:tcPr>
          <w:p w:rsidR="005C2A07" w:rsidRPr="00166FC0" w:rsidRDefault="005C2A07" w:rsidP="005C2A07">
            <w:pPr>
              <w:pStyle w:val="Tabletext"/>
              <w:spacing w:before="120"/>
            </w:pPr>
          </w:p>
        </w:tc>
        <w:tc>
          <w:tcPr>
            <w:tcW w:w="1165" w:type="dxa"/>
            <w:tcBorders>
              <w:top w:val="nil"/>
              <w:left w:val="nil"/>
              <w:bottom w:val="nil"/>
              <w:right w:val="nil"/>
            </w:tcBorders>
            <w:shd w:val="clear" w:color="auto" w:fill="auto"/>
          </w:tcPr>
          <w:p w:rsidR="005C2A07" w:rsidRPr="00166FC0" w:rsidRDefault="005C2A07" w:rsidP="005C2A07">
            <w:pPr>
              <w:pStyle w:val="Tabletext"/>
              <w:spacing w:before="120"/>
            </w:pPr>
          </w:p>
        </w:tc>
        <w:tc>
          <w:tcPr>
            <w:tcW w:w="1166" w:type="dxa"/>
            <w:tcBorders>
              <w:top w:val="nil"/>
              <w:left w:val="nil"/>
              <w:bottom w:val="nil"/>
              <w:right w:val="nil"/>
            </w:tcBorders>
            <w:shd w:val="clear" w:color="auto" w:fill="auto"/>
          </w:tcPr>
          <w:p w:rsidR="005C2A07" w:rsidRPr="00166FC0" w:rsidRDefault="005C2A07" w:rsidP="005C2A07">
            <w:pPr>
              <w:pStyle w:val="Tabletext"/>
              <w:spacing w:before="120"/>
            </w:pPr>
          </w:p>
        </w:tc>
      </w:tr>
      <w:tr w:rsidR="005C2A07"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5C2A07" w:rsidRPr="009F3065" w:rsidRDefault="009F3065" w:rsidP="005C2A07">
            <w:pPr>
              <w:pStyle w:val="Tabletext"/>
              <w:spacing w:before="120"/>
              <w:rPr>
                <w:b/>
                <w:color w:val="FFFFFF" w:themeColor="background1"/>
                <w:lang w:val="en-GB"/>
              </w:rPr>
            </w:pPr>
            <w:r w:rsidRPr="009F3065">
              <w:rPr>
                <w:b/>
                <w:color w:val="FFFFFF" w:themeColor="background1"/>
                <w:lang w:val="en-GB"/>
              </w:rPr>
              <w:t>White text</w:t>
            </w:r>
          </w:p>
        </w:tc>
        <w:tc>
          <w:tcPr>
            <w:tcW w:w="1165" w:type="dxa"/>
            <w:tcBorders>
              <w:top w:val="nil"/>
              <w:left w:val="nil"/>
              <w:bottom w:val="nil"/>
              <w:right w:val="nil"/>
            </w:tcBorders>
            <w:shd w:val="clear" w:color="auto" w:fill="auto"/>
          </w:tcPr>
          <w:p w:rsidR="005C2A07" w:rsidRPr="00166FC0" w:rsidRDefault="005C2A07" w:rsidP="005C2A07">
            <w:pPr>
              <w:pStyle w:val="Tabletext"/>
              <w:spacing w:before="120"/>
            </w:pPr>
          </w:p>
        </w:tc>
        <w:tc>
          <w:tcPr>
            <w:tcW w:w="1165" w:type="dxa"/>
            <w:tcBorders>
              <w:top w:val="nil"/>
              <w:left w:val="nil"/>
              <w:bottom w:val="nil"/>
              <w:right w:val="nil"/>
            </w:tcBorders>
            <w:shd w:val="clear" w:color="auto" w:fill="auto"/>
          </w:tcPr>
          <w:p w:rsidR="005C2A07" w:rsidRPr="00166FC0" w:rsidRDefault="005C2A07" w:rsidP="005C2A07">
            <w:pPr>
              <w:pStyle w:val="Tabletext"/>
              <w:spacing w:before="120"/>
            </w:pPr>
          </w:p>
        </w:tc>
        <w:tc>
          <w:tcPr>
            <w:tcW w:w="1165" w:type="dxa"/>
            <w:tcBorders>
              <w:top w:val="nil"/>
              <w:left w:val="nil"/>
              <w:bottom w:val="nil"/>
              <w:right w:val="nil"/>
            </w:tcBorders>
            <w:shd w:val="clear" w:color="auto" w:fill="auto"/>
          </w:tcPr>
          <w:p w:rsidR="005C2A07" w:rsidRPr="00166FC0" w:rsidRDefault="005C2A07" w:rsidP="005C2A07">
            <w:pPr>
              <w:pStyle w:val="Tabletext"/>
              <w:spacing w:before="120"/>
            </w:pPr>
          </w:p>
        </w:tc>
        <w:tc>
          <w:tcPr>
            <w:tcW w:w="1166" w:type="dxa"/>
            <w:tcBorders>
              <w:top w:val="nil"/>
              <w:left w:val="nil"/>
              <w:bottom w:val="nil"/>
              <w:right w:val="nil"/>
            </w:tcBorders>
            <w:shd w:val="clear" w:color="auto" w:fill="auto"/>
          </w:tcPr>
          <w:p w:rsidR="005C2A07" w:rsidRPr="00166FC0" w:rsidRDefault="005C2A07" w:rsidP="005C2A07">
            <w:pPr>
              <w:pStyle w:val="Tabletext"/>
              <w:spacing w:before="120"/>
            </w:pPr>
          </w:p>
        </w:tc>
      </w:tr>
      <w:tr w:rsidR="006C4708"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6C4708" w:rsidRPr="00B07B55" w:rsidRDefault="006C4708" w:rsidP="005C2A07">
            <w:pPr>
              <w:pStyle w:val="Tabletext"/>
              <w:spacing w:before="120"/>
              <w:rPr>
                <w:rFonts w:ascii="Cambria" w:hAnsi="Cambria" w:cs="Calibri"/>
                <w:sz w:val="22"/>
                <w:szCs w:val="22"/>
                <w:lang w:val="en-GB"/>
              </w:rPr>
            </w:pPr>
            <w:r w:rsidRPr="006C4708">
              <w:rPr>
                <w:b/>
                <w:lang w:val="en-GB"/>
              </w:rPr>
              <w:t>Change in working hours per week</w:t>
            </w:r>
          </w:p>
        </w:tc>
        <w:tc>
          <w:tcPr>
            <w:tcW w:w="1165" w:type="dxa"/>
            <w:tcBorders>
              <w:top w:val="nil"/>
              <w:left w:val="nil"/>
              <w:bottom w:val="nil"/>
              <w:right w:val="nil"/>
            </w:tcBorders>
            <w:shd w:val="clear" w:color="auto" w:fill="auto"/>
          </w:tcPr>
          <w:p w:rsidR="006C4708" w:rsidRPr="00166FC0" w:rsidRDefault="006C4708" w:rsidP="005C2A07">
            <w:pPr>
              <w:pStyle w:val="Tabletext"/>
              <w:spacing w:before="120"/>
            </w:pPr>
          </w:p>
        </w:tc>
        <w:tc>
          <w:tcPr>
            <w:tcW w:w="1165" w:type="dxa"/>
            <w:tcBorders>
              <w:top w:val="nil"/>
              <w:left w:val="nil"/>
              <w:bottom w:val="nil"/>
              <w:right w:val="nil"/>
            </w:tcBorders>
            <w:shd w:val="clear" w:color="auto" w:fill="auto"/>
          </w:tcPr>
          <w:p w:rsidR="006C4708" w:rsidRPr="00166FC0" w:rsidRDefault="006C4708" w:rsidP="005C2A07">
            <w:pPr>
              <w:pStyle w:val="Tabletext"/>
              <w:spacing w:before="120"/>
            </w:pPr>
          </w:p>
        </w:tc>
        <w:tc>
          <w:tcPr>
            <w:tcW w:w="1165" w:type="dxa"/>
            <w:tcBorders>
              <w:top w:val="nil"/>
              <w:left w:val="nil"/>
              <w:bottom w:val="nil"/>
              <w:right w:val="nil"/>
            </w:tcBorders>
            <w:shd w:val="clear" w:color="auto" w:fill="auto"/>
          </w:tcPr>
          <w:p w:rsidR="006C4708" w:rsidRPr="00166FC0" w:rsidRDefault="006C4708" w:rsidP="005C2A07">
            <w:pPr>
              <w:pStyle w:val="Tabletext"/>
              <w:spacing w:before="120"/>
            </w:pPr>
          </w:p>
        </w:tc>
        <w:tc>
          <w:tcPr>
            <w:tcW w:w="1166" w:type="dxa"/>
            <w:tcBorders>
              <w:top w:val="nil"/>
              <w:left w:val="nil"/>
              <w:bottom w:val="nil"/>
              <w:right w:val="nil"/>
            </w:tcBorders>
            <w:shd w:val="clear" w:color="auto" w:fill="auto"/>
          </w:tcPr>
          <w:p w:rsidR="006C4708" w:rsidRPr="00166FC0" w:rsidRDefault="006C4708" w:rsidP="005C2A07">
            <w:pPr>
              <w:pStyle w:val="Tabletext"/>
              <w:spacing w:before="120"/>
            </w:pP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r w:rsidRPr="00166FC0">
              <w:t>Bachelor and above</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-0.788</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2.344</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-0.659</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0.517</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(-0.49)</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(1.16)</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(-0.40)</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(0.22)</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r w:rsidRPr="00166FC0">
              <w:t>VET</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-2.751***</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-3.030**</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-0.0701</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-0.588</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(-2.58)</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(-2.42)</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(-0.07)</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(-0.54)</w:t>
            </w:r>
          </w:p>
        </w:tc>
      </w:tr>
      <w:tr w:rsidR="007B0B42"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085113" w:rsidP="006C4708">
            <w:pPr>
              <w:pStyle w:val="Tabletext"/>
              <w:rPr>
                <w:i/>
                <w:iCs/>
                <w:lang w:val="en-GB"/>
              </w:rPr>
            </w:pPr>
            <w:r>
              <w:rPr>
                <w:i/>
                <w:iCs/>
                <w:lang w:val="en-GB"/>
              </w:rPr>
              <w:t>R-s</w:t>
            </w:r>
            <w:r w:rsidRPr="00B07B55">
              <w:rPr>
                <w:i/>
                <w:iCs/>
                <w:lang w:val="en-GB"/>
              </w:rPr>
              <w:t>quared</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0.059</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0.059</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0.141</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0.141</w:t>
            </w:r>
          </w:p>
        </w:tc>
      </w:tr>
      <w:tr w:rsidR="007B0B42"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rPr>
                <w:i/>
                <w:iCs/>
                <w:lang w:val="en-GB"/>
              </w:rPr>
            </w:pPr>
            <w:r w:rsidRPr="00B07B55">
              <w:rPr>
                <w:i/>
                <w:iCs/>
                <w:lang w:val="en-GB"/>
              </w:rPr>
              <w:t>O</w:t>
            </w:r>
            <w:r>
              <w:rPr>
                <w:i/>
                <w:iCs/>
                <w:lang w:val="en-GB"/>
              </w:rPr>
              <w:t>bservations</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1540</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1540</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1291</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1291</w:t>
            </w:r>
          </w:p>
        </w:tc>
      </w:tr>
      <w:tr w:rsidR="006C4708"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6C4708" w:rsidRPr="00B07B55" w:rsidRDefault="006C4708" w:rsidP="005C2A07">
            <w:pPr>
              <w:pStyle w:val="Tabletext"/>
              <w:spacing w:before="120"/>
              <w:rPr>
                <w:rFonts w:ascii="Cambria" w:hAnsi="Cambria" w:cs="Calibri"/>
                <w:sz w:val="22"/>
                <w:szCs w:val="22"/>
                <w:lang w:val="en-GB"/>
              </w:rPr>
            </w:pPr>
            <w:r w:rsidRPr="006C4708">
              <w:rPr>
                <w:b/>
                <w:lang w:val="en-GB"/>
              </w:rPr>
              <w:t>Change in overall life satisfaction</w:t>
            </w:r>
          </w:p>
        </w:tc>
        <w:tc>
          <w:tcPr>
            <w:tcW w:w="1165" w:type="dxa"/>
            <w:tcBorders>
              <w:top w:val="nil"/>
              <w:left w:val="nil"/>
              <w:bottom w:val="nil"/>
              <w:right w:val="nil"/>
            </w:tcBorders>
            <w:shd w:val="clear" w:color="auto" w:fill="auto"/>
          </w:tcPr>
          <w:p w:rsidR="006C4708" w:rsidRPr="00166FC0" w:rsidRDefault="006C4708" w:rsidP="005C2A07">
            <w:pPr>
              <w:pStyle w:val="Tabletext"/>
              <w:spacing w:before="120"/>
            </w:pPr>
          </w:p>
        </w:tc>
        <w:tc>
          <w:tcPr>
            <w:tcW w:w="1165" w:type="dxa"/>
            <w:tcBorders>
              <w:top w:val="nil"/>
              <w:left w:val="nil"/>
              <w:bottom w:val="nil"/>
              <w:right w:val="nil"/>
            </w:tcBorders>
            <w:shd w:val="clear" w:color="auto" w:fill="auto"/>
          </w:tcPr>
          <w:p w:rsidR="006C4708" w:rsidRPr="00166FC0" w:rsidRDefault="006C4708" w:rsidP="005C2A07">
            <w:pPr>
              <w:pStyle w:val="Tabletext"/>
              <w:spacing w:before="120"/>
            </w:pPr>
          </w:p>
        </w:tc>
        <w:tc>
          <w:tcPr>
            <w:tcW w:w="1165" w:type="dxa"/>
            <w:tcBorders>
              <w:top w:val="nil"/>
              <w:left w:val="nil"/>
              <w:bottom w:val="nil"/>
              <w:right w:val="nil"/>
            </w:tcBorders>
            <w:shd w:val="clear" w:color="auto" w:fill="auto"/>
          </w:tcPr>
          <w:p w:rsidR="006C4708" w:rsidRPr="00166FC0" w:rsidRDefault="006C4708" w:rsidP="005C2A07">
            <w:pPr>
              <w:pStyle w:val="Tabletext"/>
              <w:spacing w:before="120"/>
            </w:pPr>
          </w:p>
        </w:tc>
        <w:tc>
          <w:tcPr>
            <w:tcW w:w="1166" w:type="dxa"/>
            <w:tcBorders>
              <w:top w:val="nil"/>
              <w:left w:val="nil"/>
              <w:bottom w:val="nil"/>
              <w:right w:val="nil"/>
            </w:tcBorders>
            <w:shd w:val="clear" w:color="auto" w:fill="auto"/>
          </w:tcPr>
          <w:p w:rsidR="006C4708" w:rsidRPr="00166FC0" w:rsidRDefault="006C4708" w:rsidP="005C2A07">
            <w:pPr>
              <w:pStyle w:val="Tabletext"/>
              <w:spacing w:before="120"/>
            </w:pP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r w:rsidRPr="00166FC0">
              <w:t>Bachelor and above</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0.0894</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-0.123</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0.0098</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0.266</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(0.39)</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(-0.46)</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(0.04)</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(1.40)</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r w:rsidRPr="00166FC0">
              <w:t>VET</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0.0943</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-0.0081</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0.0782</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0.0224</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(0.69)</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(-0.05)</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(0.80)</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(0.20)</w:t>
            </w:r>
          </w:p>
        </w:tc>
      </w:tr>
      <w:tr w:rsidR="007B0B42"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085113" w:rsidP="006C4708">
            <w:pPr>
              <w:pStyle w:val="Tabletext"/>
              <w:rPr>
                <w:i/>
                <w:iCs/>
                <w:lang w:val="en-GB"/>
              </w:rPr>
            </w:pPr>
            <w:r>
              <w:rPr>
                <w:i/>
                <w:iCs/>
                <w:lang w:val="en-GB"/>
              </w:rPr>
              <w:t>R-s</w:t>
            </w:r>
            <w:r w:rsidRPr="00B07B55">
              <w:rPr>
                <w:i/>
                <w:iCs/>
                <w:lang w:val="en-GB"/>
              </w:rPr>
              <w:t>quared</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0.023</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0.023</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0.033</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0.033</w:t>
            </w:r>
          </w:p>
        </w:tc>
      </w:tr>
      <w:tr w:rsidR="007B0B42"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rPr>
                <w:i/>
                <w:iCs/>
                <w:lang w:val="en-GB"/>
              </w:rPr>
            </w:pPr>
            <w:r w:rsidRPr="00B07B55">
              <w:rPr>
                <w:i/>
                <w:iCs/>
                <w:lang w:val="en-GB"/>
              </w:rPr>
              <w:t>O</w:t>
            </w:r>
            <w:r>
              <w:rPr>
                <w:i/>
                <w:iCs/>
                <w:lang w:val="en-GB"/>
              </w:rPr>
              <w:t>bservations</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1981</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1981</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2310</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2310</w:t>
            </w:r>
          </w:p>
        </w:tc>
      </w:tr>
      <w:tr w:rsidR="005C2A07" w:rsidRPr="00B07B55" w:rsidTr="005C2A07">
        <w:trPr>
          <w:cantSplit/>
        </w:trPr>
        <w:tc>
          <w:tcPr>
            <w:tcW w:w="8789" w:type="dxa"/>
            <w:gridSpan w:val="5"/>
            <w:tcBorders>
              <w:top w:val="nil"/>
              <w:left w:val="nil"/>
              <w:bottom w:val="nil"/>
              <w:right w:val="nil"/>
            </w:tcBorders>
            <w:shd w:val="clear" w:color="auto" w:fill="auto"/>
            <w:noWrap/>
            <w:tcMar>
              <w:top w:w="17" w:type="dxa"/>
              <w:left w:w="17" w:type="dxa"/>
              <w:bottom w:w="0" w:type="dxa"/>
              <w:right w:w="17" w:type="dxa"/>
            </w:tcMar>
            <w:hideMark/>
          </w:tcPr>
          <w:p w:rsidR="005C2A07" w:rsidRPr="00166FC0" w:rsidRDefault="005C2A07" w:rsidP="005C2A07">
            <w:pPr>
              <w:pStyle w:val="Tabletext"/>
              <w:spacing w:before="120"/>
            </w:pPr>
            <w:r w:rsidRPr="006C4708">
              <w:rPr>
                <w:b/>
                <w:lang w:val="en-GB"/>
              </w:rPr>
              <w:t>Change in satisfaction with employment opportunities</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r w:rsidRPr="00166FC0">
              <w:t>Bachelor and above</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-0.0381</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-0.0391</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0.219</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0.413</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(-0.13)</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(-0.10)</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(0.85)</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(1.20)</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r w:rsidRPr="00166FC0">
              <w:t>VET</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-0.0681</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-0.196</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0.407**</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0.384**</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(-0.38)</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(-0.93)</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(2.48)</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(2.02)</w:t>
            </w:r>
          </w:p>
        </w:tc>
      </w:tr>
      <w:tr w:rsidR="007B0B42"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085113" w:rsidP="006C4708">
            <w:pPr>
              <w:pStyle w:val="Tabletext"/>
              <w:rPr>
                <w:i/>
                <w:iCs/>
                <w:lang w:val="en-GB"/>
              </w:rPr>
            </w:pPr>
            <w:r>
              <w:rPr>
                <w:i/>
                <w:iCs/>
                <w:lang w:val="en-GB"/>
              </w:rPr>
              <w:t>R-s</w:t>
            </w:r>
            <w:r w:rsidRPr="00B07B55">
              <w:rPr>
                <w:i/>
                <w:iCs/>
                <w:lang w:val="en-GB"/>
              </w:rPr>
              <w:t>quared</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0.026</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0.027</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0.035</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0.034</w:t>
            </w:r>
          </w:p>
        </w:tc>
      </w:tr>
      <w:tr w:rsidR="007B0B42"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rPr>
                <w:i/>
                <w:iCs/>
                <w:lang w:val="en-GB"/>
              </w:rPr>
            </w:pPr>
            <w:r w:rsidRPr="00B07B55">
              <w:rPr>
                <w:i/>
                <w:iCs/>
                <w:lang w:val="en-GB"/>
              </w:rPr>
              <w:t>O</w:t>
            </w:r>
            <w:r>
              <w:rPr>
                <w:i/>
                <w:iCs/>
                <w:lang w:val="en-GB"/>
              </w:rPr>
              <w:t>bservations</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1741</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1741</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1831</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1831</w:t>
            </w:r>
          </w:p>
        </w:tc>
      </w:tr>
      <w:tr w:rsidR="006C4708"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6C4708" w:rsidRPr="00B07B55" w:rsidRDefault="006C4708" w:rsidP="005C2A07">
            <w:pPr>
              <w:pStyle w:val="Tabletext"/>
              <w:spacing w:before="120"/>
              <w:rPr>
                <w:rFonts w:ascii="Cambria" w:hAnsi="Cambria" w:cs="Calibri"/>
                <w:sz w:val="22"/>
                <w:szCs w:val="22"/>
                <w:lang w:val="en-GB"/>
              </w:rPr>
            </w:pPr>
            <w:r w:rsidRPr="006C4708">
              <w:rPr>
                <w:b/>
                <w:lang w:val="en-GB"/>
              </w:rPr>
              <w:t>Change in occupational status</w:t>
            </w:r>
          </w:p>
        </w:tc>
        <w:tc>
          <w:tcPr>
            <w:tcW w:w="1165" w:type="dxa"/>
            <w:tcBorders>
              <w:top w:val="nil"/>
              <w:left w:val="nil"/>
              <w:bottom w:val="nil"/>
              <w:right w:val="nil"/>
            </w:tcBorders>
            <w:shd w:val="clear" w:color="auto" w:fill="auto"/>
          </w:tcPr>
          <w:p w:rsidR="006C4708" w:rsidRPr="00166FC0" w:rsidRDefault="006C4708" w:rsidP="005C2A07">
            <w:pPr>
              <w:pStyle w:val="Tabletext"/>
              <w:spacing w:before="120"/>
            </w:pPr>
          </w:p>
        </w:tc>
        <w:tc>
          <w:tcPr>
            <w:tcW w:w="1165" w:type="dxa"/>
            <w:tcBorders>
              <w:top w:val="nil"/>
              <w:left w:val="nil"/>
              <w:bottom w:val="nil"/>
              <w:right w:val="nil"/>
            </w:tcBorders>
            <w:shd w:val="clear" w:color="auto" w:fill="auto"/>
          </w:tcPr>
          <w:p w:rsidR="006C4708" w:rsidRPr="00166FC0" w:rsidRDefault="006C4708" w:rsidP="005C2A07">
            <w:pPr>
              <w:pStyle w:val="Tabletext"/>
              <w:spacing w:before="120"/>
            </w:pPr>
          </w:p>
        </w:tc>
        <w:tc>
          <w:tcPr>
            <w:tcW w:w="1165" w:type="dxa"/>
            <w:tcBorders>
              <w:top w:val="nil"/>
              <w:left w:val="nil"/>
              <w:bottom w:val="nil"/>
              <w:right w:val="nil"/>
            </w:tcBorders>
            <w:shd w:val="clear" w:color="auto" w:fill="auto"/>
          </w:tcPr>
          <w:p w:rsidR="006C4708" w:rsidRPr="00166FC0" w:rsidRDefault="006C4708" w:rsidP="005C2A07">
            <w:pPr>
              <w:pStyle w:val="Tabletext"/>
              <w:spacing w:before="120"/>
            </w:pPr>
          </w:p>
        </w:tc>
        <w:tc>
          <w:tcPr>
            <w:tcW w:w="1166" w:type="dxa"/>
            <w:tcBorders>
              <w:top w:val="nil"/>
              <w:left w:val="nil"/>
              <w:bottom w:val="nil"/>
              <w:right w:val="nil"/>
            </w:tcBorders>
            <w:shd w:val="clear" w:color="auto" w:fill="auto"/>
          </w:tcPr>
          <w:p w:rsidR="006C4708" w:rsidRPr="00166FC0" w:rsidRDefault="006C4708" w:rsidP="005C2A07">
            <w:pPr>
              <w:pStyle w:val="Tabletext"/>
              <w:spacing w:before="120"/>
            </w:pP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r w:rsidRPr="00166FC0">
              <w:t>Bachelor and above</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0.77</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4.475</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0.749</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1.094</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(0.27)</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(1.12)</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(0.35)</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(0.42)</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r w:rsidRPr="00166FC0">
              <w:t>VET</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0.623</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-0.729</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1.23</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1.638</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(0.50)</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(-0.51)</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(1.14)</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(1.33)</w:t>
            </w:r>
          </w:p>
        </w:tc>
      </w:tr>
      <w:tr w:rsidR="007B0B42"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085113" w:rsidP="006C4708">
            <w:pPr>
              <w:pStyle w:val="Tabletext"/>
              <w:rPr>
                <w:i/>
                <w:iCs/>
                <w:lang w:val="en-GB"/>
              </w:rPr>
            </w:pPr>
            <w:r>
              <w:rPr>
                <w:i/>
                <w:iCs/>
                <w:lang w:val="en-GB"/>
              </w:rPr>
              <w:t>R-s</w:t>
            </w:r>
            <w:r w:rsidRPr="00B07B55">
              <w:rPr>
                <w:i/>
                <w:iCs/>
                <w:lang w:val="en-GB"/>
              </w:rPr>
              <w:t>quared</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0.036</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0.038</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0.035</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tabs>
                <w:tab w:val="decimal" w:pos="454"/>
              </w:tabs>
              <w:rPr>
                <w:i/>
                <w:iCs/>
                <w:lang w:val="en-GB"/>
              </w:rPr>
            </w:pPr>
            <w:r w:rsidRPr="00B07B55">
              <w:rPr>
                <w:i/>
                <w:iCs/>
                <w:lang w:val="en-GB"/>
              </w:rPr>
              <w:t>0.035</w:t>
            </w:r>
          </w:p>
        </w:tc>
      </w:tr>
      <w:tr w:rsidR="007B0B42"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rPr>
                <w:i/>
                <w:iCs/>
                <w:lang w:val="en-GB"/>
              </w:rPr>
            </w:pPr>
            <w:r w:rsidRPr="00B07B55">
              <w:rPr>
                <w:i/>
                <w:iCs/>
                <w:lang w:val="en-GB"/>
              </w:rPr>
              <w:t>O</w:t>
            </w:r>
            <w:r>
              <w:rPr>
                <w:i/>
                <w:iCs/>
                <w:lang w:val="en-GB"/>
              </w:rPr>
              <w:t>bservations</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1533</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1533</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1295</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1295</w:t>
            </w:r>
          </w:p>
        </w:tc>
      </w:tr>
      <w:tr w:rsidR="005C2A07" w:rsidRPr="00B07B55" w:rsidTr="005C2A07">
        <w:trPr>
          <w:cantSplit/>
        </w:trPr>
        <w:tc>
          <w:tcPr>
            <w:tcW w:w="8789" w:type="dxa"/>
            <w:gridSpan w:val="5"/>
            <w:tcBorders>
              <w:top w:val="nil"/>
              <w:left w:val="nil"/>
              <w:bottom w:val="nil"/>
              <w:right w:val="nil"/>
            </w:tcBorders>
            <w:shd w:val="clear" w:color="auto" w:fill="auto"/>
            <w:noWrap/>
            <w:tcMar>
              <w:top w:w="17" w:type="dxa"/>
              <w:left w:w="17" w:type="dxa"/>
              <w:bottom w:w="0" w:type="dxa"/>
              <w:right w:w="17" w:type="dxa"/>
            </w:tcMar>
            <w:hideMark/>
          </w:tcPr>
          <w:p w:rsidR="005C2A07" w:rsidRPr="00166FC0" w:rsidRDefault="005C2A07" w:rsidP="005C2A07">
            <w:pPr>
              <w:pStyle w:val="Tabletext"/>
              <w:spacing w:before="120"/>
            </w:pPr>
            <w:r w:rsidRPr="006C4708">
              <w:rPr>
                <w:b/>
                <w:lang w:val="en-GB"/>
              </w:rPr>
              <w:t>Probability of employment in wave 9 if employed in wave 1</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r w:rsidRPr="00166FC0">
              <w:t>Bachelor and above</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0.056***</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0.0408</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0.004</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-0.0084</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(3.43)</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(1.62)</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(0.10)</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(-0.12)</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r w:rsidRPr="00166FC0">
              <w:t>VET</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0.0206</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0.004</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0.0141</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0.0108</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(1.16)</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(0.16)</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(0.62)</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(0.41)</w:t>
            </w:r>
          </w:p>
        </w:tc>
      </w:tr>
      <w:tr w:rsidR="007B0B42"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rPr>
                <w:i/>
                <w:iCs/>
                <w:lang w:val="en-GB"/>
              </w:rPr>
            </w:pPr>
            <w:r w:rsidRPr="00B07B55">
              <w:rPr>
                <w:i/>
                <w:iCs/>
                <w:lang w:val="en-GB"/>
              </w:rPr>
              <w:t>Observations</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1733</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1733</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1593</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1593</w:t>
            </w:r>
          </w:p>
        </w:tc>
      </w:tr>
      <w:tr w:rsidR="005C2A07" w:rsidRPr="00B07B55" w:rsidTr="005C2A07">
        <w:trPr>
          <w:cantSplit/>
        </w:trPr>
        <w:tc>
          <w:tcPr>
            <w:tcW w:w="8789" w:type="dxa"/>
            <w:gridSpan w:val="5"/>
            <w:tcBorders>
              <w:top w:val="nil"/>
              <w:left w:val="nil"/>
              <w:bottom w:val="nil"/>
              <w:right w:val="nil"/>
            </w:tcBorders>
            <w:shd w:val="clear" w:color="auto" w:fill="auto"/>
            <w:noWrap/>
            <w:tcMar>
              <w:top w:w="17" w:type="dxa"/>
              <w:left w:w="17" w:type="dxa"/>
              <w:bottom w:w="0" w:type="dxa"/>
              <w:right w:w="17" w:type="dxa"/>
            </w:tcMar>
            <w:hideMark/>
          </w:tcPr>
          <w:p w:rsidR="005C2A07" w:rsidRPr="00166FC0" w:rsidRDefault="005C2A07" w:rsidP="005C2A07">
            <w:pPr>
              <w:pStyle w:val="Tabletext"/>
              <w:spacing w:before="120"/>
            </w:pPr>
            <w:r w:rsidRPr="006C4708">
              <w:rPr>
                <w:b/>
                <w:lang w:val="en-GB"/>
              </w:rPr>
              <w:t>Probability of employment in wave 9 if not employed in wave 1</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r w:rsidRPr="00166FC0">
              <w:t>Bachelor and above</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-0.0263</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rPr>
                <w:szCs w:val="22"/>
              </w:rPr>
            </w:pPr>
            <w:r w:rsidRPr="00166FC0">
              <w:rPr>
                <w:szCs w:val="22"/>
              </w:rPr>
              <w:t>-</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-0.119</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-0.0632</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(-0.10)</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rPr>
                <w:szCs w:val="22"/>
              </w:rPr>
            </w:pPr>
            <w:r w:rsidRPr="00166FC0">
              <w:rPr>
                <w:szCs w:val="22"/>
              </w:rPr>
              <w:t>-</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(-1.33)</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(-0.39)</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r w:rsidRPr="00166FC0">
              <w:t>VET</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0.129</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0.246**</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0.329***</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0.310***</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(1.34)</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(2.55)</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(6.39)</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(5.09)</w:t>
            </w:r>
          </w:p>
        </w:tc>
      </w:tr>
      <w:tr w:rsidR="007B0B42"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rPr>
                <w:i/>
                <w:iCs/>
                <w:lang w:val="en-GB"/>
              </w:rPr>
            </w:pPr>
            <w:r w:rsidRPr="00B07B55">
              <w:rPr>
                <w:i/>
                <w:iCs/>
                <w:lang w:val="en-GB"/>
              </w:rPr>
              <w:t>Observations</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246</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245</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717</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717</w:t>
            </w:r>
          </w:p>
        </w:tc>
      </w:tr>
      <w:tr w:rsidR="005C2A07" w:rsidRPr="00B07B55" w:rsidTr="005C2A07">
        <w:trPr>
          <w:cantSplit/>
        </w:trPr>
        <w:tc>
          <w:tcPr>
            <w:tcW w:w="8789" w:type="dxa"/>
            <w:gridSpan w:val="5"/>
            <w:tcBorders>
              <w:top w:val="nil"/>
              <w:left w:val="nil"/>
              <w:bottom w:val="nil"/>
              <w:right w:val="nil"/>
            </w:tcBorders>
            <w:shd w:val="clear" w:color="auto" w:fill="auto"/>
            <w:noWrap/>
            <w:tcMar>
              <w:top w:w="17" w:type="dxa"/>
              <w:left w:w="17" w:type="dxa"/>
              <w:bottom w:w="0" w:type="dxa"/>
              <w:right w:w="17" w:type="dxa"/>
            </w:tcMar>
            <w:hideMark/>
          </w:tcPr>
          <w:p w:rsidR="005C2A07" w:rsidRPr="00166FC0" w:rsidRDefault="005C2A07" w:rsidP="005C2A07">
            <w:pPr>
              <w:pStyle w:val="Tabletext"/>
              <w:spacing w:before="120"/>
            </w:pPr>
            <w:r w:rsidRPr="006C4708">
              <w:rPr>
                <w:b/>
                <w:lang w:val="en-GB"/>
              </w:rPr>
              <w:t>Probability of permanent employment in wave 9 if in permanent employment in wave 1</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r w:rsidRPr="00166FC0">
              <w:t>Bachelor and above</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-0.0187</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0.0158</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0.0915***</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0.0989**</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(-0.32)</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(0.25)</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(2.72)</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(2.28)</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r w:rsidRPr="00166FC0">
              <w:t>VET</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-0.0676*</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-0.0637</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-0.0586</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-0.0331</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(-1.78)</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(-1.51)</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(-1.58)</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(-0.79)</w:t>
            </w:r>
          </w:p>
        </w:tc>
      </w:tr>
      <w:tr w:rsidR="007B0B42" w:rsidRPr="00B07B55"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rPr>
                <w:i/>
                <w:iCs/>
                <w:lang w:val="en-GB"/>
              </w:rPr>
            </w:pPr>
            <w:r w:rsidRPr="00B07B55">
              <w:rPr>
                <w:i/>
                <w:iCs/>
                <w:lang w:val="en-GB"/>
              </w:rPr>
              <w:t>Observations</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889</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889</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732</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732</w:t>
            </w:r>
          </w:p>
        </w:tc>
      </w:tr>
      <w:tr w:rsidR="005C2A07" w:rsidRPr="00B07B55" w:rsidTr="005C2A07">
        <w:trPr>
          <w:cantSplit/>
        </w:trPr>
        <w:tc>
          <w:tcPr>
            <w:tcW w:w="8789" w:type="dxa"/>
            <w:gridSpan w:val="5"/>
            <w:tcBorders>
              <w:top w:val="nil"/>
              <w:left w:val="nil"/>
              <w:bottom w:val="nil"/>
              <w:right w:val="nil"/>
            </w:tcBorders>
            <w:shd w:val="clear" w:color="auto" w:fill="auto"/>
            <w:noWrap/>
            <w:tcMar>
              <w:top w:w="17" w:type="dxa"/>
              <w:left w:w="17" w:type="dxa"/>
              <w:bottom w:w="0" w:type="dxa"/>
              <w:right w:w="17" w:type="dxa"/>
            </w:tcMar>
            <w:hideMark/>
          </w:tcPr>
          <w:p w:rsidR="005C2A07" w:rsidRPr="00166FC0" w:rsidRDefault="005C2A07" w:rsidP="005C2A07">
            <w:pPr>
              <w:pStyle w:val="Tabletext"/>
              <w:spacing w:before="120"/>
            </w:pPr>
            <w:r w:rsidRPr="006C4708">
              <w:rPr>
                <w:b/>
                <w:lang w:val="en-GB"/>
              </w:rPr>
              <w:t>Probability of permanent employment in wave 9 if not in permanent employment in wave 1</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r w:rsidRPr="00166FC0">
              <w:t>Bachelor and above</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0.0522</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0.138</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0.0335</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-0.0517</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(0.30)</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(0.58)</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(0.30)</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(-0.40)</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pPr>
            <w:r w:rsidRPr="00166FC0">
              <w:t>VET</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0.0702</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-0.0428</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-0.0425</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-0.0352</w:t>
            </w:r>
          </w:p>
        </w:tc>
      </w:tr>
      <w:tr w:rsidR="007B0B42" w:rsidRPr="00166FC0" w:rsidTr="00166FC0">
        <w:trPr>
          <w:cantSplit/>
        </w:trPr>
        <w:tc>
          <w:tcPr>
            <w:tcW w:w="4128"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166FC0">
            <w:pPr>
              <w:pStyle w:val="Tabletext"/>
              <w:rPr>
                <w:szCs w:val="22"/>
              </w:rPr>
            </w:pP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(0.87)</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(-0.45)</w:t>
            </w:r>
          </w:p>
        </w:tc>
        <w:tc>
          <w:tcPr>
            <w:tcW w:w="1165"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(-0.62)</w:t>
            </w:r>
          </w:p>
        </w:tc>
        <w:tc>
          <w:tcPr>
            <w:tcW w:w="1166" w:type="dxa"/>
            <w:tcBorders>
              <w:top w:val="nil"/>
              <w:left w:val="nil"/>
              <w:bottom w:val="nil"/>
              <w:right w:val="nil"/>
            </w:tcBorders>
            <w:shd w:val="clear" w:color="auto" w:fill="auto"/>
            <w:noWrap/>
            <w:tcMar>
              <w:top w:w="17" w:type="dxa"/>
              <w:left w:w="17" w:type="dxa"/>
              <w:bottom w:w="0" w:type="dxa"/>
              <w:right w:w="17" w:type="dxa"/>
            </w:tcMar>
            <w:hideMark/>
          </w:tcPr>
          <w:p w:rsidR="007B0B42" w:rsidRPr="00166FC0" w:rsidRDefault="007B0B42" w:rsidP="005C2A07">
            <w:pPr>
              <w:pStyle w:val="Tabletext"/>
              <w:tabs>
                <w:tab w:val="decimal" w:pos="454"/>
              </w:tabs>
            </w:pPr>
            <w:r w:rsidRPr="00166FC0">
              <w:t>(-0.46)</w:t>
            </w:r>
          </w:p>
        </w:tc>
      </w:tr>
      <w:tr w:rsidR="007B0B42" w:rsidRPr="00B07B55" w:rsidTr="00166FC0">
        <w:trPr>
          <w:cantSplit/>
        </w:trPr>
        <w:tc>
          <w:tcPr>
            <w:tcW w:w="4128" w:type="dxa"/>
            <w:tcBorders>
              <w:top w:val="nil"/>
              <w:left w:val="nil"/>
              <w:bottom w:val="single" w:sz="8" w:space="0" w:color="auto"/>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rPr>
                <w:i/>
                <w:iCs/>
                <w:lang w:val="en-GB"/>
              </w:rPr>
            </w:pPr>
            <w:r w:rsidRPr="00B07B55">
              <w:rPr>
                <w:i/>
                <w:iCs/>
                <w:lang w:val="en-GB"/>
              </w:rPr>
              <w:t>Observations</w:t>
            </w:r>
          </w:p>
        </w:tc>
        <w:tc>
          <w:tcPr>
            <w:tcW w:w="1165" w:type="dxa"/>
            <w:tcBorders>
              <w:top w:val="nil"/>
              <w:left w:val="nil"/>
              <w:bottom w:val="single" w:sz="8" w:space="0" w:color="auto"/>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275</w:t>
            </w:r>
          </w:p>
        </w:tc>
        <w:tc>
          <w:tcPr>
            <w:tcW w:w="1165" w:type="dxa"/>
            <w:tcBorders>
              <w:top w:val="nil"/>
              <w:left w:val="nil"/>
              <w:bottom w:val="single" w:sz="8" w:space="0" w:color="auto"/>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275</w:t>
            </w:r>
          </w:p>
        </w:tc>
        <w:tc>
          <w:tcPr>
            <w:tcW w:w="1165" w:type="dxa"/>
            <w:tcBorders>
              <w:top w:val="nil"/>
              <w:left w:val="nil"/>
              <w:bottom w:val="single" w:sz="8" w:space="0" w:color="auto"/>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358</w:t>
            </w:r>
          </w:p>
        </w:tc>
        <w:tc>
          <w:tcPr>
            <w:tcW w:w="1166" w:type="dxa"/>
            <w:tcBorders>
              <w:top w:val="nil"/>
              <w:left w:val="nil"/>
              <w:bottom w:val="single" w:sz="8" w:space="0" w:color="auto"/>
              <w:right w:val="nil"/>
            </w:tcBorders>
            <w:shd w:val="clear" w:color="auto" w:fill="auto"/>
            <w:noWrap/>
            <w:tcMar>
              <w:top w:w="17" w:type="dxa"/>
              <w:left w:w="17" w:type="dxa"/>
              <w:bottom w:w="0" w:type="dxa"/>
              <w:right w:w="17" w:type="dxa"/>
            </w:tcMar>
            <w:hideMark/>
          </w:tcPr>
          <w:p w:rsidR="007B0B42" w:rsidRPr="00B07B55" w:rsidRDefault="007B0B42" w:rsidP="005C2A07">
            <w:pPr>
              <w:pStyle w:val="Tabletext"/>
              <w:jc w:val="center"/>
              <w:rPr>
                <w:i/>
                <w:iCs/>
                <w:lang w:val="en-GB"/>
              </w:rPr>
            </w:pPr>
            <w:r w:rsidRPr="00B07B55">
              <w:rPr>
                <w:i/>
                <w:iCs/>
                <w:lang w:val="en-GB"/>
              </w:rPr>
              <w:t>358</w:t>
            </w:r>
          </w:p>
        </w:tc>
      </w:tr>
    </w:tbl>
    <w:p w:rsidR="008C5967" w:rsidRPr="00407EF9" w:rsidRDefault="00781536" w:rsidP="00407EF9">
      <w:pPr>
        <w:pStyle w:val="Source"/>
      </w:pPr>
      <w:r w:rsidRPr="00B07B55">
        <w:rPr>
          <w:lang w:val="en-GB"/>
        </w:rPr>
        <w:t>Not</w:t>
      </w:r>
      <w:r w:rsidR="00407EF9">
        <w:rPr>
          <w:lang w:val="en-GB"/>
        </w:rPr>
        <w:t>es:</w:t>
      </w:r>
      <w:r w:rsidR="00407EF9">
        <w:rPr>
          <w:lang w:val="en-GB"/>
        </w:rPr>
        <w:tab/>
      </w:r>
      <w:r w:rsidRPr="00407EF9">
        <w:t>Annual individual disposable inc</w:t>
      </w:r>
      <w:r w:rsidR="001F5956" w:rsidRPr="00407EF9">
        <w:t xml:space="preserve">ome (in thousands of dollars); </w:t>
      </w:r>
      <w:r w:rsidR="00AC0556" w:rsidRPr="00407EF9">
        <w:t xml:space="preserve">job </w:t>
      </w:r>
      <w:r w:rsidR="001F5956" w:rsidRPr="00407EF9">
        <w:t xml:space="preserve">satisfaction: 0–10 scale; </w:t>
      </w:r>
      <w:r w:rsidR="00AC0556" w:rsidRPr="00407EF9">
        <w:t xml:space="preserve">skills </w:t>
      </w:r>
      <w:r w:rsidR="00FD013F" w:rsidRPr="00407EF9">
        <w:t>utilisation: 1–</w:t>
      </w:r>
      <w:r w:rsidRPr="00407EF9">
        <w:t>7</w:t>
      </w:r>
      <w:r w:rsidR="00407EF9">
        <w:br/>
      </w:r>
      <w:r w:rsidR="00FD013F" w:rsidRPr="00407EF9">
        <w:t>t-statistics into brackets; s</w:t>
      </w:r>
      <w:r w:rsidR="00397475" w:rsidRPr="00407EF9">
        <w:t>ignificance levels: * 10%, ** 5%, *** 1%.</w:t>
      </w:r>
      <w:r w:rsidR="001C73D5" w:rsidRPr="00407EF9">
        <w:rPr>
          <w:szCs w:val="16"/>
        </w:rPr>
        <w:t xml:space="preserve"> </w:t>
      </w:r>
      <w:r w:rsidRPr="00407EF9">
        <w:t xml:space="preserve"> </w:t>
      </w:r>
      <w:r w:rsidR="00407EF9">
        <w:br/>
      </w:r>
      <w:r w:rsidR="008C5967" w:rsidRPr="00407EF9">
        <w:t>Coefficients estimated using adjusted weights. t-statistics based on White standard errors.</w:t>
      </w:r>
    </w:p>
    <w:p w:rsidR="00781536" w:rsidRPr="00B07B55" w:rsidRDefault="00FD013F" w:rsidP="00407EF9">
      <w:pPr>
        <w:pStyle w:val="Source"/>
        <w:rPr>
          <w:lang w:val="en-GB"/>
        </w:rPr>
      </w:pPr>
      <w:r w:rsidRPr="00407EF9">
        <w:t>Source:</w:t>
      </w:r>
      <w:r w:rsidRPr="00407EF9">
        <w:tab/>
        <w:t>HILDA</w:t>
      </w:r>
      <w:r>
        <w:rPr>
          <w:lang w:val="en-GB"/>
        </w:rPr>
        <w:t xml:space="preserve"> d</w:t>
      </w:r>
      <w:r w:rsidR="00781536" w:rsidRPr="00B07B55">
        <w:rPr>
          <w:lang w:val="en-GB"/>
        </w:rPr>
        <w:t>ata</w:t>
      </w:r>
      <w:r>
        <w:rPr>
          <w:lang w:val="en-GB"/>
        </w:rPr>
        <w:t>.</w:t>
      </w:r>
    </w:p>
    <w:p w:rsidR="002E375F" w:rsidRDefault="002E375F" w:rsidP="00407EF9">
      <w:pPr>
        <w:pStyle w:val="Textmorebefore"/>
        <w:ind w:right="-143"/>
      </w:pPr>
      <w:r w:rsidRPr="00B07B55">
        <w:t xml:space="preserve">For females, the effects of </w:t>
      </w:r>
      <w:r w:rsidR="007A4E37">
        <w:t>mature-age</w:t>
      </w:r>
      <w:r w:rsidRPr="00B07B55">
        <w:t xml:space="preserve"> education on the outcomes under investigation are quite limited and appear to be mostly related to the individuals’ employment status. The estimates suggest a positive link between education at VET level and a change in the level of satisfaction with employment opportunities.</w:t>
      </w:r>
      <w:r w:rsidR="00B07B55" w:rsidRPr="00260CE4">
        <w:rPr>
          <w:vertAlign w:val="superscript"/>
        </w:rPr>
        <w:footnoteReference w:id="12"/>
      </w:r>
      <w:r w:rsidRPr="00B07B55">
        <w:t xml:space="preserve"> The strongest effects can be detected with respect to the probability of employment for previously non-employed women. By enrolling in VET, women can increase their chances of finding a</w:t>
      </w:r>
      <w:r w:rsidR="00407EF9">
        <w:t> </w:t>
      </w:r>
      <w:r w:rsidRPr="00B07B55">
        <w:t>job by 3</w:t>
      </w:r>
      <w:r w:rsidR="00C862CC">
        <w:t>3</w:t>
      </w:r>
      <w:r w:rsidRPr="00B07B55">
        <w:t xml:space="preserve"> percentage points</w:t>
      </w:r>
      <w:r w:rsidR="001F5956">
        <w:t>,</w:t>
      </w:r>
      <w:r w:rsidRPr="00B07B55">
        <w:t xml:space="preserve"> and the completion of the course leads to a very similar result. Enrolling </w:t>
      </w:r>
      <w:r w:rsidR="002D132B" w:rsidRPr="00B07B55">
        <w:t xml:space="preserve">in </w:t>
      </w:r>
      <w:r w:rsidRPr="00B07B55">
        <w:t xml:space="preserve">a bachelor degree </w:t>
      </w:r>
      <w:r w:rsidR="002D132B" w:rsidRPr="00B07B55">
        <w:t xml:space="preserve">or higher </w:t>
      </w:r>
      <w:r w:rsidRPr="00B07B55">
        <w:t xml:space="preserve">increases the </w:t>
      </w:r>
      <w:r w:rsidR="00081F56">
        <w:t>probability</w:t>
      </w:r>
      <w:r w:rsidR="00081F56" w:rsidRPr="00B07B55">
        <w:t xml:space="preserve"> </w:t>
      </w:r>
      <w:r w:rsidRPr="00B07B55">
        <w:t xml:space="preserve">of holding a permanent job by almost ten percentage points for those women </w:t>
      </w:r>
      <w:r w:rsidR="00FD013F">
        <w:t>who</w:t>
      </w:r>
      <w:r w:rsidRPr="00B07B55">
        <w:t xml:space="preserve"> already worked permanently in wave 1 and the same effect can be found with respect to the completion of a bachelor degree</w:t>
      </w:r>
      <w:r w:rsidR="002D132B" w:rsidRPr="00B07B55">
        <w:t xml:space="preserve"> or higher</w:t>
      </w:r>
      <w:r w:rsidRPr="00B07B55">
        <w:t>.</w:t>
      </w:r>
      <w:r w:rsidR="0029627E" w:rsidRPr="00B07B55">
        <w:t xml:space="preserve"> </w:t>
      </w:r>
    </w:p>
    <w:p w:rsidR="00B27EDE" w:rsidRDefault="005E4144" w:rsidP="00495869">
      <w:pPr>
        <w:pStyle w:val="Text"/>
        <w:ind w:right="0"/>
        <w:rPr>
          <w:lang w:val="en-GB"/>
        </w:rPr>
      </w:pPr>
      <w:r>
        <w:rPr>
          <w:lang w:val="en-GB"/>
        </w:rPr>
        <w:t>For both males and females</w:t>
      </w:r>
      <w:r w:rsidR="00470D65">
        <w:rPr>
          <w:lang w:val="en-GB"/>
        </w:rPr>
        <w:t>,</w:t>
      </w:r>
      <w:r>
        <w:rPr>
          <w:lang w:val="en-GB"/>
        </w:rPr>
        <w:t xml:space="preserve"> </w:t>
      </w:r>
      <w:r w:rsidR="005A558D">
        <w:rPr>
          <w:lang w:val="en-GB"/>
        </w:rPr>
        <w:t xml:space="preserve">the </w:t>
      </w:r>
      <w:r w:rsidR="00470D65">
        <w:rPr>
          <w:lang w:val="en-GB"/>
        </w:rPr>
        <w:t xml:space="preserve">estimated </w:t>
      </w:r>
      <w:r w:rsidR="005A558D">
        <w:rPr>
          <w:lang w:val="en-GB"/>
        </w:rPr>
        <w:t>relation</w:t>
      </w:r>
      <w:r w:rsidR="00955593">
        <w:rPr>
          <w:lang w:val="en-GB"/>
        </w:rPr>
        <w:t>s</w:t>
      </w:r>
      <w:r w:rsidR="005A558D">
        <w:rPr>
          <w:lang w:val="en-GB"/>
        </w:rPr>
        <w:t xml:space="preserve"> between </w:t>
      </w:r>
      <w:r w:rsidR="007A4E37">
        <w:rPr>
          <w:lang w:val="en-GB"/>
        </w:rPr>
        <w:t>mature-age</w:t>
      </w:r>
      <w:r w:rsidR="005A558D">
        <w:rPr>
          <w:lang w:val="en-GB"/>
        </w:rPr>
        <w:t xml:space="preserve"> education and </w:t>
      </w:r>
      <w:r>
        <w:rPr>
          <w:lang w:val="en-GB"/>
        </w:rPr>
        <w:t xml:space="preserve">several outcomes </w:t>
      </w:r>
      <w:r w:rsidR="00470D65">
        <w:rPr>
          <w:lang w:val="en-GB"/>
        </w:rPr>
        <w:t>are small and</w:t>
      </w:r>
      <w:r w:rsidR="005A558D">
        <w:rPr>
          <w:lang w:val="en-GB"/>
        </w:rPr>
        <w:t xml:space="preserve"> not statistically significant. This is the case, for example, </w:t>
      </w:r>
      <w:r w:rsidR="00470D65">
        <w:rPr>
          <w:lang w:val="en-GB"/>
        </w:rPr>
        <w:t>for</w:t>
      </w:r>
      <w:r w:rsidR="005A558D">
        <w:rPr>
          <w:lang w:val="en-GB"/>
        </w:rPr>
        <w:t xml:space="preserve"> occupational status </w:t>
      </w:r>
      <w:r w:rsidR="00470D65">
        <w:rPr>
          <w:lang w:val="en-GB"/>
        </w:rPr>
        <w:t>and</w:t>
      </w:r>
      <w:r w:rsidR="005A558D">
        <w:rPr>
          <w:lang w:val="en-GB"/>
        </w:rPr>
        <w:t xml:space="preserve"> levels of life satisfaction. </w:t>
      </w:r>
      <w:r w:rsidR="000228E4">
        <w:rPr>
          <w:lang w:val="en-GB"/>
        </w:rPr>
        <w:t>These results suggest that</w:t>
      </w:r>
      <w:r w:rsidR="00992B3C">
        <w:rPr>
          <w:lang w:val="en-GB"/>
        </w:rPr>
        <w:t>,</w:t>
      </w:r>
      <w:r w:rsidR="000228E4">
        <w:rPr>
          <w:lang w:val="en-GB"/>
        </w:rPr>
        <w:t xml:space="preserve"> at least with respect to some outcomes</w:t>
      </w:r>
      <w:r w:rsidR="00470D65">
        <w:rPr>
          <w:lang w:val="en-GB"/>
        </w:rPr>
        <w:t>, and at least over the short time frame of the HILDA panel,</w:t>
      </w:r>
      <w:r w:rsidR="000228E4">
        <w:rPr>
          <w:lang w:val="en-GB"/>
        </w:rPr>
        <w:t xml:space="preserve"> the benefits from enrolling and completing education courses at mature age </w:t>
      </w:r>
      <w:r w:rsidR="00470D65">
        <w:rPr>
          <w:lang w:val="en-GB"/>
        </w:rPr>
        <w:t>are</w:t>
      </w:r>
      <w:r w:rsidR="000228E4">
        <w:rPr>
          <w:lang w:val="en-GB"/>
        </w:rPr>
        <w:t xml:space="preserve"> not </w:t>
      </w:r>
      <w:r w:rsidR="00470D65">
        <w:rPr>
          <w:lang w:val="en-GB"/>
        </w:rPr>
        <w:t>widespread</w:t>
      </w:r>
      <w:r w:rsidR="00596769">
        <w:rPr>
          <w:lang w:val="en-GB"/>
        </w:rPr>
        <w:t xml:space="preserve">. </w:t>
      </w:r>
    </w:p>
    <w:p w:rsidR="006404FC" w:rsidRDefault="00596769" w:rsidP="00495869">
      <w:pPr>
        <w:pStyle w:val="Text"/>
        <w:ind w:right="0"/>
        <w:rPr>
          <w:lang w:val="en-GB"/>
        </w:rPr>
      </w:pPr>
      <w:r>
        <w:rPr>
          <w:lang w:val="en-GB"/>
        </w:rPr>
        <w:t xml:space="preserve">The effect </w:t>
      </w:r>
      <w:r w:rsidR="002B37A0">
        <w:rPr>
          <w:lang w:val="en-GB"/>
        </w:rPr>
        <w:t xml:space="preserve">of </w:t>
      </w:r>
      <w:r w:rsidR="007A4E37">
        <w:rPr>
          <w:lang w:val="en-GB"/>
        </w:rPr>
        <w:t>mature-age</w:t>
      </w:r>
      <w:r w:rsidR="002B37A0">
        <w:rPr>
          <w:lang w:val="en-GB"/>
        </w:rPr>
        <w:t xml:space="preserve"> education on the set of </w:t>
      </w:r>
      <w:r w:rsidR="00B94E51">
        <w:rPr>
          <w:lang w:val="en-GB"/>
        </w:rPr>
        <w:t>outcomes included in our analysi</w:t>
      </w:r>
      <w:r w:rsidR="002B37A0">
        <w:rPr>
          <w:lang w:val="en-GB"/>
        </w:rPr>
        <w:t xml:space="preserve">s can also be </w:t>
      </w:r>
      <w:r w:rsidR="00470D65">
        <w:rPr>
          <w:lang w:val="en-GB"/>
        </w:rPr>
        <w:t>broken down by</w:t>
      </w:r>
      <w:r w:rsidR="002B37A0">
        <w:rPr>
          <w:lang w:val="en-GB"/>
        </w:rPr>
        <w:t xml:space="preserve"> the education </w:t>
      </w:r>
      <w:r w:rsidR="00B94E51">
        <w:rPr>
          <w:lang w:val="en-GB"/>
        </w:rPr>
        <w:t xml:space="preserve">qualifications already possessed </w:t>
      </w:r>
      <w:r w:rsidR="006404FC">
        <w:rPr>
          <w:lang w:val="en-GB"/>
        </w:rPr>
        <w:t xml:space="preserve">by individuals </w:t>
      </w:r>
      <w:r w:rsidR="00470D65">
        <w:rPr>
          <w:lang w:val="en-GB"/>
        </w:rPr>
        <w:t>prior to</w:t>
      </w:r>
      <w:r w:rsidR="00B94E51">
        <w:rPr>
          <w:lang w:val="en-GB"/>
        </w:rPr>
        <w:t xml:space="preserve"> enrolment in further education. </w:t>
      </w:r>
      <w:r w:rsidR="006404FC">
        <w:rPr>
          <w:lang w:val="en-GB"/>
        </w:rPr>
        <w:t>To construct this breakdown</w:t>
      </w:r>
      <w:r w:rsidR="00B94E51">
        <w:rPr>
          <w:lang w:val="en-GB"/>
        </w:rPr>
        <w:t xml:space="preserve">, we repeated the analysis </w:t>
      </w:r>
      <w:r w:rsidR="00FD013F">
        <w:rPr>
          <w:lang w:val="en-GB"/>
        </w:rPr>
        <w:t>of t</w:t>
      </w:r>
      <w:r w:rsidR="006404FC">
        <w:rPr>
          <w:lang w:val="en-GB"/>
        </w:rPr>
        <w:t xml:space="preserve">able 12 after </w:t>
      </w:r>
      <w:r w:rsidR="00B94E51">
        <w:rPr>
          <w:lang w:val="en-GB"/>
        </w:rPr>
        <w:t>interacting the</w:t>
      </w:r>
      <w:r w:rsidR="006404FC">
        <w:rPr>
          <w:lang w:val="en-GB"/>
        </w:rPr>
        <w:t xml:space="preserve"> </w:t>
      </w:r>
      <w:r w:rsidR="007A4E37">
        <w:rPr>
          <w:lang w:val="en-GB"/>
        </w:rPr>
        <w:t>mature-age</w:t>
      </w:r>
      <w:r w:rsidR="00B94E51">
        <w:rPr>
          <w:lang w:val="en-GB"/>
        </w:rPr>
        <w:t xml:space="preserve"> education </w:t>
      </w:r>
      <w:r w:rsidR="006404FC">
        <w:rPr>
          <w:lang w:val="en-GB"/>
        </w:rPr>
        <w:t>indicators</w:t>
      </w:r>
      <w:r w:rsidR="00B94E51">
        <w:rPr>
          <w:lang w:val="en-GB"/>
        </w:rPr>
        <w:t xml:space="preserve"> with indicat</w:t>
      </w:r>
      <w:r w:rsidR="006404FC">
        <w:rPr>
          <w:lang w:val="en-GB"/>
        </w:rPr>
        <w:t>ors of</w:t>
      </w:r>
      <w:r w:rsidR="00B94E51">
        <w:rPr>
          <w:lang w:val="en-GB"/>
        </w:rPr>
        <w:t xml:space="preserve"> whether the individual already possess</w:t>
      </w:r>
      <w:r w:rsidR="006404FC">
        <w:rPr>
          <w:lang w:val="en-GB"/>
        </w:rPr>
        <w:t>es</w:t>
      </w:r>
      <w:r w:rsidR="00B94E51">
        <w:rPr>
          <w:lang w:val="en-GB"/>
        </w:rPr>
        <w:t xml:space="preserve"> a qualification of the same level of the one </w:t>
      </w:r>
      <w:r w:rsidR="003223AE">
        <w:rPr>
          <w:lang w:val="en-GB"/>
        </w:rPr>
        <w:t xml:space="preserve">he or </w:t>
      </w:r>
      <w:r w:rsidR="00B94E51">
        <w:rPr>
          <w:lang w:val="en-GB"/>
        </w:rPr>
        <w:t>she</w:t>
      </w:r>
      <w:r w:rsidR="001F5956">
        <w:rPr>
          <w:lang w:val="en-GB"/>
        </w:rPr>
        <w:t xml:space="preserve"> </w:t>
      </w:r>
      <w:r w:rsidR="00B94E51">
        <w:rPr>
          <w:lang w:val="en-GB"/>
        </w:rPr>
        <w:t xml:space="preserve">is seeking. The results of </w:t>
      </w:r>
      <w:r w:rsidR="006404FC">
        <w:rPr>
          <w:lang w:val="en-GB"/>
        </w:rPr>
        <w:t>this analysis</w:t>
      </w:r>
      <w:r w:rsidR="00FD013F">
        <w:rPr>
          <w:lang w:val="en-GB"/>
        </w:rPr>
        <w:t xml:space="preserve"> are reported in table B1 in a</w:t>
      </w:r>
      <w:r w:rsidR="00B94E51">
        <w:rPr>
          <w:lang w:val="en-GB"/>
        </w:rPr>
        <w:t xml:space="preserve">ppendix B. </w:t>
      </w:r>
    </w:p>
    <w:p w:rsidR="000E7729" w:rsidRDefault="00B94E51" w:rsidP="00495869">
      <w:pPr>
        <w:pStyle w:val="Text"/>
        <w:ind w:right="0"/>
        <w:rPr>
          <w:lang w:val="en-GB"/>
        </w:rPr>
      </w:pPr>
      <w:r>
        <w:rPr>
          <w:lang w:val="en-GB"/>
        </w:rPr>
        <w:t xml:space="preserve">For </w:t>
      </w:r>
      <w:r w:rsidR="006404FC">
        <w:rPr>
          <w:lang w:val="en-GB"/>
        </w:rPr>
        <w:t>males</w:t>
      </w:r>
      <w:r>
        <w:rPr>
          <w:lang w:val="en-GB"/>
        </w:rPr>
        <w:t>, most of the statistically s</w:t>
      </w:r>
      <w:r w:rsidR="00FD013F">
        <w:rPr>
          <w:lang w:val="en-GB"/>
        </w:rPr>
        <w:t>ignificant results outlined in t</w:t>
      </w:r>
      <w:r>
        <w:rPr>
          <w:lang w:val="en-GB"/>
        </w:rPr>
        <w:t xml:space="preserve">able 12 appear to be driven by the effect of education on individuals </w:t>
      </w:r>
      <w:r w:rsidR="00FD013F">
        <w:rPr>
          <w:lang w:val="en-GB"/>
        </w:rPr>
        <w:t>who</w:t>
      </w:r>
      <w:r>
        <w:rPr>
          <w:lang w:val="en-GB"/>
        </w:rPr>
        <w:t xml:space="preserve"> did not </w:t>
      </w:r>
      <w:r w:rsidR="006404FC">
        <w:rPr>
          <w:lang w:val="en-GB"/>
        </w:rPr>
        <w:t xml:space="preserve">already </w:t>
      </w:r>
      <w:r>
        <w:rPr>
          <w:lang w:val="en-GB"/>
        </w:rPr>
        <w:t xml:space="preserve">possess an equivalent qualification. </w:t>
      </w:r>
      <w:r w:rsidR="00BE2B5E">
        <w:rPr>
          <w:lang w:val="en-GB"/>
        </w:rPr>
        <w:t>The relations</w:t>
      </w:r>
      <w:r w:rsidR="001F5956">
        <w:rPr>
          <w:lang w:val="en-GB"/>
        </w:rPr>
        <w:t>hips</w:t>
      </w:r>
      <w:r w:rsidR="00BE2B5E">
        <w:rPr>
          <w:lang w:val="en-GB"/>
        </w:rPr>
        <w:t xml:space="preserve"> between </w:t>
      </w:r>
      <w:r>
        <w:rPr>
          <w:lang w:val="en-GB"/>
        </w:rPr>
        <w:t>change</w:t>
      </w:r>
      <w:r w:rsidR="00BE2B5E">
        <w:rPr>
          <w:lang w:val="en-GB"/>
        </w:rPr>
        <w:t>s</w:t>
      </w:r>
      <w:r>
        <w:rPr>
          <w:lang w:val="en-GB"/>
        </w:rPr>
        <w:t xml:space="preserve"> in job satisfaction, skill utilisation, occupational status </w:t>
      </w:r>
      <w:r w:rsidR="006404FC">
        <w:rPr>
          <w:lang w:val="en-GB"/>
        </w:rPr>
        <w:t xml:space="preserve">plus the probability of maintaining </w:t>
      </w:r>
      <w:r>
        <w:rPr>
          <w:lang w:val="en-GB"/>
        </w:rPr>
        <w:t xml:space="preserve">employment </w:t>
      </w:r>
      <w:r w:rsidR="006404FC">
        <w:rPr>
          <w:lang w:val="en-GB"/>
        </w:rPr>
        <w:t>with</w:t>
      </w:r>
      <w:r w:rsidR="00BE2B5E">
        <w:rPr>
          <w:lang w:val="en-GB"/>
        </w:rPr>
        <w:t xml:space="preserve"> participation in </w:t>
      </w:r>
      <w:r w:rsidR="007A4E37">
        <w:rPr>
          <w:lang w:val="en-GB"/>
        </w:rPr>
        <w:t>mature-age</w:t>
      </w:r>
      <w:r w:rsidR="00BE2B5E">
        <w:rPr>
          <w:lang w:val="en-GB"/>
        </w:rPr>
        <w:t xml:space="preserve"> education are particularly strong for those individuals </w:t>
      </w:r>
      <w:r w:rsidR="00FD013F">
        <w:rPr>
          <w:lang w:val="en-GB"/>
        </w:rPr>
        <w:t>who</w:t>
      </w:r>
      <w:r w:rsidR="00BE2B5E">
        <w:rPr>
          <w:lang w:val="en-GB"/>
        </w:rPr>
        <w:t xml:space="preserve"> did not hold a previous VET or bachelor qualification. </w:t>
      </w:r>
      <w:r w:rsidR="00F55DDE">
        <w:rPr>
          <w:lang w:val="en-GB"/>
        </w:rPr>
        <w:t xml:space="preserve">There </w:t>
      </w:r>
      <w:r w:rsidR="00F16577">
        <w:rPr>
          <w:lang w:val="en-GB"/>
        </w:rPr>
        <w:t xml:space="preserve">are </w:t>
      </w:r>
      <w:r w:rsidR="00F55DDE">
        <w:rPr>
          <w:lang w:val="en-GB"/>
        </w:rPr>
        <w:t xml:space="preserve">two exceptions: the results with respect to changes in the hourly wage and in weekly working hours appear to be mostly driven by the effects of education on those </w:t>
      </w:r>
      <w:r w:rsidR="00FD013F">
        <w:rPr>
          <w:lang w:val="en-GB"/>
        </w:rPr>
        <w:t>who</w:t>
      </w:r>
      <w:r w:rsidR="00F55DDE">
        <w:rPr>
          <w:lang w:val="en-GB"/>
        </w:rPr>
        <w:t xml:space="preserve"> already possess</w:t>
      </w:r>
      <w:r w:rsidR="006404FC">
        <w:rPr>
          <w:lang w:val="en-GB"/>
        </w:rPr>
        <w:t>ed</w:t>
      </w:r>
      <w:r w:rsidR="00F55DDE">
        <w:rPr>
          <w:lang w:val="en-GB"/>
        </w:rPr>
        <w:t xml:space="preserve"> a bachelor</w:t>
      </w:r>
      <w:r w:rsidR="006404FC">
        <w:rPr>
          <w:lang w:val="en-GB"/>
        </w:rPr>
        <w:t xml:space="preserve"> or above</w:t>
      </w:r>
      <w:r w:rsidR="00F55DDE">
        <w:rPr>
          <w:lang w:val="en-GB"/>
        </w:rPr>
        <w:t xml:space="preserve"> (for the wage</w:t>
      </w:r>
      <w:r w:rsidR="006404FC">
        <w:rPr>
          <w:lang w:val="en-GB"/>
        </w:rPr>
        <w:t xml:space="preserve"> rate</w:t>
      </w:r>
      <w:r w:rsidR="00F55DDE">
        <w:rPr>
          <w:lang w:val="en-GB"/>
        </w:rPr>
        <w:t>) or a VET (for working hours) qualification.</w:t>
      </w:r>
    </w:p>
    <w:p w:rsidR="00F55DDE" w:rsidRPr="00B07B55" w:rsidRDefault="00F55DDE" w:rsidP="00495869">
      <w:pPr>
        <w:pStyle w:val="Text"/>
        <w:ind w:right="0"/>
        <w:rPr>
          <w:lang w:val="en-GB"/>
        </w:rPr>
      </w:pPr>
      <w:r>
        <w:rPr>
          <w:lang w:val="en-GB"/>
        </w:rPr>
        <w:t xml:space="preserve">The picture is quite different for females. As already noted, the </w:t>
      </w:r>
      <w:r w:rsidR="00851760">
        <w:rPr>
          <w:lang w:val="en-GB"/>
        </w:rPr>
        <w:t>overall effect</w:t>
      </w:r>
      <w:r>
        <w:rPr>
          <w:lang w:val="en-GB"/>
        </w:rPr>
        <w:t xml:space="preserve"> of </w:t>
      </w:r>
      <w:r w:rsidR="007A4E37">
        <w:rPr>
          <w:lang w:val="en-GB"/>
        </w:rPr>
        <w:t>mature-age</w:t>
      </w:r>
      <w:r w:rsidR="00CC3717">
        <w:rPr>
          <w:lang w:val="en-GB"/>
        </w:rPr>
        <w:t xml:space="preserve"> </w:t>
      </w:r>
      <w:r>
        <w:rPr>
          <w:lang w:val="en-GB"/>
        </w:rPr>
        <w:t xml:space="preserve">education on outcomes is </w:t>
      </w:r>
      <w:r w:rsidR="00CC3717">
        <w:rPr>
          <w:lang w:val="en-GB"/>
        </w:rPr>
        <w:t>modest</w:t>
      </w:r>
      <w:r>
        <w:rPr>
          <w:lang w:val="en-GB"/>
        </w:rPr>
        <w:t xml:space="preserve"> and is mostly </w:t>
      </w:r>
      <w:r w:rsidR="00CC3717">
        <w:rPr>
          <w:lang w:val="en-GB"/>
        </w:rPr>
        <w:t>confined</w:t>
      </w:r>
      <w:r>
        <w:rPr>
          <w:lang w:val="en-GB"/>
        </w:rPr>
        <w:t xml:space="preserve"> to those </w:t>
      </w:r>
      <w:r w:rsidR="00CC3717">
        <w:rPr>
          <w:lang w:val="en-GB"/>
        </w:rPr>
        <w:t xml:space="preserve">females </w:t>
      </w:r>
      <w:r w:rsidR="00FD013F">
        <w:rPr>
          <w:lang w:val="en-GB"/>
        </w:rPr>
        <w:t>who</w:t>
      </w:r>
      <w:r>
        <w:rPr>
          <w:lang w:val="en-GB"/>
        </w:rPr>
        <w:t xml:space="preserve"> already </w:t>
      </w:r>
      <w:r w:rsidR="00CC3717">
        <w:rPr>
          <w:lang w:val="en-GB"/>
        </w:rPr>
        <w:t xml:space="preserve">held </w:t>
      </w:r>
      <w:r>
        <w:rPr>
          <w:lang w:val="en-GB"/>
        </w:rPr>
        <w:t>a qualification</w:t>
      </w:r>
      <w:r w:rsidR="00CC3717">
        <w:rPr>
          <w:lang w:val="en-GB"/>
        </w:rPr>
        <w:t xml:space="preserve"> at a similar level</w:t>
      </w:r>
      <w:r>
        <w:rPr>
          <w:lang w:val="en-GB"/>
        </w:rPr>
        <w:t>.</w:t>
      </w:r>
      <w:r w:rsidR="006B5294">
        <w:rPr>
          <w:lang w:val="en-GB"/>
        </w:rPr>
        <w:t xml:space="preserve"> </w:t>
      </w:r>
      <w:r w:rsidR="00CC3717">
        <w:rPr>
          <w:lang w:val="en-GB"/>
        </w:rPr>
        <w:t>In particular,</w:t>
      </w:r>
      <w:r w:rsidR="006B5294">
        <w:rPr>
          <w:lang w:val="en-GB"/>
        </w:rPr>
        <w:t xml:space="preserve"> </w:t>
      </w:r>
      <w:r w:rsidR="00CC3717">
        <w:rPr>
          <w:lang w:val="en-GB"/>
        </w:rPr>
        <w:t>increases</w:t>
      </w:r>
      <w:r w:rsidR="006B5294">
        <w:rPr>
          <w:lang w:val="en-GB"/>
        </w:rPr>
        <w:t xml:space="preserve"> in annual income and in satisfaction with employment opportunities</w:t>
      </w:r>
      <w:r w:rsidR="00CC3717">
        <w:rPr>
          <w:lang w:val="en-GB"/>
        </w:rPr>
        <w:t xml:space="preserve"> were confined to females enrolling in VET when already holding a VET qualification</w:t>
      </w:r>
      <w:r w:rsidR="006B5294">
        <w:rPr>
          <w:lang w:val="en-GB"/>
        </w:rPr>
        <w:t xml:space="preserve">. </w:t>
      </w:r>
      <w:r w:rsidR="00CC3717">
        <w:rPr>
          <w:lang w:val="en-GB"/>
        </w:rPr>
        <w:t>However, e</w:t>
      </w:r>
      <w:r w:rsidR="006B5294">
        <w:rPr>
          <w:lang w:val="en-GB"/>
        </w:rPr>
        <w:t>nrolling in and completing a VET course appear</w:t>
      </w:r>
      <w:r w:rsidR="00CC3717">
        <w:rPr>
          <w:lang w:val="en-GB"/>
        </w:rPr>
        <w:t>s</w:t>
      </w:r>
      <w:r w:rsidR="006B5294">
        <w:rPr>
          <w:lang w:val="en-GB"/>
        </w:rPr>
        <w:t xml:space="preserve"> to be beneficial for women in terms of their chances of employment in wave 9 if not previously employed independently of the qualification previously possessed. This is not the case with respect to the probability of permanent employment in wave 9 if already in permanent employment in wave 1. For this outcome, in fact, the effects of VET education are positive for women </w:t>
      </w:r>
      <w:r w:rsidR="00FD013F">
        <w:rPr>
          <w:lang w:val="en-GB"/>
        </w:rPr>
        <w:t>who</w:t>
      </w:r>
      <w:r w:rsidR="006B5294">
        <w:rPr>
          <w:lang w:val="en-GB"/>
        </w:rPr>
        <w:t xml:space="preserve"> already </w:t>
      </w:r>
      <w:r w:rsidR="00CC3717">
        <w:rPr>
          <w:lang w:val="en-GB"/>
        </w:rPr>
        <w:t>held a</w:t>
      </w:r>
      <w:r w:rsidR="006B5294">
        <w:rPr>
          <w:lang w:val="en-GB"/>
        </w:rPr>
        <w:t xml:space="preserve"> VET </w:t>
      </w:r>
      <w:r w:rsidR="00CC3717">
        <w:rPr>
          <w:lang w:val="en-GB"/>
        </w:rPr>
        <w:t>qualification</w:t>
      </w:r>
      <w:r w:rsidR="00851760">
        <w:rPr>
          <w:lang w:val="en-GB"/>
        </w:rPr>
        <w:t>,</w:t>
      </w:r>
      <w:r w:rsidR="00CC3717">
        <w:rPr>
          <w:lang w:val="en-GB"/>
        </w:rPr>
        <w:t xml:space="preserve"> </w:t>
      </w:r>
      <w:r w:rsidR="006B5294">
        <w:rPr>
          <w:lang w:val="en-GB"/>
        </w:rPr>
        <w:t xml:space="preserve">but </w:t>
      </w:r>
      <w:r w:rsidR="00CC3717">
        <w:rPr>
          <w:lang w:val="en-GB"/>
        </w:rPr>
        <w:t xml:space="preserve">appear to be </w:t>
      </w:r>
      <w:r w:rsidR="006B5294">
        <w:rPr>
          <w:lang w:val="en-GB"/>
        </w:rPr>
        <w:t xml:space="preserve">negative for those </w:t>
      </w:r>
      <w:r w:rsidR="00FD013F">
        <w:rPr>
          <w:lang w:val="en-GB"/>
        </w:rPr>
        <w:t>who</w:t>
      </w:r>
      <w:r w:rsidR="006B5294">
        <w:rPr>
          <w:lang w:val="en-GB"/>
        </w:rPr>
        <w:t xml:space="preserve"> </w:t>
      </w:r>
      <w:r w:rsidR="00CC3717">
        <w:rPr>
          <w:lang w:val="en-GB"/>
        </w:rPr>
        <w:t>did not</w:t>
      </w:r>
      <w:r w:rsidR="006B5294">
        <w:rPr>
          <w:lang w:val="en-GB"/>
        </w:rPr>
        <w:t xml:space="preserve">. </w:t>
      </w:r>
    </w:p>
    <w:p w:rsidR="0029627E" w:rsidRPr="00B07B55" w:rsidRDefault="0089104E" w:rsidP="00495869">
      <w:pPr>
        <w:pStyle w:val="Text"/>
        <w:ind w:right="0"/>
        <w:rPr>
          <w:lang w:val="en-GB"/>
        </w:rPr>
      </w:pPr>
      <w:r w:rsidRPr="00B07B55">
        <w:rPr>
          <w:lang w:val="en-GB"/>
        </w:rPr>
        <w:t xml:space="preserve">Previous research on the impacts of adult education on labour market outcomes </w:t>
      </w:r>
      <w:r w:rsidR="00A27C58" w:rsidRPr="00B07B55">
        <w:rPr>
          <w:lang w:val="en-GB"/>
        </w:rPr>
        <w:t xml:space="preserve">found that the impacts were </w:t>
      </w:r>
      <w:r w:rsidR="00470D65">
        <w:rPr>
          <w:lang w:val="en-GB"/>
        </w:rPr>
        <w:t xml:space="preserve">often </w:t>
      </w:r>
      <w:r w:rsidR="00A27C58" w:rsidRPr="00B07B55">
        <w:rPr>
          <w:lang w:val="en-GB"/>
        </w:rPr>
        <w:t xml:space="preserve">larger </w:t>
      </w:r>
      <w:r w:rsidR="00470D65">
        <w:rPr>
          <w:lang w:val="en-GB"/>
        </w:rPr>
        <w:t>for</w:t>
      </w:r>
      <w:r w:rsidR="00470D65" w:rsidRPr="00B07B55">
        <w:rPr>
          <w:lang w:val="en-GB"/>
        </w:rPr>
        <w:t xml:space="preserve"> </w:t>
      </w:r>
      <w:r w:rsidR="00A27C58" w:rsidRPr="00B07B55">
        <w:rPr>
          <w:lang w:val="en-GB"/>
        </w:rPr>
        <w:t xml:space="preserve">younger than older adults. </w:t>
      </w:r>
      <w:r w:rsidR="0029627E" w:rsidRPr="00B07B55">
        <w:rPr>
          <w:lang w:val="en-GB"/>
        </w:rPr>
        <w:t>Table B</w:t>
      </w:r>
      <w:r w:rsidR="0017611B">
        <w:rPr>
          <w:lang w:val="en-GB"/>
        </w:rPr>
        <w:t>2</w:t>
      </w:r>
      <w:r w:rsidR="00FE5611">
        <w:rPr>
          <w:lang w:val="en-GB"/>
        </w:rPr>
        <w:t xml:space="preserve"> in a</w:t>
      </w:r>
      <w:r w:rsidR="0029627E" w:rsidRPr="00B07B55">
        <w:rPr>
          <w:lang w:val="en-GB"/>
        </w:rPr>
        <w:t xml:space="preserve">ppendix B </w:t>
      </w:r>
      <w:r w:rsidR="00A27C58" w:rsidRPr="00B07B55">
        <w:rPr>
          <w:lang w:val="en-GB"/>
        </w:rPr>
        <w:t xml:space="preserve">provides estimates of the effect of </w:t>
      </w:r>
      <w:r w:rsidR="007A4E37">
        <w:rPr>
          <w:lang w:val="en-GB"/>
        </w:rPr>
        <w:t>mature-age</w:t>
      </w:r>
      <w:r w:rsidR="00A27C58" w:rsidRPr="00B07B55">
        <w:rPr>
          <w:lang w:val="en-GB"/>
        </w:rPr>
        <w:t xml:space="preserve"> education on outcomes just for older</w:t>
      </w:r>
      <w:r w:rsidR="0029627E" w:rsidRPr="00B07B55">
        <w:rPr>
          <w:lang w:val="en-GB"/>
        </w:rPr>
        <w:t xml:space="preserve"> individuals</w:t>
      </w:r>
      <w:r w:rsidR="00A27C58" w:rsidRPr="00B07B55">
        <w:rPr>
          <w:lang w:val="en-GB"/>
        </w:rPr>
        <w:t xml:space="preserve">, </w:t>
      </w:r>
      <w:r w:rsidR="00FE5611">
        <w:rPr>
          <w:lang w:val="en-GB"/>
        </w:rPr>
        <w:t>that is,</w:t>
      </w:r>
      <w:r w:rsidR="00A27C58" w:rsidRPr="00B07B55">
        <w:rPr>
          <w:lang w:val="en-GB"/>
        </w:rPr>
        <w:t xml:space="preserve"> those</w:t>
      </w:r>
      <w:r w:rsidR="0029627E" w:rsidRPr="00B07B55">
        <w:rPr>
          <w:lang w:val="en-GB"/>
        </w:rPr>
        <w:t xml:space="preserve"> aged 40 to 57</w:t>
      </w:r>
      <w:r w:rsidR="00A27C58" w:rsidRPr="00B07B55">
        <w:rPr>
          <w:lang w:val="en-GB"/>
        </w:rPr>
        <w:t xml:space="preserve"> in wave 1 of HILDA</w:t>
      </w:r>
      <w:r w:rsidR="0029627E" w:rsidRPr="00B07B55">
        <w:rPr>
          <w:lang w:val="en-GB"/>
        </w:rPr>
        <w:t xml:space="preserve">. </w:t>
      </w:r>
      <w:r w:rsidR="002C6A41" w:rsidRPr="00B07B55">
        <w:rPr>
          <w:lang w:val="en-GB"/>
        </w:rPr>
        <w:t xml:space="preserve">There is </w:t>
      </w:r>
      <w:r w:rsidR="00081F56">
        <w:rPr>
          <w:lang w:val="en-GB"/>
        </w:rPr>
        <w:t>no</w:t>
      </w:r>
      <w:r w:rsidR="002C6A41" w:rsidRPr="00B07B55">
        <w:rPr>
          <w:lang w:val="en-GB"/>
        </w:rPr>
        <w:t xml:space="preserve"> positive effect of VET on male job satisfaction for this older age group, but the lower male hours of work effect remains. In addition, </w:t>
      </w:r>
      <w:r w:rsidR="007A4E37">
        <w:rPr>
          <w:lang w:val="en-GB"/>
        </w:rPr>
        <w:t>mature-age</w:t>
      </w:r>
      <w:r w:rsidR="002C6A41" w:rsidRPr="00B07B55">
        <w:rPr>
          <w:lang w:val="en-GB"/>
        </w:rPr>
        <w:t xml:space="preserve"> VET raises the probability of remaining employed for this older male age group only, but such VET is related to lower probabilities of retaining </w:t>
      </w:r>
      <w:r w:rsidR="0062188C" w:rsidRPr="00495869">
        <w:rPr>
          <w:lang w:val="en-GB"/>
        </w:rPr>
        <w:t>permanent</w:t>
      </w:r>
      <w:r w:rsidR="004348DD">
        <w:rPr>
          <w:lang w:val="en-GB"/>
        </w:rPr>
        <w:t xml:space="preserve"> employment for this group. </w:t>
      </w:r>
      <w:r w:rsidR="002C6A41" w:rsidRPr="00B07B55">
        <w:rPr>
          <w:lang w:val="en-GB"/>
        </w:rPr>
        <w:t xml:space="preserve">For women, the positive effect of </w:t>
      </w:r>
      <w:r w:rsidR="00761488">
        <w:rPr>
          <w:lang w:val="en-GB"/>
        </w:rPr>
        <w:t xml:space="preserve">completing a </w:t>
      </w:r>
      <w:r w:rsidR="002C6A41" w:rsidRPr="00B07B55">
        <w:rPr>
          <w:lang w:val="en-GB"/>
        </w:rPr>
        <w:t xml:space="preserve">VET </w:t>
      </w:r>
      <w:r w:rsidR="00761488">
        <w:rPr>
          <w:lang w:val="en-GB"/>
        </w:rPr>
        <w:t xml:space="preserve">qualification </w:t>
      </w:r>
      <w:r w:rsidR="002C6A41" w:rsidRPr="00B07B55">
        <w:rPr>
          <w:lang w:val="en-GB"/>
        </w:rPr>
        <w:t xml:space="preserve">on satisfaction with work opportunities over all females remains for these older women, albeit the estimates are less precise. The increase in the probability of gaining employment from VET also remains for this older age group. Note that </w:t>
      </w:r>
      <w:r w:rsidR="004B256E" w:rsidRPr="00B07B55">
        <w:rPr>
          <w:lang w:val="en-GB"/>
        </w:rPr>
        <w:t xml:space="preserve">bachelor and above </w:t>
      </w:r>
      <w:r w:rsidR="00083810" w:rsidRPr="00B07B55">
        <w:rPr>
          <w:lang w:val="en-GB"/>
        </w:rPr>
        <w:t xml:space="preserve">education is also </w:t>
      </w:r>
      <w:r w:rsidR="003223AE">
        <w:rPr>
          <w:lang w:val="en-GB"/>
        </w:rPr>
        <w:t>related</w:t>
      </w:r>
      <w:r w:rsidR="001F5956">
        <w:rPr>
          <w:lang w:val="en-GB"/>
        </w:rPr>
        <w:t xml:space="preserve"> </w:t>
      </w:r>
      <w:r w:rsidR="00083810" w:rsidRPr="00B07B55">
        <w:rPr>
          <w:lang w:val="en-GB"/>
        </w:rPr>
        <w:t xml:space="preserve">to a sizeable increase in the level of </w:t>
      </w:r>
      <w:r w:rsidR="004B256E" w:rsidRPr="00B07B55">
        <w:rPr>
          <w:lang w:val="en-GB"/>
        </w:rPr>
        <w:t xml:space="preserve">overall </w:t>
      </w:r>
      <w:r w:rsidR="00083810" w:rsidRPr="00B07B55">
        <w:rPr>
          <w:lang w:val="en-GB"/>
        </w:rPr>
        <w:t>life satisfaction</w:t>
      </w:r>
      <w:r w:rsidR="004B256E" w:rsidRPr="00B07B55">
        <w:rPr>
          <w:lang w:val="en-GB"/>
        </w:rPr>
        <w:t xml:space="preserve"> for older females</w:t>
      </w:r>
      <w:r w:rsidR="00083810" w:rsidRPr="00B07B55">
        <w:rPr>
          <w:lang w:val="en-GB"/>
        </w:rPr>
        <w:t xml:space="preserve">. </w:t>
      </w:r>
      <w:r w:rsidR="001479D3" w:rsidRPr="00B07B55">
        <w:rPr>
          <w:lang w:val="en-GB"/>
        </w:rPr>
        <w:t xml:space="preserve">The effect </w:t>
      </w:r>
      <w:r w:rsidR="004B256E" w:rsidRPr="00B07B55">
        <w:rPr>
          <w:lang w:val="en-GB"/>
        </w:rPr>
        <w:t>is approximately</w:t>
      </w:r>
      <w:r w:rsidR="001479D3" w:rsidRPr="00B07B55">
        <w:rPr>
          <w:lang w:val="en-GB"/>
        </w:rPr>
        <w:t xml:space="preserve"> a third of a standard deviation. </w:t>
      </w:r>
    </w:p>
    <w:p w:rsidR="00314524" w:rsidRPr="00B07B55" w:rsidRDefault="00F510B6" w:rsidP="00495869">
      <w:pPr>
        <w:pStyle w:val="Text"/>
        <w:ind w:right="0"/>
        <w:rPr>
          <w:lang w:val="en-GB"/>
        </w:rPr>
      </w:pPr>
      <w:r w:rsidRPr="00B07B55">
        <w:rPr>
          <w:lang w:val="en-GB"/>
        </w:rPr>
        <w:t xml:space="preserve">The numbers presented in table 12 are estimates of the change in each of the </w:t>
      </w:r>
      <w:r w:rsidR="00FE5611">
        <w:rPr>
          <w:lang w:val="en-GB"/>
        </w:rPr>
        <w:t>ten</w:t>
      </w:r>
      <w:r w:rsidRPr="00B07B55">
        <w:rPr>
          <w:lang w:val="en-GB"/>
        </w:rPr>
        <w:t xml:space="preserve"> outcomes from wave 1 to wave 9 for individuals undertaking education at mature ages relative to similar individuals who did not. The education spell could have occurred at any stage in the </w:t>
      </w:r>
      <w:r w:rsidR="00761488">
        <w:rPr>
          <w:lang w:val="en-GB"/>
        </w:rPr>
        <w:t>seven</w:t>
      </w:r>
      <w:r w:rsidRPr="00B07B55">
        <w:rPr>
          <w:lang w:val="en-GB"/>
        </w:rPr>
        <w:t xml:space="preserve"> years </w:t>
      </w:r>
      <w:r w:rsidR="00314524" w:rsidRPr="00B07B55">
        <w:rPr>
          <w:lang w:val="en-GB"/>
        </w:rPr>
        <w:t>between waves 1 and 9. Thus th</w:t>
      </w:r>
      <w:r w:rsidRPr="00B07B55">
        <w:rPr>
          <w:lang w:val="en-GB"/>
        </w:rPr>
        <w:t xml:space="preserve">e </w:t>
      </w:r>
      <w:r w:rsidR="00314524" w:rsidRPr="00B07B55">
        <w:rPr>
          <w:lang w:val="en-GB"/>
        </w:rPr>
        <w:t xml:space="preserve">table 12 </w:t>
      </w:r>
      <w:r w:rsidRPr="00B07B55">
        <w:rPr>
          <w:lang w:val="en-GB"/>
        </w:rPr>
        <w:t xml:space="preserve">estimates are not able to reveal the </w:t>
      </w:r>
      <w:r w:rsidR="00176092" w:rsidRPr="00B07B55">
        <w:rPr>
          <w:lang w:val="en-GB"/>
        </w:rPr>
        <w:t xml:space="preserve">timing </w:t>
      </w:r>
      <w:r w:rsidRPr="00B07B55">
        <w:rPr>
          <w:lang w:val="en-GB"/>
        </w:rPr>
        <w:t xml:space="preserve">of </w:t>
      </w:r>
      <w:r w:rsidR="00176092" w:rsidRPr="00B07B55">
        <w:rPr>
          <w:lang w:val="en-GB"/>
        </w:rPr>
        <w:t xml:space="preserve">any </w:t>
      </w:r>
      <w:r w:rsidRPr="00B07B55">
        <w:rPr>
          <w:lang w:val="en-GB"/>
        </w:rPr>
        <w:t>effe</w:t>
      </w:r>
      <w:r w:rsidR="00FE5611">
        <w:rPr>
          <w:lang w:val="en-GB"/>
        </w:rPr>
        <w:t>ct of education on outcomes; that is,</w:t>
      </w:r>
      <w:r w:rsidRPr="00B07B55">
        <w:rPr>
          <w:lang w:val="en-GB"/>
        </w:rPr>
        <w:t xml:space="preserve"> does it take a few years for positive outcomes to occur or is the effect immediate? Also, the estimates</w:t>
      </w:r>
      <w:r w:rsidR="00761488">
        <w:rPr>
          <w:lang w:val="en-GB"/>
        </w:rPr>
        <w:t xml:space="preserve"> in</w:t>
      </w:r>
      <w:r w:rsidRPr="00B07B55">
        <w:rPr>
          <w:lang w:val="en-GB"/>
        </w:rPr>
        <w:t xml:space="preserve"> </w:t>
      </w:r>
      <w:r w:rsidR="00761488" w:rsidRPr="00B07B55">
        <w:rPr>
          <w:lang w:val="en-GB"/>
        </w:rPr>
        <w:t xml:space="preserve">table 12 </w:t>
      </w:r>
      <w:r w:rsidRPr="00B07B55">
        <w:rPr>
          <w:lang w:val="en-GB"/>
        </w:rPr>
        <w:t xml:space="preserve">do not reveal whether these outcomes were deteriorating or improving prior to the study being undertaken. </w:t>
      </w:r>
      <w:r w:rsidR="00314524" w:rsidRPr="00B07B55">
        <w:rPr>
          <w:lang w:val="en-GB"/>
        </w:rPr>
        <w:t xml:space="preserve">Using the full </w:t>
      </w:r>
      <w:r w:rsidR="004348DD">
        <w:rPr>
          <w:lang w:val="en-GB"/>
        </w:rPr>
        <w:t>nine</w:t>
      </w:r>
      <w:r w:rsidR="00314524" w:rsidRPr="00B07B55">
        <w:rPr>
          <w:lang w:val="en-GB"/>
        </w:rPr>
        <w:t xml:space="preserve"> years of data, however, we are able to provide information on the </w:t>
      </w:r>
      <w:r w:rsidR="00FE5611">
        <w:rPr>
          <w:lang w:val="en-GB"/>
        </w:rPr>
        <w:t>ten</w:t>
      </w:r>
      <w:r w:rsidR="00314524" w:rsidRPr="00B07B55">
        <w:rPr>
          <w:lang w:val="en-GB"/>
        </w:rPr>
        <w:t xml:space="preserve"> outcomes</w:t>
      </w:r>
      <w:r w:rsidRPr="00B07B55">
        <w:rPr>
          <w:lang w:val="en-GB"/>
        </w:rPr>
        <w:t xml:space="preserve"> </w:t>
      </w:r>
      <w:r w:rsidR="00314524" w:rsidRPr="00B07B55">
        <w:rPr>
          <w:lang w:val="en-GB"/>
        </w:rPr>
        <w:t xml:space="preserve">under investigation at each point (year) leading up to and after the education spell. </w:t>
      </w:r>
      <w:r w:rsidR="00F415BD" w:rsidRPr="00B07B55">
        <w:rPr>
          <w:lang w:val="en-GB"/>
        </w:rPr>
        <w:t xml:space="preserve">The </w:t>
      </w:r>
      <w:r w:rsidR="00C61F4A" w:rsidRPr="00B07B55">
        <w:rPr>
          <w:lang w:val="en-GB"/>
        </w:rPr>
        <w:t xml:space="preserve">graphs </w:t>
      </w:r>
      <w:r w:rsidR="00C61F4A" w:rsidRPr="00ED3E2B">
        <w:rPr>
          <w:lang w:val="en-GB"/>
        </w:rPr>
        <w:t>presented in</w:t>
      </w:r>
      <w:r w:rsidR="00FE5611" w:rsidRPr="00ED3E2B">
        <w:rPr>
          <w:lang w:val="en-GB"/>
        </w:rPr>
        <w:t xml:space="preserve"> </w:t>
      </w:r>
      <w:r w:rsidR="00ED3E2B">
        <w:rPr>
          <w:lang w:val="en-GB"/>
        </w:rPr>
        <w:t xml:space="preserve">figure B1 in </w:t>
      </w:r>
      <w:r w:rsidR="00FE5611" w:rsidRPr="00ED3E2B">
        <w:rPr>
          <w:lang w:val="en-GB"/>
        </w:rPr>
        <w:t>a</w:t>
      </w:r>
      <w:r w:rsidR="004D71DE" w:rsidRPr="00ED3E2B">
        <w:rPr>
          <w:lang w:val="en-GB"/>
        </w:rPr>
        <w:t>ppendix B</w:t>
      </w:r>
      <w:r w:rsidR="00F415BD" w:rsidRPr="00B07B55">
        <w:rPr>
          <w:lang w:val="en-GB"/>
        </w:rPr>
        <w:t xml:space="preserve"> </w:t>
      </w:r>
      <w:r w:rsidR="00557130" w:rsidRPr="00B07B55">
        <w:rPr>
          <w:lang w:val="en-GB"/>
        </w:rPr>
        <w:t xml:space="preserve">provide this information on the </w:t>
      </w:r>
      <w:r w:rsidR="00FE5611">
        <w:rPr>
          <w:lang w:val="en-GB"/>
        </w:rPr>
        <w:t>ten</w:t>
      </w:r>
      <w:r w:rsidR="00557130" w:rsidRPr="00B07B55">
        <w:rPr>
          <w:lang w:val="en-GB"/>
        </w:rPr>
        <w:t xml:space="preserve"> outcomes leading up to and after VET level study</w:t>
      </w:r>
      <w:r w:rsidR="004B40F2" w:rsidRPr="00B07B55">
        <w:rPr>
          <w:lang w:val="en-GB"/>
        </w:rPr>
        <w:t>.</w:t>
      </w:r>
      <w:r w:rsidR="000D4797" w:rsidRPr="00260CE4">
        <w:rPr>
          <w:vertAlign w:val="superscript"/>
        </w:rPr>
        <w:footnoteReference w:id="13"/>
      </w:r>
      <w:r w:rsidR="004B40F2" w:rsidRPr="00B07B55">
        <w:rPr>
          <w:lang w:val="en-GB"/>
        </w:rPr>
        <w:t xml:space="preserve"> </w:t>
      </w:r>
    </w:p>
    <w:p w:rsidR="001C7A30" w:rsidRPr="00B07B55" w:rsidRDefault="004B40F2" w:rsidP="00495869">
      <w:pPr>
        <w:pStyle w:val="Text"/>
        <w:ind w:right="0"/>
        <w:rPr>
          <w:lang w:val="en-GB"/>
        </w:rPr>
      </w:pPr>
      <w:r w:rsidRPr="00B07B55">
        <w:rPr>
          <w:lang w:val="en-GB"/>
        </w:rPr>
        <w:t xml:space="preserve">The </w:t>
      </w:r>
      <w:r w:rsidR="00B07774" w:rsidRPr="00B07B55">
        <w:rPr>
          <w:lang w:val="en-GB"/>
        </w:rPr>
        <w:t xml:space="preserve">red crosses in </w:t>
      </w:r>
      <w:r w:rsidR="00B04B19">
        <w:rPr>
          <w:lang w:val="en-GB"/>
        </w:rPr>
        <w:t>appendix graphs</w:t>
      </w:r>
      <w:r w:rsidR="00B07774" w:rsidRPr="00B07B55">
        <w:rPr>
          <w:lang w:val="en-GB"/>
        </w:rPr>
        <w:t xml:space="preserve"> are essentially measures of each outcome for those individuals who undertake education at some stage in the panel at a particular point before, during or after their education spell. The measures are constructed after controlling for the full set of individual characteristics employed in the estimation thus far (</w:t>
      </w:r>
      <w:r w:rsidR="00C615AE">
        <w:rPr>
          <w:lang w:val="en-GB"/>
        </w:rPr>
        <w:t>for example,</w:t>
      </w:r>
      <w:r w:rsidR="00B07774" w:rsidRPr="00B07B55">
        <w:rPr>
          <w:lang w:val="en-GB"/>
        </w:rPr>
        <w:t xml:space="preserve"> age, </w:t>
      </w:r>
      <w:r w:rsidR="00CA49FB" w:rsidRPr="00B07B55">
        <w:rPr>
          <w:lang w:val="en-GB"/>
        </w:rPr>
        <w:t>pre-study education level, marital status, geography) plus individual fixed effects.</w:t>
      </w:r>
      <w:r w:rsidR="00CA49FB" w:rsidRPr="00260CE4">
        <w:rPr>
          <w:vertAlign w:val="superscript"/>
        </w:rPr>
        <w:footnoteReference w:id="14"/>
      </w:r>
      <w:r w:rsidR="00CA49FB" w:rsidRPr="00B07B55">
        <w:rPr>
          <w:lang w:val="en-GB"/>
        </w:rPr>
        <w:t xml:space="preserve"> T</w:t>
      </w:r>
      <w:r w:rsidRPr="00B07B55">
        <w:rPr>
          <w:lang w:val="en-GB"/>
        </w:rPr>
        <w:t xml:space="preserve">he vertical lines </w:t>
      </w:r>
      <w:r w:rsidR="00CA49FB" w:rsidRPr="00B07B55">
        <w:rPr>
          <w:lang w:val="en-GB"/>
        </w:rPr>
        <w:t>above an</w:t>
      </w:r>
      <w:r w:rsidR="00BC69DA" w:rsidRPr="00B07B55">
        <w:rPr>
          <w:lang w:val="en-GB"/>
        </w:rPr>
        <w:t>d</w:t>
      </w:r>
      <w:r w:rsidR="00CA49FB" w:rsidRPr="00B07B55">
        <w:rPr>
          <w:lang w:val="en-GB"/>
        </w:rPr>
        <w:t xml:space="preserve"> below the red crosses </w:t>
      </w:r>
      <w:r w:rsidRPr="00B07B55">
        <w:rPr>
          <w:lang w:val="en-GB"/>
        </w:rPr>
        <w:t xml:space="preserve">provide a measure of dispersion </w:t>
      </w:r>
      <w:r w:rsidR="00D810FB" w:rsidRPr="00B07B55">
        <w:rPr>
          <w:lang w:val="en-GB"/>
        </w:rPr>
        <w:t>of the estimated coefficient</w:t>
      </w:r>
      <w:r w:rsidR="00CA49FB" w:rsidRPr="00B07B55">
        <w:rPr>
          <w:lang w:val="en-GB"/>
        </w:rPr>
        <w:t>s</w:t>
      </w:r>
      <w:r w:rsidR="00D810FB" w:rsidRPr="00B07B55">
        <w:rPr>
          <w:lang w:val="en-GB"/>
        </w:rPr>
        <w:t>.</w:t>
      </w:r>
      <w:r w:rsidR="00557130" w:rsidRPr="00260CE4">
        <w:rPr>
          <w:vertAlign w:val="superscript"/>
        </w:rPr>
        <w:footnoteReference w:id="15"/>
      </w:r>
      <w:r w:rsidR="00D810FB" w:rsidRPr="00B07B55">
        <w:rPr>
          <w:lang w:val="en-GB"/>
        </w:rPr>
        <w:t xml:space="preserve"> The shorter the vertical segment, the more precise the </w:t>
      </w:r>
      <w:r w:rsidR="00557130" w:rsidRPr="00B07B55">
        <w:rPr>
          <w:lang w:val="en-GB"/>
        </w:rPr>
        <w:t>estimate</w:t>
      </w:r>
      <w:r w:rsidR="00D810FB" w:rsidRPr="00B07B55">
        <w:rPr>
          <w:lang w:val="en-GB"/>
        </w:rPr>
        <w:t xml:space="preserve">. </w:t>
      </w:r>
      <w:r w:rsidR="000A295F" w:rsidRPr="00B07B55">
        <w:rPr>
          <w:lang w:val="en-GB"/>
        </w:rPr>
        <w:t xml:space="preserve">By controlling for individual fixed effects in these measures, we are removing the effect of self-selection into education, which is important. As a result, however, we are just able to observe the movement in the outcomes over time essentially </w:t>
      </w:r>
      <w:r w:rsidR="0064378F">
        <w:rPr>
          <w:lang w:val="en-GB"/>
        </w:rPr>
        <w:t>‘</w:t>
      </w:r>
      <w:r w:rsidR="000A295F" w:rsidRPr="00B07B55">
        <w:rPr>
          <w:lang w:val="en-GB"/>
        </w:rPr>
        <w:t>within</w:t>
      </w:r>
      <w:r w:rsidR="0064378F">
        <w:rPr>
          <w:lang w:val="en-GB"/>
        </w:rPr>
        <w:t>’</w:t>
      </w:r>
      <w:r w:rsidR="000A295F" w:rsidRPr="00B07B55">
        <w:rPr>
          <w:lang w:val="en-GB"/>
        </w:rPr>
        <w:t xml:space="preserve"> those individuals who study.</w:t>
      </w:r>
      <w:r w:rsidR="00567D5F" w:rsidRPr="00B07B55">
        <w:rPr>
          <w:lang w:val="en-GB"/>
        </w:rPr>
        <w:t xml:space="preserve"> Thus the measures in </w:t>
      </w:r>
      <w:r w:rsidR="00ED3E2B">
        <w:rPr>
          <w:lang w:val="en-GB"/>
        </w:rPr>
        <w:t>figure B1</w:t>
      </w:r>
      <w:r w:rsidR="00567D5F" w:rsidRPr="00B07B55">
        <w:rPr>
          <w:lang w:val="en-GB"/>
        </w:rPr>
        <w:t xml:space="preserve"> tell us nothing about whether these outcomes are higher or lower among those who study versus those who do not study. They just tell us how the outcomes move from before to after study among those </w:t>
      </w:r>
      <w:r w:rsidR="00992B3C">
        <w:rPr>
          <w:lang w:val="en-GB"/>
        </w:rPr>
        <w:t>who</w:t>
      </w:r>
      <w:r w:rsidR="00567D5F" w:rsidRPr="00B07B55">
        <w:rPr>
          <w:lang w:val="en-GB"/>
        </w:rPr>
        <w:t xml:space="preserve"> do study. </w:t>
      </w:r>
    </w:p>
    <w:p w:rsidR="00567D5F" w:rsidRPr="00B07B55" w:rsidRDefault="00567D5F" w:rsidP="00ED3E2B">
      <w:pPr>
        <w:pStyle w:val="Text"/>
        <w:ind w:right="0"/>
        <w:rPr>
          <w:lang w:val="en-GB"/>
        </w:rPr>
      </w:pPr>
      <w:r w:rsidRPr="00B07B55">
        <w:rPr>
          <w:lang w:val="en-GB"/>
        </w:rPr>
        <w:t xml:space="preserve">For males (the measures </w:t>
      </w:r>
      <w:r w:rsidR="00C615AE">
        <w:rPr>
          <w:lang w:val="en-GB"/>
        </w:rPr>
        <w:t>to</w:t>
      </w:r>
      <w:r w:rsidRPr="00B07B55">
        <w:rPr>
          <w:lang w:val="en-GB"/>
        </w:rPr>
        <w:t xml:space="preserve"> the left of </w:t>
      </w:r>
      <w:r w:rsidR="00ED3E2B">
        <w:rPr>
          <w:lang w:val="en-GB"/>
        </w:rPr>
        <w:t>figure</w:t>
      </w:r>
      <w:r w:rsidR="00B04B19" w:rsidRPr="00ED3E2B">
        <w:rPr>
          <w:lang w:val="en-GB"/>
        </w:rPr>
        <w:t xml:space="preserve"> B</w:t>
      </w:r>
      <w:r w:rsidR="00ED3E2B">
        <w:rPr>
          <w:lang w:val="en-GB"/>
        </w:rPr>
        <w:t>1</w:t>
      </w:r>
      <w:r w:rsidRPr="00B07B55">
        <w:rPr>
          <w:lang w:val="en-GB"/>
        </w:rPr>
        <w:t>), there are no observable trends in annual disposable income or wage rates pre</w:t>
      </w:r>
      <w:r w:rsidR="004348DD">
        <w:rPr>
          <w:lang w:val="en-GB"/>
        </w:rPr>
        <w:t>-</w:t>
      </w:r>
      <w:r w:rsidRPr="00B07B55">
        <w:rPr>
          <w:lang w:val="en-GB"/>
        </w:rPr>
        <w:t xml:space="preserve"> and post</w:t>
      </w:r>
      <w:r w:rsidR="004348DD">
        <w:rPr>
          <w:lang w:val="en-GB"/>
        </w:rPr>
        <w:t>-</w:t>
      </w:r>
      <w:r w:rsidRPr="00B07B55">
        <w:rPr>
          <w:lang w:val="en-GB"/>
        </w:rPr>
        <w:t xml:space="preserve">VET study, which is in line with the estimates of table 12. </w:t>
      </w:r>
      <w:r w:rsidR="00E91BF2" w:rsidRPr="00B07B55">
        <w:rPr>
          <w:lang w:val="en-GB"/>
        </w:rPr>
        <w:t>T</w:t>
      </w:r>
      <w:r w:rsidR="00600347" w:rsidRPr="00B07B55">
        <w:rPr>
          <w:lang w:val="en-GB"/>
        </w:rPr>
        <w:t xml:space="preserve">here is some evidence that </w:t>
      </w:r>
      <w:r w:rsidR="00E91BF2" w:rsidRPr="00B07B55">
        <w:rPr>
          <w:lang w:val="en-GB"/>
        </w:rPr>
        <w:t xml:space="preserve">weekly work </w:t>
      </w:r>
      <w:r w:rsidR="00600347" w:rsidRPr="00B07B55">
        <w:rPr>
          <w:lang w:val="en-GB"/>
        </w:rPr>
        <w:t xml:space="preserve">hours fall in the year prior to study, and remain at that lower rate after study. </w:t>
      </w:r>
      <w:r w:rsidR="00E65EC0" w:rsidRPr="00B07B55">
        <w:rPr>
          <w:lang w:val="en-GB"/>
        </w:rPr>
        <w:t xml:space="preserve">It should be kept in mind, however, that the precision of the estimates in all of </w:t>
      </w:r>
      <w:r w:rsidR="00ED3E2B">
        <w:rPr>
          <w:lang w:val="en-GB"/>
        </w:rPr>
        <w:t>figure</w:t>
      </w:r>
      <w:r w:rsidR="00B04B19" w:rsidRPr="00ED3E2B">
        <w:rPr>
          <w:lang w:val="en-GB"/>
        </w:rPr>
        <w:t xml:space="preserve"> B</w:t>
      </w:r>
      <w:r w:rsidR="00ED3E2B">
        <w:rPr>
          <w:lang w:val="en-GB"/>
        </w:rPr>
        <w:t>1</w:t>
      </w:r>
      <w:r w:rsidR="00E65EC0" w:rsidRPr="00B07B55">
        <w:rPr>
          <w:lang w:val="en-GB"/>
        </w:rPr>
        <w:t xml:space="preserve"> is not particularly high, making it difficult to make strong statements about any of the trends observed in the point estimates. </w:t>
      </w:r>
      <w:r w:rsidR="00600347" w:rsidRPr="00B07B55">
        <w:rPr>
          <w:lang w:val="en-GB"/>
        </w:rPr>
        <w:t xml:space="preserve">Job satisfaction rises during study, and stays at a consistently higher </w:t>
      </w:r>
      <w:r w:rsidR="00E91BF2" w:rsidRPr="00B07B55">
        <w:rPr>
          <w:lang w:val="en-GB"/>
        </w:rPr>
        <w:t xml:space="preserve">level </w:t>
      </w:r>
      <w:r w:rsidR="00600347" w:rsidRPr="00B07B55">
        <w:rPr>
          <w:lang w:val="en-GB"/>
        </w:rPr>
        <w:t>after study. Overall life</w:t>
      </w:r>
      <w:r w:rsidR="00E91BF2" w:rsidRPr="00B07B55">
        <w:rPr>
          <w:lang w:val="en-GB"/>
        </w:rPr>
        <w:t xml:space="preserve"> </w:t>
      </w:r>
      <w:r w:rsidR="00600347" w:rsidRPr="00B07B55">
        <w:rPr>
          <w:lang w:val="en-GB"/>
        </w:rPr>
        <w:t xml:space="preserve">satisfaction also improves during study, with a trend to increasing satisfaction in those years further out </w:t>
      </w:r>
      <w:r w:rsidR="001F5956">
        <w:rPr>
          <w:lang w:val="en-GB"/>
        </w:rPr>
        <w:t>from</w:t>
      </w:r>
      <w:r w:rsidR="00600347" w:rsidRPr="00B07B55">
        <w:rPr>
          <w:lang w:val="en-GB"/>
        </w:rPr>
        <w:t xml:space="preserve"> study.</w:t>
      </w:r>
      <w:r w:rsidR="0050030C" w:rsidRPr="00B07B55">
        <w:rPr>
          <w:lang w:val="en-GB"/>
        </w:rPr>
        <w:t xml:space="preserve"> The increased levels of job and life satisfaction </w:t>
      </w:r>
      <w:r w:rsidR="00E91BF2" w:rsidRPr="00B07B55">
        <w:rPr>
          <w:lang w:val="en-GB"/>
        </w:rPr>
        <w:t>may be related</w:t>
      </w:r>
      <w:r w:rsidR="0050030C" w:rsidRPr="00B07B55">
        <w:rPr>
          <w:lang w:val="en-GB"/>
        </w:rPr>
        <w:t xml:space="preserve"> to </w:t>
      </w:r>
      <w:r w:rsidR="000B45CC" w:rsidRPr="00B07B55">
        <w:rPr>
          <w:lang w:val="en-GB"/>
        </w:rPr>
        <w:t>the clear change in the</w:t>
      </w:r>
      <w:r w:rsidR="00C615AE">
        <w:rPr>
          <w:lang w:val="en-GB"/>
        </w:rPr>
        <w:t xml:space="preserve"> (self-reported) level of utilis</w:t>
      </w:r>
      <w:r w:rsidR="000B45CC" w:rsidRPr="00B07B55">
        <w:rPr>
          <w:lang w:val="en-GB"/>
        </w:rPr>
        <w:t>ation of skills and abilities in the job</w:t>
      </w:r>
      <w:r w:rsidR="0050030C" w:rsidRPr="00B07B55">
        <w:rPr>
          <w:lang w:val="en-GB"/>
        </w:rPr>
        <w:t xml:space="preserve">. </w:t>
      </w:r>
      <w:r w:rsidR="000B45CC" w:rsidRPr="00B07B55">
        <w:rPr>
          <w:lang w:val="en-GB"/>
        </w:rPr>
        <w:t xml:space="preserve">The </w:t>
      </w:r>
      <w:r w:rsidR="00E91BF2" w:rsidRPr="00B07B55">
        <w:rPr>
          <w:lang w:val="en-GB"/>
        </w:rPr>
        <w:t>increase</w:t>
      </w:r>
      <w:r w:rsidR="001B3B01" w:rsidRPr="00B07B55">
        <w:rPr>
          <w:lang w:val="en-GB"/>
        </w:rPr>
        <w:t>s</w:t>
      </w:r>
      <w:r w:rsidR="00E91BF2" w:rsidRPr="00B07B55">
        <w:rPr>
          <w:lang w:val="en-GB"/>
        </w:rPr>
        <w:t xml:space="preserve"> </w:t>
      </w:r>
      <w:r w:rsidR="000B45CC" w:rsidRPr="00B07B55">
        <w:rPr>
          <w:lang w:val="en-GB"/>
        </w:rPr>
        <w:t xml:space="preserve">in </w:t>
      </w:r>
      <w:r w:rsidR="001B3B01" w:rsidRPr="00B07B55">
        <w:rPr>
          <w:lang w:val="en-GB"/>
        </w:rPr>
        <w:t xml:space="preserve">reported skill use during </w:t>
      </w:r>
      <w:r w:rsidR="000B45CC" w:rsidRPr="00B07B55">
        <w:rPr>
          <w:lang w:val="en-GB"/>
        </w:rPr>
        <w:t xml:space="preserve">and after study </w:t>
      </w:r>
      <w:r w:rsidR="001B3B01" w:rsidRPr="00B07B55">
        <w:rPr>
          <w:lang w:val="en-GB"/>
        </w:rPr>
        <w:t xml:space="preserve">are </w:t>
      </w:r>
      <w:r w:rsidR="000B45CC" w:rsidRPr="00B07B55">
        <w:rPr>
          <w:lang w:val="en-GB"/>
        </w:rPr>
        <w:t>sizeable and persist after the education spell.</w:t>
      </w:r>
      <w:r w:rsidR="00FD2A14" w:rsidRPr="00B07B55">
        <w:rPr>
          <w:lang w:val="en-GB"/>
        </w:rPr>
        <w:t xml:space="preserve"> It is interesting to note</w:t>
      </w:r>
      <w:r w:rsidR="001B3B01" w:rsidRPr="00B07B55">
        <w:rPr>
          <w:lang w:val="en-GB"/>
        </w:rPr>
        <w:t>, however,</w:t>
      </w:r>
      <w:r w:rsidR="00FD2A14" w:rsidRPr="00B07B55">
        <w:rPr>
          <w:lang w:val="en-GB"/>
        </w:rPr>
        <w:t xml:space="preserve"> that there is no comparable </w:t>
      </w:r>
      <w:r w:rsidR="001B3B01" w:rsidRPr="00B07B55">
        <w:rPr>
          <w:lang w:val="en-GB"/>
        </w:rPr>
        <w:t>increase</w:t>
      </w:r>
      <w:r w:rsidR="00FD2A14" w:rsidRPr="00B07B55">
        <w:rPr>
          <w:lang w:val="en-GB"/>
        </w:rPr>
        <w:t xml:space="preserve"> </w:t>
      </w:r>
      <w:r w:rsidR="001B3B01" w:rsidRPr="00B07B55">
        <w:rPr>
          <w:lang w:val="en-GB"/>
        </w:rPr>
        <w:t xml:space="preserve">in </w:t>
      </w:r>
      <w:r w:rsidR="00FD2A14" w:rsidRPr="00B07B55">
        <w:rPr>
          <w:lang w:val="en-GB"/>
        </w:rPr>
        <w:t>levels of satisfaction with job opportunities</w:t>
      </w:r>
      <w:r w:rsidR="00BF6515">
        <w:rPr>
          <w:lang w:val="en-GB"/>
        </w:rPr>
        <w:t xml:space="preserve"> for males</w:t>
      </w:r>
      <w:r w:rsidR="00FD2A14" w:rsidRPr="00B07B55">
        <w:rPr>
          <w:lang w:val="en-GB"/>
        </w:rPr>
        <w:t>.</w:t>
      </w:r>
      <w:r w:rsidR="00600347" w:rsidRPr="00B07B55">
        <w:rPr>
          <w:lang w:val="en-GB"/>
        </w:rPr>
        <w:t xml:space="preserve"> The probability of employment actually dips during the two years prior to study, is quite low during study (but this may be due to the study itself), then bounces back up in the two years after study and stay</w:t>
      </w:r>
      <w:r w:rsidR="006B37CF">
        <w:rPr>
          <w:lang w:val="en-GB"/>
        </w:rPr>
        <w:t>s</w:t>
      </w:r>
      <w:r w:rsidR="00600347" w:rsidRPr="00B07B55">
        <w:rPr>
          <w:lang w:val="en-GB"/>
        </w:rPr>
        <w:t xml:space="preserve"> at the higher level. </w:t>
      </w:r>
      <w:r w:rsidR="001B3B01" w:rsidRPr="00B07B55">
        <w:rPr>
          <w:lang w:val="en-GB"/>
        </w:rPr>
        <w:t xml:space="preserve">The occupational status of males rises very moderately a few years after study, but the estimates are not particularly precise. </w:t>
      </w:r>
    </w:p>
    <w:p w:rsidR="00600347" w:rsidRPr="00B07B55" w:rsidRDefault="00600347" w:rsidP="00495869">
      <w:pPr>
        <w:pStyle w:val="Text"/>
        <w:ind w:right="0"/>
        <w:rPr>
          <w:lang w:val="en-GB"/>
        </w:rPr>
      </w:pPr>
      <w:r w:rsidRPr="00B07B55">
        <w:rPr>
          <w:lang w:val="en-GB"/>
        </w:rPr>
        <w:t xml:space="preserve">For females, there is also no trend in wage rates, but disposable income does appear to rise for about four years before returning to lower levels. </w:t>
      </w:r>
      <w:r w:rsidR="00962619" w:rsidRPr="00B07B55">
        <w:rPr>
          <w:lang w:val="en-GB"/>
        </w:rPr>
        <w:t xml:space="preserve">Weekly hours of work and the probability of employment are on upward trends prior to VET study, with those trends flattening </w:t>
      </w:r>
      <w:r w:rsidR="00C615AE">
        <w:rPr>
          <w:lang w:val="en-GB"/>
        </w:rPr>
        <w:t>after</w:t>
      </w:r>
      <w:r w:rsidR="00962619" w:rsidRPr="00B07B55">
        <w:rPr>
          <w:lang w:val="en-GB"/>
        </w:rPr>
        <w:t xml:space="preserve"> study. There is a very weak positive trend in job satisfaction from pre</w:t>
      </w:r>
      <w:r w:rsidR="00C615AE">
        <w:rPr>
          <w:lang w:val="en-GB"/>
        </w:rPr>
        <w:t>- to post-</w:t>
      </w:r>
      <w:r w:rsidR="00962619" w:rsidRPr="00B07B55">
        <w:rPr>
          <w:lang w:val="en-GB"/>
        </w:rPr>
        <w:t xml:space="preserve">VET study, but no trend at all in overall life satisfaction. </w:t>
      </w:r>
      <w:r w:rsidR="004A2670" w:rsidRPr="00B07B55">
        <w:rPr>
          <w:lang w:val="en-GB"/>
        </w:rPr>
        <w:t xml:space="preserve">The use of skills in the current job appears to increase after study, although this measure shows more variability across the years for women compared </w:t>
      </w:r>
      <w:r w:rsidR="00C615AE">
        <w:rPr>
          <w:lang w:val="en-GB"/>
        </w:rPr>
        <w:t>with that which</w:t>
      </w:r>
      <w:r w:rsidR="00AC2138" w:rsidRPr="00B07B55">
        <w:rPr>
          <w:lang w:val="en-GB"/>
        </w:rPr>
        <w:t xml:space="preserve"> was</w:t>
      </w:r>
      <w:r w:rsidR="004A2670" w:rsidRPr="00B07B55">
        <w:rPr>
          <w:lang w:val="en-GB"/>
        </w:rPr>
        <w:t xml:space="preserve"> observed for men. The level of satisfaction with job opportunities </w:t>
      </w:r>
      <w:r w:rsidR="00AC2138" w:rsidRPr="00B07B55">
        <w:rPr>
          <w:lang w:val="en-GB"/>
        </w:rPr>
        <w:t>rises considerably</w:t>
      </w:r>
      <w:r w:rsidR="004A2670" w:rsidRPr="00B07B55">
        <w:rPr>
          <w:lang w:val="en-GB"/>
        </w:rPr>
        <w:t xml:space="preserve"> starting from the year of study</w:t>
      </w:r>
      <w:r w:rsidR="00AC2138" w:rsidRPr="00B07B55">
        <w:rPr>
          <w:lang w:val="en-GB"/>
        </w:rPr>
        <w:t>.</w:t>
      </w:r>
      <w:r w:rsidR="004A2670" w:rsidRPr="00B07B55">
        <w:rPr>
          <w:lang w:val="en-GB"/>
        </w:rPr>
        <w:t xml:space="preserve"> </w:t>
      </w:r>
      <w:r w:rsidR="001558CE" w:rsidRPr="00B07B55">
        <w:rPr>
          <w:lang w:val="en-GB"/>
        </w:rPr>
        <w:t>O</w:t>
      </w:r>
      <w:r w:rsidR="004A2670" w:rsidRPr="00B07B55">
        <w:rPr>
          <w:lang w:val="en-GB"/>
        </w:rPr>
        <w:t>ccupational status</w:t>
      </w:r>
      <w:r w:rsidR="00B37679" w:rsidRPr="00B07B55">
        <w:rPr>
          <w:lang w:val="en-GB"/>
        </w:rPr>
        <w:t xml:space="preserve"> </w:t>
      </w:r>
      <w:r w:rsidR="00C615AE">
        <w:rPr>
          <w:lang w:val="en-GB"/>
        </w:rPr>
        <w:t>—</w:t>
      </w:r>
      <w:r w:rsidR="001558CE" w:rsidRPr="00B07B55">
        <w:rPr>
          <w:lang w:val="en-GB"/>
        </w:rPr>
        <w:t xml:space="preserve"> </w:t>
      </w:r>
      <w:r w:rsidR="00B37679" w:rsidRPr="00B07B55">
        <w:rPr>
          <w:lang w:val="en-GB"/>
        </w:rPr>
        <w:t xml:space="preserve">a measure that ranks jobs on the base of several </w:t>
      </w:r>
      <w:r w:rsidR="00C615AE">
        <w:rPr>
          <w:lang w:val="en-GB"/>
        </w:rPr>
        <w:t>socio</w:t>
      </w:r>
      <w:r w:rsidR="00221B8B" w:rsidRPr="00B07B55">
        <w:rPr>
          <w:lang w:val="en-GB"/>
        </w:rPr>
        <w:t xml:space="preserve">economic </w:t>
      </w:r>
      <w:r w:rsidR="00B37679" w:rsidRPr="00B07B55">
        <w:rPr>
          <w:lang w:val="en-GB"/>
        </w:rPr>
        <w:t>characteristics on a range of values between 0 and 100</w:t>
      </w:r>
      <w:r w:rsidR="00C615AE">
        <w:rPr>
          <w:lang w:val="en-GB"/>
        </w:rPr>
        <w:t xml:space="preserve"> (see McMillan, Beavis &amp; Jones </w:t>
      </w:r>
      <w:r w:rsidR="001558CE" w:rsidRPr="00B07B55">
        <w:rPr>
          <w:lang w:val="en-GB"/>
        </w:rPr>
        <w:t>2009</w:t>
      </w:r>
      <w:r w:rsidR="00B37679" w:rsidRPr="00B07B55">
        <w:rPr>
          <w:lang w:val="en-GB"/>
        </w:rPr>
        <w:t>)</w:t>
      </w:r>
      <w:r w:rsidR="00221B8B" w:rsidRPr="00B07B55">
        <w:rPr>
          <w:lang w:val="en-GB"/>
        </w:rPr>
        <w:t xml:space="preserve"> </w:t>
      </w:r>
      <w:r w:rsidR="00C615AE">
        <w:rPr>
          <w:lang w:val="en-GB"/>
        </w:rPr>
        <w:t>—</w:t>
      </w:r>
      <w:r w:rsidR="001558CE" w:rsidRPr="00B07B55">
        <w:rPr>
          <w:lang w:val="en-GB"/>
        </w:rPr>
        <w:t xml:space="preserve"> dips slightly just before and during study, then rises after study, but these changes are very slight</w:t>
      </w:r>
      <w:r w:rsidR="00221B8B" w:rsidRPr="00B07B55">
        <w:rPr>
          <w:lang w:val="en-GB"/>
        </w:rPr>
        <w:t>.</w:t>
      </w:r>
    </w:p>
    <w:p w:rsidR="00260CE4" w:rsidRDefault="0034246D" w:rsidP="00495869">
      <w:pPr>
        <w:pStyle w:val="Text"/>
        <w:ind w:right="0"/>
        <w:rPr>
          <w:lang w:val="en-GB"/>
        </w:rPr>
      </w:pPr>
      <w:r w:rsidRPr="00B07B55">
        <w:rPr>
          <w:lang w:val="en-GB"/>
        </w:rPr>
        <w:t xml:space="preserve">In all, the </w:t>
      </w:r>
      <w:r w:rsidR="001558CE" w:rsidRPr="00B07B55">
        <w:rPr>
          <w:lang w:val="en-GB"/>
        </w:rPr>
        <w:t xml:space="preserve">estimates of table 12 and </w:t>
      </w:r>
      <w:r w:rsidR="00ED3E2B">
        <w:rPr>
          <w:lang w:val="en-GB"/>
        </w:rPr>
        <w:t>figure B1</w:t>
      </w:r>
      <w:r w:rsidR="001558CE" w:rsidRPr="00B07B55">
        <w:rPr>
          <w:lang w:val="en-GB"/>
        </w:rPr>
        <w:t xml:space="preserve"> highlight</w:t>
      </w:r>
      <w:r w:rsidRPr="00B07B55">
        <w:rPr>
          <w:lang w:val="en-GB"/>
        </w:rPr>
        <w:t xml:space="preserve"> the existence of some </w:t>
      </w:r>
      <w:r w:rsidR="001558CE" w:rsidRPr="00B07B55">
        <w:rPr>
          <w:lang w:val="en-GB"/>
        </w:rPr>
        <w:t>positive outcomes from</w:t>
      </w:r>
      <w:r w:rsidR="00B02EE2" w:rsidRPr="00B07B55">
        <w:rPr>
          <w:lang w:val="en-GB"/>
        </w:rPr>
        <w:t xml:space="preserve"> study at mature age</w:t>
      </w:r>
      <w:r w:rsidR="001558CE" w:rsidRPr="00B07B55">
        <w:rPr>
          <w:lang w:val="en-GB"/>
        </w:rPr>
        <w:t>s</w:t>
      </w:r>
      <w:r w:rsidR="00B02EE2" w:rsidRPr="00B07B55">
        <w:rPr>
          <w:lang w:val="en-GB"/>
        </w:rPr>
        <w:t xml:space="preserve">. The observed changes in weekly hours of work, in job and life satisfaction and in the probability of employment </w:t>
      </w:r>
      <w:r w:rsidR="002F4018" w:rsidRPr="00B07B55">
        <w:rPr>
          <w:lang w:val="en-GB"/>
        </w:rPr>
        <w:t>are outcomes that can justify the decision to enrol in education at mature age</w:t>
      </w:r>
      <w:r w:rsidR="001558CE" w:rsidRPr="00B07B55">
        <w:rPr>
          <w:lang w:val="en-GB"/>
        </w:rPr>
        <w:t>s</w:t>
      </w:r>
      <w:r w:rsidR="002F4018" w:rsidRPr="00B07B55">
        <w:rPr>
          <w:lang w:val="en-GB"/>
        </w:rPr>
        <w:t xml:space="preserve">, even if </w:t>
      </w:r>
      <w:r w:rsidR="001558CE" w:rsidRPr="00B07B55">
        <w:rPr>
          <w:lang w:val="en-GB"/>
        </w:rPr>
        <w:t>such study</w:t>
      </w:r>
      <w:r w:rsidR="002F4018" w:rsidRPr="00B07B55">
        <w:rPr>
          <w:lang w:val="en-GB"/>
        </w:rPr>
        <w:t xml:space="preserve"> does not necessarily </w:t>
      </w:r>
      <w:r w:rsidR="001558CE" w:rsidRPr="00B07B55">
        <w:rPr>
          <w:lang w:val="en-GB"/>
        </w:rPr>
        <w:t>result in</w:t>
      </w:r>
      <w:r w:rsidR="002F4018" w:rsidRPr="00B07B55">
        <w:rPr>
          <w:lang w:val="en-GB"/>
        </w:rPr>
        <w:t xml:space="preserve"> increase</w:t>
      </w:r>
      <w:r w:rsidR="001558CE" w:rsidRPr="00B07B55">
        <w:rPr>
          <w:lang w:val="en-GB"/>
        </w:rPr>
        <w:t>d</w:t>
      </w:r>
      <w:r w:rsidR="002F4018" w:rsidRPr="00B07B55">
        <w:rPr>
          <w:lang w:val="en-GB"/>
        </w:rPr>
        <w:t xml:space="preserve"> </w:t>
      </w:r>
      <w:r w:rsidR="001558CE" w:rsidRPr="00B07B55">
        <w:rPr>
          <w:lang w:val="en-GB"/>
        </w:rPr>
        <w:t>wages and income</w:t>
      </w:r>
      <w:r w:rsidR="002F4018" w:rsidRPr="00B07B55">
        <w:rPr>
          <w:lang w:val="en-GB"/>
        </w:rPr>
        <w:t xml:space="preserve">. </w:t>
      </w:r>
      <w:r w:rsidR="00221B8B" w:rsidRPr="00B07B55">
        <w:rPr>
          <w:lang w:val="en-GB"/>
        </w:rPr>
        <w:t xml:space="preserve">The </w:t>
      </w:r>
      <w:r w:rsidR="001558CE" w:rsidRPr="00B07B55">
        <w:rPr>
          <w:lang w:val="en-GB"/>
        </w:rPr>
        <w:t>increases in</w:t>
      </w:r>
      <w:r w:rsidR="00221B8B" w:rsidRPr="00B07B55">
        <w:rPr>
          <w:lang w:val="en-GB"/>
        </w:rPr>
        <w:t xml:space="preserve"> the use of skills and abilities in the current job and, for females, in satisfaction with job opportunities</w:t>
      </w:r>
      <w:r w:rsidR="001558CE" w:rsidRPr="00B07B55">
        <w:rPr>
          <w:lang w:val="en-GB"/>
        </w:rPr>
        <w:t>,</w:t>
      </w:r>
      <w:r w:rsidR="00221B8B" w:rsidRPr="00B07B55">
        <w:rPr>
          <w:lang w:val="en-GB"/>
        </w:rPr>
        <w:t xml:space="preserve"> </w:t>
      </w:r>
      <w:r w:rsidR="0069072E" w:rsidRPr="00B07B55">
        <w:rPr>
          <w:lang w:val="en-GB"/>
        </w:rPr>
        <w:t xml:space="preserve">are also important </w:t>
      </w:r>
      <w:r w:rsidR="001558CE" w:rsidRPr="00B07B55">
        <w:rPr>
          <w:lang w:val="en-GB"/>
        </w:rPr>
        <w:t xml:space="preserve">outcomes </w:t>
      </w:r>
      <w:r w:rsidR="0069072E" w:rsidRPr="00B07B55">
        <w:rPr>
          <w:lang w:val="en-GB"/>
        </w:rPr>
        <w:t xml:space="preserve">that can </w:t>
      </w:r>
      <w:r w:rsidR="001558CE" w:rsidRPr="00B07B55">
        <w:rPr>
          <w:lang w:val="en-GB"/>
        </w:rPr>
        <w:t xml:space="preserve">motivate </w:t>
      </w:r>
      <w:r w:rsidR="0069072E" w:rsidRPr="00B07B55">
        <w:rPr>
          <w:lang w:val="en-GB"/>
        </w:rPr>
        <w:t xml:space="preserve">engagement </w:t>
      </w:r>
      <w:r w:rsidR="001F5956">
        <w:rPr>
          <w:lang w:val="en-GB"/>
        </w:rPr>
        <w:t>with</w:t>
      </w:r>
      <w:r w:rsidR="0069072E" w:rsidRPr="00B07B55">
        <w:rPr>
          <w:lang w:val="en-GB"/>
        </w:rPr>
        <w:t xml:space="preserve"> further education.</w:t>
      </w:r>
      <w:r w:rsidR="00176092" w:rsidRPr="00B07B55">
        <w:rPr>
          <w:lang w:val="en-GB"/>
        </w:rPr>
        <w:t xml:space="preserve"> Furthermore, </w:t>
      </w:r>
      <w:r w:rsidR="00EC3789" w:rsidRPr="00B07B55">
        <w:rPr>
          <w:lang w:val="en-GB"/>
        </w:rPr>
        <w:t>overall</w:t>
      </w:r>
      <w:r w:rsidR="00C615AE">
        <w:rPr>
          <w:lang w:val="en-GB"/>
        </w:rPr>
        <w:t>,</w:t>
      </w:r>
      <w:r w:rsidR="00EC3789" w:rsidRPr="00B07B55">
        <w:rPr>
          <w:lang w:val="en-GB"/>
        </w:rPr>
        <w:t xml:space="preserve"> the obtained estimates do not indicate the existence of a clear Ashenfelter’s dip in the outcomes we analysed</w:t>
      </w:r>
      <w:r w:rsidR="00E113EE">
        <w:rPr>
          <w:lang w:val="en-GB"/>
        </w:rPr>
        <w:t>, although there are moderate dips prior to VET study in hours worked and the probability of employment for males</w:t>
      </w:r>
      <w:r w:rsidR="00EC3789" w:rsidRPr="00B07B55">
        <w:rPr>
          <w:lang w:val="en-GB"/>
        </w:rPr>
        <w:t xml:space="preserve">. </w:t>
      </w:r>
    </w:p>
    <w:p w:rsidR="002C050C" w:rsidRPr="00B07B55" w:rsidRDefault="002C050C" w:rsidP="00260CE4">
      <w:pPr>
        <w:pStyle w:val="Heading2"/>
        <w:rPr>
          <w:lang w:val="en-GB"/>
        </w:rPr>
      </w:pPr>
      <w:bookmarkStart w:id="69" w:name="_Toc334101015"/>
      <w:r w:rsidRPr="00B07B55">
        <w:rPr>
          <w:lang w:val="en-GB"/>
        </w:rPr>
        <w:t>The Australian experience in an international context</w:t>
      </w:r>
      <w:bookmarkEnd w:id="69"/>
      <w:r w:rsidRPr="00B07B55">
        <w:rPr>
          <w:lang w:val="en-GB"/>
        </w:rPr>
        <w:t xml:space="preserve"> </w:t>
      </w:r>
    </w:p>
    <w:p w:rsidR="002C050C" w:rsidRPr="00B07B55" w:rsidRDefault="002C050C" w:rsidP="00495869">
      <w:pPr>
        <w:pStyle w:val="Text"/>
        <w:ind w:right="0"/>
        <w:rPr>
          <w:lang w:val="en-GB"/>
        </w:rPr>
      </w:pPr>
      <w:r w:rsidRPr="00B07B55">
        <w:rPr>
          <w:lang w:val="en-GB"/>
        </w:rPr>
        <w:t xml:space="preserve">We now investigate some potential reasons behind the discrepancy between the Australian rates of enrolment in </w:t>
      </w:r>
      <w:r w:rsidR="007A4E37">
        <w:rPr>
          <w:lang w:val="en-GB"/>
        </w:rPr>
        <w:t>mature-age</w:t>
      </w:r>
      <w:r w:rsidRPr="00B07B55">
        <w:rPr>
          <w:lang w:val="en-GB"/>
        </w:rPr>
        <w:t xml:space="preserve"> education and those of other OECD countries. In particular, we draw a comparison between Australia and Great Britain. As mentioned above, the decision to choose Great Britain for our analysis is linked to the cultural and (to a lesser extent) institutional similarities that characterise the two countries. </w:t>
      </w:r>
    </w:p>
    <w:p w:rsidR="002C050C" w:rsidRPr="00B07B55" w:rsidRDefault="002C050C" w:rsidP="00495869">
      <w:pPr>
        <w:pStyle w:val="Text"/>
        <w:ind w:right="0"/>
        <w:rPr>
          <w:lang w:val="en-GB"/>
        </w:rPr>
      </w:pPr>
      <w:r w:rsidRPr="00B07B55">
        <w:rPr>
          <w:lang w:val="en-GB"/>
        </w:rPr>
        <w:t xml:space="preserve">The empirical investigation is structured in two stages. Firstly, we replicate for Great Britain the probability analysis on the likelihood of engaging in </w:t>
      </w:r>
      <w:r w:rsidR="007A4E37">
        <w:rPr>
          <w:lang w:val="en-GB"/>
        </w:rPr>
        <w:t>mature-age</w:t>
      </w:r>
      <w:r w:rsidRPr="00B07B55">
        <w:rPr>
          <w:lang w:val="en-GB"/>
        </w:rPr>
        <w:t xml:space="preserve"> education that was conducted for Australia in the previous section. In this way we aim to investigate whether there are any differences in the determinants of the enrolment decision between the two countries. Secondly, we further scrutinise these differences by performing a Blinder-Oaxaca decomposition </w:t>
      </w:r>
      <w:r w:rsidR="001678E2" w:rsidRPr="00B07B55">
        <w:rPr>
          <w:lang w:val="en-GB"/>
        </w:rPr>
        <w:t xml:space="preserve">(described above) </w:t>
      </w:r>
      <w:r w:rsidRPr="00B07B55">
        <w:rPr>
          <w:lang w:val="en-GB"/>
        </w:rPr>
        <w:t>of the difference in participation rates across the two countries.</w:t>
      </w:r>
    </w:p>
    <w:p w:rsidR="002C050C" w:rsidRPr="00B07B55" w:rsidRDefault="002C050C" w:rsidP="00495869">
      <w:pPr>
        <w:pStyle w:val="Text"/>
        <w:ind w:right="0"/>
        <w:rPr>
          <w:lang w:val="en-GB"/>
        </w:rPr>
      </w:pPr>
      <w:r w:rsidRPr="00B07B55">
        <w:rPr>
          <w:lang w:val="en-GB"/>
        </w:rPr>
        <w:t>Tables 13 and 14 report the results of the Probit analysis on the decision to enrol in education for males and females, respectively.</w:t>
      </w:r>
      <w:r w:rsidR="001C73D5">
        <w:rPr>
          <w:lang w:val="en-GB"/>
        </w:rPr>
        <w:t xml:space="preserve"> </w:t>
      </w:r>
      <w:r w:rsidRPr="00B07B55">
        <w:rPr>
          <w:lang w:val="en-GB"/>
        </w:rPr>
        <w:t xml:space="preserve">We include the results for Great Britain and for Australia. The coefficients are obtained </w:t>
      </w:r>
      <w:r w:rsidR="00773F7B">
        <w:rPr>
          <w:lang w:val="en-GB"/>
        </w:rPr>
        <w:t>using</w:t>
      </w:r>
      <w:r w:rsidRPr="00B07B55">
        <w:rPr>
          <w:lang w:val="en-GB"/>
        </w:rPr>
        <w:t xml:space="preserve"> the procedure outlined in the previous section. We only include individuals </w:t>
      </w:r>
      <w:r w:rsidR="00773F7B">
        <w:rPr>
          <w:lang w:val="en-GB"/>
        </w:rPr>
        <w:t>who</w:t>
      </w:r>
      <w:r w:rsidRPr="00B07B55">
        <w:rPr>
          <w:lang w:val="en-GB"/>
        </w:rPr>
        <w:t xml:space="preserve"> might have experienced an educa</w:t>
      </w:r>
      <w:r w:rsidR="00773F7B">
        <w:rPr>
          <w:lang w:val="en-GB"/>
        </w:rPr>
        <w:t>tion spell in the period 2002—09 (2002—</w:t>
      </w:r>
      <w:r w:rsidRPr="00B07B55">
        <w:rPr>
          <w:lang w:val="en-GB"/>
        </w:rPr>
        <w:t xml:space="preserve">08 for the British data). As before, we employ inverse probability weights for controlling for the selection effect which might arise from the exclusion of those individuals </w:t>
      </w:r>
      <w:r w:rsidR="001F5956">
        <w:rPr>
          <w:lang w:val="en-GB"/>
        </w:rPr>
        <w:t>who</w:t>
      </w:r>
      <w:r w:rsidRPr="00B07B55">
        <w:rPr>
          <w:lang w:val="en-GB"/>
        </w:rPr>
        <w:t xml:space="preserve"> </w:t>
      </w:r>
      <w:r w:rsidR="001678E2" w:rsidRPr="00B07B55">
        <w:rPr>
          <w:lang w:val="en-GB"/>
        </w:rPr>
        <w:t xml:space="preserve">were studying </w:t>
      </w:r>
      <w:r w:rsidRPr="00B07B55">
        <w:rPr>
          <w:lang w:val="en-GB"/>
        </w:rPr>
        <w:t>in 2001. An exact comparison of these results with those reported in tables 10 and 11 is not possible</w:t>
      </w:r>
      <w:r w:rsidR="001C73D5">
        <w:rPr>
          <w:lang w:val="en-GB"/>
        </w:rPr>
        <w:t>,</w:t>
      </w:r>
      <w:r w:rsidRPr="00B07B55">
        <w:rPr>
          <w:lang w:val="en-GB"/>
        </w:rPr>
        <w:t xml:space="preserve"> as the set of explanatory variables employed in this section is smaller than </w:t>
      </w:r>
      <w:r w:rsidR="001678E2" w:rsidRPr="00B07B55">
        <w:rPr>
          <w:lang w:val="en-GB"/>
        </w:rPr>
        <w:t>that</w:t>
      </w:r>
      <w:r w:rsidRPr="00B07B55">
        <w:rPr>
          <w:lang w:val="en-GB"/>
        </w:rPr>
        <w:t xml:space="preserve"> used previou</w:t>
      </w:r>
      <w:r w:rsidR="001C73D5">
        <w:rPr>
          <w:lang w:val="en-GB"/>
        </w:rPr>
        <w:t>sly, and</w:t>
      </w:r>
      <w:r w:rsidRPr="00B07B55">
        <w:rPr>
          <w:lang w:val="en-GB"/>
        </w:rPr>
        <w:t xml:space="preserve"> we can only </w:t>
      </w:r>
      <w:r w:rsidR="001678E2" w:rsidRPr="00B07B55">
        <w:rPr>
          <w:lang w:val="en-GB"/>
        </w:rPr>
        <w:t>include</w:t>
      </w:r>
      <w:r w:rsidRPr="00B07B55">
        <w:rPr>
          <w:lang w:val="en-GB"/>
        </w:rPr>
        <w:t xml:space="preserve"> variables that are available </w:t>
      </w:r>
      <w:r w:rsidR="001678E2" w:rsidRPr="00B07B55">
        <w:rPr>
          <w:lang w:val="en-GB"/>
        </w:rPr>
        <w:t>in both</w:t>
      </w:r>
      <w:r w:rsidRPr="00B07B55">
        <w:rPr>
          <w:lang w:val="en-GB"/>
        </w:rPr>
        <w:t xml:space="preserve"> datasets. Moreover, most of the ind</w:t>
      </w:r>
      <w:r w:rsidR="001C73D5">
        <w:rPr>
          <w:lang w:val="en-GB"/>
        </w:rPr>
        <w:t>ependent variables have been re</w:t>
      </w:r>
      <w:r w:rsidRPr="00B07B55">
        <w:rPr>
          <w:lang w:val="en-GB"/>
        </w:rPr>
        <w:t>coded in order to facilitate the anal</w:t>
      </w:r>
      <w:r w:rsidR="001C73D5">
        <w:rPr>
          <w:lang w:val="en-GB"/>
        </w:rPr>
        <w:t xml:space="preserve">ysis across the two countries. </w:t>
      </w:r>
      <w:r w:rsidRPr="00B07B55">
        <w:rPr>
          <w:lang w:val="en-GB"/>
        </w:rPr>
        <w:t>The coefficients pr</w:t>
      </w:r>
      <w:r w:rsidR="001C73D5">
        <w:rPr>
          <w:lang w:val="en-GB"/>
        </w:rPr>
        <w:t>esented for Australia are, none</w:t>
      </w:r>
      <w:r w:rsidRPr="00B07B55">
        <w:rPr>
          <w:lang w:val="en-GB"/>
        </w:rPr>
        <w:t>t</w:t>
      </w:r>
      <w:r w:rsidR="001C73D5">
        <w:rPr>
          <w:lang w:val="en-GB"/>
        </w:rPr>
        <w:t>he</w:t>
      </w:r>
      <w:r w:rsidRPr="00B07B55">
        <w:rPr>
          <w:lang w:val="en-GB"/>
        </w:rPr>
        <w:t xml:space="preserve">less, very similar to those already discussed in the previous section in terms of signs and significance. </w:t>
      </w:r>
    </w:p>
    <w:p w:rsidR="002C050C" w:rsidRDefault="002C050C" w:rsidP="00495869">
      <w:pPr>
        <w:pStyle w:val="Text"/>
        <w:ind w:right="0"/>
        <w:rPr>
          <w:lang w:val="en-GB"/>
        </w:rPr>
      </w:pPr>
      <w:r w:rsidRPr="00B07B55">
        <w:rPr>
          <w:lang w:val="en-GB"/>
        </w:rPr>
        <w:t>The results for males do not suggest any striking difference in the relation between the probability of enrolment and the explanatory variables in the two</w:t>
      </w:r>
      <w:r w:rsidR="001C73D5">
        <w:rPr>
          <w:lang w:val="en-GB"/>
        </w:rPr>
        <w:t xml:space="preserve"> countries under investigation. </w:t>
      </w:r>
      <w:r w:rsidRPr="00B07B55">
        <w:rPr>
          <w:lang w:val="en-GB"/>
        </w:rPr>
        <w:t xml:space="preserve">In both educational systems, holding a qualification above primary education (the reference category) is linked to a higher likelihood of enrolment, while </w:t>
      </w:r>
      <w:r w:rsidR="001678E2" w:rsidRPr="00B07B55">
        <w:rPr>
          <w:lang w:val="en-GB"/>
        </w:rPr>
        <w:t>there is</w:t>
      </w:r>
      <w:r w:rsidRPr="00B07B55">
        <w:rPr>
          <w:lang w:val="en-GB"/>
        </w:rPr>
        <w:t xml:space="preserve"> a negative relation </w:t>
      </w:r>
      <w:r w:rsidR="001678E2" w:rsidRPr="00B07B55">
        <w:rPr>
          <w:lang w:val="en-GB"/>
        </w:rPr>
        <w:t>with</w:t>
      </w:r>
      <w:r w:rsidRPr="00B07B55">
        <w:rPr>
          <w:lang w:val="en-GB"/>
        </w:rPr>
        <w:t xml:space="preserve"> age. In Great Britain</w:t>
      </w:r>
      <w:r w:rsidR="001678E2" w:rsidRPr="00B07B55">
        <w:rPr>
          <w:lang w:val="en-GB"/>
        </w:rPr>
        <w:t>,</w:t>
      </w:r>
      <w:r w:rsidRPr="00B07B55">
        <w:rPr>
          <w:lang w:val="en-GB"/>
        </w:rPr>
        <w:t xml:space="preserve"> never married individuals show a higher propensity to engage in education compared </w:t>
      </w:r>
      <w:r w:rsidR="001C73D5">
        <w:rPr>
          <w:lang w:val="en-GB"/>
        </w:rPr>
        <w:t>with</w:t>
      </w:r>
      <w:r w:rsidRPr="00B07B55">
        <w:rPr>
          <w:lang w:val="en-GB"/>
        </w:rPr>
        <w:t xml:space="preserve"> married ones (reference category) </w:t>
      </w:r>
      <w:r w:rsidR="001678E2" w:rsidRPr="00B07B55">
        <w:rPr>
          <w:lang w:val="en-GB"/>
        </w:rPr>
        <w:t xml:space="preserve">relative to Australia, </w:t>
      </w:r>
      <w:r w:rsidR="007719EB" w:rsidRPr="00B07B55">
        <w:rPr>
          <w:lang w:val="en-GB"/>
        </w:rPr>
        <w:t>while</w:t>
      </w:r>
      <w:r w:rsidRPr="00B07B55">
        <w:rPr>
          <w:lang w:val="en-GB"/>
        </w:rPr>
        <w:t xml:space="preserve"> disposable income</w:t>
      </w:r>
      <w:r w:rsidR="009E7277" w:rsidRPr="00B07B55">
        <w:rPr>
          <w:lang w:val="en-GB"/>
        </w:rPr>
        <w:t xml:space="preserve"> (which in this section is measured in </w:t>
      </w:r>
      <w:r w:rsidR="009E7277" w:rsidRPr="00603BA6">
        <w:rPr>
          <w:lang w:val="en-GB"/>
        </w:rPr>
        <w:t>PPP-</w:t>
      </w:r>
      <w:r w:rsidR="009E7277" w:rsidRPr="00B07B55">
        <w:rPr>
          <w:lang w:val="en-GB"/>
        </w:rPr>
        <w:t>corrected</w:t>
      </w:r>
      <w:r w:rsidR="001F5956">
        <w:rPr>
          <w:rStyle w:val="FootnoteReference"/>
          <w:lang w:val="en-GB"/>
        </w:rPr>
        <w:footnoteReference w:id="16"/>
      </w:r>
      <w:r w:rsidR="009E7277" w:rsidRPr="00B07B55">
        <w:rPr>
          <w:lang w:val="en-GB"/>
        </w:rPr>
        <w:t xml:space="preserve"> US dollars, to guarantee the comparability of the variable across the two countries)</w:t>
      </w:r>
      <w:r w:rsidRPr="00B07B55">
        <w:rPr>
          <w:lang w:val="en-GB"/>
        </w:rPr>
        <w:t xml:space="preserve"> </w:t>
      </w:r>
      <w:r w:rsidR="007719EB" w:rsidRPr="00B07B55">
        <w:rPr>
          <w:lang w:val="en-GB"/>
        </w:rPr>
        <w:t>is not related to</w:t>
      </w:r>
      <w:r w:rsidRPr="00B07B55">
        <w:rPr>
          <w:lang w:val="en-GB"/>
        </w:rPr>
        <w:t xml:space="preserve"> enrolment in Great Britain</w:t>
      </w:r>
      <w:r w:rsidR="007719EB" w:rsidRPr="00B07B55">
        <w:rPr>
          <w:lang w:val="en-GB"/>
        </w:rPr>
        <w:t xml:space="preserve"> but is negatively related in Australia</w:t>
      </w:r>
      <w:r w:rsidRPr="00B07B55">
        <w:rPr>
          <w:lang w:val="en-GB"/>
        </w:rPr>
        <w:t>.</w:t>
      </w:r>
    </w:p>
    <w:p w:rsidR="00407EF9" w:rsidRDefault="00407EF9">
      <w:pPr>
        <w:spacing w:before="0" w:line="240" w:lineRule="auto"/>
        <w:rPr>
          <w:rFonts w:ascii="Tahoma" w:hAnsi="Tahoma"/>
          <w:b/>
          <w:sz w:val="17"/>
          <w:lang w:val="en-GB"/>
        </w:rPr>
      </w:pPr>
      <w:bookmarkStart w:id="70" w:name="_Toc311576125"/>
      <w:r>
        <w:rPr>
          <w:lang w:val="en-GB"/>
        </w:rPr>
        <w:br w:type="page"/>
      </w:r>
    </w:p>
    <w:p w:rsidR="002C050C" w:rsidRPr="00B07B55" w:rsidRDefault="002C050C" w:rsidP="002C050C">
      <w:pPr>
        <w:pStyle w:val="tabletitle"/>
        <w:rPr>
          <w:lang w:val="en-GB"/>
        </w:rPr>
      </w:pPr>
      <w:bookmarkStart w:id="71" w:name="_Toc334021180"/>
      <w:r w:rsidRPr="00B07B55">
        <w:rPr>
          <w:lang w:val="en-GB"/>
        </w:rPr>
        <w:t>Table 13</w:t>
      </w:r>
      <w:r w:rsidRPr="00B07B55">
        <w:rPr>
          <w:lang w:val="en-GB"/>
        </w:rPr>
        <w:tab/>
      </w:r>
      <w:r w:rsidR="004D7E37" w:rsidRPr="00B07B55">
        <w:rPr>
          <w:lang w:val="en-GB"/>
        </w:rPr>
        <w:t>Impacts on the p</w:t>
      </w:r>
      <w:r w:rsidRPr="00B07B55">
        <w:rPr>
          <w:lang w:val="en-GB"/>
        </w:rPr>
        <w:t xml:space="preserve">robability of enrolling in </w:t>
      </w:r>
      <w:r w:rsidR="007A4E37">
        <w:rPr>
          <w:lang w:val="en-GB"/>
        </w:rPr>
        <w:t>mature-age</w:t>
      </w:r>
      <w:r w:rsidRPr="00B07B55">
        <w:rPr>
          <w:lang w:val="en-GB"/>
        </w:rPr>
        <w:t xml:space="preserve"> education: males, </w:t>
      </w:r>
      <w:r w:rsidR="00603BA6">
        <w:rPr>
          <w:lang w:val="en-GB"/>
        </w:rPr>
        <w:t>British survey</w:t>
      </w:r>
      <w:r w:rsidRPr="00B07B55">
        <w:rPr>
          <w:lang w:val="en-GB"/>
        </w:rPr>
        <w:t xml:space="preserve"> and</w:t>
      </w:r>
      <w:r w:rsidR="00407EF9">
        <w:rPr>
          <w:lang w:val="en-GB"/>
        </w:rPr>
        <w:t> </w:t>
      </w:r>
      <w:r w:rsidRPr="00B07B55">
        <w:rPr>
          <w:lang w:val="en-GB"/>
        </w:rPr>
        <w:t>HILDA</w:t>
      </w:r>
      <w:bookmarkEnd w:id="70"/>
      <w:bookmarkEnd w:id="71"/>
    </w:p>
    <w:tbl>
      <w:tblPr>
        <w:tblW w:w="8789" w:type="dxa"/>
        <w:tblInd w:w="113" w:type="dxa"/>
        <w:tblLayout w:type="fixed"/>
        <w:tblCellMar>
          <w:left w:w="113" w:type="dxa"/>
          <w:right w:w="113" w:type="dxa"/>
        </w:tblCellMar>
        <w:tblLook w:val="04A0"/>
      </w:tblPr>
      <w:tblGrid>
        <w:gridCol w:w="4184"/>
        <w:gridCol w:w="1151"/>
        <w:gridCol w:w="1151"/>
        <w:gridCol w:w="1151"/>
        <w:gridCol w:w="1152"/>
      </w:tblGrid>
      <w:tr w:rsidR="00D227E6" w:rsidRPr="00B07B55" w:rsidTr="00FA7C9F">
        <w:tc>
          <w:tcPr>
            <w:tcW w:w="4184" w:type="dxa"/>
            <w:tcBorders>
              <w:top w:val="single" w:sz="8" w:space="0" w:color="auto"/>
              <w:left w:val="nil"/>
              <w:bottom w:val="nil"/>
              <w:right w:val="nil"/>
            </w:tcBorders>
            <w:shd w:val="clear" w:color="auto" w:fill="auto"/>
            <w:tcMar>
              <w:top w:w="0" w:type="dxa"/>
              <w:left w:w="113" w:type="dxa"/>
              <w:bottom w:w="0" w:type="dxa"/>
              <w:right w:w="113" w:type="dxa"/>
            </w:tcMar>
            <w:hideMark/>
          </w:tcPr>
          <w:p w:rsidR="00D227E6" w:rsidRPr="00B07B55" w:rsidRDefault="00FA7C9F" w:rsidP="00FA7C9F">
            <w:pPr>
              <w:pStyle w:val="Tablehead1"/>
              <w:rPr>
                <w:lang w:val="en-GB"/>
              </w:rPr>
            </w:pPr>
            <w:r w:rsidRPr="00B07B55">
              <w:rPr>
                <w:lang w:val="en-GB"/>
              </w:rPr>
              <w:t> </w:t>
            </w:r>
          </w:p>
        </w:tc>
        <w:tc>
          <w:tcPr>
            <w:tcW w:w="2302" w:type="dxa"/>
            <w:gridSpan w:val="2"/>
            <w:tcBorders>
              <w:top w:val="single" w:sz="8" w:space="0" w:color="auto"/>
              <w:left w:val="nil"/>
              <w:bottom w:val="nil"/>
              <w:right w:val="nil"/>
            </w:tcBorders>
            <w:shd w:val="clear" w:color="auto" w:fill="auto"/>
            <w:tcMar>
              <w:top w:w="0" w:type="dxa"/>
              <w:left w:w="113" w:type="dxa"/>
              <w:bottom w:w="0" w:type="dxa"/>
              <w:right w:w="113" w:type="dxa"/>
            </w:tcMar>
            <w:hideMark/>
          </w:tcPr>
          <w:p w:rsidR="00D227E6" w:rsidRPr="00B07B55" w:rsidRDefault="00FA7C9F" w:rsidP="00FA7C9F">
            <w:pPr>
              <w:pStyle w:val="Tablehead1"/>
              <w:jc w:val="center"/>
              <w:rPr>
                <w:rFonts w:cs="Arial"/>
                <w:bCs/>
                <w:szCs w:val="17"/>
                <w:lang w:val="en-GB"/>
              </w:rPr>
            </w:pPr>
            <w:r w:rsidRPr="00B07B55">
              <w:rPr>
                <w:rFonts w:cs="Arial"/>
                <w:bCs/>
                <w:szCs w:val="17"/>
                <w:lang w:val="en-GB"/>
              </w:rPr>
              <w:t>Great Britain</w:t>
            </w:r>
          </w:p>
        </w:tc>
        <w:tc>
          <w:tcPr>
            <w:tcW w:w="2303" w:type="dxa"/>
            <w:gridSpan w:val="2"/>
            <w:tcBorders>
              <w:top w:val="single" w:sz="8" w:space="0" w:color="auto"/>
              <w:left w:val="nil"/>
              <w:bottom w:val="nil"/>
              <w:right w:val="nil"/>
            </w:tcBorders>
            <w:shd w:val="clear" w:color="auto" w:fill="auto"/>
            <w:noWrap/>
            <w:tcMar>
              <w:top w:w="0" w:type="dxa"/>
              <w:left w:w="113" w:type="dxa"/>
              <w:bottom w:w="0" w:type="dxa"/>
              <w:right w:w="113" w:type="dxa"/>
            </w:tcMar>
            <w:hideMark/>
          </w:tcPr>
          <w:p w:rsidR="00D227E6" w:rsidRPr="00B07B55" w:rsidRDefault="00FA7C9F" w:rsidP="00FA7C9F">
            <w:pPr>
              <w:pStyle w:val="Tablehead1"/>
              <w:jc w:val="center"/>
              <w:rPr>
                <w:rFonts w:cs="Arial"/>
                <w:bCs/>
                <w:szCs w:val="17"/>
                <w:lang w:val="en-GB"/>
              </w:rPr>
            </w:pPr>
            <w:r w:rsidRPr="00B07B55">
              <w:rPr>
                <w:rFonts w:cs="Arial"/>
                <w:bCs/>
                <w:szCs w:val="17"/>
                <w:lang w:val="en-GB"/>
              </w:rPr>
              <w:t>Australia</w:t>
            </w:r>
          </w:p>
        </w:tc>
      </w:tr>
      <w:tr w:rsidR="00D227E6" w:rsidRPr="00992B3C" w:rsidTr="00FA7C9F">
        <w:tc>
          <w:tcPr>
            <w:tcW w:w="4184" w:type="dxa"/>
            <w:tcBorders>
              <w:top w:val="nil"/>
              <w:left w:val="nil"/>
              <w:bottom w:val="single" w:sz="8" w:space="0" w:color="auto"/>
              <w:right w:val="nil"/>
            </w:tcBorders>
            <w:shd w:val="clear" w:color="auto" w:fill="auto"/>
            <w:tcMar>
              <w:top w:w="0" w:type="dxa"/>
              <w:left w:w="113" w:type="dxa"/>
              <w:bottom w:w="0" w:type="dxa"/>
              <w:right w:w="113" w:type="dxa"/>
            </w:tcMar>
            <w:hideMark/>
          </w:tcPr>
          <w:p w:rsidR="00D227E6" w:rsidRPr="00992B3C" w:rsidRDefault="00D227E6" w:rsidP="00FA7C9F">
            <w:pPr>
              <w:pStyle w:val="Tablehead2"/>
              <w:rPr>
                <w:lang w:val="en-GB"/>
              </w:rPr>
            </w:pPr>
            <w:r w:rsidRPr="00992B3C">
              <w:rPr>
                <w:lang w:val="en-GB"/>
              </w:rPr>
              <w:t> </w:t>
            </w:r>
          </w:p>
        </w:tc>
        <w:tc>
          <w:tcPr>
            <w:tcW w:w="1151" w:type="dxa"/>
            <w:tcBorders>
              <w:top w:val="nil"/>
              <w:left w:val="nil"/>
              <w:bottom w:val="single" w:sz="8" w:space="0" w:color="auto"/>
              <w:right w:val="nil"/>
            </w:tcBorders>
            <w:shd w:val="clear" w:color="auto" w:fill="auto"/>
            <w:tcMar>
              <w:top w:w="0" w:type="dxa"/>
              <w:left w:w="113" w:type="dxa"/>
              <w:bottom w:w="0" w:type="dxa"/>
              <w:right w:w="113" w:type="dxa"/>
            </w:tcMar>
            <w:hideMark/>
          </w:tcPr>
          <w:p w:rsidR="00D227E6" w:rsidRPr="00992B3C" w:rsidRDefault="00D227E6" w:rsidP="00FA7C9F">
            <w:pPr>
              <w:pStyle w:val="Tablehead2"/>
              <w:jc w:val="center"/>
              <w:rPr>
                <w:rFonts w:cs="Arial"/>
                <w:bCs/>
                <w:szCs w:val="17"/>
                <w:lang w:val="en-GB"/>
              </w:rPr>
            </w:pPr>
            <w:r w:rsidRPr="00992B3C">
              <w:rPr>
                <w:rFonts w:cs="Arial"/>
                <w:bCs/>
                <w:szCs w:val="17"/>
                <w:lang w:val="en-GB"/>
              </w:rPr>
              <w:t>Coeff.</w:t>
            </w:r>
          </w:p>
        </w:tc>
        <w:tc>
          <w:tcPr>
            <w:tcW w:w="1151" w:type="dxa"/>
            <w:tcBorders>
              <w:top w:val="nil"/>
              <w:left w:val="nil"/>
              <w:bottom w:val="single" w:sz="8" w:space="0" w:color="auto"/>
              <w:right w:val="nil"/>
            </w:tcBorders>
            <w:shd w:val="clear" w:color="auto" w:fill="auto"/>
            <w:noWrap/>
            <w:tcMar>
              <w:top w:w="0" w:type="dxa"/>
              <w:left w:w="113" w:type="dxa"/>
              <w:bottom w:w="0" w:type="dxa"/>
              <w:right w:w="113" w:type="dxa"/>
            </w:tcMar>
            <w:hideMark/>
          </w:tcPr>
          <w:p w:rsidR="00D227E6" w:rsidRPr="00992B3C" w:rsidRDefault="00D227E6" w:rsidP="00FA7C9F">
            <w:pPr>
              <w:pStyle w:val="Tablehead2"/>
              <w:jc w:val="center"/>
              <w:rPr>
                <w:rFonts w:cs="Arial"/>
                <w:bCs/>
                <w:szCs w:val="17"/>
                <w:lang w:val="en-GB"/>
              </w:rPr>
            </w:pPr>
            <w:r w:rsidRPr="00992B3C">
              <w:rPr>
                <w:rFonts w:cs="Arial"/>
                <w:bCs/>
                <w:szCs w:val="17"/>
                <w:lang w:val="en-GB"/>
              </w:rPr>
              <w:t>t-stat.</w:t>
            </w:r>
          </w:p>
        </w:tc>
        <w:tc>
          <w:tcPr>
            <w:tcW w:w="1151" w:type="dxa"/>
            <w:tcBorders>
              <w:top w:val="nil"/>
              <w:left w:val="nil"/>
              <w:bottom w:val="single" w:sz="8" w:space="0" w:color="auto"/>
              <w:right w:val="nil"/>
            </w:tcBorders>
            <w:shd w:val="clear" w:color="auto" w:fill="auto"/>
            <w:tcMar>
              <w:top w:w="0" w:type="dxa"/>
              <w:left w:w="113" w:type="dxa"/>
              <w:bottom w:w="0" w:type="dxa"/>
              <w:right w:w="113" w:type="dxa"/>
            </w:tcMar>
            <w:hideMark/>
          </w:tcPr>
          <w:p w:rsidR="00D227E6" w:rsidRPr="00992B3C" w:rsidRDefault="00D227E6" w:rsidP="00FA7C9F">
            <w:pPr>
              <w:pStyle w:val="Tablehead2"/>
              <w:jc w:val="center"/>
              <w:rPr>
                <w:rFonts w:cs="Arial"/>
                <w:bCs/>
                <w:szCs w:val="17"/>
                <w:lang w:val="en-GB"/>
              </w:rPr>
            </w:pPr>
            <w:r w:rsidRPr="00992B3C">
              <w:rPr>
                <w:rFonts w:cs="Arial"/>
                <w:bCs/>
                <w:szCs w:val="17"/>
                <w:lang w:val="en-GB"/>
              </w:rPr>
              <w:t>Coeff.</w:t>
            </w:r>
          </w:p>
        </w:tc>
        <w:tc>
          <w:tcPr>
            <w:tcW w:w="1152" w:type="dxa"/>
            <w:tcBorders>
              <w:top w:val="nil"/>
              <w:left w:val="nil"/>
              <w:bottom w:val="single" w:sz="8" w:space="0" w:color="auto"/>
              <w:right w:val="nil"/>
            </w:tcBorders>
            <w:shd w:val="clear" w:color="auto" w:fill="auto"/>
            <w:noWrap/>
            <w:tcMar>
              <w:top w:w="0" w:type="dxa"/>
              <w:left w:w="113" w:type="dxa"/>
              <w:bottom w:w="0" w:type="dxa"/>
              <w:right w:w="113" w:type="dxa"/>
            </w:tcMar>
            <w:hideMark/>
          </w:tcPr>
          <w:p w:rsidR="00D227E6" w:rsidRPr="00992B3C" w:rsidRDefault="00D227E6" w:rsidP="00FA7C9F">
            <w:pPr>
              <w:pStyle w:val="Tablehead2"/>
              <w:jc w:val="center"/>
              <w:rPr>
                <w:rFonts w:cs="Arial"/>
                <w:bCs/>
                <w:szCs w:val="17"/>
                <w:lang w:val="en-GB"/>
              </w:rPr>
            </w:pPr>
            <w:r w:rsidRPr="00992B3C">
              <w:rPr>
                <w:rFonts w:cs="Arial"/>
                <w:bCs/>
                <w:szCs w:val="17"/>
                <w:lang w:val="en-GB"/>
              </w:rPr>
              <w:t>t-stat.</w:t>
            </w:r>
          </w:p>
        </w:tc>
      </w:tr>
      <w:tr w:rsidR="00D227E6" w:rsidRPr="00B07B55" w:rsidTr="00FA7C9F">
        <w:tc>
          <w:tcPr>
            <w:tcW w:w="4184" w:type="dxa"/>
            <w:tcBorders>
              <w:top w:val="nil"/>
              <w:left w:val="nil"/>
              <w:bottom w:val="nil"/>
              <w:right w:val="nil"/>
            </w:tcBorders>
            <w:shd w:val="clear" w:color="auto" w:fill="auto"/>
            <w:tcMar>
              <w:top w:w="0" w:type="dxa"/>
              <w:left w:w="113" w:type="dxa"/>
              <w:bottom w:w="0" w:type="dxa"/>
              <w:right w:w="113" w:type="dxa"/>
            </w:tcMar>
            <w:hideMark/>
          </w:tcPr>
          <w:p w:rsidR="00D227E6" w:rsidRPr="00874A6C" w:rsidRDefault="00D227E6" w:rsidP="00FA7C9F">
            <w:pPr>
              <w:pStyle w:val="Tabletext"/>
              <w:rPr>
                <w:b/>
                <w:lang w:val="en-GB"/>
              </w:rPr>
            </w:pPr>
            <w:r w:rsidRPr="00874A6C">
              <w:rPr>
                <w:b/>
                <w:lang w:val="en-GB"/>
              </w:rPr>
              <w:t>Ref</w:t>
            </w:r>
            <w:r w:rsidR="00603BA6" w:rsidRPr="00874A6C">
              <w:rPr>
                <w:b/>
                <w:lang w:val="en-GB"/>
              </w:rPr>
              <w:t>erence category: age group 25–</w:t>
            </w:r>
            <w:r w:rsidRPr="00874A6C">
              <w:rPr>
                <w:b/>
                <w:lang w:val="en-GB"/>
              </w:rPr>
              <w:t>30</w:t>
            </w:r>
          </w:p>
        </w:tc>
        <w:tc>
          <w:tcPr>
            <w:tcW w:w="1151"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p>
        </w:tc>
      </w:tr>
      <w:tr w:rsidR="00D227E6" w:rsidRPr="00B07B55" w:rsidTr="00FA7C9F">
        <w:tc>
          <w:tcPr>
            <w:tcW w:w="4184"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603BA6" w:rsidP="00FA7C9F">
            <w:pPr>
              <w:pStyle w:val="Tabletext"/>
              <w:rPr>
                <w:lang w:val="en-GB"/>
              </w:rPr>
            </w:pPr>
            <w:r>
              <w:rPr>
                <w:lang w:val="en-GB"/>
              </w:rPr>
              <w:t>Age group 30–</w:t>
            </w:r>
            <w:r w:rsidR="00D227E6" w:rsidRPr="00B07B55">
              <w:rPr>
                <w:lang w:val="en-GB"/>
              </w:rPr>
              <w:t>35</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-0.0368</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-1.73</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-0.0537</w:t>
            </w: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-1.34</w:t>
            </w:r>
          </w:p>
        </w:tc>
      </w:tr>
      <w:tr w:rsidR="00D227E6" w:rsidRPr="00B07B55" w:rsidTr="00FA7C9F">
        <w:tc>
          <w:tcPr>
            <w:tcW w:w="4184"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603BA6" w:rsidP="00FA7C9F">
            <w:pPr>
              <w:pStyle w:val="Tabletext"/>
              <w:rPr>
                <w:lang w:val="en-GB"/>
              </w:rPr>
            </w:pPr>
            <w:r>
              <w:rPr>
                <w:lang w:val="en-GB"/>
              </w:rPr>
              <w:t>Age group 35–</w:t>
            </w:r>
            <w:r w:rsidR="00D227E6" w:rsidRPr="00B07B55">
              <w:rPr>
                <w:lang w:val="en-GB"/>
              </w:rPr>
              <w:t>40</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-0.0459</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-2.3</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-0.0572</w:t>
            </w: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-1.52</w:t>
            </w:r>
          </w:p>
        </w:tc>
      </w:tr>
      <w:tr w:rsidR="00D227E6" w:rsidRPr="00B07B55" w:rsidTr="00FA7C9F">
        <w:tc>
          <w:tcPr>
            <w:tcW w:w="4184"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603BA6" w:rsidP="00FA7C9F">
            <w:pPr>
              <w:pStyle w:val="Tabletext"/>
              <w:rPr>
                <w:lang w:val="en-GB"/>
              </w:rPr>
            </w:pPr>
            <w:r>
              <w:rPr>
                <w:lang w:val="en-GB"/>
              </w:rPr>
              <w:t>Age group 40–</w:t>
            </w:r>
            <w:r w:rsidR="00D227E6" w:rsidRPr="00B07B55">
              <w:rPr>
                <w:lang w:val="en-GB"/>
              </w:rPr>
              <w:t>45</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-0.0327</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-1.49</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-0.0706</w:t>
            </w: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-1.84</w:t>
            </w:r>
          </w:p>
        </w:tc>
      </w:tr>
      <w:tr w:rsidR="00D227E6" w:rsidRPr="00B07B55" w:rsidTr="00FA7C9F">
        <w:tc>
          <w:tcPr>
            <w:tcW w:w="4184"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603BA6" w:rsidP="00FA7C9F">
            <w:pPr>
              <w:pStyle w:val="Tabletext"/>
              <w:rPr>
                <w:lang w:val="en-GB"/>
              </w:rPr>
            </w:pPr>
            <w:r>
              <w:rPr>
                <w:lang w:val="en-GB"/>
              </w:rPr>
              <w:t>Age group 45–</w:t>
            </w:r>
            <w:r w:rsidR="00D227E6" w:rsidRPr="00B07B55">
              <w:rPr>
                <w:lang w:val="en-GB"/>
              </w:rPr>
              <w:t>50</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-0.0527</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-2.77</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-0.135</w:t>
            </w: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-4.15</w:t>
            </w:r>
          </w:p>
        </w:tc>
      </w:tr>
      <w:tr w:rsidR="00D227E6" w:rsidRPr="00B07B55" w:rsidTr="00FA7C9F">
        <w:tc>
          <w:tcPr>
            <w:tcW w:w="4184"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603BA6" w:rsidP="00FA7C9F">
            <w:pPr>
              <w:pStyle w:val="Tabletext"/>
              <w:rPr>
                <w:lang w:val="en-GB"/>
              </w:rPr>
            </w:pPr>
            <w:r>
              <w:rPr>
                <w:lang w:val="en-GB"/>
              </w:rPr>
              <w:t>Age group 50–</w:t>
            </w:r>
            <w:r w:rsidR="00D227E6" w:rsidRPr="00B07B55">
              <w:rPr>
                <w:lang w:val="en-GB"/>
              </w:rPr>
              <w:t>57</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-0.0643</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-3.17</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-0.181</w:t>
            </w: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-5.86</w:t>
            </w:r>
          </w:p>
        </w:tc>
      </w:tr>
      <w:tr w:rsidR="00D227E6" w:rsidRPr="00B07B55" w:rsidTr="00FA7C9F">
        <w:tc>
          <w:tcPr>
            <w:tcW w:w="4184" w:type="dxa"/>
            <w:tcBorders>
              <w:top w:val="nil"/>
              <w:left w:val="nil"/>
              <w:bottom w:val="nil"/>
              <w:right w:val="nil"/>
            </w:tcBorders>
            <w:shd w:val="clear" w:color="auto" w:fill="auto"/>
            <w:tcMar>
              <w:top w:w="0" w:type="dxa"/>
              <w:left w:w="113" w:type="dxa"/>
              <w:bottom w:w="0" w:type="dxa"/>
              <w:right w:w="113" w:type="dxa"/>
            </w:tcMar>
            <w:hideMark/>
          </w:tcPr>
          <w:p w:rsidR="00D227E6" w:rsidRPr="00874A6C" w:rsidRDefault="00D227E6" w:rsidP="00FA7C9F">
            <w:pPr>
              <w:pStyle w:val="Tabletext"/>
              <w:rPr>
                <w:b/>
                <w:lang w:val="en-GB"/>
              </w:rPr>
            </w:pPr>
            <w:r w:rsidRPr="00874A6C">
              <w:rPr>
                <w:b/>
                <w:lang w:val="en-GB"/>
              </w:rPr>
              <w:t>Reference category: primary education</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p>
        </w:tc>
      </w:tr>
      <w:tr w:rsidR="00D227E6" w:rsidRPr="00B07B55" w:rsidTr="00FA7C9F">
        <w:tc>
          <w:tcPr>
            <w:tcW w:w="4184"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Education: low intermediate</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0.0982</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1.15</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0.0902</w:t>
            </w: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1.51</w:t>
            </w:r>
          </w:p>
        </w:tc>
      </w:tr>
      <w:tr w:rsidR="00D227E6" w:rsidRPr="00B07B55" w:rsidTr="00FA7C9F">
        <w:tc>
          <w:tcPr>
            <w:tcW w:w="4184"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Education: intermediate (secondary)</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0.0988</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2.46</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0.208</w:t>
            </w: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3.42</w:t>
            </w:r>
          </w:p>
        </w:tc>
      </w:tr>
      <w:tr w:rsidR="00D227E6" w:rsidRPr="00B07B55" w:rsidTr="00FA7C9F">
        <w:tc>
          <w:tcPr>
            <w:tcW w:w="4184"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Education: high intermediate (high vocational)</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0.101</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2.01</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0.207</w:t>
            </w: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3.17</w:t>
            </w:r>
          </w:p>
        </w:tc>
      </w:tr>
      <w:tr w:rsidR="00D227E6" w:rsidRPr="00B07B55" w:rsidTr="00FA7C9F">
        <w:tc>
          <w:tcPr>
            <w:tcW w:w="4184"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Education: sub-degree</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0.132</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2.92</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0.224</w:t>
            </w: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3.13</w:t>
            </w:r>
          </w:p>
        </w:tc>
      </w:tr>
      <w:tr w:rsidR="00D227E6" w:rsidRPr="00B07B55" w:rsidTr="00FA7C9F">
        <w:tc>
          <w:tcPr>
            <w:tcW w:w="4184"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Education: first degree</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0.161</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2.81</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0.284</w:t>
            </w: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4.39</w:t>
            </w:r>
          </w:p>
        </w:tc>
      </w:tr>
      <w:tr w:rsidR="00D227E6" w:rsidRPr="00B07B55" w:rsidTr="00FA7C9F">
        <w:tc>
          <w:tcPr>
            <w:tcW w:w="4184"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Education: higher degree</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0.0931</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1.31</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0.251</w:t>
            </w: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2.56</w:t>
            </w:r>
          </w:p>
        </w:tc>
      </w:tr>
      <w:tr w:rsidR="00D227E6" w:rsidRPr="00B07B55" w:rsidTr="00FA7C9F">
        <w:tc>
          <w:tcPr>
            <w:tcW w:w="4184" w:type="dxa"/>
            <w:tcBorders>
              <w:top w:val="nil"/>
              <w:left w:val="nil"/>
              <w:bottom w:val="nil"/>
              <w:right w:val="nil"/>
            </w:tcBorders>
            <w:shd w:val="clear" w:color="auto" w:fill="auto"/>
            <w:noWrap/>
            <w:tcMar>
              <w:top w:w="0" w:type="dxa"/>
              <w:left w:w="113" w:type="dxa"/>
              <w:bottom w:w="0" w:type="dxa"/>
              <w:right w:w="113" w:type="dxa"/>
            </w:tcMar>
            <w:hideMark/>
          </w:tcPr>
          <w:p w:rsidR="00D227E6" w:rsidRPr="00874A6C" w:rsidRDefault="00D227E6" w:rsidP="00FA7C9F">
            <w:pPr>
              <w:pStyle w:val="Tabletext"/>
              <w:rPr>
                <w:b/>
                <w:lang w:val="en-GB"/>
              </w:rPr>
            </w:pPr>
            <w:r w:rsidRPr="00874A6C">
              <w:rPr>
                <w:b/>
                <w:lang w:val="en-GB"/>
              </w:rPr>
              <w:t>Reference category: non-immigrant</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p>
        </w:tc>
      </w:tr>
      <w:tr w:rsidR="00D227E6" w:rsidRPr="00B07B55" w:rsidTr="00FA7C9F">
        <w:tc>
          <w:tcPr>
            <w:tcW w:w="4184"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Immigrant, English speaking</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0.0553</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0.79</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-0.0181</w:t>
            </w: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-0.52</w:t>
            </w:r>
          </w:p>
        </w:tc>
      </w:tr>
      <w:tr w:rsidR="00D227E6" w:rsidRPr="00B07B55" w:rsidTr="00FA7C9F">
        <w:tc>
          <w:tcPr>
            <w:tcW w:w="4184"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Immigrant, non-English speaking</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0.0554</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0.92</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-0.0158</w:t>
            </w: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-0.42</w:t>
            </w:r>
          </w:p>
        </w:tc>
      </w:tr>
      <w:tr w:rsidR="00D227E6" w:rsidRPr="00B07B55" w:rsidTr="00FA7C9F">
        <w:tc>
          <w:tcPr>
            <w:tcW w:w="4184" w:type="dxa"/>
            <w:tcBorders>
              <w:top w:val="nil"/>
              <w:left w:val="nil"/>
              <w:bottom w:val="nil"/>
              <w:right w:val="nil"/>
            </w:tcBorders>
            <w:shd w:val="clear" w:color="auto" w:fill="auto"/>
            <w:tcMar>
              <w:top w:w="0" w:type="dxa"/>
              <w:left w:w="113" w:type="dxa"/>
              <w:bottom w:w="0" w:type="dxa"/>
              <w:right w:w="113" w:type="dxa"/>
            </w:tcMar>
            <w:hideMark/>
          </w:tcPr>
          <w:p w:rsidR="00D227E6" w:rsidRPr="00874A6C" w:rsidRDefault="00D227E6" w:rsidP="00FA7C9F">
            <w:pPr>
              <w:pStyle w:val="Tabletext"/>
              <w:rPr>
                <w:b/>
                <w:lang w:val="en-GB"/>
              </w:rPr>
            </w:pPr>
            <w:r w:rsidRPr="00874A6C">
              <w:rPr>
                <w:b/>
                <w:lang w:val="en-GB"/>
              </w:rPr>
              <w:t>Reference category: employed</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p>
        </w:tc>
      </w:tr>
      <w:tr w:rsidR="00D227E6" w:rsidRPr="00B07B55" w:rsidTr="00FA7C9F">
        <w:tc>
          <w:tcPr>
            <w:tcW w:w="4184"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Unemployed</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0.0164</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0.3</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0.0203</w:t>
            </w: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0.36</w:t>
            </w:r>
          </w:p>
        </w:tc>
      </w:tr>
      <w:tr w:rsidR="00D227E6" w:rsidRPr="00B07B55" w:rsidTr="00FA7C9F">
        <w:tc>
          <w:tcPr>
            <w:tcW w:w="4184"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Not in the labour force</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0.076</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1.77</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-0.0687</w:t>
            </w: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-1.72</w:t>
            </w:r>
          </w:p>
        </w:tc>
      </w:tr>
      <w:tr w:rsidR="00D227E6" w:rsidRPr="00B07B55" w:rsidTr="00FA7C9F">
        <w:tc>
          <w:tcPr>
            <w:tcW w:w="4184" w:type="dxa"/>
            <w:tcBorders>
              <w:top w:val="nil"/>
              <w:left w:val="nil"/>
              <w:bottom w:val="nil"/>
              <w:right w:val="nil"/>
            </w:tcBorders>
            <w:shd w:val="clear" w:color="auto" w:fill="auto"/>
            <w:tcMar>
              <w:top w:w="0" w:type="dxa"/>
              <w:left w:w="113" w:type="dxa"/>
              <w:bottom w:w="0" w:type="dxa"/>
              <w:right w:w="113" w:type="dxa"/>
            </w:tcMar>
            <w:hideMark/>
          </w:tcPr>
          <w:p w:rsidR="00D227E6" w:rsidRPr="00874A6C" w:rsidRDefault="00D227E6" w:rsidP="00FA7C9F">
            <w:pPr>
              <w:pStyle w:val="Tabletext"/>
              <w:rPr>
                <w:b/>
                <w:lang w:val="en-GB"/>
              </w:rPr>
            </w:pPr>
            <w:r w:rsidRPr="00874A6C">
              <w:rPr>
                <w:b/>
                <w:lang w:val="en-GB"/>
              </w:rPr>
              <w:t>Reference category: married</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p>
        </w:tc>
      </w:tr>
      <w:tr w:rsidR="00D227E6" w:rsidRPr="00B07B55" w:rsidTr="00FA7C9F">
        <w:tc>
          <w:tcPr>
            <w:tcW w:w="4184"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603BA6" w:rsidP="00FA7C9F">
            <w:pPr>
              <w:pStyle w:val="Tabletext"/>
              <w:rPr>
                <w:lang w:val="en-GB"/>
              </w:rPr>
            </w:pPr>
            <w:r>
              <w:rPr>
                <w:lang w:val="en-GB"/>
              </w:rPr>
              <w:t>Separated/</w:t>
            </w:r>
            <w:r w:rsidR="00D227E6" w:rsidRPr="00B07B55">
              <w:rPr>
                <w:lang w:val="en-GB"/>
              </w:rPr>
              <w:t>divorced</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0.0665</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1.94</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0.0293</w:t>
            </w: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0.66</w:t>
            </w:r>
          </w:p>
        </w:tc>
      </w:tr>
      <w:tr w:rsidR="00D227E6" w:rsidRPr="00B07B55" w:rsidTr="00FA7C9F">
        <w:tc>
          <w:tcPr>
            <w:tcW w:w="4184"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Never married</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0.0849</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3.21</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0.0295</w:t>
            </w: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0.78</w:t>
            </w:r>
          </w:p>
        </w:tc>
      </w:tr>
      <w:tr w:rsidR="00D227E6" w:rsidRPr="00B07B55" w:rsidTr="00FA7C9F">
        <w:tc>
          <w:tcPr>
            <w:tcW w:w="4184"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Number of dependent children</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0.00887</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0.9</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-0.00309</w:t>
            </w: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-0.26</w:t>
            </w:r>
          </w:p>
        </w:tc>
      </w:tr>
      <w:tr w:rsidR="00D227E6" w:rsidRPr="00B07B55" w:rsidTr="00FA7C9F">
        <w:tc>
          <w:tcPr>
            <w:tcW w:w="4184"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 xml:space="preserve">Disposable income </w:t>
            </w:r>
            <w:r w:rsidR="00CD0D0B" w:rsidRPr="003223AE">
              <w:rPr>
                <w:lang w:val="en-GB"/>
              </w:rPr>
              <w:t>(</w:t>
            </w:r>
            <w:r w:rsidR="00BF3F7E" w:rsidRPr="003223AE">
              <w:rPr>
                <w:lang w:val="en-GB"/>
              </w:rPr>
              <w:t xml:space="preserve">in US </w:t>
            </w:r>
            <w:r w:rsidR="003223AE" w:rsidRPr="003223AE">
              <w:rPr>
                <w:lang w:val="en-GB"/>
              </w:rPr>
              <w:t>$1</w:t>
            </w:r>
            <w:r w:rsidRPr="003223AE">
              <w:rPr>
                <w:lang w:val="en-GB"/>
              </w:rPr>
              <w:t>000</w:t>
            </w:r>
            <w:r w:rsidR="003223AE" w:rsidRPr="003223AE">
              <w:rPr>
                <w:lang w:val="en-GB"/>
              </w:rPr>
              <w:t>s</w:t>
            </w:r>
            <w:r w:rsidRPr="00F139D8">
              <w:rPr>
                <w:lang w:val="en-GB"/>
              </w:rPr>
              <w:t>)</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-0.00011</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-0.35</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284"/>
              </w:tabs>
              <w:rPr>
                <w:lang w:val="en-GB"/>
              </w:rPr>
            </w:pPr>
            <w:r w:rsidRPr="00B07B55">
              <w:rPr>
                <w:lang w:val="en-GB"/>
              </w:rPr>
              <w:t>-0.00223</w:t>
            </w:r>
          </w:p>
        </w:tc>
        <w:tc>
          <w:tcPr>
            <w:tcW w:w="1152"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tabs>
                <w:tab w:val="decimal" w:pos="397"/>
              </w:tabs>
              <w:rPr>
                <w:lang w:val="en-GB"/>
              </w:rPr>
            </w:pPr>
            <w:r w:rsidRPr="00B07B55">
              <w:rPr>
                <w:lang w:val="en-GB"/>
              </w:rPr>
              <w:t>-2.91</w:t>
            </w:r>
          </w:p>
        </w:tc>
      </w:tr>
      <w:tr w:rsidR="00D227E6" w:rsidRPr="00FA7C9F" w:rsidTr="00FA7C9F">
        <w:tc>
          <w:tcPr>
            <w:tcW w:w="4184" w:type="dxa"/>
            <w:tcBorders>
              <w:top w:val="nil"/>
              <w:left w:val="nil"/>
              <w:bottom w:val="single" w:sz="8" w:space="0" w:color="auto"/>
              <w:right w:val="nil"/>
            </w:tcBorders>
            <w:shd w:val="clear" w:color="auto" w:fill="auto"/>
            <w:tcMar>
              <w:top w:w="0" w:type="dxa"/>
              <w:left w:w="113" w:type="dxa"/>
              <w:bottom w:w="0" w:type="dxa"/>
              <w:right w:w="113" w:type="dxa"/>
            </w:tcMar>
            <w:hideMark/>
          </w:tcPr>
          <w:p w:rsidR="00D227E6" w:rsidRPr="00FA7C9F" w:rsidRDefault="00D227E6" w:rsidP="00FA7C9F">
            <w:pPr>
              <w:pStyle w:val="Tabletext"/>
              <w:rPr>
                <w:i/>
                <w:lang w:val="en-GB"/>
              </w:rPr>
            </w:pPr>
            <w:r w:rsidRPr="00FA7C9F">
              <w:rPr>
                <w:i/>
                <w:lang w:val="en-GB"/>
              </w:rPr>
              <w:t>Observations</w:t>
            </w:r>
          </w:p>
        </w:tc>
        <w:tc>
          <w:tcPr>
            <w:tcW w:w="2302" w:type="dxa"/>
            <w:gridSpan w:val="2"/>
            <w:tcBorders>
              <w:top w:val="nil"/>
              <w:left w:val="nil"/>
              <w:bottom w:val="single" w:sz="8" w:space="0" w:color="auto"/>
              <w:right w:val="nil"/>
            </w:tcBorders>
            <w:shd w:val="clear" w:color="auto" w:fill="auto"/>
            <w:noWrap/>
            <w:tcMar>
              <w:top w:w="0" w:type="dxa"/>
              <w:left w:w="113" w:type="dxa"/>
              <w:bottom w:w="0" w:type="dxa"/>
              <w:right w:w="113" w:type="dxa"/>
            </w:tcMar>
            <w:hideMark/>
          </w:tcPr>
          <w:p w:rsidR="00D227E6" w:rsidRPr="00FA7C9F" w:rsidRDefault="00D227E6" w:rsidP="00FA7C9F">
            <w:pPr>
              <w:pStyle w:val="Tabletext"/>
              <w:jc w:val="center"/>
              <w:rPr>
                <w:i/>
                <w:lang w:val="en-GB"/>
              </w:rPr>
            </w:pPr>
            <w:r w:rsidRPr="00FA7C9F">
              <w:rPr>
                <w:i/>
                <w:lang w:val="en-GB"/>
              </w:rPr>
              <w:t>1931</w:t>
            </w:r>
          </w:p>
        </w:tc>
        <w:tc>
          <w:tcPr>
            <w:tcW w:w="2303" w:type="dxa"/>
            <w:gridSpan w:val="2"/>
            <w:tcBorders>
              <w:top w:val="nil"/>
              <w:left w:val="nil"/>
              <w:bottom w:val="single" w:sz="8" w:space="0" w:color="auto"/>
              <w:right w:val="nil"/>
            </w:tcBorders>
            <w:shd w:val="clear" w:color="auto" w:fill="auto"/>
            <w:noWrap/>
            <w:tcMar>
              <w:top w:w="0" w:type="dxa"/>
              <w:left w:w="113" w:type="dxa"/>
              <w:bottom w:w="0" w:type="dxa"/>
              <w:right w:w="113" w:type="dxa"/>
            </w:tcMar>
            <w:hideMark/>
          </w:tcPr>
          <w:p w:rsidR="00D227E6" w:rsidRPr="00FA7C9F" w:rsidRDefault="00D227E6" w:rsidP="00FA7C9F">
            <w:pPr>
              <w:pStyle w:val="Tabletext"/>
              <w:jc w:val="center"/>
              <w:rPr>
                <w:i/>
                <w:lang w:val="en-GB"/>
              </w:rPr>
            </w:pPr>
            <w:r w:rsidRPr="00FA7C9F">
              <w:rPr>
                <w:i/>
                <w:lang w:val="en-GB"/>
              </w:rPr>
              <w:t>2072</w:t>
            </w:r>
          </w:p>
        </w:tc>
      </w:tr>
    </w:tbl>
    <w:p w:rsidR="008C5967" w:rsidRPr="00FA7C9F" w:rsidRDefault="002C050C" w:rsidP="00FA7C9F">
      <w:pPr>
        <w:pStyle w:val="Source"/>
      </w:pPr>
      <w:r w:rsidRPr="00B07B55">
        <w:rPr>
          <w:lang w:val="en-GB"/>
        </w:rPr>
        <w:t>Note</w:t>
      </w:r>
      <w:r w:rsidR="00FA7C9F">
        <w:rPr>
          <w:lang w:val="en-GB"/>
        </w:rPr>
        <w:t>s</w:t>
      </w:r>
      <w:r w:rsidRPr="00B07B55">
        <w:rPr>
          <w:lang w:val="en-GB"/>
        </w:rPr>
        <w:t>:</w:t>
      </w:r>
      <w:r w:rsidR="00FA7C9F">
        <w:rPr>
          <w:lang w:val="en-GB"/>
        </w:rPr>
        <w:tab/>
      </w:r>
      <w:r w:rsidR="00FA7C9F" w:rsidRPr="00B07B55">
        <w:rPr>
          <w:lang w:val="en-GB"/>
        </w:rPr>
        <w:t xml:space="preserve">The </w:t>
      </w:r>
      <w:r w:rsidR="00D227E6" w:rsidRPr="00FA7C9F">
        <w:t>disposable income is expressed in PPP-corrected US dollars</w:t>
      </w:r>
      <w:r w:rsidRPr="00FA7C9F">
        <w:t xml:space="preserve">; </w:t>
      </w:r>
      <w:r w:rsidR="00992B3C" w:rsidRPr="00FA7C9F">
        <w:t xml:space="preserve">regressions </w:t>
      </w:r>
      <w:r w:rsidRPr="00FA7C9F">
        <w:t xml:space="preserve">include state indicators. </w:t>
      </w:r>
      <w:r w:rsidR="00FA7C9F">
        <w:br/>
      </w:r>
      <w:r w:rsidR="008C5967" w:rsidRPr="00FA7C9F">
        <w:t>Coefficients estimated using adjusted weights. t-statistics based on White standard errors.</w:t>
      </w:r>
    </w:p>
    <w:p w:rsidR="002C050C" w:rsidRPr="00B07B55" w:rsidRDefault="00603BA6" w:rsidP="00FA7C9F">
      <w:pPr>
        <w:pStyle w:val="Source"/>
        <w:rPr>
          <w:lang w:val="en-GB"/>
        </w:rPr>
      </w:pPr>
      <w:r w:rsidRPr="00FA7C9F">
        <w:t>Source:</w:t>
      </w:r>
      <w:r w:rsidR="00FA7C9F">
        <w:tab/>
      </w:r>
      <w:r w:rsidRPr="00FA7C9F">
        <w:t>BHPS an</w:t>
      </w:r>
      <w:r>
        <w:rPr>
          <w:lang w:val="en-GB"/>
        </w:rPr>
        <w:t>d HILDA d</w:t>
      </w:r>
      <w:r w:rsidR="002C050C" w:rsidRPr="00B07B55">
        <w:rPr>
          <w:lang w:val="en-GB"/>
        </w:rPr>
        <w:t>ata.</w:t>
      </w:r>
    </w:p>
    <w:p w:rsidR="002C050C" w:rsidRDefault="002C050C" w:rsidP="00FA7C9F">
      <w:pPr>
        <w:pStyle w:val="Textmorebefore"/>
      </w:pPr>
      <w:r w:rsidRPr="00B07B55">
        <w:t xml:space="preserve">The estimated coefficients </w:t>
      </w:r>
      <w:r w:rsidR="00603BA6" w:rsidRPr="00B07B55">
        <w:t xml:space="preserve">for females </w:t>
      </w:r>
      <w:r w:rsidRPr="00B07B55">
        <w:t>are less similar across the two countries.</w:t>
      </w:r>
      <w:r w:rsidR="001C73D5">
        <w:t xml:space="preserve"> </w:t>
      </w:r>
      <w:r w:rsidRPr="00B07B55">
        <w:t xml:space="preserve">While holding any </w:t>
      </w:r>
      <w:r w:rsidR="007719EB" w:rsidRPr="00B07B55">
        <w:t xml:space="preserve">education level above </w:t>
      </w:r>
      <w:r w:rsidRPr="00B07B55">
        <w:t xml:space="preserve">primary is generally linked to </w:t>
      </w:r>
      <w:r w:rsidR="007719EB" w:rsidRPr="00B07B55">
        <w:t>higher probabilities</w:t>
      </w:r>
      <w:r w:rsidRPr="00B07B55">
        <w:t xml:space="preserve"> of enrolment, the evidence with respect to the relation between re-engagement and age is more mi</w:t>
      </w:r>
      <w:r w:rsidR="007719EB" w:rsidRPr="00B07B55">
        <w:t>xed. While for Australian women</w:t>
      </w:r>
      <w:r w:rsidRPr="00B07B55">
        <w:t xml:space="preserve"> a clear negative pattern</w:t>
      </w:r>
      <w:r w:rsidR="007719EB" w:rsidRPr="00B07B55">
        <w:t xml:space="preserve"> with age is estimated</w:t>
      </w:r>
      <w:r w:rsidRPr="00B07B55">
        <w:t xml:space="preserve">, this is not </w:t>
      </w:r>
      <w:r w:rsidR="007719EB" w:rsidRPr="00B07B55">
        <w:t>the case</w:t>
      </w:r>
      <w:r w:rsidRPr="00B07B55">
        <w:t xml:space="preserve"> for British </w:t>
      </w:r>
      <w:r w:rsidR="007719EB" w:rsidRPr="00B07B55">
        <w:t>females</w:t>
      </w:r>
      <w:r w:rsidRPr="00B07B55">
        <w:t xml:space="preserve">. Further differences arise with respect to the labour force and marital status </w:t>
      </w:r>
      <w:r w:rsidR="007719EB" w:rsidRPr="00B07B55">
        <w:t>coefficients</w:t>
      </w:r>
      <w:r w:rsidRPr="00B07B55">
        <w:t xml:space="preserve">. Taking employed women as the reference category, unemployed or out of the labour force women in Great Britain do not show a different propensity of engaging in education. In </w:t>
      </w:r>
      <w:r w:rsidR="007719EB" w:rsidRPr="00B07B55">
        <w:t>Australia, however, unemployed</w:t>
      </w:r>
      <w:r w:rsidRPr="00B07B55">
        <w:t xml:space="preserve"> women </w:t>
      </w:r>
      <w:r w:rsidR="007719EB" w:rsidRPr="00B07B55">
        <w:t>have</w:t>
      </w:r>
      <w:r w:rsidRPr="00B07B55">
        <w:t xml:space="preserve"> a higher </w:t>
      </w:r>
      <w:r w:rsidR="007719EB" w:rsidRPr="00B07B55">
        <w:t xml:space="preserve">propensity </w:t>
      </w:r>
      <w:r w:rsidRPr="00B07B55">
        <w:t>to enrol</w:t>
      </w:r>
      <w:r w:rsidR="007719EB" w:rsidRPr="00B07B55">
        <w:t xml:space="preserve"> in education than the employed, while</w:t>
      </w:r>
      <w:r w:rsidRPr="00B07B55">
        <w:t xml:space="preserve"> those out the labour force </w:t>
      </w:r>
      <w:r w:rsidR="007719EB" w:rsidRPr="00B07B55">
        <w:t>have</w:t>
      </w:r>
      <w:r w:rsidRPr="00B07B55">
        <w:t xml:space="preserve"> a lower propensity. The positive link between engagement in </w:t>
      </w:r>
      <w:r w:rsidR="007A4E37">
        <w:t>mature-age</w:t>
      </w:r>
      <w:r w:rsidRPr="00B07B55">
        <w:t xml:space="preserve"> education and being separated or divorced for Australian women is </w:t>
      </w:r>
      <w:r w:rsidR="007719EB" w:rsidRPr="00B07B55">
        <w:t>mirrored by a similar but less strong</w:t>
      </w:r>
      <w:r w:rsidRPr="00B07B55">
        <w:t xml:space="preserve"> </w:t>
      </w:r>
      <w:r w:rsidR="007719EB" w:rsidRPr="00B07B55">
        <w:t>relationship</w:t>
      </w:r>
      <w:r w:rsidRPr="00B07B55">
        <w:t xml:space="preserve"> in Great Britain.</w:t>
      </w:r>
    </w:p>
    <w:p w:rsidR="00FA7C9F" w:rsidRDefault="00FA7C9F">
      <w:pPr>
        <w:spacing w:before="0" w:line="240" w:lineRule="auto"/>
        <w:rPr>
          <w:rFonts w:ascii="Tahoma" w:hAnsi="Tahoma"/>
          <w:b/>
          <w:sz w:val="17"/>
          <w:lang w:val="en-GB"/>
        </w:rPr>
      </w:pPr>
      <w:bookmarkStart w:id="72" w:name="_Toc311576126"/>
      <w:r>
        <w:rPr>
          <w:lang w:val="en-GB"/>
        </w:rPr>
        <w:br w:type="page"/>
      </w:r>
    </w:p>
    <w:p w:rsidR="002C050C" w:rsidRPr="00B07B55" w:rsidRDefault="002C050C" w:rsidP="002C050C">
      <w:pPr>
        <w:pStyle w:val="tabletitle"/>
        <w:rPr>
          <w:lang w:val="en-GB"/>
        </w:rPr>
      </w:pPr>
      <w:bookmarkStart w:id="73" w:name="_Toc334021181"/>
      <w:r w:rsidRPr="00B07B55">
        <w:rPr>
          <w:lang w:val="en-GB"/>
        </w:rPr>
        <w:t>Table 14</w:t>
      </w:r>
      <w:r w:rsidRPr="00B07B55">
        <w:rPr>
          <w:lang w:val="en-GB"/>
        </w:rPr>
        <w:tab/>
      </w:r>
      <w:r w:rsidR="004D7E37" w:rsidRPr="00B07B55">
        <w:rPr>
          <w:lang w:val="en-GB"/>
        </w:rPr>
        <w:t>Impacts on the p</w:t>
      </w:r>
      <w:r w:rsidRPr="00B07B55">
        <w:rPr>
          <w:lang w:val="en-GB"/>
        </w:rPr>
        <w:t xml:space="preserve">robability of enrolling in </w:t>
      </w:r>
      <w:r w:rsidR="007A4E37">
        <w:rPr>
          <w:lang w:val="en-GB"/>
        </w:rPr>
        <w:t>mature-age</w:t>
      </w:r>
      <w:r w:rsidRPr="00B07B55">
        <w:rPr>
          <w:lang w:val="en-GB"/>
        </w:rPr>
        <w:t xml:space="preserve"> education: females, </w:t>
      </w:r>
      <w:r w:rsidR="00603BA6">
        <w:rPr>
          <w:lang w:val="en-GB"/>
        </w:rPr>
        <w:t>British survey</w:t>
      </w:r>
      <w:r w:rsidRPr="00B07B55">
        <w:rPr>
          <w:lang w:val="en-GB"/>
        </w:rPr>
        <w:t xml:space="preserve"> and</w:t>
      </w:r>
      <w:r w:rsidR="00461B87">
        <w:rPr>
          <w:lang w:val="en-GB"/>
        </w:rPr>
        <w:t> </w:t>
      </w:r>
      <w:r w:rsidRPr="00B07B55">
        <w:rPr>
          <w:lang w:val="en-GB"/>
        </w:rPr>
        <w:t>HILDA</w:t>
      </w:r>
      <w:bookmarkEnd w:id="72"/>
      <w:bookmarkEnd w:id="73"/>
    </w:p>
    <w:tbl>
      <w:tblPr>
        <w:tblW w:w="8789" w:type="dxa"/>
        <w:tblInd w:w="113" w:type="dxa"/>
        <w:tblLayout w:type="fixed"/>
        <w:tblCellMar>
          <w:left w:w="113" w:type="dxa"/>
          <w:right w:w="113" w:type="dxa"/>
        </w:tblCellMar>
        <w:tblLook w:val="04A0"/>
      </w:tblPr>
      <w:tblGrid>
        <w:gridCol w:w="4185"/>
        <w:gridCol w:w="1151"/>
        <w:gridCol w:w="1151"/>
        <w:gridCol w:w="1151"/>
        <w:gridCol w:w="1151"/>
      </w:tblGrid>
      <w:tr w:rsidR="00D227E6" w:rsidRPr="00B07B55" w:rsidTr="00461B87">
        <w:tc>
          <w:tcPr>
            <w:tcW w:w="4185" w:type="dxa"/>
            <w:tcBorders>
              <w:top w:val="single" w:sz="8" w:space="0" w:color="auto"/>
              <w:left w:val="nil"/>
              <w:bottom w:val="nil"/>
              <w:right w:val="nil"/>
            </w:tcBorders>
            <w:shd w:val="clear" w:color="auto" w:fill="auto"/>
            <w:noWrap/>
            <w:tcMar>
              <w:top w:w="0" w:type="dxa"/>
              <w:left w:w="113" w:type="dxa"/>
              <w:bottom w:w="0" w:type="dxa"/>
              <w:right w:w="113" w:type="dxa"/>
            </w:tcMar>
            <w:hideMark/>
          </w:tcPr>
          <w:p w:rsidR="00D227E6" w:rsidRPr="00B07B55" w:rsidRDefault="00FA7C9F" w:rsidP="00FA7C9F">
            <w:pPr>
              <w:pStyle w:val="Tablehead1"/>
              <w:rPr>
                <w:lang w:val="en-GB"/>
              </w:rPr>
            </w:pPr>
            <w:r w:rsidRPr="00B07B55">
              <w:rPr>
                <w:lang w:val="en-GB"/>
              </w:rPr>
              <w:t> </w:t>
            </w:r>
          </w:p>
        </w:tc>
        <w:tc>
          <w:tcPr>
            <w:tcW w:w="2302" w:type="dxa"/>
            <w:gridSpan w:val="2"/>
            <w:tcBorders>
              <w:top w:val="single" w:sz="8" w:space="0" w:color="auto"/>
              <w:left w:val="nil"/>
              <w:bottom w:val="nil"/>
              <w:right w:val="nil"/>
            </w:tcBorders>
            <w:shd w:val="clear" w:color="auto" w:fill="auto"/>
            <w:tcMar>
              <w:top w:w="0" w:type="dxa"/>
              <w:left w:w="113" w:type="dxa"/>
              <w:bottom w:w="0" w:type="dxa"/>
              <w:right w:w="113" w:type="dxa"/>
            </w:tcMar>
            <w:hideMark/>
          </w:tcPr>
          <w:p w:rsidR="00D227E6" w:rsidRPr="00B07B55" w:rsidRDefault="00FA7C9F" w:rsidP="00461B87">
            <w:pPr>
              <w:pStyle w:val="Tablehead1"/>
              <w:jc w:val="center"/>
              <w:rPr>
                <w:rFonts w:cs="Arial"/>
                <w:bCs/>
                <w:szCs w:val="17"/>
                <w:lang w:val="en-GB"/>
              </w:rPr>
            </w:pPr>
            <w:r w:rsidRPr="00B07B55">
              <w:rPr>
                <w:rFonts w:cs="Arial"/>
                <w:bCs/>
                <w:szCs w:val="17"/>
                <w:lang w:val="en-GB"/>
              </w:rPr>
              <w:t>Great Britain</w:t>
            </w:r>
          </w:p>
        </w:tc>
        <w:tc>
          <w:tcPr>
            <w:tcW w:w="2302" w:type="dxa"/>
            <w:gridSpan w:val="2"/>
            <w:tcBorders>
              <w:top w:val="single" w:sz="8" w:space="0" w:color="auto"/>
              <w:left w:val="nil"/>
              <w:bottom w:val="nil"/>
              <w:right w:val="nil"/>
            </w:tcBorders>
            <w:shd w:val="clear" w:color="auto" w:fill="auto"/>
            <w:tcMar>
              <w:top w:w="0" w:type="dxa"/>
              <w:left w:w="113" w:type="dxa"/>
              <w:bottom w:w="0" w:type="dxa"/>
              <w:right w:w="113" w:type="dxa"/>
            </w:tcMar>
            <w:hideMark/>
          </w:tcPr>
          <w:p w:rsidR="00D227E6" w:rsidRPr="00B07B55" w:rsidRDefault="00FA7C9F" w:rsidP="00461B87">
            <w:pPr>
              <w:pStyle w:val="Tablehead1"/>
              <w:jc w:val="center"/>
              <w:rPr>
                <w:rFonts w:cs="Arial"/>
                <w:bCs/>
                <w:szCs w:val="17"/>
                <w:lang w:val="en-GB"/>
              </w:rPr>
            </w:pPr>
            <w:r w:rsidRPr="00B07B55">
              <w:rPr>
                <w:rFonts w:cs="Arial"/>
                <w:bCs/>
                <w:szCs w:val="17"/>
                <w:lang w:val="en-GB"/>
              </w:rPr>
              <w:t>Australia</w:t>
            </w:r>
          </w:p>
        </w:tc>
      </w:tr>
      <w:tr w:rsidR="00D227E6" w:rsidRPr="00992B3C" w:rsidTr="00461B87">
        <w:tc>
          <w:tcPr>
            <w:tcW w:w="4185" w:type="dxa"/>
            <w:tcBorders>
              <w:top w:val="nil"/>
              <w:left w:val="nil"/>
              <w:bottom w:val="single" w:sz="8" w:space="0" w:color="auto"/>
              <w:right w:val="nil"/>
            </w:tcBorders>
            <w:shd w:val="clear" w:color="auto" w:fill="auto"/>
            <w:noWrap/>
            <w:tcMar>
              <w:top w:w="0" w:type="dxa"/>
              <w:left w:w="113" w:type="dxa"/>
              <w:bottom w:w="0" w:type="dxa"/>
              <w:right w:w="113" w:type="dxa"/>
            </w:tcMar>
            <w:hideMark/>
          </w:tcPr>
          <w:p w:rsidR="00D227E6" w:rsidRPr="00992B3C" w:rsidRDefault="00D227E6" w:rsidP="00FA7C9F">
            <w:pPr>
              <w:pStyle w:val="Tablehead2"/>
              <w:rPr>
                <w:lang w:val="en-GB"/>
              </w:rPr>
            </w:pPr>
            <w:r w:rsidRPr="00992B3C">
              <w:rPr>
                <w:lang w:val="en-GB"/>
              </w:rPr>
              <w:t> </w:t>
            </w:r>
          </w:p>
        </w:tc>
        <w:tc>
          <w:tcPr>
            <w:tcW w:w="1151" w:type="dxa"/>
            <w:tcBorders>
              <w:top w:val="nil"/>
              <w:left w:val="nil"/>
              <w:bottom w:val="single" w:sz="8" w:space="0" w:color="auto"/>
              <w:right w:val="nil"/>
            </w:tcBorders>
            <w:shd w:val="clear" w:color="auto" w:fill="auto"/>
            <w:tcMar>
              <w:top w:w="0" w:type="dxa"/>
              <w:left w:w="113" w:type="dxa"/>
              <w:bottom w:w="0" w:type="dxa"/>
              <w:right w:w="113" w:type="dxa"/>
            </w:tcMar>
            <w:hideMark/>
          </w:tcPr>
          <w:p w:rsidR="00D227E6" w:rsidRPr="00992B3C" w:rsidRDefault="00D227E6" w:rsidP="00461B87">
            <w:pPr>
              <w:pStyle w:val="Tablehead2"/>
              <w:jc w:val="center"/>
              <w:rPr>
                <w:rFonts w:cs="Arial"/>
                <w:bCs/>
                <w:szCs w:val="17"/>
                <w:lang w:val="en-GB"/>
              </w:rPr>
            </w:pPr>
            <w:r w:rsidRPr="00992B3C">
              <w:rPr>
                <w:rFonts w:cs="Arial"/>
                <w:bCs/>
                <w:szCs w:val="17"/>
                <w:lang w:val="en-GB"/>
              </w:rPr>
              <w:t>Coeff.</w:t>
            </w:r>
          </w:p>
        </w:tc>
        <w:tc>
          <w:tcPr>
            <w:tcW w:w="1151" w:type="dxa"/>
            <w:tcBorders>
              <w:top w:val="nil"/>
              <w:left w:val="nil"/>
              <w:bottom w:val="single" w:sz="8" w:space="0" w:color="auto"/>
              <w:right w:val="nil"/>
            </w:tcBorders>
            <w:shd w:val="clear" w:color="auto" w:fill="auto"/>
            <w:tcMar>
              <w:top w:w="0" w:type="dxa"/>
              <w:left w:w="113" w:type="dxa"/>
              <w:bottom w:w="0" w:type="dxa"/>
              <w:right w:w="113" w:type="dxa"/>
            </w:tcMar>
            <w:hideMark/>
          </w:tcPr>
          <w:p w:rsidR="00D227E6" w:rsidRPr="00992B3C" w:rsidRDefault="00D227E6" w:rsidP="00461B87">
            <w:pPr>
              <w:pStyle w:val="Tablehead2"/>
              <w:jc w:val="center"/>
              <w:rPr>
                <w:rFonts w:cs="Arial"/>
                <w:bCs/>
                <w:szCs w:val="17"/>
                <w:lang w:val="en-GB"/>
              </w:rPr>
            </w:pPr>
            <w:r w:rsidRPr="00992B3C">
              <w:rPr>
                <w:rFonts w:cs="Arial"/>
                <w:bCs/>
                <w:szCs w:val="17"/>
                <w:lang w:val="en-GB"/>
              </w:rPr>
              <w:t>t-stat.</w:t>
            </w:r>
          </w:p>
        </w:tc>
        <w:tc>
          <w:tcPr>
            <w:tcW w:w="1151" w:type="dxa"/>
            <w:tcBorders>
              <w:top w:val="nil"/>
              <w:left w:val="nil"/>
              <w:bottom w:val="single" w:sz="8" w:space="0" w:color="auto"/>
              <w:right w:val="nil"/>
            </w:tcBorders>
            <w:shd w:val="clear" w:color="auto" w:fill="auto"/>
            <w:tcMar>
              <w:top w:w="0" w:type="dxa"/>
              <w:left w:w="113" w:type="dxa"/>
              <w:bottom w:w="0" w:type="dxa"/>
              <w:right w:w="113" w:type="dxa"/>
            </w:tcMar>
            <w:hideMark/>
          </w:tcPr>
          <w:p w:rsidR="00D227E6" w:rsidRPr="00992B3C" w:rsidRDefault="00D227E6" w:rsidP="00461B87">
            <w:pPr>
              <w:pStyle w:val="Tablehead2"/>
              <w:jc w:val="center"/>
              <w:rPr>
                <w:rFonts w:cs="Arial"/>
                <w:bCs/>
                <w:szCs w:val="17"/>
                <w:lang w:val="en-GB"/>
              </w:rPr>
            </w:pPr>
            <w:r w:rsidRPr="00992B3C">
              <w:rPr>
                <w:rFonts w:cs="Arial"/>
                <w:bCs/>
                <w:szCs w:val="17"/>
                <w:lang w:val="en-GB"/>
              </w:rPr>
              <w:t>Coeff.</w:t>
            </w:r>
          </w:p>
        </w:tc>
        <w:tc>
          <w:tcPr>
            <w:tcW w:w="1151" w:type="dxa"/>
            <w:tcBorders>
              <w:top w:val="nil"/>
              <w:left w:val="nil"/>
              <w:bottom w:val="single" w:sz="8" w:space="0" w:color="auto"/>
              <w:right w:val="nil"/>
            </w:tcBorders>
            <w:shd w:val="clear" w:color="auto" w:fill="auto"/>
            <w:tcMar>
              <w:top w:w="0" w:type="dxa"/>
              <w:left w:w="113" w:type="dxa"/>
              <w:bottom w:w="0" w:type="dxa"/>
              <w:right w:w="113" w:type="dxa"/>
            </w:tcMar>
            <w:hideMark/>
          </w:tcPr>
          <w:p w:rsidR="00D227E6" w:rsidRPr="00992B3C" w:rsidRDefault="00D227E6" w:rsidP="00461B87">
            <w:pPr>
              <w:pStyle w:val="Tablehead2"/>
              <w:jc w:val="center"/>
              <w:rPr>
                <w:rFonts w:cs="Arial"/>
                <w:bCs/>
                <w:szCs w:val="17"/>
                <w:lang w:val="en-GB"/>
              </w:rPr>
            </w:pPr>
            <w:r w:rsidRPr="00992B3C">
              <w:rPr>
                <w:rFonts w:cs="Arial"/>
                <w:bCs/>
                <w:szCs w:val="17"/>
                <w:lang w:val="en-GB"/>
              </w:rPr>
              <w:t>t-stat.</w:t>
            </w:r>
          </w:p>
        </w:tc>
      </w:tr>
      <w:tr w:rsidR="00D227E6" w:rsidRPr="00B07B55" w:rsidTr="00461B87">
        <w:tc>
          <w:tcPr>
            <w:tcW w:w="4185" w:type="dxa"/>
            <w:tcBorders>
              <w:top w:val="nil"/>
              <w:left w:val="nil"/>
              <w:bottom w:val="nil"/>
              <w:right w:val="nil"/>
            </w:tcBorders>
            <w:shd w:val="clear" w:color="auto" w:fill="auto"/>
            <w:tcMar>
              <w:top w:w="0" w:type="dxa"/>
              <w:left w:w="113" w:type="dxa"/>
              <w:bottom w:w="0" w:type="dxa"/>
              <w:right w:w="113" w:type="dxa"/>
            </w:tcMar>
            <w:hideMark/>
          </w:tcPr>
          <w:p w:rsidR="00D227E6" w:rsidRPr="00874A6C" w:rsidRDefault="00D227E6" w:rsidP="00FA7C9F">
            <w:pPr>
              <w:pStyle w:val="Tabletext"/>
              <w:rPr>
                <w:b/>
                <w:lang w:val="en-GB"/>
              </w:rPr>
            </w:pPr>
            <w:r w:rsidRPr="00874A6C">
              <w:rPr>
                <w:b/>
                <w:lang w:val="en-GB"/>
              </w:rPr>
              <w:t>Ref</w:t>
            </w:r>
            <w:r w:rsidR="00603BA6" w:rsidRPr="00874A6C">
              <w:rPr>
                <w:b/>
                <w:lang w:val="en-GB"/>
              </w:rPr>
              <w:t>erence category: age group 25–</w:t>
            </w:r>
            <w:r w:rsidRPr="00874A6C">
              <w:rPr>
                <w:b/>
                <w:lang w:val="en-GB"/>
              </w:rPr>
              <w:t>30</w:t>
            </w:r>
          </w:p>
        </w:tc>
        <w:tc>
          <w:tcPr>
            <w:tcW w:w="1151"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D227E6" w:rsidP="00461B87">
            <w:pPr>
              <w:pStyle w:val="Tabletext"/>
              <w:tabs>
                <w:tab w:val="decimal" w:pos="284"/>
              </w:tabs>
              <w:rPr>
                <w:b/>
                <w:bCs/>
                <w:lang w:val="en-GB"/>
              </w:rPr>
            </w:pPr>
          </w:p>
        </w:tc>
        <w:tc>
          <w:tcPr>
            <w:tcW w:w="1151"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D227E6" w:rsidP="00461B87">
            <w:pPr>
              <w:pStyle w:val="Tabletext"/>
              <w:tabs>
                <w:tab w:val="decimal" w:pos="397"/>
              </w:tabs>
              <w:rPr>
                <w:b/>
                <w:bCs/>
                <w:lang w:val="en-GB"/>
              </w:rPr>
            </w:pPr>
          </w:p>
        </w:tc>
        <w:tc>
          <w:tcPr>
            <w:tcW w:w="1151"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D227E6" w:rsidP="00461B87">
            <w:pPr>
              <w:pStyle w:val="Tabletext"/>
              <w:tabs>
                <w:tab w:val="decimal" w:pos="284"/>
              </w:tabs>
              <w:rPr>
                <w:b/>
                <w:bCs/>
                <w:lang w:val="en-GB"/>
              </w:rPr>
            </w:pPr>
          </w:p>
        </w:tc>
        <w:tc>
          <w:tcPr>
            <w:tcW w:w="1151"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D227E6" w:rsidP="00461B87">
            <w:pPr>
              <w:pStyle w:val="Tabletext"/>
              <w:tabs>
                <w:tab w:val="decimal" w:pos="397"/>
              </w:tabs>
              <w:rPr>
                <w:b/>
                <w:bCs/>
                <w:lang w:val="en-GB"/>
              </w:rPr>
            </w:pPr>
          </w:p>
        </w:tc>
      </w:tr>
      <w:tr w:rsidR="00603BA6" w:rsidRPr="00B07B55" w:rsidTr="00461B87">
        <w:tc>
          <w:tcPr>
            <w:tcW w:w="4185"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FA7C9F">
            <w:pPr>
              <w:pStyle w:val="Tabletext"/>
              <w:rPr>
                <w:lang w:val="en-GB"/>
              </w:rPr>
            </w:pPr>
            <w:r>
              <w:rPr>
                <w:lang w:val="en-GB"/>
              </w:rPr>
              <w:t>Age group 30–</w:t>
            </w:r>
            <w:r w:rsidRPr="00B07B55">
              <w:rPr>
                <w:lang w:val="en-GB"/>
              </w:rPr>
              <w:t>35</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284"/>
              </w:tabs>
              <w:rPr>
                <w:lang w:val="en-GB"/>
              </w:rPr>
            </w:pPr>
            <w:r w:rsidRPr="00B07B55">
              <w:rPr>
                <w:lang w:val="en-GB"/>
              </w:rPr>
              <w:t>0.00105</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397"/>
              </w:tabs>
              <w:rPr>
                <w:lang w:val="en-GB"/>
              </w:rPr>
            </w:pPr>
            <w:r w:rsidRPr="00B07B55">
              <w:rPr>
                <w:lang w:val="en-GB"/>
              </w:rPr>
              <w:t>0.03</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284"/>
              </w:tabs>
              <w:rPr>
                <w:lang w:val="en-GB"/>
              </w:rPr>
            </w:pPr>
            <w:r w:rsidRPr="00B07B55">
              <w:rPr>
                <w:lang w:val="en-GB"/>
              </w:rPr>
              <w:t>-0.0245</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397"/>
              </w:tabs>
              <w:rPr>
                <w:lang w:val="en-GB"/>
              </w:rPr>
            </w:pPr>
            <w:r w:rsidRPr="00B07B55">
              <w:rPr>
                <w:lang w:val="en-GB"/>
              </w:rPr>
              <w:t>-0.62</w:t>
            </w:r>
          </w:p>
        </w:tc>
      </w:tr>
      <w:tr w:rsidR="00603BA6" w:rsidRPr="00B07B55" w:rsidTr="00461B87">
        <w:tc>
          <w:tcPr>
            <w:tcW w:w="4185"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FA7C9F">
            <w:pPr>
              <w:pStyle w:val="Tabletext"/>
              <w:rPr>
                <w:lang w:val="en-GB"/>
              </w:rPr>
            </w:pPr>
            <w:r>
              <w:rPr>
                <w:lang w:val="en-GB"/>
              </w:rPr>
              <w:t>Age group 35–</w:t>
            </w:r>
            <w:r w:rsidRPr="00B07B55">
              <w:rPr>
                <w:lang w:val="en-GB"/>
              </w:rPr>
              <w:t>40</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284"/>
              </w:tabs>
              <w:rPr>
                <w:lang w:val="en-GB"/>
              </w:rPr>
            </w:pPr>
            <w:r w:rsidRPr="00B07B55">
              <w:rPr>
                <w:lang w:val="en-GB"/>
              </w:rPr>
              <w:t>0.0525</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397"/>
              </w:tabs>
              <w:rPr>
                <w:lang w:val="en-GB"/>
              </w:rPr>
            </w:pPr>
            <w:r w:rsidRPr="00B07B55">
              <w:rPr>
                <w:lang w:val="en-GB"/>
              </w:rPr>
              <w:t>1.32</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284"/>
              </w:tabs>
              <w:rPr>
                <w:lang w:val="en-GB"/>
              </w:rPr>
            </w:pPr>
            <w:r w:rsidRPr="00B07B55">
              <w:rPr>
                <w:lang w:val="en-GB"/>
              </w:rPr>
              <w:t>-0.0607</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397"/>
              </w:tabs>
              <w:rPr>
                <w:lang w:val="en-GB"/>
              </w:rPr>
            </w:pPr>
            <w:r w:rsidRPr="00B07B55">
              <w:rPr>
                <w:lang w:val="en-GB"/>
              </w:rPr>
              <w:t>-1.59</w:t>
            </w:r>
          </w:p>
        </w:tc>
      </w:tr>
      <w:tr w:rsidR="00603BA6" w:rsidRPr="00B07B55" w:rsidTr="00461B87">
        <w:tc>
          <w:tcPr>
            <w:tcW w:w="4185"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FA7C9F">
            <w:pPr>
              <w:pStyle w:val="Tabletext"/>
              <w:rPr>
                <w:lang w:val="en-GB"/>
              </w:rPr>
            </w:pPr>
            <w:r>
              <w:rPr>
                <w:lang w:val="en-GB"/>
              </w:rPr>
              <w:t>Age group 40–</w:t>
            </w:r>
            <w:r w:rsidRPr="00B07B55">
              <w:rPr>
                <w:lang w:val="en-GB"/>
              </w:rPr>
              <w:t>45</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284"/>
              </w:tabs>
              <w:rPr>
                <w:lang w:val="en-GB"/>
              </w:rPr>
            </w:pPr>
            <w:r w:rsidRPr="00B07B55">
              <w:rPr>
                <w:lang w:val="en-GB"/>
              </w:rPr>
              <w:t>0.0579</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397"/>
              </w:tabs>
              <w:rPr>
                <w:lang w:val="en-GB"/>
              </w:rPr>
            </w:pPr>
            <w:r w:rsidRPr="00B07B55">
              <w:rPr>
                <w:lang w:val="en-GB"/>
              </w:rPr>
              <w:t>1.44</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284"/>
              </w:tabs>
              <w:rPr>
                <w:lang w:val="en-GB"/>
              </w:rPr>
            </w:pPr>
            <w:r w:rsidRPr="00B07B55">
              <w:rPr>
                <w:lang w:val="en-GB"/>
              </w:rPr>
              <w:t>-0.101</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397"/>
              </w:tabs>
              <w:rPr>
                <w:lang w:val="en-GB"/>
              </w:rPr>
            </w:pPr>
            <w:r w:rsidRPr="00B07B55">
              <w:rPr>
                <w:lang w:val="en-GB"/>
              </w:rPr>
              <w:t>-2.75</w:t>
            </w:r>
          </w:p>
        </w:tc>
      </w:tr>
      <w:tr w:rsidR="00603BA6" w:rsidRPr="00B07B55" w:rsidTr="00461B87">
        <w:tc>
          <w:tcPr>
            <w:tcW w:w="4185"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FA7C9F">
            <w:pPr>
              <w:pStyle w:val="Tabletext"/>
              <w:rPr>
                <w:lang w:val="en-GB"/>
              </w:rPr>
            </w:pPr>
            <w:r>
              <w:rPr>
                <w:lang w:val="en-GB"/>
              </w:rPr>
              <w:t>Age group 45–</w:t>
            </w:r>
            <w:r w:rsidRPr="00B07B55">
              <w:rPr>
                <w:lang w:val="en-GB"/>
              </w:rPr>
              <w:t>50</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284"/>
              </w:tabs>
              <w:rPr>
                <w:lang w:val="en-GB"/>
              </w:rPr>
            </w:pPr>
            <w:r w:rsidRPr="00B07B55">
              <w:rPr>
                <w:lang w:val="en-GB"/>
              </w:rPr>
              <w:t>0.0543</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397"/>
              </w:tabs>
              <w:rPr>
                <w:lang w:val="en-GB"/>
              </w:rPr>
            </w:pPr>
            <w:r w:rsidRPr="00B07B55">
              <w:rPr>
                <w:lang w:val="en-GB"/>
              </w:rPr>
              <w:t>1.24</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284"/>
              </w:tabs>
              <w:rPr>
                <w:lang w:val="en-GB"/>
              </w:rPr>
            </w:pPr>
            <w:r w:rsidRPr="00B07B55">
              <w:rPr>
                <w:lang w:val="en-GB"/>
              </w:rPr>
              <w:t>-0.121</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397"/>
              </w:tabs>
              <w:rPr>
                <w:lang w:val="en-GB"/>
              </w:rPr>
            </w:pPr>
            <w:r w:rsidRPr="00B07B55">
              <w:rPr>
                <w:lang w:val="en-GB"/>
              </w:rPr>
              <w:t>-3.43</w:t>
            </w:r>
          </w:p>
        </w:tc>
      </w:tr>
      <w:tr w:rsidR="00603BA6" w:rsidRPr="00B07B55" w:rsidTr="00461B87">
        <w:tc>
          <w:tcPr>
            <w:tcW w:w="4185"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FA7C9F">
            <w:pPr>
              <w:pStyle w:val="Tabletext"/>
              <w:rPr>
                <w:lang w:val="en-GB"/>
              </w:rPr>
            </w:pPr>
            <w:r>
              <w:rPr>
                <w:lang w:val="en-GB"/>
              </w:rPr>
              <w:t>Age group 50–</w:t>
            </w:r>
            <w:r w:rsidRPr="00B07B55">
              <w:rPr>
                <w:lang w:val="en-GB"/>
              </w:rPr>
              <w:t>57</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284"/>
              </w:tabs>
              <w:rPr>
                <w:lang w:val="en-GB"/>
              </w:rPr>
            </w:pPr>
            <w:r w:rsidRPr="00B07B55">
              <w:rPr>
                <w:lang w:val="en-GB"/>
              </w:rPr>
              <w:t>-0.0461</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397"/>
              </w:tabs>
              <w:rPr>
                <w:lang w:val="en-GB"/>
              </w:rPr>
            </w:pPr>
            <w:r w:rsidRPr="00B07B55">
              <w:rPr>
                <w:lang w:val="en-GB"/>
              </w:rPr>
              <w:t>-1.35</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284"/>
              </w:tabs>
              <w:rPr>
                <w:lang w:val="en-GB"/>
              </w:rPr>
            </w:pPr>
            <w:r w:rsidRPr="00B07B55">
              <w:rPr>
                <w:lang w:val="en-GB"/>
              </w:rPr>
              <w:t>-0.194</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603BA6" w:rsidRPr="00B07B55" w:rsidRDefault="00603BA6" w:rsidP="00461B87">
            <w:pPr>
              <w:pStyle w:val="Tabletext"/>
              <w:tabs>
                <w:tab w:val="decimal" w:pos="397"/>
              </w:tabs>
              <w:rPr>
                <w:lang w:val="en-GB"/>
              </w:rPr>
            </w:pPr>
            <w:r w:rsidRPr="00B07B55">
              <w:rPr>
                <w:lang w:val="en-GB"/>
              </w:rPr>
              <w:t>-6.01</w:t>
            </w:r>
          </w:p>
        </w:tc>
      </w:tr>
      <w:tr w:rsidR="00D227E6" w:rsidRPr="00B07B55" w:rsidTr="00461B87">
        <w:tc>
          <w:tcPr>
            <w:tcW w:w="4185" w:type="dxa"/>
            <w:tcBorders>
              <w:top w:val="nil"/>
              <w:left w:val="nil"/>
              <w:bottom w:val="nil"/>
              <w:right w:val="nil"/>
            </w:tcBorders>
            <w:shd w:val="clear" w:color="auto" w:fill="auto"/>
            <w:tcMar>
              <w:top w:w="0" w:type="dxa"/>
              <w:left w:w="113" w:type="dxa"/>
              <w:bottom w:w="0" w:type="dxa"/>
              <w:right w:w="113" w:type="dxa"/>
            </w:tcMar>
            <w:hideMark/>
          </w:tcPr>
          <w:p w:rsidR="00D227E6" w:rsidRPr="00874A6C" w:rsidRDefault="00D227E6" w:rsidP="00FA7C9F">
            <w:pPr>
              <w:pStyle w:val="Tabletext"/>
              <w:rPr>
                <w:b/>
                <w:lang w:val="en-GB"/>
              </w:rPr>
            </w:pPr>
            <w:r w:rsidRPr="00874A6C">
              <w:rPr>
                <w:b/>
                <w:lang w:val="en-GB"/>
              </w:rPr>
              <w:t>Reference category: primary education</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p>
        </w:tc>
      </w:tr>
      <w:tr w:rsidR="00D227E6" w:rsidRPr="00B07B55" w:rsidTr="00461B87">
        <w:tc>
          <w:tcPr>
            <w:tcW w:w="4185"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Education: low intermediate</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0.093</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1.25</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0.103</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2.02</w:t>
            </w:r>
          </w:p>
        </w:tc>
      </w:tr>
      <w:tr w:rsidR="00D227E6" w:rsidRPr="00B07B55" w:rsidTr="00461B87">
        <w:tc>
          <w:tcPr>
            <w:tcW w:w="4185"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Education: intermediate (secondary)</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0.0777</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2.17</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0.108</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1.49</w:t>
            </w:r>
          </w:p>
        </w:tc>
      </w:tr>
      <w:tr w:rsidR="00D227E6" w:rsidRPr="00B07B55" w:rsidTr="00461B87">
        <w:tc>
          <w:tcPr>
            <w:tcW w:w="4185"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Education: high intermediate (high vocational)</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0.128</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2.41</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0.147</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2.62</w:t>
            </w:r>
          </w:p>
        </w:tc>
      </w:tr>
      <w:tr w:rsidR="00D227E6" w:rsidRPr="00B07B55" w:rsidTr="00461B87">
        <w:tc>
          <w:tcPr>
            <w:tcW w:w="4185"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Education: sub-degree</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0.171</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4.03</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0.129</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2.07</w:t>
            </w:r>
          </w:p>
        </w:tc>
      </w:tr>
      <w:tr w:rsidR="00D227E6" w:rsidRPr="00B07B55" w:rsidTr="00461B87">
        <w:tc>
          <w:tcPr>
            <w:tcW w:w="4185"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Education: first degree</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0.264</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4.61</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0.17</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2.94</w:t>
            </w:r>
          </w:p>
        </w:tc>
      </w:tr>
      <w:tr w:rsidR="00D227E6" w:rsidRPr="00B07B55" w:rsidTr="00461B87">
        <w:tc>
          <w:tcPr>
            <w:tcW w:w="4185"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Education: higher degree</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0.241</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2.91</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0.23</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2.61</w:t>
            </w:r>
          </w:p>
        </w:tc>
      </w:tr>
      <w:tr w:rsidR="00D227E6" w:rsidRPr="00B07B55" w:rsidTr="00461B87">
        <w:tc>
          <w:tcPr>
            <w:tcW w:w="4185" w:type="dxa"/>
            <w:tcBorders>
              <w:top w:val="nil"/>
              <w:left w:val="nil"/>
              <w:bottom w:val="nil"/>
              <w:right w:val="nil"/>
            </w:tcBorders>
            <w:shd w:val="clear" w:color="auto" w:fill="auto"/>
            <w:noWrap/>
            <w:tcMar>
              <w:top w:w="0" w:type="dxa"/>
              <w:left w:w="113" w:type="dxa"/>
              <w:bottom w:w="0" w:type="dxa"/>
              <w:right w:w="113" w:type="dxa"/>
            </w:tcMar>
            <w:hideMark/>
          </w:tcPr>
          <w:p w:rsidR="00D227E6" w:rsidRPr="00874A6C" w:rsidRDefault="00D227E6" w:rsidP="00FA7C9F">
            <w:pPr>
              <w:pStyle w:val="Tabletext"/>
              <w:rPr>
                <w:b/>
                <w:lang w:val="en-GB"/>
              </w:rPr>
            </w:pPr>
            <w:r w:rsidRPr="00874A6C">
              <w:rPr>
                <w:b/>
                <w:lang w:val="en-GB"/>
              </w:rPr>
              <w:t>Reference category: non-immigrant</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p>
        </w:tc>
      </w:tr>
      <w:tr w:rsidR="00D227E6" w:rsidRPr="00B07B55" w:rsidTr="00461B87">
        <w:tc>
          <w:tcPr>
            <w:tcW w:w="4185"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Immigrant, English speaking</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0.0106</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0.19</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0.00336</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0.09</w:t>
            </w:r>
          </w:p>
        </w:tc>
      </w:tr>
      <w:tr w:rsidR="00D227E6" w:rsidRPr="00B07B55" w:rsidTr="00461B87">
        <w:tc>
          <w:tcPr>
            <w:tcW w:w="4185"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Immigrant, non-English speaking</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0.0235</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0.42</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-0.0671</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-1.99</w:t>
            </w:r>
          </w:p>
        </w:tc>
      </w:tr>
      <w:tr w:rsidR="00D227E6" w:rsidRPr="00B07B55" w:rsidTr="00461B87">
        <w:tc>
          <w:tcPr>
            <w:tcW w:w="4185" w:type="dxa"/>
            <w:tcBorders>
              <w:top w:val="nil"/>
              <w:left w:val="nil"/>
              <w:bottom w:val="nil"/>
              <w:right w:val="nil"/>
            </w:tcBorders>
            <w:shd w:val="clear" w:color="auto" w:fill="auto"/>
            <w:tcMar>
              <w:top w:w="0" w:type="dxa"/>
              <w:left w:w="113" w:type="dxa"/>
              <w:bottom w:w="0" w:type="dxa"/>
              <w:right w:w="113" w:type="dxa"/>
            </w:tcMar>
            <w:hideMark/>
          </w:tcPr>
          <w:p w:rsidR="00D227E6" w:rsidRPr="00874A6C" w:rsidRDefault="00D227E6" w:rsidP="00FA7C9F">
            <w:pPr>
              <w:pStyle w:val="Tabletext"/>
              <w:rPr>
                <w:b/>
                <w:lang w:val="en-GB"/>
              </w:rPr>
            </w:pPr>
            <w:r w:rsidRPr="00874A6C">
              <w:rPr>
                <w:b/>
                <w:lang w:val="en-GB"/>
              </w:rPr>
              <w:t>Reference category: employed</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p>
        </w:tc>
      </w:tr>
      <w:tr w:rsidR="00D227E6" w:rsidRPr="00B07B55" w:rsidTr="00461B87">
        <w:tc>
          <w:tcPr>
            <w:tcW w:w="4185"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Unemployed</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-0.0177</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-0.25</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0.216</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3.05</w:t>
            </w:r>
          </w:p>
        </w:tc>
      </w:tr>
      <w:tr w:rsidR="00D227E6" w:rsidRPr="00B07B55" w:rsidTr="00461B87">
        <w:tc>
          <w:tcPr>
            <w:tcW w:w="4185"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Not in the labour force</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0.0314</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1.26</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-0.0553</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-2.16</w:t>
            </w:r>
          </w:p>
        </w:tc>
      </w:tr>
      <w:tr w:rsidR="00D227E6" w:rsidRPr="00B07B55" w:rsidTr="00461B87">
        <w:tc>
          <w:tcPr>
            <w:tcW w:w="4185" w:type="dxa"/>
            <w:tcBorders>
              <w:top w:val="nil"/>
              <w:left w:val="nil"/>
              <w:bottom w:val="nil"/>
              <w:right w:val="nil"/>
            </w:tcBorders>
            <w:shd w:val="clear" w:color="auto" w:fill="auto"/>
            <w:tcMar>
              <w:top w:w="0" w:type="dxa"/>
              <w:left w:w="113" w:type="dxa"/>
              <w:bottom w:w="0" w:type="dxa"/>
              <w:right w:w="113" w:type="dxa"/>
            </w:tcMar>
            <w:hideMark/>
          </w:tcPr>
          <w:p w:rsidR="00D227E6" w:rsidRPr="00874A6C" w:rsidRDefault="00D227E6" w:rsidP="00FA7C9F">
            <w:pPr>
              <w:pStyle w:val="Tabletext"/>
              <w:rPr>
                <w:b/>
                <w:lang w:val="en-GB"/>
              </w:rPr>
            </w:pPr>
            <w:r w:rsidRPr="00874A6C">
              <w:rPr>
                <w:b/>
                <w:lang w:val="en-GB"/>
              </w:rPr>
              <w:t>Reference category: married</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p>
        </w:tc>
      </w:tr>
      <w:tr w:rsidR="00D227E6" w:rsidRPr="00B07B55" w:rsidTr="00461B87">
        <w:tc>
          <w:tcPr>
            <w:tcW w:w="4185"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Separated / divorced</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0.0511</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1.69</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0.18</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4.86</w:t>
            </w:r>
          </w:p>
        </w:tc>
      </w:tr>
      <w:tr w:rsidR="00D227E6" w:rsidRPr="00B07B55" w:rsidTr="00461B87">
        <w:tc>
          <w:tcPr>
            <w:tcW w:w="4185"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Never married</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0.0931</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2.86</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0.0194</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0.49</w:t>
            </w:r>
          </w:p>
        </w:tc>
      </w:tr>
      <w:tr w:rsidR="00D227E6" w:rsidRPr="00B07B55" w:rsidTr="00461B87">
        <w:tc>
          <w:tcPr>
            <w:tcW w:w="4185"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D227E6" w:rsidP="00FA7C9F">
            <w:pPr>
              <w:pStyle w:val="Tabletext"/>
              <w:rPr>
                <w:lang w:val="en-GB"/>
              </w:rPr>
            </w:pPr>
            <w:r w:rsidRPr="00B07B55">
              <w:rPr>
                <w:lang w:val="en-GB"/>
              </w:rPr>
              <w:t>Number of dependent children</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0.0284</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2.55</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0.0232</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2.05</w:t>
            </w:r>
          </w:p>
        </w:tc>
      </w:tr>
      <w:tr w:rsidR="00D227E6" w:rsidRPr="00B07B55" w:rsidTr="00461B87">
        <w:tc>
          <w:tcPr>
            <w:tcW w:w="4185" w:type="dxa"/>
            <w:tcBorders>
              <w:top w:val="nil"/>
              <w:left w:val="nil"/>
              <w:bottom w:val="nil"/>
              <w:right w:val="nil"/>
            </w:tcBorders>
            <w:shd w:val="clear" w:color="auto" w:fill="auto"/>
            <w:tcMar>
              <w:top w:w="0" w:type="dxa"/>
              <w:left w:w="113" w:type="dxa"/>
              <w:bottom w:w="0" w:type="dxa"/>
              <w:right w:w="113" w:type="dxa"/>
            </w:tcMar>
            <w:hideMark/>
          </w:tcPr>
          <w:p w:rsidR="00D227E6" w:rsidRPr="00B07B55" w:rsidRDefault="00CD0D0B" w:rsidP="00FA7C9F">
            <w:pPr>
              <w:pStyle w:val="Tabletext"/>
              <w:rPr>
                <w:lang w:val="en-GB"/>
              </w:rPr>
            </w:pPr>
            <w:r>
              <w:rPr>
                <w:lang w:val="en-GB"/>
              </w:rPr>
              <w:t xml:space="preserve">Disposable income (in US </w:t>
            </w:r>
            <w:r w:rsidRPr="003223AE">
              <w:rPr>
                <w:lang w:val="en-GB"/>
              </w:rPr>
              <w:t>$</w:t>
            </w:r>
            <w:r w:rsidR="003223AE">
              <w:rPr>
                <w:lang w:val="en-GB"/>
              </w:rPr>
              <w:t>1</w:t>
            </w:r>
            <w:r w:rsidR="00D227E6" w:rsidRPr="003223AE">
              <w:rPr>
                <w:lang w:val="en-GB"/>
              </w:rPr>
              <w:t>000</w:t>
            </w:r>
            <w:r w:rsidR="003223AE">
              <w:rPr>
                <w:lang w:val="en-GB"/>
              </w:rPr>
              <w:t>s</w:t>
            </w:r>
            <w:r w:rsidR="00D227E6" w:rsidRPr="003223AE">
              <w:rPr>
                <w:lang w:val="en-GB"/>
              </w:rPr>
              <w:t>)</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-0.000728</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-1.23</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284"/>
              </w:tabs>
              <w:rPr>
                <w:lang w:val="en-GB"/>
              </w:rPr>
            </w:pPr>
            <w:r w:rsidRPr="00B07B55">
              <w:rPr>
                <w:lang w:val="en-GB"/>
              </w:rPr>
              <w:t>-0.00127</w:t>
            </w:r>
          </w:p>
        </w:tc>
        <w:tc>
          <w:tcPr>
            <w:tcW w:w="1151" w:type="dxa"/>
            <w:tcBorders>
              <w:top w:val="nil"/>
              <w:left w:val="nil"/>
              <w:bottom w:val="nil"/>
              <w:right w:val="nil"/>
            </w:tcBorders>
            <w:shd w:val="clear" w:color="auto" w:fill="auto"/>
            <w:noWrap/>
            <w:tcMar>
              <w:top w:w="0" w:type="dxa"/>
              <w:left w:w="113" w:type="dxa"/>
              <w:bottom w:w="0" w:type="dxa"/>
              <w:right w:w="113" w:type="dxa"/>
            </w:tcMar>
            <w:hideMark/>
          </w:tcPr>
          <w:p w:rsidR="00D227E6" w:rsidRPr="00B07B55" w:rsidRDefault="00D227E6" w:rsidP="00461B87">
            <w:pPr>
              <w:pStyle w:val="Tabletext"/>
              <w:tabs>
                <w:tab w:val="decimal" w:pos="397"/>
              </w:tabs>
              <w:rPr>
                <w:lang w:val="en-GB"/>
              </w:rPr>
            </w:pPr>
            <w:r w:rsidRPr="00B07B55">
              <w:rPr>
                <w:lang w:val="en-GB"/>
              </w:rPr>
              <w:t>-1.19</w:t>
            </w:r>
          </w:p>
        </w:tc>
      </w:tr>
      <w:tr w:rsidR="00D227E6" w:rsidRPr="00461B87" w:rsidTr="00461B87">
        <w:tc>
          <w:tcPr>
            <w:tcW w:w="4185" w:type="dxa"/>
            <w:tcBorders>
              <w:top w:val="nil"/>
              <w:left w:val="nil"/>
              <w:bottom w:val="single" w:sz="8" w:space="0" w:color="auto"/>
              <w:right w:val="nil"/>
            </w:tcBorders>
            <w:shd w:val="clear" w:color="auto" w:fill="auto"/>
            <w:tcMar>
              <w:top w:w="0" w:type="dxa"/>
              <w:left w:w="113" w:type="dxa"/>
              <w:bottom w:w="0" w:type="dxa"/>
              <w:right w:w="113" w:type="dxa"/>
            </w:tcMar>
            <w:hideMark/>
          </w:tcPr>
          <w:p w:rsidR="00D227E6" w:rsidRPr="00461B87" w:rsidRDefault="00D227E6" w:rsidP="00FA7C9F">
            <w:pPr>
              <w:pStyle w:val="Tabletext"/>
              <w:rPr>
                <w:i/>
                <w:lang w:val="en-GB"/>
              </w:rPr>
            </w:pPr>
            <w:r w:rsidRPr="00461B87">
              <w:rPr>
                <w:i/>
                <w:lang w:val="en-GB"/>
              </w:rPr>
              <w:t>Observations</w:t>
            </w:r>
          </w:p>
        </w:tc>
        <w:tc>
          <w:tcPr>
            <w:tcW w:w="2302" w:type="dxa"/>
            <w:gridSpan w:val="2"/>
            <w:tcBorders>
              <w:top w:val="nil"/>
              <w:left w:val="nil"/>
              <w:bottom w:val="single" w:sz="8" w:space="0" w:color="auto"/>
              <w:right w:val="nil"/>
            </w:tcBorders>
            <w:shd w:val="clear" w:color="auto" w:fill="auto"/>
            <w:noWrap/>
            <w:tcMar>
              <w:top w:w="0" w:type="dxa"/>
              <w:left w:w="113" w:type="dxa"/>
              <w:bottom w:w="0" w:type="dxa"/>
              <w:right w:w="113" w:type="dxa"/>
            </w:tcMar>
            <w:hideMark/>
          </w:tcPr>
          <w:p w:rsidR="00D227E6" w:rsidRPr="00461B87" w:rsidRDefault="00D227E6" w:rsidP="00461B87">
            <w:pPr>
              <w:pStyle w:val="Tabletext"/>
              <w:jc w:val="center"/>
              <w:rPr>
                <w:i/>
                <w:lang w:val="en-GB"/>
              </w:rPr>
            </w:pPr>
            <w:r w:rsidRPr="00461B87">
              <w:rPr>
                <w:i/>
                <w:lang w:val="en-GB"/>
              </w:rPr>
              <w:t>2385</w:t>
            </w:r>
          </w:p>
        </w:tc>
        <w:tc>
          <w:tcPr>
            <w:tcW w:w="2302" w:type="dxa"/>
            <w:gridSpan w:val="2"/>
            <w:tcBorders>
              <w:top w:val="nil"/>
              <w:left w:val="nil"/>
              <w:bottom w:val="single" w:sz="8" w:space="0" w:color="auto"/>
              <w:right w:val="nil"/>
            </w:tcBorders>
            <w:shd w:val="clear" w:color="auto" w:fill="auto"/>
            <w:noWrap/>
            <w:tcMar>
              <w:top w:w="0" w:type="dxa"/>
              <w:left w:w="113" w:type="dxa"/>
              <w:bottom w:w="0" w:type="dxa"/>
              <w:right w:w="113" w:type="dxa"/>
            </w:tcMar>
            <w:hideMark/>
          </w:tcPr>
          <w:p w:rsidR="00D227E6" w:rsidRPr="00461B87" w:rsidRDefault="00D227E6" w:rsidP="00461B87">
            <w:pPr>
              <w:pStyle w:val="Tabletext"/>
              <w:jc w:val="center"/>
              <w:rPr>
                <w:i/>
                <w:lang w:val="en-GB"/>
              </w:rPr>
            </w:pPr>
            <w:r w:rsidRPr="00461B87">
              <w:rPr>
                <w:i/>
                <w:lang w:val="en-GB"/>
              </w:rPr>
              <w:t>2458</w:t>
            </w:r>
          </w:p>
        </w:tc>
      </w:tr>
    </w:tbl>
    <w:p w:rsidR="00404356" w:rsidRPr="00461B87" w:rsidRDefault="002C050C" w:rsidP="00461B87">
      <w:pPr>
        <w:pStyle w:val="Source"/>
      </w:pPr>
      <w:r w:rsidRPr="00B07B55">
        <w:rPr>
          <w:lang w:val="en-GB"/>
        </w:rPr>
        <w:t>Note</w:t>
      </w:r>
      <w:r w:rsidR="00461B87">
        <w:rPr>
          <w:lang w:val="en-GB"/>
        </w:rPr>
        <w:t>s</w:t>
      </w:r>
      <w:r w:rsidRPr="00B07B55">
        <w:rPr>
          <w:lang w:val="en-GB"/>
        </w:rPr>
        <w:t>:</w:t>
      </w:r>
      <w:r w:rsidR="00461B87">
        <w:rPr>
          <w:lang w:val="en-GB"/>
        </w:rPr>
        <w:tab/>
        <w:t>T</w:t>
      </w:r>
      <w:r w:rsidR="00D227E6" w:rsidRPr="00B07B55">
        <w:rPr>
          <w:lang w:val="en-GB"/>
        </w:rPr>
        <w:t xml:space="preserve">he </w:t>
      </w:r>
      <w:r w:rsidR="00D227E6" w:rsidRPr="00461B87">
        <w:t>disposable income is expressed in PPP-corrected US dollars</w:t>
      </w:r>
      <w:r w:rsidRPr="00461B87">
        <w:t xml:space="preserve">; </w:t>
      </w:r>
      <w:r w:rsidR="00992B3C" w:rsidRPr="00461B87">
        <w:t xml:space="preserve">regressions </w:t>
      </w:r>
      <w:r w:rsidRPr="00461B87">
        <w:t>include state indicators.</w:t>
      </w:r>
      <w:r w:rsidR="00461B87">
        <w:br/>
      </w:r>
      <w:r w:rsidR="00404356" w:rsidRPr="00461B87">
        <w:t>Coefficients estimated using adjusted weights. t-statistics based on White standard errors.</w:t>
      </w:r>
    </w:p>
    <w:p w:rsidR="002C050C" w:rsidRPr="00B07B55" w:rsidRDefault="00461B87" w:rsidP="00461B87">
      <w:pPr>
        <w:pStyle w:val="Source"/>
        <w:rPr>
          <w:lang w:val="en-GB"/>
        </w:rPr>
      </w:pPr>
      <w:r>
        <w:t>Source:</w:t>
      </w:r>
      <w:r>
        <w:tab/>
      </w:r>
      <w:r w:rsidR="00F139D8" w:rsidRPr="00461B87">
        <w:t>BHPS and HILDA</w:t>
      </w:r>
      <w:r w:rsidR="00F139D8">
        <w:rPr>
          <w:lang w:val="en-GB"/>
        </w:rPr>
        <w:t xml:space="preserve"> d</w:t>
      </w:r>
      <w:r w:rsidR="002C050C" w:rsidRPr="00B07B55">
        <w:rPr>
          <w:lang w:val="en-GB"/>
        </w:rPr>
        <w:t>ata.</w:t>
      </w:r>
    </w:p>
    <w:p w:rsidR="00760104" w:rsidRDefault="002C050C" w:rsidP="00FA7C9F">
      <w:pPr>
        <w:pStyle w:val="Textmorebefore"/>
      </w:pPr>
      <w:r w:rsidRPr="00B07B55">
        <w:t xml:space="preserve">Table 15 provides </w:t>
      </w:r>
      <w:r w:rsidR="004D7E37" w:rsidRPr="00B07B55">
        <w:t xml:space="preserve">the </w:t>
      </w:r>
      <w:r w:rsidR="007719EB" w:rsidRPr="00B07B55">
        <w:t xml:space="preserve">estimates </w:t>
      </w:r>
      <w:r w:rsidR="004D7E37" w:rsidRPr="00B07B55">
        <w:t xml:space="preserve">that </w:t>
      </w:r>
      <w:r w:rsidR="007719EB" w:rsidRPr="00B07B55">
        <w:t>decompose the difference</w:t>
      </w:r>
      <w:r w:rsidRPr="00B07B55">
        <w:t xml:space="preserve"> in </w:t>
      </w:r>
      <w:r w:rsidR="007719EB" w:rsidRPr="00B07B55">
        <w:t xml:space="preserve">the prevalence of </w:t>
      </w:r>
      <w:r w:rsidR="007A4E37">
        <w:t>mature-age</w:t>
      </w:r>
      <w:r w:rsidR="007719EB" w:rsidRPr="00B07B55">
        <w:t xml:space="preserve"> </w:t>
      </w:r>
      <w:r w:rsidRPr="00B07B55">
        <w:t xml:space="preserve">education between </w:t>
      </w:r>
      <w:r w:rsidR="007719EB" w:rsidRPr="00B07B55">
        <w:t>Great Britain</w:t>
      </w:r>
      <w:r w:rsidRPr="00B07B55">
        <w:t xml:space="preserve"> and </w:t>
      </w:r>
      <w:r w:rsidR="007719EB" w:rsidRPr="00B07B55">
        <w:t>Australia</w:t>
      </w:r>
      <w:r w:rsidR="00CE2EC3" w:rsidRPr="00B07B55">
        <w:t xml:space="preserve"> into components attributable to differences in characteristics across the two countries </w:t>
      </w:r>
      <w:r w:rsidR="00E24A54" w:rsidRPr="00B07B55">
        <w:t xml:space="preserve">(the explained component) </w:t>
      </w:r>
      <w:r w:rsidR="00CE2EC3" w:rsidRPr="00B07B55">
        <w:t>and a</w:t>
      </w:r>
      <w:r w:rsidR="00E24A54" w:rsidRPr="00B07B55">
        <w:t xml:space="preserve"> remainder that is unexplained</w:t>
      </w:r>
      <w:r w:rsidRPr="00B07B55">
        <w:t xml:space="preserve">. The first two rows of the table indicate the predicted probabilities of engagement in education of individuals between </w:t>
      </w:r>
      <w:r w:rsidR="00CE2EC3" w:rsidRPr="00B07B55">
        <w:t xml:space="preserve">ages </w:t>
      </w:r>
      <w:r w:rsidRPr="00B07B55">
        <w:t xml:space="preserve">25 and 57 </w:t>
      </w:r>
      <w:r w:rsidR="00CE2EC3" w:rsidRPr="00B07B55">
        <w:t>based on</w:t>
      </w:r>
      <w:r w:rsidRPr="00B07B55">
        <w:t xml:space="preserve"> the variables included in the previous regressions.</w:t>
      </w:r>
      <w:r w:rsidRPr="00F139D8">
        <w:rPr>
          <w:vertAlign w:val="superscript"/>
        </w:rPr>
        <w:footnoteReference w:id="17"/>
      </w:r>
      <w:r w:rsidRPr="00B07B55">
        <w:t xml:space="preserve"> Given the OECD figures discussed at the beginning of this report, it is not surprising to observe that the Australian </w:t>
      </w:r>
      <w:r w:rsidR="00CE2EC3" w:rsidRPr="00B07B55">
        <w:t>enrolment probabilities</w:t>
      </w:r>
      <w:r w:rsidRPr="00B07B55">
        <w:t xml:space="preserve"> are systematically higher than the British ones. The differences between the two </w:t>
      </w:r>
      <w:r w:rsidR="00E24A54" w:rsidRPr="00B07B55">
        <w:t>countries</w:t>
      </w:r>
      <w:r w:rsidRPr="00B07B55">
        <w:t>, which are statistically significant at</w:t>
      </w:r>
      <w:r w:rsidR="00E24A54" w:rsidRPr="00B07B55">
        <w:t xml:space="preserve"> the</w:t>
      </w:r>
      <w:r w:rsidRPr="00B07B55">
        <w:t xml:space="preserve"> </w:t>
      </w:r>
      <w:r w:rsidR="00CD0D0B">
        <w:t>1% level, are then divided in</w:t>
      </w:r>
      <w:r w:rsidR="00E24A54" w:rsidRPr="00B07B55">
        <w:t>t</w:t>
      </w:r>
      <w:r w:rsidRPr="00B07B55">
        <w:t xml:space="preserve">o </w:t>
      </w:r>
      <w:r w:rsidR="00E24A54" w:rsidRPr="00B07B55">
        <w:t>the explained and unexplained components</w:t>
      </w:r>
      <w:r w:rsidRPr="00B07B55">
        <w:t xml:space="preserve">. </w:t>
      </w:r>
      <w:r w:rsidR="00E24A54" w:rsidRPr="00B07B55">
        <w:t>F</w:t>
      </w:r>
      <w:r w:rsidRPr="00B07B55">
        <w:t xml:space="preserve">or the whole sample </w:t>
      </w:r>
      <w:r w:rsidR="00E24A54" w:rsidRPr="00B07B55">
        <w:t xml:space="preserve">and for males and females separately, </w:t>
      </w:r>
      <w:r w:rsidRPr="00B07B55">
        <w:t xml:space="preserve">the explained </w:t>
      </w:r>
      <w:r w:rsidR="00E24A54" w:rsidRPr="00B07B55">
        <w:t>component</w:t>
      </w:r>
      <w:r w:rsidRPr="00B07B55">
        <w:t xml:space="preserve"> is </w:t>
      </w:r>
      <w:r w:rsidR="00660E83" w:rsidRPr="00B07B55">
        <w:t>positive but relatively small</w:t>
      </w:r>
      <w:r w:rsidRPr="00B07B55">
        <w:t xml:space="preserve">. </w:t>
      </w:r>
      <w:r w:rsidR="00761BAF">
        <w:t xml:space="preserve">Given a </w:t>
      </w:r>
      <w:r w:rsidR="00F139D8">
        <w:t>14-percentage-</w:t>
      </w:r>
      <w:r w:rsidR="00761BAF" w:rsidRPr="00495869">
        <w:t xml:space="preserve">point gap in the </w:t>
      </w:r>
      <w:r w:rsidR="000E7729" w:rsidRPr="00495869">
        <w:t xml:space="preserve">enrolment probabilities </w:t>
      </w:r>
      <w:r w:rsidR="00761BAF" w:rsidRPr="00495869">
        <w:t xml:space="preserve">in the two countries, the difference that can be explained by the observable characteristics included in our analysis is only equal to 0.016 (or </w:t>
      </w:r>
      <w:r w:rsidR="00193882">
        <w:t>11%</w:t>
      </w:r>
      <w:r w:rsidR="00761BAF" w:rsidRPr="00495869">
        <w:t xml:space="preserve"> of the total gap). </w:t>
      </w:r>
      <w:r w:rsidRPr="00B07B55">
        <w:t xml:space="preserve">This </w:t>
      </w:r>
      <w:r w:rsidR="00E24A54" w:rsidRPr="00B07B55">
        <w:t>implies</w:t>
      </w:r>
      <w:r w:rsidRPr="00B07B55">
        <w:t xml:space="preserve"> that</w:t>
      </w:r>
      <w:r w:rsidR="00992B3C">
        <w:t>,</w:t>
      </w:r>
      <w:r w:rsidRPr="00B07B55">
        <w:t xml:space="preserve"> if Australians were to </w:t>
      </w:r>
      <w:r w:rsidR="00E24A54" w:rsidRPr="00B07B55">
        <w:t>have</w:t>
      </w:r>
      <w:r w:rsidRPr="00B07B55">
        <w:t xml:space="preserve"> the same characteristics as the British, as measured by the </w:t>
      </w:r>
      <w:r w:rsidR="00E24A54" w:rsidRPr="00B07B55">
        <w:t xml:space="preserve">characteristics </w:t>
      </w:r>
      <w:r w:rsidRPr="00B07B55">
        <w:t xml:space="preserve">included in our analysis, the difference in the average enrolment rates would </w:t>
      </w:r>
      <w:r w:rsidR="00E24A54" w:rsidRPr="00B07B55">
        <w:t xml:space="preserve">actually </w:t>
      </w:r>
      <w:r w:rsidRPr="00B07B55">
        <w:t xml:space="preserve">be </w:t>
      </w:r>
      <w:r w:rsidR="00660E83" w:rsidRPr="00B07B55">
        <w:t>smaller</w:t>
      </w:r>
      <w:r w:rsidR="00CD0D0B">
        <w:t>,</w:t>
      </w:r>
      <w:r w:rsidR="00660E83" w:rsidRPr="00B07B55">
        <w:t xml:space="preserve"> </w:t>
      </w:r>
      <w:r w:rsidRPr="00B07B55">
        <w:t xml:space="preserve">by </w:t>
      </w:r>
      <w:r w:rsidR="00660E83" w:rsidRPr="00B07B55">
        <w:t>1</w:t>
      </w:r>
      <w:r w:rsidRPr="00B07B55">
        <w:t>.</w:t>
      </w:r>
      <w:r w:rsidR="00761BAF">
        <w:t>6</w:t>
      </w:r>
      <w:r w:rsidRPr="00B07B55">
        <w:t xml:space="preserve"> percentage points. </w:t>
      </w:r>
    </w:p>
    <w:p w:rsidR="00E24A54" w:rsidRPr="00B07B55" w:rsidRDefault="002C050C" w:rsidP="00495869">
      <w:pPr>
        <w:pStyle w:val="Text"/>
        <w:ind w:right="0"/>
        <w:rPr>
          <w:lang w:val="en-GB"/>
        </w:rPr>
      </w:pPr>
      <w:r w:rsidRPr="00B07B55">
        <w:rPr>
          <w:lang w:val="en-GB"/>
        </w:rPr>
        <w:t xml:space="preserve">In all, these results indicate that the difference between Australian and British enrolment rates is </w:t>
      </w:r>
      <w:r w:rsidR="00660E83" w:rsidRPr="00B07B55">
        <w:rPr>
          <w:lang w:val="en-GB"/>
        </w:rPr>
        <w:t xml:space="preserve">mostly </w:t>
      </w:r>
      <w:r w:rsidRPr="00B07B55">
        <w:rPr>
          <w:lang w:val="en-GB"/>
        </w:rPr>
        <w:t xml:space="preserve">due to unobserved elements and not to differences in the characteristics of the populations that can be easily measured. Institutional and preference differences are more likely candidates for explaining the different enrolment rates between the two countries. </w:t>
      </w:r>
      <w:r w:rsidR="00C27AD3">
        <w:rPr>
          <w:lang w:val="en-GB"/>
        </w:rPr>
        <w:t>D</w:t>
      </w:r>
      <w:r w:rsidR="0065399B">
        <w:rPr>
          <w:lang w:val="en-GB"/>
        </w:rPr>
        <w:t xml:space="preserve">ifferences in the welfare systems of the two countries and in levels of social spending </w:t>
      </w:r>
      <w:r w:rsidR="00760104">
        <w:rPr>
          <w:lang w:val="en-GB"/>
        </w:rPr>
        <w:t>may be important factor</w:t>
      </w:r>
      <w:r w:rsidR="00CD0D0B">
        <w:rPr>
          <w:lang w:val="en-GB"/>
        </w:rPr>
        <w:t>s</w:t>
      </w:r>
      <w:r w:rsidR="00F639CD">
        <w:rPr>
          <w:lang w:val="en-GB"/>
        </w:rPr>
        <w:t>. According to the OECD,</w:t>
      </w:r>
      <w:r w:rsidR="00F639CD" w:rsidRPr="00F139D8">
        <w:rPr>
          <w:vertAlign w:val="superscript"/>
        </w:rPr>
        <w:footnoteReference w:id="18"/>
      </w:r>
      <w:r w:rsidR="00F639CD">
        <w:rPr>
          <w:lang w:val="en-GB"/>
        </w:rPr>
        <w:t xml:space="preserve"> social spending in Australia </w:t>
      </w:r>
      <w:r w:rsidR="001E3836">
        <w:rPr>
          <w:lang w:val="en-GB"/>
        </w:rPr>
        <w:t>amounted to 16.4% of the GDP</w:t>
      </w:r>
      <w:r w:rsidR="00760104">
        <w:rPr>
          <w:lang w:val="en-GB"/>
        </w:rPr>
        <w:t xml:space="preserve"> in 2011</w:t>
      </w:r>
      <w:r w:rsidR="001E3836">
        <w:rPr>
          <w:lang w:val="en-GB"/>
        </w:rPr>
        <w:t xml:space="preserve">, while the OECD average was around 21%. In the United Kingdom the corresponding level of spending was equal to 23.7% of GDP. Furthermore, in the last 20 years the UK level of social spending has been constantly increasing, while the </w:t>
      </w:r>
      <w:r w:rsidR="00760104">
        <w:rPr>
          <w:lang w:val="en-GB"/>
        </w:rPr>
        <w:t xml:space="preserve">level in </w:t>
      </w:r>
      <w:r w:rsidR="001E3836">
        <w:rPr>
          <w:lang w:val="en-GB"/>
        </w:rPr>
        <w:t>Australia ha</w:t>
      </w:r>
      <w:r w:rsidR="00760104">
        <w:rPr>
          <w:lang w:val="en-GB"/>
        </w:rPr>
        <w:t>s</w:t>
      </w:r>
      <w:r w:rsidR="001E3836">
        <w:rPr>
          <w:lang w:val="en-GB"/>
        </w:rPr>
        <w:t xml:space="preserve"> been fairly stable. </w:t>
      </w:r>
      <w:r w:rsidR="00FB6000">
        <w:rPr>
          <w:lang w:val="en-GB"/>
        </w:rPr>
        <w:t xml:space="preserve">These </w:t>
      </w:r>
      <w:r w:rsidR="00760104">
        <w:rPr>
          <w:lang w:val="en-GB"/>
        </w:rPr>
        <w:t>differences in spending</w:t>
      </w:r>
      <w:r w:rsidR="00FB6000">
        <w:rPr>
          <w:lang w:val="en-GB"/>
        </w:rPr>
        <w:t xml:space="preserve"> are </w:t>
      </w:r>
      <w:r w:rsidR="00760104">
        <w:rPr>
          <w:lang w:val="en-GB"/>
        </w:rPr>
        <w:t xml:space="preserve">likely </w:t>
      </w:r>
      <w:r w:rsidR="00992B3C">
        <w:rPr>
          <w:lang w:val="en-GB"/>
        </w:rPr>
        <w:t xml:space="preserve">to be </w:t>
      </w:r>
      <w:r w:rsidR="00FB6000">
        <w:rPr>
          <w:lang w:val="en-GB"/>
        </w:rPr>
        <w:t>related to higher number</w:t>
      </w:r>
      <w:r w:rsidR="00760104">
        <w:rPr>
          <w:lang w:val="en-GB"/>
        </w:rPr>
        <w:t>s</w:t>
      </w:r>
      <w:r w:rsidR="00CD0D0B">
        <w:rPr>
          <w:lang w:val="en-GB"/>
        </w:rPr>
        <w:t xml:space="preserve"> of welfare-</w:t>
      </w:r>
      <w:r w:rsidR="00FB6000">
        <w:rPr>
          <w:lang w:val="en-GB"/>
        </w:rPr>
        <w:t>dependent individuals in the UK</w:t>
      </w:r>
      <w:r w:rsidR="00760104">
        <w:rPr>
          <w:lang w:val="en-GB"/>
        </w:rPr>
        <w:t>. The ready availability of social assistance may mean that UK individuals have less</w:t>
      </w:r>
      <w:r w:rsidR="00FB6000">
        <w:rPr>
          <w:lang w:val="en-GB"/>
        </w:rPr>
        <w:t xml:space="preserve"> need </w:t>
      </w:r>
      <w:r w:rsidR="00760104">
        <w:rPr>
          <w:lang w:val="en-GB"/>
        </w:rPr>
        <w:t>to undergo further education and training in order</w:t>
      </w:r>
      <w:r w:rsidR="00FB6000">
        <w:rPr>
          <w:lang w:val="en-GB"/>
        </w:rPr>
        <w:t xml:space="preserve"> to achieve an acceptable level of income.</w:t>
      </w:r>
    </w:p>
    <w:p w:rsidR="002C050C" w:rsidRDefault="00E24A54" w:rsidP="00495869">
      <w:pPr>
        <w:pStyle w:val="Text"/>
        <w:ind w:right="0"/>
        <w:rPr>
          <w:lang w:val="en-GB"/>
        </w:rPr>
      </w:pPr>
      <w:r w:rsidRPr="00B07B55">
        <w:rPr>
          <w:lang w:val="en-GB"/>
        </w:rPr>
        <w:t xml:space="preserve">The bottom half of table 15 breaks down the explained component into </w:t>
      </w:r>
      <w:r w:rsidR="00812CC5" w:rsidRPr="00B07B55">
        <w:rPr>
          <w:lang w:val="en-GB"/>
        </w:rPr>
        <w:t xml:space="preserve">the contribution of each individual variable included in the estimates. Age differences across countries explain a small positive amount of the enrolment gap, as younger individuals are more likely to enrol and Australia has a younger population within this 25 to 57 age range. </w:t>
      </w:r>
      <w:r w:rsidR="00AE54A6">
        <w:rPr>
          <w:lang w:val="en-GB"/>
        </w:rPr>
        <w:t>E</w:t>
      </w:r>
      <w:r w:rsidR="00812CC5" w:rsidRPr="00B07B55">
        <w:rPr>
          <w:lang w:val="en-GB"/>
        </w:rPr>
        <w:t>ducation differences across countries contribute to explaining the gap</w:t>
      </w:r>
      <w:r w:rsidR="00AE54A6">
        <w:rPr>
          <w:lang w:val="en-GB"/>
        </w:rPr>
        <w:t xml:space="preserve"> for females but not males</w:t>
      </w:r>
      <w:r w:rsidR="00812CC5" w:rsidRPr="00B07B55">
        <w:rPr>
          <w:lang w:val="en-GB"/>
        </w:rPr>
        <w:t xml:space="preserve">, </w:t>
      </w:r>
      <w:r w:rsidR="00AE54A6">
        <w:rPr>
          <w:lang w:val="en-GB"/>
        </w:rPr>
        <w:t>and</w:t>
      </w:r>
      <w:r w:rsidR="00AE54A6" w:rsidRPr="00B07B55">
        <w:rPr>
          <w:lang w:val="en-GB"/>
        </w:rPr>
        <w:t xml:space="preserve"> </w:t>
      </w:r>
      <w:r w:rsidR="00344D66" w:rsidRPr="00B07B55">
        <w:rPr>
          <w:lang w:val="en-GB"/>
        </w:rPr>
        <w:t xml:space="preserve">the direction of the contribution varies depending on the education level. For </w:t>
      </w:r>
      <w:r w:rsidR="00812CC5" w:rsidRPr="00B07B55">
        <w:rPr>
          <w:lang w:val="en-GB"/>
        </w:rPr>
        <w:t>individuals with an intermediate (secondary) education</w:t>
      </w:r>
      <w:r w:rsidR="00344D66" w:rsidRPr="00B07B55">
        <w:rPr>
          <w:lang w:val="en-GB"/>
        </w:rPr>
        <w:t xml:space="preserve"> and with a professional degree (sub-degree) the contribution is actually negative</w:t>
      </w:r>
      <w:r w:rsidR="00812CC5" w:rsidRPr="00B07B55">
        <w:rPr>
          <w:lang w:val="en-GB"/>
        </w:rPr>
        <w:t xml:space="preserve">. </w:t>
      </w:r>
      <w:r w:rsidR="00173FD4" w:rsidRPr="00B07B55">
        <w:rPr>
          <w:lang w:val="en-GB"/>
        </w:rPr>
        <w:t>In both countries, a</w:t>
      </w:r>
      <w:r w:rsidR="005712DB" w:rsidRPr="00B07B55">
        <w:rPr>
          <w:lang w:val="en-GB"/>
        </w:rPr>
        <w:t>dults</w:t>
      </w:r>
      <w:r w:rsidR="00812CC5" w:rsidRPr="00B07B55">
        <w:rPr>
          <w:lang w:val="en-GB"/>
        </w:rPr>
        <w:t xml:space="preserve"> with th</w:t>
      </w:r>
      <w:r w:rsidR="00173FD4" w:rsidRPr="00B07B55">
        <w:rPr>
          <w:lang w:val="en-GB"/>
        </w:rPr>
        <w:t>ese levels of e</w:t>
      </w:r>
      <w:r w:rsidR="00812CC5" w:rsidRPr="00B07B55">
        <w:rPr>
          <w:lang w:val="en-GB"/>
        </w:rPr>
        <w:t xml:space="preserve">ducation are much more likely to </w:t>
      </w:r>
      <w:r w:rsidR="005712DB" w:rsidRPr="00B07B55">
        <w:rPr>
          <w:lang w:val="en-GB"/>
        </w:rPr>
        <w:t xml:space="preserve">undertake education than the base education group of primary only education (see tables 13 and 14), </w:t>
      </w:r>
      <w:r w:rsidR="00173FD4" w:rsidRPr="00B07B55">
        <w:rPr>
          <w:lang w:val="en-GB"/>
        </w:rPr>
        <w:t>but these</w:t>
      </w:r>
      <w:r w:rsidR="005712DB" w:rsidRPr="00B07B55">
        <w:rPr>
          <w:lang w:val="en-GB"/>
        </w:rPr>
        <w:t xml:space="preserve"> education </w:t>
      </w:r>
      <w:r w:rsidR="00AE54A6">
        <w:rPr>
          <w:lang w:val="en-GB"/>
        </w:rPr>
        <w:t>levels</w:t>
      </w:r>
      <w:r w:rsidR="00AE54A6" w:rsidRPr="00B07B55">
        <w:rPr>
          <w:lang w:val="en-GB"/>
        </w:rPr>
        <w:t xml:space="preserve"> </w:t>
      </w:r>
      <w:r w:rsidR="00173FD4" w:rsidRPr="00B07B55">
        <w:rPr>
          <w:lang w:val="en-GB"/>
        </w:rPr>
        <w:t>are</w:t>
      </w:r>
      <w:r w:rsidR="005712DB" w:rsidRPr="00B07B55">
        <w:rPr>
          <w:lang w:val="en-GB"/>
        </w:rPr>
        <w:t xml:space="preserve"> much more prevalent in Great </w:t>
      </w:r>
      <w:r w:rsidR="00F139D8">
        <w:rPr>
          <w:lang w:val="en-GB"/>
        </w:rPr>
        <w:t>Britain than in Australia (see a</w:t>
      </w:r>
      <w:r w:rsidR="005712DB" w:rsidRPr="00B07B55">
        <w:rPr>
          <w:lang w:val="en-GB"/>
        </w:rPr>
        <w:t>ppendix table B</w:t>
      </w:r>
      <w:r w:rsidR="0017611B">
        <w:rPr>
          <w:lang w:val="en-GB"/>
        </w:rPr>
        <w:t>3</w:t>
      </w:r>
      <w:r w:rsidR="005712DB" w:rsidRPr="00B07B55">
        <w:rPr>
          <w:lang w:val="en-GB"/>
        </w:rPr>
        <w:t xml:space="preserve">). </w:t>
      </w:r>
      <w:r w:rsidR="002C050C" w:rsidRPr="00B07B55">
        <w:rPr>
          <w:lang w:val="en-GB"/>
        </w:rPr>
        <w:t xml:space="preserve">The already observed difference in the relation between employment status and probability </w:t>
      </w:r>
      <w:r w:rsidR="00AE54A6">
        <w:rPr>
          <w:lang w:val="en-GB"/>
        </w:rPr>
        <w:t>of</w:t>
      </w:r>
      <w:r w:rsidR="00AE54A6" w:rsidRPr="00B07B55">
        <w:rPr>
          <w:lang w:val="en-GB"/>
        </w:rPr>
        <w:t xml:space="preserve"> </w:t>
      </w:r>
      <w:r w:rsidR="002C050C" w:rsidRPr="00B07B55">
        <w:rPr>
          <w:lang w:val="en-GB"/>
        </w:rPr>
        <w:t>enrol</w:t>
      </w:r>
      <w:r w:rsidR="00D4351A">
        <w:rPr>
          <w:lang w:val="en-GB"/>
        </w:rPr>
        <w:t>ment</w:t>
      </w:r>
      <w:r w:rsidR="002C050C" w:rsidRPr="00B07B55">
        <w:rPr>
          <w:lang w:val="en-GB"/>
        </w:rPr>
        <w:t xml:space="preserve"> for women of the two countries appears to play an important role in explaining the overall difference in the enrolment rates. The number of children also appears to explain part of this gap among women. Australian women tend to have a higher number of children </w:t>
      </w:r>
      <w:r w:rsidR="00D4351A">
        <w:rPr>
          <w:lang w:val="en-GB"/>
        </w:rPr>
        <w:t>than</w:t>
      </w:r>
      <w:r w:rsidR="002C050C" w:rsidRPr="00B07B55">
        <w:rPr>
          <w:lang w:val="en-GB"/>
        </w:rPr>
        <w:t xml:space="preserve"> British </w:t>
      </w:r>
      <w:r w:rsidR="00D4351A">
        <w:rPr>
          <w:lang w:val="en-GB"/>
        </w:rPr>
        <w:t>women, and the probability of enrolment is higher among women in both countries who have more children</w:t>
      </w:r>
      <w:r w:rsidR="002C050C" w:rsidRPr="00B07B55">
        <w:rPr>
          <w:lang w:val="en-GB"/>
        </w:rPr>
        <w:t xml:space="preserve">. </w:t>
      </w:r>
    </w:p>
    <w:p w:rsidR="00461B87" w:rsidRDefault="00461B87">
      <w:pPr>
        <w:spacing w:before="0" w:line="240" w:lineRule="auto"/>
        <w:rPr>
          <w:rFonts w:ascii="Tahoma" w:hAnsi="Tahoma"/>
          <w:b/>
          <w:sz w:val="17"/>
          <w:lang w:val="en-GB"/>
        </w:rPr>
      </w:pPr>
      <w:bookmarkStart w:id="74" w:name="_Toc311576127"/>
      <w:r>
        <w:rPr>
          <w:lang w:val="en-GB"/>
        </w:rPr>
        <w:br w:type="page"/>
      </w:r>
    </w:p>
    <w:p w:rsidR="002C050C" w:rsidRPr="00B07B55" w:rsidRDefault="002C050C" w:rsidP="002C050C">
      <w:pPr>
        <w:pStyle w:val="tabletitle"/>
        <w:rPr>
          <w:lang w:val="en-GB"/>
        </w:rPr>
      </w:pPr>
      <w:bookmarkStart w:id="75" w:name="_Toc334021182"/>
      <w:r w:rsidRPr="00B07B55">
        <w:rPr>
          <w:lang w:val="en-GB"/>
        </w:rPr>
        <w:t>Table 15</w:t>
      </w:r>
      <w:r w:rsidRPr="00B07B55">
        <w:rPr>
          <w:lang w:val="en-GB"/>
        </w:rPr>
        <w:tab/>
        <w:t xml:space="preserve">Blinder-Oaxaca decomposition: </w:t>
      </w:r>
      <w:r w:rsidR="00F139D8">
        <w:rPr>
          <w:lang w:val="en-GB"/>
        </w:rPr>
        <w:t>British survey</w:t>
      </w:r>
      <w:r w:rsidRPr="00B07B55">
        <w:rPr>
          <w:lang w:val="en-GB"/>
        </w:rPr>
        <w:t xml:space="preserve"> and HILDA</w:t>
      </w:r>
      <w:bookmarkEnd w:id="74"/>
      <w:bookmarkEnd w:id="75"/>
    </w:p>
    <w:tbl>
      <w:tblPr>
        <w:tblW w:w="8793" w:type="dxa"/>
        <w:tblLayout w:type="fixed"/>
        <w:tblCellMar>
          <w:left w:w="0" w:type="dxa"/>
          <w:right w:w="0" w:type="dxa"/>
        </w:tblCellMar>
        <w:tblLook w:val="04A0"/>
      </w:tblPr>
      <w:tblGrid>
        <w:gridCol w:w="3402"/>
        <w:gridCol w:w="1077"/>
        <w:gridCol w:w="720"/>
        <w:gridCol w:w="1077"/>
        <w:gridCol w:w="720"/>
        <w:gridCol w:w="1077"/>
        <w:gridCol w:w="720"/>
      </w:tblGrid>
      <w:tr w:rsidR="00D227E6" w:rsidRPr="00B07B55" w:rsidTr="00981245">
        <w:tc>
          <w:tcPr>
            <w:tcW w:w="3402" w:type="dxa"/>
            <w:tcBorders>
              <w:top w:val="single" w:sz="8" w:space="0" w:color="auto"/>
              <w:left w:val="nil"/>
              <w:bottom w:val="single" w:sz="8" w:space="0" w:color="auto"/>
              <w:right w:val="nil"/>
            </w:tcBorders>
            <w:shd w:val="clear" w:color="auto" w:fill="auto"/>
            <w:noWrap/>
            <w:tcMar>
              <w:top w:w="0" w:type="dxa"/>
              <w:left w:w="0" w:type="dxa"/>
              <w:bottom w:w="0" w:type="dxa"/>
              <w:right w:w="0" w:type="dxa"/>
            </w:tcMar>
            <w:hideMark/>
          </w:tcPr>
          <w:p w:rsidR="00D227E6" w:rsidRPr="00B07B55" w:rsidRDefault="00D227E6" w:rsidP="00461B87">
            <w:pPr>
              <w:pStyle w:val="Tablehead1"/>
              <w:rPr>
                <w:lang w:val="en-GB"/>
              </w:rPr>
            </w:pPr>
            <w:r w:rsidRPr="00B07B55">
              <w:rPr>
                <w:lang w:val="en-GB"/>
              </w:rPr>
              <w:t> </w:t>
            </w:r>
          </w:p>
        </w:tc>
        <w:tc>
          <w:tcPr>
            <w:tcW w:w="1797" w:type="dxa"/>
            <w:gridSpan w:val="2"/>
            <w:tcBorders>
              <w:top w:val="single" w:sz="8" w:space="0" w:color="auto"/>
              <w:left w:val="nil"/>
              <w:bottom w:val="single" w:sz="8" w:space="0" w:color="auto"/>
              <w:right w:val="nil"/>
            </w:tcBorders>
            <w:shd w:val="clear" w:color="auto" w:fill="auto"/>
            <w:noWrap/>
            <w:tcMar>
              <w:top w:w="0" w:type="dxa"/>
              <w:left w:w="0" w:type="dxa"/>
              <w:bottom w:w="0" w:type="dxa"/>
              <w:right w:w="0" w:type="dxa"/>
            </w:tcMar>
            <w:hideMark/>
          </w:tcPr>
          <w:p w:rsidR="00D227E6" w:rsidRPr="00B07B55" w:rsidRDefault="00461B87" w:rsidP="00461B87">
            <w:pPr>
              <w:pStyle w:val="Tablehead1"/>
              <w:jc w:val="center"/>
              <w:rPr>
                <w:rFonts w:cs="Arial"/>
                <w:bCs/>
                <w:szCs w:val="17"/>
                <w:lang w:val="en-GB"/>
              </w:rPr>
            </w:pPr>
            <w:r w:rsidRPr="00B07B55">
              <w:rPr>
                <w:rFonts w:cs="Arial"/>
                <w:bCs/>
                <w:szCs w:val="17"/>
                <w:lang w:val="en-GB"/>
              </w:rPr>
              <w:t>All</w:t>
            </w:r>
          </w:p>
        </w:tc>
        <w:tc>
          <w:tcPr>
            <w:tcW w:w="1797" w:type="dxa"/>
            <w:gridSpan w:val="2"/>
            <w:tcBorders>
              <w:top w:val="single" w:sz="8" w:space="0" w:color="auto"/>
              <w:left w:val="nil"/>
              <w:bottom w:val="single" w:sz="8" w:space="0" w:color="auto"/>
              <w:right w:val="nil"/>
            </w:tcBorders>
            <w:shd w:val="clear" w:color="auto" w:fill="auto"/>
            <w:noWrap/>
            <w:tcMar>
              <w:top w:w="0" w:type="dxa"/>
              <w:left w:w="0" w:type="dxa"/>
              <w:bottom w:w="0" w:type="dxa"/>
              <w:right w:w="0" w:type="dxa"/>
            </w:tcMar>
            <w:hideMark/>
          </w:tcPr>
          <w:p w:rsidR="00D227E6" w:rsidRPr="00B07B55" w:rsidRDefault="00D227E6" w:rsidP="00461B87">
            <w:pPr>
              <w:pStyle w:val="Tablehead1"/>
              <w:jc w:val="center"/>
              <w:rPr>
                <w:rFonts w:cs="Arial"/>
                <w:bCs/>
                <w:szCs w:val="17"/>
                <w:lang w:val="en-GB"/>
              </w:rPr>
            </w:pPr>
            <w:r w:rsidRPr="00B07B55">
              <w:rPr>
                <w:rFonts w:cs="Arial"/>
                <w:bCs/>
                <w:szCs w:val="17"/>
                <w:lang w:val="en-GB"/>
              </w:rPr>
              <w:t>Males</w:t>
            </w:r>
          </w:p>
        </w:tc>
        <w:tc>
          <w:tcPr>
            <w:tcW w:w="1797" w:type="dxa"/>
            <w:gridSpan w:val="2"/>
            <w:tcBorders>
              <w:top w:val="single" w:sz="8" w:space="0" w:color="auto"/>
              <w:left w:val="nil"/>
              <w:bottom w:val="single" w:sz="8" w:space="0" w:color="auto"/>
              <w:right w:val="nil"/>
            </w:tcBorders>
            <w:shd w:val="clear" w:color="auto" w:fill="auto"/>
            <w:noWrap/>
            <w:tcMar>
              <w:top w:w="0" w:type="dxa"/>
              <w:left w:w="0" w:type="dxa"/>
              <w:bottom w:w="0" w:type="dxa"/>
              <w:right w:w="0" w:type="dxa"/>
            </w:tcMar>
            <w:hideMark/>
          </w:tcPr>
          <w:p w:rsidR="00D227E6" w:rsidRPr="00B07B55" w:rsidRDefault="00D227E6" w:rsidP="00461B87">
            <w:pPr>
              <w:pStyle w:val="Tablehead1"/>
              <w:jc w:val="center"/>
              <w:rPr>
                <w:rFonts w:cs="Arial"/>
                <w:bCs/>
                <w:szCs w:val="17"/>
                <w:lang w:val="en-GB"/>
              </w:rPr>
            </w:pPr>
            <w:r w:rsidRPr="00B07B55">
              <w:rPr>
                <w:rFonts w:cs="Arial"/>
                <w:bCs/>
                <w:szCs w:val="17"/>
                <w:lang w:val="en-GB"/>
              </w:rPr>
              <w:t>Females</w:t>
            </w:r>
          </w:p>
        </w:tc>
      </w:tr>
      <w:tr w:rsidR="00D227E6" w:rsidRPr="00B07B55" w:rsidTr="00981245">
        <w:tc>
          <w:tcPr>
            <w:tcW w:w="3402"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461B87">
            <w:pPr>
              <w:pStyle w:val="Tabletext"/>
              <w:rPr>
                <w:lang w:val="en-GB"/>
              </w:rPr>
            </w:pPr>
            <w:r w:rsidRPr="00B07B55">
              <w:rPr>
                <w:lang w:val="en-GB"/>
              </w:rPr>
              <w:t>Probability of enrolment: Australia</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0.291***</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36.81</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0.262***</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22.89</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0.318***</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29.42</w:t>
            </w:r>
          </w:p>
        </w:tc>
      </w:tr>
      <w:tr w:rsidR="00D227E6" w:rsidRPr="00B07B55" w:rsidTr="00981245">
        <w:tc>
          <w:tcPr>
            <w:tcW w:w="3402"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461B87">
            <w:pPr>
              <w:pStyle w:val="Tabletext"/>
              <w:rPr>
                <w:lang w:val="en-GB"/>
              </w:rPr>
            </w:pPr>
            <w:r w:rsidRPr="00B07B55">
              <w:rPr>
                <w:lang w:val="en-GB"/>
              </w:rPr>
              <w:t>Probability of enrolment: UK</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0.151***</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23.02</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0.108***</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12.81</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0.185***</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19.36</w:t>
            </w:r>
          </w:p>
        </w:tc>
      </w:tr>
      <w:tr w:rsidR="00D227E6" w:rsidRPr="00B07B55" w:rsidTr="00981245">
        <w:tc>
          <w:tcPr>
            <w:tcW w:w="3402"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461B87">
            <w:pPr>
              <w:pStyle w:val="Tabletext"/>
              <w:rPr>
                <w:lang w:val="en-GB"/>
              </w:rPr>
            </w:pPr>
            <w:r w:rsidRPr="00B07B55">
              <w:rPr>
                <w:lang w:val="en-GB"/>
              </w:rPr>
              <w:t>Difference in probability</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0.140***</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13.62</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0.155***</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10.86</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0.133***</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9.21</w:t>
            </w:r>
          </w:p>
        </w:tc>
      </w:tr>
      <w:tr w:rsidR="00D227E6" w:rsidRPr="00B07B55" w:rsidTr="00981245">
        <w:tc>
          <w:tcPr>
            <w:tcW w:w="3402"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461B87">
            <w:pPr>
              <w:pStyle w:val="Tabletext"/>
              <w:rPr>
                <w:lang w:val="en-GB"/>
              </w:rPr>
            </w:pPr>
            <w:r w:rsidRPr="00B07B55">
              <w:rPr>
                <w:lang w:val="en-GB"/>
              </w:rPr>
              <w:t>Explained difference</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0.0158**</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2.06</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0.0144</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1.31</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0.0155</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0.99</w:t>
            </w:r>
          </w:p>
        </w:tc>
      </w:tr>
      <w:tr w:rsidR="00D227E6" w:rsidRPr="00B07B55" w:rsidTr="00981245">
        <w:tc>
          <w:tcPr>
            <w:tcW w:w="3402"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461B87">
            <w:pPr>
              <w:pStyle w:val="Tabletext"/>
              <w:rPr>
                <w:lang w:val="en-GB"/>
              </w:rPr>
            </w:pPr>
            <w:r w:rsidRPr="00B07B55">
              <w:rPr>
                <w:lang w:val="en-GB"/>
              </w:rPr>
              <w:t>Unexplained difference</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0.124***</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10.29</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0.140***</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8.51</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0.117***</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5.65</w:t>
            </w:r>
          </w:p>
        </w:tc>
      </w:tr>
      <w:tr w:rsidR="00D227E6" w:rsidRPr="00B07B55" w:rsidTr="00981245">
        <w:tc>
          <w:tcPr>
            <w:tcW w:w="3402" w:type="dxa"/>
            <w:tcBorders>
              <w:top w:val="nil"/>
              <w:left w:val="nil"/>
              <w:bottom w:val="nil"/>
              <w:right w:val="nil"/>
            </w:tcBorders>
            <w:shd w:val="clear" w:color="auto" w:fill="auto"/>
            <w:tcMar>
              <w:top w:w="0" w:type="dxa"/>
              <w:left w:w="0" w:type="dxa"/>
              <w:bottom w:w="0" w:type="dxa"/>
              <w:right w:w="0" w:type="dxa"/>
            </w:tcMar>
            <w:hideMark/>
          </w:tcPr>
          <w:p w:rsidR="00D227E6" w:rsidRPr="00874A6C" w:rsidRDefault="00D227E6" w:rsidP="00461B87">
            <w:pPr>
              <w:pStyle w:val="Tabletext"/>
              <w:spacing w:before="120"/>
              <w:rPr>
                <w:b/>
                <w:iCs/>
                <w:lang w:val="en-GB"/>
              </w:rPr>
            </w:pPr>
            <w:r w:rsidRPr="00874A6C">
              <w:rPr>
                <w:b/>
                <w:iCs/>
                <w:lang w:val="en-GB"/>
              </w:rPr>
              <w:t>Ref</w:t>
            </w:r>
            <w:r w:rsidR="00F139D8" w:rsidRPr="00874A6C">
              <w:rPr>
                <w:b/>
                <w:iCs/>
                <w:lang w:val="en-GB"/>
              </w:rPr>
              <w:t>erence category: age group 25–</w:t>
            </w:r>
            <w:r w:rsidRPr="00874A6C">
              <w:rPr>
                <w:b/>
                <w:iCs/>
                <w:lang w:val="en-GB"/>
              </w:rPr>
              <w:t>30</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461B87" w:rsidRDefault="00D227E6" w:rsidP="00981245">
            <w:pPr>
              <w:pStyle w:val="Tabletext"/>
              <w:tabs>
                <w:tab w:val="decimal" w:pos="312"/>
              </w:tabs>
              <w:spacing w:before="120"/>
            </w:pP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461B87" w:rsidRDefault="00D227E6" w:rsidP="00981245">
            <w:pPr>
              <w:pStyle w:val="Tabletext"/>
              <w:tabs>
                <w:tab w:val="decimal" w:pos="312"/>
              </w:tabs>
              <w:spacing w:before="120"/>
            </w:pP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461B87" w:rsidRDefault="00D227E6" w:rsidP="00981245">
            <w:pPr>
              <w:pStyle w:val="Tabletext"/>
              <w:tabs>
                <w:tab w:val="decimal" w:pos="312"/>
              </w:tabs>
              <w:spacing w:before="120"/>
            </w:pP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461B87" w:rsidRDefault="00D227E6" w:rsidP="00981245">
            <w:pPr>
              <w:pStyle w:val="Tabletext"/>
              <w:tabs>
                <w:tab w:val="decimal" w:pos="312"/>
              </w:tabs>
              <w:spacing w:before="120"/>
            </w:pP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461B87" w:rsidRDefault="00D227E6" w:rsidP="00981245">
            <w:pPr>
              <w:pStyle w:val="Tabletext"/>
              <w:tabs>
                <w:tab w:val="decimal" w:pos="312"/>
              </w:tabs>
              <w:spacing w:before="120"/>
            </w:pP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461B87" w:rsidRDefault="00D227E6" w:rsidP="00981245">
            <w:pPr>
              <w:pStyle w:val="Tabletext"/>
              <w:tabs>
                <w:tab w:val="decimal" w:pos="312"/>
              </w:tabs>
              <w:spacing w:before="120"/>
            </w:pPr>
          </w:p>
        </w:tc>
      </w:tr>
      <w:tr w:rsidR="00F139D8" w:rsidRPr="00B07B55" w:rsidTr="00981245">
        <w:tc>
          <w:tcPr>
            <w:tcW w:w="3402"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461B87">
            <w:pPr>
              <w:pStyle w:val="Tabletext"/>
              <w:rPr>
                <w:lang w:val="en-GB"/>
              </w:rPr>
            </w:pPr>
            <w:r>
              <w:rPr>
                <w:lang w:val="en-GB"/>
              </w:rPr>
              <w:t>Age group 30–</w:t>
            </w:r>
            <w:r w:rsidRPr="00B07B55">
              <w:rPr>
                <w:lang w:val="en-GB"/>
              </w:rPr>
              <w:t>35</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0.000173</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0.44</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-0.0000227</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-0.03</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0.000226</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0.38</w:t>
            </w:r>
          </w:p>
        </w:tc>
      </w:tr>
      <w:tr w:rsidR="00F139D8" w:rsidRPr="00B07B55" w:rsidTr="00981245">
        <w:tc>
          <w:tcPr>
            <w:tcW w:w="3402"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461B87">
            <w:pPr>
              <w:pStyle w:val="Tabletext"/>
              <w:rPr>
                <w:lang w:val="en-GB"/>
              </w:rPr>
            </w:pPr>
            <w:r>
              <w:rPr>
                <w:lang w:val="en-GB"/>
              </w:rPr>
              <w:t>Age group 35–</w:t>
            </w:r>
            <w:r w:rsidRPr="00B07B55">
              <w:rPr>
                <w:lang w:val="en-GB"/>
              </w:rPr>
              <w:t>40</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0.000633</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1.09</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0.000697</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0.68</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0.000463</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0.66</w:t>
            </w:r>
          </w:p>
        </w:tc>
      </w:tr>
      <w:tr w:rsidR="00F139D8" w:rsidRPr="00B07B55" w:rsidTr="00981245">
        <w:tc>
          <w:tcPr>
            <w:tcW w:w="3402"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461B87">
            <w:pPr>
              <w:pStyle w:val="Tabletext"/>
              <w:rPr>
                <w:lang w:val="en-GB"/>
              </w:rPr>
            </w:pPr>
            <w:r>
              <w:rPr>
                <w:lang w:val="en-GB"/>
              </w:rPr>
              <w:t>Age group 40–</w:t>
            </w:r>
            <w:r w:rsidRPr="00B07B55">
              <w:rPr>
                <w:lang w:val="en-GB"/>
              </w:rPr>
              <w:t>45</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0.000478</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0.65</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0.000779</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0.71</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-0.000124</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-0.13</w:t>
            </w:r>
          </w:p>
        </w:tc>
      </w:tr>
      <w:tr w:rsidR="00F139D8" w:rsidRPr="00B07B55" w:rsidTr="00981245">
        <w:tc>
          <w:tcPr>
            <w:tcW w:w="3402"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461B87">
            <w:pPr>
              <w:pStyle w:val="Tabletext"/>
              <w:rPr>
                <w:lang w:val="en-GB"/>
              </w:rPr>
            </w:pPr>
            <w:r>
              <w:rPr>
                <w:lang w:val="en-GB"/>
              </w:rPr>
              <w:t>Age group 45–</w:t>
            </w:r>
            <w:r w:rsidRPr="00B07B55">
              <w:rPr>
                <w:lang w:val="en-GB"/>
              </w:rPr>
              <w:t>50</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-0.00229</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-1.89</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-0.00102</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-0.53</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-0.00287</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-1.92</w:t>
            </w:r>
          </w:p>
        </w:tc>
      </w:tr>
      <w:tr w:rsidR="00F139D8" w:rsidRPr="00B07B55" w:rsidTr="00981245">
        <w:tc>
          <w:tcPr>
            <w:tcW w:w="3402"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461B87">
            <w:pPr>
              <w:pStyle w:val="Tabletext"/>
              <w:rPr>
                <w:lang w:val="en-GB"/>
              </w:rPr>
            </w:pPr>
            <w:r>
              <w:rPr>
                <w:lang w:val="en-GB"/>
              </w:rPr>
              <w:t>Age group 50–</w:t>
            </w:r>
            <w:r w:rsidRPr="00B07B55">
              <w:rPr>
                <w:lang w:val="en-GB"/>
              </w:rPr>
              <w:t>57</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0.00465</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3.26</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0.0027</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1.14</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0.00632</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F139D8" w:rsidRPr="00B07B55" w:rsidRDefault="00F139D8" w:rsidP="00981245">
            <w:pPr>
              <w:pStyle w:val="Tabletext"/>
              <w:tabs>
                <w:tab w:val="decimal" w:pos="312"/>
              </w:tabs>
              <w:rPr>
                <w:lang w:val="en-GB"/>
              </w:rPr>
            </w:pPr>
            <w:r w:rsidRPr="00B07B55">
              <w:rPr>
                <w:lang w:val="en-GB"/>
              </w:rPr>
              <w:t>3.43</w:t>
            </w:r>
          </w:p>
        </w:tc>
      </w:tr>
      <w:tr w:rsidR="00D227E6" w:rsidRPr="00874A6C" w:rsidTr="00981245">
        <w:tc>
          <w:tcPr>
            <w:tcW w:w="3402"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461B87">
            <w:pPr>
              <w:pStyle w:val="Tabletext"/>
              <w:rPr>
                <w:b/>
                <w:iCs/>
                <w:lang w:val="en-GB"/>
              </w:rPr>
            </w:pPr>
            <w:r w:rsidRPr="00874A6C">
              <w:rPr>
                <w:b/>
                <w:iCs/>
                <w:lang w:val="en-GB"/>
              </w:rPr>
              <w:t>Total contribution by age groups</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981245">
            <w:pPr>
              <w:pStyle w:val="Tabletext"/>
              <w:tabs>
                <w:tab w:val="decimal" w:pos="312"/>
              </w:tabs>
              <w:rPr>
                <w:b/>
                <w:iCs/>
                <w:lang w:val="en-GB"/>
              </w:rPr>
            </w:pPr>
            <w:r w:rsidRPr="00874A6C">
              <w:rPr>
                <w:b/>
                <w:iCs/>
                <w:lang w:val="en-GB"/>
              </w:rPr>
              <w:t>0.003644</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981245">
            <w:pPr>
              <w:pStyle w:val="Tabletext"/>
              <w:tabs>
                <w:tab w:val="decimal" w:pos="312"/>
              </w:tabs>
              <w:rPr>
                <w:b/>
                <w:iCs/>
                <w:lang w:val="en-GB"/>
              </w:rPr>
            </w:pP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981245">
            <w:pPr>
              <w:pStyle w:val="Tabletext"/>
              <w:tabs>
                <w:tab w:val="decimal" w:pos="312"/>
              </w:tabs>
              <w:rPr>
                <w:b/>
                <w:iCs/>
                <w:lang w:val="en-GB"/>
              </w:rPr>
            </w:pPr>
            <w:r w:rsidRPr="00874A6C">
              <w:rPr>
                <w:b/>
                <w:iCs/>
                <w:lang w:val="en-GB"/>
              </w:rPr>
              <w:t>0.0031333</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981245">
            <w:pPr>
              <w:pStyle w:val="Tabletext"/>
              <w:tabs>
                <w:tab w:val="decimal" w:pos="312"/>
              </w:tabs>
              <w:rPr>
                <w:b/>
                <w:iCs/>
                <w:lang w:val="en-GB"/>
              </w:rPr>
            </w:pP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981245">
            <w:pPr>
              <w:pStyle w:val="Tabletext"/>
              <w:tabs>
                <w:tab w:val="decimal" w:pos="312"/>
              </w:tabs>
              <w:rPr>
                <w:b/>
                <w:iCs/>
                <w:lang w:val="en-GB"/>
              </w:rPr>
            </w:pPr>
            <w:r w:rsidRPr="00874A6C">
              <w:rPr>
                <w:b/>
                <w:iCs/>
                <w:lang w:val="en-GB"/>
              </w:rPr>
              <w:t>0.004015</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981245">
            <w:pPr>
              <w:pStyle w:val="Tabletext"/>
              <w:tabs>
                <w:tab w:val="decimal" w:pos="312"/>
              </w:tabs>
              <w:rPr>
                <w:b/>
                <w:iCs/>
                <w:lang w:val="en-GB"/>
              </w:rPr>
            </w:pPr>
          </w:p>
        </w:tc>
      </w:tr>
      <w:tr w:rsidR="00D227E6" w:rsidRPr="00B07B55" w:rsidTr="00981245">
        <w:tc>
          <w:tcPr>
            <w:tcW w:w="3402" w:type="dxa"/>
            <w:tcBorders>
              <w:top w:val="nil"/>
              <w:left w:val="nil"/>
              <w:bottom w:val="nil"/>
              <w:right w:val="nil"/>
            </w:tcBorders>
            <w:shd w:val="clear" w:color="auto" w:fill="auto"/>
            <w:tcMar>
              <w:top w:w="0" w:type="dxa"/>
              <w:left w:w="0" w:type="dxa"/>
              <w:bottom w:w="0" w:type="dxa"/>
              <w:right w:w="0" w:type="dxa"/>
            </w:tcMar>
            <w:hideMark/>
          </w:tcPr>
          <w:p w:rsidR="00D227E6" w:rsidRPr="00874A6C" w:rsidRDefault="00D227E6" w:rsidP="00461B87">
            <w:pPr>
              <w:pStyle w:val="Tabletext"/>
              <w:spacing w:before="120"/>
              <w:rPr>
                <w:b/>
                <w:iCs/>
                <w:lang w:val="en-GB"/>
              </w:rPr>
            </w:pPr>
            <w:r w:rsidRPr="00874A6C">
              <w:rPr>
                <w:b/>
                <w:iCs/>
                <w:lang w:val="en-GB"/>
              </w:rPr>
              <w:t>Reference category: primary education</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spacing w:before="120"/>
              <w:rPr>
                <w:lang w:val="en-GB"/>
              </w:rPr>
            </w:pP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spacing w:before="120"/>
              <w:rPr>
                <w:lang w:val="en-GB"/>
              </w:rPr>
            </w:pP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spacing w:before="120"/>
              <w:rPr>
                <w:lang w:val="en-GB"/>
              </w:rPr>
            </w:pP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spacing w:before="120"/>
              <w:rPr>
                <w:lang w:val="en-GB"/>
              </w:rPr>
            </w:pP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spacing w:before="120"/>
              <w:rPr>
                <w:lang w:val="en-GB"/>
              </w:rPr>
            </w:pP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spacing w:before="120"/>
              <w:rPr>
                <w:lang w:val="en-GB"/>
              </w:rPr>
            </w:pPr>
          </w:p>
        </w:tc>
      </w:tr>
      <w:tr w:rsidR="00D227E6" w:rsidRPr="00B07B55" w:rsidTr="00981245">
        <w:tc>
          <w:tcPr>
            <w:tcW w:w="3402"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461B87">
            <w:pPr>
              <w:pStyle w:val="Tabletext"/>
              <w:rPr>
                <w:lang w:val="en-GB"/>
              </w:rPr>
            </w:pPr>
            <w:r w:rsidRPr="00B07B55">
              <w:rPr>
                <w:lang w:val="en-GB"/>
              </w:rPr>
              <w:t>Education: low intermediate</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0.0175</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2.71</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0.0104</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1.52</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0.0229</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2.05</w:t>
            </w:r>
          </w:p>
        </w:tc>
      </w:tr>
      <w:tr w:rsidR="00D227E6" w:rsidRPr="00B07B55" w:rsidTr="00981245">
        <w:tc>
          <w:tcPr>
            <w:tcW w:w="3402"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461B87">
            <w:pPr>
              <w:pStyle w:val="Tabletext"/>
              <w:rPr>
                <w:lang w:val="en-GB"/>
              </w:rPr>
            </w:pPr>
            <w:r w:rsidRPr="00B07B55">
              <w:rPr>
                <w:lang w:val="en-GB"/>
              </w:rPr>
              <w:t>Education: intermediate (secondary)</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-0.021</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-3.35</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-0.00813</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-1.94</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-0.0246</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-1.48</w:t>
            </w:r>
          </w:p>
        </w:tc>
      </w:tr>
      <w:tr w:rsidR="00D227E6" w:rsidRPr="00B07B55" w:rsidTr="00981245">
        <w:tc>
          <w:tcPr>
            <w:tcW w:w="3402"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461B87">
            <w:pPr>
              <w:pStyle w:val="Tabletext"/>
              <w:rPr>
                <w:lang w:val="en-GB"/>
              </w:rPr>
            </w:pPr>
            <w:r w:rsidRPr="00B07B55">
              <w:rPr>
                <w:lang w:val="en-GB"/>
              </w:rPr>
              <w:t>Education: high intermediate/high vocational</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0.0134</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3.99</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0.00968</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2.43</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0.0157</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2.69</w:t>
            </w:r>
          </w:p>
        </w:tc>
      </w:tr>
      <w:tr w:rsidR="00D227E6" w:rsidRPr="00B07B55" w:rsidTr="00981245">
        <w:tc>
          <w:tcPr>
            <w:tcW w:w="3402"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461B87">
            <w:pPr>
              <w:pStyle w:val="Tabletext"/>
              <w:rPr>
                <w:lang w:val="en-GB"/>
              </w:rPr>
            </w:pPr>
            <w:r w:rsidRPr="00B07B55">
              <w:rPr>
                <w:lang w:val="en-GB"/>
              </w:rPr>
              <w:t>Education: sub-degree</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-0.0174</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-3.52</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-0.0229</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-2.97</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-0.0137</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-2.04</w:t>
            </w:r>
          </w:p>
        </w:tc>
      </w:tr>
      <w:tr w:rsidR="00D227E6" w:rsidRPr="00B07B55" w:rsidTr="00981245">
        <w:tc>
          <w:tcPr>
            <w:tcW w:w="3402"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461B87">
            <w:pPr>
              <w:pStyle w:val="Tabletext"/>
              <w:rPr>
                <w:lang w:val="en-GB"/>
              </w:rPr>
            </w:pPr>
            <w:r w:rsidRPr="00B07B55">
              <w:rPr>
                <w:lang w:val="en-GB"/>
              </w:rPr>
              <w:t>Education: first degree</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0.0137</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4.99</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0.00881</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2.67</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0.0145</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2.95</w:t>
            </w:r>
          </w:p>
        </w:tc>
      </w:tr>
      <w:tr w:rsidR="00D227E6" w:rsidRPr="00B07B55" w:rsidTr="00981245">
        <w:tc>
          <w:tcPr>
            <w:tcW w:w="3402"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461B87">
            <w:pPr>
              <w:pStyle w:val="Tabletext"/>
              <w:rPr>
                <w:lang w:val="en-GB"/>
              </w:rPr>
            </w:pPr>
            <w:r w:rsidRPr="00B07B55">
              <w:rPr>
                <w:lang w:val="en-GB"/>
              </w:rPr>
              <w:t>Education: higher degree </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-0.00042</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-0.88</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0.000673</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0.65</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-0.00173</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-2.12</w:t>
            </w:r>
          </w:p>
        </w:tc>
      </w:tr>
      <w:tr w:rsidR="00D227E6" w:rsidRPr="00874A6C" w:rsidTr="00981245">
        <w:tc>
          <w:tcPr>
            <w:tcW w:w="3402"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461B87">
            <w:pPr>
              <w:pStyle w:val="Tabletext"/>
              <w:rPr>
                <w:b/>
                <w:iCs/>
                <w:lang w:val="en-GB"/>
              </w:rPr>
            </w:pPr>
            <w:r w:rsidRPr="00874A6C">
              <w:rPr>
                <w:b/>
                <w:iCs/>
                <w:lang w:val="en-GB"/>
              </w:rPr>
              <w:t>Total contribution by education levels</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981245">
            <w:pPr>
              <w:pStyle w:val="Tabletext"/>
              <w:tabs>
                <w:tab w:val="decimal" w:pos="312"/>
              </w:tabs>
              <w:rPr>
                <w:b/>
                <w:iCs/>
                <w:lang w:val="en-GB"/>
              </w:rPr>
            </w:pPr>
            <w:r w:rsidRPr="00874A6C">
              <w:rPr>
                <w:b/>
                <w:iCs/>
                <w:lang w:val="en-GB"/>
              </w:rPr>
              <w:t>0.00578</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981245">
            <w:pPr>
              <w:pStyle w:val="Tabletext"/>
              <w:tabs>
                <w:tab w:val="decimal" w:pos="312"/>
              </w:tabs>
              <w:rPr>
                <w:b/>
                <w:iCs/>
                <w:lang w:val="en-GB"/>
              </w:rPr>
            </w:pP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981245">
            <w:pPr>
              <w:pStyle w:val="Tabletext"/>
              <w:tabs>
                <w:tab w:val="decimal" w:pos="312"/>
              </w:tabs>
              <w:rPr>
                <w:b/>
                <w:iCs/>
                <w:lang w:val="en-GB"/>
              </w:rPr>
            </w:pPr>
            <w:r w:rsidRPr="00874A6C">
              <w:rPr>
                <w:b/>
                <w:iCs/>
                <w:lang w:val="en-GB"/>
              </w:rPr>
              <w:t>-0.001467</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981245">
            <w:pPr>
              <w:pStyle w:val="Tabletext"/>
              <w:tabs>
                <w:tab w:val="decimal" w:pos="312"/>
              </w:tabs>
              <w:rPr>
                <w:b/>
                <w:iCs/>
                <w:lang w:val="en-GB"/>
              </w:rPr>
            </w:pP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981245">
            <w:pPr>
              <w:pStyle w:val="Tabletext"/>
              <w:tabs>
                <w:tab w:val="decimal" w:pos="312"/>
              </w:tabs>
              <w:rPr>
                <w:b/>
                <w:iCs/>
                <w:lang w:val="en-GB"/>
              </w:rPr>
            </w:pPr>
            <w:r w:rsidRPr="00874A6C">
              <w:rPr>
                <w:b/>
                <w:iCs/>
                <w:lang w:val="en-GB"/>
              </w:rPr>
              <w:t>0.01307</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981245">
            <w:pPr>
              <w:pStyle w:val="Tabletext"/>
              <w:tabs>
                <w:tab w:val="decimal" w:pos="312"/>
              </w:tabs>
              <w:rPr>
                <w:b/>
                <w:iCs/>
                <w:lang w:val="en-GB"/>
              </w:rPr>
            </w:pPr>
          </w:p>
        </w:tc>
      </w:tr>
      <w:tr w:rsidR="00D227E6" w:rsidRPr="00B07B55" w:rsidTr="00981245">
        <w:tc>
          <w:tcPr>
            <w:tcW w:w="3402"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461B87">
            <w:pPr>
              <w:pStyle w:val="Tabletext"/>
              <w:spacing w:before="120"/>
              <w:rPr>
                <w:b/>
                <w:iCs/>
                <w:lang w:val="en-GB"/>
              </w:rPr>
            </w:pPr>
            <w:r w:rsidRPr="00874A6C">
              <w:rPr>
                <w:b/>
                <w:iCs/>
                <w:lang w:val="en-GB"/>
              </w:rPr>
              <w:t>Reference category: non-immigrant</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spacing w:before="120"/>
              <w:rPr>
                <w:lang w:val="en-GB"/>
              </w:rPr>
            </w:pP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spacing w:before="120"/>
              <w:rPr>
                <w:lang w:val="en-GB"/>
              </w:rPr>
            </w:pP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spacing w:before="120"/>
              <w:rPr>
                <w:lang w:val="en-GB"/>
              </w:rPr>
            </w:pP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spacing w:before="120"/>
              <w:rPr>
                <w:lang w:val="en-GB"/>
              </w:rPr>
            </w:pP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spacing w:before="120"/>
              <w:rPr>
                <w:lang w:val="en-GB"/>
              </w:rPr>
            </w:pP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spacing w:before="120"/>
              <w:rPr>
                <w:lang w:val="en-GB"/>
              </w:rPr>
            </w:pPr>
          </w:p>
        </w:tc>
      </w:tr>
      <w:tr w:rsidR="00D227E6" w:rsidRPr="00B07B55" w:rsidTr="00981245">
        <w:tc>
          <w:tcPr>
            <w:tcW w:w="3402" w:type="dxa"/>
            <w:tcBorders>
              <w:top w:val="nil"/>
              <w:left w:val="nil"/>
              <w:bottom w:val="nil"/>
              <w:right w:val="nil"/>
            </w:tcBorders>
            <w:shd w:val="clear" w:color="auto" w:fill="auto"/>
            <w:tcMar>
              <w:top w:w="0" w:type="dxa"/>
              <w:left w:w="0" w:type="dxa"/>
              <w:bottom w:w="0" w:type="dxa"/>
              <w:right w:w="0" w:type="dxa"/>
            </w:tcMar>
            <w:hideMark/>
          </w:tcPr>
          <w:p w:rsidR="00D227E6" w:rsidRPr="00B07B55" w:rsidRDefault="00D227E6" w:rsidP="00461B87">
            <w:pPr>
              <w:pStyle w:val="Tabletext"/>
              <w:rPr>
                <w:lang w:val="en-GB"/>
              </w:rPr>
            </w:pPr>
            <w:r w:rsidRPr="00B07B55">
              <w:rPr>
                <w:lang w:val="en-GB"/>
              </w:rPr>
              <w:t>Immigrant, English speaking</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-0.000932</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-0.47</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-0.00225</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-0.71</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0.0000472</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0.02</w:t>
            </w:r>
          </w:p>
        </w:tc>
      </w:tr>
      <w:tr w:rsidR="00D227E6" w:rsidRPr="00B07B55" w:rsidTr="00981245">
        <w:tc>
          <w:tcPr>
            <w:tcW w:w="3402" w:type="dxa"/>
            <w:tcBorders>
              <w:top w:val="nil"/>
              <w:left w:val="nil"/>
              <w:bottom w:val="nil"/>
              <w:right w:val="nil"/>
            </w:tcBorders>
            <w:shd w:val="clear" w:color="auto" w:fill="auto"/>
            <w:tcMar>
              <w:top w:w="0" w:type="dxa"/>
              <w:left w:w="0" w:type="dxa"/>
              <w:bottom w:w="0" w:type="dxa"/>
              <w:right w:w="0" w:type="dxa"/>
            </w:tcMar>
            <w:hideMark/>
          </w:tcPr>
          <w:p w:rsidR="00D227E6" w:rsidRPr="00B07B55" w:rsidRDefault="00D227E6" w:rsidP="00461B87">
            <w:pPr>
              <w:pStyle w:val="Tabletext"/>
              <w:rPr>
                <w:lang w:val="en-GB"/>
              </w:rPr>
            </w:pPr>
            <w:r w:rsidRPr="00B07B55">
              <w:rPr>
                <w:lang w:val="en-GB"/>
              </w:rPr>
              <w:t>Immigrant, non-English speaking</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-0.0043</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-1.6</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-0.00134</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-0.37</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-0.0069</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-1.78</w:t>
            </w:r>
          </w:p>
        </w:tc>
      </w:tr>
      <w:tr w:rsidR="00D227E6" w:rsidRPr="00B07B55" w:rsidTr="00981245">
        <w:tc>
          <w:tcPr>
            <w:tcW w:w="3402" w:type="dxa"/>
            <w:tcBorders>
              <w:top w:val="nil"/>
              <w:left w:val="nil"/>
              <w:bottom w:val="nil"/>
              <w:right w:val="nil"/>
            </w:tcBorders>
            <w:shd w:val="clear" w:color="auto" w:fill="auto"/>
            <w:tcMar>
              <w:top w:w="0" w:type="dxa"/>
              <w:left w:w="0" w:type="dxa"/>
              <w:bottom w:w="0" w:type="dxa"/>
              <w:right w:w="0" w:type="dxa"/>
            </w:tcMar>
            <w:hideMark/>
          </w:tcPr>
          <w:p w:rsidR="00D227E6" w:rsidRPr="00874A6C" w:rsidRDefault="00D227E6" w:rsidP="00461B87">
            <w:pPr>
              <w:pStyle w:val="Tabletext"/>
              <w:rPr>
                <w:b/>
                <w:iCs/>
                <w:lang w:val="en-GB"/>
              </w:rPr>
            </w:pPr>
            <w:r w:rsidRPr="00874A6C">
              <w:rPr>
                <w:b/>
                <w:iCs/>
                <w:lang w:val="en-GB"/>
              </w:rPr>
              <w:t>Reference category: employed</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p>
        </w:tc>
      </w:tr>
      <w:tr w:rsidR="00D227E6" w:rsidRPr="00B07B55" w:rsidTr="00981245">
        <w:tc>
          <w:tcPr>
            <w:tcW w:w="3402" w:type="dxa"/>
            <w:tcBorders>
              <w:top w:val="nil"/>
              <w:left w:val="nil"/>
              <w:bottom w:val="nil"/>
              <w:right w:val="nil"/>
            </w:tcBorders>
            <w:shd w:val="clear" w:color="auto" w:fill="auto"/>
            <w:tcMar>
              <w:top w:w="0" w:type="dxa"/>
              <w:left w:w="0" w:type="dxa"/>
              <w:bottom w:w="0" w:type="dxa"/>
              <w:right w:w="0" w:type="dxa"/>
            </w:tcMar>
            <w:hideMark/>
          </w:tcPr>
          <w:p w:rsidR="00D227E6" w:rsidRPr="00B07B55" w:rsidRDefault="00D227E6" w:rsidP="00461B87">
            <w:pPr>
              <w:pStyle w:val="Tabletext"/>
              <w:rPr>
                <w:lang w:val="en-GB"/>
              </w:rPr>
            </w:pPr>
            <w:r w:rsidRPr="00B07B55">
              <w:rPr>
                <w:lang w:val="en-GB"/>
              </w:rPr>
              <w:t>Unemployed</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0.00137</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2.04</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0.00047</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0.42</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0.00178</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2.79</w:t>
            </w:r>
          </w:p>
        </w:tc>
      </w:tr>
      <w:tr w:rsidR="00D227E6" w:rsidRPr="00B07B55" w:rsidTr="00981245">
        <w:tc>
          <w:tcPr>
            <w:tcW w:w="3402" w:type="dxa"/>
            <w:tcBorders>
              <w:top w:val="nil"/>
              <w:left w:val="nil"/>
              <w:bottom w:val="nil"/>
              <w:right w:val="nil"/>
            </w:tcBorders>
            <w:shd w:val="clear" w:color="auto" w:fill="auto"/>
            <w:tcMar>
              <w:top w:w="0" w:type="dxa"/>
              <w:left w:w="0" w:type="dxa"/>
              <w:bottom w:w="0" w:type="dxa"/>
              <w:right w:w="0" w:type="dxa"/>
            </w:tcMar>
            <w:hideMark/>
          </w:tcPr>
          <w:p w:rsidR="00D227E6" w:rsidRPr="00B07B55" w:rsidRDefault="00D227E6" w:rsidP="00461B87">
            <w:pPr>
              <w:pStyle w:val="Tabletext"/>
              <w:rPr>
                <w:lang w:val="en-GB"/>
              </w:rPr>
            </w:pPr>
            <w:r w:rsidRPr="00B07B55">
              <w:rPr>
                <w:lang w:val="en-GB"/>
              </w:rPr>
              <w:t>Not in the labour force</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-0.000546</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-1.24</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-0.000998</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-1.22</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-0.00134</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-1.66</w:t>
            </w:r>
          </w:p>
        </w:tc>
      </w:tr>
      <w:tr w:rsidR="00D227E6" w:rsidRPr="00B07B55" w:rsidTr="00981245">
        <w:tc>
          <w:tcPr>
            <w:tcW w:w="3402" w:type="dxa"/>
            <w:tcBorders>
              <w:top w:val="nil"/>
              <w:left w:val="nil"/>
              <w:bottom w:val="nil"/>
              <w:right w:val="nil"/>
            </w:tcBorders>
            <w:shd w:val="clear" w:color="auto" w:fill="auto"/>
            <w:tcMar>
              <w:top w:w="0" w:type="dxa"/>
              <w:left w:w="0" w:type="dxa"/>
              <w:bottom w:w="0" w:type="dxa"/>
              <w:right w:w="0" w:type="dxa"/>
            </w:tcMar>
            <w:hideMark/>
          </w:tcPr>
          <w:p w:rsidR="00D227E6" w:rsidRPr="00874A6C" w:rsidRDefault="00D227E6" w:rsidP="00461B87">
            <w:pPr>
              <w:pStyle w:val="Tabletext"/>
              <w:rPr>
                <w:b/>
                <w:iCs/>
                <w:lang w:val="en-GB"/>
              </w:rPr>
            </w:pPr>
            <w:r w:rsidRPr="00874A6C">
              <w:rPr>
                <w:b/>
                <w:iCs/>
                <w:lang w:val="en-GB"/>
              </w:rPr>
              <w:t>Reference category: married</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p>
        </w:tc>
      </w:tr>
      <w:tr w:rsidR="00D227E6" w:rsidRPr="00B07B55" w:rsidTr="00981245">
        <w:tc>
          <w:tcPr>
            <w:tcW w:w="3402" w:type="dxa"/>
            <w:tcBorders>
              <w:top w:val="nil"/>
              <w:left w:val="nil"/>
              <w:bottom w:val="nil"/>
              <w:right w:val="nil"/>
            </w:tcBorders>
            <w:shd w:val="clear" w:color="auto" w:fill="auto"/>
            <w:tcMar>
              <w:top w:w="0" w:type="dxa"/>
              <w:left w:w="0" w:type="dxa"/>
              <w:bottom w:w="0" w:type="dxa"/>
              <w:right w:w="0" w:type="dxa"/>
            </w:tcMar>
            <w:hideMark/>
          </w:tcPr>
          <w:p w:rsidR="00D227E6" w:rsidRPr="00B07B55" w:rsidRDefault="00D227E6" w:rsidP="00461B87">
            <w:pPr>
              <w:pStyle w:val="Tabletext"/>
              <w:rPr>
                <w:lang w:val="en-GB"/>
              </w:rPr>
            </w:pPr>
            <w:r w:rsidRPr="00B07B55">
              <w:rPr>
                <w:lang w:val="en-GB"/>
              </w:rPr>
              <w:t>Separated/divorced</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-0.00338</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-4.53</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-0.000468</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-0.55</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-0.00482</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-4.29</w:t>
            </w:r>
          </w:p>
        </w:tc>
      </w:tr>
      <w:tr w:rsidR="00D227E6" w:rsidRPr="00B07B55" w:rsidTr="00981245">
        <w:tc>
          <w:tcPr>
            <w:tcW w:w="3402" w:type="dxa"/>
            <w:tcBorders>
              <w:top w:val="nil"/>
              <w:left w:val="nil"/>
              <w:bottom w:val="nil"/>
              <w:right w:val="nil"/>
            </w:tcBorders>
            <w:shd w:val="clear" w:color="auto" w:fill="auto"/>
            <w:tcMar>
              <w:top w:w="0" w:type="dxa"/>
              <w:left w:w="0" w:type="dxa"/>
              <w:bottom w:w="0" w:type="dxa"/>
              <w:right w:w="0" w:type="dxa"/>
            </w:tcMar>
            <w:hideMark/>
          </w:tcPr>
          <w:p w:rsidR="00D227E6" w:rsidRPr="00B07B55" w:rsidRDefault="00D227E6" w:rsidP="00461B87">
            <w:pPr>
              <w:pStyle w:val="Tabletext"/>
              <w:rPr>
                <w:lang w:val="en-GB"/>
              </w:rPr>
            </w:pPr>
            <w:r w:rsidRPr="00B07B55">
              <w:rPr>
                <w:lang w:val="en-GB"/>
              </w:rPr>
              <w:t>Never married</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-0.00109</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-0.99</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-0.000681</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-0.61</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-0.00143</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-0.62</w:t>
            </w:r>
          </w:p>
        </w:tc>
      </w:tr>
      <w:tr w:rsidR="00D227E6" w:rsidRPr="00B07B55" w:rsidTr="00981245">
        <w:tc>
          <w:tcPr>
            <w:tcW w:w="3402" w:type="dxa"/>
            <w:tcBorders>
              <w:top w:val="nil"/>
              <w:left w:val="nil"/>
              <w:bottom w:val="nil"/>
              <w:right w:val="nil"/>
            </w:tcBorders>
            <w:shd w:val="clear" w:color="auto" w:fill="auto"/>
            <w:tcMar>
              <w:top w:w="0" w:type="dxa"/>
              <w:left w:w="0" w:type="dxa"/>
              <w:bottom w:w="0" w:type="dxa"/>
              <w:right w:w="0" w:type="dxa"/>
            </w:tcMar>
            <w:hideMark/>
          </w:tcPr>
          <w:p w:rsidR="00D227E6" w:rsidRPr="00B07B55" w:rsidRDefault="00D227E6" w:rsidP="00461B87">
            <w:pPr>
              <w:pStyle w:val="Tabletext"/>
              <w:rPr>
                <w:lang w:val="en-GB"/>
              </w:rPr>
            </w:pPr>
            <w:r w:rsidRPr="00B07B55">
              <w:rPr>
                <w:lang w:val="en-GB"/>
              </w:rPr>
              <w:t>Number of dependent children</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0.00316</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2.19</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-0.00014</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-0.17</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0.00726</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2.10</w:t>
            </w:r>
          </w:p>
        </w:tc>
      </w:tr>
      <w:tr w:rsidR="00D227E6" w:rsidRPr="00B07B55" w:rsidTr="00981245">
        <w:tc>
          <w:tcPr>
            <w:tcW w:w="3402" w:type="dxa"/>
            <w:tcBorders>
              <w:top w:val="nil"/>
              <w:left w:val="nil"/>
              <w:bottom w:val="nil"/>
              <w:right w:val="nil"/>
            </w:tcBorders>
            <w:shd w:val="clear" w:color="auto" w:fill="auto"/>
            <w:tcMar>
              <w:top w:w="0" w:type="dxa"/>
              <w:left w:w="0" w:type="dxa"/>
              <w:bottom w:w="0" w:type="dxa"/>
              <w:right w:w="0" w:type="dxa"/>
            </w:tcMar>
            <w:hideMark/>
          </w:tcPr>
          <w:p w:rsidR="00D227E6" w:rsidRPr="00B07B55" w:rsidRDefault="00D227E6" w:rsidP="00461B87">
            <w:pPr>
              <w:pStyle w:val="Tabletext"/>
              <w:rPr>
                <w:lang w:val="en-GB"/>
              </w:rPr>
            </w:pPr>
            <w:r w:rsidRPr="00B07B55">
              <w:rPr>
                <w:lang w:val="en-GB"/>
              </w:rPr>
              <w:t xml:space="preserve">Disposable income (in </w:t>
            </w:r>
            <w:r w:rsidRPr="003223AE">
              <w:rPr>
                <w:lang w:val="en-GB"/>
              </w:rPr>
              <w:t>US $</w:t>
            </w:r>
            <w:r w:rsidR="003223AE">
              <w:rPr>
                <w:lang w:val="en-GB"/>
              </w:rPr>
              <w:t>1</w:t>
            </w:r>
            <w:r w:rsidRPr="003223AE">
              <w:rPr>
                <w:lang w:val="en-GB"/>
              </w:rPr>
              <w:t>000</w:t>
            </w:r>
            <w:r w:rsidR="003223AE">
              <w:rPr>
                <w:lang w:val="en-GB"/>
              </w:rPr>
              <w:t>s</w:t>
            </w:r>
            <w:r w:rsidRPr="003223AE">
              <w:rPr>
                <w:lang w:val="en-GB"/>
              </w:rPr>
              <w:t>)</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0.0119</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4.42</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0.0184</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3.08</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0.00396</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B07B55" w:rsidRDefault="00D227E6" w:rsidP="00981245">
            <w:pPr>
              <w:pStyle w:val="Tabletext"/>
              <w:tabs>
                <w:tab w:val="decimal" w:pos="312"/>
              </w:tabs>
              <w:rPr>
                <w:lang w:val="en-GB"/>
              </w:rPr>
            </w:pPr>
            <w:r w:rsidRPr="00B07B55">
              <w:rPr>
                <w:lang w:val="en-GB"/>
              </w:rPr>
              <w:t>1.07</w:t>
            </w:r>
          </w:p>
        </w:tc>
      </w:tr>
      <w:tr w:rsidR="00D227E6" w:rsidRPr="00874A6C" w:rsidTr="00981245">
        <w:tc>
          <w:tcPr>
            <w:tcW w:w="3402" w:type="dxa"/>
            <w:tcBorders>
              <w:top w:val="nil"/>
              <w:left w:val="nil"/>
              <w:bottom w:val="nil"/>
              <w:right w:val="nil"/>
            </w:tcBorders>
            <w:shd w:val="clear" w:color="auto" w:fill="auto"/>
            <w:tcMar>
              <w:top w:w="0" w:type="dxa"/>
              <w:left w:w="0" w:type="dxa"/>
              <w:bottom w:w="0" w:type="dxa"/>
              <w:right w:w="0" w:type="dxa"/>
            </w:tcMar>
            <w:hideMark/>
          </w:tcPr>
          <w:p w:rsidR="00D227E6" w:rsidRPr="00874A6C" w:rsidRDefault="00D227E6" w:rsidP="00461B87">
            <w:pPr>
              <w:pStyle w:val="Tabletext"/>
              <w:rPr>
                <w:b/>
                <w:iCs/>
                <w:lang w:val="en-GB"/>
              </w:rPr>
            </w:pPr>
            <w:r w:rsidRPr="00874A6C">
              <w:rPr>
                <w:b/>
                <w:iCs/>
                <w:lang w:val="en-GB"/>
              </w:rPr>
              <w:t>Total contribution by all remaining variables</w:t>
            </w: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981245">
            <w:pPr>
              <w:pStyle w:val="Tabletext"/>
              <w:tabs>
                <w:tab w:val="decimal" w:pos="312"/>
              </w:tabs>
              <w:rPr>
                <w:b/>
                <w:iCs/>
                <w:lang w:val="en-GB"/>
              </w:rPr>
            </w:pPr>
            <w:r w:rsidRPr="00874A6C">
              <w:rPr>
                <w:b/>
                <w:iCs/>
                <w:lang w:val="en-GB"/>
              </w:rPr>
              <w:t>0.006182</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981245">
            <w:pPr>
              <w:pStyle w:val="Tabletext"/>
              <w:tabs>
                <w:tab w:val="decimal" w:pos="312"/>
              </w:tabs>
              <w:rPr>
                <w:b/>
                <w:iCs/>
                <w:lang w:val="en-GB"/>
              </w:rPr>
            </w:pP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981245">
            <w:pPr>
              <w:pStyle w:val="Tabletext"/>
              <w:tabs>
                <w:tab w:val="decimal" w:pos="312"/>
              </w:tabs>
              <w:rPr>
                <w:b/>
                <w:iCs/>
                <w:lang w:val="en-GB"/>
              </w:rPr>
            </w:pPr>
            <w:r w:rsidRPr="00874A6C">
              <w:rPr>
                <w:b/>
                <w:iCs/>
                <w:lang w:val="en-GB"/>
              </w:rPr>
              <w:t>0.012993</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981245">
            <w:pPr>
              <w:pStyle w:val="Tabletext"/>
              <w:tabs>
                <w:tab w:val="decimal" w:pos="312"/>
              </w:tabs>
              <w:rPr>
                <w:b/>
                <w:iCs/>
                <w:lang w:val="en-GB"/>
              </w:rPr>
            </w:pPr>
          </w:p>
        </w:tc>
        <w:tc>
          <w:tcPr>
            <w:tcW w:w="1077"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981245">
            <w:pPr>
              <w:pStyle w:val="Tabletext"/>
              <w:tabs>
                <w:tab w:val="decimal" w:pos="312"/>
              </w:tabs>
              <w:rPr>
                <w:b/>
                <w:iCs/>
                <w:lang w:val="en-GB"/>
              </w:rPr>
            </w:pPr>
            <w:r w:rsidRPr="00874A6C">
              <w:rPr>
                <w:b/>
                <w:iCs/>
                <w:lang w:val="en-GB"/>
              </w:rPr>
              <w:t>-0.001443</w:t>
            </w:r>
          </w:p>
        </w:tc>
        <w:tc>
          <w:tcPr>
            <w:tcW w:w="720" w:type="dxa"/>
            <w:tcBorders>
              <w:top w:val="nil"/>
              <w:left w:val="nil"/>
              <w:bottom w:val="nil"/>
              <w:right w:val="nil"/>
            </w:tcBorders>
            <w:shd w:val="clear" w:color="auto" w:fill="auto"/>
            <w:noWrap/>
            <w:tcMar>
              <w:top w:w="0" w:type="dxa"/>
              <w:left w:w="0" w:type="dxa"/>
              <w:bottom w:w="0" w:type="dxa"/>
              <w:right w:w="0" w:type="dxa"/>
            </w:tcMar>
            <w:hideMark/>
          </w:tcPr>
          <w:p w:rsidR="00D227E6" w:rsidRPr="00874A6C" w:rsidRDefault="00D227E6" w:rsidP="00981245">
            <w:pPr>
              <w:pStyle w:val="Tabletext"/>
              <w:tabs>
                <w:tab w:val="decimal" w:pos="312"/>
              </w:tabs>
              <w:rPr>
                <w:b/>
                <w:iCs/>
                <w:lang w:val="en-GB"/>
              </w:rPr>
            </w:pPr>
          </w:p>
        </w:tc>
      </w:tr>
      <w:tr w:rsidR="00D227E6" w:rsidRPr="00B07B55" w:rsidTr="00981245">
        <w:tc>
          <w:tcPr>
            <w:tcW w:w="3402" w:type="dxa"/>
            <w:tcBorders>
              <w:top w:val="nil"/>
              <w:left w:val="nil"/>
              <w:bottom w:val="single" w:sz="8" w:space="0" w:color="auto"/>
              <w:right w:val="nil"/>
            </w:tcBorders>
            <w:shd w:val="clear" w:color="auto" w:fill="auto"/>
            <w:noWrap/>
            <w:tcMar>
              <w:top w:w="0" w:type="dxa"/>
              <w:left w:w="0" w:type="dxa"/>
              <w:bottom w:w="0" w:type="dxa"/>
              <w:right w:w="0" w:type="dxa"/>
            </w:tcMar>
            <w:hideMark/>
          </w:tcPr>
          <w:p w:rsidR="00D227E6" w:rsidRPr="00B07B55" w:rsidRDefault="00D227E6" w:rsidP="00461B87">
            <w:pPr>
              <w:pStyle w:val="Tabletext"/>
              <w:spacing w:before="120"/>
              <w:rPr>
                <w:i/>
                <w:iCs/>
                <w:lang w:val="en-GB"/>
              </w:rPr>
            </w:pPr>
            <w:r w:rsidRPr="00B07B55">
              <w:rPr>
                <w:i/>
                <w:iCs/>
                <w:lang w:val="en-GB"/>
              </w:rPr>
              <w:t>Observations</w:t>
            </w:r>
          </w:p>
        </w:tc>
        <w:tc>
          <w:tcPr>
            <w:tcW w:w="1797" w:type="dxa"/>
            <w:gridSpan w:val="2"/>
            <w:tcBorders>
              <w:top w:val="nil"/>
              <w:left w:val="nil"/>
              <w:bottom w:val="single" w:sz="8" w:space="0" w:color="auto"/>
              <w:right w:val="nil"/>
            </w:tcBorders>
            <w:shd w:val="clear" w:color="auto" w:fill="auto"/>
            <w:noWrap/>
            <w:tcMar>
              <w:top w:w="0" w:type="dxa"/>
              <w:left w:w="0" w:type="dxa"/>
              <w:bottom w:w="0" w:type="dxa"/>
              <w:right w:w="0" w:type="dxa"/>
            </w:tcMar>
            <w:hideMark/>
          </w:tcPr>
          <w:p w:rsidR="00D227E6" w:rsidRPr="00B07B55" w:rsidRDefault="00D227E6" w:rsidP="00461B87">
            <w:pPr>
              <w:pStyle w:val="Tabletext"/>
              <w:spacing w:before="120"/>
              <w:jc w:val="center"/>
              <w:rPr>
                <w:i/>
                <w:iCs/>
                <w:lang w:val="en-GB"/>
              </w:rPr>
            </w:pPr>
            <w:r w:rsidRPr="00B07B55">
              <w:rPr>
                <w:i/>
                <w:iCs/>
                <w:lang w:val="en-GB"/>
              </w:rPr>
              <w:t>8892</w:t>
            </w:r>
          </w:p>
        </w:tc>
        <w:tc>
          <w:tcPr>
            <w:tcW w:w="1797" w:type="dxa"/>
            <w:gridSpan w:val="2"/>
            <w:tcBorders>
              <w:top w:val="nil"/>
              <w:left w:val="nil"/>
              <w:bottom w:val="single" w:sz="8" w:space="0" w:color="auto"/>
              <w:right w:val="nil"/>
            </w:tcBorders>
            <w:shd w:val="clear" w:color="auto" w:fill="auto"/>
            <w:noWrap/>
            <w:tcMar>
              <w:top w:w="0" w:type="dxa"/>
              <w:left w:w="0" w:type="dxa"/>
              <w:bottom w:w="0" w:type="dxa"/>
              <w:right w:w="0" w:type="dxa"/>
            </w:tcMar>
            <w:hideMark/>
          </w:tcPr>
          <w:p w:rsidR="00D227E6" w:rsidRPr="00B07B55" w:rsidRDefault="00D227E6" w:rsidP="00461B87">
            <w:pPr>
              <w:pStyle w:val="Tabletext"/>
              <w:spacing w:before="120"/>
              <w:jc w:val="center"/>
              <w:rPr>
                <w:i/>
                <w:iCs/>
                <w:lang w:val="en-GB"/>
              </w:rPr>
            </w:pPr>
            <w:r w:rsidRPr="00B07B55">
              <w:rPr>
                <w:i/>
                <w:iCs/>
                <w:lang w:val="en-GB"/>
              </w:rPr>
              <w:t>4025</w:t>
            </w:r>
          </w:p>
        </w:tc>
        <w:tc>
          <w:tcPr>
            <w:tcW w:w="1797" w:type="dxa"/>
            <w:gridSpan w:val="2"/>
            <w:tcBorders>
              <w:top w:val="nil"/>
              <w:left w:val="nil"/>
              <w:bottom w:val="single" w:sz="8" w:space="0" w:color="auto"/>
              <w:right w:val="nil"/>
            </w:tcBorders>
            <w:shd w:val="clear" w:color="auto" w:fill="auto"/>
            <w:noWrap/>
            <w:tcMar>
              <w:top w:w="0" w:type="dxa"/>
              <w:left w:w="0" w:type="dxa"/>
              <w:bottom w:w="0" w:type="dxa"/>
              <w:right w:w="0" w:type="dxa"/>
            </w:tcMar>
            <w:hideMark/>
          </w:tcPr>
          <w:p w:rsidR="00D227E6" w:rsidRPr="00B07B55" w:rsidRDefault="00D227E6" w:rsidP="00461B87">
            <w:pPr>
              <w:pStyle w:val="Tabletext"/>
              <w:spacing w:before="120"/>
              <w:jc w:val="center"/>
              <w:rPr>
                <w:i/>
                <w:iCs/>
                <w:lang w:val="en-GB"/>
              </w:rPr>
            </w:pPr>
            <w:r w:rsidRPr="00B07B55">
              <w:rPr>
                <w:i/>
                <w:iCs/>
                <w:lang w:val="en-GB"/>
              </w:rPr>
              <w:t>4867</w:t>
            </w:r>
          </w:p>
        </w:tc>
      </w:tr>
    </w:tbl>
    <w:p w:rsidR="00404356" w:rsidRPr="00461B87" w:rsidRDefault="002949DD" w:rsidP="00461B87">
      <w:pPr>
        <w:pStyle w:val="Source"/>
      </w:pPr>
      <w:r>
        <w:rPr>
          <w:lang w:val="en-GB"/>
        </w:rPr>
        <w:t>Note:</w:t>
      </w:r>
      <w:r w:rsidR="00461B87">
        <w:rPr>
          <w:lang w:val="en-GB"/>
        </w:rPr>
        <w:tab/>
      </w:r>
      <w:r w:rsidR="00404356" w:rsidRPr="00461B87">
        <w:t>Coefficients estimated using adjusted weights. t-statistics based on White standard errors.</w:t>
      </w:r>
    </w:p>
    <w:p w:rsidR="002C050C" w:rsidRPr="00B07B55" w:rsidRDefault="00461B87" w:rsidP="00461B87">
      <w:pPr>
        <w:pStyle w:val="Source"/>
        <w:rPr>
          <w:lang w:val="en-GB"/>
        </w:rPr>
      </w:pPr>
      <w:r>
        <w:t>Source:</w:t>
      </w:r>
      <w:r>
        <w:tab/>
      </w:r>
      <w:r w:rsidR="00A904E7" w:rsidRPr="00461B87">
        <w:t>BHP</w:t>
      </w:r>
      <w:r w:rsidR="00A904E7">
        <w:rPr>
          <w:lang w:val="en-GB"/>
        </w:rPr>
        <w:t>S and HILDA d</w:t>
      </w:r>
      <w:r w:rsidR="002C050C" w:rsidRPr="00B07B55">
        <w:rPr>
          <w:lang w:val="en-GB"/>
        </w:rPr>
        <w:t>ata.</w:t>
      </w:r>
    </w:p>
    <w:p w:rsidR="002C050C" w:rsidRPr="00B07B55" w:rsidRDefault="002C050C" w:rsidP="002C050C">
      <w:pPr>
        <w:rPr>
          <w:lang w:val="en-GB"/>
        </w:rPr>
      </w:pPr>
    </w:p>
    <w:p w:rsidR="001672E7" w:rsidRPr="00B07B55" w:rsidRDefault="001672E7">
      <w:pPr>
        <w:spacing w:before="0" w:line="240" w:lineRule="auto"/>
        <w:rPr>
          <w:lang w:val="en-GB"/>
        </w:rPr>
      </w:pPr>
      <w:r w:rsidRPr="00B07B55">
        <w:rPr>
          <w:lang w:val="en-GB"/>
        </w:rPr>
        <w:br w:type="page"/>
      </w:r>
    </w:p>
    <w:p w:rsidR="00282DD3" w:rsidRPr="00B07B55" w:rsidRDefault="00282DD3" w:rsidP="00260CE4">
      <w:pPr>
        <w:pStyle w:val="Heading1"/>
        <w:rPr>
          <w:lang w:val="en-GB"/>
        </w:rPr>
      </w:pPr>
      <w:bookmarkStart w:id="76" w:name="_Toc334101016"/>
      <w:r w:rsidRPr="00B07B55">
        <w:rPr>
          <w:lang w:val="en-GB"/>
        </w:rPr>
        <w:t>Concluding remarks</w:t>
      </w:r>
      <w:bookmarkEnd w:id="76"/>
    </w:p>
    <w:p w:rsidR="00282DD3" w:rsidRPr="00B07B55" w:rsidRDefault="007A4E37" w:rsidP="00495869">
      <w:pPr>
        <w:pStyle w:val="Text"/>
        <w:ind w:right="0"/>
        <w:rPr>
          <w:lang w:val="en-GB"/>
        </w:rPr>
      </w:pPr>
      <w:r>
        <w:rPr>
          <w:lang w:val="en-GB"/>
        </w:rPr>
        <w:t>Mature-age</w:t>
      </w:r>
      <w:r w:rsidR="00282DD3" w:rsidRPr="00B07B55">
        <w:rPr>
          <w:lang w:val="en-GB"/>
        </w:rPr>
        <w:t xml:space="preserve"> education, broadly defined, is an important part of the Australian education system. Larg</w:t>
      </w:r>
      <w:r w:rsidR="00A904E7">
        <w:rPr>
          <w:lang w:val="en-GB"/>
        </w:rPr>
        <w:t>e numbers of Australian working-</w:t>
      </w:r>
      <w:r w:rsidR="00282DD3" w:rsidRPr="00B07B55">
        <w:rPr>
          <w:lang w:val="en-GB"/>
        </w:rPr>
        <w:t>age adults undertake further education at non-conventional ages. Th</w:t>
      </w:r>
      <w:r w:rsidR="00761488">
        <w:rPr>
          <w:lang w:val="en-GB"/>
        </w:rPr>
        <w:t>is report</w:t>
      </w:r>
      <w:r w:rsidR="00282DD3" w:rsidRPr="00B07B55">
        <w:rPr>
          <w:lang w:val="en-GB"/>
        </w:rPr>
        <w:t xml:space="preserve"> provides a wealth of information about this </w:t>
      </w:r>
      <w:r w:rsidR="00254BBC" w:rsidRPr="00B07B55">
        <w:rPr>
          <w:lang w:val="en-GB"/>
        </w:rPr>
        <w:t>phenomenon</w:t>
      </w:r>
      <w:r w:rsidR="00A904E7">
        <w:rPr>
          <w:lang w:val="en-GB"/>
        </w:rPr>
        <w:t xml:space="preserve"> — the</w:t>
      </w:r>
      <w:r w:rsidR="00282DD3" w:rsidRPr="00B07B55">
        <w:rPr>
          <w:lang w:val="en-GB"/>
        </w:rPr>
        <w:t xml:space="preserve"> levels of education being attempted, </w:t>
      </w:r>
      <w:r w:rsidR="00A904E7">
        <w:rPr>
          <w:lang w:val="en-GB"/>
        </w:rPr>
        <w:t>who is undertaking it</w:t>
      </w:r>
      <w:r w:rsidR="00282DD3" w:rsidRPr="00B07B55">
        <w:rPr>
          <w:lang w:val="en-GB"/>
        </w:rPr>
        <w:t xml:space="preserve"> and its effects</w:t>
      </w:r>
      <w:r w:rsidR="00495D5C">
        <w:rPr>
          <w:lang w:val="en-GB"/>
        </w:rPr>
        <w:t>.</w:t>
      </w:r>
      <w:r w:rsidR="00282DD3" w:rsidRPr="00B07B55">
        <w:rPr>
          <w:lang w:val="en-GB"/>
        </w:rPr>
        <w:t xml:space="preserve"> </w:t>
      </w:r>
    </w:p>
    <w:p w:rsidR="00282DD3" w:rsidRPr="00B07B55" w:rsidRDefault="00282DD3" w:rsidP="00495869">
      <w:pPr>
        <w:pStyle w:val="Text"/>
        <w:ind w:right="0"/>
        <w:rPr>
          <w:lang w:val="en-GB"/>
        </w:rPr>
      </w:pPr>
      <w:r w:rsidRPr="00B07B55">
        <w:rPr>
          <w:lang w:val="en-GB"/>
        </w:rPr>
        <w:t>To begin, we find that a significant proportion of education</w:t>
      </w:r>
      <w:r w:rsidR="00495D5C">
        <w:rPr>
          <w:lang w:val="en-GB"/>
        </w:rPr>
        <w:t xml:space="preserve"> at more mature ages</w:t>
      </w:r>
      <w:r w:rsidRPr="00B07B55">
        <w:rPr>
          <w:lang w:val="en-GB"/>
        </w:rPr>
        <w:t xml:space="preserve"> is </w:t>
      </w:r>
      <w:r w:rsidR="00495D5C">
        <w:rPr>
          <w:lang w:val="en-GB"/>
        </w:rPr>
        <w:t>under</w:t>
      </w:r>
      <w:r w:rsidRPr="00B07B55">
        <w:rPr>
          <w:lang w:val="en-GB"/>
        </w:rPr>
        <w:t xml:space="preserve">taken at the VET level. The individuals undertaking this level of education may already hold qualifications at this </w:t>
      </w:r>
      <w:r w:rsidR="00CD0D0B">
        <w:rPr>
          <w:lang w:val="en-GB"/>
        </w:rPr>
        <w:t xml:space="preserve">level </w:t>
      </w:r>
      <w:r w:rsidRPr="00B07B55">
        <w:rPr>
          <w:lang w:val="en-GB"/>
        </w:rPr>
        <w:t>or at even higher levels. The decision to enrol in further education is related to poorer labour market outcomes</w:t>
      </w:r>
      <w:r w:rsidR="001C73D5">
        <w:rPr>
          <w:lang w:val="en-GB"/>
        </w:rPr>
        <w:t xml:space="preserve"> </w:t>
      </w:r>
      <w:r w:rsidRPr="00B07B55">
        <w:rPr>
          <w:lang w:val="en-GB"/>
        </w:rPr>
        <w:t>for</w:t>
      </w:r>
      <w:r w:rsidR="001C73D5">
        <w:rPr>
          <w:lang w:val="en-GB"/>
        </w:rPr>
        <w:t xml:space="preserve"> </w:t>
      </w:r>
      <w:r w:rsidRPr="00B07B55">
        <w:rPr>
          <w:lang w:val="en-GB"/>
        </w:rPr>
        <w:t>males (low income and wages, low job satisfaction), while for females it was more closely related to marriage dissolution and being unemployed. This last finding is consistent with the higher proportion of females than males stating the main reason for undertaking further study was to get a job.</w:t>
      </w:r>
      <w:r w:rsidR="001C73D5">
        <w:rPr>
          <w:lang w:val="en-GB"/>
        </w:rPr>
        <w:t xml:space="preserve"> </w:t>
      </w:r>
    </w:p>
    <w:p w:rsidR="0089082A" w:rsidRDefault="00282DD3" w:rsidP="00495869">
      <w:pPr>
        <w:pStyle w:val="Text"/>
        <w:ind w:right="0"/>
        <w:rPr>
          <w:lang w:val="en-GB"/>
        </w:rPr>
      </w:pPr>
      <w:r w:rsidRPr="00B07B55">
        <w:rPr>
          <w:lang w:val="en-GB"/>
        </w:rPr>
        <w:t xml:space="preserve">Regarding the outcomes of </w:t>
      </w:r>
      <w:r w:rsidR="007A4E37">
        <w:rPr>
          <w:lang w:val="en-GB"/>
        </w:rPr>
        <w:t>mature-age</w:t>
      </w:r>
      <w:r w:rsidRPr="00B07B55">
        <w:rPr>
          <w:lang w:val="en-GB"/>
        </w:rPr>
        <w:t xml:space="preserve"> education</w:t>
      </w:r>
      <w:r w:rsidR="003F1273">
        <w:rPr>
          <w:lang w:val="en-GB"/>
        </w:rPr>
        <w:t>,</w:t>
      </w:r>
      <w:r w:rsidR="00254BBC" w:rsidRPr="00B07B55">
        <w:rPr>
          <w:lang w:val="en-GB"/>
        </w:rPr>
        <w:t xml:space="preserve"> for males</w:t>
      </w:r>
      <w:r w:rsidRPr="00B07B55">
        <w:rPr>
          <w:lang w:val="en-GB"/>
        </w:rPr>
        <w:t xml:space="preserve"> </w:t>
      </w:r>
      <w:r w:rsidR="00DA0DED" w:rsidRPr="00B07B55">
        <w:rPr>
          <w:lang w:val="en-GB"/>
        </w:rPr>
        <w:t>VET study</w:t>
      </w:r>
      <w:r w:rsidRPr="00B07B55">
        <w:rPr>
          <w:lang w:val="en-GB"/>
        </w:rPr>
        <w:t xml:space="preserve"> is related to higher job satisfaction</w:t>
      </w:r>
      <w:r w:rsidR="00DA0DED" w:rsidRPr="00B07B55">
        <w:rPr>
          <w:lang w:val="en-GB"/>
        </w:rPr>
        <w:t xml:space="preserve"> and fewer weekly work hours, while bachelor or above study is related to higher hourly wages</w:t>
      </w:r>
      <w:r w:rsidR="004A47AC" w:rsidRPr="00B07B55">
        <w:rPr>
          <w:lang w:val="en-GB"/>
        </w:rPr>
        <w:t>.</w:t>
      </w:r>
      <w:r w:rsidRPr="00B07B55">
        <w:rPr>
          <w:lang w:val="en-GB"/>
        </w:rPr>
        <w:t xml:space="preserve"> For females,</w:t>
      </w:r>
      <w:r w:rsidR="0089082A" w:rsidRPr="0089082A">
        <w:rPr>
          <w:lang w:val="en-GB"/>
        </w:rPr>
        <w:t xml:space="preserve"> </w:t>
      </w:r>
      <w:r w:rsidR="0089082A" w:rsidRPr="00B07B55">
        <w:rPr>
          <w:lang w:val="en-GB"/>
        </w:rPr>
        <w:t>VET study</w:t>
      </w:r>
      <w:r w:rsidR="0089082A">
        <w:rPr>
          <w:lang w:val="en-GB"/>
        </w:rPr>
        <w:t xml:space="preserve"> at </w:t>
      </w:r>
      <w:r w:rsidRPr="00B07B55">
        <w:rPr>
          <w:lang w:val="en-GB"/>
        </w:rPr>
        <w:t>mature age</w:t>
      </w:r>
      <w:r w:rsidR="0089082A">
        <w:rPr>
          <w:lang w:val="en-GB"/>
        </w:rPr>
        <w:t>s</w:t>
      </w:r>
      <w:r w:rsidRPr="00B07B55">
        <w:rPr>
          <w:lang w:val="en-GB"/>
        </w:rPr>
        <w:t xml:space="preserve"> resulted in improvements in the </w:t>
      </w:r>
      <w:r w:rsidR="00DA0DED" w:rsidRPr="00B07B55">
        <w:rPr>
          <w:lang w:val="en-GB"/>
        </w:rPr>
        <w:t xml:space="preserve">probability of being employed if not employed previously, </w:t>
      </w:r>
      <w:r w:rsidR="002666F4">
        <w:rPr>
          <w:lang w:val="en-GB"/>
        </w:rPr>
        <w:t xml:space="preserve">in </w:t>
      </w:r>
      <w:r w:rsidR="00DA0DED" w:rsidRPr="00B07B55">
        <w:rPr>
          <w:lang w:val="en-GB"/>
        </w:rPr>
        <w:t>higher satisfaction with work opportunities</w:t>
      </w:r>
      <w:r w:rsidR="002666F4">
        <w:rPr>
          <w:lang w:val="en-GB"/>
        </w:rPr>
        <w:t>, and marginally higher disposable income</w:t>
      </w:r>
      <w:r w:rsidRPr="00B07B55">
        <w:rPr>
          <w:lang w:val="en-GB"/>
        </w:rPr>
        <w:t>. These findings are consistent with males being more likely to state that the main reason for their study was to get a different job or a promotion</w:t>
      </w:r>
      <w:r w:rsidR="00DA0DED" w:rsidRPr="00B07B55">
        <w:rPr>
          <w:lang w:val="en-GB"/>
        </w:rPr>
        <w:t>, while females were more likely to state the main reason as getting a job</w:t>
      </w:r>
      <w:r w:rsidRPr="00B07B55">
        <w:rPr>
          <w:lang w:val="en-GB"/>
        </w:rPr>
        <w:t xml:space="preserve">. </w:t>
      </w:r>
      <w:r w:rsidR="00050A0D" w:rsidRPr="00B07B55">
        <w:rPr>
          <w:lang w:val="en-GB"/>
        </w:rPr>
        <w:t>Both men and women</w:t>
      </w:r>
      <w:r w:rsidR="007165A6" w:rsidRPr="00B07B55">
        <w:rPr>
          <w:lang w:val="en-GB"/>
        </w:rPr>
        <w:t xml:space="preserve"> also</w:t>
      </w:r>
      <w:r w:rsidR="00050A0D" w:rsidRPr="00B07B55">
        <w:rPr>
          <w:lang w:val="en-GB"/>
        </w:rPr>
        <w:t xml:space="preserve"> report a </w:t>
      </w:r>
      <w:r w:rsidR="002666F4">
        <w:rPr>
          <w:lang w:val="en-GB"/>
        </w:rPr>
        <w:t xml:space="preserve">marginally </w:t>
      </w:r>
      <w:r w:rsidR="00050A0D" w:rsidRPr="00B07B55">
        <w:rPr>
          <w:lang w:val="en-GB"/>
        </w:rPr>
        <w:t xml:space="preserve">higher use of skills and abilities in their jobs after </w:t>
      </w:r>
      <w:r w:rsidR="007165A6" w:rsidRPr="00B07B55">
        <w:rPr>
          <w:lang w:val="en-GB"/>
        </w:rPr>
        <w:t xml:space="preserve">an </w:t>
      </w:r>
      <w:r w:rsidR="00C71FF6" w:rsidRPr="00B07B55">
        <w:rPr>
          <w:lang w:val="en-GB"/>
        </w:rPr>
        <w:t>education spell.</w:t>
      </w:r>
      <w:r w:rsidR="00050A0D" w:rsidRPr="00B07B55">
        <w:rPr>
          <w:lang w:val="en-GB"/>
        </w:rPr>
        <w:t xml:space="preserve"> </w:t>
      </w:r>
      <w:r w:rsidR="003F1273">
        <w:rPr>
          <w:lang w:val="en-GB"/>
        </w:rPr>
        <w:t xml:space="preserve">Apart from these effects, </w:t>
      </w:r>
      <w:r w:rsidR="007A4E37">
        <w:rPr>
          <w:lang w:val="en-GB"/>
        </w:rPr>
        <w:t>mature-age</w:t>
      </w:r>
      <w:r w:rsidR="003F1273">
        <w:rPr>
          <w:lang w:val="en-GB"/>
        </w:rPr>
        <w:t xml:space="preserve"> education appears to have very little effect on the remainder of the </w:t>
      </w:r>
      <w:r w:rsidR="00260CE4">
        <w:rPr>
          <w:lang w:val="en-GB"/>
        </w:rPr>
        <w:t>ten</w:t>
      </w:r>
      <w:r w:rsidR="003F1273">
        <w:rPr>
          <w:lang w:val="en-GB"/>
        </w:rPr>
        <w:t xml:space="preserve"> outcomes we investigated. Thus</w:t>
      </w:r>
      <w:r w:rsidR="00992B3C">
        <w:rPr>
          <w:lang w:val="en-GB"/>
        </w:rPr>
        <w:t>,</w:t>
      </w:r>
      <w:r w:rsidR="003F1273">
        <w:rPr>
          <w:lang w:val="en-GB"/>
        </w:rPr>
        <w:t xml:space="preserve"> </w:t>
      </w:r>
      <w:r w:rsidR="007A4E37">
        <w:rPr>
          <w:lang w:val="en-GB"/>
        </w:rPr>
        <w:t>mature-age</w:t>
      </w:r>
      <w:r w:rsidR="003F1273">
        <w:rPr>
          <w:lang w:val="en-GB"/>
        </w:rPr>
        <w:t xml:space="preserve"> education, at least over the short term we were able to investigate in this report, appears to be less beneficial than for individuals undertaking education at more conventional (yo</w:t>
      </w:r>
      <w:r w:rsidR="00CD0D0B">
        <w:rPr>
          <w:lang w:val="en-GB"/>
        </w:rPr>
        <w:t>unger) ages. E</w:t>
      </w:r>
      <w:r w:rsidR="003F1273">
        <w:rPr>
          <w:lang w:val="en-GB"/>
        </w:rPr>
        <w:t xml:space="preserve">conomic studies of the returns </w:t>
      </w:r>
      <w:r w:rsidR="00A904E7">
        <w:rPr>
          <w:lang w:val="en-GB"/>
        </w:rPr>
        <w:t>from</w:t>
      </w:r>
      <w:r w:rsidR="003F1273">
        <w:rPr>
          <w:lang w:val="en-GB"/>
        </w:rPr>
        <w:t xml:space="preserve"> education over the whole population </w:t>
      </w:r>
      <w:r w:rsidR="00CD0D0B">
        <w:rPr>
          <w:lang w:val="en-GB"/>
        </w:rPr>
        <w:t xml:space="preserve">undertaken over a long period </w:t>
      </w:r>
      <w:r w:rsidR="003F1273">
        <w:rPr>
          <w:lang w:val="en-GB"/>
        </w:rPr>
        <w:t>ha</w:t>
      </w:r>
      <w:r w:rsidR="00CD0D0B">
        <w:rPr>
          <w:lang w:val="en-GB"/>
        </w:rPr>
        <w:t>ve</w:t>
      </w:r>
      <w:r w:rsidR="003F1273">
        <w:rPr>
          <w:lang w:val="en-GB"/>
        </w:rPr>
        <w:t xml:space="preserve"> found significant returns </w:t>
      </w:r>
      <w:r w:rsidR="00A904E7">
        <w:rPr>
          <w:lang w:val="en-GB"/>
        </w:rPr>
        <w:t>from</w:t>
      </w:r>
      <w:r w:rsidR="003F1273">
        <w:rPr>
          <w:lang w:val="en-GB"/>
        </w:rPr>
        <w:t xml:space="preserve"> education</w:t>
      </w:r>
      <w:r w:rsidR="00992B3C">
        <w:rPr>
          <w:lang w:val="en-GB"/>
        </w:rPr>
        <w:t>,</w:t>
      </w:r>
      <w:r w:rsidR="003F1273">
        <w:rPr>
          <w:lang w:val="en-GB"/>
        </w:rPr>
        <w:t xml:space="preserve"> particularly in terms of higher wage rates, income levels and probabilities of employment. </w:t>
      </w:r>
    </w:p>
    <w:p w:rsidR="00282DD3" w:rsidRDefault="00282DD3" w:rsidP="00495869">
      <w:pPr>
        <w:pStyle w:val="Text"/>
        <w:ind w:right="0"/>
        <w:rPr>
          <w:lang w:val="en-GB"/>
        </w:rPr>
      </w:pPr>
      <w:r w:rsidRPr="00B07B55">
        <w:rPr>
          <w:lang w:val="en-GB"/>
        </w:rPr>
        <w:t xml:space="preserve">The analysis of </w:t>
      </w:r>
      <w:r w:rsidR="00CD0D0B">
        <w:rPr>
          <w:lang w:val="en-GB"/>
        </w:rPr>
        <w:t xml:space="preserve">the wider prevalence of </w:t>
      </w:r>
      <w:r w:rsidR="007A4E37">
        <w:rPr>
          <w:lang w:val="en-GB"/>
        </w:rPr>
        <w:t>mature-age</w:t>
      </w:r>
      <w:r w:rsidRPr="00B07B55">
        <w:rPr>
          <w:lang w:val="en-GB"/>
        </w:rPr>
        <w:t xml:space="preserve"> education in Australia </w:t>
      </w:r>
      <w:r w:rsidR="00CD0D0B">
        <w:rPr>
          <w:lang w:val="en-GB"/>
        </w:rPr>
        <w:t>by comparison with</w:t>
      </w:r>
      <w:r w:rsidRPr="00B07B55">
        <w:rPr>
          <w:lang w:val="en-GB"/>
        </w:rPr>
        <w:t xml:space="preserve"> Great Britain revealed that </w:t>
      </w:r>
      <w:r w:rsidR="00CD0D0B">
        <w:rPr>
          <w:lang w:val="en-GB"/>
        </w:rPr>
        <w:t xml:space="preserve">the </w:t>
      </w:r>
      <w:r w:rsidRPr="00B07B55">
        <w:rPr>
          <w:lang w:val="en-GB"/>
        </w:rPr>
        <w:t xml:space="preserve">observable characteristics of the two populations </w:t>
      </w:r>
      <w:r w:rsidR="004D7E37" w:rsidRPr="00B07B55">
        <w:rPr>
          <w:lang w:val="en-GB"/>
        </w:rPr>
        <w:t xml:space="preserve">can </w:t>
      </w:r>
      <w:r w:rsidRPr="00B07B55">
        <w:rPr>
          <w:lang w:val="en-GB"/>
        </w:rPr>
        <w:t xml:space="preserve">explain </w:t>
      </w:r>
      <w:r w:rsidR="004D7E37" w:rsidRPr="00B07B55">
        <w:rPr>
          <w:lang w:val="en-GB"/>
        </w:rPr>
        <w:t xml:space="preserve">only a little of </w:t>
      </w:r>
      <w:r w:rsidRPr="00B07B55">
        <w:rPr>
          <w:lang w:val="en-GB"/>
        </w:rPr>
        <w:t>the differen</w:t>
      </w:r>
      <w:r w:rsidR="004D7E37" w:rsidRPr="00B07B55">
        <w:rPr>
          <w:lang w:val="en-GB"/>
        </w:rPr>
        <w:t>ce in</w:t>
      </w:r>
      <w:r w:rsidR="00A904E7">
        <w:rPr>
          <w:lang w:val="en-GB"/>
        </w:rPr>
        <w:t xml:space="preserve"> the</w:t>
      </w:r>
      <w:r w:rsidR="004D7E37" w:rsidRPr="00B07B55">
        <w:rPr>
          <w:lang w:val="en-GB"/>
        </w:rPr>
        <w:t xml:space="preserve"> </w:t>
      </w:r>
      <w:r w:rsidRPr="00B07B55">
        <w:rPr>
          <w:lang w:val="en-GB"/>
        </w:rPr>
        <w:t xml:space="preserve">probabilities of enrolment in education of </w:t>
      </w:r>
      <w:r w:rsidR="007A4E37">
        <w:rPr>
          <w:lang w:val="en-GB"/>
        </w:rPr>
        <w:t>mature-age</w:t>
      </w:r>
      <w:r w:rsidRPr="00B07B55">
        <w:rPr>
          <w:lang w:val="en-GB"/>
        </w:rPr>
        <w:t xml:space="preserve"> individuals. Unobserved characteristics </w:t>
      </w:r>
      <w:r w:rsidR="00CC0813">
        <w:rPr>
          <w:lang w:val="en-GB"/>
        </w:rPr>
        <w:t xml:space="preserve">thus </w:t>
      </w:r>
      <w:r w:rsidRPr="00B07B55">
        <w:rPr>
          <w:lang w:val="en-GB"/>
        </w:rPr>
        <w:t>play a crucial role in the determination of these differences</w:t>
      </w:r>
      <w:r w:rsidR="00CC0813">
        <w:rPr>
          <w:lang w:val="en-GB"/>
        </w:rPr>
        <w:t>. These unobserved characteristics include</w:t>
      </w:r>
      <w:r w:rsidRPr="00B07B55">
        <w:rPr>
          <w:lang w:val="en-GB"/>
        </w:rPr>
        <w:t xml:space="preserve"> institutional differences </w:t>
      </w:r>
      <w:r w:rsidR="00CC0813">
        <w:rPr>
          <w:lang w:val="en-GB"/>
        </w:rPr>
        <w:t>between</w:t>
      </w:r>
      <w:r w:rsidR="00CC0813" w:rsidRPr="00B07B55">
        <w:rPr>
          <w:lang w:val="en-GB"/>
        </w:rPr>
        <w:t xml:space="preserve"> </w:t>
      </w:r>
      <w:r w:rsidRPr="00B07B55">
        <w:rPr>
          <w:lang w:val="en-GB"/>
        </w:rPr>
        <w:t>the two educational systems</w:t>
      </w:r>
      <w:r w:rsidR="00CC0813">
        <w:rPr>
          <w:lang w:val="en-GB"/>
        </w:rPr>
        <w:t xml:space="preserve"> (formal qualifications may be more important in Australia) and </w:t>
      </w:r>
      <w:r w:rsidR="00103B1A">
        <w:rPr>
          <w:lang w:val="en-GB"/>
        </w:rPr>
        <w:t>differences in welfare systems</w:t>
      </w:r>
      <w:r w:rsidR="00955342">
        <w:rPr>
          <w:lang w:val="en-GB"/>
        </w:rPr>
        <w:t xml:space="preserve">. </w:t>
      </w:r>
      <w:r w:rsidR="00C27AD3">
        <w:rPr>
          <w:lang w:val="en-GB"/>
        </w:rPr>
        <w:t>Important w</w:t>
      </w:r>
      <w:r w:rsidR="00E14E16">
        <w:rPr>
          <w:lang w:val="en-GB"/>
        </w:rPr>
        <w:t xml:space="preserve">elfare system differences may include the requirement for single parents </w:t>
      </w:r>
      <w:r w:rsidR="00C27AD3">
        <w:rPr>
          <w:lang w:val="en-GB"/>
        </w:rPr>
        <w:t xml:space="preserve">in Australia </w:t>
      </w:r>
      <w:r w:rsidR="00E14E16">
        <w:rPr>
          <w:lang w:val="en-GB"/>
        </w:rPr>
        <w:t xml:space="preserve">to either </w:t>
      </w:r>
      <w:r w:rsidR="00C27AD3">
        <w:rPr>
          <w:lang w:val="en-GB"/>
        </w:rPr>
        <w:t xml:space="preserve">be actively looking for </w:t>
      </w:r>
      <w:r w:rsidR="00E14E16">
        <w:rPr>
          <w:lang w:val="en-GB"/>
        </w:rPr>
        <w:t>work or</w:t>
      </w:r>
      <w:r w:rsidR="00760104">
        <w:rPr>
          <w:lang w:val="en-GB"/>
        </w:rPr>
        <w:t xml:space="preserve"> to</w:t>
      </w:r>
      <w:r w:rsidR="00E14E16">
        <w:rPr>
          <w:lang w:val="en-GB"/>
        </w:rPr>
        <w:t xml:space="preserve"> </w:t>
      </w:r>
      <w:r w:rsidR="00760104">
        <w:rPr>
          <w:lang w:val="en-GB"/>
        </w:rPr>
        <w:t xml:space="preserve">be </w:t>
      </w:r>
      <w:r w:rsidR="00E14E16">
        <w:rPr>
          <w:lang w:val="en-GB"/>
        </w:rPr>
        <w:t>study</w:t>
      </w:r>
      <w:r w:rsidR="00C27AD3">
        <w:rPr>
          <w:lang w:val="en-GB"/>
        </w:rPr>
        <w:t>ing</w:t>
      </w:r>
      <w:r w:rsidR="00E14E16">
        <w:rPr>
          <w:lang w:val="en-GB"/>
        </w:rPr>
        <w:t xml:space="preserve"> in order to obtain welfare payments. </w:t>
      </w:r>
      <w:r w:rsidR="00CD0D0B">
        <w:rPr>
          <w:lang w:val="en-GB"/>
        </w:rPr>
        <w:t>D</w:t>
      </w:r>
      <w:r w:rsidR="00C27AD3">
        <w:rPr>
          <w:lang w:val="en-GB"/>
        </w:rPr>
        <w:t>ifferences in support for the retraining of workers suffering retr</w:t>
      </w:r>
      <w:r w:rsidR="00CD0D0B">
        <w:rPr>
          <w:lang w:val="en-GB"/>
        </w:rPr>
        <w:t>enchment may also be important</w:t>
      </w:r>
      <w:r w:rsidR="004A14A5">
        <w:rPr>
          <w:lang w:val="en-GB"/>
        </w:rPr>
        <w:t>,</w:t>
      </w:r>
      <w:r w:rsidR="00CD0D0B">
        <w:rPr>
          <w:lang w:val="en-GB"/>
        </w:rPr>
        <w:t xml:space="preserve"> and d</w:t>
      </w:r>
      <w:r w:rsidR="00955342">
        <w:rPr>
          <w:lang w:val="en-GB"/>
        </w:rPr>
        <w:t>ifferences</w:t>
      </w:r>
      <w:r w:rsidRPr="00B07B55">
        <w:rPr>
          <w:lang w:val="en-GB"/>
        </w:rPr>
        <w:t xml:space="preserve"> in </w:t>
      </w:r>
      <w:r w:rsidR="00CC0813">
        <w:rPr>
          <w:lang w:val="en-GB"/>
        </w:rPr>
        <w:t xml:space="preserve">underlying </w:t>
      </w:r>
      <w:r w:rsidRPr="00B07B55">
        <w:rPr>
          <w:lang w:val="en-GB"/>
        </w:rPr>
        <w:t>preferences</w:t>
      </w:r>
      <w:r w:rsidR="00C27AD3">
        <w:rPr>
          <w:lang w:val="en-GB"/>
        </w:rPr>
        <w:t xml:space="preserve"> for education</w:t>
      </w:r>
      <w:r w:rsidR="00103B1A">
        <w:rPr>
          <w:lang w:val="en-GB"/>
        </w:rPr>
        <w:t xml:space="preserve"> </w:t>
      </w:r>
      <w:r w:rsidR="00CC0813">
        <w:rPr>
          <w:lang w:val="en-GB"/>
        </w:rPr>
        <w:t>may</w:t>
      </w:r>
      <w:r w:rsidR="00103B1A">
        <w:rPr>
          <w:lang w:val="en-GB"/>
        </w:rPr>
        <w:t xml:space="preserve"> also contribute </w:t>
      </w:r>
      <w:r w:rsidR="003A6034">
        <w:rPr>
          <w:lang w:val="en-GB"/>
        </w:rPr>
        <w:t xml:space="preserve">to the </w:t>
      </w:r>
      <w:r w:rsidR="00925D6C">
        <w:rPr>
          <w:lang w:val="en-GB"/>
        </w:rPr>
        <w:t xml:space="preserve">gap in the probability </w:t>
      </w:r>
      <w:r w:rsidR="00CC0813">
        <w:rPr>
          <w:lang w:val="en-GB"/>
        </w:rPr>
        <w:t>of enrolling</w:t>
      </w:r>
      <w:r w:rsidR="00925D6C">
        <w:rPr>
          <w:lang w:val="en-GB"/>
        </w:rPr>
        <w:t xml:space="preserve"> in education </w:t>
      </w:r>
      <w:r w:rsidR="00CC0813">
        <w:rPr>
          <w:lang w:val="en-GB"/>
        </w:rPr>
        <w:t xml:space="preserve">at more mature ages </w:t>
      </w:r>
      <w:r w:rsidR="00925D6C">
        <w:rPr>
          <w:lang w:val="en-GB"/>
        </w:rPr>
        <w:t>between Australia and Great Britain</w:t>
      </w:r>
      <w:r w:rsidR="003A6034">
        <w:rPr>
          <w:lang w:val="en-GB"/>
        </w:rPr>
        <w:t>.</w:t>
      </w:r>
      <w:r w:rsidR="00C27AD3">
        <w:rPr>
          <w:lang w:val="en-GB"/>
        </w:rPr>
        <w:t xml:space="preserve"> </w:t>
      </w:r>
    </w:p>
    <w:p w:rsidR="00282DD3" w:rsidRPr="00B07B55" w:rsidRDefault="002666F4" w:rsidP="00394427">
      <w:pPr>
        <w:pStyle w:val="Text"/>
        <w:ind w:right="141"/>
        <w:rPr>
          <w:lang w:val="en-GB"/>
        </w:rPr>
      </w:pPr>
      <w:r>
        <w:rPr>
          <w:lang w:val="en-GB"/>
        </w:rPr>
        <w:t xml:space="preserve">The distinct differences between males and females in the labour market outcomes from </w:t>
      </w:r>
      <w:r w:rsidR="007A4E37">
        <w:rPr>
          <w:lang w:val="en-GB"/>
        </w:rPr>
        <w:t>mature-age</w:t>
      </w:r>
      <w:r>
        <w:rPr>
          <w:lang w:val="en-GB"/>
        </w:rPr>
        <w:t xml:space="preserve"> VET study pose important questions for policy</w:t>
      </w:r>
      <w:r w:rsidR="00A904E7">
        <w:rPr>
          <w:lang w:val="en-GB"/>
        </w:rPr>
        <w:t>-</w:t>
      </w:r>
      <w:r>
        <w:rPr>
          <w:lang w:val="en-GB"/>
        </w:rPr>
        <w:t xml:space="preserve">makers when thinking about the funding of </w:t>
      </w:r>
      <w:r w:rsidR="007A4E37">
        <w:rPr>
          <w:lang w:val="en-GB"/>
        </w:rPr>
        <w:t>mature-age</w:t>
      </w:r>
      <w:r>
        <w:rPr>
          <w:lang w:val="en-GB"/>
        </w:rPr>
        <w:t xml:space="preserve"> VET study. Females do appear to </w:t>
      </w:r>
      <w:r w:rsidR="008A1B5E">
        <w:rPr>
          <w:lang w:val="en-GB"/>
        </w:rPr>
        <w:t>gain in</w:t>
      </w:r>
      <w:r>
        <w:rPr>
          <w:lang w:val="en-GB"/>
        </w:rPr>
        <w:t xml:space="preserve"> </w:t>
      </w:r>
      <w:r w:rsidR="008A1B5E">
        <w:rPr>
          <w:lang w:val="en-GB"/>
        </w:rPr>
        <w:t xml:space="preserve">direct </w:t>
      </w:r>
      <w:r>
        <w:rPr>
          <w:lang w:val="en-GB"/>
        </w:rPr>
        <w:t xml:space="preserve">monetary </w:t>
      </w:r>
      <w:r w:rsidR="008A1B5E">
        <w:rPr>
          <w:lang w:val="en-GB"/>
        </w:rPr>
        <w:t>terms</w:t>
      </w:r>
      <w:r>
        <w:rPr>
          <w:lang w:val="en-GB"/>
        </w:rPr>
        <w:t xml:space="preserve"> from </w:t>
      </w:r>
      <w:r w:rsidR="00761488">
        <w:rPr>
          <w:lang w:val="en-GB"/>
        </w:rPr>
        <w:t xml:space="preserve">undertaking </w:t>
      </w:r>
      <w:r>
        <w:rPr>
          <w:lang w:val="en-GB"/>
        </w:rPr>
        <w:t>VET study</w:t>
      </w:r>
      <w:r w:rsidR="00761488">
        <w:rPr>
          <w:lang w:val="en-GB"/>
        </w:rPr>
        <w:t xml:space="preserve"> at more mature ages</w:t>
      </w:r>
      <w:r>
        <w:rPr>
          <w:lang w:val="en-GB"/>
        </w:rPr>
        <w:t xml:space="preserve">, particularly those </w:t>
      </w:r>
      <w:r w:rsidR="008A1B5E">
        <w:rPr>
          <w:lang w:val="en-GB"/>
        </w:rPr>
        <w:t xml:space="preserve">females </w:t>
      </w:r>
      <w:r w:rsidR="00794738">
        <w:rPr>
          <w:lang w:val="en-GB"/>
        </w:rPr>
        <w:t>who</w:t>
      </w:r>
      <w:r>
        <w:rPr>
          <w:lang w:val="en-GB"/>
        </w:rPr>
        <w:t xml:space="preserve"> were not employed initially. Thus investment in VET study pays off for the individual and</w:t>
      </w:r>
      <w:r w:rsidR="00DB55D9">
        <w:rPr>
          <w:lang w:val="en-GB"/>
        </w:rPr>
        <w:t xml:space="preserve"> potentially </w:t>
      </w:r>
      <w:r w:rsidR="00CD663E">
        <w:rPr>
          <w:lang w:val="en-GB"/>
        </w:rPr>
        <w:t>it</w:t>
      </w:r>
      <w:r w:rsidR="00DB55D9">
        <w:rPr>
          <w:lang w:val="en-GB"/>
        </w:rPr>
        <w:t xml:space="preserve"> can</w:t>
      </w:r>
      <w:r>
        <w:rPr>
          <w:lang w:val="en-GB"/>
        </w:rPr>
        <w:t xml:space="preserve"> </w:t>
      </w:r>
      <w:r w:rsidR="008A1B5E">
        <w:rPr>
          <w:lang w:val="en-GB"/>
        </w:rPr>
        <w:t xml:space="preserve">also </w:t>
      </w:r>
      <w:r w:rsidR="00DB55D9">
        <w:rPr>
          <w:lang w:val="en-GB"/>
        </w:rPr>
        <w:t>be beneficial</w:t>
      </w:r>
      <w:r w:rsidR="008A1B5E">
        <w:rPr>
          <w:lang w:val="en-GB"/>
        </w:rPr>
        <w:t xml:space="preserve"> </w:t>
      </w:r>
      <w:r w:rsidR="00DB55D9">
        <w:rPr>
          <w:lang w:val="en-GB"/>
        </w:rPr>
        <w:t xml:space="preserve">for </w:t>
      </w:r>
      <w:r w:rsidR="008A1B5E">
        <w:rPr>
          <w:lang w:val="en-GB"/>
        </w:rPr>
        <w:t xml:space="preserve">Australian society more generally, in terms of higher output, higher tax revenues and potentially lower income support expenditures. The advantages males receive from </w:t>
      </w:r>
      <w:r w:rsidR="007A4E37">
        <w:rPr>
          <w:lang w:val="en-GB"/>
        </w:rPr>
        <w:t>mature-age</w:t>
      </w:r>
      <w:r w:rsidR="008A1B5E">
        <w:rPr>
          <w:lang w:val="en-GB"/>
        </w:rPr>
        <w:t xml:space="preserve"> VET stud</w:t>
      </w:r>
      <w:r w:rsidR="003F1273">
        <w:rPr>
          <w:lang w:val="en-GB"/>
        </w:rPr>
        <w:t xml:space="preserve">ies do not </w:t>
      </w:r>
      <w:r w:rsidR="00BF3F7E">
        <w:rPr>
          <w:lang w:val="en-GB"/>
        </w:rPr>
        <w:t xml:space="preserve">however </w:t>
      </w:r>
      <w:r w:rsidR="003F1273">
        <w:rPr>
          <w:lang w:val="en-GB"/>
        </w:rPr>
        <w:t>appear to be</w:t>
      </w:r>
      <w:r w:rsidR="008A1B5E">
        <w:rPr>
          <w:lang w:val="en-GB"/>
        </w:rPr>
        <w:t xml:space="preserve"> directly monetary, as disposable income and employment rates did not increase overall. </w:t>
      </w:r>
      <w:r w:rsidR="003F1273">
        <w:rPr>
          <w:lang w:val="en-GB"/>
        </w:rPr>
        <w:t>G</w:t>
      </w:r>
      <w:r w:rsidR="008A1B5E">
        <w:rPr>
          <w:lang w:val="en-GB"/>
        </w:rPr>
        <w:t xml:space="preserve">ains </w:t>
      </w:r>
      <w:r w:rsidR="001C005F">
        <w:rPr>
          <w:lang w:val="en-GB"/>
        </w:rPr>
        <w:t xml:space="preserve">for males </w:t>
      </w:r>
      <w:r w:rsidR="008A1B5E">
        <w:rPr>
          <w:lang w:val="en-GB"/>
        </w:rPr>
        <w:t xml:space="preserve">were </w:t>
      </w:r>
      <w:r w:rsidR="003F1273">
        <w:rPr>
          <w:lang w:val="en-GB"/>
        </w:rPr>
        <w:t xml:space="preserve">estimated </w:t>
      </w:r>
      <w:r w:rsidR="008A1B5E">
        <w:rPr>
          <w:lang w:val="en-GB"/>
        </w:rPr>
        <w:t>in terms of higher job satisfaction and lower work hours (</w:t>
      </w:r>
      <w:r w:rsidR="00CD0D0B">
        <w:rPr>
          <w:lang w:val="en-GB"/>
        </w:rPr>
        <w:t>increased</w:t>
      </w:r>
      <w:r w:rsidR="008A1B5E">
        <w:rPr>
          <w:lang w:val="en-GB"/>
        </w:rPr>
        <w:t xml:space="preserve"> leisure). The payoff for society more generally from such study is less clear</w:t>
      </w:r>
      <w:r w:rsidR="00794738">
        <w:rPr>
          <w:lang w:val="en-GB"/>
        </w:rPr>
        <w:t>,</w:t>
      </w:r>
      <w:r w:rsidR="00DB55D9">
        <w:rPr>
          <w:lang w:val="en-GB"/>
        </w:rPr>
        <w:t xml:space="preserve"> as the costs </w:t>
      </w:r>
      <w:r w:rsidR="00CD663E">
        <w:rPr>
          <w:lang w:val="en-GB"/>
        </w:rPr>
        <w:t xml:space="preserve">related to the educational courses </w:t>
      </w:r>
      <w:r w:rsidR="00DB55D9">
        <w:rPr>
          <w:lang w:val="en-GB"/>
        </w:rPr>
        <w:t>should also be taken into account. T</w:t>
      </w:r>
      <w:r w:rsidR="008A1B5E">
        <w:rPr>
          <w:lang w:val="en-GB"/>
        </w:rPr>
        <w:t xml:space="preserve">hus the </w:t>
      </w:r>
      <w:r w:rsidR="001C005F">
        <w:rPr>
          <w:lang w:val="en-GB"/>
        </w:rPr>
        <w:t>motivation</w:t>
      </w:r>
      <w:r w:rsidR="008A1B5E">
        <w:rPr>
          <w:lang w:val="en-GB"/>
        </w:rPr>
        <w:t xml:space="preserve"> for high levels of government subsidisation of such study </w:t>
      </w:r>
      <w:r w:rsidR="00F073E0">
        <w:rPr>
          <w:lang w:val="en-GB"/>
        </w:rPr>
        <w:t xml:space="preserve">generally </w:t>
      </w:r>
      <w:r w:rsidR="008A1B5E">
        <w:rPr>
          <w:lang w:val="en-GB"/>
        </w:rPr>
        <w:t>are</w:t>
      </w:r>
      <w:r w:rsidR="001C005F">
        <w:rPr>
          <w:lang w:val="en-GB"/>
        </w:rPr>
        <w:t xml:space="preserve"> also</w:t>
      </w:r>
      <w:r w:rsidR="008A1B5E">
        <w:rPr>
          <w:lang w:val="en-GB"/>
        </w:rPr>
        <w:t xml:space="preserve"> less clear</w:t>
      </w:r>
      <w:r w:rsidR="001C005F">
        <w:rPr>
          <w:lang w:val="en-GB"/>
        </w:rPr>
        <w:t xml:space="preserve">, particularly for the large number of individuals </w:t>
      </w:r>
      <w:r w:rsidR="00794738">
        <w:rPr>
          <w:lang w:val="en-GB"/>
        </w:rPr>
        <w:t>who</w:t>
      </w:r>
      <w:r w:rsidR="001C005F">
        <w:rPr>
          <w:lang w:val="en-GB"/>
        </w:rPr>
        <w:t xml:space="preserve"> have already attained VET qualifications or higher. </w:t>
      </w:r>
      <w:r w:rsidR="00F073E0">
        <w:rPr>
          <w:lang w:val="en-GB"/>
        </w:rPr>
        <w:t>That being said, there may exist</w:t>
      </w:r>
      <w:r w:rsidR="00394427">
        <w:rPr>
          <w:lang w:val="en-GB"/>
        </w:rPr>
        <w:t xml:space="preserve"> </w:t>
      </w:r>
      <w:r w:rsidR="00F073E0">
        <w:rPr>
          <w:lang w:val="en-GB"/>
        </w:rPr>
        <w:t>cases where education at mature ages may still be beneficial for individuals and desirable for society, in particular</w:t>
      </w:r>
      <w:r w:rsidR="004A14A5">
        <w:rPr>
          <w:lang w:val="en-GB"/>
        </w:rPr>
        <w:t>,</w:t>
      </w:r>
      <w:r w:rsidR="00F073E0">
        <w:rPr>
          <w:lang w:val="en-GB"/>
        </w:rPr>
        <w:t xml:space="preserve"> in response to widespread job losses in </w:t>
      </w:r>
      <w:r w:rsidR="004A14A5">
        <w:rPr>
          <w:lang w:val="en-GB"/>
        </w:rPr>
        <w:t>specific</w:t>
      </w:r>
      <w:r w:rsidR="00F073E0">
        <w:rPr>
          <w:lang w:val="en-GB"/>
        </w:rPr>
        <w:t xml:space="preserve"> industries in decline. Without such re-training and upskilling, outcomes for such individuals may actually decline rather than being maintained. </w:t>
      </w:r>
    </w:p>
    <w:p w:rsidR="00D84F2D" w:rsidRPr="00B07B55" w:rsidRDefault="00D84F2D" w:rsidP="00495869">
      <w:pPr>
        <w:pStyle w:val="Text"/>
        <w:ind w:right="0"/>
        <w:rPr>
          <w:lang w:val="en-GB"/>
        </w:rPr>
      </w:pPr>
      <w:r w:rsidRPr="00B07B55">
        <w:rPr>
          <w:lang w:val="en-GB"/>
        </w:rPr>
        <w:br w:type="page"/>
      </w:r>
    </w:p>
    <w:p w:rsidR="00260CE4" w:rsidRPr="00B07B55" w:rsidRDefault="00260CE4" w:rsidP="00260CE4">
      <w:pPr>
        <w:pStyle w:val="Heading1"/>
        <w:rPr>
          <w:lang w:val="en-GB"/>
        </w:rPr>
      </w:pPr>
      <w:bookmarkStart w:id="77" w:name="_Toc334101017"/>
      <w:r w:rsidRPr="00B07B55">
        <w:rPr>
          <w:lang w:val="en-GB"/>
        </w:rPr>
        <w:t>References</w:t>
      </w:r>
      <w:bookmarkEnd w:id="77"/>
    </w:p>
    <w:p w:rsidR="00260CE4" w:rsidRDefault="00260CE4" w:rsidP="00394427">
      <w:pPr>
        <w:pStyle w:val="References"/>
        <w:rPr>
          <w:lang w:val="en-GB"/>
        </w:rPr>
      </w:pPr>
      <w:r>
        <w:rPr>
          <w:lang w:val="en-GB"/>
        </w:rPr>
        <w:t>Adema, W, Fron, P, Ladaique, M 2011</w:t>
      </w:r>
      <w:r w:rsidR="00794738">
        <w:rPr>
          <w:lang w:val="en-GB"/>
        </w:rPr>
        <w:t>,</w:t>
      </w:r>
      <w:r>
        <w:rPr>
          <w:lang w:val="en-GB"/>
        </w:rPr>
        <w:t xml:space="preserve"> </w:t>
      </w:r>
      <w:r w:rsidRPr="00260CE4">
        <w:rPr>
          <w:i/>
          <w:lang w:val="en-GB"/>
        </w:rPr>
        <w:t xml:space="preserve">Is the European </w:t>
      </w:r>
      <w:r>
        <w:rPr>
          <w:i/>
          <w:lang w:val="en-GB"/>
        </w:rPr>
        <w:t>w</w:t>
      </w:r>
      <w:r w:rsidRPr="00260CE4">
        <w:rPr>
          <w:i/>
          <w:lang w:val="en-GB"/>
        </w:rPr>
        <w:t xml:space="preserve">elfare </w:t>
      </w:r>
      <w:r>
        <w:rPr>
          <w:i/>
          <w:lang w:val="en-GB"/>
        </w:rPr>
        <w:t>s</w:t>
      </w:r>
      <w:r w:rsidRPr="00260CE4">
        <w:rPr>
          <w:i/>
          <w:lang w:val="en-GB"/>
        </w:rPr>
        <w:t xml:space="preserve">tate </w:t>
      </w:r>
      <w:r>
        <w:rPr>
          <w:i/>
          <w:lang w:val="en-GB"/>
        </w:rPr>
        <w:t>r</w:t>
      </w:r>
      <w:r w:rsidRPr="00260CE4">
        <w:rPr>
          <w:i/>
          <w:lang w:val="en-GB"/>
        </w:rPr>
        <w:t xml:space="preserve">eally </w:t>
      </w:r>
      <w:r>
        <w:rPr>
          <w:i/>
          <w:lang w:val="en-GB"/>
        </w:rPr>
        <w:t>m</w:t>
      </w:r>
      <w:r w:rsidRPr="00260CE4">
        <w:rPr>
          <w:i/>
          <w:lang w:val="en-GB"/>
        </w:rPr>
        <w:t xml:space="preserve">ore </w:t>
      </w:r>
      <w:r>
        <w:rPr>
          <w:i/>
          <w:lang w:val="en-GB"/>
        </w:rPr>
        <w:t>e</w:t>
      </w:r>
      <w:r w:rsidRPr="00260CE4">
        <w:rPr>
          <w:i/>
          <w:lang w:val="en-GB"/>
        </w:rPr>
        <w:t>xpensive?</w:t>
      </w:r>
      <w:r>
        <w:rPr>
          <w:lang w:val="en-GB"/>
        </w:rPr>
        <w:t xml:space="preserve"> OECD Social </w:t>
      </w:r>
      <w:r w:rsidR="00794738">
        <w:rPr>
          <w:lang w:val="en-GB"/>
        </w:rPr>
        <w:t>employment and migration working paper no</w:t>
      </w:r>
      <w:r>
        <w:rPr>
          <w:lang w:val="en-GB"/>
        </w:rPr>
        <w:t>.124</w:t>
      </w:r>
      <w:r w:rsidR="00794738">
        <w:rPr>
          <w:lang w:val="en-GB"/>
        </w:rPr>
        <w:t>, OECD, Paris</w:t>
      </w:r>
      <w:r>
        <w:rPr>
          <w:lang w:val="en-GB"/>
        </w:rPr>
        <w:t>.</w:t>
      </w:r>
    </w:p>
    <w:p w:rsidR="00260CE4" w:rsidRPr="00B07B55" w:rsidRDefault="00260CE4" w:rsidP="00394427">
      <w:pPr>
        <w:pStyle w:val="References"/>
        <w:rPr>
          <w:lang w:val="en-GB"/>
        </w:rPr>
      </w:pPr>
      <w:r w:rsidRPr="00B07B55">
        <w:rPr>
          <w:lang w:val="en-GB"/>
        </w:rPr>
        <w:t xml:space="preserve">Albrecht, J, van </w:t>
      </w:r>
      <w:r>
        <w:rPr>
          <w:lang w:val="en-GB"/>
        </w:rPr>
        <w:t xml:space="preserve">den Berg, GJ &amp; Vroman, S 2005, </w:t>
      </w:r>
      <w:r w:rsidRPr="00865EDF">
        <w:rPr>
          <w:i/>
          <w:lang w:val="en-GB"/>
        </w:rPr>
        <w:t xml:space="preserve">The </w:t>
      </w:r>
      <w:r w:rsidR="00794738" w:rsidRPr="00865EDF">
        <w:rPr>
          <w:i/>
          <w:lang w:val="en-GB"/>
        </w:rPr>
        <w:t>knowledge lift</w:t>
      </w:r>
      <w:r w:rsidRPr="00865EDF">
        <w:rPr>
          <w:i/>
          <w:lang w:val="en-GB"/>
        </w:rPr>
        <w:t xml:space="preserve">: </w:t>
      </w:r>
      <w:r w:rsidR="00A133B3">
        <w:rPr>
          <w:i/>
          <w:lang w:val="en-GB"/>
        </w:rPr>
        <w:t>t</w:t>
      </w:r>
      <w:r w:rsidRPr="00865EDF">
        <w:rPr>
          <w:i/>
          <w:lang w:val="en-GB"/>
        </w:rPr>
        <w:t xml:space="preserve">he Swedish adult education program that aimed to eliminate </w:t>
      </w:r>
      <w:r w:rsidR="00865EDF">
        <w:rPr>
          <w:i/>
          <w:lang w:val="en-GB"/>
        </w:rPr>
        <w:t>l</w:t>
      </w:r>
      <w:r w:rsidRPr="00865EDF">
        <w:rPr>
          <w:i/>
          <w:lang w:val="en-GB"/>
        </w:rPr>
        <w:t xml:space="preserve">ow </w:t>
      </w:r>
      <w:r w:rsidR="00865EDF">
        <w:rPr>
          <w:i/>
          <w:lang w:val="en-GB"/>
        </w:rPr>
        <w:t>w</w:t>
      </w:r>
      <w:r w:rsidRPr="00865EDF">
        <w:rPr>
          <w:i/>
          <w:lang w:val="en-GB"/>
        </w:rPr>
        <w:t xml:space="preserve">orker </w:t>
      </w:r>
      <w:r w:rsidR="00865EDF">
        <w:rPr>
          <w:i/>
          <w:lang w:val="en-GB"/>
        </w:rPr>
        <w:t>s</w:t>
      </w:r>
      <w:r w:rsidRPr="00865EDF">
        <w:rPr>
          <w:i/>
          <w:lang w:val="en-GB"/>
        </w:rPr>
        <w:t xml:space="preserve">kill </w:t>
      </w:r>
      <w:r w:rsidR="00865EDF">
        <w:rPr>
          <w:i/>
          <w:lang w:val="en-GB"/>
        </w:rPr>
        <w:t>l</w:t>
      </w:r>
      <w:r w:rsidRPr="00865EDF">
        <w:rPr>
          <w:i/>
          <w:lang w:val="en-GB"/>
        </w:rPr>
        <w:t>evels</w:t>
      </w:r>
      <w:r w:rsidRPr="00B07B55">
        <w:rPr>
          <w:lang w:val="en-GB"/>
        </w:rPr>
        <w:t>, IZA Discussion Papers 1503, Institute for the Study of Labor (IZA)</w:t>
      </w:r>
      <w:r w:rsidR="00794738">
        <w:rPr>
          <w:lang w:val="en-GB"/>
        </w:rPr>
        <w:t>, Bonn.</w:t>
      </w:r>
    </w:p>
    <w:p w:rsidR="00260CE4" w:rsidRPr="00B07B55" w:rsidRDefault="00260CE4" w:rsidP="00394427">
      <w:pPr>
        <w:pStyle w:val="References"/>
        <w:rPr>
          <w:lang w:val="en-GB"/>
        </w:rPr>
      </w:pPr>
      <w:r>
        <w:rPr>
          <w:lang w:val="en-GB"/>
        </w:rPr>
        <w:t>Ashenfelter, O 1978, ‘</w:t>
      </w:r>
      <w:r w:rsidRPr="00B07B55">
        <w:rPr>
          <w:lang w:val="en-GB"/>
        </w:rPr>
        <w:t>Estimating the impact of training programs on earnings</w:t>
      </w:r>
      <w:r>
        <w:rPr>
          <w:lang w:val="en-GB"/>
        </w:rPr>
        <w:t>’</w:t>
      </w:r>
      <w:r w:rsidRPr="00B07B55">
        <w:rPr>
          <w:lang w:val="en-GB"/>
        </w:rPr>
        <w:t xml:space="preserve">, </w:t>
      </w:r>
      <w:r w:rsidRPr="00B07B55">
        <w:rPr>
          <w:i/>
          <w:lang w:val="en-GB"/>
        </w:rPr>
        <w:t xml:space="preserve">Review of Economics and Statistics, </w:t>
      </w:r>
      <w:r w:rsidR="00794738">
        <w:rPr>
          <w:lang w:val="en-GB"/>
        </w:rPr>
        <w:t>vol.6, no.1, pp.47—</w:t>
      </w:r>
      <w:r w:rsidRPr="00B07B55">
        <w:rPr>
          <w:lang w:val="en-GB"/>
        </w:rPr>
        <w:t>57.</w:t>
      </w:r>
    </w:p>
    <w:p w:rsidR="00260CE4" w:rsidRPr="00B07B55" w:rsidRDefault="00260CE4" w:rsidP="00394427">
      <w:pPr>
        <w:pStyle w:val="References"/>
        <w:rPr>
          <w:lang w:val="en-GB"/>
        </w:rPr>
      </w:pPr>
      <w:r w:rsidRPr="00B07B55">
        <w:rPr>
          <w:lang w:val="en-GB"/>
        </w:rPr>
        <w:t xml:space="preserve">Bauer, TK, Hahn, MH &amp; Sinning, M 2008, ‘The Blinder-Oaxaca decomposition for nonlinear regression models’, </w:t>
      </w:r>
      <w:r w:rsidRPr="00B07B55">
        <w:rPr>
          <w:i/>
          <w:lang w:val="en-GB"/>
        </w:rPr>
        <w:t>Stata Journal</w:t>
      </w:r>
      <w:r w:rsidR="00794738">
        <w:rPr>
          <w:lang w:val="en-GB"/>
        </w:rPr>
        <w:t>, vol.8, no.4, pp.480—</w:t>
      </w:r>
      <w:r w:rsidRPr="00B07B55">
        <w:rPr>
          <w:lang w:val="en-GB"/>
        </w:rPr>
        <w:t>92.</w:t>
      </w:r>
    </w:p>
    <w:p w:rsidR="00260CE4" w:rsidRPr="00B07B55" w:rsidRDefault="00260CE4" w:rsidP="00394427">
      <w:pPr>
        <w:pStyle w:val="References"/>
        <w:rPr>
          <w:lang w:val="en-GB"/>
        </w:rPr>
      </w:pPr>
      <w:r w:rsidRPr="00B07B55">
        <w:rPr>
          <w:lang w:val="en-GB"/>
        </w:rPr>
        <w:t xml:space="preserve">Blinder, AS 1973, ‘Wage discrimination: reduced form and structural estimates’, </w:t>
      </w:r>
      <w:r w:rsidRPr="00B07B55">
        <w:rPr>
          <w:i/>
          <w:lang w:val="en-GB"/>
        </w:rPr>
        <w:t xml:space="preserve">Journal of Human Resources, </w:t>
      </w:r>
      <w:r w:rsidR="00794738">
        <w:rPr>
          <w:lang w:val="en-GB"/>
        </w:rPr>
        <w:t>vol.8, no.4, pp.436—</w:t>
      </w:r>
      <w:r w:rsidRPr="00B07B55">
        <w:rPr>
          <w:lang w:val="en-GB"/>
        </w:rPr>
        <w:t>55.</w:t>
      </w:r>
    </w:p>
    <w:p w:rsidR="00260CE4" w:rsidRDefault="00260CE4" w:rsidP="00394427">
      <w:pPr>
        <w:pStyle w:val="References"/>
        <w:rPr>
          <w:lang w:val="en-GB"/>
        </w:rPr>
      </w:pPr>
      <w:r w:rsidRPr="00B07B55">
        <w:rPr>
          <w:lang w:val="en-GB"/>
        </w:rPr>
        <w:t xml:space="preserve">Blundell, R, Dearden, L, Goodman, A &amp; Reed, H 2000, ‘The </w:t>
      </w:r>
      <w:r w:rsidR="00865EDF">
        <w:rPr>
          <w:lang w:val="en-GB"/>
        </w:rPr>
        <w:t>r</w:t>
      </w:r>
      <w:r w:rsidRPr="00B07B55">
        <w:rPr>
          <w:lang w:val="en-GB"/>
        </w:rPr>
        <w:t xml:space="preserve">eturns to </w:t>
      </w:r>
      <w:r w:rsidR="00865EDF">
        <w:rPr>
          <w:lang w:val="en-GB"/>
        </w:rPr>
        <w:t>h</w:t>
      </w:r>
      <w:r w:rsidRPr="00B07B55">
        <w:rPr>
          <w:lang w:val="en-GB"/>
        </w:rPr>
        <w:t xml:space="preserve">igher </w:t>
      </w:r>
      <w:r w:rsidR="00865EDF">
        <w:rPr>
          <w:lang w:val="en-GB"/>
        </w:rPr>
        <w:t>e</w:t>
      </w:r>
      <w:r w:rsidRPr="00B07B55">
        <w:rPr>
          <w:lang w:val="en-GB"/>
        </w:rPr>
        <w:t xml:space="preserve">ducation in Britain: </w:t>
      </w:r>
      <w:r w:rsidR="00865EDF">
        <w:rPr>
          <w:lang w:val="en-GB"/>
        </w:rPr>
        <w:t>e</w:t>
      </w:r>
      <w:r w:rsidRPr="00B07B55">
        <w:rPr>
          <w:lang w:val="en-GB"/>
        </w:rPr>
        <w:t xml:space="preserve">vidence from a British </w:t>
      </w:r>
      <w:r w:rsidR="00865EDF">
        <w:rPr>
          <w:lang w:val="en-GB"/>
        </w:rPr>
        <w:t>c</w:t>
      </w:r>
      <w:r w:rsidRPr="00B07B55">
        <w:rPr>
          <w:lang w:val="en-GB"/>
        </w:rPr>
        <w:t xml:space="preserve">ohort’, </w:t>
      </w:r>
      <w:r w:rsidRPr="00B07B55">
        <w:rPr>
          <w:i/>
          <w:lang w:val="en-GB"/>
        </w:rPr>
        <w:t xml:space="preserve">The Economic Journal, </w:t>
      </w:r>
      <w:r w:rsidR="009454E4">
        <w:rPr>
          <w:lang w:val="en-GB"/>
        </w:rPr>
        <w:t>vol.</w:t>
      </w:r>
      <w:r w:rsidRPr="00B07B55">
        <w:rPr>
          <w:lang w:val="en-GB"/>
        </w:rPr>
        <w:t>11</w:t>
      </w:r>
      <w:r w:rsidR="009454E4">
        <w:rPr>
          <w:lang w:val="en-GB"/>
        </w:rPr>
        <w:t>0, no.461, pp.F82—</w:t>
      </w:r>
      <w:r w:rsidRPr="00B07B55">
        <w:rPr>
          <w:lang w:val="en-GB"/>
        </w:rPr>
        <w:t>F99.</w:t>
      </w:r>
    </w:p>
    <w:p w:rsidR="00865EDF" w:rsidRDefault="00260CE4" w:rsidP="00394427">
      <w:pPr>
        <w:pStyle w:val="References"/>
        <w:rPr>
          <w:lang w:val="en-GB"/>
        </w:rPr>
      </w:pPr>
      <w:r>
        <w:rPr>
          <w:lang w:val="en-GB"/>
        </w:rPr>
        <w:t>Buckingham, A 2000, ‘Welfare reform in Britain, Australia and the United States’</w:t>
      </w:r>
      <w:r w:rsidR="009454E4">
        <w:rPr>
          <w:lang w:val="en-GB"/>
        </w:rPr>
        <w:t>,</w:t>
      </w:r>
      <w:r>
        <w:rPr>
          <w:lang w:val="en-GB"/>
        </w:rPr>
        <w:t xml:space="preserve"> in </w:t>
      </w:r>
      <w:r>
        <w:rPr>
          <w:i/>
          <w:lang w:val="en-GB"/>
        </w:rPr>
        <w:t xml:space="preserve">Reforming the Australian </w:t>
      </w:r>
      <w:r w:rsidR="009454E4">
        <w:rPr>
          <w:i/>
          <w:lang w:val="en-GB"/>
        </w:rPr>
        <w:t>welfare state</w:t>
      </w:r>
      <w:r>
        <w:rPr>
          <w:i/>
          <w:lang w:val="en-GB"/>
        </w:rPr>
        <w:t>,</w:t>
      </w:r>
      <w:r w:rsidR="009454E4">
        <w:rPr>
          <w:lang w:val="en-GB"/>
        </w:rPr>
        <w:t xml:space="preserve"> </w:t>
      </w:r>
      <w:r w:rsidR="00394427">
        <w:rPr>
          <w:lang w:val="en-GB"/>
        </w:rPr>
        <w:t xml:space="preserve">ed. P Saunders, </w:t>
      </w:r>
      <w:r>
        <w:rPr>
          <w:lang w:val="en-GB"/>
        </w:rPr>
        <w:t>Australian Institute of Family Studies</w:t>
      </w:r>
      <w:r w:rsidR="009454E4">
        <w:rPr>
          <w:lang w:val="en-GB"/>
        </w:rPr>
        <w:t>,</w:t>
      </w:r>
      <w:r w:rsidR="009454E4" w:rsidRPr="009454E4">
        <w:rPr>
          <w:lang w:val="en-GB"/>
        </w:rPr>
        <w:t xml:space="preserve"> </w:t>
      </w:r>
      <w:r w:rsidR="009454E4">
        <w:rPr>
          <w:lang w:val="en-GB"/>
        </w:rPr>
        <w:t>Melbourne</w:t>
      </w:r>
      <w:r>
        <w:rPr>
          <w:lang w:val="en-GB"/>
        </w:rPr>
        <w:t>.</w:t>
      </w:r>
    </w:p>
    <w:p w:rsidR="00260CE4" w:rsidRPr="00B07B55" w:rsidRDefault="00260CE4" w:rsidP="00394427">
      <w:pPr>
        <w:pStyle w:val="References"/>
        <w:rPr>
          <w:lang w:val="en-GB"/>
        </w:rPr>
      </w:pPr>
      <w:r w:rsidRPr="00B07B55">
        <w:rPr>
          <w:lang w:val="en-GB"/>
        </w:rPr>
        <w:t>Buscha, F</w:t>
      </w:r>
      <w:r w:rsidR="00865EDF">
        <w:rPr>
          <w:lang w:val="en-GB"/>
        </w:rPr>
        <w:t>, Blanden, J &amp; Sturgis</w:t>
      </w:r>
      <w:r w:rsidR="00394427">
        <w:rPr>
          <w:lang w:val="en-GB"/>
        </w:rPr>
        <w:t>,</w:t>
      </w:r>
      <w:r w:rsidR="00865EDF">
        <w:rPr>
          <w:lang w:val="en-GB"/>
        </w:rPr>
        <w:t xml:space="preserve"> P 2009, </w:t>
      </w:r>
      <w:r w:rsidR="00394427">
        <w:rPr>
          <w:lang w:val="en-GB"/>
        </w:rPr>
        <w:t>‘</w:t>
      </w:r>
      <w:r w:rsidRPr="009454E4">
        <w:rPr>
          <w:lang w:val="en-GB"/>
        </w:rPr>
        <w:t xml:space="preserve">Earnings and </w:t>
      </w:r>
      <w:r w:rsidR="00865EDF" w:rsidRPr="009454E4">
        <w:rPr>
          <w:lang w:val="en-GB"/>
        </w:rPr>
        <w:t>o</w:t>
      </w:r>
      <w:r w:rsidRPr="009454E4">
        <w:rPr>
          <w:lang w:val="en-GB"/>
        </w:rPr>
        <w:t xml:space="preserve">ccupational </w:t>
      </w:r>
      <w:r w:rsidR="00865EDF" w:rsidRPr="009454E4">
        <w:rPr>
          <w:lang w:val="en-GB"/>
        </w:rPr>
        <w:t>s</w:t>
      </w:r>
      <w:r w:rsidRPr="009454E4">
        <w:rPr>
          <w:lang w:val="en-GB"/>
        </w:rPr>
        <w:t xml:space="preserve">tatus </w:t>
      </w:r>
      <w:r w:rsidR="00865EDF" w:rsidRPr="009454E4">
        <w:rPr>
          <w:lang w:val="en-GB"/>
        </w:rPr>
        <w:t>returns to l</w:t>
      </w:r>
      <w:r w:rsidRPr="009454E4">
        <w:rPr>
          <w:lang w:val="en-GB"/>
        </w:rPr>
        <w:t xml:space="preserve">ifelong </w:t>
      </w:r>
      <w:r w:rsidR="00865EDF" w:rsidRPr="009454E4">
        <w:rPr>
          <w:lang w:val="en-GB"/>
        </w:rPr>
        <w:t>l</w:t>
      </w:r>
      <w:r w:rsidRPr="009454E4">
        <w:rPr>
          <w:lang w:val="en-GB"/>
        </w:rPr>
        <w:t>earning</w:t>
      </w:r>
      <w:r w:rsidR="00394427">
        <w:rPr>
          <w:lang w:val="en-GB"/>
        </w:rPr>
        <w:t>’</w:t>
      </w:r>
      <w:r w:rsidRPr="009454E4">
        <w:rPr>
          <w:lang w:val="en-GB"/>
        </w:rPr>
        <w:t>,</w:t>
      </w:r>
      <w:r w:rsidRPr="00B07B55">
        <w:rPr>
          <w:lang w:val="en-GB"/>
        </w:rPr>
        <w:t xml:space="preserve"> unpublished manuscript. </w:t>
      </w:r>
    </w:p>
    <w:p w:rsidR="00260CE4" w:rsidRPr="00B07B55" w:rsidRDefault="00260CE4" w:rsidP="00394427">
      <w:pPr>
        <w:pStyle w:val="References"/>
        <w:rPr>
          <w:lang w:val="en-GB"/>
        </w:rPr>
      </w:pPr>
      <w:r w:rsidRPr="00B07B55">
        <w:rPr>
          <w:lang w:val="en-GB"/>
        </w:rPr>
        <w:t xml:space="preserve">Fairlie, RW 2005, ‘An extension of the Blinder-Oaxaca decomposition technique to logit and probit models’, </w:t>
      </w:r>
      <w:r w:rsidRPr="00B07B55">
        <w:rPr>
          <w:i/>
          <w:lang w:val="en-GB"/>
        </w:rPr>
        <w:t>Journal of Economic and Social Measurement</w:t>
      </w:r>
      <w:r w:rsidR="009454E4">
        <w:rPr>
          <w:lang w:val="en-GB"/>
        </w:rPr>
        <w:t>, vol.30, no.</w:t>
      </w:r>
      <w:r w:rsidRPr="00B07B55">
        <w:rPr>
          <w:lang w:val="en-GB"/>
        </w:rPr>
        <w:t>4</w:t>
      </w:r>
      <w:r w:rsidR="009454E4">
        <w:rPr>
          <w:lang w:val="en-GB"/>
        </w:rPr>
        <w:t>, pp.305—</w:t>
      </w:r>
      <w:r w:rsidRPr="00B07B55">
        <w:rPr>
          <w:lang w:val="en-GB"/>
        </w:rPr>
        <w:t>16.</w:t>
      </w:r>
    </w:p>
    <w:p w:rsidR="00260CE4" w:rsidRPr="00B07B55" w:rsidRDefault="00260CE4" w:rsidP="00394427">
      <w:pPr>
        <w:pStyle w:val="References"/>
        <w:rPr>
          <w:lang w:val="en-GB"/>
        </w:rPr>
      </w:pPr>
      <w:r w:rsidRPr="00B07B55">
        <w:rPr>
          <w:lang w:val="en-GB"/>
        </w:rPr>
        <w:t>Go</w:t>
      </w:r>
      <w:r w:rsidR="00865EDF">
        <w:rPr>
          <w:lang w:val="en-GB"/>
        </w:rPr>
        <w:t>mulka, J &amp; Stern, N 1989, ‘The e</w:t>
      </w:r>
      <w:r w:rsidRPr="00B07B55">
        <w:rPr>
          <w:lang w:val="en-GB"/>
        </w:rPr>
        <w:t xml:space="preserve">mployment of </w:t>
      </w:r>
      <w:r w:rsidR="00865EDF">
        <w:rPr>
          <w:lang w:val="en-GB"/>
        </w:rPr>
        <w:t>m</w:t>
      </w:r>
      <w:r w:rsidRPr="00B07B55">
        <w:rPr>
          <w:lang w:val="en-GB"/>
        </w:rPr>
        <w:t xml:space="preserve">arried </w:t>
      </w:r>
      <w:r w:rsidR="00865EDF">
        <w:rPr>
          <w:lang w:val="en-GB"/>
        </w:rPr>
        <w:t>w</w:t>
      </w:r>
      <w:r w:rsidR="009454E4">
        <w:rPr>
          <w:lang w:val="en-GB"/>
        </w:rPr>
        <w:t>omen in the United Kingdom 1970—</w:t>
      </w:r>
      <w:r w:rsidRPr="00B07B55">
        <w:rPr>
          <w:lang w:val="en-GB"/>
        </w:rPr>
        <w:t xml:space="preserve">1983’, </w:t>
      </w:r>
      <w:r w:rsidRPr="00B07B55">
        <w:rPr>
          <w:i/>
          <w:lang w:val="en-GB"/>
        </w:rPr>
        <w:t>Economica</w:t>
      </w:r>
      <w:r w:rsidR="009454E4">
        <w:rPr>
          <w:lang w:val="en-GB"/>
        </w:rPr>
        <w:t>, vol.57, no.226, pp.171—</w:t>
      </w:r>
      <w:r w:rsidRPr="00B07B55">
        <w:rPr>
          <w:lang w:val="en-GB"/>
        </w:rPr>
        <w:t xml:space="preserve">99. </w:t>
      </w:r>
    </w:p>
    <w:p w:rsidR="00260CE4" w:rsidRPr="00B07B55" w:rsidRDefault="00260CE4" w:rsidP="00394427">
      <w:pPr>
        <w:pStyle w:val="References"/>
        <w:rPr>
          <w:lang w:val="en-GB"/>
        </w:rPr>
      </w:pPr>
      <w:r w:rsidRPr="00B07B55">
        <w:rPr>
          <w:lang w:val="en-GB"/>
        </w:rPr>
        <w:t xml:space="preserve">Griliches, Z 1980, ‘Schooling </w:t>
      </w:r>
      <w:r w:rsidR="00865EDF">
        <w:rPr>
          <w:lang w:val="en-GB"/>
        </w:rPr>
        <w:t>i</w:t>
      </w:r>
      <w:r w:rsidRPr="00B07B55">
        <w:rPr>
          <w:lang w:val="en-GB"/>
        </w:rPr>
        <w:t xml:space="preserve">nterruption, </w:t>
      </w:r>
      <w:r w:rsidR="00865EDF">
        <w:rPr>
          <w:lang w:val="en-GB"/>
        </w:rPr>
        <w:t>w</w:t>
      </w:r>
      <w:r w:rsidRPr="00B07B55">
        <w:rPr>
          <w:lang w:val="en-GB"/>
        </w:rPr>
        <w:t xml:space="preserve">ork </w:t>
      </w:r>
      <w:r w:rsidR="00865EDF">
        <w:rPr>
          <w:lang w:val="en-GB"/>
        </w:rPr>
        <w:t>w</w:t>
      </w:r>
      <w:r w:rsidRPr="00B07B55">
        <w:rPr>
          <w:lang w:val="en-GB"/>
        </w:rPr>
        <w:t xml:space="preserve">hile in </w:t>
      </w:r>
      <w:r w:rsidR="00865EDF">
        <w:rPr>
          <w:lang w:val="en-GB"/>
        </w:rPr>
        <w:t>s</w:t>
      </w:r>
      <w:r w:rsidRPr="00B07B55">
        <w:rPr>
          <w:lang w:val="en-GB"/>
        </w:rPr>
        <w:t xml:space="preserve">chool and the </w:t>
      </w:r>
      <w:r w:rsidR="00865EDF">
        <w:rPr>
          <w:lang w:val="en-GB"/>
        </w:rPr>
        <w:t>r</w:t>
      </w:r>
      <w:r w:rsidRPr="00B07B55">
        <w:rPr>
          <w:lang w:val="en-GB"/>
        </w:rPr>
        <w:t xml:space="preserve">eturns from </w:t>
      </w:r>
      <w:r w:rsidR="00865EDF">
        <w:rPr>
          <w:lang w:val="en-GB"/>
        </w:rPr>
        <w:t>s</w:t>
      </w:r>
      <w:r w:rsidRPr="00B07B55">
        <w:rPr>
          <w:lang w:val="en-GB"/>
        </w:rPr>
        <w:t>chooling</w:t>
      </w:r>
      <w:r w:rsidR="00865EDF">
        <w:rPr>
          <w:lang w:val="en-GB"/>
        </w:rPr>
        <w:t>’,</w:t>
      </w:r>
      <w:r w:rsidRPr="00B07B55">
        <w:rPr>
          <w:lang w:val="en-GB"/>
        </w:rPr>
        <w:t xml:space="preserve"> </w:t>
      </w:r>
      <w:r w:rsidRPr="00B07B55">
        <w:rPr>
          <w:i/>
          <w:lang w:val="en-GB"/>
        </w:rPr>
        <w:t>The Scandinavian Journal of Economics</w:t>
      </w:r>
      <w:r w:rsidR="009454E4">
        <w:rPr>
          <w:lang w:val="en-GB"/>
        </w:rPr>
        <w:t>, vol.82, no.2, pp.291—</w:t>
      </w:r>
      <w:r w:rsidRPr="00B07B55">
        <w:rPr>
          <w:lang w:val="en-GB"/>
        </w:rPr>
        <w:t>303.</w:t>
      </w:r>
    </w:p>
    <w:p w:rsidR="00260CE4" w:rsidRPr="00B07B55" w:rsidRDefault="00260CE4" w:rsidP="00394427">
      <w:pPr>
        <w:pStyle w:val="References"/>
        <w:rPr>
          <w:lang w:val="en-GB"/>
        </w:rPr>
      </w:pPr>
      <w:r w:rsidRPr="00B07B55">
        <w:rPr>
          <w:lang w:val="en-GB"/>
        </w:rPr>
        <w:t>Headey, B &amp; Warren, D 2008</w:t>
      </w:r>
      <w:r w:rsidR="009454E4">
        <w:rPr>
          <w:lang w:val="en-GB"/>
        </w:rPr>
        <w:t>,</w:t>
      </w:r>
      <w:r w:rsidRPr="00B07B55">
        <w:rPr>
          <w:lang w:val="en-GB"/>
        </w:rPr>
        <w:t xml:space="preserve"> ‘Adult e</w:t>
      </w:r>
      <w:r w:rsidR="009454E4">
        <w:rPr>
          <w:lang w:val="en-GB"/>
        </w:rPr>
        <w:t>ducation and job training, 2001—</w:t>
      </w:r>
      <w:r w:rsidRPr="00B07B55">
        <w:rPr>
          <w:lang w:val="en-GB"/>
        </w:rPr>
        <w:t xml:space="preserve">2005: </w:t>
      </w:r>
      <w:r w:rsidR="004A14A5" w:rsidRPr="00B07B55">
        <w:rPr>
          <w:lang w:val="en-GB"/>
        </w:rPr>
        <w:t xml:space="preserve">who </w:t>
      </w:r>
      <w:r w:rsidRPr="00B07B55">
        <w:rPr>
          <w:lang w:val="en-GB"/>
        </w:rPr>
        <w:t xml:space="preserve">does it? Does it improve future earnings?’ in </w:t>
      </w:r>
      <w:r w:rsidRPr="00B07B55">
        <w:rPr>
          <w:i/>
          <w:lang w:val="en-GB"/>
        </w:rPr>
        <w:t xml:space="preserve">Families, </w:t>
      </w:r>
      <w:r w:rsidR="009454E4" w:rsidRPr="00B07B55">
        <w:rPr>
          <w:i/>
          <w:lang w:val="en-GB"/>
        </w:rPr>
        <w:t xml:space="preserve">incomes and jobs, volume 3: a statistical report on waves </w:t>
      </w:r>
      <w:r w:rsidRPr="00B07B55">
        <w:rPr>
          <w:i/>
          <w:lang w:val="en-GB"/>
        </w:rPr>
        <w:t>1 to 5 of the HILDA Survey</w:t>
      </w:r>
      <w:r w:rsidRPr="00B07B55">
        <w:rPr>
          <w:lang w:val="en-GB"/>
        </w:rPr>
        <w:t>, Melbourne Institute of Applied Economic and Social Research, Un</w:t>
      </w:r>
      <w:r w:rsidR="009454E4">
        <w:rPr>
          <w:lang w:val="en-GB"/>
        </w:rPr>
        <w:t>iversity of Melbourne</w:t>
      </w:r>
      <w:r w:rsidRPr="00B07B55">
        <w:rPr>
          <w:lang w:val="en-GB"/>
        </w:rPr>
        <w:t>.</w:t>
      </w:r>
    </w:p>
    <w:p w:rsidR="00260CE4" w:rsidRPr="00B07B55" w:rsidRDefault="00260CE4" w:rsidP="00394427">
      <w:pPr>
        <w:pStyle w:val="References"/>
        <w:rPr>
          <w:lang w:val="en-GB"/>
        </w:rPr>
      </w:pPr>
      <w:r w:rsidRPr="00B07B55">
        <w:rPr>
          <w:lang w:val="en-GB"/>
        </w:rPr>
        <w:t xml:space="preserve">Jacobson, L, </w:t>
      </w:r>
      <w:r w:rsidR="009454E4">
        <w:rPr>
          <w:lang w:val="en-GB"/>
        </w:rPr>
        <w:t>LaLonde, R &amp; Sullivan, DG 2005, ‘</w:t>
      </w:r>
      <w:r w:rsidRPr="00B07B55">
        <w:rPr>
          <w:lang w:val="en-GB"/>
        </w:rPr>
        <w:t xml:space="preserve">Estimating the returns to community college schooling for displaced workers’, </w:t>
      </w:r>
      <w:hyperlink r:id="rId18" w:history="1">
        <w:r w:rsidRPr="00260CE4">
          <w:rPr>
            <w:i/>
            <w:lang w:val="en-GB"/>
          </w:rPr>
          <w:t>Journal of Econometrics</w:t>
        </w:r>
      </w:hyperlink>
      <w:r w:rsidR="009454E4">
        <w:rPr>
          <w:lang w:val="en-GB"/>
        </w:rPr>
        <w:t>, vol.125, nos1—2, pp.271—</w:t>
      </w:r>
      <w:r w:rsidRPr="00B07B55">
        <w:rPr>
          <w:lang w:val="en-GB"/>
        </w:rPr>
        <w:t>304.</w:t>
      </w:r>
    </w:p>
    <w:p w:rsidR="00260CE4" w:rsidRPr="00B07B55" w:rsidRDefault="00260CE4" w:rsidP="00394427">
      <w:pPr>
        <w:pStyle w:val="References"/>
        <w:rPr>
          <w:lang w:val="en-GB"/>
        </w:rPr>
      </w:pPr>
      <w:r w:rsidRPr="00B07B55">
        <w:rPr>
          <w:lang w:val="en-GB"/>
        </w:rPr>
        <w:t>Jenkins, A, Vignoles, A, Wolf</w:t>
      </w:r>
      <w:r w:rsidR="00394427">
        <w:rPr>
          <w:lang w:val="en-GB"/>
        </w:rPr>
        <w:t>,</w:t>
      </w:r>
      <w:r w:rsidRPr="00B07B55">
        <w:rPr>
          <w:lang w:val="en-GB"/>
        </w:rPr>
        <w:t xml:space="preserve"> A &amp; Galindo-Rueda, F 2003, ‘The determinants and labour market effects of lifelong learning’, </w:t>
      </w:r>
      <w:r w:rsidRPr="00B07B55">
        <w:rPr>
          <w:i/>
          <w:lang w:val="en-GB"/>
        </w:rPr>
        <w:t>Applied Economics</w:t>
      </w:r>
      <w:r w:rsidR="009454E4">
        <w:rPr>
          <w:lang w:val="en-GB"/>
        </w:rPr>
        <w:t>, vol.35, no.16, pp.1711—</w:t>
      </w:r>
      <w:r w:rsidRPr="00B07B55">
        <w:rPr>
          <w:lang w:val="en-GB"/>
        </w:rPr>
        <w:t>21.</w:t>
      </w:r>
    </w:p>
    <w:p w:rsidR="00260CE4" w:rsidRPr="00B07B55" w:rsidRDefault="00865EDF" w:rsidP="00394427">
      <w:pPr>
        <w:pStyle w:val="References"/>
        <w:rPr>
          <w:lang w:val="en-GB"/>
        </w:rPr>
      </w:pPr>
      <w:r>
        <w:rPr>
          <w:lang w:val="en-GB"/>
        </w:rPr>
        <w:t xml:space="preserve">Karmel, T &amp; Woods, D 2004, </w:t>
      </w:r>
      <w:r w:rsidR="00260CE4" w:rsidRPr="00865EDF">
        <w:rPr>
          <w:i/>
          <w:lang w:val="en-GB"/>
        </w:rPr>
        <w:t>Lifelong learning and older workers</w:t>
      </w:r>
      <w:r w:rsidR="00260CE4" w:rsidRPr="00B07B55">
        <w:rPr>
          <w:lang w:val="en-GB"/>
        </w:rPr>
        <w:t xml:space="preserve">, </w:t>
      </w:r>
      <w:r w:rsidR="009454E4">
        <w:rPr>
          <w:lang w:val="en-GB"/>
        </w:rPr>
        <w:t>NCVER</w:t>
      </w:r>
      <w:r w:rsidR="00260CE4" w:rsidRPr="00B07B55">
        <w:rPr>
          <w:lang w:val="en-GB"/>
        </w:rPr>
        <w:t xml:space="preserve">, Adelaide. </w:t>
      </w:r>
    </w:p>
    <w:p w:rsidR="00260CE4" w:rsidRPr="00B07B55" w:rsidRDefault="008A6217" w:rsidP="00394427">
      <w:pPr>
        <w:pStyle w:val="References"/>
        <w:rPr>
          <w:lang w:val="en-GB"/>
        </w:rPr>
      </w:pPr>
      <w:r>
        <w:rPr>
          <w:lang w:val="en-GB"/>
        </w:rPr>
        <w:t>Lee, WS &amp; Coelli</w:t>
      </w:r>
      <w:r w:rsidR="00394427">
        <w:rPr>
          <w:lang w:val="en-GB"/>
        </w:rPr>
        <w:t>,</w:t>
      </w:r>
      <w:r>
        <w:rPr>
          <w:lang w:val="en-GB"/>
        </w:rPr>
        <w:t xml:space="preserve"> M 2010, </w:t>
      </w:r>
      <w:r w:rsidR="00260CE4" w:rsidRPr="008A6217">
        <w:rPr>
          <w:i/>
          <w:lang w:val="en-GB"/>
        </w:rPr>
        <w:t>Analysis of private returns to vocational education and training</w:t>
      </w:r>
      <w:r w:rsidR="00260CE4" w:rsidRPr="00B07B55">
        <w:rPr>
          <w:lang w:val="en-GB"/>
        </w:rPr>
        <w:t>, NC</w:t>
      </w:r>
      <w:r>
        <w:rPr>
          <w:lang w:val="en-GB"/>
        </w:rPr>
        <w:t>VER</w:t>
      </w:r>
      <w:r w:rsidR="00260CE4" w:rsidRPr="00B07B55">
        <w:rPr>
          <w:lang w:val="en-GB"/>
        </w:rPr>
        <w:t>, Adelaide.</w:t>
      </w:r>
    </w:p>
    <w:p w:rsidR="00260CE4" w:rsidRPr="00B07B55" w:rsidRDefault="00260CE4" w:rsidP="00394427">
      <w:pPr>
        <w:pStyle w:val="References"/>
        <w:rPr>
          <w:lang w:val="en-GB"/>
        </w:rPr>
      </w:pPr>
      <w:r w:rsidRPr="00B07B55">
        <w:rPr>
          <w:lang w:val="en-GB"/>
        </w:rPr>
        <w:t xml:space="preserve">Leigh, DE &amp; Gill, AM 1997, ‘Labor </w:t>
      </w:r>
      <w:r w:rsidR="008A6217">
        <w:rPr>
          <w:lang w:val="en-GB"/>
        </w:rPr>
        <w:t>m</w:t>
      </w:r>
      <w:r w:rsidRPr="00B07B55">
        <w:rPr>
          <w:lang w:val="en-GB"/>
        </w:rPr>
        <w:t xml:space="preserve">arket </w:t>
      </w:r>
      <w:r w:rsidR="008A6217">
        <w:rPr>
          <w:lang w:val="en-GB"/>
        </w:rPr>
        <w:t>r</w:t>
      </w:r>
      <w:r w:rsidRPr="00B07B55">
        <w:rPr>
          <w:lang w:val="en-GB"/>
        </w:rPr>
        <w:t xml:space="preserve">eturns to </w:t>
      </w:r>
      <w:r w:rsidR="008A6217">
        <w:rPr>
          <w:lang w:val="en-GB"/>
        </w:rPr>
        <w:t>c</w:t>
      </w:r>
      <w:r w:rsidRPr="00B07B55">
        <w:rPr>
          <w:lang w:val="en-GB"/>
        </w:rPr>
        <w:t xml:space="preserve">ommunity </w:t>
      </w:r>
      <w:r w:rsidR="008A6217">
        <w:rPr>
          <w:lang w:val="en-GB"/>
        </w:rPr>
        <w:t>c</w:t>
      </w:r>
      <w:r w:rsidRPr="00B07B55">
        <w:rPr>
          <w:lang w:val="en-GB"/>
        </w:rPr>
        <w:t xml:space="preserve">olleges: </w:t>
      </w:r>
      <w:r w:rsidR="008A6217">
        <w:rPr>
          <w:lang w:val="en-GB"/>
        </w:rPr>
        <w:t>e</w:t>
      </w:r>
      <w:r w:rsidRPr="00B07B55">
        <w:rPr>
          <w:lang w:val="en-GB"/>
        </w:rPr>
        <w:t xml:space="preserve">vidence for </w:t>
      </w:r>
      <w:r w:rsidR="008A6217">
        <w:rPr>
          <w:lang w:val="en-GB"/>
        </w:rPr>
        <w:t>r</w:t>
      </w:r>
      <w:r w:rsidRPr="00B07B55">
        <w:rPr>
          <w:lang w:val="en-GB"/>
        </w:rPr>
        <w:t xml:space="preserve">eturning </w:t>
      </w:r>
      <w:r w:rsidR="008A6217">
        <w:rPr>
          <w:lang w:val="en-GB"/>
        </w:rPr>
        <w:t>a</w:t>
      </w:r>
      <w:r w:rsidRPr="00B07B55">
        <w:rPr>
          <w:lang w:val="en-GB"/>
        </w:rPr>
        <w:t xml:space="preserve">dults’, </w:t>
      </w:r>
      <w:r w:rsidRPr="00B07B55">
        <w:rPr>
          <w:i/>
          <w:lang w:val="en-GB"/>
        </w:rPr>
        <w:t>Journal of Human Resources</w:t>
      </w:r>
      <w:r w:rsidR="009454E4">
        <w:rPr>
          <w:lang w:val="en-GB"/>
        </w:rPr>
        <w:t>, vol.32, no.2, pp.334—</w:t>
      </w:r>
      <w:r w:rsidRPr="00B07B55">
        <w:rPr>
          <w:lang w:val="en-GB"/>
        </w:rPr>
        <w:t>53.</w:t>
      </w:r>
    </w:p>
    <w:p w:rsidR="00260CE4" w:rsidRPr="00C67E35" w:rsidRDefault="009454E4" w:rsidP="00394427">
      <w:pPr>
        <w:pStyle w:val="References"/>
        <w:rPr>
          <w:lang w:val="en-GB"/>
        </w:rPr>
      </w:pPr>
      <w:r>
        <w:rPr>
          <w:lang w:val="en-GB"/>
        </w:rPr>
        <w:t>Light, A 1995,</w:t>
      </w:r>
      <w:r w:rsidR="00260CE4" w:rsidRPr="00BF6079">
        <w:rPr>
          <w:lang w:val="en-GB"/>
        </w:rPr>
        <w:t xml:space="preserve"> ‘</w:t>
      </w:r>
      <w:hyperlink r:id="rId19" w:history="1">
        <w:r w:rsidR="00260CE4" w:rsidRPr="00BF6079">
          <w:rPr>
            <w:rStyle w:val="Hyperlink"/>
            <w:bCs/>
            <w:sz w:val="18"/>
            <w:szCs w:val="18"/>
            <w:lang w:val="en-GB"/>
          </w:rPr>
          <w:t>Hazard model estimates of the decision to reenroll in school</w:t>
        </w:r>
      </w:hyperlink>
      <w:r w:rsidR="00260CE4" w:rsidRPr="00BF6079">
        <w:rPr>
          <w:bCs/>
          <w:lang w:val="en-GB"/>
        </w:rPr>
        <w:t>’,</w:t>
      </w:r>
      <w:r w:rsidR="00260CE4" w:rsidRPr="00BF6079">
        <w:rPr>
          <w:lang w:val="en-GB"/>
        </w:rPr>
        <w:t xml:space="preserve"> </w:t>
      </w:r>
      <w:hyperlink r:id="rId20" w:history="1">
        <w:r w:rsidR="00260CE4" w:rsidRPr="00BF6079">
          <w:rPr>
            <w:rStyle w:val="Hyperlink"/>
            <w:i/>
            <w:sz w:val="18"/>
            <w:szCs w:val="18"/>
            <w:lang w:val="en-GB"/>
          </w:rPr>
          <w:t>Labour Economics</w:t>
        </w:r>
      </w:hyperlink>
      <w:r>
        <w:rPr>
          <w:lang w:val="en-GB"/>
        </w:rPr>
        <w:t>, vol.2, no.4, pp.381—</w:t>
      </w:r>
      <w:r w:rsidR="00260CE4" w:rsidRPr="00BF6079">
        <w:rPr>
          <w:lang w:val="en-GB"/>
        </w:rPr>
        <w:t>406.</w:t>
      </w:r>
    </w:p>
    <w:p w:rsidR="00260CE4" w:rsidRPr="00B07B55" w:rsidRDefault="00260CE4" w:rsidP="00394427">
      <w:pPr>
        <w:pStyle w:val="References"/>
        <w:rPr>
          <w:lang w:val="en-GB"/>
        </w:rPr>
      </w:pPr>
      <w:r w:rsidRPr="00B07B55">
        <w:rPr>
          <w:lang w:val="en-GB"/>
        </w:rPr>
        <w:t>Marcus, RD 1984, ‘Measuring the rate of return to interrupted schooling’,</w:t>
      </w:r>
      <w:r w:rsidRPr="00B07B55">
        <w:rPr>
          <w:i/>
          <w:lang w:val="en-GB"/>
        </w:rPr>
        <w:t xml:space="preserve"> Journal of Educational Statistics</w:t>
      </w:r>
      <w:r w:rsidRPr="00B07B55">
        <w:rPr>
          <w:lang w:val="en-GB"/>
        </w:rPr>
        <w:t>, vol.9, no.4, pp.295</w:t>
      </w:r>
      <w:r w:rsidR="00FA3EAA">
        <w:rPr>
          <w:lang w:val="en-GB"/>
        </w:rPr>
        <w:t>—</w:t>
      </w:r>
      <w:r w:rsidRPr="00B07B55">
        <w:rPr>
          <w:lang w:val="en-GB"/>
        </w:rPr>
        <w:t>310.</w:t>
      </w:r>
    </w:p>
    <w:p w:rsidR="00260CE4" w:rsidRPr="00B07B55" w:rsidRDefault="00260CE4" w:rsidP="00394427">
      <w:pPr>
        <w:pStyle w:val="References"/>
        <w:rPr>
          <w:lang w:val="en-GB"/>
        </w:rPr>
      </w:pPr>
      <w:r w:rsidRPr="00B07B55">
        <w:rPr>
          <w:lang w:val="en-GB"/>
        </w:rPr>
        <w:t>McMillan, J, Beavis, A &amp; Jones, FL 2009</w:t>
      </w:r>
      <w:r w:rsidR="009454E4">
        <w:rPr>
          <w:lang w:val="en-GB"/>
        </w:rPr>
        <w:t>,</w:t>
      </w:r>
      <w:r w:rsidRPr="00B07B55">
        <w:rPr>
          <w:lang w:val="en-GB"/>
        </w:rPr>
        <w:t xml:space="preserve"> ‘The AUSEI06: a new socioeconomic index of Australia’, </w:t>
      </w:r>
      <w:r w:rsidRPr="00B07B55">
        <w:rPr>
          <w:i/>
          <w:lang w:val="en-GB"/>
        </w:rPr>
        <w:t>Journal of Sociology</w:t>
      </w:r>
      <w:r w:rsidR="009454E4">
        <w:rPr>
          <w:lang w:val="en-GB"/>
        </w:rPr>
        <w:t>, vol.45, no.2, pp.123—</w:t>
      </w:r>
      <w:r w:rsidRPr="00B07B55">
        <w:rPr>
          <w:lang w:val="en-GB"/>
        </w:rPr>
        <w:t xml:space="preserve">49. </w:t>
      </w:r>
    </w:p>
    <w:p w:rsidR="00260CE4" w:rsidRPr="00B07B55" w:rsidRDefault="008A6217" w:rsidP="00394427">
      <w:pPr>
        <w:pStyle w:val="References"/>
        <w:rPr>
          <w:lang w:val="en-GB"/>
        </w:rPr>
      </w:pPr>
      <w:r>
        <w:rPr>
          <w:lang w:val="en-GB"/>
        </w:rPr>
        <w:t>Myers, K &amp; Myles</w:t>
      </w:r>
      <w:r w:rsidR="00FA3EAA">
        <w:rPr>
          <w:lang w:val="en-GB"/>
        </w:rPr>
        <w:t>,</w:t>
      </w:r>
      <w:r>
        <w:rPr>
          <w:lang w:val="en-GB"/>
        </w:rPr>
        <w:t xml:space="preserve"> J 2005, </w:t>
      </w:r>
      <w:r w:rsidR="00260CE4" w:rsidRPr="008A6217">
        <w:rPr>
          <w:i/>
          <w:lang w:val="en-GB"/>
        </w:rPr>
        <w:t xml:space="preserve">Self-assessed returns to adult education: life-long learning and </w:t>
      </w:r>
      <w:r w:rsidRPr="008A6217">
        <w:rPr>
          <w:i/>
          <w:lang w:val="en-GB"/>
        </w:rPr>
        <w:t>the educationally disadvantaged</w:t>
      </w:r>
      <w:r w:rsidR="00D0611F">
        <w:rPr>
          <w:lang w:val="en-GB"/>
        </w:rPr>
        <w:t>, Research r</w:t>
      </w:r>
      <w:r w:rsidR="00260CE4" w:rsidRPr="00B07B55">
        <w:rPr>
          <w:lang w:val="en-GB"/>
        </w:rPr>
        <w:t>eport no.W/35, Canadian Policy Research Networks (CPRN), Ottawa.</w:t>
      </w:r>
    </w:p>
    <w:p w:rsidR="00260CE4" w:rsidRPr="00B07B55" w:rsidRDefault="00260CE4" w:rsidP="00394427">
      <w:pPr>
        <w:pStyle w:val="References"/>
        <w:rPr>
          <w:lang w:val="en-GB"/>
        </w:rPr>
      </w:pPr>
      <w:r w:rsidRPr="00B07B55">
        <w:rPr>
          <w:lang w:val="en-GB"/>
        </w:rPr>
        <w:t>Oaxaca, RL 1973</w:t>
      </w:r>
      <w:r w:rsidR="00D0611F">
        <w:rPr>
          <w:lang w:val="en-GB"/>
        </w:rPr>
        <w:t>,</w:t>
      </w:r>
      <w:r w:rsidRPr="00B07B55">
        <w:rPr>
          <w:lang w:val="en-GB"/>
        </w:rPr>
        <w:t xml:space="preserve"> ‘Male</w:t>
      </w:r>
      <w:r w:rsidR="00FA3EAA">
        <w:rPr>
          <w:lang w:val="en-GB"/>
        </w:rPr>
        <w:t>—</w:t>
      </w:r>
      <w:r w:rsidRPr="00B07B55">
        <w:rPr>
          <w:lang w:val="en-GB"/>
        </w:rPr>
        <w:t xml:space="preserve">female wage differentials in urban labor markets’, </w:t>
      </w:r>
      <w:r w:rsidRPr="00B07B55">
        <w:rPr>
          <w:i/>
          <w:lang w:val="en-GB"/>
        </w:rPr>
        <w:t>International Economic Review</w:t>
      </w:r>
      <w:r w:rsidR="00D0611F">
        <w:rPr>
          <w:lang w:val="en-GB"/>
        </w:rPr>
        <w:t>, vol.14, no.3, pp.693—</w:t>
      </w:r>
      <w:r w:rsidRPr="00B07B55">
        <w:rPr>
          <w:lang w:val="en-GB"/>
        </w:rPr>
        <w:t>709.</w:t>
      </w:r>
    </w:p>
    <w:p w:rsidR="00260CE4" w:rsidRPr="00B07B55" w:rsidRDefault="00D0611F" w:rsidP="00394427">
      <w:pPr>
        <w:pStyle w:val="References"/>
        <w:rPr>
          <w:lang w:val="en-GB"/>
        </w:rPr>
      </w:pPr>
      <w:r w:rsidRPr="00B07B55">
        <w:rPr>
          <w:lang w:val="en-GB"/>
        </w:rPr>
        <w:t xml:space="preserve">OECD </w:t>
      </w:r>
      <w:r>
        <w:rPr>
          <w:lang w:val="en-GB"/>
        </w:rPr>
        <w:t>(</w:t>
      </w:r>
      <w:r w:rsidR="00260CE4" w:rsidRPr="00B07B55">
        <w:rPr>
          <w:lang w:val="en-GB"/>
        </w:rPr>
        <w:t>Organisation for Econom</w:t>
      </w:r>
      <w:r>
        <w:rPr>
          <w:lang w:val="en-GB"/>
        </w:rPr>
        <w:t>ic Co-operation and Development</w:t>
      </w:r>
      <w:r w:rsidR="00260CE4" w:rsidRPr="00B07B55">
        <w:rPr>
          <w:lang w:val="en-GB"/>
        </w:rPr>
        <w:t xml:space="preserve">) 2010, </w:t>
      </w:r>
      <w:r>
        <w:rPr>
          <w:i/>
          <w:lang w:val="en-GB"/>
        </w:rPr>
        <w:t>Education at a glance 2010: OECD i</w:t>
      </w:r>
      <w:r w:rsidR="00260CE4" w:rsidRPr="00B07B55">
        <w:rPr>
          <w:i/>
          <w:lang w:val="en-GB"/>
        </w:rPr>
        <w:t>ndicators</w:t>
      </w:r>
      <w:r w:rsidR="00260CE4" w:rsidRPr="00B07B55">
        <w:rPr>
          <w:lang w:val="en-GB"/>
        </w:rPr>
        <w:t>, OECD Online, viewed 20 May 2011, &lt;http://www.oecd.org/document/52/0,3343,en_2649_</w:t>
      </w:r>
      <w:r w:rsidR="00FA3EAA">
        <w:rPr>
          <w:lang w:val="en-GB"/>
        </w:rPr>
        <w:t xml:space="preserve"> </w:t>
      </w:r>
      <w:r w:rsidR="00260CE4" w:rsidRPr="00B07B55">
        <w:rPr>
          <w:lang w:val="en-GB"/>
        </w:rPr>
        <w:t>39263238_45897844_1_1_1_1,00.html&gt;.</w:t>
      </w:r>
    </w:p>
    <w:p w:rsidR="00260CE4" w:rsidRPr="00B07B55" w:rsidRDefault="00260CE4" w:rsidP="00394427">
      <w:pPr>
        <w:pStyle w:val="References"/>
        <w:rPr>
          <w:lang w:val="en-GB"/>
        </w:rPr>
      </w:pPr>
      <w:r w:rsidRPr="00B07B55">
        <w:rPr>
          <w:lang w:val="en-GB"/>
        </w:rPr>
        <w:t>Roussel, S 2002, ‘Factors influencing participation in post-secondary education and training in Australia:</w:t>
      </w:r>
      <w:r w:rsidR="00D0611F">
        <w:rPr>
          <w:lang w:val="en-GB"/>
        </w:rPr>
        <w:t xml:space="preserve"> 1989—</w:t>
      </w:r>
      <w:r w:rsidRPr="00B07B55">
        <w:rPr>
          <w:lang w:val="en-GB"/>
        </w:rPr>
        <w:t xml:space="preserve">1997, </w:t>
      </w:r>
      <w:r w:rsidRPr="00B07B55">
        <w:rPr>
          <w:i/>
          <w:lang w:val="en-GB"/>
        </w:rPr>
        <w:t>Australian Journal of Labour Economics</w:t>
      </w:r>
      <w:r w:rsidR="00D0611F">
        <w:rPr>
          <w:lang w:val="en-GB"/>
        </w:rPr>
        <w:t>, vol.5</w:t>
      </w:r>
      <w:r w:rsidR="00FA3EAA">
        <w:rPr>
          <w:lang w:val="en-GB"/>
        </w:rPr>
        <w:t>,</w:t>
      </w:r>
      <w:r w:rsidR="00D0611F">
        <w:rPr>
          <w:lang w:val="en-GB"/>
        </w:rPr>
        <w:t xml:space="preserve"> no.1, pp.77—</w:t>
      </w:r>
      <w:r w:rsidRPr="00B07B55">
        <w:rPr>
          <w:lang w:val="en-GB"/>
        </w:rPr>
        <w:t>100.</w:t>
      </w:r>
    </w:p>
    <w:p w:rsidR="00260CE4" w:rsidRPr="00B07B55" w:rsidRDefault="00260CE4" w:rsidP="00394427">
      <w:pPr>
        <w:pStyle w:val="References"/>
        <w:rPr>
          <w:lang w:val="en-GB"/>
        </w:rPr>
      </w:pPr>
      <w:r w:rsidRPr="00B07B55">
        <w:rPr>
          <w:lang w:val="en-GB"/>
        </w:rPr>
        <w:t xml:space="preserve">Ryan, C &amp; Sinning, M 2009, </w:t>
      </w:r>
      <w:r w:rsidRPr="008A6217">
        <w:rPr>
          <w:i/>
          <w:lang w:val="en-GB"/>
        </w:rPr>
        <w:t>Job requirements and lifelong learning for older workers</w:t>
      </w:r>
      <w:r w:rsidRPr="00B07B55">
        <w:rPr>
          <w:lang w:val="en-GB"/>
        </w:rPr>
        <w:t>, NCVER, Adelaide.</w:t>
      </w:r>
    </w:p>
    <w:p w:rsidR="00260CE4" w:rsidRPr="00B07B55" w:rsidRDefault="00260CE4" w:rsidP="00394427">
      <w:pPr>
        <w:pStyle w:val="References"/>
        <w:rPr>
          <w:lang w:val="en-GB"/>
        </w:rPr>
      </w:pPr>
      <w:r w:rsidRPr="00B07B55">
        <w:rPr>
          <w:lang w:val="en-GB"/>
        </w:rPr>
        <w:t xml:space="preserve">Silles, M 2007, ‘Adult education and earnings: evidence from Britain’, </w:t>
      </w:r>
      <w:r w:rsidRPr="00B07B55">
        <w:rPr>
          <w:i/>
          <w:lang w:val="en-GB"/>
        </w:rPr>
        <w:t>Bulletin of Economic Research, vol.</w:t>
      </w:r>
      <w:r w:rsidR="00D0611F">
        <w:rPr>
          <w:lang w:val="en-GB"/>
        </w:rPr>
        <w:t>59, no.4, pp.313—</w:t>
      </w:r>
      <w:r w:rsidRPr="00B07B55">
        <w:rPr>
          <w:lang w:val="en-GB"/>
        </w:rPr>
        <w:t>26.</w:t>
      </w:r>
    </w:p>
    <w:p w:rsidR="00260CE4" w:rsidRPr="00B07B55" w:rsidRDefault="00260CE4" w:rsidP="00394427">
      <w:pPr>
        <w:pStyle w:val="References"/>
        <w:rPr>
          <w:lang w:val="en-GB"/>
        </w:rPr>
      </w:pPr>
      <w:r w:rsidRPr="00B07B55">
        <w:rPr>
          <w:lang w:val="en-GB"/>
        </w:rPr>
        <w:t xml:space="preserve">Stenberg, A &amp; Westerlund, O 2008, ‘Does comprehensive education work for the long-term unemployed?’, </w:t>
      </w:r>
      <w:r w:rsidRPr="00B07B55">
        <w:rPr>
          <w:i/>
          <w:lang w:val="en-GB"/>
        </w:rPr>
        <w:t>Labour Economics</w:t>
      </w:r>
      <w:r w:rsidRPr="00B07B55">
        <w:rPr>
          <w:lang w:val="en-GB"/>
        </w:rPr>
        <w:t>, vol.15, no.1, pp.54</w:t>
      </w:r>
      <w:r w:rsidR="00FA3EAA">
        <w:rPr>
          <w:lang w:val="en-GB"/>
        </w:rPr>
        <w:t>—</w:t>
      </w:r>
      <w:r w:rsidRPr="00B07B55">
        <w:rPr>
          <w:lang w:val="en-GB"/>
        </w:rPr>
        <w:t>67.</w:t>
      </w:r>
    </w:p>
    <w:p w:rsidR="00260CE4" w:rsidRPr="00B07B55" w:rsidRDefault="00260CE4" w:rsidP="00394427">
      <w:pPr>
        <w:pStyle w:val="References"/>
        <w:rPr>
          <w:lang w:val="en-GB"/>
        </w:rPr>
      </w:pPr>
      <w:r w:rsidRPr="00B07B55">
        <w:rPr>
          <w:lang w:val="en-GB"/>
        </w:rPr>
        <w:t>Taylor, MF (ed</w:t>
      </w:r>
      <w:r w:rsidR="00D0611F">
        <w:rPr>
          <w:lang w:val="en-GB"/>
        </w:rPr>
        <w:t>.)</w:t>
      </w:r>
      <w:r w:rsidRPr="00B07B55">
        <w:rPr>
          <w:lang w:val="en-GB"/>
        </w:rPr>
        <w:t xml:space="preserve"> with Brice, J, Buc</w:t>
      </w:r>
      <w:r w:rsidR="00D0611F">
        <w:rPr>
          <w:lang w:val="en-GB"/>
        </w:rPr>
        <w:t>k, N</w:t>
      </w:r>
      <w:r w:rsidR="008A6217">
        <w:rPr>
          <w:lang w:val="en-GB"/>
        </w:rPr>
        <w:t xml:space="preserve"> &amp; Prentice-Lane, E 2010, </w:t>
      </w:r>
      <w:r w:rsidRPr="008A6217">
        <w:rPr>
          <w:i/>
          <w:lang w:val="en-GB"/>
        </w:rPr>
        <w:t xml:space="preserve">British Household Panel Survey </w:t>
      </w:r>
      <w:r w:rsidR="00D0611F" w:rsidRPr="008A6217">
        <w:rPr>
          <w:i/>
          <w:lang w:val="en-GB"/>
        </w:rPr>
        <w:t xml:space="preserve">user manual volume </w:t>
      </w:r>
      <w:r w:rsidR="00D0611F">
        <w:rPr>
          <w:i/>
          <w:lang w:val="en-GB"/>
        </w:rPr>
        <w:t>A</w:t>
      </w:r>
      <w:r w:rsidR="00D0611F" w:rsidRPr="008A6217">
        <w:rPr>
          <w:i/>
          <w:lang w:val="en-GB"/>
        </w:rPr>
        <w:t>: introduction</w:t>
      </w:r>
      <w:r w:rsidRPr="00B07B55">
        <w:rPr>
          <w:lang w:val="en-GB"/>
        </w:rPr>
        <w:t xml:space="preserve">, </w:t>
      </w:r>
      <w:r w:rsidR="00D0611F" w:rsidRPr="00D0611F">
        <w:rPr>
          <w:i/>
          <w:lang w:val="en-GB"/>
        </w:rPr>
        <w:t>technical report and appendices</w:t>
      </w:r>
      <w:r w:rsidR="00D0611F">
        <w:rPr>
          <w:lang w:val="en-GB"/>
        </w:rPr>
        <w:t>,</w:t>
      </w:r>
      <w:r w:rsidRPr="00B07B55">
        <w:rPr>
          <w:lang w:val="en-GB"/>
        </w:rPr>
        <w:t xml:space="preserve"> University of Essex</w:t>
      </w:r>
      <w:r w:rsidR="00D0611F">
        <w:rPr>
          <w:lang w:val="en-GB"/>
        </w:rPr>
        <w:t>,</w:t>
      </w:r>
      <w:r w:rsidR="00D0611F" w:rsidRPr="00D0611F">
        <w:rPr>
          <w:lang w:val="en-GB"/>
        </w:rPr>
        <w:t xml:space="preserve"> </w:t>
      </w:r>
      <w:r w:rsidR="00D0611F" w:rsidRPr="00B07B55">
        <w:rPr>
          <w:lang w:val="en-GB"/>
        </w:rPr>
        <w:t>Colchester</w:t>
      </w:r>
      <w:r w:rsidRPr="00B07B55">
        <w:rPr>
          <w:lang w:val="en-GB"/>
        </w:rPr>
        <w:t>.</w:t>
      </w:r>
    </w:p>
    <w:p w:rsidR="00260CE4" w:rsidRPr="00B07B55" w:rsidRDefault="008A6217" w:rsidP="00394427">
      <w:pPr>
        <w:pStyle w:val="References"/>
        <w:rPr>
          <w:lang w:val="en-GB"/>
        </w:rPr>
      </w:pPr>
      <w:r>
        <w:rPr>
          <w:lang w:val="en-GB"/>
        </w:rPr>
        <w:t xml:space="preserve">Wolf, A 2011, </w:t>
      </w:r>
      <w:r w:rsidRPr="008A6217">
        <w:rPr>
          <w:i/>
          <w:lang w:val="en-GB"/>
        </w:rPr>
        <w:t>Review of v</w:t>
      </w:r>
      <w:r w:rsidR="00260CE4" w:rsidRPr="008A6217">
        <w:rPr>
          <w:i/>
          <w:lang w:val="en-GB"/>
        </w:rPr>
        <w:t>ocati</w:t>
      </w:r>
      <w:r w:rsidRPr="008A6217">
        <w:rPr>
          <w:i/>
          <w:lang w:val="en-GB"/>
        </w:rPr>
        <w:t>onal education: the Wolf report</w:t>
      </w:r>
      <w:r w:rsidR="00260CE4" w:rsidRPr="00B07B55">
        <w:rPr>
          <w:lang w:val="en-GB"/>
        </w:rPr>
        <w:t>, Department of Education, United Kingdom, viewed 10 October 2011, &lt;</w:t>
      </w:r>
      <w:hyperlink r:id="rId21" w:history="1">
        <w:r w:rsidR="00FA3EAA" w:rsidRPr="005D621C">
          <w:rPr>
            <w:rStyle w:val="Hyperlink"/>
            <w:sz w:val="18"/>
            <w:szCs w:val="18"/>
            <w:lang w:val="en-GB"/>
          </w:rPr>
          <w:t>https://www.education.gov.uk/publications/eOrderingDownload/ The%20Wolf%20Report.pdf</w:t>
        </w:r>
      </w:hyperlink>
      <w:r w:rsidR="00260CE4" w:rsidRPr="00B07B55">
        <w:rPr>
          <w:lang w:val="en-GB"/>
        </w:rPr>
        <w:t>&gt;.</w:t>
      </w:r>
    </w:p>
    <w:p w:rsidR="00260CE4" w:rsidRPr="00B07B55" w:rsidRDefault="008A6217" w:rsidP="00394427">
      <w:pPr>
        <w:pStyle w:val="References"/>
        <w:rPr>
          <w:lang w:val="en-GB"/>
        </w:rPr>
      </w:pPr>
      <w:r>
        <w:rPr>
          <w:lang w:val="en-GB"/>
        </w:rPr>
        <w:t>Zhang, X &amp; Palameta</w:t>
      </w:r>
      <w:r w:rsidR="00FA3EAA">
        <w:rPr>
          <w:lang w:val="en-GB"/>
        </w:rPr>
        <w:t>,</w:t>
      </w:r>
      <w:r>
        <w:rPr>
          <w:lang w:val="en-GB"/>
        </w:rPr>
        <w:t xml:space="preserve"> B 2006, </w:t>
      </w:r>
      <w:r w:rsidR="00260CE4" w:rsidRPr="008A6217">
        <w:rPr>
          <w:i/>
          <w:lang w:val="en-GB"/>
        </w:rPr>
        <w:t>Participation in adult schooling and its earnings impact in Canada</w:t>
      </w:r>
      <w:r w:rsidR="00260CE4" w:rsidRPr="00B07B55">
        <w:rPr>
          <w:lang w:val="en-GB"/>
        </w:rPr>
        <w:t>, Analytical Studies Branch R</w:t>
      </w:r>
      <w:r w:rsidR="00D0611F" w:rsidRPr="00B07B55">
        <w:rPr>
          <w:lang w:val="en-GB"/>
        </w:rPr>
        <w:t>esearch paper series no</w:t>
      </w:r>
      <w:r w:rsidR="00260CE4" w:rsidRPr="00B07B55">
        <w:rPr>
          <w:lang w:val="en-GB"/>
        </w:rPr>
        <w:t>.276, Statistics Canada, Ottawa</w:t>
      </w:r>
      <w:r w:rsidR="00D0611F">
        <w:rPr>
          <w:lang w:val="en-GB"/>
        </w:rPr>
        <w:t>.</w:t>
      </w:r>
    </w:p>
    <w:p w:rsidR="00282DD3" w:rsidRPr="00B07B55" w:rsidRDefault="00260CE4" w:rsidP="00260CE4">
      <w:pPr>
        <w:pStyle w:val="Text"/>
        <w:rPr>
          <w:lang w:val="en-GB"/>
        </w:rPr>
      </w:pPr>
      <w:r w:rsidRPr="00B07B55">
        <w:rPr>
          <w:lang w:val="en-GB"/>
        </w:rPr>
        <w:br w:type="page"/>
      </w:r>
    </w:p>
    <w:p w:rsidR="00257635" w:rsidRPr="00B07B55" w:rsidRDefault="00257635" w:rsidP="00260CE4">
      <w:pPr>
        <w:pStyle w:val="Heading1"/>
        <w:rPr>
          <w:lang w:val="en-GB"/>
        </w:rPr>
      </w:pPr>
      <w:bookmarkStart w:id="78" w:name="_Toc334101018"/>
      <w:r w:rsidRPr="00B07B55">
        <w:rPr>
          <w:lang w:val="en-GB"/>
        </w:rPr>
        <w:t>Appendix A</w:t>
      </w:r>
      <w:bookmarkEnd w:id="78"/>
    </w:p>
    <w:p w:rsidR="00257635" w:rsidRPr="00B07B55" w:rsidRDefault="00257635" w:rsidP="00257635">
      <w:pPr>
        <w:pStyle w:val="tabletitle"/>
        <w:rPr>
          <w:lang w:val="en-GB"/>
        </w:rPr>
      </w:pPr>
      <w:bookmarkStart w:id="79" w:name="_Toc311576128"/>
      <w:bookmarkStart w:id="80" w:name="_Toc334021183"/>
      <w:r w:rsidRPr="00B07B55">
        <w:rPr>
          <w:lang w:val="en-GB"/>
        </w:rPr>
        <w:t>Table A1</w:t>
      </w:r>
      <w:r w:rsidRPr="00B07B55">
        <w:rPr>
          <w:lang w:val="en-GB"/>
        </w:rPr>
        <w:tab/>
        <w:t>Participation in education over the previous 12 months, 2009 SET</w:t>
      </w:r>
      <w:bookmarkEnd w:id="79"/>
      <w:bookmarkEnd w:id="80"/>
      <w:r w:rsidR="001C73D5">
        <w:rPr>
          <w:lang w:val="en-GB"/>
        </w:rPr>
        <w:t xml:space="preserve"> </w:t>
      </w:r>
    </w:p>
    <w:tbl>
      <w:tblPr>
        <w:tblW w:w="8789" w:type="dxa"/>
        <w:tblInd w:w="57" w:type="dxa"/>
        <w:tblLayout w:type="fixed"/>
        <w:tblCellMar>
          <w:left w:w="57" w:type="dxa"/>
          <w:right w:w="57" w:type="dxa"/>
        </w:tblCellMar>
        <w:tblLook w:val="04A0"/>
      </w:tblPr>
      <w:tblGrid>
        <w:gridCol w:w="4538"/>
        <w:gridCol w:w="1063"/>
        <w:gridCol w:w="1063"/>
        <w:gridCol w:w="1063"/>
        <w:gridCol w:w="1062"/>
      </w:tblGrid>
      <w:tr w:rsidR="000371F7" w:rsidRPr="00B07B55" w:rsidTr="000371F7">
        <w:tc>
          <w:tcPr>
            <w:tcW w:w="2581" w:type="pct"/>
            <w:tcBorders>
              <w:top w:val="single" w:sz="4" w:space="0" w:color="auto"/>
              <w:left w:val="nil"/>
              <w:bottom w:val="single" w:sz="4" w:space="0" w:color="auto"/>
              <w:right w:val="nil"/>
            </w:tcBorders>
            <w:shd w:val="clear" w:color="auto" w:fill="auto"/>
            <w:noWrap/>
            <w:tcMar>
              <w:top w:w="0" w:type="dxa"/>
              <w:left w:w="57" w:type="dxa"/>
              <w:bottom w:w="0" w:type="dxa"/>
              <w:right w:w="57" w:type="dxa"/>
            </w:tcMar>
            <w:hideMark/>
          </w:tcPr>
          <w:p w:rsidR="000371F7" w:rsidRPr="00B07B55" w:rsidRDefault="000371F7" w:rsidP="000371F7">
            <w:pPr>
              <w:pStyle w:val="Tablehead1"/>
              <w:rPr>
                <w:lang w:val="en-GB"/>
              </w:rPr>
            </w:pPr>
            <w:r>
              <w:rPr>
                <w:lang w:val="en-GB"/>
              </w:rPr>
              <w:t>Age g</w:t>
            </w:r>
            <w:r w:rsidRPr="00B07B55">
              <w:rPr>
                <w:lang w:val="en-GB"/>
              </w:rPr>
              <w:t>roup</w:t>
            </w:r>
          </w:p>
        </w:tc>
        <w:tc>
          <w:tcPr>
            <w:tcW w:w="605" w:type="pct"/>
            <w:tcBorders>
              <w:top w:val="single" w:sz="4" w:space="0" w:color="auto"/>
              <w:left w:val="nil"/>
              <w:bottom w:val="single" w:sz="4" w:space="0" w:color="auto"/>
              <w:right w:val="nil"/>
            </w:tcBorders>
            <w:shd w:val="clear" w:color="auto" w:fill="auto"/>
            <w:noWrap/>
            <w:tcMar>
              <w:top w:w="0" w:type="dxa"/>
              <w:left w:w="57" w:type="dxa"/>
              <w:bottom w:w="0" w:type="dxa"/>
              <w:right w:w="57" w:type="dxa"/>
            </w:tcMar>
            <w:hideMark/>
          </w:tcPr>
          <w:p w:rsidR="000371F7" w:rsidRPr="00B07B55" w:rsidRDefault="000371F7" w:rsidP="000371F7">
            <w:pPr>
              <w:pStyle w:val="Tablehead1"/>
              <w:jc w:val="center"/>
              <w:rPr>
                <w:lang w:val="en-GB"/>
              </w:rPr>
            </w:pPr>
            <w:r>
              <w:rPr>
                <w:lang w:val="en-GB"/>
              </w:rPr>
              <w:t>25–</w:t>
            </w:r>
            <w:r w:rsidRPr="00B07B55">
              <w:rPr>
                <w:lang w:val="en-GB"/>
              </w:rPr>
              <w:t>34</w:t>
            </w:r>
          </w:p>
        </w:tc>
        <w:tc>
          <w:tcPr>
            <w:tcW w:w="605" w:type="pct"/>
            <w:tcBorders>
              <w:top w:val="single" w:sz="4" w:space="0" w:color="auto"/>
              <w:left w:val="nil"/>
              <w:bottom w:val="single" w:sz="4" w:space="0" w:color="auto"/>
              <w:right w:val="nil"/>
            </w:tcBorders>
            <w:shd w:val="clear" w:color="auto" w:fill="auto"/>
            <w:noWrap/>
            <w:tcMar>
              <w:top w:w="0" w:type="dxa"/>
              <w:left w:w="57" w:type="dxa"/>
              <w:bottom w:w="0" w:type="dxa"/>
              <w:right w:w="57" w:type="dxa"/>
            </w:tcMar>
            <w:hideMark/>
          </w:tcPr>
          <w:p w:rsidR="000371F7" w:rsidRPr="00B07B55" w:rsidRDefault="000371F7" w:rsidP="000371F7">
            <w:pPr>
              <w:pStyle w:val="Tablehead1"/>
              <w:jc w:val="center"/>
              <w:rPr>
                <w:lang w:val="en-GB"/>
              </w:rPr>
            </w:pPr>
            <w:r>
              <w:rPr>
                <w:lang w:val="en-GB"/>
              </w:rPr>
              <w:t>35–</w:t>
            </w:r>
            <w:r w:rsidRPr="00B07B55">
              <w:rPr>
                <w:lang w:val="en-GB"/>
              </w:rPr>
              <w:t>44</w:t>
            </w:r>
          </w:p>
        </w:tc>
        <w:tc>
          <w:tcPr>
            <w:tcW w:w="605" w:type="pct"/>
            <w:tcBorders>
              <w:top w:val="single" w:sz="4" w:space="0" w:color="auto"/>
              <w:left w:val="nil"/>
              <w:bottom w:val="single" w:sz="4" w:space="0" w:color="auto"/>
              <w:right w:val="nil"/>
            </w:tcBorders>
            <w:shd w:val="clear" w:color="auto" w:fill="auto"/>
            <w:noWrap/>
            <w:tcMar>
              <w:top w:w="0" w:type="dxa"/>
              <w:left w:w="57" w:type="dxa"/>
              <w:bottom w:w="0" w:type="dxa"/>
              <w:right w:w="57" w:type="dxa"/>
            </w:tcMar>
            <w:hideMark/>
          </w:tcPr>
          <w:p w:rsidR="000371F7" w:rsidRPr="00B07B55" w:rsidRDefault="000371F7" w:rsidP="000371F7">
            <w:pPr>
              <w:pStyle w:val="Tablehead1"/>
              <w:jc w:val="center"/>
              <w:rPr>
                <w:lang w:val="en-GB"/>
              </w:rPr>
            </w:pPr>
            <w:r>
              <w:rPr>
                <w:lang w:val="en-GB"/>
              </w:rPr>
              <w:t>45–</w:t>
            </w:r>
            <w:r w:rsidRPr="00B07B55">
              <w:rPr>
                <w:lang w:val="en-GB"/>
              </w:rPr>
              <w:t>54</w:t>
            </w:r>
          </w:p>
        </w:tc>
        <w:tc>
          <w:tcPr>
            <w:tcW w:w="605" w:type="pct"/>
            <w:tcBorders>
              <w:top w:val="single" w:sz="4" w:space="0" w:color="auto"/>
              <w:left w:val="nil"/>
              <w:bottom w:val="single" w:sz="4" w:space="0" w:color="auto"/>
              <w:right w:val="nil"/>
            </w:tcBorders>
            <w:shd w:val="clear" w:color="auto" w:fill="auto"/>
            <w:noWrap/>
            <w:tcMar>
              <w:top w:w="0" w:type="dxa"/>
              <w:left w:w="57" w:type="dxa"/>
              <w:bottom w:w="0" w:type="dxa"/>
              <w:right w:w="57" w:type="dxa"/>
            </w:tcMar>
            <w:hideMark/>
          </w:tcPr>
          <w:p w:rsidR="000371F7" w:rsidRPr="00B07B55" w:rsidRDefault="000371F7" w:rsidP="000371F7">
            <w:pPr>
              <w:pStyle w:val="Tablehead1"/>
              <w:jc w:val="center"/>
              <w:rPr>
                <w:lang w:val="en-GB"/>
              </w:rPr>
            </w:pPr>
            <w:r>
              <w:rPr>
                <w:lang w:val="en-GB"/>
              </w:rPr>
              <w:t>55–</w:t>
            </w:r>
            <w:r w:rsidRPr="00B07B55">
              <w:rPr>
                <w:lang w:val="en-GB"/>
              </w:rPr>
              <w:t>64</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spacing w:before="120"/>
              <w:rPr>
                <w:lang w:val="en-GB"/>
              </w:rPr>
            </w:pPr>
            <w:r w:rsidRPr="000371F7">
              <w:rPr>
                <w:b/>
                <w:lang w:val="en-GB"/>
              </w:rPr>
              <w:t>Males</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spacing w:before="120"/>
              <w:rPr>
                <w:szCs w:val="24"/>
                <w:lang w:val="en-GB"/>
              </w:rPr>
            </w:pP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spacing w:before="120"/>
              <w:rPr>
                <w:lang w:val="en-GB"/>
              </w:rPr>
            </w:pP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spacing w:before="120"/>
              <w:rPr>
                <w:lang w:val="en-GB"/>
              </w:rPr>
            </w:pP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spacing w:before="120"/>
              <w:rPr>
                <w:lang w:val="en-GB"/>
              </w:rPr>
            </w:pPr>
          </w:p>
        </w:tc>
      </w:tr>
      <w:tr w:rsidR="0008221E"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rPr>
                <w:lang w:val="en-GB"/>
              </w:rPr>
            </w:pPr>
            <w:r w:rsidRPr="00B07B55">
              <w:rPr>
                <w:lang w:val="en-GB"/>
              </w:rPr>
              <w:t>Number of courses enrolled in</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rPr>
                <w:lang w:val="en-GB"/>
              </w:rPr>
            </w:pP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rPr>
                <w:lang w:val="en-GB"/>
              </w:rPr>
            </w:pP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rPr>
                <w:lang w:val="en-GB"/>
              </w:rPr>
            </w:pP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rPr>
                <w:lang w:val="en-GB"/>
              </w:rPr>
            </w:pP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One</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18.6</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11.68</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7.21</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3.86</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Two</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2.03</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1.57</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1.24</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0.56</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Three</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0.4</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0.29</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0.04</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Four</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0.11</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w:t>
            </w:r>
          </w:p>
        </w:tc>
      </w:tr>
      <w:tr w:rsidR="0008221E"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rPr>
                <w:lang w:val="en-GB"/>
              </w:rPr>
            </w:pPr>
            <w:r w:rsidRPr="00B07B55">
              <w:rPr>
                <w:lang w:val="en-GB"/>
              </w:rPr>
              <w:t>Main reason for study</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tabs>
                <w:tab w:val="decimal" w:pos="454"/>
              </w:tabs>
              <w:rPr>
                <w:lang w:val="en-GB"/>
              </w:rPr>
            </w:pP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tabs>
                <w:tab w:val="decimal" w:pos="454"/>
              </w:tabs>
              <w:rPr>
                <w:lang w:val="en-GB"/>
              </w:rPr>
            </w:pP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tabs>
                <w:tab w:val="decimal" w:pos="454"/>
              </w:tabs>
              <w:rPr>
                <w:lang w:val="en-GB"/>
              </w:rPr>
            </w:pP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tabs>
                <w:tab w:val="decimal" w:pos="454"/>
              </w:tabs>
              <w:rPr>
                <w:lang w:val="en-GB"/>
              </w:rPr>
            </w:pP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To get into another course of study</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0.49</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0.71</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1.14</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To get a job</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14.2</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9.36</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5.93</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3.48</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To get a different job or promotion</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22.28</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14.96</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17.14</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11.6</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Was a requirement of job</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12.3</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19.4</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13.48</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22.58</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Wanted extra skills for job</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21.59</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26.33</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26.66</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19.35</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To start own business</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3.76</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3.18</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3.57</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To develop existing business</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1.5</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3.66</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5.8</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0.91</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To try for a different career</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11.26</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9.33</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10.43</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8.95</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To improve general educational skills</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7.17</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8.26</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6.33</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5.5</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To get skills for community/voluntary work</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0.67</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0.84</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7.37</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To increase confidence/self-esteem</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0.67</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1.49</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2.39</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1.89</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For personal interest/enjoyment</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8.87</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7.75</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9.39</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23.55</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Other reason</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2.17</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2.32</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1.77</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2.03</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spacing w:before="120"/>
              <w:rPr>
                <w:lang w:val="en-GB"/>
              </w:rPr>
            </w:pPr>
            <w:r w:rsidRPr="000371F7">
              <w:rPr>
                <w:b/>
                <w:lang w:val="en-GB"/>
              </w:rPr>
              <w:t>Females</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spacing w:before="120"/>
              <w:rPr>
                <w:szCs w:val="24"/>
                <w:lang w:val="en-GB"/>
              </w:rPr>
            </w:pP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spacing w:before="120"/>
              <w:rPr>
                <w:lang w:val="en-GB"/>
              </w:rPr>
            </w:pP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spacing w:before="120"/>
              <w:rPr>
                <w:lang w:val="en-GB"/>
              </w:rPr>
            </w:pP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spacing w:before="120"/>
              <w:rPr>
                <w:lang w:val="en-GB"/>
              </w:rPr>
            </w:pPr>
          </w:p>
        </w:tc>
      </w:tr>
      <w:tr w:rsidR="0008221E"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rPr>
                <w:lang w:val="en-GB"/>
              </w:rPr>
            </w:pPr>
            <w:r w:rsidRPr="00B07B55">
              <w:rPr>
                <w:lang w:val="en-GB"/>
              </w:rPr>
              <w:t>Number of courses enrolled in</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rPr>
                <w:lang w:val="en-GB"/>
              </w:rPr>
            </w:pP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rPr>
                <w:lang w:val="en-GB"/>
              </w:rPr>
            </w:pP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rPr>
                <w:lang w:val="en-GB"/>
              </w:rPr>
            </w:pP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rPr>
                <w:lang w:val="en-GB"/>
              </w:rPr>
            </w:pP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One</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19.72</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14.23</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10.44</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4.14</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Two</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2.44</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1.85</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1.35</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0.44</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Three</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0.17</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0.03</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0.16</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0.02</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Four</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0.07</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w:t>
            </w:r>
          </w:p>
        </w:tc>
      </w:tr>
      <w:tr w:rsidR="0008221E"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rPr>
                <w:lang w:val="en-GB"/>
              </w:rPr>
            </w:pPr>
            <w:r w:rsidRPr="00B07B55">
              <w:rPr>
                <w:lang w:val="en-GB"/>
              </w:rPr>
              <w:t>Main reason for study</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tabs>
                <w:tab w:val="decimal" w:pos="454"/>
              </w:tabs>
              <w:rPr>
                <w:lang w:val="en-GB"/>
              </w:rPr>
            </w:pP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tabs>
                <w:tab w:val="decimal" w:pos="454"/>
              </w:tabs>
              <w:rPr>
                <w:lang w:val="en-GB"/>
              </w:rPr>
            </w:pP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tabs>
                <w:tab w:val="decimal" w:pos="454"/>
              </w:tabs>
              <w:rPr>
                <w:lang w:val="en-GB"/>
              </w:rPr>
            </w:pP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tabs>
                <w:tab w:val="decimal" w:pos="454"/>
              </w:tabs>
              <w:rPr>
                <w:lang w:val="en-GB"/>
              </w:rPr>
            </w:pP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To get into another course of study</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4.31</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3.4</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0.79</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2.62</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To get a job</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16.45</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16.68</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11.04</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15.61</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To get a different job or promotion</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18.13</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13.07</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13.92</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5.41</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Was a requirement of job</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9.13</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12.28</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15.09</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17.54</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Wanted extra skills for job</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19.05</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20.35</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26.08</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14.78</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To start own business</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2.33</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3.79</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2.88</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4.92</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To develop existing business</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0.53</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2.71</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2.14</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1.66</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To try for a different career</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14.39</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13.76</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10.22</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6.2</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To improve general educational skills</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8.1</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6.17</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8.13</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7.59</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To get skills for community/voluntary work</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1.66</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2.36</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5.79</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To increase confidence/self-esteem</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0.35</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1.12</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2.07</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2.33</w:t>
            </w:r>
          </w:p>
        </w:tc>
      </w:tr>
      <w:tr w:rsidR="000371F7" w:rsidRPr="00B07B55" w:rsidTr="000371F7">
        <w:tc>
          <w:tcPr>
            <w:tcW w:w="2581"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For personal interest/enjoyment</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10.98</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10.17</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10.69</w:t>
            </w:r>
          </w:p>
        </w:tc>
        <w:tc>
          <w:tcPr>
            <w:tcW w:w="605" w:type="pct"/>
            <w:tcBorders>
              <w:top w:val="nil"/>
              <w:left w:val="nil"/>
              <w:bottom w:val="nil"/>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17.08</w:t>
            </w:r>
          </w:p>
        </w:tc>
      </w:tr>
      <w:tr w:rsidR="000371F7" w:rsidRPr="00B07B55" w:rsidTr="000371F7">
        <w:tc>
          <w:tcPr>
            <w:tcW w:w="2581" w:type="pct"/>
            <w:tcBorders>
              <w:top w:val="nil"/>
              <w:left w:val="nil"/>
              <w:bottom w:val="single" w:sz="4" w:space="0" w:color="auto"/>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ind w:left="227"/>
              <w:rPr>
                <w:lang w:val="en-GB"/>
              </w:rPr>
            </w:pPr>
            <w:r w:rsidRPr="00B07B55">
              <w:rPr>
                <w:lang w:val="en-GB"/>
              </w:rPr>
              <w:t>Other reason</w:t>
            </w:r>
          </w:p>
        </w:tc>
        <w:tc>
          <w:tcPr>
            <w:tcW w:w="605" w:type="pct"/>
            <w:tcBorders>
              <w:top w:val="nil"/>
              <w:left w:val="nil"/>
              <w:bottom w:val="single" w:sz="4" w:space="0" w:color="auto"/>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1.48</w:t>
            </w:r>
          </w:p>
        </w:tc>
        <w:tc>
          <w:tcPr>
            <w:tcW w:w="605" w:type="pct"/>
            <w:tcBorders>
              <w:top w:val="nil"/>
              <w:left w:val="nil"/>
              <w:bottom w:val="single" w:sz="4" w:space="0" w:color="auto"/>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1.84</w:t>
            </w:r>
          </w:p>
        </w:tc>
        <w:tc>
          <w:tcPr>
            <w:tcW w:w="605" w:type="pct"/>
            <w:tcBorders>
              <w:top w:val="nil"/>
              <w:left w:val="nil"/>
              <w:bottom w:val="single" w:sz="4" w:space="0" w:color="auto"/>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2.42</w:t>
            </w:r>
          </w:p>
        </w:tc>
        <w:tc>
          <w:tcPr>
            <w:tcW w:w="605" w:type="pct"/>
            <w:tcBorders>
              <w:top w:val="nil"/>
              <w:left w:val="nil"/>
              <w:bottom w:val="single" w:sz="4" w:space="0" w:color="auto"/>
              <w:right w:val="nil"/>
            </w:tcBorders>
            <w:shd w:val="clear" w:color="auto" w:fill="auto"/>
            <w:noWrap/>
            <w:tcMar>
              <w:top w:w="0" w:type="dxa"/>
              <w:left w:w="57" w:type="dxa"/>
              <w:bottom w:w="0" w:type="dxa"/>
              <w:right w:w="57" w:type="dxa"/>
            </w:tcMar>
            <w:hideMark/>
          </w:tcPr>
          <w:p w:rsidR="000371F7" w:rsidRPr="00B07B55" w:rsidRDefault="000371F7" w:rsidP="000371F7">
            <w:pPr>
              <w:pStyle w:val="Tabletext"/>
              <w:tabs>
                <w:tab w:val="decimal" w:pos="454"/>
              </w:tabs>
              <w:rPr>
                <w:lang w:val="en-GB"/>
              </w:rPr>
            </w:pPr>
            <w:r w:rsidRPr="00B07B55">
              <w:rPr>
                <w:lang w:val="en-GB"/>
              </w:rPr>
              <w:t>6.37</w:t>
            </w:r>
          </w:p>
        </w:tc>
      </w:tr>
    </w:tbl>
    <w:p w:rsidR="00257635" w:rsidRPr="00B07B55" w:rsidRDefault="00257635" w:rsidP="00612108">
      <w:pPr>
        <w:pStyle w:val="Source"/>
        <w:rPr>
          <w:lang w:val="en-GB"/>
        </w:rPr>
      </w:pPr>
      <w:r w:rsidRPr="00B07B55">
        <w:rPr>
          <w:lang w:val="en-GB"/>
        </w:rPr>
        <w:t>Source:</w:t>
      </w:r>
      <w:r w:rsidR="00612108">
        <w:rPr>
          <w:lang w:val="en-GB"/>
        </w:rPr>
        <w:tab/>
      </w:r>
      <w:r w:rsidR="0008221E" w:rsidRPr="00B07B55">
        <w:rPr>
          <w:lang w:val="en-GB"/>
        </w:rPr>
        <w:t>SET 2009</w:t>
      </w:r>
      <w:r w:rsidR="00D0611F">
        <w:rPr>
          <w:lang w:val="en-GB"/>
        </w:rPr>
        <w:t xml:space="preserve"> d</w:t>
      </w:r>
      <w:r w:rsidRPr="00B07B55">
        <w:rPr>
          <w:lang w:val="en-GB"/>
        </w:rPr>
        <w:t>ata.</w:t>
      </w:r>
    </w:p>
    <w:p w:rsidR="000371F7" w:rsidRDefault="000371F7">
      <w:pPr>
        <w:spacing w:before="0" w:line="240" w:lineRule="auto"/>
        <w:rPr>
          <w:rFonts w:ascii="Tahoma" w:hAnsi="Tahoma"/>
          <w:b/>
          <w:sz w:val="17"/>
          <w:lang w:val="en-GB"/>
        </w:rPr>
      </w:pPr>
      <w:bookmarkStart w:id="81" w:name="_Toc311576129"/>
      <w:r>
        <w:rPr>
          <w:lang w:val="en-GB"/>
        </w:rPr>
        <w:br w:type="page"/>
      </w:r>
    </w:p>
    <w:p w:rsidR="0008221E" w:rsidRPr="00B07B55" w:rsidRDefault="0008221E" w:rsidP="006E09C0">
      <w:pPr>
        <w:pStyle w:val="tabletitle"/>
        <w:rPr>
          <w:lang w:val="en-GB"/>
        </w:rPr>
      </w:pPr>
      <w:bookmarkStart w:id="82" w:name="_Toc334021184"/>
      <w:r w:rsidRPr="00B07B55">
        <w:rPr>
          <w:lang w:val="en-GB"/>
        </w:rPr>
        <w:t>Table A2</w:t>
      </w:r>
      <w:r w:rsidRPr="00B07B55">
        <w:rPr>
          <w:lang w:val="en-GB"/>
        </w:rPr>
        <w:tab/>
        <w:t xml:space="preserve">Current enrolment in formal education and </w:t>
      </w:r>
      <w:r w:rsidRPr="006E09C0">
        <w:t>training</w:t>
      </w:r>
      <w:r w:rsidRPr="00B07B55">
        <w:rPr>
          <w:lang w:val="en-GB"/>
        </w:rPr>
        <w:t>,</w:t>
      </w:r>
      <w:r w:rsidR="001C73D5">
        <w:rPr>
          <w:lang w:val="en-GB"/>
        </w:rPr>
        <w:t xml:space="preserve"> </w:t>
      </w:r>
      <w:r w:rsidRPr="00B07B55">
        <w:rPr>
          <w:lang w:val="en-GB"/>
        </w:rPr>
        <w:t>2009 HILDA</w:t>
      </w:r>
      <w:bookmarkEnd w:id="81"/>
      <w:bookmarkEnd w:id="82"/>
      <w:r w:rsidR="001C73D5">
        <w:rPr>
          <w:lang w:val="en-GB"/>
        </w:rPr>
        <w:t xml:space="preserve"> </w:t>
      </w:r>
    </w:p>
    <w:tbl>
      <w:tblPr>
        <w:tblW w:w="8789" w:type="dxa"/>
        <w:tblInd w:w="57" w:type="dxa"/>
        <w:tblLayout w:type="fixed"/>
        <w:tblCellMar>
          <w:left w:w="57" w:type="dxa"/>
          <w:right w:w="57" w:type="dxa"/>
        </w:tblCellMar>
        <w:tblLook w:val="04A0"/>
      </w:tblPr>
      <w:tblGrid>
        <w:gridCol w:w="4536"/>
        <w:gridCol w:w="1063"/>
        <w:gridCol w:w="1063"/>
        <w:gridCol w:w="1063"/>
        <w:gridCol w:w="1064"/>
      </w:tblGrid>
      <w:tr w:rsidR="006E09C0" w:rsidRPr="00B07B55" w:rsidTr="006E09C0">
        <w:tc>
          <w:tcPr>
            <w:tcW w:w="4536" w:type="dxa"/>
            <w:tcBorders>
              <w:top w:val="single" w:sz="4" w:space="0" w:color="auto"/>
              <w:left w:val="nil"/>
              <w:bottom w:val="single" w:sz="8" w:space="0" w:color="auto"/>
              <w:right w:val="nil"/>
            </w:tcBorders>
            <w:shd w:val="clear" w:color="auto" w:fill="auto"/>
            <w:noWrap/>
            <w:tcMar>
              <w:top w:w="15" w:type="dxa"/>
              <w:left w:w="57" w:type="dxa"/>
              <w:bottom w:w="0" w:type="dxa"/>
              <w:right w:w="57" w:type="dxa"/>
            </w:tcMar>
            <w:hideMark/>
          </w:tcPr>
          <w:p w:rsidR="006E09C0" w:rsidRPr="00B07B55" w:rsidRDefault="006E09C0" w:rsidP="006E09C0">
            <w:pPr>
              <w:pStyle w:val="Tablehead1"/>
              <w:rPr>
                <w:rFonts w:ascii="Calibri" w:hAnsi="Calibri" w:cs="Calibri"/>
                <w:lang w:val="en-GB"/>
              </w:rPr>
            </w:pPr>
            <w:r w:rsidRPr="00B07B55">
              <w:rPr>
                <w:lang w:val="en-GB"/>
              </w:rPr>
              <w:t> Age group</w:t>
            </w:r>
          </w:p>
        </w:tc>
        <w:tc>
          <w:tcPr>
            <w:tcW w:w="1063" w:type="dxa"/>
            <w:tcBorders>
              <w:top w:val="single" w:sz="4" w:space="0" w:color="auto"/>
              <w:left w:val="nil"/>
              <w:bottom w:val="single" w:sz="8" w:space="0" w:color="auto"/>
              <w:right w:val="nil"/>
            </w:tcBorders>
            <w:shd w:val="clear" w:color="auto" w:fill="auto"/>
            <w:noWrap/>
            <w:tcMar>
              <w:top w:w="15" w:type="dxa"/>
              <w:left w:w="57" w:type="dxa"/>
              <w:bottom w:w="0" w:type="dxa"/>
              <w:right w:w="57" w:type="dxa"/>
            </w:tcMar>
            <w:hideMark/>
          </w:tcPr>
          <w:p w:rsidR="006E09C0" w:rsidRPr="00B07B55" w:rsidRDefault="006E09C0" w:rsidP="006E09C0">
            <w:pPr>
              <w:pStyle w:val="Tablehead1"/>
              <w:jc w:val="center"/>
              <w:rPr>
                <w:bCs/>
                <w:lang w:val="en-GB"/>
              </w:rPr>
            </w:pPr>
            <w:r>
              <w:rPr>
                <w:bCs/>
                <w:lang w:val="en-GB"/>
              </w:rPr>
              <w:t>25–</w:t>
            </w:r>
            <w:r w:rsidRPr="00B07B55">
              <w:rPr>
                <w:bCs/>
                <w:lang w:val="en-GB"/>
              </w:rPr>
              <w:t>34</w:t>
            </w:r>
          </w:p>
        </w:tc>
        <w:tc>
          <w:tcPr>
            <w:tcW w:w="1063" w:type="dxa"/>
            <w:tcBorders>
              <w:top w:val="single" w:sz="4" w:space="0" w:color="auto"/>
              <w:left w:val="nil"/>
              <w:bottom w:val="single" w:sz="8" w:space="0" w:color="auto"/>
              <w:right w:val="nil"/>
            </w:tcBorders>
            <w:shd w:val="clear" w:color="auto" w:fill="auto"/>
            <w:noWrap/>
            <w:tcMar>
              <w:top w:w="15" w:type="dxa"/>
              <w:left w:w="57" w:type="dxa"/>
              <w:bottom w:w="0" w:type="dxa"/>
              <w:right w:w="57" w:type="dxa"/>
            </w:tcMar>
            <w:hideMark/>
          </w:tcPr>
          <w:p w:rsidR="006E09C0" w:rsidRPr="00B07B55" w:rsidRDefault="006E09C0" w:rsidP="006E09C0">
            <w:pPr>
              <w:pStyle w:val="Tablehead1"/>
              <w:jc w:val="center"/>
              <w:rPr>
                <w:bCs/>
                <w:lang w:val="en-GB"/>
              </w:rPr>
            </w:pPr>
            <w:r>
              <w:rPr>
                <w:bCs/>
                <w:lang w:val="en-GB"/>
              </w:rPr>
              <w:t>35–</w:t>
            </w:r>
            <w:r w:rsidRPr="00B07B55">
              <w:rPr>
                <w:bCs/>
                <w:lang w:val="en-GB"/>
              </w:rPr>
              <w:t>44</w:t>
            </w:r>
          </w:p>
        </w:tc>
        <w:tc>
          <w:tcPr>
            <w:tcW w:w="1063" w:type="dxa"/>
            <w:tcBorders>
              <w:top w:val="single" w:sz="4" w:space="0" w:color="auto"/>
              <w:left w:val="nil"/>
              <w:bottom w:val="single" w:sz="8" w:space="0" w:color="auto"/>
              <w:right w:val="nil"/>
            </w:tcBorders>
            <w:shd w:val="clear" w:color="auto" w:fill="auto"/>
            <w:noWrap/>
            <w:tcMar>
              <w:top w:w="15" w:type="dxa"/>
              <w:left w:w="57" w:type="dxa"/>
              <w:bottom w:w="0" w:type="dxa"/>
              <w:right w:w="57" w:type="dxa"/>
            </w:tcMar>
            <w:hideMark/>
          </w:tcPr>
          <w:p w:rsidR="006E09C0" w:rsidRPr="00B07B55" w:rsidRDefault="006E09C0" w:rsidP="006E09C0">
            <w:pPr>
              <w:pStyle w:val="Tablehead1"/>
              <w:jc w:val="center"/>
              <w:rPr>
                <w:bCs/>
                <w:lang w:val="en-GB"/>
              </w:rPr>
            </w:pPr>
            <w:r>
              <w:rPr>
                <w:bCs/>
                <w:lang w:val="en-GB"/>
              </w:rPr>
              <w:t>45–</w:t>
            </w:r>
            <w:r w:rsidRPr="00B07B55">
              <w:rPr>
                <w:bCs/>
                <w:lang w:val="en-GB"/>
              </w:rPr>
              <w:t>54</w:t>
            </w:r>
          </w:p>
        </w:tc>
        <w:tc>
          <w:tcPr>
            <w:tcW w:w="1064" w:type="dxa"/>
            <w:tcBorders>
              <w:top w:val="single" w:sz="4" w:space="0" w:color="auto"/>
              <w:left w:val="nil"/>
              <w:bottom w:val="single" w:sz="8" w:space="0" w:color="auto"/>
              <w:right w:val="nil"/>
            </w:tcBorders>
            <w:shd w:val="clear" w:color="auto" w:fill="auto"/>
            <w:noWrap/>
            <w:tcMar>
              <w:top w:w="15" w:type="dxa"/>
              <w:left w:w="57" w:type="dxa"/>
              <w:bottom w:w="0" w:type="dxa"/>
              <w:right w:w="57" w:type="dxa"/>
            </w:tcMar>
            <w:hideMark/>
          </w:tcPr>
          <w:p w:rsidR="006E09C0" w:rsidRPr="00B07B55" w:rsidRDefault="006E09C0" w:rsidP="006E09C0">
            <w:pPr>
              <w:pStyle w:val="Tablehead1"/>
              <w:jc w:val="center"/>
              <w:rPr>
                <w:bCs/>
                <w:lang w:val="en-GB"/>
              </w:rPr>
            </w:pPr>
            <w:r>
              <w:rPr>
                <w:bCs/>
                <w:lang w:val="en-GB"/>
              </w:rPr>
              <w:t>55–</w:t>
            </w:r>
            <w:r w:rsidRPr="00B07B55">
              <w:rPr>
                <w:bCs/>
                <w:lang w:val="en-GB"/>
              </w:rPr>
              <w:t>64</w:t>
            </w:r>
          </w:p>
        </w:tc>
      </w:tr>
      <w:tr w:rsidR="006E09C0" w:rsidRPr="00B07B55" w:rsidTr="006E09C0">
        <w:tc>
          <w:tcPr>
            <w:tcW w:w="4536" w:type="dxa"/>
            <w:tcBorders>
              <w:top w:val="nil"/>
              <w:left w:val="nil"/>
              <w:bottom w:val="nil"/>
              <w:right w:val="nil"/>
            </w:tcBorders>
            <w:shd w:val="clear" w:color="auto" w:fill="auto"/>
            <w:noWrap/>
            <w:tcMar>
              <w:top w:w="0" w:type="dxa"/>
              <w:left w:w="57" w:type="dxa"/>
              <w:bottom w:w="0" w:type="dxa"/>
              <w:right w:w="57" w:type="dxa"/>
            </w:tcMar>
            <w:hideMark/>
          </w:tcPr>
          <w:p w:rsidR="006E09C0" w:rsidRPr="006E09C0" w:rsidRDefault="006E09C0" w:rsidP="006E09C0">
            <w:pPr>
              <w:pStyle w:val="Tabletext"/>
              <w:spacing w:before="120"/>
              <w:rPr>
                <w:rFonts w:ascii="Calibri" w:hAnsi="Calibri" w:cs="Calibri"/>
                <w:b/>
                <w:sz w:val="22"/>
                <w:szCs w:val="22"/>
                <w:lang w:val="en-GB"/>
              </w:rPr>
            </w:pPr>
            <w:r w:rsidRPr="006E09C0">
              <w:rPr>
                <w:b/>
                <w:lang w:val="en-GB"/>
              </w:rPr>
              <w:t>Males</w:t>
            </w:r>
          </w:p>
        </w:tc>
        <w:tc>
          <w:tcPr>
            <w:tcW w:w="1063" w:type="dxa"/>
            <w:tcBorders>
              <w:top w:val="nil"/>
              <w:left w:val="nil"/>
              <w:bottom w:val="nil"/>
              <w:right w:val="nil"/>
            </w:tcBorders>
            <w:shd w:val="clear" w:color="auto" w:fill="auto"/>
            <w:noWrap/>
            <w:tcMar>
              <w:top w:w="0" w:type="dxa"/>
              <w:left w:w="57" w:type="dxa"/>
              <w:bottom w:w="0" w:type="dxa"/>
              <w:right w:w="57" w:type="dxa"/>
            </w:tcMar>
            <w:hideMark/>
          </w:tcPr>
          <w:p w:rsidR="006E09C0" w:rsidRPr="006E09C0" w:rsidRDefault="006E09C0" w:rsidP="006E09C0">
            <w:pPr>
              <w:pStyle w:val="Tabletext"/>
              <w:spacing w:before="120"/>
            </w:pPr>
          </w:p>
        </w:tc>
        <w:tc>
          <w:tcPr>
            <w:tcW w:w="1063" w:type="dxa"/>
            <w:tcBorders>
              <w:top w:val="nil"/>
              <w:left w:val="nil"/>
              <w:bottom w:val="nil"/>
              <w:right w:val="nil"/>
            </w:tcBorders>
            <w:shd w:val="clear" w:color="auto" w:fill="auto"/>
            <w:noWrap/>
            <w:tcMar>
              <w:top w:w="0" w:type="dxa"/>
              <w:left w:w="57" w:type="dxa"/>
              <w:bottom w:w="0" w:type="dxa"/>
              <w:right w:w="57" w:type="dxa"/>
            </w:tcMar>
            <w:hideMark/>
          </w:tcPr>
          <w:p w:rsidR="006E09C0" w:rsidRPr="006E09C0" w:rsidRDefault="006E09C0" w:rsidP="006E09C0">
            <w:pPr>
              <w:pStyle w:val="Tabletext"/>
              <w:spacing w:before="120"/>
            </w:pPr>
          </w:p>
        </w:tc>
        <w:tc>
          <w:tcPr>
            <w:tcW w:w="1063" w:type="dxa"/>
            <w:tcBorders>
              <w:top w:val="nil"/>
              <w:left w:val="nil"/>
              <w:bottom w:val="nil"/>
              <w:right w:val="nil"/>
            </w:tcBorders>
            <w:shd w:val="clear" w:color="auto" w:fill="auto"/>
            <w:noWrap/>
            <w:tcMar>
              <w:top w:w="0" w:type="dxa"/>
              <w:left w:w="57" w:type="dxa"/>
              <w:bottom w:w="0" w:type="dxa"/>
              <w:right w:w="57" w:type="dxa"/>
            </w:tcMar>
            <w:hideMark/>
          </w:tcPr>
          <w:p w:rsidR="006E09C0" w:rsidRPr="006E09C0" w:rsidRDefault="006E09C0" w:rsidP="006E09C0">
            <w:pPr>
              <w:pStyle w:val="Tabletext"/>
              <w:spacing w:before="120"/>
            </w:pPr>
          </w:p>
        </w:tc>
        <w:tc>
          <w:tcPr>
            <w:tcW w:w="1064" w:type="dxa"/>
            <w:tcBorders>
              <w:top w:val="nil"/>
              <w:left w:val="nil"/>
              <w:bottom w:val="nil"/>
              <w:right w:val="nil"/>
            </w:tcBorders>
            <w:shd w:val="clear" w:color="auto" w:fill="auto"/>
            <w:noWrap/>
            <w:tcMar>
              <w:top w:w="0" w:type="dxa"/>
              <w:left w:w="57" w:type="dxa"/>
              <w:bottom w:w="0" w:type="dxa"/>
              <w:right w:w="57" w:type="dxa"/>
            </w:tcMar>
            <w:hideMark/>
          </w:tcPr>
          <w:p w:rsidR="006E09C0" w:rsidRPr="006E09C0" w:rsidRDefault="006E09C0" w:rsidP="006E09C0">
            <w:pPr>
              <w:pStyle w:val="Tabletext"/>
              <w:spacing w:before="120"/>
            </w:pPr>
          </w:p>
        </w:tc>
      </w:tr>
      <w:tr w:rsidR="0008221E" w:rsidRPr="00B07B55" w:rsidTr="000371F7">
        <w:tc>
          <w:tcPr>
            <w:tcW w:w="4536" w:type="dxa"/>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rPr>
                <w:lang w:val="en-GB"/>
              </w:rPr>
            </w:pPr>
            <w:r w:rsidRPr="00B07B55">
              <w:rPr>
                <w:lang w:val="en-GB"/>
              </w:rPr>
              <w:t>Any non-school study</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54"/>
              </w:tabs>
              <w:rPr>
                <w:lang w:val="en-GB"/>
              </w:rPr>
            </w:pPr>
            <w:r w:rsidRPr="00B07B55">
              <w:rPr>
                <w:lang w:val="en-GB"/>
              </w:rPr>
              <w:t>12.50</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6.27</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5.21</w:t>
            </w: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1.79</w:t>
            </w:r>
          </w:p>
        </w:tc>
      </w:tr>
      <w:tr w:rsidR="0008221E" w:rsidRPr="00B07B55" w:rsidTr="000371F7">
        <w:tc>
          <w:tcPr>
            <w:tcW w:w="4536" w:type="dxa"/>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rPr>
                <w:bCs/>
                <w:lang w:val="en-GB"/>
              </w:rPr>
            </w:pPr>
            <w:r w:rsidRPr="00B07B55">
              <w:rPr>
                <w:bCs/>
                <w:lang w:val="en-GB"/>
              </w:rPr>
              <w:t>Level</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54"/>
              </w:tabs>
              <w:rPr>
                <w:lang w:val="en-GB"/>
              </w:rPr>
            </w:pP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p>
        </w:tc>
      </w:tr>
      <w:tr w:rsidR="0008221E" w:rsidRPr="00B07B55" w:rsidTr="000371F7">
        <w:tc>
          <w:tcPr>
            <w:tcW w:w="4536" w:type="dxa"/>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D0611F" w:rsidP="006E09C0">
            <w:pPr>
              <w:pStyle w:val="Tabletext"/>
              <w:ind w:left="227"/>
              <w:rPr>
                <w:lang w:val="en-GB"/>
              </w:rPr>
            </w:pPr>
            <w:r>
              <w:rPr>
                <w:lang w:val="en-GB"/>
              </w:rPr>
              <w:t>Graduate and post</w:t>
            </w:r>
            <w:r w:rsidR="0008221E" w:rsidRPr="00B07B55">
              <w:rPr>
                <w:lang w:val="en-GB"/>
              </w:rPr>
              <w:t>graduate</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54"/>
              </w:tabs>
              <w:rPr>
                <w:lang w:val="en-GB"/>
              </w:rPr>
            </w:pPr>
            <w:r w:rsidRPr="00B07B55">
              <w:rPr>
                <w:lang w:val="en-GB"/>
              </w:rPr>
              <w:t>3.99</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1.73</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1.21</w:t>
            </w: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0.51</w:t>
            </w:r>
          </w:p>
        </w:tc>
      </w:tr>
      <w:tr w:rsidR="0008221E" w:rsidRPr="00B07B55" w:rsidTr="000371F7">
        <w:tc>
          <w:tcPr>
            <w:tcW w:w="4536" w:type="dxa"/>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6E09C0">
            <w:pPr>
              <w:pStyle w:val="Tabletext"/>
              <w:ind w:left="227"/>
              <w:rPr>
                <w:lang w:val="en-GB"/>
              </w:rPr>
            </w:pPr>
            <w:r w:rsidRPr="00B07B55">
              <w:rPr>
                <w:lang w:val="en-GB"/>
              </w:rPr>
              <w:t>Bachelor degree</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54"/>
              </w:tabs>
              <w:rPr>
                <w:lang w:val="en-GB"/>
              </w:rPr>
            </w:pPr>
            <w:r w:rsidRPr="00B07B55">
              <w:rPr>
                <w:lang w:val="en-GB"/>
              </w:rPr>
              <w:t>3.11</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1.23</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1.23</w:t>
            </w: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0.08</w:t>
            </w:r>
          </w:p>
        </w:tc>
      </w:tr>
      <w:tr w:rsidR="0008221E" w:rsidRPr="00B07B55" w:rsidTr="000371F7">
        <w:tc>
          <w:tcPr>
            <w:tcW w:w="4536" w:type="dxa"/>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6E09C0">
            <w:pPr>
              <w:pStyle w:val="Tabletext"/>
              <w:ind w:left="227"/>
              <w:rPr>
                <w:lang w:val="en-GB"/>
              </w:rPr>
            </w:pPr>
            <w:r w:rsidRPr="00B07B55">
              <w:rPr>
                <w:lang w:val="en-GB"/>
              </w:rPr>
              <w:t>Diploma, associate degree</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54"/>
              </w:tabs>
              <w:rPr>
                <w:lang w:val="en-GB"/>
              </w:rPr>
            </w:pPr>
            <w:r w:rsidRPr="00B07B55">
              <w:rPr>
                <w:lang w:val="en-GB"/>
              </w:rPr>
              <w:t>2.08</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1.32</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0.46</w:t>
            </w: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0.10</w:t>
            </w:r>
          </w:p>
        </w:tc>
      </w:tr>
      <w:tr w:rsidR="0008221E" w:rsidRPr="00B07B55" w:rsidTr="000371F7">
        <w:tc>
          <w:tcPr>
            <w:tcW w:w="4536" w:type="dxa"/>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6E09C0">
            <w:pPr>
              <w:pStyle w:val="Tabletext"/>
              <w:ind w:left="227"/>
              <w:rPr>
                <w:lang w:val="en-GB"/>
              </w:rPr>
            </w:pPr>
            <w:r w:rsidRPr="00B07B55">
              <w:rPr>
                <w:lang w:val="en-GB"/>
              </w:rPr>
              <w:t>Certificate III/IV</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54"/>
              </w:tabs>
              <w:rPr>
                <w:lang w:val="en-GB"/>
              </w:rPr>
            </w:pPr>
            <w:r w:rsidRPr="00B07B55">
              <w:rPr>
                <w:lang w:val="en-GB"/>
              </w:rPr>
              <w:t>2.63</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1.38</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1.80</w:t>
            </w: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0.47</w:t>
            </w:r>
          </w:p>
        </w:tc>
      </w:tr>
      <w:tr w:rsidR="0008221E" w:rsidRPr="00B07B55" w:rsidTr="000371F7">
        <w:tc>
          <w:tcPr>
            <w:tcW w:w="4536" w:type="dxa"/>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6E09C0">
            <w:pPr>
              <w:pStyle w:val="Tabletext"/>
              <w:ind w:left="227"/>
              <w:rPr>
                <w:lang w:val="en-GB"/>
              </w:rPr>
            </w:pPr>
            <w:r w:rsidRPr="00B07B55">
              <w:rPr>
                <w:lang w:val="en-GB"/>
              </w:rPr>
              <w:t>Certificate I/II</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54"/>
              </w:tabs>
              <w:rPr>
                <w:lang w:val="en-GB"/>
              </w:rPr>
            </w:pPr>
            <w:r w:rsidRPr="00B07B55">
              <w:rPr>
                <w:lang w:val="en-GB"/>
              </w:rPr>
              <w:t>0.61</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0.69</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0.24</w:t>
            </w: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0.62</w:t>
            </w:r>
          </w:p>
        </w:tc>
      </w:tr>
      <w:tr w:rsidR="0008221E" w:rsidRPr="00B07B55" w:rsidTr="000371F7">
        <w:tc>
          <w:tcPr>
            <w:tcW w:w="4536" w:type="dxa"/>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6E09C0">
            <w:pPr>
              <w:pStyle w:val="Tabletext"/>
              <w:ind w:left="227"/>
              <w:rPr>
                <w:lang w:val="en-GB"/>
              </w:rPr>
            </w:pPr>
            <w:r w:rsidRPr="00B07B55">
              <w:rPr>
                <w:lang w:val="en-GB"/>
              </w:rPr>
              <w:t>Other or unknown level</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54"/>
              </w:tabs>
              <w:rPr>
                <w:lang w:val="en-GB"/>
              </w:rPr>
            </w:pPr>
            <w:r w:rsidRPr="00B07B55">
              <w:rPr>
                <w:lang w:val="en-GB"/>
              </w:rPr>
              <w:t>0.20</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0.08</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0.26</w:t>
            </w: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0.00</w:t>
            </w:r>
          </w:p>
        </w:tc>
      </w:tr>
      <w:tr w:rsidR="0008221E" w:rsidRPr="00B07B55" w:rsidTr="000371F7">
        <w:tc>
          <w:tcPr>
            <w:tcW w:w="4536"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0371F7">
            <w:pPr>
              <w:pStyle w:val="Tabletext"/>
              <w:rPr>
                <w:lang w:val="en-GB"/>
              </w:rPr>
            </w:pPr>
            <w:r w:rsidRPr="00B07B55">
              <w:rPr>
                <w:lang w:val="en-GB"/>
              </w:rPr>
              <w:t>Proportion full-time study</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54"/>
              </w:tabs>
              <w:rPr>
                <w:lang w:val="en-GB"/>
              </w:rPr>
            </w:pPr>
            <w:r w:rsidRPr="00B07B55">
              <w:rPr>
                <w:lang w:val="en-GB"/>
              </w:rPr>
              <w:t>0.27</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0.20</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0.13</w:t>
            </w: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0.00</w:t>
            </w:r>
          </w:p>
        </w:tc>
      </w:tr>
      <w:tr w:rsidR="0008221E" w:rsidRPr="00874A6C" w:rsidTr="000371F7">
        <w:tc>
          <w:tcPr>
            <w:tcW w:w="4536" w:type="dxa"/>
            <w:tcBorders>
              <w:top w:val="nil"/>
              <w:left w:val="nil"/>
              <w:bottom w:val="nil"/>
              <w:right w:val="nil"/>
            </w:tcBorders>
            <w:shd w:val="clear" w:color="auto" w:fill="auto"/>
            <w:noWrap/>
            <w:tcMar>
              <w:top w:w="15" w:type="dxa"/>
              <w:left w:w="57" w:type="dxa"/>
              <w:bottom w:w="0" w:type="dxa"/>
              <w:right w:w="57" w:type="dxa"/>
            </w:tcMar>
            <w:hideMark/>
          </w:tcPr>
          <w:p w:rsidR="0008221E" w:rsidRPr="00874A6C" w:rsidRDefault="004A14A5" w:rsidP="000371F7">
            <w:pPr>
              <w:pStyle w:val="Tabletext"/>
              <w:rPr>
                <w:i/>
                <w:lang w:val="en-GB"/>
              </w:rPr>
            </w:pPr>
            <w:r w:rsidRPr="00874A6C">
              <w:rPr>
                <w:i/>
                <w:lang w:val="en-GB"/>
              </w:rPr>
              <w:t>Observations</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874A6C" w:rsidRDefault="0008221E" w:rsidP="006E09C0">
            <w:pPr>
              <w:pStyle w:val="Tabletext"/>
              <w:jc w:val="center"/>
              <w:rPr>
                <w:i/>
                <w:lang w:val="en-GB"/>
              </w:rPr>
            </w:pPr>
            <w:r w:rsidRPr="00874A6C">
              <w:rPr>
                <w:i/>
                <w:lang w:val="en-GB"/>
              </w:rPr>
              <w:t>1008</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874A6C" w:rsidRDefault="0008221E" w:rsidP="006E09C0">
            <w:pPr>
              <w:pStyle w:val="Tabletext"/>
              <w:jc w:val="center"/>
              <w:rPr>
                <w:i/>
                <w:lang w:val="en-GB"/>
              </w:rPr>
            </w:pPr>
            <w:r w:rsidRPr="00874A6C">
              <w:rPr>
                <w:i/>
                <w:lang w:val="en-GB"/>
              </w:rPr>
              <w:t>1097</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874A6C" w:rsidRDefault="0008221E" w:rsidP="006E09C0">
            <w:pPr>
              <w:pStyle w:val="Tabletext"/>
              <w:jc w:val="center"/>
              <w:rPr>
                <w:i/>
                <w:lang w:val="en-GB"/>
              </w:rPr>
            </w:pPr>
            <w:r w:rsidRPr="00874A6C">
              <w:rPr>
                <w:i/>
                <w:lang w:val="en-GB"/>
              </w:rPr>
              <w:t>1109</w:t>
            </w: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08221E" w:rsidRPr="00874A6C" w:rsidRDefault="0008221E" w:rsidP="006E09C0">
            <w:pPr>
              <w:pStyle w:val="Tabletext"/>
              <w:ind w:left="57"/>
              <w:jc w:val="center"/>
              <w:rPr>
                <w:i/>
                <w:lang w:val="en-GB"/>
              </w:rPr>
            </w:pPr>
            <w:r w:rsidRPr="00874A6C">
              <w:rPr>
                <w:i/>
                <w:lang w:val="en-GB"/>
              </w:rPr>
              <w:t>862</w:t>
            </w:r>
          </w:p>
        </w:tc>
      </w:tr>
      <w:tr w:rsidR="006E09C0" w:rsidRPr="00B07B55" w:rsidTr="006E09C0">
        <w:tc>
          <w:tcPr>
            <w:tcW w:w="4536" w:type="dxa"/>
            <w:tcBorders>
              <w:top w:val="nil"/>
              <w:left w:val="nil"/>
              <w:bottom w:val="nil"/>
              <w:right w:val="nil"/>
            </w:tcBorders>
            <w:shd w:val="clear" w:color="auto" w:fill="auto"/>
            <w:noWrap/>
            <w:tcMar>
              <w:top w:w="15" w:type="dxa"/>
              <w:left w:w="57" w:type="dxa"/>
              <w:bottom w:w="0" w:type="dxa"/>
              <w:right w:w="57" w:type="dxa"/>
            </w:tcMar>
            <w:hideMark/>
          </w:tcPr>
          <w:p w:rsidR="006E09C0" w:rsidRPr="006E09C0" w:rsidRDefault="006E09C0" w:rsidP="006E09C0">
            <w:pPr>
              <w:pStyle w:val="Tabletext"/>
              <w:spacing w:before="120"/>
              <w:rPr>
                <w:b/>
                <w:lang w:val="en-GB"/>
              </w:rPr>
            </w:pPr>
            <w:r w:rsidRPr="006E09C0">
              <w:rPr>
                <w:b/>
                <w:lang w:val="en-GB"/>
              </w:rPr>
              <w:t>Females</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6E09C0" w:rsidRPr="00B07B55" w:rsidRDefault="006E09C0" w:rsidP="006E09C0">
            <w:pPr>
              <w:pStyle w:val="Tabletext"/>
              <w:spacing w:before="120"/>
              <w:rPr>
                <w:lang w:val="en-GB"/>
              </w:rPr>
            </w:pP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6E09C0" w:rsidRPr="00B07B55" w:rsidRDefault="006E09C0" w:rsidP="006E09C0">
            <w:pPr>
              <w:pStyle w:val="Tabletext"/>
              <w:spacing w:before="120"/>
              <w:rPr>
                <w:lang w:val="en-GB"/>
              </w:rPr>
            </w:pP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6E09C0" w:rsidRPr="00B07B55" w:rsidRDefault="006E09C0" w:rsidP="006E09C0">
            <w:pPr>
              <w:pStyle w:val="Tabletext"/>
              <w:spacing w:before="120"/>
              <w:rPr>
                <w:lang w:val="en-GB"/>
              </w:rPr>
            </w:pP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6E09C0" w:rsidRPr="00B07B55" w:rsidRDefault="006E09C0" w:rsidP="006E09C0">
            <w:pPr>
              <w:pStyle w:val="Tabletext"/>
              <w:spacing w:before="120"/>
              <w:rPr>
                <w:lang w:val="en-GB"/>
              </w:rPr>
            </w:pPr>
          </w:p>
        </w:tc>
      </w:tr>
      <w:tr w:rsidR="0008221E" w:rsidRPr="00B07B55" w:rsidTr="000371F7">
        <w:tc>
          <w:tcPr>
            <w:tcW w:w="4536" w:type="dxa"/>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rPr>
                <w:lang w:val="en-GB"/>
              </w:rPr>
            </w:pPr>
            <w:r w:rsidRPr="00B07B55">
              <w:rPr>
                <w:lang w:val="en-GB"/>
              </w:rPr>
              <w:t>Any non-school study</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54"/>
              </w:tabs>
              <w:rPr>
                <w:lang w:val="en-GB"/>
              </w:rPr>
            </w:pPr>
            <w:r w:rsidRPr="00B07B55">
              <w:rPr>
                <w:lang w:val="en-GB"/>
              </w:rPr>
              <w:t>16.41</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10.67</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6.59</w:t>
            </w: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2.89</w:t>
            </w:r>
          </w:p>
        </w:tc>
      </w:tr>
      <w:tr w:rsidR="0008221E" w:rsidRPr="00B07B55" w:rsidTr="000371F7">
        <w:tc>
          <w:tcPr>
            <w:tcW w:w="4536" w:type="dxa"/>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0371F7">
            <w:pPr>
              <w:pStyle w:val="Tabletext"/>
              <w:rPr>
                <w:bCs/>
                <w:lang w:val="en-GB"/>
              </w:rPr>
            </w:pPr>
            <w:r w:rsidRPr="00B07B55">
              <w:rPr>
                <w:bCs/>
                <w:lang w:val="en-GB"/>
              </w:rPr>
              <w:t>Level</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54"/>
              </w:tabs>
              <w:rPr>
                <w:lang w:val="en-GB"/>
              </w:rPr>
            </w:pP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p>
        </w:tc>
      </w:tr>
      <w:tr w:rsidR="0008221E" w:rsidRPr="00B07B55" w:rsidTr="000371F7">
        <w:tc>
          <w:tcPr>
            <w:tcW w:w="4536" w:type="dxa"/>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D0611F" w:rsidP="006E09C0">
            <w:pPr>
              <w:pStyle w:val="Tabletext"/>
              <w:ind w:left="227"/>
              <w:rPr>
                <w:lang w:val="en-GB"/>
              </w:rPr>
            </w:pPr>
            <w:r>
              <w:rPr>
                <w:lang w:val="en-GB"/>
              </w:rPr>
              <w:t>Graduate and post</w:t>
            </w:r>
            <w:r w:rsidR="0008221E" w:rsidRPr="00B07B55">
              <w:rPr>
                <w:lang w:val="en-GB"/>
              </w:rPr>
              <w:t>graduate</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54"/>
              </w:tabs>
              <w:rPr>
                <w:lang w:val="en-GB"/>
              </w:rPr>
            </w:pPr>
            <w:r w:rsidRPr="00B07B55">
              <w:rPr>
                <w:lang w:val="en-GB"/>
              </w:rPr>
              <w:t>4.87</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2.21</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1.84</w:t>
            </w: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0.36</w:t>
            </w:r>
          </w:p>
        </w:tc>
      </w:tr>
      <w:tr w:rsidR="0008221E" w:rsidRPr="00B07B55" w:rsidTr="000371F7">
        <w:tc>
          <w:tcPr>
            <w:tcW w:w="4536" w:type="dxa"/>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6E09C0">
            <w:pPr>
              <w:pStyle w:val="Tabletext"/>
              <w:ind w:left="227"/>
              <w:rPr>
                <w:lang w:val="en-GB"/>
              </w:rPr>
            </w:pPr>
            <w:r w:rsidRPr="00B07B55">
              <w:rPr>
                <w:lang w:val="en-GB"/>
              </w:rPr>
              <w:t>Bachelor degree</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54"/>
              </w:tabs>
              <w:rPr>
                <w:lang w:val="en-GB"/>
              </w:rPr>
            </w:pPr>
            <w:r w:rsidRPr="00B07B55">
              <w:rPr>
                <w:lang w:val="en-GB"/>
              </w:rPr>
              <w:t>4.13</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2.11</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1.15</w:t>
            </w: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0.45</w:t>
            </w:r>
          </w:p>
        </w:tc>
      </w:tr>
      <w:tr w:rsidR="0008221E" w:rsidRPr="00B07B55" w:rsidTr="000371F7">
        <w:tc>
          <w:tcPr>
            <w:tcW w:w="4536" w:type="dxa"/>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6E09C0">
            <w:pPr>
              <w:pStyle w:val="Tabletext"/>
              <w:ind w:left="227"/>
              <w:rPr>
                <w:lang w:val="en-GB"/>
              </w:rPr>
            </w:pPr>
            <w:r w:rsidRPr="00B07B55">
              <w:rPr>
                <w:lang w:val="en-GB"/>
              </w:rPr>
              <w:t>Diploma, associate degree</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54"/>
              </w:tabs>
              <w:rPr>
                <w:lang w:val="en-GB"/>
              </w:rPr>
            </w:pPr>
            <w:r w:rsidRPr="00B07B55">
              <w:rPr>
                <w:lang w:val="en-GB"/>
              </w:rPr>
              <w:t>2.67</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1.13</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0.54</w:t>
            </w: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0.49</w:t>
            </w:r>
          </w:p>
        </w:tc>
      </w:tr>
      <w:tr w:rsidR="0008221E" w:rsidRPr="00B07B55" w:rsidTr="000371F7">
        <w:tc>
          <w:tcPr>
            <w:tcW w:w="4536" w:type="dxa"/>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6E09C0">
            <w:pPr>
              <w:pStyle w:val="Tabletext"/>
              <w:ind w:left="227"/>
              <w:rPr>
                <w:lang w:val="en-GB"/>
              </w:rPr>
            </w:pPr>
            <w:r w:rsidRPr="00B07B55">
              <w:rPr>
                <w:lang w:val="en-GB"/>
              </w:rPr>
              <w:t>Certificate III/IV</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54"/>
              </w:tabs>
              <w:rPr>
                <w:lang w:val="en-GB"/>
              </w:rPr>
            </w:pPr>
            <w:r w:rsidRPr="00B07B55">
              <w:rPr>
                <w:lang w:val="en-GB"/>
              </w:rPr>
              <w:t>3.32</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4.65</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2.32</w:t>
            </w: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1.08</w:t>
            </w:r>
          </w:p>
        </w:tc>
      </w:tr>
      <w:tr w:rsidR="0008221E" w:rsidRPr="00B07B55" w:rsidTr="000371F7">
        <w:tc>
          <w:tcPr>
            <w:tcW w:w="4536" w:type="dxa"/>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6E09C0">
            <w:pPr>
              <w:pStyle w:val="Tabletext"/>
              <w:ind w:left="227"/>
              <w:rPr>
                <w:lang w:val="en-GB"/>
              </w:rPr>
            </w:pPr>
            <w:r w:rsidRPr="00B07B55">
              <w:rPr>
                <w:lang w:val="en-GB"/>
              </w:rPr>
              <w:t>Certificate I/II</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54"/>
              </w:tabs>
              <w:rPr>
                <w:lang w:val="en-GB"/>
              </w:rPr>
            </w:pPr>
            <w:r w:rsidRPr="00B07B55">
              <w:rPr>
                <w:lang w:val="en-GB"/>
              </w:rPr>
              <w:t>1.42</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0.47</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0.86</w:t>
            </w: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0.52</w:t>
            </w:r>
          </w:p>
        </w:tc>
      </w:tr>
      <w:tr w:rsidR="0008221E" w:rsidRPr="00B07B55" w:rsidTr="000371F7">
        <w:tc>
          <w:tcPr>
            <w:tcW w:w="4536" w:type="dxa"/>
            <w:tcBorders>
              <w:top w:val="nil"/>
              <w:left w:val="nil"/>
              <w:bottom w:val="nil"/>
              <w:right w:val="nil"/>
            </w:tcBorders>
            <w:shd w:val="clear" w:color="auto" w:fill="auto"/>
            <w:noWrap/>
            <w:tcMar>
              <w:top w:w="0" w:type="dxa"/>
              <w:left w:w="57" w:type="dxa"/>
              <w:bottom w:w="0" w:type="dxa"/>
              <w:right w:w="57" w:type="dxa"/>
            </w:tcMar>
            <w:hideMark/>
          </w:tcPr>
          <w:p w:rsidR="0008221E" w:rsidRPr="00B07B55" w:rsidRDefault="0008221E" w:rsidP="006E09C0">
            <w:pPr>
              <w:pStyle w:val="Tabletext"/>
              <w:ind w:left="227"/>
              <w:rPr>
                <w:lang w:val="en-GB"/>
              </w:rPr>
            </w:pPr>
            <w:r w:rsidRPr="00B07B55">
              <w:rPr>
                <w:lang w:val="en-GB"/>
              </w:rPr>
              <w:t>Other or unknown level</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54"/>
              </w:tabs>
              <w:rPr>
                <w:lang w:val="en-GB"/>
              </w:rPr>
            </w:pPr>
            <w:r w:rsidRPr="00B07B55">
              <w:rPr>
                <w:lang w:val="en-GB"/>
              </w:rPr>
              <w:t>0.00</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0.21</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0.03</w:t>
            </w: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0.00</w:t>
            </w:r>
          </w:p>
        </w:tc>
      </w:tr>
      <w:tr w:rsidR="0008221E" w:rsidRPr="00B07B55" w:rsidTr="000371F7">
        <w:tc>
          <w:tcPr>
            <w:tcW w:w="4536"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0371F7">
            <w:pPr>
              <w:pStyle w:val="Tabletext"/>
              <w:rPr>
                <w:lang w:val="en-GB"/>
              </w:rPr>
            </w:pPr>
            <w:r w:rsidRPr="00B07B55">
              <w:rPr>
                <w:lang w:val="en-GB"/>
              </w:rPr>
              <w:t>Proportion full-time study</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713FC5">
            <w:pPr>
              <w:pStyle w:val="Tabletext"/>
              <w:tabs>
                <w:tab w:val="decimal" w:pos="454"/>
              </w:tabs>
              <w:rPr>
                <w:lang w:val="en-GB"/>
              </w:rPr>
            </w:pPr>
            <w:r w:rsidRPr="00B07B55">
              <w:rPr>
                <w:lang w:val="en-GB"/>
              </w:rPr>
              <w:t>0.27</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0.12</w:t>
            </w:r>
          </w:p>
        </w:tc>
        <w:tc>
          <w:tcPr>
            <w:tcW w:w="1063"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0.15</w:t>
            </w:r>
          </w:p>
        </w:tc>
        <w:tc>
          <w:tcPr>
            <w:tcW w:w="1064" w:type="dxa"/>
            <w:tcBorders>
              <w:top w:val="nil"/>
              <w:left w:val="nil"/>
              <w:bottom w:val="nil"/>
              <w:right w:val="nil"/>
            </w:tcBorders>
            <w:shd w:val="clear" w:color="auto" w:fill="auto"/>
            <w:noWrap/>
            <w:tcMar>
              <w:top w:w="15" w:type="dxa"/>
              <w:left w:w="57" w:type="dxa"/>
              <w:bottom w:w="0" w:type="dxa"/>
              <w:right w:w="57" w:type="dxa"/>
            </w:tcMar>
            <w:hideMark/>
          </w:tcPr>
          <w:p w:rsidR="0008221E" w:rsidRPr="00B07B55" w:rsidRDefault="0008221E" w:rsidP="006E09C0">
            <w:pPr>
              <w:pStyle w:val="Tabletext"/>
              <w:tabs>
                <w:tab w:val="decimal" w:pos="425"/>
              </w:tabs>
              <w:rPr>
                <w:lang w:val="en-GB"/>
              </w:rPr>
            </w:pPr>
            <w:r w:rsidRPr="00B07B55">
              <w:rPr>
                <w:lang w:val="en-GB"/>
              </w:rPr>
              <w:t>0.01</w:t>
            </w:r>
          </w:p>
        </w:tc>
      </w:tr>
      <w:tr w:rsidR="0008221E" w:rsidRPr="00874A6C" w:rsidTr="000371F7">
        <w:tc>
          <w:tcPr>
            <w:tcW w:w="4536" w:type="dxa"/>
            <w:tcBorders>
              <w:top w:val="nil"/>
              <w:left w:val="nil"/>
              <w:bottom w:val="single" w:sz="8" w:space="0" w:color="auto"/>
              <w:right w:val="nil"/>
            </w:tcBorders>
            <w:shd w:val="clear" w:color="auto" w:fill="auto"/>
            <w:noWrap/>
            <w:tcMar>
              <w:top w:w="15" w:type="dxa"/>
              <w:left w:w="57" w:type="dxa"/>
              <w:bottom w:w="0" w:type="dxa"/>
              <w:right w:w="57" w:type="dxa"/>
            </w:tcMar>
            <w:hideMark/>
          </w:tcPr>
          <w:p w:rsidR="0008221E" w:rsidRPr="00874A6C" w:rsidRDefault="004A14A5" w:rsidP="000371F7">
            <w:pPr>
              <w:pStyle w:val="Tabletext"/>
              <w:rPr>
                <w:i/>
                <w:lang w:val="en-GB"/>
              </w:rPr>
            </w:pPr>
            <w:r w:rsidRPr="00874A6C">
              <w:rPr>
                <w:i/>
                <w:lang w:val="en-GB"/>
              </w:rPr>
              <w:t>Observations</w:t>
            </w:r>
          </w:p>
        </w:tc>
        <w:tc>
          <w:tcPr>
            <w:tcW w:w="1063" w:type="dxa"/>
            <w:tcBorders>
              <w:top w:val="nil"/>
              <w:left w:val="nil"/>
              <w:bottom w:val="single" w:sz="8" w:space="0" w:color="auto"/>
              <w:right w:val="nil"/>
            </w:tcBorders>
            <w:shd w:val="clear" w:color="auto" w:fill="auto"/>
            <w:noWrap/>
            <w:tcMar>
              <w:top w:w="15" w:type="dxa"/>
              <w:left w:w="57" w:type="dxa"/>
              <w:bottom w:w="0" w:type="dxa"/>
              <w:right w:w="57" w:type="dxa"/>
            </w:tcMar>
            <w:hideMark/>
          </w:tcPr>
          <w:p w:rsidR="0008221E" w:rsidRPr="00874A6C" w:rsidRDefault="0008221E" w:rsidP="006E09C0">
            <w:pPr>
              <w:pStyle w:val="Tabletext"/>
              <w:jc w:val="center"/>
              <w:rPr>
                <w:i/>
                <w:lang w:val="en-GB"/>
              </w:rPr>
            </w:pPr>
            <w:r w:rsidRPr="00874A6C">
              <w:rPr>
                <w:i/>
                <w:lang w:val="en-GB"/>
              </w:rPr>
              <w:t>1083</w:t>
            </w:r>
          </w:p>
        </w:tc>
        <w:tc>
          <w:tcPr>
            <w:tcW w:w="1063" w:type="dxa"/>
            <w:tcBorders>
              <w:top w:val="nil"/>
              <w:left w:val="nil"/>
              <w:bottom w:val="single" w:sz="8" w:space="0" w:color="auto"/>
              <w:right w:val="nil"/>
            </w:tcBorders>
            <w:shd w:val="clear" w:color="auto" w:fill="auto"/>
            <w:noWrap/>
            <w:tcMar>
              <w:top w:w="15" w:type="dxa"/>
              <w:left w:w="57" w:type="dxa"/>
              <w:bottom w:w="0" w:type="dxa"/>
              <w:right w:w="57" w:type="dxa"/>
            </w:tcMar>
            <w:hideMark/>
          </w:tcPr>
          <w:p w:rsidR="0008221E" w:rsidRPr="00874A6C" w:rsidRDefault="0008221E" w:rsidP="006E09C0">
            <w:pPr>
              <w:pStyle w:val="Tabletext"/>
              <w:jc w:val="center"/>
              <w:rPr>
                <w:i/>
                <w:lang w:val="en-GB"/>
              </w:rPr>
            </w:pPr>
            <w:r w:rsidRPr="00874A6C">
              <w:rPr>
                <w:i/>
                <w:lang w:val="en-GB"/>
              </w:rPr>
              <w:t>1207</w:t>
            </w:r>
          </w:p>
        </w:tc>
        <w:tc>
          <w:tcPr>
            <w:tcW w:w="1063" w:type="dxa"/>
            <w:tcBorders>
              <w:top w:val="nil"/>
              <w:left w:val="nil"/>
              <w:bottom w:val="single" w:sz="8" w:space="0" w:color="auto"/>
              <w:right w:val="nil"/>
            </w:tcBorders>
            <w:shd w:val="clear" w:color="auto" w:fill="auto"/>
            <w:noWrap/>
            <w:tcMar>
              <w:top w:w="15" w:type="dxa"/>
              <w:left w:w="57" w:type="dxa"/>
              <w:bottom w:w="0" w:type="dxa"/>
              <w:right w:w="57" w:type="dxa"/>
            </w:tcMar>
            <w:hideMark/>
          </w:tcPr>
          <w:p w:rsidR="0008221E" w:rsidRPr="00874A6C" w:rsidRDefault="0008221E" w:rsidP="006E09C0">
            <w:pPr>
              <w:pStyle w:val="Tabletext"/>
              <w:jc w:val="center"/>
              <w:rPr>
                <w:i/>
                <w:lang w:val="en-GB"/>
              </w:rPr>
            </w:pPr>
            <w:r w:rsidRPr="00874A6C">
              <w:rPr>
                <w:i/>
                <w:lang w:val="en-GB"/>
              </w:rPr>
              <w:t>1250</w:t>
            </w:r>
          </w:p>
        </w:tc>
        <w:tc>
          <w:tcPr>
            <w:tcW w:w="1064" w:type="dxa"/>
            <w:tcBorders>
              <w:top w:val="nil"/>
              <w:left w:val="nil"/>
              <w:bottom w:val="single" w:sz="8" w:space="0" w:color="auto"/>
              <w:right w:val="nil"/>
            </w:tcBorders>
            <w:shd w:val="clear" w:color="auto" w:fill="auto"/>
            <w:noWrap/>
            <w:tcMar>
              <w:top w:w="15" w:type="dxa"/>
              <w:left w:w="57" w:type="dxa"/>
              <w:bottom w:w="0" w:type="dxa"/>
              <w:right w:w="57" w:type="dxa"/>
            </w:tcMar>
            <w:hideMark/>
          </w:tcPr>
          <w:p w:rsidR="0008221E" w:rsidRPr="00874A6C" w:rsidRDefault="0008221E" w:rsidP="006E09C0">
            <w:pPr>
              <w:pStyle w:val="Tabletext"/>
              <w:ind w:left="57"/>
              <w:jc w:val="center"/>
              <w:rPr>
                <w:i/>
                <w:lang w:val="en-GB"/>
              </w:rPr>
            </w:pPr>
            <w:r w:rsidRPr="00874A6C">
              <w:rPr>
                <w:i/>
                <w:lang w:val="en-GB"/>
              </w:rPr>
              <w:t>923</w:t>
            </w:r>
          </w:p>
        </w:tc>
      </w:tr>
    </w:tbl>
    <w:p w:rsidR="00D8349E" w:rsidRPr="00B07B55" w:rsidRDefault="00D8349E" w:rsidP="006E09C0">
      <w:pPr>
        <w:pStyle w:val="Source"/>
        <w:rPr>
          <w:lang w:val="en-GB"/>
        </w:rPr>
      </w:pPr>
      <w:r w:rsidRPr="00B07B55">
        <w:rPr>
          <w:lang w:val="en-GB"/>
        </w:rPr>
        <w:t>Source:</w:t>
      </w:r>
      <w:r w:rsidR="006E09C0">
        <w:rPr>
          <w:lang w:val="en-GB"/>
        </w:rPr>
        <w:tab/>
      </w:r>
      <w:r w:rsidRPr="00B07B55">
        <w:rPr>
          <w:lang w:val="en-GB"/>
        </w:rPr>
        <w:t>HILDA data</w:t>
      </w:r>
      <w:r w:rsidR="00BB3AAD">
        <w:rPr>
          <w:lang w:val="en-GB"/>
        </w:rPr>
        <w:t>, weighted statistics.</w:t>
      </w:r>
    </w:p>
    <w:p w:rsidR="0008221E" w:rsidRPr="006E09C0" w:rsidRDefault="0008221E" w:rsidP="006E09C0">
      <w:pPr>
        <w:pStyle w:val="tabletitle"/>
        <w:spacing w:before="240"/>
      </w:pPr>
      <w:bookmarkStart w:id="83" w:name="_Toc311576130"/>
      <w:bookmarkStart w:id="84" w:name="_Toc334021185"/>
      <w:r w:rsidRPr="00B07B55">
        <w:rPr>
          <w:lang w:val="en-GB"/>
        </w:rPr>
        <w:t>Table A3</w:t>
      </w:r>
      <w:r w:rsidRPr="00B07B55">
        <w:rPr>
          <w:lang w:val="en-GB"/>
        </w:rPr>
        <w:tab/>
      </w:r>
      <w:r w:rsidR="00E91E87">
        <w:rPr>
          <w:lang w:val="en-GB"/>
        </w:rPr>
        <w:t>HILDA s</w:t>
      </w:r>
      <w:r w:rsidR="007C347E" w:rsidRPr="00B07B55">
        <w:rPr>
          <w:lang w:val="en-GB"/>
        </w:rPr>
        <w:t>ample, education levels and employment status of diploma students</w:t>
      </w:r>
      <w:bookmarkEnd w:id="83"/>
      <w:bookmarkEnd w:id="84"/>
    </w:p>
    <w:tbl>
      <w:tblPr>
        <w:tblW w:w="8789" w:type="dxa"/>
        <w:tblInd w:w="57" w:type="dxa"/>
        <w:tblLayout w:type="fixed"/>
        <w:tblCellMar>
          <w:left w:w="57" w:type="dxa"/>
          <w:right w:w="57" w:type="dxa"/>
        </w:tblCellMar>
        <w:tblLook w:val="04A0"/>
      </w:tblPr>
      <w:tblGrid>
        <w:gridCol w:w="4536"/>
        <w:gridCol w:w="1064"/>
        <w:gridCol w:w="1063"/>
        <w:gridCol w:w="1063"/>
        <w:gridCol w:w="1063"/>
      </w:tblGrid>
      <w:tr w:rsidR="00D0611F" w:rsidRPr="00B07B55" w:rsidTr="006E09C0">
        <w:tc>
          <w:tcPr>
            <w:tcW w:w="2580" w:type="pct"/>
            <w:tcBorders>
              <w:top w:val="single" w:sz="4" w:space="0" w:color="auto"/>
              <w:left w:val="nil"/>
              <w:bottom w:val="single" w:sz="8" w:space="0" w:color="auto"/>
              <w:right w:val="nil"/>
            </w:tcBorders>
            <w:shd w:val="clear" w:color="auto" w:fill="auto"/>
            <w:noWrap/>
            <w:tcMar>
              <w:top w:w="13" w:type="dxa"/>
              <w:left w:w="57" w:type="dxa"/>
              <w:bottom w:w="0" w:type="dxa"/>
              <w:right w:w="57" w:type="dxa"/>
            </w:tcMar>
            <w:hideMark/>
          </w:tcPr>
          <w:p w:rsidR="00D0611F" w:rsidRPr="00B07B55" w:rsidRDefault="00D0611F" w:rsidP="006E09C0">
            <w:pPr>
              <w:pStyle w:val="Tablehead1"/>
              <w:rPr>
                <w:rFonts w:ascii="Calibri" w:hAnsi="Calibri" w:cs="Calibri"/>
                <w:lang w:val="en-GB"/>
              </w:rPr>
            </w:pPr>
            <w:r w:rsidRPr="00B07B55">
              <w:rPr>
                <w:rFonts w:ascii="Calibri" w:hAnsi="Calibri" w:cs="Calibri"/>
                <w:lang w:val="en-GB"/>
              </w:rPr>
              <w:t> </w:t>
            </w:r>
            <w:r w:rsidRPr="00B07B55">
              <w:rPr>
                <w:lang w:val="en-GB"/>
              </w:rPr>
              <w:t> Age group</w:t>
            </w:r>
          </w:p>
        </w:tc>
        <w:tc>
          <w:tcPr>
            <w:tcW w:w="605" w:type="pct"/>
            <w:tcBorders>
              <w:top w:val="single" w:sz="4" w:space="0" w:color="auto"/>
              <w:left w:val="nil"/>
              <w:bottom w:val="single" w:sz="8" w:space="0" w:color="auto"/>
              <w:right w:val="nil"/>
            </w:tcBorders>
            <w:shd w:val="clear" w:color="auto" w:fill="auto"/>
            <w:noWrap/>
            <w:tcMar>
              <w:top w:w="13" w:type="dxa"/>
              <w:left w:w="57" w:type="dxa"/>
              <w:bottom w:w="0" w:type="dxa"/>
              <w:right w:w="57" w:type="dxa"/>
            </w:tcMar>
            <w:hideMark/>
          </w:tcPr>
          <w:p w:rsidR="00D0611F" w:rsidRPr="00B07B55" w:rsidRDefault="00D0611F" w:rsidP="006E09C0">
            <w:pPr>
              <w:pStyle w:val="Tablehead1"/>
              <w:jc w:val="center"/>
              <w:rPr>
                <w:bCs/>
                <w:lang w:val="en-GB"/>
              </w:rPr>
            </w:pPr>
            <w:r>
              <w:rPr>
                <w:bCs/>
                <w:lang w:val="en-GB"/>
              </w:rPr>
              <w:t>25–</w:t>
            </w:r>
            <w:r w:rsidRPr="00B07B55">
              <w:rPr>
                <w:bCs/>
                <w:lang w:val="en-GB"/>
              </w:rPr>
              <w:t>34</w:t>
            </w:r>
          </w:p>
        </w:tc>
        <w:tc>
          <w:tcPr>
            <w:tcW w:w="605" w:type="pct"/>
            <w:tcBorders>
              <w:top w:val="single" w:sz="4" w:space="0" w:color="auto"/>
              <w:left w:val="nil"/>
              <w:bottom w:val="single" w:sz="8" w:space="0" w:color="auto"/>
              <w:right w:val="nil"/>
            </w:tcBorders>
            <w:shd w:val="clear" w:color="auto" w:fill="auto"/>
            <w:noWrap/>
            <w:tcMar>
              <w:top w:w="13" w:type="dxa"/>
              <w:left w:w="57" w:type="dxa"/>
              <w:bottom w:w="0" w:type="dxa"/>
              <w:right w:w="57" w:type="dxa"/>
            </w:tcMar>
            <w:hideMark/>
          </w:tcPr>
          <w:p w:rsidR="00D0611F" w:rsidRPr="00B07B55" w:rsidRDefault="00D0611F" w:rsidP="006E09C0">
            <w:pPr>
              <w:pStyle w:val="Tablehead1"/>
              <w:jc w:val="center"/>
              <w:rPr>
                <w:bCs/>
                <w:lang w:val="en-GB"/>
              </w:rPr>
            </w:pPr>
            <w:r>
              <w:rPr>
                <w:bCs/>
                <w:lang w:val="en-GB"/>
              </w:rPr>
              <w:t>35–</w:t>
            </w:r>
            <w:r w:rsidRPr="00B07B55">
              <w:rPr>
                <w:bCs/>
                <w:lang w:val="en-GB"/>
              </w:rPr>
              <w:t>44</w:t>
            </w:r>
          </w:p>
        </w:tc>
        <w:tc>
          <w:tcPr>
            <w:tcW w:w="605" w:type="pct"/>
            <w:tcBorders>
              <w:top w:val="single" w:sz="4" w:space="0" w:color="auto"/>
              <w:left w:val="nil"/>
              <w:bottom w:val="single" w:sz="8" w:space="0" w:color="auto"/>
              <w:right w:val="nil"/>
            </w:tcBorders>
            <w:shd w:val="clear" w:color="auto" w:fill="auto"/>
            <w:noWrap/>
            <w:tcMar>
              <w:top w:w="13" w:type="dxa"/>
              <w:left w:w="57" w:type="dxa"/>
              <w:bottom w:w="0" w:type="dxa"/>
              <w:right w:w="57" w:type="dxa"/>
            </w:tcMar>
            <w:hideMark/>
          </w:tcPr>
          <w:p w:rsidR="00D0611F" w:rsidRPr="00B07B55" w:rsidRDefault="00D0611F" w:rsidP="006E09C0">
            <w:pPr>
              <w:pStyle w:val="Tablehead1"/>
              <w:jc w:val="center"/>
              <w:rPr>
                <w:bCs/>
                <w:lang w:val="en-GB"/>
              </w:rPr>
            </w:pPr>
            <w:r>
              <w:rPr>
                <w:bCs/>
                <w:lang w:val="en-GB"/>
              </w:rPr>
              <w:t>45–</w:t>
            </w:r>
            <w:r w:rsidRPr="00B07B55">
              <w:rPr>
                <w:bCs/>
                <w:lang w:val="en-GB"/>
              </w:rPr>
              <w:t>54</w:t>
            </w:r>
          </w:p>
        </w:tc>
        <w:tc>
          <w:tcPr>
            <w:tcW w:w="605" w:type="pct"/>
            <w:tcBorders>
              <w:top w:val="single" w:sz="4" w:space="0" w:color="auto"/>
              <w:left w:val="nil"/>
              <w:bottom w:val="single" w:sz="8" w:space="0" w:color="auto"/>
              <w:right w:val="nil"/>
            </w:tcBorders>
            <w:shd w:val="clear" w:color="auto" w:fill="auto"/>
            <w:noWrap/>
            <w:tcMar>
              <w:top w:w="13" w:type="dxa"/>
              <w:left w:w="15" w:type="dxa"/>
              <w:bottom w:w="0" w:type="dxa"/>
              <w:right w:w="15" w:type="dxa"/>
            </w:tcMar>
            <w:hideMark/>
          </w:tcPr>
          <w:p w:rsidR="00D0611F" w:rsidRPr="00B07B55" w:rsidRDefault="00D0611F" w:rsidP="006E09C0">
            <w:pPr>
              <w:pStyle w:val="Tablehead1"/>
              <w:jc w:val="center"/>
              <w:rPr>
                <w:bCs/>
                <w:lang w:val="en-GB"/>
              </w:rPr>
            </w:pPr>
            <w:r>
              <w:rPr>
                <w:bCs/>
                <w:lang w:val="en-GB"/>
              </w:rPr>
              <w:t>55–</w:t>
            </w:r>
            <w:r w:rsidRPr="00B07B55">
              <w:rPr>
                <w:bCs/>
                <w:lang w:val="en-GB"/>
              </w:rPr>
              <w:t>64</w:t>
            </w:r>
          </w:p>
        </w:tc>
      </w:tr>
      <w:tr w:rsidR="007C347E" w:rsidRPr="00B07B55" w:rsidTr="006E09C0">
        <w:tc>
          <w:tcPr>
            <w:tcW w:w="2580" w:type="pct"/>
            <w:tcBorders>
              <w:top w:val="nil"/>
              <w:left w:val="nil"/>
              <w:bottom w:val="nil"/>
              <w:right w:val="nil"/>
            </w:tcBorders>
            <w:shd w:val="clear" w:color="auto" w:fill="auto"/>
            <w:noWrap/>
            <w:tcMar>
              <w:top w:w="13" w:type="dxa"/>
              <w:left w:w="57" w:type="dxa"/>
              <w:bottom w:w="0" w:type="dxa"/>
              <w:right w:w="57" w:type="dxa"/>
            </w:tcMar>
            <w:hideMark/>
          </w:tcPr>
          <w:p w:rsidR="007C347E" w:rsidRPr="006E09C0" w:rsidRDefault="007C347E" w:rsidP="006E09C0">
            <w:pPr>
              <w:pStyle w:val="Tabletext"/>
              <w:spacing w:before="120"/>
              <w:rPr>
                <w:b/>
                <w:lang w:val="en-GB"/>
              </w:rPr>
            </w:pPr>
            <w:r w:rsidRPr="006E09C0">
              <w:rPr>
                <w:b/>
                <w:lang w:val="en-GB"/>
              </w:rPr>
              <w:t>Males</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6E09C0" w:rsidRDefault="007C347E" w:rsidP="006E09C0">
            <w:pPr>
              <w:pStyle w:val="Tabletext"/>
              <w:spacing w:before="120"/>
            </w:pP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6E09C0" w:rsidRDefault="007C347E" w:rsidP="006E09C0">
            <w:pPr>
              <w:pStyle w:val="Tabletext"/>
              <w:spacing w:before="120"/>
            </w:pP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6E09C0" w:rsidRDefault="007C347E" w:rsidP="006E09C0">
            <w:pPr>
              <w:pStyle w:val="Tabletext"/>
              <w:spacing w:before="120"/>
            </w:pPr>
          </w:p>
        </w:tc>
        <w:tc>
          <w:tcPr>
            <w:tcW w:w="605" w:type="pct"/>
            <w:tcBorders>
              <w:top w:val="nil"/>
              <w:left w:val="nil"/>
              <w:bottom w:val="nil"/>
              <w:right w:val="nil"/>
            </w:tcBorders>
            <w:shd w:val="clear" w:color="auto" w:fill="auto"/>
            <w:noWrap/>
            <w:tcMar>
              <w:top w:w="13" w:type="dxa"/>
              <w:left w:w="15" w:type="dxa"/>
              <w:bottom w:w="0" w:type="dxa"/>
              <w:right w:w="15" w:type="dxa"/>
            </w:tcMar>
            <w:hideMark/>
          </w:tcPr>
          <w:p w:rsidR="007C347E" w:rsidRPr="006E09C0" w:rsidRDefault="007C347E" w:rsidP="006E09C0">
            <w:pPr>
              <w:pStyle w:val="Tabletext"/>
              <w:spacing w:before="120"/>
            </w:pPr>
          </w:p>
        </w:tc>
      </w:tr>
      <w:tr w:rsidR="007C347E" w:rsidRPr="00874A6C" w:rsidTr="006E09C0">
        <w:tc>
          <w:tcPr>
            <w:tcW w:w="2580" w:type="pct"/>
            <w:tcBorders>
              <w:top w:val="nil"/>
              <w:left w:val="nil"/>
              <w:bottom w:val="nil"/>
              <w:right w:val="nil"/>
            </w:tcBorders>
            <w:shd w:val="clear" w:color="auto" w:fill="auto"/>
            <w:noWrap/>
            <w:tcMar>
              <w:top w:w="0" w:type="dxa"/>
              <w:left w:w="57" w:type="dxa"/>
              <w:bottom w:w="0" w:type="dxa"/>
              <w:right w:w="57" w:type="dxa"/>
            </w:tcMar>
            <w:hideMark/>
          </w:tcPr>
          <w:p w:rsidR="007C347E" w:rsidRPr="00874A6C" w:rsidRDefault="004A14A5" w:rsidP="006E09C0">
            <w:pPr>
              <w:pStyle w:val="Tabletext"/>
              <w:rPr>
                <w:i/>
                <w:lang w:val="en-GB"/>
              </w:rPr>
            </w:pPr>
            <w:r w:rsidRPr="00874A6C">
              <w:rPr>
                <w:i/>
                <w:lang w:val="en-GB"/>
              </w:rPr>
              <w:t>Observations</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874A6C" w:rsidRDefault="007C347E" w:rsidP="00713FC5">
            <w:pPr>
              <w:pStyle w:val="Tabletext"/>
              <w:tabs>
                <w:tab w:val="decimal" w:pos="510"/>
              </w:tabs>
              <w:rPr>
                <w:i/>
                <w:lang w:val="en-GB"/>
              </w:rPr>
            </w:pPr>
            <w:r w:rsidRPr="00874A6C">
              <w:rPr>
                <w:i/>
                <w:lang w:val="en-GB"/>
              </w:rPr>
              <w:t>48</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874A6C" w:rsidRDefault="007C347E" w:rsidP="00713FC5">
            <w:pPr>
              <w:pStyle w:val="Tabletext"/>
              <w:tabs>
                <w:tab w:val="decimal" w:pos="510"/>
              </w:tabs>
              <w:rPr>
                <w:i/>
                <w:lang w:val="en-GB"/>
              </w:rPr>
            </w:pPr>
            <w:r w:rsidRPr="00874A6C">
              <w:rPr>
                <w:i/>
                <w:lang w:val="en-GB"/>
              </w:rPr>
              <w:t>40</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874A6C" w:rsidRDefault="007C347E" w:rsidP="00713FC5">
            <w:pPr>
              <w:pStyle w:val="Tabletext"/>
              <w:tabs>
                <w:tab w:val="decimal" w:pos="510"/>
              </w:tabs>
              <w:rPr>
                <w:i/>
                <w:lang w:val="en-GB"/>
              </w:rPr>
            </w:pPr>
            <w:r w:rsidRPr="00874A6C">
              <w:rPr>
                <w:i/>
                <w:lang w:val="en-GB"/>
              </w:rPr>
              <w:t>18</w:t>
            </w:r>
          </w:p>
        </w:tc>
        <w:tc>
          <w:tcPr>
            <w:tcW w:w="605" w:type="pct"/>
            <w:tcBorders>
              <w:top w:val="nil"/>
              <w:left w:val="nil"/>
              <w:bottom w:val="nil"/>
              <w:right w:val="nil"/>
            </w:tcBorders>
            <w:shd w:val="clear" w:color="auto" w:fill="auto"/>
            <w:noWrap/>
            <w:tcMar>
              <w:top w:w="13" w:type="dxa"/>
              <w:left w:w="15" w:type="dxa"/>
              <w:bottom w:w="0" w:type="dxa"/>
              <w:right w:w="15" w:type="dxa"/>
            </w:tcMar>
            <w:hideMark/>
          </w:tcPr>
          <w:p w:rsidR="007C347E" w:rsidRPr="00874A6C" w:rsidRDefault="007C347E" w:rsidP="00713FC5">
            <w:pPr>
              <w:pStyle w:val="Tabletext"/>
              <w:tabs>
                <w:tab w:val="decimal" w:pos="510"/>
              </w:tabs>
              <w:rPr>
                <w:i/>
                <w:lang w:val="en-GB"/>
              </w:rPr>
            </w:pPr>
            <w:r w:rsidRPr="00874A6C">
              <w:rPr>
                <w:i/>
                <w:lang w:val="en-GB"/>
              </w:rPr>
              <w:t>6</w:t>
            </w:r>
          </w:p>
        </w:tc>
      </w:tr>
      <w:tr w:rsidR="007C347E" w:rsidRPr="00B07B55" w:rsidTr="006E09C0">
        <w:tc>
          <w:tcPr>
            <w:tcW w:w="2580" w:type="pct"/>
            <w:tcBorders>
              <w:top w:val="nil"/>
              <w:left w:val="nil"/>
              <w:bottom w:val="nil"/>
              <w:right w:val="nil"/>
            </w:tcBorders>
            <w:shd w:val="clear" w:color="auto" w:fill="auto"/>
            <w:noWrap/>
            <w:tcMar>
              <w:top w:w="0" w:type="dxa"/>
              <w:left w:w="57" w:type="dxa"/>
              <w:bottom w:w="0" w:type="dxa"/>
              <w:right w:w="57" w:type="dxa"/>
            </w:tcMar>
            <w:hideMark/>
          </w:tcPr>
          <w:p w:rsidR="007C347E" w:rsidRPr="00B07B55" w:rsidRDefault="007C347E" w:rsidP="006E09C0">
            <w:pPr>
              <w:pStyle w:val="Tabletext"/>
              <w:rPr>
                <w:lang w:val="en-GB"/>
              </w:rPr>
            </w:pPr>
            <w:r w:rsidRPr="00B07B55">
              <w:rPr>
                <w:lang w:val="en-GB"/>
              </w:rPr>
              <w:t xml:space="preserve">Below </w:t>
            </w:r>
            <w:r w:rsidR="004A14A5" w:rsidRPr="00B07B55">
              <w:rPr>
                <w:lang w:val="en-GB"/>
              </w:rPr>
              <w:t xml:space="preserve">Year </w:t>
            </w:r>
            <w:r w:rsidRPr="00B07B55">
              <w:rPr>
                <w:lang w:val="en-GB"/>
              </w:rPr>
              <w:t>10</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0</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0</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0</w:t>
            </w:r>
          </w:p>
        </w:tc>
        <w:tc>
          <w:tcPr>
            <w:tcW w:w="605" w:type="pct"/>
            <w:tcBorders>
              <w:top w:val="nil"/>
              <w:left w:val="nil"/>
              <w:bottom w:val="nil"/>
              <w:right w:val="nil"/>
            </w:tcBorders>
            <w:shd w:val="clear" w:color="auto" w:fill="auto"/>
            <w:noWrap/>
            <w:tcMar>
              <w:top w:w="13" w:type="dxa"/>
              <w:left w:w="15" w:type="dxa"/>
              <w:bottom w:w="0" w:type="dxa"/>
              <w:right w:w="15" w:type="dxa"/>
            </w:tcMar>
            <w:hideMark/>
          </w:tcPr>
          <w:p w:rsidR="007C347E" w:rsidRPr="00B07B55" w:rsidRDefault="007C347E" w:rsidP="00713FC5">
            <w:pPr>
              <w:pStyle w:val="Tabletext"/>
              <w:tabs>
                <w:tab w:val="decimal" w:pos="510"/>
              </w:tabs>
              <w:rPr>
                <w:lang w:val="en-GB"/>
              </w:rPr>
            </w:pPr>
            <w:r w:rsidRPr="00B07B55">
              <w:rPr>
                <w:lang w:val="en-GB"/>
              </w:rPr>
              <w:t>0</w:t>
            </w:r>
          </w:p>
        </w:tc>
      </w:tr>
      <w:tr w:rsidR="007C347E" w:rsidRPr="00B07B55" w:rsidTr="006E09C0">
        <w:tc>
          <w:tcPr>
            <w:tcW w:w="2580" w:type="pct"/>
            <w:tcBorders>
              <w:top w:val="nil"/>
              <w:left w:val="nil"/>
              <w:bottom w:val="nil"/>
              <w:right w:val="nil"/>
            </w:tcBorders>
            <w:shd w:val="clear" w:color="auto" w:fill="auto"/>
            <w:noWrap/>
            <w:tcMar>
              <w:top w:w="0" w:type="dxa"/>
              <w:left w:w="57" w:type="dxa"/>
              <w:bottom w:w="0" w:type="dxa"/>
              <w:right w:w="57" w:type="dxa"/>
            </w:tcMar>
            <w:hideMark/>
          </w:tcPr>
          <w:p w:rsidR="007C347E" w:rsidRPr="00B07B55" w:rsidRDefault="00D0611F" w:rsidP="006E09C0">
            <w:pPr>
              <w:pStyle w:val="Tabletext"/>
              <w:rPr>
                <w:lang w:val="en-GB"/>
              </w:rPr>
            </w:pPr>
            <w:r>
              <w:rPr>
                <w:lang w:val="en-GB"/>
              </w:rPr>
              <w:t>Year 10–</w:t>
            </w:r>
            <w:r w:rsidR="007C347E" w:rsidRPr="00B07B55">
              <w:rPr>
                <w:lang w:val="en-GB"/>
              </w:rPr>
              <w:t xml:space="preserve">11 or </w:t>
            </w:r>
            <w:r w:rsidR="004A14A5" w:rsidRPr="00B07B55">
              <w:rPr>
                <w:lang w:val="en-GB"/>
              </w:rPr>
              <w:t>cert</w:t>
            </w:r>
            <w:r>
              <w:rPr>
                <w:lang w:val="en-GB"/>
              </w:rPr>
              <w:t>.</w:t>
            </w:r>
            <w:r w:rsidR="00E91E87">
              <w:rPr>
                <w:lang w:val="en-GB"/>
              </w:rPr>
              <w:t xml:space="preserve"> I</w:t>
            </w:r>
            <w:r>
              <w:rPr>
                <w:lang w:val="en-GB"/>
              </w:rPr>
              <w:t>–</w:t>
            </w:r>
            <w:r w:rsidR="00E91E87">
              <w:rPr>
                <w:lang w:val="en-GB"/>
              </w:rPr>
              <w:t>II</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19.03</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8.07</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0</w:t>
            </w:r>
          </w:p>
        </w:tc>
        <w:tc>
          <w:tcPr>
            <w:tcW w:w="605" w:type="pct"/>
            <w:tcBorders>
              <w:top w:val="nil"/>
              <w:left w:val="nil"/>
              <w:bottom w:val="nil"/>
              <w:right w:val="nil"/>
            </w:tcBorders>
            <w:shd w:val="clear" w:color="auto" w:fill="auto"/>
            <w:noWrap/>
            <w:tcMar>
              <w:top w:w="13" w:type="dxa"/>
              <w:left w:w="15" w:type="dxa"/>
              <w:bottom w:w="0" w:type="dxa"/>
              <w:right w:w="15" w:type="dxa"/>
            </w:tcMar>
            <w:hideMark/>
          </w:tcPr>
          <w:p w:rsidR="007C347E" w:rsidRPr="00B07B55" w:rsidRDefault="007C347E" w:rsidP="00713FC5">
            <w:pPr>
              <w:pStyle w:val="Tabletext"/>
              <w:tabs>
                <w:tab w:val="decimal" w:pos="510"/>
              </w:tabs>
              <w:rPr>
                <w:lang w:val="en-GB"/>
              </w:rPr>
            </w:pPr>
            <w:r w:rsidRPr="00B07B55">
              <w:rPr>
                <w:lang w:val="en-GB"/>
              </w:rPr>
              <w:t>27.3</w:t>
            </w:r>
          </w:p>
        </w:tc>
      </w:tr>
      <w:tr w:rsidR="007C347E" w:rsidRPr="00B07B55" w:rsidTr="006E09C0">
        <w:tc>
          <w:tcPr>
            <w:tcW w:w="2580" w:type="pct"/>
            <w:tcBorders>
              <w:top w:val="nil"/>
              <w:left w:val="nil"/>
              <w:bottom w:val="nil"/>
              <w:right w:val="nil"/>
            </w:tcBorders>
            <w:shd w:val="clear" w:color="auto" w:fill="auto"/>
            <w:noWrap/>
            <w:tcMar>
              <w:top w:w="0" w:type="dxa"/>
              <w:left w:w="57" w:type="dxa"/>
              <w:bottom w:w="0" w:type="dxa"/>
              <w:right w:w="57" w:type="dxa"/>
            </w:tcMar>
            <w:hideMark/>
          </w:tcPr>
          <w:p w:rsidR="007C347E" w:rsidRPr="00B07B55" w:rsidRDefault="00E91E87" w:rsidP="006E09C0">
            <w:pPr>
              <w:pStyle w:val="Tabletext"/>
              <w:rPr>
                <w:lang w:val="en-GB"/>
              </w:rPr>
            </w:pPr>
            <w:r>
              <w:rPr>
                <w:lang w:val="en-GB"/>
              </w:rPr>
              <w:t>Completed Y</w:t>
            </w:r>
            <w:r w:rsidR="007C347E" w:rsidRPr="00B07B55">
              <w:rPr>
                <w:lang w:val="en-GB"/>
              </w:rPr>
              <w:t>ear 12</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28.56</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9.05</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24.43</w:t>
            </w:r>
          </w:p>
        </w:tc>
        <w:tc>
          <w:tcPr>
            <w:tcW w:w="605" w:type="pct"/>
            <w:tcBorders>
              <w:top w:val="nil"/>
              <w:left w:val="nil"/>
              <w:bottom w:val="nil"/>
              <w:right w:val="nil"/>
            </w:tcBorders>
            <w:shd w:val="clear" w:color="auto" w:fill="auto"/>
            <w:noWrap/>
            <w:tcMar>
              <w:top w:w="13" w:type="dxa"/>
              <w:left w:w="15" w:type="dxa"/>
              <w:bottom w:w="0" w:type="dxa"/>
              <w:right w:w="15" w:type="dxa"/>
            </w:tcMar>
            <w:hideMark/>
          </w:tcPr>
          <w:p w:rsidR="007C347E" w:rsidRPr="00B07B55" w:rsidRDefault="007C347E" w:rsidP="00713FC5">
            <w:pPr>
              <w:pStyle w:val="Tabletext"/>
              <w:tabs>
                <w:tab w:val="decimal" w:pos="510"/>
              </w:tabs>
              <w:rPr>
                <w:lang w:val="en-GB"/>
              </w:rPr>
            </w:pPr>
            <w:r w:rsidRPr="00B07B55">
              <w:rPr>
                <w:lang w:val="en-GB"/>
              </w:rPr>
              <w:t>18.14</w:t>
            </w:r>
          </w:p>
        </w:tc>
      </w:tr>
      <w:tr w:rsidR="007C347E" w:rsidRPr="00B07B55" w:rsidTr="006E09C0">
        <w:tc>
          <w:tcPr>
            <w:tcW w:w="2580" w:type="pct"/>
            <w:tcBorders>
              <w:top w:val="nil"/>
              <w:left w:val="nil"/>
              <w:bottom w:val="nil"/>
              <w:right w:val="nil"/>
            </w:tcBorders>
            <w:shd w:val="clear" w:color="auto" w:fill="auto"/>
            <w:noWrap/>
            <w:tcMar>
              <w:top w:w="0" w:type="dxa"/>
              <w:left w:w="57" w:type="dxa"/>
              <w:bottom w:w="0" w:type="dxa"/>
              <w:right w:w="57" w:type="dxa"/>
            </w:tcMar>
            <w:hideMark/>
          </w:tcPr>
          <w:p w:rsidR="007C347E" w:rsidRPr="00B07B55" w:rsidRDefault="00E91E87" w:rsidP="006E09C0">
            <w:pPr>
              <w:pStyle w:val="Tabletext"/>
              <w:rPr>
                <w:lang w:val="en-GB"/>
              </w:rPr>
            </w:pPr>
            <w:r>
              <w:rPr>
                <w:lang w:val="en-GB"/>
              </w:rPr>
              <w:t>Certificate III/</w:t>
            </w:r>
            <w:r w:rsidR="007C347E" w:rsidRPr="00B07B55">
              <w:rPr>
                <w:lang w:val="en-GB"/>
              </w:rPr>
              <w:t>IV</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15.25</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33.48</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34.91</w:t>
            </w:r>
          </w:p>
        </w:tc>
        <w:tc>
          <w:tcPr>
            <w:tcW w:w="605" w:type="pct"/>
            <w:tcBorders>
              <w:top w:val="nil"/>
              <w:left w:val="nil"/>
              <w:bottom w:val="nil"/>
              <w:right w:val="nil"/>
            </w:tcBorders>
            <w:shd w:val="clear" w:color="auto" w:fill="auto"/>
            <w:noWrap/>
            <w:tcMar>
              <w:top w:w="13" w:type="dxa"/>
              <w:left w:w="15" w:type="dxa"/>
              <w:bottom w:w="0" w:type="dxa"/>
              <w:right w:w="15" w:type="dxa"/>
            </w:tcMar>
            <w:hideMark/>
          </w:tcPr>
          <w:p w:rsidR="007C347E" w:rsidRPr="00B07B55" w:rsidRDefault="007C347E" w:rsidP="00713FC5">
            <w:pPr>
              <w:pStyle w:val="Tabletext"/>
              <w:tabs>
                <w:tab w:val="decimal" w:pos="510"/>
              </w:tabs>
              <w:rPr>
                <w:lang w:val="en-GB"/>
              </w:rPr>
            </w:pPr>
            <w:r w:rsidRPr="00B07B55">
              <w:rPr>
                <w:lang w:val="en-GB"/>
              </w:rPr>
              <w:t>0</w:t>
            </w:r>
          </w:p>
        </w:tc>
      </w:tr>
      <w:tr w:rsidR="007C347E" w:rsidRPr="00B07B55" w:rsidTr="006E09C0">
        <w:tc>
          <w:tcPr>
            <w:tcW w:w="2580" w:type="pct"/>
            <w:tcBorders>
              <w:top w:val="nil"/>
              <w:left w:val="nil"/>
              <w:bottom w:val="nil"/>
              <w:right w:val="nil"/>
            </w:tcBorders>
            <w:shd w:val="clear" w:color="auto" w:fill="auto"/>
            <w:noWrap/>
            <w:tcMar>
              <w:top w:w="0" w:type="dxa"/>
              <w:left w:w="57" w:type="dxa"/>
              <w:bottom w:w="0" w:type="dxa"/>
              <w:right w:w="57" w:type="dxa"/>
            </w:tcMar>
            <w:hideMark/>
          </w:tcPr>
          <w:p w:rsidR="007C347E" w:rsidRPr="00B07B55" w:rsidRDefault="007C347E" w:rsidP="006E09C0">
            <w:pPr>
              <w:pStyle w:val="Tabletext"/>
              <w:rPr>
                <w:lang w:val="en-GB"/>
              </w:rPr>
            </w:pPr>
            <w:r w:rsidRPr="00B07B55">
              <w:rPr>
                <w:lang w:val="en-GB"/>
              </w:rPr>
              <w:t>Diploma</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16.78</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27.96</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13.57</w:t>
            </w:r>
          </w:p>
        </w:tc>
        <w:tc>
          <w:tcPr>
            <w:tcW w:w="605" w:type="pct"/>
            <w:tcBorders>
              <w:top w:val="nil"/>
              <w:left w:val="nil"/>
              <w:bottom w:val="nil"/>
              <w:right w:val="nil"/>
            </w:tcBorders>
            <w:shd w:val="clear" w:color="auto" w:fill="auto"/>
            <w:noWrap/>
            <w:tcMar>
              <w:top w:w="13" w:type="dxa"/>
              <w:left w:w="15" w:type="dxa"/>
              <w:bottom w:w="0" w:type="dxa"/>
              <w:right w:w="15" w:type="dxa"/>
            </w:tcMar>
            <w:hideMark/>
          </w:tcPr>
          <w:p w:rsidR="007C347E" w:rsidRPr="00B07B55" w:rsidRDefault="007C347E" w:rsidP="00713FC5">
            <w:pPr>
              <w:pStyle w:val="Tabletext"/>
              <w:tabs>
                <w:tab w:val="decimal" w:pos="510"/>
              </w:tabs>
              <w:rPr>
                <w:lang w:val="en-GB"/>
              </w:rPr>
            </w:pPr>
            <w:r w:rsidRPr="00B07B55">
              <w:rPr>
                <w:lang w:val="en-GB"/>
              </w:rPr>
              <w:t>42.87</w:t>
            </w:r>
          </w:p>
        </w:tc>
      </w:tr>
      <w:tr w:rsidR="007C347E" w:rsidRPr="00B07B55" w:rsidTr="006E09C0">
        <w:tc>
          <w:tcPr>
            <w:tcW w:w="2580" w:type="pct"/>
            <w:tcBorders>
              <w:top w:val="nil"/>
              <w:left w:val="nil"/>
              <w:bottom w:val="nil"/>
              <w:right w:val="nil"/>
            </w:tcBorders>
            <w:shd w:val="clear" w:color="auto" w:fill="auto"/>
            <w:noWrap/>
            <w:tcMar>
              <w:top w:w="0" w:type="dxa"/>
              <w:left w:w="57" w:type="dxa"/>
              <w:bottom w:w="0" w:type="dxa"/>
              <w:right w:w="57" w:type="dxa"/>
            </w:tcMar>
            <w:hideMark/>
          </w:tcPr>
          <w:p w:rsidR="007C347E" w:rsidRPr="00B07B55" w:rsidRDefault="007C347E" w:rsidP="006E09C0">
            <w:pPr>
              <w:pStyle w:val="Tabletext"/>
              <w:rPr>
                <w:lang w:val="en-GB"/>
              </w:rPr>
            </w:pPr>
            <w:r w:rsidRPr="00B07B55">
              <w:rPr>
                <w:lang w:val="en-GB"/>
              </w:rPr>
              <w:t>Degree and above</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20.38</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21.44</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27.09</w:t>
            </w:r>
          </w:p>
        </w:tc>
        <w:tc>
          <w:tcPr>
            <w:tcW w:w="605" w:type="pct"/>
            <w:tcBorders>
              <w:top w:val="nil"/>
              <w:left w:val="nil"/>
              <w:bottom w:val="nil"/>
              <w:right w:val="nil"/>
            </w:tcBorders>
            <w:shd w:val="clear" w:color="auto" w:fill="auto"/>
            <w:noWrap/>
            <w:tcMar>
              <w:top w:w="13" w:type="dxa"/>
              <w:left w:w="15" w:type="dxa"/>
              <w:bottom w:w="0" w:type="dxa"/>
              <w:right w:w="15" w:type="dxa"/>
            </w:tcMar>
            <w:hideMark/>
          </w:tcPr>
          <w:p w:rsidR="007C347E" w:rsidRPr="00B07B55" w:rsidRDefault="007C347E" w:rsidP="00713FC5">
            <w:pPr>
              <w:pStyle w:val="Tabletext"/>
              <w:tabs>
                <w:tab w:val="decimal" w:pos="510"/>
              </w:tabs>
              <w:rPr>
                <w:lang w:val="en-GB"/>
              </w:rPr>
            </w:pPr>
            <w:r w:rsidRPr="00B07B55">
              <w:rPr>
                <w:lang w:val="en-GB"/>
              </w:rPr>
              <w:t>11.68</w:t>
            </w:r>
          </w:p>
        </w:tc>
      </w:tr>
      <w:tr w:rsidR="007C347E" w:rsidRPr="00B07B55" w:rsidTr="006E09C0">
        <w:tc>
          <w:tcPr>
            <w:tcW w:w="2580" w:type="pct"/>
            <w:tcBorders>
              <w:top w:val="nil"/>
              <w:left w:val="nil"/>
              <w:bottom w:val="nil"/>
              <w:right w:val="nil"/>
            </w:tcBorders>
            <w:shd w:val="clear" w:color="auto" w:fill="auto"/>
            <w:noWrap/>
            <w:tcMar>
              <w:top w:w="0" w:type="dxa"/>
              <w:left w:w="57" w:type="dxa"/>
              <w:bottom w:w="0" w:type="dxa"/>
              <w:right w:w="57" w:type="dxa"/>
            </w:tcMar>
            <w:hideMark/>
          </w:tcPr>
          <w:p w:rsidR="007C347E" w:rsidRPr="00B07B55" w:rsidRDefault="007C347E" w:rsidP="006E09C0">
            <w:pPr>
              <w:pStyle w:val="Tabletext"/>
              <w:spacing w:before="120"/>
              <w:rPr>
                <w:lang w:val="en-GB"/>
              </w:rPr>
            </w:pPr>
            <w:r w:rsidRPr="00B07B55">
              <w:rPr>
                <w:lang w:val="en-GB"/>
              </w:rPr>
              <w:t>Full-time worker</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spacing w:before="120"/>
              <w:rPr>
                <w:lang w:val="en-GB"/>
              </w:rPr>
            </w:pPr>
            <w:r w:rsidRPr="00B07B55">
              <w:rPr>
                <w:lang w:val="en-GB"/>
              </w:rPr>
              <w:t>74.08</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spacing w:before="120"/>
              <w:rPr>
                <w:lang w:val="en-GB"/>
              </w:rPr>
            </w:pPr>
            <w:r w:rsidRPr="00B07B55">
              <w:rPr>
                <w:lang w:val="en-GB"/>
              </w:rPr>
              <w:t>76.34</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spacing w:before="120"/>
              <w:rPr>
                <w:lang w:val="en-GB"/>
              </w:rPr>
            </w:pPr>
            <w:r w:rsidRPr="00B07B55">
              <w:rPr>
                <w:lang w:val="en-GB"/>
              </w:rPr>
              <w:t>81.23</w:t>
            </w:r>
          </w:p>
        </w:tc>
        <w:tc>
          <w:tcPr>
            <w:tcW w:w="605" w:type="pct"/>
            <w:tcBorders>
              <w:top w:val="nil"/>
              <w:left w:val="nil"/>
              <w:bottom w:val="nil"/>
              <w:right w:val="nil"/>
            </w:tcBorders>
            <w:shd w:val="clear" w:color="auto" w:fill="auto"/>
            <w:noWrap/>
            <w:tcMar>
              <w:top w:w="13" w:type="dxa"/>
              <w:left w:w="15" w:type="dxa"/>
              <w:bottom w:w="0" w:type="dxa"/>
              <w:right w:w="15" w:type="dxa"/>
            </w:tcMar>
            <w:hideMark/>
          </w:tcPr>
          <w:p w:rsidR="007C347E" w:rsidRPr="00B07B55" w:rsidRDefault="007C347E" w:rsidP="00713FC5">
            <w:pPr>
              <w:pStyle w:val="Tabletext"/>
              <w:tabs>
                <w:tab w:val="decimal" w:pos="510"/>
              </w:tabs>
              <w:spacing w:before="120"/>
              <w:rPr>
                <w:lang w:val="en-GB"/>
              </w:rPr>
            </w:pPr>
            <w:r w:rsidRPr="00B07B55">
              <w:rPr>
                <w:lang w:val="en-GB"/>
              </w:rPr>
              <w:t>45.41</w:t>
            </w:r>
          </w:p>
        </w:tc>
      </w:tr>
      <w:tr w:rsidR="007C347E" w:rsidRPr="00B07B55" w:rsidTr="006E09C0">
        <w:tc>
          <w:tcPr>
            <w:tcW w:w="2580"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6E09C0">
            <w:pPr>
              <w:pStyle w:val="Tabletext"/>
              <w:rPr>
                <w:lang w:val="en-GB"/>
              </w:rPr>
            </w:pPr>
            <w:r w:rsidRPr="00B07B55">
              <w:rPr>
                <w:lang w:val="en-GB"/>
              </w:rPr>
              <w:t>Part-time worker</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7.31</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5.36</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11.9</w:t>
            </w:r>
          </w:p>
        </w:tc>
        <w:tc>
          <w:tcPr>
            <w:tcW w:w="605" w:type="pct"/>
            <w:tcBorders>
              <w:top w:val="nil"/>
              <w:left w:val="nil"/>
              <w:bottom w:val="nil"/>
              <w:right w:val="nil"/>
            </w:tcBorders>
            <w:shd w:val="clear" w:color="auto" w:fill="auto"/>
            <w:noWrap/>
            <w:tcMar>
              <w:top w:w="13" w:type="dxa"/>
              <w:left w:w="15" w:type="dxa"/>
              <w:bottom w:w="0" w:type="dxa"/>
              <w:right w:w="15" w:type="dxa"/>
            </w:tcMar>
            <w:hideMark/>
          </w:tcPr>
          <w:p w:rsidR="007C347E" w:rsidRPr="00B07B55" w:rsidRDefault="007C347E" w:rsidP="00713FC5">
            <w:pPr>
              <w:pStyle w:val="Tabletext"/>
              <w:tabs>
                <w:tab w:val="decimal" w:pos="510"/>
              </w:tabs>
              <w:rPr>
                <w:lang w:val="en-GB"/>
              </w:rPr>
            </w:pPr>
            <w:r w:rsidRPr="00B07B55">
              <w:rPr>
                <w:lang w:val="en-GB"/>
              </w:rPr>
              <w:t>39.91</w:t>
            </w:r>
          </w:p>
        </w:tc>
      </w:tr>
      <w:tr w:rsidR="007C347E" w:rsidRPr="006E09C0" w:rsidTr="006E09C0">
        <w:tc>
          <w:tcPr>
            <w:tcW w:w="2580" w:type="pct"/>
            <w:tcBorders>
              <w:top w:val="nil"/>
              <w:left w:val="nil"/>
              <w:bottom w:val="nil"/>
              <w:right w:val="nil"/>
            </w:tcBorders>
            <w:shd w:val="clear" w:color="auto" w:fill="auto"/>
            <w:noWrap/>
            <w:tcMar>
              <w:top w:w="13" w:type="dxa"/>
              <w:left w:w="57" w:type="dxa"/>
              <w:bottom w:w="0" w:type="dxa"/>
              <w:right w:w="57" w:type="dxa"/>
            </w:tcMar>
            <w:hideMark/>
          </w:tcPr>
          <w:p w:rsidR="007C347E" w:rsidRPr="006E09C0" w:rsidRDefault="007C347E" w:rsidP="006E09C0">
            <w:pPr>
              <w:pStyle w:val="Tabletext"/>
              <w:spacing w:before="120"/>
              <w:rPr>
                <w:b/>
                <w:szCs w:val="16"/>
              </w:rPr>
            </w:pPr>
            <w:r w:rsidRPr="006E09C0">
              <w:rPr>
                <w:b/>
                <w:szCs w:val="16"/>
              </w:rPr>
              <w:t>Females</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6E09C0" w:rsidRDefault="007C347E" w:rsidP="00713FC5">
            <w:pPr>
              <w:pStyle w:val="Tabletext"/>
              <w:tabs>
                <w:tab w:val="decimal" w:pos="510"/>
              </w:tabs>
              <w:spacing w:before="120"/>
            </w:pP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6E09C0" w:rsidRDefault="007C347E" w:rsidP="00713FC5">
            <w:pPr>
              <w:pStyle w:val="Tabletext"/>
              <w:tabs>
                <w:tab w:val="decimal" w:pos="510"/>
              </w:tabs>
              <w:spacing w:before="120"/>
            </w:pP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6E09C0" w:rsidRDefault="007C347E" w:rsidP="00713FC5">
            <w:pPr>
              <w:pStyle w:val="Tabletext"/>
              <w:tabs>
                <w:tab w:val="decimal" w:pos="510"/>
              </w:tabs>
              <w:spacing w:before="120"/>
            </w:pPr>
          </w:p>
        </w:tc>
        <w:tc>
          <w:tcPr>
            <w:tcW w:w="605" w:type="pct"/>
            <w:tcBorders>
              <w:top w:val="nil"/>
              <w:left w:val="nil"/>
              <w:bottom w:val="nil"/>
              <w:right w:val="nil"/>
            </w:tcBorders>
            <w:shd w:val="clear" w:color="auto" w:fill="auto"/>
            <w:noWrap/>
            <w:tcMar>
              <w:top w:w="13" w:type="dxa"/>
              <w:left w:w="15" w:type="dxa"/>
              <w:bottom w:w="0" w:type="dxa"/>
              <w:right w:w="15" w:type="dxa"/>
            </w:tcMar>
            <w:hideMark/>
          </w:tcPr>
          <w:p w:rsidR="007C347E" w:rsidRPr="006E09C0" w:rsidRDefault="007C347E" w:rsidP="00713FC5">
            <w:pPr>
              <w:pStyle w:val="Tabletext"/>
              <w:tabs>
                <w:tab w:val="decimal" w:pos="510"/>
              </w:tabs>
              <w:spacing w:before="120"/>
            </w:pPr>
          </w:p>
        </w:tc>
      </w:tr>
      <w:tr w:rsidR="007C347E" w:rsidRPr="00874A6C" w:rsidTr="006E09C0">
        <w:tc>
          <w:tcPr>
            <w:tcW w:w="2580" w:type="pct"/>
            <w:tcBorders>
              <w:top w:val="nil"/>
              <w:left w:val="nil"/>
              <w:bottom w:val="nil"/>
              <w:right w:val="nil"/>
            </w:tcBorders>
            <w:shd w:val="clear" w:color="auto" w:fill="auto"/>
            <w:noWrap/>
            <w:tcMar>
              <w:top w:w="13" w:type="dxa"/>
              <w:left w:w="57" w:type="dxa"/>
              <w:bottom w:w="0" w:type="dxa"/>
              <w:right w:w="57" w:type="dxa"/>
            </w:tcMar>
            <w:hideMark/>
          </w:tcPr>
          <w:p w:rsidR="007C347E" w:rsidRPr="00874A6C" w:rsidRDefault="004A14A5" w:rsidP="006E09C0">
            <w:pPr>
              <w:pStyle w:val="Tabletext"/>
              <w:rPr>
                <w:i/>
                <w:lang w:val="en-GB"/>
              </w:rPr>
            </w:pPr>
            <w:r w:rsidRPr="00874A6C">
              <w:rPr>
                <w:i/>
                <w:lang w:val="en-GB"/>
              </w:rPr>
              <w:t>Observations</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874A6C" w:rsidRDefault="007C347E" w:rsidP="00713FC5">
            <w:pPr>
              <w:pStyle w:val="Tabletext"/>
              <w:tabs>
                <w:tab w:val="decimal" w:pos="510"/>
              </w:tabs>
              <w:rPr>
                <w:i/>
                <w:lang w:val="en-GB"/>
              </w:rPr>
            </w:pPr>
            <w:r w:rsidRPr="00874A6C">
              <w:rPr>
                <w:i/>
                <w:lang w:val="en-GB"/>
              </w:rPr>
              <w:t>49</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874A6C" w:rsidRDefault="007C347E" w:rsidP="00713FC5">
            <w:pPr>
              <w:pStyle w:val="Tabletext"/>
              <w:tabs>
                <w:tab w:val="decimal" w:pos="510"/>
              </w:tabs>
              <w:rPr>
                <w:i/>
                <w:lang w:val="en-GB"/>
              </w:rPr>
            </w:pPr>
            <w:r w:rsidRPr="00874A6C">
              <w:rPr>
                <w:i/>
                <w:lang w:val="en-GB"/>
              </w:rPr>
              <w:t>40</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874A6C" w:rsidRDefault="007C347E" w:rsidP="00713FC5">
            <w:pPr>
              <w:pStyle w:val="Tabletext"/>
              <w:tabs>
                <w:tab w:val="decimal" w:pos="510"/>
              </w:tabs>
              <w:rPr>
                <w:i/>
                <w:lang w:val="en-GB"/>
              </w:rPr>
            </w:pPr>
            <w:r w:rsidRPr="00874A6C">
              <w:rPr>
                <w:i/>
                <w:lang w:val="en-GB"/>
              </w:rPr>
              <w:t>18</w:t>
            </w:r>
          </w:p>
        </w:tc>
        <w:tc>
          <w:tcPr>
            <w:tcW w:w="605" w:type="pct"/>
            <w:tcBorders>
              <w:top w:val="nil"/>
              <w:left w:val="nil"/>
              <w:bottom w:val="nil"/>
              <w:right w:val="nil"/>
            </w:tcBorders>
            <w:shd w:val="clear" w:color="auto" w:fill="auto"/>
            <w:noWrap/>
            <w:tcMar>
              <w:top w:w="13" w:type="dxa"/>
              <w:left w:w="15" w:type="dxa"/>
              <w:bottom w:w="0" w:type="dxa"/>
              <w:right w:w="15" w:type="dxa"/>
            </w:tcMar>
            <w:hideMark/>
          </w:tcPr>
          <w:p w:rsidR="007C347E" w:rsidRPr="00874A6C" w:rsidRDefault="007C347E" w:rsidP="00713FC5">
            <w:pPr>
              <w:pStyle w:val="Tabletext"/>
              <w:tabs>
                <w:tab w:val="decimal" w:pos="510"/>
              </w:tabs>
              <w:rPr>
                <w:i/>
                <w:lang w:val="en-GB"/>
              </w:rPr>
            </w:pPr>
            <w:r w:rsidRPr="00874A6C">
              <w:rPr>
                <w:i/>
                <w:lang w:val="en-GB"/>
              </w:rPr>
              <w:t>4</w:t>
            </w:r>
          </w:p>
        </w:tc>
      </w:tr>
      <w:tr w:rsidR="007C347E" w:rsidRPr="00B07B55" w:rsidTr="006E09C0">
        <w:tc>
          <w:tcPr>
            <w:tcW w:w="2580"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6E09C0">
            <w:pPr>
              <w:pStyle w:val="Tabletext"/>
              <w:rPr>
                <w:lang w:val="en-GB"/>
              </w:rPr>
            </w:pPr>
            <w:r w:rsidRPr="00B07B55">
              <w:rPr>
                <w:lang w:val="en-GB"/>
              </w:rPr>
              <w:t xml:space="preserve">Below </w:t>
            </w:r>
            <w:r w:rsidR="004A14A5" w:rsidRPr="00B07B55">
              <w:rPr>
                <w:lang w:val="en-GB"/>
              </w:rPr>
              <w:t xml:space="preserve">Year </w:t>
            </w:r>
            <w:r w:rsidRPr="00B07B55">
              <w:rPr>
                <w:lang w:val="en-GB"/>
              </w:rPr>
              <w:t>10</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2.95</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0</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0</w:t>
            </w:r>
          </w:p>
        </w:tc>
        <w:tc>
          <w:tcPr>
            <w:tcW w:w="605" w:type="pct"/>
            <w:tcBorders>
              <w:top w:val="nil"/>
              <w:left w:val="nil"/>
              <w:bottom w:val="nil"/>
              <w:right w:val="nil"/>
            </w:tcBorders>
            <w:shd w:val="clear" w:color="auto" w:fill="auto"/>
            <w:noWrap/>
            <w:tcMar>
              <w:top w:w="13" w:type="dxa"/>
              <w:left w:w="15" w:type="dxa"/>
              <w:bottom w:w="0" w:type="dxa"/>
              <w:right w:w="15" w:type="dxa"/>
            </w:tcMar>
            <w:hideMark/>
          </w:tcPr>
          <w:p w:rsidR="007C347E" w:rsidRPr="00B07B55" w:rsidRDefault="007C347E" w:rsidP="00713FC5">
            <w:pPr>
              <w:pStyle w:val="Tabletext"/>
              <w:tabs>
                <w:tab w:val="decimal" w:pos="510"/>
              </w:tabs>
              <w:rPr>
                <w:lang w:val="en-GB"/>
              </w:rPr>
            </w:pPr>
            <w:r w:rsidRPr="00B07B55">
              <w:rPr>
                <w:lang w:val="en-GB"/>
              </w:rPr>
              <w:t>0</w:t>
            </w:r>
          </w:p>
        </w:tc>
      </w:tr>
      <w:tr w:rsidR="007C347E" w:rsidRPr="00B07B55" w:rsidTr="006E09C0">
        <w:tc>
          <w:tcPr>
            <w:tcW w:w="2580"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E91E87" w:rsidP="006E09C0">
            <w:pPr>
              <w:pStyle w:val="Tabletext"/>
              <w:rPr>
                <w:lang w:val="en-GB"/>
              </w:rPr>
            </w:pPr>
            <w:r>
              <w:rPr>
                <w:lang w:val="en-GB"/>
              </w:rPr>
              <w:t>Year 10–</w:t>
            </w:r>
            <w:r w:rsidRPr="00B07B55">
              <w:rPr>
                <w:lang w:val="en-GB"/>
              </w:rPr>
              <w:t xml:space="preserve">11 or </w:t>
            </w:r>
            <w:r w:rsidR="004A14A5" w:rsidRPr="00B07B55">
              <w:rPr>
                <w:lang w:val="en-GB"/>
              </w:rPr>
              <w:t>cert</w:t>
            </w:r>
            <w:r>
              <w:rPr>
                <w:lang w:val="en-GB"/>
              </w:rPr>
              <w:t>. I–II</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8.88</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13.98</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13.46</w:t>
            </w:r>
          </w:p>
        </w:tc>
        <w:tc>
          <w:tcPr>
            <w:tcW w:w="605" w:type="pct"/>
            <w:tcBorders>
              <w:top w:val="nil"/>
              <w:left w:val="nil"/>
              <w:bottom w:val="nil"/>
              <w:right w:val="nil"/>
            </w:tcBorders>
            <w:shd w:val="clear" w:color="auto" w:fill="auto"/>
            <w:noWrap/>
            <w:tcMar>
              <w:top w:w="13" w:type="dxa"/>
              <w:left w:w="15" w:type="dxa"/>
              <w:bottom w:w="0" w:type="dxa"/>
              <w:right w:w="15" w:type="dxa"/>
            </w:tcMar>
            <w:hideMark/>
          </w:tcPr>
          <w:p w:rsidR="007C347E" w:rsidRPr="00B07B55" w:rsidRDefault="007C347E" w:rsidP="00713FC5">
            <w:pPr>
              <w:pStyle w:val="Tabletext"/>
              <w:tabs>
                <w:tab w:val="decimal" w:pos="510"/>
              </w:tabs>
              <w:rPr>
                <w:lang w:val="en-GB"/>
              </w:rPr>
            </w:pPr>
            <w:r w:rsidRPr="00B07B55">
              <w:rPr>
                <w:lang w:val="en-GB"/>
              </w:rPr>
              <w:t>0</w:t>
            </w:r>
          </w:p>
        </w:tc>
      </w:tr>
      <w:tr w:rsidR="007C347E" w:rsidRPr="00B07B55" w:rsidTr="006E09C0">
        <w:tc>
          <w:tcPr>
            <w:tcW w:w="2580"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6E09C0">
            <w:pPr>
              <w:pStyle w:val="Tabletext"/>
              <w:rPr>
                <w:lang w:val="en-GB"/>
              </w:rPr>
            </w:pPr>
            <w:r w:rsidRPr="00B07B55">
              <w:rPr>
                <w:lang w:val="en-GB"/>
              </w:rPr>
              <w:t>C</w:t>
            </w:r>
            <w:r w:rsidR="00E91E87">
              <w:rPr>
                <w:lang w:val="en-GB"/>
              </w:rPr>
              <w:t>ompleted Y</w:t>
            </w:r>
            <w:r w:rsidRPr="00B07B55">
              <w:rPr>
                <w:lang w:val="en-GB"/>
              </w:rPr>
              <w:t>ear 12</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24.34</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24.65</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17.79</w:t>
            </w:r>
          </w:p>
        </w:tc>
        <w:tc>
          <w:tcPr>
            <w:tcW w:w="605" w:type="pct"/>
            <w:tcBorders>
              <w:top w:val="nil"/>
              <w:left w:val="nil"/>
              <w:bottom w:val="nil"/>
              <w:right w:val="nil"/>
            </w:tcBorders>
            <w:shd w:val="clear" w:color="auto" w:fill="auto"/>
            <w:noWrap/>
            <w:tcMar>
              <w:top w:w="13" w:type="dxa"/>
              <w:left w:w="15" w:type="dxa"/>
              <w:bottom w:w="0" w:type="dxa"/>
              <w:right w:w="15" w:type="dxa"/>
            </w:tcMar>
            <w:hideMark/>
          </w:tcPr>
          <w:p w:rsidR="007C347E" w:rsidRPr="00B07B55" w:rsidRDefault="007C347E" w:rsidP="00713FC5">
            <w:pPr>
              <w:pStyle w:val="Tabletext"/>
              <w:tabs>
                <w:tab w:val="decimal" w:pos="510"/>
              </w:tabs>
              <w:rPr>
                <w:lang w:val="en-GB"/>
              </w:rPr>
            </w:pPr>
            <w:r w:rsidRPr="00B07B55">
              <w:rPr>
                <w:lang w:val="en-GB"/>
              </w:rPr>
              <w:t>0</w:t>
            </w:r>
          </w:p>
        </w:tc>
      </w:tr>
      <w:tr w:rsidR="007C347E" w:rsidRPr="00B07B55" w:rsidTr="006E09C0">
        <w:tc>
          <w:tcPr>
            <w:tcW w:w="2580"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E91E87" w:rsidP="006E09C0">
            <w:pPr>
              <w:pStyle w:val="Tabletext"/>
              <w:rPr>
                <w:lang w:val="en-GB"/>
              </w:rPr>
            </w:pPr>
            <w:r>
              <w:rPr>
                <w:lang w:val="en-GB"/>
              </w:rPr>
              <w:t>Certificate III/</w:t>
            </w:r>
            <w:r w:rsidR="007C347E" w:rsidRPr="00B07B55">
              <w:rPr>
                <w:lang w:val="en-GB"/>
              </w:rPr>
              <w:t>IV</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1.99</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21.2</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6.2</w:t>
            </w:r>
          </w:p>
        </w:tc>
        <w:tc>
          <w:tcPr>
            <w:tcW w:w="605" w:type="pct"/>
            <w:tcBorders>
              <w:top w:val="nil"/>
              <w:left w:val="nil"/>
              <w:bottom w:val="nil"/>
              <w:right w:val="nil"/>
            </w:tcBorders>
            <w:shd w:val="clear" w:color="auto" w:fill="auto"/>
            <w:noWrap/>
            <w:tcMar>
              <w:top w:w="13" w:type="dxa"/>
              <w:left w:w="15" w:type="dxa"/>
              <w:bottom w:w="0" w:type="dxa"/>
              <w:right w:w="15" w:type="dxa"/>
            </w:tcMar>
            <w:hideMark/>
          </w:tcPr>
          <w:p w:rsidR="007C347E" w:rsidRPr="00B07B55" w:rsidRDefault="007C347E" w:rsidP="00713FC5">
            <w:pPr>
              <w:pStyle w:val="Tabletext"/>
              <w:tabs>
                <w:tab w:val="decimal" w:pos="510"/>
              </w:tabs>
              <w:rPr>
                <w:lang w:val="en-GB"/>
              </w:rPr>
            </w:pPr>
            <w:r w:rsidRPr="00B07B55">
              <w:rPr>
                <w:lang w:val="en-GB"/>
              </w:rPr>
              <w:t>22.54</w:t>
            </w:r>
          </w:p>
        </w:tc>
      </w:tr>
      <w:tr w:rsidR="007C347E" w:rsidRPr="00B07B55" w:rsidTr="006E09C0">
        <w:tc>
          <w:tcPr>
            <w:tcW w:w="2580"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6E09C0">
            <w:pPr>
              <w:pStyle w:val="Tabletext"/>
              <w:rPr>
                <w:lang w:val="en-GB"/>
              </w:rPr>
            </w:pPr>
            <w:r w:rsidRPr="00B07B55">
              <w:rPr>
                <w:lang w:val="en-GB"/>
              </w:rPr>
              <w:t>Diploma</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45.36</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24.41</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27.03</w:t>
            </w:r>
          </w:p>
        </w:tc>
        <w:tc>
          <w:tcPr>
            <w:tcW w:w="605" w:type="pct"/>
            <w:tcBorders>
              <w:top w:val="nil"/>
              <w:left w:val="nil"/>
              <w:bottom w:val="nil"/>
              <w:right w:val="nil"/>
            </w:tcBorders>
            <w:shd w:val="clear" w:color="auto" w:fill="auto"/>
            <w:noWrap/>
            <w:tcMar>
              <w:top w:w="13" w:type="dxa"/>
              <w:left w:w="15" w:type="dxa"/>
              <w:bottom w:w="0" w:type="dxa"/>
              <w:right w:w="15" w:type="dxa"/>
            </w:tcMar>
            <w:hideMark/>
          </w:tcPr>
          <w:p w:rsidR="007C347E" w:rsidRPr="00B07B55" w:rsidRDefault="007C347E" w:rsidP="00713FC5">
            <w:pPr>
              <w:pStyle w:val="Tabletext"/>
              <w:tabs>
                <w:tab w:val="decimal" w:pos="510"/>
              </w:tabs>
              <w:rPr>
                <w:lang w:val="en-GB"/>
              </w:rPr>
            </w:pPr>
            <w:r w:rsidRPr="00B07B55">
              <w:rPr>
                <w:lang w:val="en-GB"/>
              </w:rPr>
              <w:t>0</w:t>
            </w:r>
          </w:p>
        </w:tc>
      </w:tr>
      <w:tr w:rsidR="007C347E" w:rsidRPr="00B07B55" w:rsidTr="006E09C0">
        <w:tc>
          <w:tcPr>
            <w:tcW w:w="2580"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6E09C0">
            <w:pPr>
              <w:pStyle w:val="Tabletext"/>
              <w:rPr>
                <w:lang w:val="en-GB"/>
              </w:rPr>
            </w:pPr>
            <w:r w:rsidRPr="00B07B55">
              <w:rPr>
                <w:lang w:val="en-GB"/>
              </w:rPr>
              <w:t>Degree and above</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16.48</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15.76</w:t>
            </w:r>
          </w:p>
        </w:tc>
        <w:tc>
          <w:tcPr>
            <w:tcW w:w="605" w:type="pct"/>
            <w:tcBorders>
              <w:top w:val="nil"/>
              <w:left w:val="nil"/>
              <w:bottom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35.52</w:t>
            </w:r>
          </w:p>
        </w:tc>
        <w:tc>
          <w:tcPr>
            <w:tcW w:w="605" w:type="pct"/>
            <w:tcBorders>
              <w:top w:val="nil"/>
              <w:left w:val="nil"/>
              <w:bottom w:val="nil"/>
              <w:right w:val="nil"/>
            </w:tcBorders>
            <w:shd w:val="clear" w:color="auto" w:fill="auto"/>
            <w:noWrap/>
            <w:tcMar>
              <w:top w:w="13" w:type="dxa"/>
              <w:left w:w="15" w:type="dxa"/>
              <w:bottom w:w="0" w:type="dxa"/>
              <w:right w:w="15" w:type="dxa"/>
            </w:tcMar>
            <w:hideMark/>
          </w:tcPr>
          <w:p w:rsidR="007C347E" w:rsidRPr="00B07B55" w:rsidRDefault="007C347E" w:rsidP="00713FC5">
            <w:pPr>
              <w:pStyle w:val="Tabletext"/>
              <w:tabs>
                <w:tab w:val="decimal" w:pos="510"/>
              </w:tabs>
              <w:rPr>
                <w:lang w:val="en-GB"/>
              </w:rPr>
            </w:pPr>
            <w:r w:rsidRPr="00B07B55">
              <w:rPr>
                <w:lang w:val="en-GB"/>
              </w:rPr>
              <w:t>77.46</w:t>
            </w:r>
          </w:p>
        </w:tc>
      </w:tr>
      <w:tr w:rsidR="007C347E" w:rsidRPr="00B07B55" w:rsidTr="006E09C0">
        <w:tc>
          <w:tcPr>
            <w:tcW w:w="2580" w:type="pct"/>
            <w:tcBorders>
              <w:top w:val="nil"/>
              <w:left w:val="nil"/>
              <w:right w:val="nil"/>
            </w:tcBorders>
            <w:shd w:val="clear" w:color="auto" w:fill="auto"/>
            <w:noWrap/>
            <w:tcMar>
              <w:top w:w="13" w:type="dxa"/>
              <w:left w:w="57" w:type="dxa"/>
              <w:bottom w:w="0" w:type="dxa"/>
              <w:right w:w="57" w:type="dxa"/>
            </w:tcMar>
            <w:hideMark/>
          </w:tcPr>
          <w:p w:rsidR="007C347E" w:rsidRPr="00B07B55" w:rsidRDefault="007C347E" w:rsidP="006E09C0">
            <w:pPr>
              <w:pStyle w:val="Tabletext"/>
              <w:spacing w:before="120"/>
              <w:rPr>
                <w:lang w:val="en-GB"/>
              </w:rPr>
            </w:pPr>
            <w:r w:rsidRPr="00B07B55">
              <w:rPr>
                <w:lang w:val="en-GB"/>
              </w:rPr>
              <w:t>Full-time worker</w:t>
            </w:r>
          </w:p>
        </w:tc>
        <w:tc>
          <w:tcPr>
            <w:tcW w:w="605" w:type="pct"/>
            <w:tcBorders>
              <w:top w:val="nil"/>
              <w:left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spacing w:before="120"/>
              <w:rPr>
                <w:lang w:val="en-GB"/>
              </w:rPr>
            </w:pPr>
            <w:r w:rsidRPr="00B07B55">
              <w:rPr>
                <w:lang w:val="en-GB"/>
              </w:rPr>
              <w:t>47.71</w:t>
            </w:r>
          </w:p>
        </w:tc>
        <w:tc>
          <w:tcPr>
            <w:tcW w:w="605" w:type="pct"/>
            <w:tcBorders>
              <w:top w:val="nil"/>
              <w:left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spacing w:before="120"/>
              <w:rPr>
                <w:lang w:val="en-GB"/>
              </w:rPr>
            </w:pPr>
            <w:r w:rsidRPr="00B07B55">
              <w:rPr>
                <w:lang w:val="en-GB"/>
              </w:rPr>
              <w:t>42.44</w:t>
            </w:r>
          </w:p>
        </w:tc>
        <w:tc>
          <w:tcPr>
            <w:tcW w:w="605" w:type="pct"/>
            <w:tcBorders>
              <w:top w:val="nil"/>
              <w:left w:val="nil"/>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spacing w:before="120"/>
              <w:rPr>
                <w:lang w:val="en-GB"/>
              </w:rPr>
            </w:pPr>
            <w:r w:rsidRPr="00B07B55">
              <w:rPr>
                <w:lang w:val="en-GB"/>
              </w:rPr>
              <w:t>55.03</w:t>
            </w:r>
          </w:p>
        </w:tc>
        <w:tc>
          <w:tcPr>
            <w:tcW w:w="605" w:type="pct"/>
            <w:tcBorders>
              <w:top w:val="nil"/>
              <w:left w:val="nil"/>
              <w:right w:val="nil"/>
            </w:tcBorders>
            <w:shd w:val="clear" w:color="auto" w:fill="auto"/>
            <w:noWrap/>
            <w:tcMar>
              <w:top w:w="13" w:type="dxa"/>
              <w:left w:w="15" w:type="dxa"/>
              <w:bottom w:w="0" w:type="dxa"/>
              <w:right w:w="15" w:type="dxa"/>
            </w:tcMar>
            <w:hideMark/>
          </w:tcPr>
          <w:p w:rsidR="007C347E" w:rsidRPr="00B07B55" w:rsidRDefault="007C347E" w:rsidP="00713FC5">
            <w:pPr>
              <w:pStyle w:val="Tabletext"/>
              <w:tabs>
                <w:tab w:val="decimal" w:pos="510"/>
              </w:tabs>
              <w:spacing w:before="120"/>
              <w:rPr>
                <w:lang w:val="en-GB"/>
              </w:rPr>
            </w:pPr>
            <w:r w:rsidRPr="00B07B55">
              <w:rPr>
                <w:lang w:val="en-GB"/>
              </w:rPr>
              <w:t>68.1</w:t>
            </w:r>
          </w:p>
        </w:tc>
      </w:tr>
      <w:tr w:rsidR="007C347E" w:rsidRPr="00B07B55" w:rsidTr="006E09C0">
        <w:tc>
          <w:tcPr>
            <w:tcW w:w="2580" w:type="pct"/>
            <w:tcBorders>
              <w:top w:val="nil"/>
              <w:left w:val="nil"/>
              <w:bottom w:val="single" w:sz="4" w:space="0" w:color="auto"/>
              <w:right w:val="nil"/>
            </w:tcBorders>
            <w:shd w:val="clear" w:color="auto" w:fill="auto"/>
            <w:noWrap/>
            <w:tcMar>
              <w:top w:w="13" w:type="dxa"/>
              <w:left w:w="57" w:type="dxa"/>
              <w:bottom w:w="0" w:type="dxa"/>
              <w:right w:w="57" w:type="dxa"/>
            </w:tcMar>
            <w:hideMark/>
          </w:tcPr>
          <w:p w:rsidR="007C347E" w:rsidRPr="00B07B55" w:rsidRDefault="007C347E" w:rsidP="006E09C0">
            <w:pPr>
              <w:pStyle w:val="Tabletext"/>
              <w:rPr>
                <w:lang w:val="en-GB"/>
              </w:rPr>
            </w:pPr>
            <w:r w:rsidRPr="00B07B55">
              <w:rPr>
                <w:lang w:val="en-GB"/>
              </w:rPr>
              <w:t>Part-time worker</w:t>
            </w:r>
          </w:p>
        </w:tc>
        <w:tc>
          <w:tcPr>
            <w:tcW w:w="605" w:type="pct"/>
            <w:tcBorders>
              <w:top w:val="nil"/>
              <w:left w:val="nil"/>
              <w:bottom w:val="single" w:sz="4" w:space="0" w:color="auto"/>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22.99</w:t>
            </w:r>
          </w:p>
        </w:tc>
        <w:tc>
          <w:tcPr>
            <w:tcW w:w="605" w:type="pct"/>
            <w:tcBorders>
              <w:top w:val="nil"/>
              <w:left w:val="nil"/>
              <w:bottom w:val="single" w:sz="4" w:space="0" w:color="auto"/>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29.77</w:t>
            </w:r>
          </w:p>
        </w:tc>
        <w:tc>
          <w:tcPr>
            <w:tcW w:w="605" w:type="pct"/>
            <w:tcBorders>
              <w:top w:val="nil"/>
              <w:left w:val="nil"/>
              <w:bottom w:val="single" w:sz="4" w:space="0" w:color="auto"/>
              <w:right w:val="nil"/>
            </w:tcBorders>
            <w:shd w:val="clear" w:color="auto" w:fill="auto"/>
            <w:noWrap/>
            <w:tcMar>
              <w:top w:w="13" w:type="dxa"/>
              <w:left w:w="57" w:type="dxa"/>
              <w:bottom w:w="0" w:type="dxa"/>
              <w:right w:w="57" w:type="dxa"/>
            </w:tcMar>
            <w:hideMark/>
          </w:tcPr>
          <w:p w:rsidR="007C347E" w:rsidRPr="00B07B55" w:rsidRDefault="007C347E" w:rsidP="00713FC5">
            <w:pPr>
              <w:pStyle w:val="Tabletext"/>
              <w:tabs>
                <w:tab w:val="decimal" w:pos="510"/>
              </w:tabs>
              <w:rPr>
                <w:lang w:val="en-GB"/>
              </w:rPr>
            </w:pPr>
            <w:r w:rsidRPr="00B07B55">
              <w:rPr>
                <w:lang w:val="en-GB"/>
              </w:rPr>
              <w:t>38.77</w:t>
            </w:r>
          </w:p>
        </w:tc>
        <w:tc>
          <w:tcPr>
            <w:tcW w:w="605" w:type="pct"/>
            <w:tcBorders>
              <w:top w:val="nil"/>
              <w:left w:val="nil"/>
              <w:bottom w:val="single" w:sz="4" w:space="0" w:color="auto"/>
              <w:right w:val="nil"/>
            </w:tcBorders>
            <w:shd w:val="clear" w:color="auto" w:fill="auto"/>
            <w:noWrap/>
            <w:tcMar>
              <w:top w:w="13" w:type="dxa"/>
              <w:left w:w="15" w:type="dxa"/>
              <w:bottom w:w="0" w:type="dxa"/>
              <w:right w:w="15" w:type="dxa"/>
            </w:tcMar>
            <w:hideMark/>
          </w:tcPr>
          <w:p w:rsidR="007C347E" w:rsidRPr="00B07B55" w:rsidRDefault="007C347E" w:rsidP="00713FC5">
            <w:pPr>
              <w:pStyle w:val="Tabletext"/>
              <w:tabs>
                <w:tab w:val="decimal" w:pos="510"/>
              </w:tabs>
              <w:rPr>
                <w:lang w:val="en-GB"/>
              </w:rPr>
            </w:pPr>
            <w:r w:rsidRPr="00B07B55">
              <w:rPr>
                <w:lang w:val="en-GB"/>
              </w:rPr>
              <w:t>0</w:t>
            </w:r>
          </w:p>
        </w:tc>
      </w:tr>
    </w:tbl>
    <w:p w:rsidR="00BB3AAD" w:rsidRPr="00B07B55" w:rsidRDefault="006E09C0" w:rsidP="006E09C0">
      <w:pPr>
        <w:pStyle w:val="Source"/>
        <w:rPr>
          <w:lang w:val="en-GB"/>
        </w:rPr>
      </w:pPr>
      <w:r>
        <w:rPr>
          <w:lang w:val="en-GB"/>
        </w:rPr>
        <w:t>Source:</w:t>
      </w:r>
      <w:r>
        <w:rPr>
          <w:lang w:val="en-GB"/>
        </w:rPr>
        <w:tab/>
      </w:r>
      <w:r w:rsidR="00BB3AAD" w:rsidRPr="00B07B55">
        <w:rPr>
          <w:lang w:val="en-GB"/>
        </w:rPr>
        <w:t>HILDA data</w:t>
      </w:r>
      <w:r w:rsidR="00BB3AAD">
        <w:rPr>
          <w:lang w:val="en-GB"/>
        </w:rPr>
        <w:t>, weighted statistics.</w:t>
      </w:r>
    </w:p>
    <w:p w:rsidR="0008221E" w:rsidRPr="00B07B55" w:rsidRDefault="0008221E" w:rsidP="00713FC5">
      <w:pPr>
        <w:pStyle w:val="tabletitle"/>
        <w:rPr>
          <w:lang w:val="en-GB"/>
        </w:rPr>
      </w:pPr>
      <w:bookmarkStart w:id="85" w:name="_Toc311576131"/>
      <w:bookmarkStart w:id="86" w:name="_Toc334021186"/>
      <w:r w:rsidRPr="00B07B55">
        <w:rPr>
          <w:lang w:val="en-GB"/>
        </w:rPr>
        <w:t>Table A4</w:t>
      </w:r>
      <w:r w:rsidRPr="00B07B55">
        <w:rPr>
          <w:lang w:val="en-GB"/>
        </w:rPr>
        <w:tab/>
      </w:r>
      <w:r w:rsidR="0055378D" w:rsidRPr="00713FC5">
        <w:t>HILDA</w:t>
      </w:r>
      <w:r w:rsidR="0055378D" w:rsidRPr="00B07B55">
        <w:rPr>
          <w:lang w:val="en-GB"/>
        </w:rPr>
        <w:t xml:space="preserve"> sample, education levels and employment status of degree students</w:t>
      </w:r>
      <w:bookmarkEnd w:id="85"/>
      <w:bookmarkEnd w:id="86"/>
    </w:p>
    <w:tbl>
      <w:tblPr>
        <w:tblW w:w="8789" w:type="dxa"/>
        <w:tblInd w:w="57" w:type="dxa"/>
        <w:tblLayout w:type="fixed"/>
        <w:tblCellMar>
          <w:left w:w="57" w:type="dxa"/>
          <w:right w:w="57" w:type="dxa"/>
        </w:tblCellMar>
        <w:tblLook w:val="04A0"/>
      </w:tblPr>
      <w:tblGrid>
        <w:gridCol w:w="4501"/>
        <w:gridCol w:w="1072"/>
        <w:gridCol w:w="1072"/>
        <w:gridCol w:w="1072"/>
        <w:gridCol w:w="1072"/>
      </w:tblGrid>
      <w:tr w:rsidR="00E91E87" w:rsidRPr="00713FC5" w:rsidTr="00713FC5">
        <w:tc>
          <w:tcPr>
            <w:tcW w:w="4501" w:type="dxa"/>
            <w:tcBorders>
              <w:top w:val="single" w:sz="4" w:space="0" w:color="auto"/>
              <w:left w:val="nil"/>
              <w:bottom w:val="single" w:sz="8" w:space="0" w:color="auto"/>
              <w:right w:val="nil"/>
            </w:tcBorders>
            <w:shd w:val="clear" w:color="auto" w:fill="auto"/>
            <w:noWrap/>
            <w:tcMar>
              <w:top w:w="13" w:type="dxa"/>
              <w:left w:w="57" w:type="dxa"/>
              <w:bottom w:w="0" w:type="dxa"/>
              <w:right w:w="57" w:type="dxa"/>
            </w:tcMar>
            <w:hideMark/>
          </w:tcPr>
          <w:p w:rsidR="00E91E87" w:rsidRPr="00713FC5" w:rsidRDefault="00E91E87" w:rsidP="00713FC5">
            <w:pPr>
              <w:pStyle w:val="Tablehead1"/>
              <w:rPr>
                <w:szCs w:val="22"/>
              </w:rPr>
            </w:pPr>
            <w:r w:rsidRPr="00713FC5">
              <w:rPr>
                <w:szCs w:val="17"/>
              </w:rPr>
              <w:t>Age group</w:t>
            </w:r>
          </w:p>
        </w:tc>
        <w:tc>
          <w:tcPr>
            <w:tcW w:w="1072" w:type="dxa"/>
            <w:tcBorders>
              <w:top w:val="single" w:sz="4" w:space="0" w:color="auto"/>
              <w:left w:val="nil"/>
              <w:bottom w:val="single" w:sz="8" w:space="0" w:color="auto"/>
              <w:right w:val="nil"/>
            </w:tcBorders>
            <w:shd w:val="clear" w:color="auto" w:fill="auto"/>
            <w:noWrap/>
            <w:tcMar>
              <w:top w:w="13" w:type="dxa"/>
              <w:left w:w="57" w:type="dxa"/>
              <w:bottom w:w="0" w:type="dxa"/>
              <w:right w:w="57" w:type="dxa"/>
            </w:tcMar>
            <w:hideMark/>
          </w:tcPr>
          <w:p w:rsidR="00E91E87" w:rsidRPr="00713FC5" w:rsidRDefault="00E91E87" w:rsidP="00713FC5">
            <w:pPr>
              <w:pStyle w:val="Tablehead1"/>
              <w:jc w:val="center"/>
              <w:rPr>
                <w:szCs w:val="17"/>
              </w:rPr>
            </w:pPr>
            <w:r w:rsidRPr="00713FC5">
              <w:rPr>
                <w:szCs w:val="17"/>
              </w:rPr>
              <w:t>25–34</w:t>
            </w:r>
          </w:p>
        </w:tc>
        <w:tc>
          <w:tcPr>
            <w:tcW w:w="1072" w:type="dxa"/>
            <w:tcBorders>
              <w:top w:val="single" w:sz="4" w:space="0" w:color="auto"/>
              <w:left w:val="nil"/>
              <w:bottom w:val="single" w:sz="8" w:space="0" w:color="auto"/>
              <w:right w:val="nil"/>
            </w:tcBorders>
            <w:shd w:val="clear" w:color="auto" w:fill="auto"/>
            <w:noWrap/>
            <w:tcMar>
              <w:top w:w="13" w:type="dxa"/>
              <w:left w:w="57" w:type="dxa"/>
              <w:bottom w:w="0" w:type="dxa"/>
              <w:right w:w="57" w:type="dxa"/>
            </w:tcMar>
            <w:hideMark/>
          </w:tcPr>
          <w:p w:rsidR="00E91E87" w:rsidRPr="00713FC5" w:rsidRDefault="00E91E87" w:rsidP="00713FC5">
            <w:pPr>
              <w:pStyle w:val="Tablehead1"/>
              <w:jc w:val="center"/>
              <w:rPr>
                <w:szCs w:val="17"/>
              </w:rPr>
            </w:pPr>
            <w:r w:rsidRPr="00713FC5">
              <w:rPr>
                <w:szCs w:val="17"/>
              </w:rPr>
              <w:t>35–44</w:t>
            </w:r>
          </w:p>
        </w:tc>
        <w:tc>
          <w:tcPr>
            <w:tcW w:w="1072" w:type="dxa"/>
            <w:tcBorders>
              <w:top w:val="single" w:sz="4" w:space="0" w:color="auto"/>
              <w:left w:val="nil"/>
              <w:bottom w:val="single" w:sz="8" w:space="0" w:color="auto"/>
              <w:right w:val="nil"/>
            </w:tcBorders>
            <w:shd w:val="clear" w:color="auto" w:fill="auto"/>
            <w:noWrap/>
            <w:tcMar>
              <w:top w:w="13" w:type="dxa"/>
              <w:left w:w="57" w:type="dxa"/>
              <w:bottom w:w="0" w:type="dxa"/>
              <w:right w:w="57" w:type="dxa"/>
            </w:tcMar>
            <w:hideMark/>
          </w:tcPr>
          <w:p w:rsidR="00E91E87" w:rsidRPr="00713FC5" w:rsidRDefault="00E91E87" w:rsidP="00713FC5">
            <w:pPr>
              <w:pStyle w:val="Tablehead1"/>
              <w:jc w:val="center"/>
              <w:rPr>
                <w:szCs w:val="17"/>
              </w:rPr>
            </w:pPr>
            <w:r w:rsidRPr="00713FC5">
              <w:rPr>
                <w:szCs w:val="17"/>
              </w:rPr>
              <w:t>45–54</w:t>
            </w:r>
          </w:p>
        </w:tc>
        <w:tc>
          <w:tcPr>
            <w:tcW w:w="1072" w:type="dxa"/>
            <w:tcBorders>
              <w:top w:val="single" w:sz="4" w:space="0" w:color="auto"/>
              <w:left w:val="nil"/>
              <w:bottom w:val="single" w:sz="8" w:space="0" w:color="auto"/>
              <w:right w:val="nil"/>
            </w:tcBorders>
            <w:shd w:val="clear" w:color="auto" w:fill="auto"/>
            <w:noWrap/>
            <w:tcMar>
              <w:top w:w="13" w:type="dxa"/>
              <w:left w:w="57" w:type="dxa"/>
              <w:bottom w:w="0" w:type="dxa"/>
              <w:right w:w="57" w:type="dxa"/>
            </w:tcMar>
            <w:hideMark/>
          </w:tcPr>
          <w:p w:rsidR="00E91E87" w:rsidRPr="00713FC5" w:rsidRDefault="00E91E87" w:rsidP="00713FC5">
            <w:pPr>
              <w:pStyle w:val="Tablehead1"/>
              <w:jc w:val="center"/>
              <w:rPr>
                <w:szCs w:val="17"/>
              </w:rPr>
            </w:pPr>
            <w:r w:rsidRPr="00713FC5">
              <w:rPr>
                <w:szCs w:val="17"/>
              </w:rPr>
              <w:t>55–64</w:t>
            </w:r>
          </w:p>
        </w:tc>
      </w:tr>
      <w:tr w:rsidR="0055378D" w:rsidRPr="00B07B55" w:rsidTr="00713FC5">
        <w:tc>
          <w:tcPr>
            <w:tcW w:w="4501" w:type="dxa"/>
            <w:tcBorders>
              <w:top w:val="nil"/>
              <w:left w:val="nil"/>
              <w:bottom w:val="nil"/>
              <w:right w:val="nil"/>
            </w:tcBorders>
            <w:shd w:val="clear" w:color="auto" w:fill="auto"/>
            <w:noWrap/>
            <w:tcMar>
              <w:top w:w="13" w:type="dxa"/>
              <w:left w:w="57" w:type="dxa"/>
              <w:bottom w:w="0" w:type="dxa"/>
              <w:right w:w="57" w:type="dxa"/>
            </w:tcMar>
            <w:hideMark/>
          </w:tcPr>
          <w:p w:rsidR="0055378D" w:rsidRPr="00713FC5" w:rsidRDefault="0055378D" w:rsidP="00713FC5">
            <w:pPr>
              <w:pStyle w:val="Tabletext"/>
              <w:spacing w:before="120"/>
              <w:rPr>
                <w:b/>
                <w:lang w:val="en-GB"/>
              </w:rPr>
            </w:pPr>
            <w:r w:rsidRPr="00713FC5">
              <w:rPr>
                <w:b/>
                <w:lang w:val="en-GB"/>
              </w:rPr>
              <w:t>Males</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713FC5">
            <w:pPr>
              <w:pStyle w:val="Tabletext"/>
              <w:spacing w:before="120"/>
              <w:rPr>
                <w:lang w:val="en-GB"/>
              </w:rPr>
            </w:pP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713FC5">
            <w:pPr>
              <w:pStyle w:val="Tabletext"/>
              <w:spacing w:before="120"/>
              <w:rPr>
                <w:lang w:val="en-GB"/>
              </w:rPr>
            </w:pP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713FC5">
            <w:pPr>
              <w:pStyle w:val="Tabletext"/>
              <w:spacing w:before="120"/>
              <w:rPr>
                <w:lang w:val="en-GB"/>
              </w:rPr>
            </w:pP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713FC5">
            <w:pPr>
              <w:pStyle w:val="Tabletext"/>
              <w:spacing w:before="120"/>
              <w:rPr>
                <w:lang w:val="en-GB"/>
              </w:rPr>
            </w:pPr>
          </w:p>
        </w:tc>
      </w:tr>
      <w:tr w:rsidR="0055378D" w:rsidRPr="00874A6C" w:rsidTr="00A62522">
        <w:tc>
          <w:tcPr>
            <w:tcW w:w="4501" w:type="dxa"/>
            <w:tcBorders>
              <w:top w:val="nil"/>
              <w:left w:val="nil"/>
              <w:bottom w:val="nil"/>
              <w:right w:val="nil"/>
            </w:tcBorders>
            <w:shd w:val="clear" w:color="auto" w:fill="auto"/>
            <w:noWrap/>
            <w:tcMar>
              <w:top w:w="0" w:type="dxa"/>
              <w:left w:w="57" w:type="dxa"/>
              <w:bottom w:w="0" w:type="dxa"/>
              <w:right w:w="57" w:type="dxa"/>
            </w:tcMar>
            <w:hideMark/>
          </w:tcPr>
          <w:p w:rsidR="0055378D" w:rsidRPr="00874A6C" w:rsidRDefault="004A14A5" w:rsidP="00713FC5">
            <w:pPr>
              <w:pStyle w:val="Tabletext"/>
              <w:rPr>
                <w:i/>
                <w:lang w:val="en-GB"/>
              </w:rPr>
            </w:pPr>
            <w:r w:rsidRPr="00874A6C">
              <w:rPr>
                <w:i/>
                <w:lang w:val="en-GB"/>
              </w:rPr>
              <w:t>Observations</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874A6C" w:rsidRDefault="0055378D" w:rsidP="00A62522">
            <w:pPr>
              <w:pStyle w:val="Tabletext"/>
              <w:jc w:val="center"/>
              <w:rPr>
                <w:i/>
                <w:lang w:val="en-GB"/>
              </w:rPr>
            </w:pPr>
            <w:r w:rsidRPr="00874A6C">
              <w:rPr>
                <w:i/>
                <w:lang w:val="en-GB"/>
              </w:rPr>
              <w:t>129</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874A6C" w:rsidRDefault="0055378D" w:rsidP="00A62522">
            <w:pPr>
              <w:pStyle w:val="Tabletext"/>
              <w:jc w:val="center"/>
              <w:rPr>
                <w:i/>
                <w:lang w:val="en-GB"/>
              </w:rPr>
            </w:pPr>
            <w:r w:rsidRPr="00874A6C">
              <w:rPr>
                <w:i/>
                <w:lang w:val="en-GB"/>
              </w:rPr>
              <w:t>112</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874A6C" w:rsidRDefault="0055378D" w:rsidP="00A62522">
            <w:pPr>
              <w:pStyle w:val="Tabletext"/>
              <w:jc w:val="center"/>
              <w:rPr>
                <w:i/>
                <w:lang w:val="en-GB"/>
              </w:rPr>
            </w:pPr>
            <w:r w:rsidRPr="00874A6C">
              <w:rPr>
                <w:i/>
                <w:lang w:val="en-GB"/>
              </w:rPr>
              <w:t>47</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874A6C" w:rsidRDefault="0055378D" w:rsidP="00A62522">
            <w:pPr>
              <w:pStyle w:val="Tabletext"/>
              <w:jc w:val="center"/>
              <w:rPr>
                <w:i/>
                <w:lang w:val="en-GB"/>
              </w:rPr>
            </w:pPr>
            <w:r w:rsidRPr="00874A6C">
              <w:rPr>
                <w:i/>
                <w:lang w:val="en-GB"/>
              </w:rPr>
              <w:t>9</w:t>
            </w:r>
          </w:p>
        </w:tc>
      </w:tr>
      <w:tr w:rsidR="0055378D" w:rsidRPr="00B07B55" w:rsidTr="00713FC5">
        <w:tc>
          <w:tcPr>
            <w:tcW w:w="4501" w:type="dxa"/>
            <w:tcBorders>
              <w:top w:val="nil"/>
              <w:left w:val="nil"/>
              <w:bottom w:val="nil"/>
              <w:right w:val="nil"/>
            </w:tcBorders>
            <w:shd w:val="clear" w:color="auto" w:fill="auto"/>
            <w:noWrap/>
            <w:tcMar>
              <w:top w:w="0" w:type="dxa"/>
              <w:left w:w="57" w:type="dxa"/>
              <w:bottom w:w="0" w:type="dxa"/>
              <w:right w:w="57" w:type="dxa"/>
            </w:tcMar>
            <w:hideMark/>
          </w:tcPr>
          <w:p w:rsidR="0055378D" w:rsidRPr="00B07B55" w:rsidRDefault="004B0A8A" w:rsidP="00713FC5">
            <w:pPr>
              <w:pStyle w:val="Tabletext"/>
              <w:rPr>
                <w:lang w:val="en-GB"/>
              </w:rPr>
            </w:pPr>
            <w:r>
              <w:rPr>
                <w:lang w:val="en-GB"/>
              </w:rPr>
              <w:t>Below Y</w:t>
            </w:r>
            <w:r w:rsidR="0055378D" w:rsidRPr="00B07B55">
              <w:rPr>
                <w:lang w:val="en-GB"/>
              </w:rPr>
              <w:t>ear 10</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0.00</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0.00</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0.00</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0.00</w:t>
            </w:r>
          </w:p>
        </w:tc>
      </w:tr>
      <w:tr w:rsidR="0055378D" w:rsidRPr="00B07B55" w:rsidTr="00713FC5">
        <w:tc>
          <w:tcPr>
            <w:tcW w:w="4501" w:type="dxa"/>
            <w:tcBorders>
              <w:top w:val="nil"/>
              <w:left w:val="nil"/>
              <w:bottom w:val="nil"/>
              <w:right w:val="nil"/>
            </w:tcBorders>
            <w:shd w:val="clear" w:color="auto" w:fill="auto"/>
            <w:noWrap/>
            <w:tcMar>
              <w:top w:w="0" w:type="dxa"/>
              <w:left w:w="57" w:type="dxa"/>
              <w:bottom w:w="0" w:type="dxa"/>
              <w:right w:w="57" w:type="dxa"/>
            </w:tcMar>
            <w:hideMark/>
          </w:tcPr>
          <w:p w:rsidR="0055378D" w:rsidRPr="00B07B55" w:rsidRDefault="00E91E87" w:rsidP="00713FC5">
            <w:pPr>
              <w:pStyle w:val="Tabletext"/>
              <w:rPr>
                <w:lang w:val="en-GB"/>
              </w:rPr>
            </w:pPr>
            <w:r>
              <w:rPr>
                <w:lang w:val="en-GB"/>
              </w:rPr>
              <w:t>Year 10–11 or certificate I/</w:t>
            </w:r>
            <w:r w:rsidR="0055378D" w:rsidRPr="00B07B55">
              <w:rPr>
                <w:lang w:val="en-GB"/>
              </w:rPr>
              <w:t>II</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3.20</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4.82</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5.40</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0.00</w:t>
            </w:r>
          </w:p>
        </w:tc>
      </w:tr>
      <w:tr w:rsidR="0055378D" w:rsidRPr="00B07B55" w:rsidTr="00713FC5">
        <w:tc>
          <w:tcPr>
            <w:tcW w:w="4501" w:type="dxa"/>
            <w:tcBorders>
              <w:top w:val="nil"/>
              <w:left w:val="nil"/>
              <w:bottom w:val="nil"/>
              <w:right w:val="nil"/>
            </w:tcBorders>
            <w:shd w:val="clear" w:color="auto" w:fill="auto"/>
            <w:noWrap/>
            <w:tcMar>
              <w:top w:w="0" w:type="dxa"/>
              <w:left w:w="57" w:type="dxa"/>
              <w:bottom w:w="0" w:type="dxa"/>
              <w:right w:w="57" w:type="dxa"/>
            </w:tcMar>
            <w:hideMark/>
          </w:tcPr>
          <w:p w:rsidR="0055378D" w:rsidRPr="00B07B55" w:rsidRDefault="00E91E87" w:rsidP="00713FC5">
            <w:pPr>
              <w:pStyle w:val="Tabletext"/>
              <w:rPr>
                <w:lang w:val="en-GB"/>
              </w:rPr>
            </w:pPr>
            <w:r>
              <w:rPr>
                <w:lang w:val="en-GB"/>
              </w:rPr>
              <w:t>Completed Y</w:t>
            </w:r>
            <w:r w:rsidR="0055378D" w:rsidRPr="00B07B55">
              <w:rPr>
                <w:lang w:val="en-GB"/>
              </w:rPr>
              <w:t>ear 12</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18.03</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7.74</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11.88</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0.00</w:t>
            </w:r>
          </w:p>
        </w:tc>
      </w:tr>
      <w:tr w:rsidR="0055378D" w:rsidRPr="00B07B55" w:rsidTr="00713FC5">
        <w:tc>
          <w:tcPr>
            <w:tcW w:w="4501" w:type="dxa"/>
            <w:tcBorders>
              <w:top w:val="nil"/>
              <w:left w:val="nil"/>
              <w:bottom w:val="nil"/>
              <w:right w:val="nil"/>
            </w:tcBorders>
            <w:shd w:val="clear" w:color="auto" w:fill="auto"/>
            <w:noWrap/>
            <w:tcMar>
              <w:top w:w="0" w:type="dxa"/>
              <w:left w:w="57" w:type="dxa"/>
              <w:bottom w:w="0" w:type="dxa"/>
              <w:right w:w="57" w:type="dxa"/>
            </w:tcMar>
            <w:hideMark/>
          </w:tcPr>
          <w:p w:rsidR="0055378D" w:rsidRPr="00B07B55" w:rsidRDefault="00E91E87" w:rsidP="00713FC5">
            <w:pPr>
              <w:pStyle w:val="Tabletext"/>
              <w:rPr>
                <w:lang w:val="en-GB"/>
              </w:rPr>
            </w:pPr>
            <w:r>
              <w:rPr>
                <w:lang w:val="en-GB"/>
              </w:rPr>
              <w:t>Certificate III/</w:t>
            </w:r>
            <w:r w:rsidR="0055378D" w:rsidRPr="00B07B55">
              <w:rPr>
                <w:lang w:val="en-GB"/>
              </w:rPr>
              <w:t>IV</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5.71</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14.59</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4.53</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0.00</w:t>
            </w:r>
          </w:p>
        </w:tc>
      </w:tr>
      <w:tr w:rsidR="0055378D" w:rsidRPr="00B07B55" w:rsidTr="00713FC5">
        <w:tc>
          <w:tcPr>
            <w:tcW w:w="4501" w:type="dxa"/>
            <w:tcBorders>
              <w:top w:val="nil"/>
              <w:left w:val="nil"/>
              <w:bottom w:val="nil"/>
              <w:right w:val="nil"/>
            </w:tcBorders>
            <w:shd w:val="clear" w:color="auto" w:fill="auto"/>
            <w:noWrap/>
            <w:tcMar>
              <w:top w:w="0" w:type="dxa"/>
              <w:left w:w="57" w:type="dxa"/>
              <w:bottom w:w="0" w:type="dxa"/>
              <w:right w:w="57" w:type="dxa"/>
            </w:tcMar>
            <w:hideMark/>
          </w:tcPr>
          <w:p w:rsidR="0055378D" w:rsidRPr="00B07B55" w:rsidRDefault="0055378D" w:rsidP="00713FC5">
            <w:pPr>
              <w:pStyle w:val="Tabletext"/>
              <w:rPr>
                <w:lang w:val="en-GB"/>
              </w:rPr>
            </w:pPr>
            <w:r w:rsidRPr="00B07B55">
              <w:rPr>
                <w:lang w:val="en-GB"/>
              </w:rPr>
              <w:t>Diploma</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9.50</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17.10</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5.79</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0.00</w:t>
            </w:r>
          </w:p>
        </w:tc>
      </w:tr>
      <w:tr w:rsidR="0055378D" w:rsidRPr="00B07B55" w:rsidTr="00713FC5">
        <w:tc>
          <w:tcPr>
            <w:tcW w:w="4501" w:type="dxa"/>
            <w:tcBorders>
              <w:top w:val="nil"/>
              <w:left w:val="nil"/>
              <w:bottom w:val="nil"/>
              <w:right w:val="nil"/>
            </w:tcBorders>
            <w:shd w:val="clear" w:color="auto" w:fill="auto"/>
            <w:noWrap/>
            <w:tcMar>
              <w:top w:w="0" w:type="dxa"/>
              <w:left w:w="57" w:type="dxa"/>
              <w:bottom w:w="0" w:type="dxa"/>
              <w:right w:w="57" w:type="dxa"/>
            </w:tcMar>
            <w:hideMark/>
          </w:tcPr>
          <w:p w:rsidR="0055378D" w:rsidRPr="00B07B55" w:rsidRDefault="0055378D" w:rsidP="00713FC5">
            <w:pPr>
              <w:pStyle w:val="Tabletext"/>
              <w:rPr>
                <w:lang w:val="en-GB"/>
              </w:rPr>
            </w:pPr>
            <w:r w:rsidRPr="00B07B55">
              <w:rPr>
                <w:lang w:val="en-GB"/>
              </w:rPr>
              <w:t>Degree and above</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63.57</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55.75</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72.40</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100.00</w:t>
            </w:r>
          </w:p>
        </w:tc>
      </w:tr>
      <w:tr w:rsidR="0055378D" w:rsidRPr="00B07B55" w:rsidTr="00713FC5">
        <w:tc>
          <w:tcPr>
            <w:tcW w:w="4501" w:type="dxa"/>
            <w:tcBorders>
              <w:top w:val="nil"/>
              <w:left w:val="nil"/>
              <w:bottom w:val="nil"/>
              <w:right w:val="nil"/>
            </w:tcBorders>
            <w:shd w:val="clear" w:color="auto" w:fill="auto"/>
            <w:noWrap/>
            <w:tcMar>
              <w:top w:w="0" w:type="dxa"/>
              <w:left w:w="57" w:type="dxa"/>
              <w:bottom w:w="0" w:type="dxa"/>
              <w:right w:w="57" w:type="dxa"/>
            </w:tcMar>
            <w:hideMark/>
          </w:tcPr>
          <w:p w:rsidR="0055378D" w:rsidRPr="00B07B55" w:rsidRDefault="0055378D" w:rsidP="00713FC5">
            <w:pPr>
              <w:pStyle w:val="Tabletext"/>
              <w:spacing w:before="120"/>
              <w:rPr>
                <w:lang w:val="en-GB"/>
              </w:rPr>
            </w:pPr>
            <w:r w:rsidRPr="00B07B55">
              <w:rPr>
                <w:lang w:val="en-GB"/>
              </w:rPr>
              <w:t>Full-time worker</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spacing w:before="120"/>
              <w:rPr>
                <w:lang w:val="en-GB"/>
              </w:rPr>
            </w:pPr>
            <w:r w:rsidRPr="00B07B55">
              <w:rPr>
                <w:lang w:val="en-GB"/>
              </w:rPr>
              <w:t>80.52</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spacing w:before="120"/>
              <w:rPr>
                <w:lang w:val="en-GB"/>
              </w:rPr>
            </w:pPr>
            <w:r w:rsidRPr="00B07B55">
              <w:rPr>
                <w:lang w:val="en-GB"/>
              </w:rPr>
              <w:t>81.62</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spacing w:before="120"/>
              <w:rPr>
                <w:lang w:val="en-GB"/>
              </w:rPr>
            </w:pPr>
            <w:r w:rsidRPr="00B07B55">
              <w:rPr>
                <w:lang w:val="en-GB"/>
              </w:rPr>
              <w:t>76.79</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spacing w:before="120"/>
              <w:rPr>
                <w:lang w:val="en-GB"/>
              </w:rPr>
            </w:pPr>
            <w:r w:rsidRPr="00B07B55">
              <w:rPr>
                <w:lang w:val="en-GB"/>
              </w:rPr>
              <w:t>53.65</w:t>
            </w:r>
          </w:p>
        </w:tc>
      </w:tr>
      <w:tr w:rsidR="0055378D" w:rsidRPr="00B07B55" w:rsidTr="00713FC5">
        <w:tc>
          <w:tcPr>
            <w:tcW w:w="4501" w:type="dxa"/>
            <w:tcBorders>
              <w:top w:val="nil"/>
              <w:left w:val="nil"/>
              <w:bottom w:val="nil"/>
              <w:right w:val="nil"/>
            </w:tcBorders>
            <w:shd w:val="clear" w:color="auto" w:fill="auto"/>
            <w:noWrap/>
            <w:tcMar>
              <w:top w:w="0" w:type="dxa"/>
              <w:left w:w="57" w:type="dxa"/>
              <w:bottom w:w="0" w:type="dxa"/>
              <w:right w:w="57" w:type="dxa"/>
            </w:tcMar>
            <w:hideMark/>
          </w:tcPr>
          <w:p w:rsidR="0055378D" w:rsidRPr="00B07B55" w:rsidRDefault="0055378D" w:rsidP="00713FC5">
            <w:pPr>
              <w:pStyle w:val="Tabletext"/>
              <w:rPr>
                <w:lang w:val="en-GB"/>
              </w:rPr>
            </w:pPr>
            <w:r w:rsidRPr="00B07B55">
              <w:rPr>
                <w:lang w:val="en-GB"/>
              </w:rPr>
              <w:t>Part-time worker</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16.48</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7.74</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4.37</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0.00</w:t>
            </w:r>
          </w:p>
        </w:tc>
      </w:tr>
      <w:tr w:rsidR="0055378D" w:rsidRPr="00B07B55" w:rsidTr="00713FC5">
        <w:tc>
          <w:tcPr>
            <w:tcW w:w="4501" w:type="dxa"/>
            <w:tcBorders>
              <w:top w:val="nil"/>
              <w:left w:val="nil"/>
              <w:bottom w:val="nil"/>
              <w:right w:val="nil"/>
            </w:tcBorders>
            <w:shd w:val="clear" w:color="auto" w:fill="auto"/>
            <w:noWrap/>
            <w:tcMar>
              <w:top w:w="13" w:type="dxa"/>
              <w:left w:w="57" w:type="dxa"/>
              <w:bottom w:w="0" w:type="dxa"/>
              <w:right w:w="57" w:type="dxa"/>
            </w:tcMar>
            <w:hideMark/>
          </w:tcPr>
          <w:p w:rsidR="0055378D" w:rsidRPr="00713FC5" w:rsidRDefault="0055378D" w:rsidP="00713FC5">
            <w:pPr>
              <w:pStyle w:val="Tabletext"/>
              <w:spacing w:before="120"/>
              <w:rPr>
                <w:b/>
                <w:lang w:val="en-GB"/>
              </w:rPr>
            </w:pPr>
            <w:r w:rsidRPr="00713FC5">
              <w:rPr>
                <w:b/>
                <w:lang w:val="en-GB"/>
              </w:rPr>
              <w:t>Females</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713FC5">
            <w:pPr>
              <w:pStyle w:val="Tabletext"/>
              <w:spacing w:before="120"/>
              <w:rPr>
                <w:lang w:val="en-GB"/>
              </w:rPr>
            </w:pP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713FC5">
            <w:pPr>
              <w:pStyle w:val="Tabletext"/>
              <w:spacing w:before="120"/>
              <w:rPr>
                <w:lang w:val="en-GB"/>
              </w:rPr>
            </w:pP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713FC5">
            <w:pPr>
              <w:pStyle w:val="Tabletext"/>
              <w:spacing w:before="120"/>
              <w:rPr>
                <w:lang w:val="en-GB"/>
              </w:rPr>
            </w:pP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713FC5">
            <w:pPr>
              <w:pStyle w:val="Tabletext"/>
              <w:spacing w:before="120"/>
              <w:rPr>
                <w:lang w:val="en-GB"/>
              </w:rPr>
            </w:pPr>
          </w:p>
        </w:tc>
      </w:tr>
      <w:tr w:rsidR="0055378D" w:rsidRPr="00874A6C" w:rsidTr="00A62522">
        <w:tc>
          <w:tcPr>
            <w:tcW w:w="4501" w:type="dxa"/>
            <w:tcBorders>
              <w:top w:val="nil"/>
              <w:left w:val="nil"/>
              <w:bottom w:val="nil"/>
              <w:right w:val="nil"/>
            </w:tcBorders>
            <w:shd w:val="clear" w:color="auto" w:fill="auto"/>
            <w:noWrap/>
            <w:tcMar>
              <w:top w:w="13" w:type="dxa"/>
              <w:left w:w="57" w:type="dxa"/>
              <w:bottom w:w="0" w:type="dxa"/>
              <w:right w:w="57" w:type="dxa"/>
            </w:tcMar>
            <w:hideMark/>
          </w:tcPr>
          <w:p w:rsidR="0055378D" w:rsidRPr="00874A6C" w:rsidRDefault="004A14A5" w:rsidP="00713FC5">
            <w:pPr>
              <w:pStyle w:val="Tabletext"/>
              <w:rPr>
                <w:i/>
                <w:lang w:val="en-GB"/>
              </w:rPr>
            </w:pPr>
            <w:r w:rsidRPr="00874A6C">
              <w:rPr>
                <w:i/>
                <w:lang w:val="en-GB"/>
              </w:rPr>
              <w:t>Observations</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874A6C" w:rsidRDefault="0055378D" w:rsidP="00A62522">
            <w:pPr>
              <w:pStyle w:val="Tabletext"/>
              <w:jc w:val="center"/>
              <w:rPr>
                <w:i/>
                <w:lang w:val="en-GB"/>
              </w:rPr>
            </w:pPr>
            <w:r w:rsidRPr="00874A6C">
              <w:rPr>
                <w:i/>
                <w:lang w:val="en-GB"/>
              </w:rPr>
              <w:t>49</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874A6C" w:rsidRDefault="0055378D" w:rsidP="00A62522">
            <w:pPr>
              <w:pStyle w:val="Tabletext"/>
              <w:jc w:val="center"/>
              <w:rPr>
                <w:i/>
                <w:lang w:val="en-GB"/>
              </w:rPr>
            </w:pPr>
            <w:r w:rsidRPr="00874A6C">
              <w:rPr>
                <w:i/>
                <w:lang w:val="en-GB"/>
              </w:rPr>
              <w:t>40</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874A6C" w:rsidRDefault="0055378D" w:rsidP="00A62522">
            <w:pPr>
              <w:pStyle w:val="Tabletext"/>
              <w:jc w:val="center"/>
              <w:rPr>
                <w:i/>
                <w:lang w:val="en-GB"/>
              </w:rPr>
            </w:pPr>
            <w:r w:rsidRPr="00874A6C">
              <w:rPr>
                <w:i/>
                <w:lang w:val="en-GB"/>
              </w:rPr>
              <w:t>18</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874A6C" w:rsidRDefault="0055378D" w:rsidP="00A62522">
            <w:pPr>
              <w:pStyle w:val="Tabletext"/>
              <w:jc w:val="center"/>
              <w:rPr>
                <w:i/>
                <w:lang w:val="en-GB"/>
              </w:rPr>
            </w:pPr>
            <w:r w:rsidRPr="00874A6C">
              <w:rPr>
                <w:i/>
                <w:lang w:val="en-GB"/>
              </w:rPr>
              <w:t>4</w:t>
            </w:r>
          </w:p>
        </w:tc>
      </w:tr>
      <w:tr w:rsidR="0055378D" w:rsidRPr="00B07B55" w:rsidTr="00713FC5">
        <w:tc>
          <w:tcPr>
            <w:tcW w:w="4501"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4B0A8A" w:rsidP="00713FC5">
            <w:pPr>
              <w:pStyle w:val="Tabletext"/>
              <w:rPr>
                <w:lang w:val="en-GB"/>
              </w:rPr>
            </w:pPr>
            <w:r>
              <w:rPr>
                <w:lang w:val="en-GB"/>
              </w:rPr>
              <w:t>Below Y</w:t>
            </w:r>
            <w:r w:rsidR="0055378D" w:rsidRPr="00B07B55">
              <w:rPr>
                <w:lang w:val="en-GB"/>
              </w:rPr>
              <w:t>ear 10</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0.94</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1.55</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1.62</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0.00</w:t>
            </w:r>
          </w:p>
        </w:tc>
      </w:tr>
      <w:tr w:rsidR="0055378D" w:rsidRPr="00B07B55" w:rsidTr="00713FC5">
        <w:tc>
          <w:tcPr>
            <w:tcW w:w="4501"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E91E87" w:rsidP="00713FC5">
            <w:pPr>
              <w:pStyle w:val="Tabletext"/>
              <w:rPr>
                <w:lang w:val="en-GB"/>
              </w:rPr>
            </w:pPr>
            <w:r>
              <w:rPr>
                <w:lang w:val="en-GB"/>
              </w:rPr>
              <w:t>Year 10–11 or certificate I/</w:t>
            </w:r>
            <w:r w:rsidRPr="00B07B55">
              <w:rPr>
                <w:lang w:val="en-GB"/>
              </w:rPr>
              <w:t>II</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1.66</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6.72</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5.43</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0.00</w:t>
            </w:r>
          </w:p>
        </w:tc>
      </w:tr>
      <w:tr w:rsidR="0055378D" w:rsidRPr="00B07B55" w:rsidTr="00713FC5">
        <w:tc>
          <w:tcPr>
            <w:tcW w:w="4501"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E91E87" w:rsidP="00713FC5">
            <w:pPr>
              <w:pStyle w:val="Tabletext"/>
              <w:rPr>
                <w:lang w:val="en-GB"/>
              </w:rPr>
            </w:pPr>
            <w:r>
              <w:rPr>
                <w:lang w:val="en-GB"/>
              </w:rPr>
              <w:t>Completed Y</w:t>
            </w:r>
            <w:r w:rsidR="0055378D" w:rsidRPr="00B07B55">
              <w:rPr>
                <w:lang w:val="en-GB"/>
              </w:rPr>
              <w:t>ear 12</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17.77</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4.86</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17.29</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0.00</w:t>
            </w:r>
          </w:p>
        </w:tc>
      </w:tr>
      <w:tr w:rsidR="0055378D" w:rsidRPr="00B07B55" w:rsidTr="00713FC5">
        <w:tc>
          <w:tcPr>
            <w:tcW w:w="4501"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E91E87" w:rsidP="00713FC5">
            <w:pPr>
              <w:pStyle w:val="Tabletext"/>
              <w:rPr>
                <w:lang w:val="en-GB"/>
              </w:rPr>
            </w:pPr>
            <w:r>
              <w:rPr>
                <w:lang w:val="en-GB"/>
              </w:rPr>
              <w:t>Certificate III/</w:t>
            </w:r>
            <w:r w:rsidR="0055378D" w:rsidRPr="00B07B55">
              <w:rPr>
                <w:lang w:val="en-GB"/>
              </w:rPr>
              <w:t>IV</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5.65</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8.71</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5.74</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0.00</w:t>
            </w:r>
          </w:p>
        </w:tc>
      </w:tr>
      <w:tr w:rsidR="0055378D" w:rsidRPr="00B07B55" w:rsidTr="00713FC5">
        <w:tc>
          <w:tcPr>
            <w:tcW w:w="4501"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713FC5">
            <w:pPr>
              <w:pStyle w:val="Tabletext"/>
              <w:rPr>
                <w:lang w:val="en-GB"/>
              </w:rPr>
            </w:pPr>
            <w:r w:rsidRPr="00B07B55">
              <w:rPr>
                <w:lang w:val="en-GB"/>
              </w:rPr>
              <w:t>Diploma</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14.21</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11.87</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7.48</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11.22</w:t>
            </w:r>
          </w:p>
        </w:tc>
      </w:tr>
      <w:tr w:rsidR="0055378D" w:rsidRPr="00B07B55" w:rsidTr="00713FC5">
        <w:tc>
          <w:tcPr>
            <w:tcW w:w="4501"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713FC5">
            <w:pPr>
              <w:pStyle w:val="Tabletext"/>
              <w:rPr>
                <w:lang w:val="en-GB"/>
              </w:rPr>
            </w:pPr>
            <w:r w:rsidRPr="00B07B55">
              <w:rPr>
                <w:lang w:val="en-GB"/>
              </w:rPr>
              <w:t>Degree and above</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59.77</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66.28</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62.44</w:t>
            </w:r>
          </w:p>
        </w:tc>
        <w:tc>
          <w:tcPr>
            <w:tcW w:w="1072" w:type="dxa"/>
            <w:tcBorders>
              <w:top w:val="nil"/>
              <w:left w:val="nil"/>
              <w:bottom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88.78</w:t>
            </w:r>
          </w:p>
        </w:tc>
      </w:tr>
      <w:tr w:rsidR="0055378D" w:rsidRPr="00B07B55" w:rsidTr="00713FC5">
        <w:tc>
          <w:tcPr>
            <w:tcW w:w="4501" w:type="dxa"/>
            <w:tcBorders>
              <w:top w:val="nil"/>
              <w:left w:val="nil"/>
              <w:right w:val="nil"/>
            </w:tcBorders>
            <w:shd w:val="clear" w:color="auto" w:fill="auto"/>
            <w:noWrap/>
            <w:tcMar>
              <w:top w:w="13" w:type="dxa"/>
              <w:left w:w="57" w:type="dxa"/>
              <w:bottom w:w="0" w:type="dxa"/>
              <w:right w:w="57" w:type="dxa"/>
            </w:tcMar>
            <w:hideMark/>
          </w:tcPr>
          <w:p w:rsidR="0055378D" w:rsidRPr="00B07B55" w:rsidRDefault="0055378D" w:rsidP="00713FC5">
            <w:pPr>
              <w:pStyle w:val="Tabletext"/>
              <w:spacing w:before="120"/>
              <w:rPr>
                <w:lang w:val="en-GB"/>
              </w:rPr>
            </w:pPr>
            <w:r w:rsidRPr="00B07B55">
              <w:rPr>
                <w:lang w:val="en-GB"/>
              </w:rPr>
              <w:t>Full-time worker</w:t>
            </w:r>
          </w:p>
        </w:tc>
        <w:tc>
          <w:tcPr>
            <w:tcW w:w="1072" w:type="dxa"/>
            <w:tcBorders>
              <w:top w:val="nil"/>
              <w:left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spacing w:before="120"/>
              <w:rPr>
                <w:lang w:val="en-GB"/>
              </w:rPr>
            </w:pPr>
            <w:r w:rsidRPr="00B07B55">
              <w:rPr>
                <w:lang w:val="en-GB"/>
              </w:rPr>
              <w:t>49.95</w:t>
            </w:r>
          </w:p>
        </w:tc>
        <w:tc>
          <w:tcPr>
            <w:tcW w:w="1072" w:type="dxa"/>
            <w:tcBorders>
              <w:top w:val="nil"/>
              <w:left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spacing w:before="120"/>
              <w:rPr>
                <w:lang w:val="en-GB"/>
              </w:rPr>
            </w:pPr>
            <w:r w:rsidRPr="00B07B55">
              <w:rPr>
                <w:lang w:val="en-GB"/>
              </w:rPr>
              <w:t>49.25</w:t>
            </w:r>
          </w:p>
        </w:tc>
        <w:tc>
          <w:tcPr>
            <w:tcW w:w="1072" w:type="dxa"/>
            <w:tcBorders>
              <w:top w:val="nil"/>
              <w:left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spacing w:before="120"/>
              <w:rPr>
                <w:lang w:val="en-GB"/>
              </w:rPr>
            </w:pPr>
            <w:r w:rsidRPr="00B07B55">
              <w:rPr>
                <w:lang w:val="en-GB"/>
              </w:rPr>
              <w:t>55.73</w:t>
            </w:r>
          </w:p>
        </w:tc>
        <w:tc>
          <w:tcPr>
            <w:tcW w:w="1072" w:type="dxa"/>
            <w:tcBorders>
              <w:top w:val="nil"/>
              <w:left w:val="nil"/>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spacing w:before="120"/>
              <w:rPr>
                <w:lang w:val="en-GB"/>
              </w:rPr>
            </w:pPr>
            <w:r w:rsidRPr="00B07B55">
              <w:rPr>
                <w:lang w:val="en-GB"/>
              </w:rPr>
              <w:t>46.60</w:t>
            </w:r>
          </w:p>
        </w:tc>
      </w:tr>
      <w:tr w:rsidR="0055378D" w:rsidRPr="00B07B55" w:rsidTr="00713FC5">
        <w:tc>
          <w:tcPr>
            <w:tcW w:w="4501" w:type="dxa"/>
            <w:tcBorders>
              <w:top w:val="nil"/>
              <w:left w:val="nil"/>
              <w:bottom w:val="single" w:sz="4" w:space="0" w:color="auto"/>
              <w:right w:val="nil"/>
            </w:tcBorders>
            <w:shd w:val="clear" w:color="auto" w:fill="auto"/>
            <w:noWrap/>
            <w:tcMar>
              <w:top w:w="13" w:type="dxa"/>
              <w:left w:w="57" w:type="dxa"/>
              <w:bottom w:w="0" w:type="dxa"/>
              <w:right w:w="57" w:type="dxa"/>
            </w:tcMar>
            <w:hideMark/>
          </w:tcPr>
          <w:p w:rsidR="0055378D" w:rsidRPr="00B07B55" w:rsidRDefault="0055378D" w:rsidP="00713FC5">
            <w:pPr>
              <w:pStyle w:val="Tabletext"/>
              <w:rPr>
                <w:lang w:val="en-GB"/>
              </w:rPr>
            </w:pPr>
            <w:r w:rsidRPr="00B07B55">
              <w:rPr>
                <w:lang w:val="en-GB"/>
              </w:rPr>
              <w:t>Part-time worker</w:t>
            </w:r>
          </w:p>
        </w:tc>
        <w:tc>
          <w:tcPr>
            <w:tcW w:w="1072" w:type="dxa"/>
            <w:tcBorders>
              <w:top w:val="nil"/>
              <w:left w:val="nil"/>
              <w:bottom w:val="single" w:sz="4" w:space="0" w:color="auto"/>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30.65</w:t>
            </w:r>
          </w:p>
        </w:tc>
        <w:tc>
          <w:tcPr>
            <w:tcW w:w="1072" w:type="dxa"/>
            <w:tcBorders>
              <w:top w:val="nil"/>
              <w:left w:val="nil"/>
              <w:bottom w:val="single" w:sz="4" w:space="0" w:color="auto"/>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32.33</w:t>
            </w:r>
          </w:p>
        </w:tc>
        <w:tc>
          <w:tcPr>
            <w:tcW w:w="1072" w:type="dxa"/>
            <w:tcBorders>
              <w:top w:val="nil"/>
              <w:left w:val="nil"/>
              <w:bottom w:val="single" w:sz="4" w:space="0" w:color="auto"/>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20.44</w:t>
            </w:r>
          </w:p>
        </w:tc>
        <w:tc>
          <w:tcPr>
            <w:tcW w:w="1072" w:type="dxa"/>
            <w:tcBorders>
              <w:top w:val="nil"/>
              <w:left w:val="nil"/>
              <w:bottom w:val="single" w:sz="4" w:space="0" w:color="auto"/>
              <w:right w:val="nil"/>
            </w:tcBorders>
            <w:shd w:val="clear" w:color="auto" w:fill="auto"/>
            <w:noWrap/>
            <w:tcMar>
              <w:top w:w="13" w:type="dxa"/>
              <w:left w:w="57" w:type="dxa"/>
              <w:bottom w:w="0" w:type="dxa"/>
              <w:right w:w="57" w:type="dxa"/>
            </w:tcMar>
            <w:hideMark/>
          </w:tcPr>
          <w:p w:rsidR="0055378D" w:rsidRPr="00B07B55" w:rsidRDefault="0055378D" w:rsidP="00A62522">
            <w:pPr>
              <w:pStyle w:val="Tabletext"/>
              <w:tabs>
                <w:tab w:val="decimal" w:pos="397"/>
              </w:tabs>
              <w:rPr>
                <w:lang w:val="en-GB"/>
              </w:rPr>
            </w:pPr>
            <w:r w:rsidRPr="00B07B55">
              <w:rPr>
                <w:lang w:val="en-GB"/>
              </w:rPr>
              <w:t>21.47</w:t>
            </w:r>
          </w:p>
        </w:tc>
      </w:tr>
    </w:tbl>
    <w:p w:rsidR="00BB3AAD" w:rsidRPr="00B07B55" w:rsidRDefault="00BB3AAD" w:rsidP="00713FC5">
      <w:pPr>
        <w:pStyle w:val="Source"/>
        <w:rPr>
          <w:lang w:val="en-GB"/>
        </w:rPr>
      </w:pPr>
      <w:r w:rsidRPr="00B07B55">
        <w:rPr>
          <w:lang w:val="en-GB"/>
        </w:rPr>
        <w:t>Source:</w:t>
      </w:r>
      <w:r w:rsidR="00713FC5">
        <w:rPr>
          <w:lang w:val="en-GB"/>
        </w:rPr>
        <w:tab/>
      </w:r>
      <w:r w:rsidRPr="00B07B55">
        <w:rPr>
          <w:lang w:val="en-GB"/>
        </w:rPr>
        <w:t>HILDA data</w:t>
      </w:r>
      <w:r>
        <w:rPr>
          <w:lang w:val="en-GB"/>
        </w:rPr>
        <w:t>, weighted statistics.</w:t>
      </w:r>
    </w:p>
    <w:p w:rsidR="00D87068" w:rsidRPr="00D87068" w:rsidRDefault="00DD477A" w:rsidP="00A62522">
      <w:pPr>
        <w:pStyle w:val="tabletitle"/>
        <w:rPr>
          <w:lang w:val="en-GB"/>
        </w:rPr>
      </w:pPr>
      <w:bookmarkStart w:id="87" w:name="_Toc334021187"/>
      <w:bookmarkStart w:id="88" w:name="_Toc311576132"/>
      <w:r w:rsidRPr="00B07B55">
        <w:rPr>
          <w:lang w:val="en-GB"/>
        </w:rPr>
        <w:t>Table A</w:t>
      </w:r>
      <w:r w:rsidR="00D87068" w:rsidRPr="00D87068">
        <w:rPr>
          <w:lang w:val="en-GB" w:eastAsia="it-IT"/>
        </w:rPr>
        <w:t>5</w:t>
      </w:r>
      <w:r w:rsidR="00A62522">
        <w:rPr>
          <w:lang w:val="en-GB" w:eastAsia="it-IT"/>
        </w:rPr>
        <w:tab/>
      </w:r>
      <w:r w:rsidR="00D87068" w:rsidRPr="00D87068">
        <w:rPr>
          <w:lang w:val="en-GB" w:eastAsia="it-IT"/>
        </w:rPr>
        <w:t xml:space="preserve">Number of individuals </w:t>
      </w:r>
      <w:r w:rsidR="00E91E87">
        <w:rPr>
          <w:lang w:val="en-GB" w:eastAsia="it-IT"/>
        </w:rPr>
        <w:t>who</w:t>
      </w:r>
      <w:r w:rsidR="00085113">
        <w:rPr>
          <w:lang w:val="en-GB" w:eastAsia="it-IT"/>
        </w:rPr>
        <w:t xml:space="preserve"> </w:t>
      </w:r>
      <w:r w:rsidR="00D87068" w:rsidRPr="00D87068">
        <w:rPr>
          <w:lang w:val="en-GB" w:eastAsia="it-IT"/>
        </w:rPr>
        <w:t>enrolled and completed VET and bachelor courses</w:t>
      </w:r>
      <w:bookmarkEnd w:id="87"/>
      <w:r w:rsidR="00D87068" w:rsidRPr="00D87068">
        <w:rPr>
          <w:lang w:val="en-GB" w:eastAsia="it-IT"/>
        </w:rPr>
        <w:t xml:space="preserve"> </w:t>
      </w:r>
    </w:p>
    <w:tbl>
      <w:tblPr>
        <w:tblW w:w="8789" w:type="dxa"/>
        <w:tblInd w:w="57" w:type="dxa"/>
        <w:tblLayout w:type="fixed"/>
        <w:tblCellMar>
          <w:left w:w="57" w:type="dxa"/>
          <w:right w:w="57" w:type="dxa"/>
        </w:tblCellMar>
        <w:tblLook w:val="04A0"/>
      </w:tblPr>
      <w:tblGrid>
        <w:gridCol w:w="1277"/>
        <w:gridCol w:w="1252"/>
        <w:gridCol w:w="1252"/>
        <w:gridCol w:w="1252"/>
        <w:gridCol w:w="1252"/>
        <w:gridCol w:w="1252"/>
        <w:gridCol w:w="1252"/>
      </w:tblGrid>
      <w:tr w:rsidR="00D87068" w:rsidRPr="00D87068" w:rsidTr="00A62522">
        <w:tc>
          <w:tcPr>
            <w:tcW w:w="727" w:type="pct"/>
            <w:tcBorders>
              <w:top w:val="single" w:sz="8" w:space="0" w:color="auto"/>
              <w:left w:val="nil"/>
              <w:bottom w:val="single" w:sz="8" w:space="0" w:color="auto"/>
              <w:right w:val="nil"/>
            </w:tcBorders>
            <w:noWrap/>
            <w:tcMar>
              <w:top w:w="0" w:type="dxa"/>
              <w:left w:w="57" w:type="dxa"/>
              <w:bottom w:w="0" w:type="dxa"/>
              <w:right w:w="57" w:type="dxa"/>
            </w:tcMar>
            <w:hideMark/>
          </w:tcPr>
          <w:p w:rsidR="00D87068" w:rsidRPr="00D87068" w:rsidRDefault="00D87068" w:rsidP="00A62522">
            <w:pPr>
              <w:pStyle w:val="Tablehead1"/>
              <w:rPr>
                <w:lang w:val="en-US" w:eastAsia="it-IT"/>
              </w:rPr>
            </w:pPr>
          </w:p>
        </w:tc>
        <w:tc>
          <w:tcPr>
            <w:tcW w:w="712" w:type="pct"/>
            <w:tcBorders>
              <w:top w:val="single" w:sz="8" w:space="0" w:color="auto"/>
              <w:left w:val="nil"/>
              <w:bottom w:val="single" w:sz="8" w:space="0" w:color="auto"/>
              <w:right w:val="nil"/>
            </w:tcBorders>
            <w:tcMar>
              <w:top w:w="0" w:type="dxa"/>
              <w:left w:w="57" w:type="dxa"/>
              <w:bottom w:w="0" w:type="dxa"/>
              <w:right w:w="57" w:type="dxa"/>
            </w:tcMar>
            <w:hideMark/>
          </w:tcPr>
          <w:p w:rsidR="00D87068" w:rsidRPr="00D87068" w:rsidRDefault="00D87068" w:rsidP="00A62522">
            <w:pPr>
              <w:pStyle w:val="Tablehead1"/>
              <w:jc w:val="center"/>
              <w:rPr>
                <w:lang w:val="it-IT" w:eastAsia="it-IT"/>
              </w:rPr>
            </w:pPr>
            <w:r w:rsidRPr="00D87068">
              <w:rPr>
                <w:rFonts w:cs="Arial"/>
                <w:bCs/>
                <w:color w:val="000000"/>
                <w:szCs w:val="17"/>
                <w:lang w:val="it-IT" w:eastAsia="it-IT"/>
              </w:rPr>
              <w:t xml:space="preserve">Enrolled </w:t>
            </w:r>
            <w:r w:rsidR="00A62522">
              <w:rPr>
                <w:rFonts w:cs="Arial"/>
                <w:bCs/>
                <w:color w:val="000000"/>
                <w:szCs w:val="17"/>
                <w:lang w:val="it-IT" w:eastAsia="it-IT"/>
              </w:rPr>
              <w:br/>
            </w:r>
            <w:r w:rsidRPr="00D87068">
              <w:rPr>
                <w:rFonts w:cs="Arial"/>
                <w:bCs/>
                <w:color w:val="000000"/>
                <w:szCs w:val="17"/>
                <w:lang w:val="it-IT" w:eastAsia="it-IT"/>
              </w:rPr>
              <w:t>in bachelor courses</w:t>
            </w:r>
          </w:p>
        </w:tc>
        <w:tc>
          <w:tcPr>
            <w:tcW w:w="712" w:type="pct"/>
            <w:tcBorders>
              <w:top w:val="single" w:sz="8" w:space="0" w:color="auto"/>
              <w:left w:val="nil"/>
              <w:bottom w:val="single" w:sz="8" w:space="0" w:color="auto"/>
              <w:right w:val="nil"/>
            </w:tcBorders>
            <w:tcMar>
              <w:top w:w="0" w:type="dxa"/>
              <w:left w:w="57" w:type="dxa"/>
              <w:bottom w:w="0" w:type="dxa"/>
              <w:right w:w="57" w:type="dxa"/>
            </w:tcMar>
            <w:hideMark/>
          </w:tcPr>
          <w:p w:rsidR="00D87068" w:rsidRPr="00D87068" w:rsidRDefault="00D87068" w:rsidP="00A62522">
            <w:pPr>
              <w:pStyle w:val="Tablehead1"/>
              <w:jc w:val="center"/>
              <w:rPr>
                <w:lang w:val="it-IT" w:eastAsia="it-IT"/>
              </w:rPr>
            </w:pPr>
            <w:r w:rsidRPr="00D87068">
              <w:rPr>
                <w:rFonts w:cs="Arial"/>
                <w:bCs/>
                <w:color w:val="000000"/>
                <w:szCs w:val="17"/>
                <w:lang w:val="it-IT" w:eastAsia="it-IT"/>
              </w:rPr>
              <w:t>Completed bachelor courses</w:t>
            </w:r>
          </w:p>
        </w:tc>
        <w:tc>
          <w:tcPr>
            <w:tcW w:w="712" w:type="pct"/>
            <w:tcBorders>
              <w:top w:val="single" w:sz="8" w:space="0" w:color="auto"/>
              <w:left w:val="nil"/>
              <w:bottom w:val="single" w:sz="8" w:space="0" w:color="auto"/>
              <w:right w:val="nil"/>
            </w:tcBorders>
            <w:tcMar>
              <w:top w:w="0" w:type="dxa"/>
              <w:left w:w="57" w:type="dxa"/>
              <w:bottom w:w="0" w:type="dxa"/>
              <w:right w:w="57" w:type="dxa"/>
            </w:tcMar>
            <w:hideMark/>
          </w:tcPr>
          <w:p w:rsidR="00D87068" w:rsidRPr="00D87068" w:rsidRDefault="00D87068" w:rsidP="00A62522">
            <w:pPr>
              <w:pStyle w:val="Tablehead1"/>
              <w:jc w:val="center"/>
              <w:rPr>
                <w:lang w:val="it-IT" w:eastAsia="it-IT"/>
              </w:rPr>
            </w:pPr>
            <w:r w:rsidRPr="00D87068">
              <w:rPr>
                <w:rFonts w:cs="Arial"/>
                <w:bCs/>
                <w:color w:val="000000"/>
                <w:szCs w:val="17"/>
                <w:lang w:val="it-IT" w:eastAsia="it-IT"/>
              </w:rPr>
              <w:t>Completion rate</w:t>
            </w:r>
          </w:p>
        </w:tc>
        <w:tc>
          <w:tcPr>
            <w:tcW w:w="712" w:type="pct"/>
            <w:tcBorders>
              <w:top w:val="single" w:sz="8" w:space="0" w:color="auto"/>
              <w:left w:val="nil"/>
              <w:bottom w:val="single" w:sz="8" w:space="0" w:color="auto"/>
              <w:right w:val="nil"/>
            </w:tcBorders>
            <w:tcMar>
              <w:top w:w="0" w:type="dxa"/>
              <w:left w:w="57" w:type="dxa"/>
              <w:bottom w:w="0" w:type="dxa"/>
              <w:right w:w="57" w:type="dxa"/>
            </w:tcMar>
            <w:hideMark/>
          </w:tcPr>
          <w:p w:rsidR="00D87068" w:rsidRPr="00D87068" w:rsidRDefault="00D87068" w:rsidP="00A62522">
            <w:pPr>
              <w:pStyle w:val="Tablehead1"/>
              <w:jc w:val="center"/>
              <w:rPr>
                <w:lang w:val="it-IT" w:eastAsia="it-IT"/>
              </w:rPr>
            </w:pPr>
            <w:r w:rsidRPr="00D87068">
              <w:rPr>
                <w:rFonts w:cs="Arial"/>
                <w:bCs/>
                <w:color w:val="000000"/>
                <w:szCs w:val="17"/>
                <w:lang w:val="it-IT" w:eastAsia="it-IT"/>
              </w:rPr>
              <w:t xml:space="preserve">Enrolled </w:t>
            </w:r>
            <w:r w:rsidR="00A62522">
              <w:rPr>
                <w:rFonts w:cs="Arial"/>
                <w:bCs/>
                <w:color w:val="000000"/>
                <w:szCs w:val="17"/>
                <w:lang w:val="it-IT" w:eastAsia="it-IT"/>
              </w:rPr>
              <w:br/>
            </w:r>
            <w:r w:rsidRPr="00D87068">
              <w:rPr>
                <w:rFonts w:cs="Arial"/>
                <w:bCs/>
                <w:color w:val="000000"/>
                <w:szCs w:val="17"/>
                <w:lang w:val="it-IT" w:eastAsia="it-IT"/>
              </w:rPr>
              <w:t>in VET courses</w:t>
            </w:r>
          </w:p>
        </w:tc>
        <w:tc>
          <w:tcPr>
            <w:tcW w:w="712" w:type="pct"/>
            <w:tcBorders>
              <w:top w:val="single" w:sz="8" w:space="0" w:color="auto"/>
              <w:left w:val="nil"/>
              <w:bottom w:val="single" w:sz="8" w:space="0" w:color="auto"/>
              <w:right w:val="nil"/>
            </w:tcBorders>
            <w:tcMar>
              <w:top w:w="0" w:type="dxa"/>
              <w:left w:w="57" w:type="dxa"/>
              <w:bottom w:w="0" w:type="dxa"/>
              <w:right w:w="57" w:type="dxa"/>
            </w:tcMar>
            <w:hideMark/>
          </w:tcPr>
          <w:p w:rsidR="00D87068" w:rsidRPr="00D87068" w:rsidRDefault="00D87068" w:rsidP="00A62522">
            <w:pPr>
              <w:pStyle w:val="Tablehead1"/>
              <w:jc w:val="center"/>
              <w:rPr>
                <w:lang w:val="it-IT" w:eastAsia="it-IT"/>
              </w:rPr>
            </w:pPr>
            <w:r w:rsidRPr="00D87068">
              <w:rPr>
                <w:rFonts w:cs="Arial"/>
                <w:bCs/>
                <w:color w:val="000000"/>
                <w:szCs w:val="17"/>
                <w:lang w:val="it-IT" w:eastAsia="it-IT"/>
              </w:rPr>
              <w:t xml:space="preserve">Completed VET </w:t>
            </w:r>
            <w:r w:rsidR="00A62522">
              <w:rPr>
                <w:rFonts w:cs="Arial"/>
                <w:bCs/>
                <w:color w:val="000000"/>
                <w:szCs w:val="17"/>
                <w:lang w:val="it-IT" w:eastAsia="it-IT"/>
              </w:rPr>
              <w:br/>
            </w:r>
            <w:r w:rsidRPr="00D87068">
              <w:rPr>
                <w:rFonts w:cs="Arial"/>
                <w:bCs/>
                <w:color w:val="000000"/>
                <w:szCs w:val="17"/>
                <w:lang w:val="it-IT" w:eastAsia="it-IT"/>
              </w:rPr>
              <w:t>courses</w:t>
            </w:r>
          </w:p>
        </w:tc>
        <w:tc>
          <w:tcPr>
            <w:tcW w:w="712" w:type="pct"/>
            <w:tcBorders>
              <w:top w:val="single" w:sz="8" w:space="0" w:color="auto"/>
              <w:left w:val="nil"/>
              <w:bottom w:val="single" w:sz="8" w:space="0" w:color="auto"/>
              <w:right w:val="nil"/>
            </w:tcBorders>
            <w:tcMar>
              <w:top w:w="0" w:type="dxa"/>
              <w:left w:w="57" w:type="dxa"/>
              <w:bottom w:w="0" w:type="dxa"/>
              <w:right w:w="57" w:type="dxa"/>
            </w:tcMar>
            <w:hideMark/>
          </w:tcPr>
          <w:p w:rsidR="00D87068" w:rsidRPr="00D87068" w:rsidRDefault="00D87068" w:rsidP="00A62522">
            <w:pPr>
              <w:pStyle w:val="Tablehead1"/>
              <w:jc w:val="center"/>
              <w:rPr>
                <w:lang w:val="it-IT" w:eastAsia="it-IT"/>
              </w:rPr>
            </w:pPr>
            <w:r w:rsidRPr="00D87068">
              <w:rPr>
                <w:rFonts w:cs="Arial"/>
                <w:bCs/>
                <w:color w:val="000000"/>
                <w:szCs w:val="17"/>
                <w:lang w:val="it-IT" w:eastAsia="it-IT"/>
              </w:rPr>
              <w:t>Completion rate</w:t>
            </w:r>
          </w:p>
        </w:tc>
      </w:tr>
      <w:tr w:rsidR="00D87068" w:rsidRPr="00D87068" w:rsidTr="00A62522">
        <w:tc>
          <w:tcPr>
            <w:tcW w:w="727" w:type="pct"/>
            <w:noWrap/>
            <w:tcMar>
              <w:top w:w="0" w:type="dxa"/>
              <w:left w:w="57" w:type="dxa"/>
              <w:bottom w:w="0" w:type="dxa"/>
              <w:right w:w="57" w:type="dxa"/>
            </w:tcMar>
            <w:hideMark/>
          </w:tcPr>
          <w:p w:rsidR="00D87068" w:rsidRPr="00D87068" w:rsidRDefault="00D87068" w:rsidP="00A62522">
            <w:pPr>
              <w:pStyle w:val="Tabletext"/>
              <w:rPr>
                <w:rFonts w:ascii="Times New Roman" w:hAnsi="Times New Roman"/>
                <w:sz w:val="24"/>
                <w:szCs w:val="24"/>
                <w:lang w:val="it-IT" w:eastAsia="it-IT"/>
              </w:rPr>
            </w:pPr>
            <w:r w:rsidRPr="00D87068">
              <w:rPr>
                <w:lang w:val="it-IT" w:eastAsia="it-IT"/>
              </w:rPr>
              <w:t>Males</w:t>
            </w:r>
          </w:p>
        </w:tc>
        <w:tc>
          <w:tcPr>
            <w:tcW w:w="712" w:type="pct"/>
            <w:noWrap/>
            <w:tcMar>
              <w:top w:w="0" w:type="dxa"/>
              <w:left w:w="57" w:type="dxa"/>
              <w:bottom w:w="0" w:type="dxa"/>
              <w:right w:w="57" w:type="dxa"/>
            </w:tcMar>
            <w:hideMark/>
          </w:tcPr>
          <w:p w:rsidR="00D87068" w:rsidRPr="00D87068" w:rsidRDefault="00D87068" w:rsidP="00A62522">
            <w:pPr>
              <w:pStyle w:val="Tabletext"/>
              <w:tabs>
                <w:tab w:val="decimal" w:pos="709"/>
              </w:tabs>
              <w:rPr>
                <w:rFonts w:ascii="Times New Roman" w:hAnsi="Times New Roman"/>
                <w:sz w:val="24"/>
                <w:szCs w:val="24"/>
                <w:lang w:val="it-IT" w:eastAsia="it-IT"/>
              </w:rPr>
            </w:pPr>
            <w:r w:rsidRPr="00D87068">
              <w:rPr>
                <w:lang w:val="it-IT" w:eastAsia="it-IT"/>
              </w:rPr>
              <w:t>266</w:t>
            </w:r>
          </w:p>
        </w:tc>
        <w:tc>
          <w:tcPr>
            <w:tcW w:w="712" w:type="pct"/>
            <w:noWrap/>
            <w:tcMar>
              <w:top w:w="0" w:type="dxa"/>
              <w:left w:w="57" w:type="dxa"/>
              <w:bottom w:w="0" w:type="dxa"/>
              <w:right w:w="57" w:type="dxa"/>
            </w:tcMar>
            <w:hideMark/>
          </w:tcPr>
          <w:p w:rsidR="00D87068" w:rsidRPr="00D87068" w:rsidRDefault="00D87068" w:rsidP="00A62522">
            <w:pPr>
              <w:pStyle w:val="Tabletext"/>
              <w:tabs>
                <w:tab w:val="decimal" w:pos="709"/>
              </w:tabs>
              <w:rPr>
                <w:rFonts w:ascii="Times New Roman" w:hAnsi="Times New Roman"/>
                <w:sz w:val="24"/>
                <w:szCs w:val="24"/>
                <w:lang w:val="it-IT" w:eastAsia="it-IT"/>
              </w:rPr>
            </w:pPr>
            <w:r w:rsidRPr="00D87068">
              <w:rPr>
                <w:lang w:val="it-IT" w:eastAsia="it-IT"/>
              </w:rPr>
              <w:t>143</w:t>
            </w:r>
          </w:p>
        </w:tc>
        <w:tc>
          <w:tcPr>
            <w:tcW w:w="712" w:type="pct"/>
            <w:noWrap/>
            <w:tcMar>
              <w:top w:w="0" w:type="dxa"/>
              <w:left w:w="57" w:type="dxa"/>
              <w:bottom w:w="0" w:type="dxa"/>
              <w:right w:w="57" w:type="dxa"/>
            </w:tcMar>
            <w:hideMark/>
          </w:tcPr>
          <w:p w:rsidR="00D87068" w:rsidRPr="00D87068" w:rsidRDefault="00D87068" w:rsidP="00A62522">
            <w:pPr>
              <w:pStyle w:val="Tabletext"/>
              <w:tabs>
                <w:tab w:val="decimal" w:pos="510"/>
              </w:tabs>
              <w:rPr>
                <w:rFonts w:ascii="Times New Roman" w:hAnsi="Times New Roman"/>
                <w:sz w:val="24"/>
                <w:szCs w:val="24"/>
                <w:lang w:val="it-IT" w:eastAsia="it-IT"/>
              </w:rPr>
            </w:pPr>
            <w:r w:rsidRPr="00D87068">
              <w:rPr>
                <w:lang w:val="it-IT" w:eastAsia="it-IT"/>
              </w:rPr>
              <w:t>0.5</w:t>
            </w:r>
            <w:r w:rsidR="002C32C3">
              <w:rPr>
                <w:lang w:val="it-IT" w:eastAsia="it-IT"/>
              </w:rPr>
              <w:t>4</w:t>
            </w:r>
          </w:p>
        </w:tc>
        <w:tc>
          <w:tcPr>
            <w:tcW w:w="712" w:type="pct"/>
            <w:noWrap/>
            <w:tcMar>
              <w:top w:w="0" w:type="dxa"/>
              <w:left w:w="57" w:type="dxa"/>
              <w:bottom w:w="0" w:type="dxa"/>
              <w:right w:w="57" w:type="dxa"/>
            </w:tcMar>
            <w:hideMark/>
          </w:tcPr>
          <w:p w:rsidR="00D87068" w:rsidRPr="00D87068" w:rsidRDefault="00D87068" w:rsidP="00A62522">
            <w:pPr>
              <w:pStyle w:val="Tabletext"/>
              <w:tabs>
                <w:tab w:val="decimal" w:pos="709"/>
              </w:tabs>
              <w:rPr>
                <w:rFonts w:ascii="Times New Roman" w:hAnsi="Times New Roman"/>
                <w:sz w:val="24"/>
                <w:szCs w:val="24"/>
                <w:lang w:val="it-IT" w:eastAsia="it-IT"/>
              </w:rPr>
            </w:pPr>
            <w:r w:rsidRPr="00D87068">
              <w:rPr>
                <w:lang w:val="it-IT" w:eastAsia="it-IT"/>
              </w:rPr>
              <w:t>686</w:t>
            </w:r>
          </w:p>
        </w:tc>
        <w:tc>
          <w:tcPr>
            <w:tcW w:w="712" w:type="pct"/>
            <w:noWrap/>
            <w:tcMar>
              <w:top w:w="0" w:type="dxa"/>
              <w:left w:w="57" w:type="dxa"/>
              <w:bottom w:w="0" w:type="dxa"/>
              <w:right w:w="57" w:type="dxa"/>
            </w:tcMar>
            <w:hideMark/>
          </w:tcPr>
          <w:p w:rsidR="00D87068" w:rsidRPr="00D87068" w:rsidRDefault="00D87068" w:rsidP="00A62522">
            <w:pPr>
              <w:pStyle w:val="Tabletext"/>
              <w:tabs>
                <w:tab w:val="decimal" w:pos="709"/>
              </w:tabs>
              <w:rPr>
                <w:rFonts w:ascii="Times New Roman" w:hAnsi="Times New Roman"/>
                <w:sz w:val="24"/>
                <w:szCs w:val="24"/>
                <w:lang w:val="it-IT" w:eastAsia="it-IT"/>
              </w:rPr>
            </w:pPr>
            <w:r w:rsidRPr="00D87068">
              <w:rPr>
                <w:lang w:val="it-IT" w:eastAsia="it-IT"/>
              </w:rPr>
              <w:t>450</w:t>
            </w:r>
          </w:p>
        </w:tc>
        <w:tc>
          <w:tcPr>
            <w:tcW w:w="712" w:type="pct"/>
            <w:noWrap/>
            <w:tcMar>
              <w:top w:w="0" w:type="dxa"/>
              <w:left w:w="57" w:type="dxa"/>
              <w:bottom w:w="0" w:type="dxa"/>
              <w:right w:w="57" w:type="dxa"/>
            </w:tcMar>
            <w:hideMark/>
          </w:tcPr>
          <w:p w:rsidR="00D87068" w:rsidRPr="00D87068" w:rsidRDefault="002C32C3" w:rsidP="00A62522">
            <w:pPr>
              <w:pStyle w:val="Tabletext"/>
              <w:tabs>
                <w:tab w:val="decimal" w:pos="510"/>
              </w:tabs>
              <w:rPr>
                <w:rFonts w:ascii="Times New Roman" w:hAnsi="Times New Roman"/>
                <w:sz w:val="24"/>
                <w:szCs w:val="24"/>
                <w:lang w:val="it-IT" w:eastAsia="it-IT"/>
              </w:rPr>
            </w:pPr>
            <w:r>
              <w:rPr>
                <w:lang w:val="it-IT" w:eastAsia="it-IT"/>
              </w:rPr>
              <w:t>0.66</w:t>
            </w:r>
          </w:p>
        </w:tc>
      </w:tr>
      <w:tr w:rsidR="00D87068" w:rsidRPr="00D87068" w:rsidTr="00A62522">
        <w:tc>
          <w:tcPr>
            <w:tcW w:w="727" w:type="pct"/>
            <w:noWrap/>
            <w:tcMar>
              <w:top w:w="0" w:type="dxa"/>
              <w:left w:w="57" w:type="dxa"/>
              <w:bottom w:w="0" w:type="dxa"/>
              <w:right w:w="57" w:type="dxa"/>
            </w:tcMar>
            <w:hideMark/>
          </w:tcPr>
          <w:p w:rsidR="00D87068" w:rsidRPr="00D87068" w:rsidRDefault="00D87068" w:rsidP="00A62522">
            <w:pPr>
              <w:pStyle w:val="Tabletext"/>
              <w:rPr>
                <w:rFonts w:ascii="Times New Roman" w:hAnsi="Times New Roman"/>
                <w:sz w:val="24"/>
                <w:szCs w:val="24"/>
                <w:lang w:val="it-IT" w:eastAsia="it-IT"/>
              </w:rPr>
            </w:pPr>
            <w:r w:rsidRPr="00D87068">
              <w:rPr>
                <w:lang w:val="it-IT" w:eastAsia="it-IT"/>
              </w:rPr>
              <w:t>Females</w:t>
            </w:r>
          </w:p>
        </w:tc>
        <w:tc>
          <w:tcPr>
            <w:tcW w:w="712" w:type="pct"/>
            <w:noWrap/>
            <w:tcMar>
              <w:top w:w="0" w:type="dxa"/>
              <w:left w:w="57" w:type="dxa"/>
              <w:bottom w:w="0" w:type="dxa"/>
              <w:right w:w="57" w:type="dxa"/>
            </w:tcMar>
            <w:hideMark/>
          </w:tcPr>
          <w:p w:rsidR="00D87068" w:rsidRPr="00D87068" w:rsidRDefault="00D87068" w:rsidP="00A62522">
            <w:pPr>
              <w:pStyle w:val="Tabletext"/>
              <w:tabs>
                <w:tab w:val="decimal" w:pos="709"/>
              </w:tabs>
              <w:rPr>
                <w:rFonts w:ascii="Times New Roman" w:hAnsi="Times New Roman"/>
                <w:sz w:val="24"/>
                <w:szCs w:val="24"/>
                <w:lang w:val="it-IT" w:eastAsia="it-IT"/>
              </w:rPr>
            </w:pPr>
            <w:r w:rsidRPr="00D87068">
              <w:rPr>
                <w:lang w:val="it-IT" w:eastAsia="it-IT"/>
              </w:rPr>
              <w:t>377</w:t>
            </w:r>
          </w:p>
        </w:tc>
        <w:tc>
          <w:tcPr>
            <w:tcW w:w="712" w:type="pct"/>
            <w:noWrap/>
            <w:tcMar>
              <w:top w:w="0" w:type="dxa"/>
              <w:left w:w="57" w:type="dxa"/>
              <w:bottom w:w="0" w:type="dxa"/>
              <w:right w:w="57" w:type="dxa"/>
            </w:tcMar>
            <w:hideMark/>
          </w:tcPr>
          <w:p w:rsidR="00D87068" w:rsidRPr="00D87068" w:rsidRDefault="00D87068" w:rsidP="00A62522">
            <w:pPr>
              <w:pStyle w:val="Tabletext"/>
              <w:tabs>
                <w:tab w:val="decimal" w:pos="709"/>
              </w:tabs>
              <w:rPr>
                <w:rFonts w:ascii="Times New Roman" w:hAnsi="Times New Roman"/>
                <w:sz w:val="24"/>
                <w:szCs w:val="24"/>
                <w:lang w:val="it-IT" w:eastAsia="it-IT"/>
              </w:rPr>
            </w:pPr>
            <w:r w:rsidRPr="00D87068">
              <w:rPr>
                <w:lang w:val="it-IT" w:eastAsia="it-IT"/>
              </w:rPr>
              <w:t>192</w:t>
            </w:r>
          </w:p>
        </w:tc>
        <w:tc>
          <w:tcPr>
            <w:tcW w:w="712" w:type="pct"/>
            <w:noWrap/>
            <w:tcMar>
              <w:top w:w="0" w:type="dxa"/>
              <w:left w:w="57" w:type="dxa"/>
              <w:bottom w:w="0" w:type="dxa"/>
              <w:right w:w="57" w:type="dxa"/>
            </w:tcMar>
            <w:hideMark/>
          </w:tcPr>
          <w:p w:rsidR="00D87068" w:rsidRPr="00D87068" w:rsidRDefault="00D87068" w:rsidP="00A62522">
            <w:pPr>
              <w:pStyle w:val="Tabletext"/>
              <w:tabs>
                <w:tab w:val="decimal" w:pos="510"/>
              </w:tabs>
              <w:rPr>
                <w:rFonts w:ascii="Times New Roman" w:hAnsi="Times New Roman"/>
                <w:sz w:val="24"/>
                <w:szCs w:val="24"/>
                <w:lang w:val="it-IT" w:eastAsia="it-IT"/>
              </w:rPr>
            </w:pPr>
            <w:r w:rsidRPr="00D87068">
              <w:rPr>
                <w:lang w:val="it-IT" w:eastAsia="it-IT"/>
              </w:rPr>
              <w:t>0.5</w:t>
            </w:r>
            <w:r w:rsidR="002C32C3">
              <w:rPr>
                <w:lang w:val="it-IT" w:eastAsia="it-IT"/>
              </w:rPr>
              <w:t>1</w:t>
            </w:r>
          </w:p>
        </w:tc>
        <w:tc>
          <w:tcPr>
            <w:tcW w:w="712" w:type="pct"/>
            <w:noWrap/>
            <w:tcMar>
              <w:top w:w="0" w:type="dxa"/>
              <w:left w:w="57" w:type="dxa"/>
              <w:bottom w:w="0" w:type="dxa"/>
              <w:right w:w="57" w:type="dxa"/>
            </w:tcMar>
            <w:hideMark/>
          </w:tcPr>
          <w:p w:rsidR="00D87068" w:rsidRPr="00D87068" w:rsidRDefault="00D87068" w:rsidP="00A62522">
            <w:pPr>
              <w:pStyle w:val="Tabletext"/>
              <w:tabs>
                <w:tab w:val="decimal" w:pos="709"/>
              </w:tabs>
              <w:rPr>
                <w:rFonts w:ascii="Times New Roman" w:hAnsi="Times New Roman"/>
                <w:sz w:val="24"/>
                <w:szCs w:val="24"/>
                <w:lang w:val="it-IT" w:eastAsia="it-IT"/>
              </w:rPr>
            </w:pPr>
            <w:r w:rsidRPr="00D87068">
              <w:rPr>
                <w:lang w:val="it-IT" w:eastAsia="it-IT"/>
              </w:rPr>
              <w:t>951</w:t>
            </w:r>
          </w:p>
        </w:tc>
        <w:tc>
          <w:tcPr>
            <w:tcW w:w="712" w:type="pct"/>
            <w:noWrap/>
            <w:tcMar>
              <w:top w:w="0" w:type="dxa"/>
              <w:left w:w="57" w:type="dxa"/>
              <w:bottom w:w="0" w:type="dxa"/>
              <w:right w:w="57" w:type="dxa"/>
            </w:tcMar>
            <w:hideMark/>
          </w:tcPr>
          <w:p w:rsidR="00D87068" w:rsidRPr="00D87068" w:rsidRDefault="00D87068" w:rsidP="00A62522">
            <w:pPr>
              <w:pStyle w:val="Tabletext"/>
              <w:tabs>
                <w:tab w:val="decimal" w:pos="709"/>
              </w:tabs>
              <w:rPr>
                <w:rFonts w:ascii="Times New Roman" w:hAnsi="Times New Roman"/>
                <w:sz w:val="24"/>
                <w:szCs w:val="24"/>
                <w:lang w:val="it-IT" w:eastAsia="it-IT"/>
              </w:rPr>
            </w:pPr>
            <w:r w:rsidRPr="00D87068">
              <w:rPr>
                <w:lang w:val="it-IT" w:eastAsia="it-IT"/>
              </w:rPr>
              <w:t>623</w:t>
            </w:r>
          </w:p>
        </w:tc>
        <w:tc>
          <w:tcPr>
            <w:tcW w:w="712" w:type="pct"/>
            <w:noWrap/>
            <w:tcMar>
              <w:top w:w="0" w:type="dxa"/>
              <w:left w:w="57" w:type="dxa"/>
              <w:bottom w:w="0" w:type="dxa"/>
              <w:right w:w="57" w:type="dxa"/>
            </w:tcMar>
            <w:hideMark/>
          </w:tcPr>
          <w:p w:rsidR="00D87068" w:rsidRPr="00D87068" w:rsidRDefault="00D87068" w:rsidP="00A62522">
            <w:pPr>
              <w:pStyle w:val="Tabletext"/>
              <w:tabs>
                <w:tab w:val="decimal" w:pos="510"/>
              </w:tabs>
              <w:rPr>
                <w:rFonts w:ascii="Times New Roman" w:hAnsi="Times New Roman"/>
                <w:sz w:val="24"/>
                <w:szCs w:val="24"/>
                <w:lang w:val="it-IT" w:eastAsia="it-IT"/>
              </w:rPr>
            </w:pPr>
            <w:r w:rsidRPr="00D87068">
              <w:rPr>
                <w:lang w:val="it-IT" w:eastAsia="it-IT"/>
              </w:rPr>
              <w:t>0.6</w:t>
            </w:r>
            <w:r w:rsidR="002C32C3">
              <w:rPr>
                <w:lang w:val="it-IT" w:eastAsia="it-IT"/>
              </w:rPr>
              <w:t>6</w:t>
            </w:r>
          </w:p>
        </w:tc>
      </w:tr>
      <w:tr w:rsidR="00D87068" w:rsidRPr="00A62522" w:rsidTr="00A62522">
        <w:tc>
          <w:tcPr>
            <w:tcW w:w="727" w:type="pct"/>
            <w:tcBorders>
              <w:top w:val="nil"/>
              <w:left w:val="nil"/>
              <w:bottom w:val="single" w:sz="8" w:space="0" w:color="auto"/>
              <w:right w:val="nil"/>
            </w:tcBorders>
            <w:noWrap/>
            <w:tcMar>
              <w:top w:w="0" w:type="dxa"/>
              <w:left w:w="57" w:type="dxa"/>
              <w:bottom w:w="0" w:type="dxa"/>
              <w:right w:w="57" w:type="dxa"/>
            </w:tcMar>
            <w:hideMark/>
          </w:tcPr>
          <w:p w:rsidR="00D87068" w:rsidRPr="00A62522" w:rsidRDefault="00D87068" w:rsidP="00A62522">
            <w:pPr>
              <w:pStyle w:val="Tabletext"/>
              <w:rPr>
                <w:rFonts w:ascii="Times New Roman" w:hAnsi="Times New Roman"/>
                <w:b/>
                <w:sz w:val="24"/>
                <w:szCs w:val="24"/>
                <w:lang w:val="it-IT" w:eastAsia="it-IT"/>
              </w:rPr>
            </w:pPr>
            <w:r w:rsidRPr="00A62522">
              <w:rPr>
                <w:b/>
                <w:lang w:val="it-IT" w:eastAsia="it-IT"/>
              </w:rPr>
              <w:t>Total</w:t>
            </w:r>
          </w:p>
        </w:tc>
        <w:tc>
          <w:tcPr>
            <w:tcW w:w="712" w:type="pct"/>
            <w:tcBorders>
              <w:top w:val="nil"/>
              <w:left w:val="nil"/>
              <w:bottom w:val="single" w:sz="8" w:space="0" w:color="auto"/>
              <w:right w:val="nil"/>
            </w:tcBorders>
            <w:noWrap/>
            <w:tcMar>
              <w:top w:w="0" w:type="dxa"/>
              <w:left w:w="57" w:type="dxa"/>
              <w:bottom w:w="0" w:type="dxa"/>
              <w:right w:w="57" w:type="dxa"/>
            </w:tcMar>
            <w:hideMark/>
          </w:tcPr>
          <w:p w:rsidR="00D87068" w:rsidRPr="00A62522" w:rsidRDefault="00D87068" w:rsidP="00A62522">
            <w:pPr>
              <w:pStyle w:val="Tabletext"/>
              <w:tabs>
                <w:tab w:val="decimal" w:pos="709"/>
              </w:tabs>
              <w:rPr>
                <w:rFonts w:ascii="Times New Roman" w:hAnsi="Times New Roman"/>
                <w:b/>
                <w:sz w:val="24"/>
                <w:szCs w:val="24"/>
                <w:lang w:val="it-IT" w:eastAsia="it-IT"/>
              </w:rPr>
            </w:pPr>
            <w:r w:rsidRPr="00A62522">
              <w:rPr>
                <w:b/>
                <w:lang w:val="it-IT" w:eastAsia="it-IT"/>
              </w:rPr>
              <w:t>643</w:t>
            </w:r>
          </w:p>
        </w:tc>
        <w:tc>
          <w:tcPr>
            <w:tcW w:w="712" w:type="pct"/>
            <w:tcBorders>
              <w:top w:val="nil"/>
              <w:left w:val="nil"/>
              <w:bottom w:val="single" w:sz="8" w:space="0" w:color="auto"/>
              <w:right w:val="nil"/>
            </w:tcBorders>
            <w:noWrap/>
            <w:tcMar>
              <w:top w:w="0" w:type="dxa"/>
              <w:left w:w="57" w:type="dxa"/>
              <w:bottom w:w="0" w:type="dxa"/>
              <w:right w:w="57" w:type="dxa"/>
            </w:tcMar>
            <w:hideMark/>
          </w:tcPr>
          <w:p w:rsidR="00D87068" w:rsidRPr="00A62522" w:rsidRDefault="00D87068" w:rsidP="00A62522">
            <w:pPr>
              <w:pStyle w:val="Tabletext"/>
              <w:tabs>
                <w:tab w:val="decimal" w:pos="709"/>
              </w:tabs>
              <w:rPr>
                <w:rFonts w:ascii="Times New Roman" w:hAnsi="Times New Roman"/>
                <w:b/>
                <w:sz w:val="24"/>
                <w:szCs w:val="24"/>
                <w:lang w:val="it-IT" w:eastAsia="it-IT"/>
              </w:rPr>
            </w:pPr>
            <w:r w:rsidRPr="00A62522">
              <w:rPr>
                <w:b/>
                <w:lang w:val="it-IT" w:eastAsia="it-IT"/>
              </w:rPr>
              <w:t>335</w:t>
            </w:r>
          </w:p>
        </w:tc>
        <w:tc>
          <w:tcPr>
            <w:tcW w:w="712" w:type="pct"/>
            <w:tcBorders>
              <w:top w:val="nil"/>
              <w:left w:val="nil"/>
              <w:bottom w:val="single" w:sz="8" w:space="0" w:color="auto"/>
              <w:right w:val="nil"/>
            </w:tcBorders>
            <w:noWrap/>
            <w:tcMar>
              <w:top w:w="0" w:type="dxa"/>
              <w:left w:w="57" w:type="dxa"/>
              <w:bottom w:w="0" w:type="dxa"/>
              <w:right w:w="57" w:type="dxa"/>
            </w:tcMar>
            <w:hideMark/>
          </w:tcPr>
          <w:p w:rsidR="00D87068" w:rsidRPr="00A62522" w:rsidRDefault="00D87068" w:rsidP="00A62522">
            <w:pPr>
              <w:pStyle w:val="Tabletext"/>
              <w:tabs>
                <w:tab w:val="decimal" w:pos="510"/>
              </w:tabs>
              <w:rPr>
                <w:rFonts w:ascii="Times New Roman" w:hAnsi="Times New Roman"/>
                <w:b/>
                <w:sz w:val="24"/>
                <w:szCs w:val="24"/>
                <w:lang w:val="it-IT" w:eastAsia="it-IT"/>
              </w:rPr>
            </w:pPr>
            <w:r w:rsidRPr="00A62522">
              <w:rPr>
                <w:b/>
                <w:lang w:val="it-IT" w:eastAsia="it-IT"/>
              </w:rPr>
              <w:t>0.52</w:t>
            </w:r>
          </w:p>
        </w:tc>
        <w:tc>
          <w:tcPr>
            <w:tcW w:w="712" w:type="pct"/>
            <w:tcBorders>
              <w:top w:val="nil"/>
              <w:left w:val="nil"/>
              <w:bottom w:val="single" w:sz="8" w:space="0" w:color="auto"/>
              <w:right w:val="nil"/>
            </w:tcBorders>
            <w:noWrap/>
            <w:tcMar>
              <w:top w:w="0" w:type="dxa"/>
              <w:left w:w="57" w:type="dxa"/>
              <w:bottom w:w="0" w:type="dxa"/>
              <w:right w:w="57" w:type="dxa"/>
            </w:tcMar>
            <w:hideMark/>
          </w:tcPr>
          <w:p w:rsidR="00D87068" w:rsidRPr="00A62522" w:rsidRDefault="00D87068" w:rsidP="00A62522">
            <w:pPr>
              <w:pStyle w:val="Tabletext"/>
              <w:tabs>
                <w:tab w:val="decimal" w:pos="709"/>
              </w:tabs>
              <w:rPr>
                <w:rFonts w:ascii="Times New Roman" w:hAnsi="Times New Roman"/>
                <w:b/>
                <w:sz w:val="24"/>
                <w:szCs w:val="24"/>
                <w:lang w:val="it-IT" w:eastAsia="it-IT"/>
              </w:rPr>
            </w:pPr>
            <w:r w:rsidRPr="00A62522">
              <w:rPr>
                <w:b/>
                <w:lang w:val="it-IT" w:eastAsia="it-IT"/>
              </w:rPr>
              <w:t>1637</w:t>
            </w:r>
          </w:p>
        </w:tc>
        <w:tc>
          <w:tcPr>
            <w:tcW w:w="712" w:type="pct"/>
            <w:tcBorders>
              <w:top w:val="nil"/>
              <w:left w:val="nil"/>
              <w:bottom w:val="single" w:sz="8" w:space="0" w:color="auto"/>
              <w:right w:val="nil"/>
            </w:tcBorders>
            <w:noWrap/>
            <w:tcMar>
              <w:top w:w="0" w:type="dxa"/>
              <w:left w:w="57" w:type="dxa"/>
              <w:bottom w:w="0" w:type="dxa"/>
              <w:right w:w="57" w:type="dxa"/>
            </w:tcMar>
            <w:hideMark/>
          </w:tcPr>
          <w:p w:rsidR="00D87068" w:rsidRPr="00A62522" w:rsidRDefault="00D87068" w:rsidP="00A62522">
            <w:pPr>
              <w:pStyle w:val="Tabletext"/>
              <w:tabs>
                <w:tab w:val="decimal" w:pos="709"/>
              </w:tabs>
              <w:rPr>
                <w:rFonts w:ascii="Times New Roman" w:hAnsi="Times New Roman"/>
                <w:b/>
                <w:sz w:val="24"/>
                <w:szCs w:val="24"/>
                <w:lang w:val="it-IT" w:eastAsia="it-IT"/>
              </w:rPr>
            </w:pPr>
            <w:r w:rsidRPr="00A62522">
              <w:rPr>
                <w:b/>
                <w:lang w:val="it-IT" w:eastAsia="it-IT"/>
              </w:rPr>
              <w:t>1073</w:t>
            </w:r>
          </w:p>
        </w:tc>
        <w:tc>
          <w:tcPr>
            <w:tcW w:w="712" w:type="pct"/>
            <w:tcBorders>
              <w:top w:val="nil"/>
              <w:left w:val="nil"/>
              <w:bottom w:val="single" w:sz="8" w:space="0" w:color="auto"/>
              <w:right w:val="nil"/>
            </w:tcBorders>
            <w:noWrap/>
            <w:tcMar>
              <w:top w:w="0" w:type="dxa"/>
              <w:left w:w="57" w:type="dxa"/>
              <w:bottom w:w="0" w:type="dxa"/>
              <w:right w:w="57" w:type="dxa"/>
            </w:tcMar>
            <w:hideMark/>
          </w:tcPr>
          <w:p w:rsidR="00D87068" w:rsidRPr="00A62522" w:rsidRDefault="002C32C3" w:rsidP="00A62522">
            <w:pPr>
              <w:pStyle w:val="Tabletext"/>
              <w:tabs>
                <w:tab w:val="decimal" w:pos="510"/>
              </w:tabs>
              <w:rPr>
                <w:rFonts w:ascii="Times New Roman" w:hAnsi="Times New Roman"/>
                <w:b/>
                <w:sz w:val="24"/>
                <w:szCs w:val="24"/>
                <w:lang w:val="it-IT" w:eastAsia="it-IT"/>
              </w:rPr>
            </w:pPr>
            <w:r w:rsidRPr="00A62522">
              <w:rPr>
                <w:b/>
                <w:lang w:val="it-IT" w:eastAsia="it-IT"/>
              </w:rPr>
              <w:t>0.6</w:t>
            </w:r>
            <w:r w:rsidR="00D87068" w:rsidRPr="00A62522">
              <w:rPr>
                <w:b/>
                <w:lang w:val="it-IT" w:eastAsia="it-IT"/>
              </w:rPr>
              <w:t>6</w:t>
            </w:r>
          </w:p>
        </w:tc>
      </w:tr>
    </w:tbl>
    <w:p w:rsidR="00D87068" w:rsidRPr="00D87068" w:rsidRDefault="00D87068" w:rsidP="00A62522">
      <w:pPr>
        <w:pStyle w:val="Source"/>
        <w:ind w:right="-143"/>
        <w:rPr>
          <w:rFonts w:ascii="Times New Roman" w:hAnsi="Times New Roman"/>
          <w:sz w:val="24"/>
          <w:szCs w:val="24"/>
          <w:lang w:eastAsia="it-IT"/>
        </w:rPr>
      </w:pPr>
      <w:r w:rsidRPr="00D87068">
        <w:rPr>
          <w:lang w:val="en-GB" w:eastAsia="it-IT"/>
        </w:rPr>
        <w:t>Source:</w:t>
      </w:r>
      <w:r w:rsidR="00A62522">
        <w:rPr>
          <w:lang w:val="en-GB" w:eastAsia="it-IT"/>
        </w:rPr>
        <w:tab/>
      </w:r>
      <w:r w:rsidRPr="00D87068">
        <w:rPr>
          <w:lang w:val="en-GB" w:eastAsia="it-IT"/>
        </w:rPr>
        <w:t>HILDA data.</w:t>
      </w:r>
      <w:r w:rsidR="00ED3C05">
        <w:rPr>
          <w:lang w:val="en-GB" w:eastAsia="it-IT"/>
        </w:rPr>
        <w:t xml:space="preserve"> Enrolment data collected between wave 2 and wave 7. Completion data collected between wave 2 and wave 9. </w:t>
      </w:r>
    </w:p>
    <w:p w:rsidR="00A62522" w:rsidRDefault="00A62522">
      <w:pPr>
        <w:spacing w:before="0" w:line="240" w:lineRule="auto"/>
        <w:rPr>
          <w:rFonts w:ascii="Tahoma" w:hAnsi="Tahoma"/>
          <w:b/>
          <w:sz w:val="17"/>
          <w:lang w:val="en-GB"/>
        </w:rPr>
      </w:pPr>
      <w:r>
        <w:rPr>
          <w:lang w:val="en-GB"/>
        </w:rPr>
        <w:br w:type="page"/>
      </w:r>
    </w:p>
    <w:p w:rsidR="002D79E4" w:rsidRPr="00B07B55" w:rsidRDefault="002D79E4" w:rsidP="00A62522">
      <w:pPr>
        <w:pStyle w:val="tabletitle"/>
        <w:rPr>
          <w:lang w:val="en-GB"/>
        </w:rPr>
      </w:pPr>
      <w:bookmarkStart w:id="89" w:name="_Toc334021188"/>
      <w:r w:rsidRPr="00B07B55">
        <w:rPr>
          <w:lang w:val="en-GB"/>
        </w:rPr>
        <w:t>Table A</w:t>
      </w:r>
      <w:r w:rsidR="00D87068">
        <w:rPr>
          <w:lang w:val="en-GB"/>
        </w:rPr>
        <w:t>6</w:t>
      </w:r>
      <w:r w:rsidRPr="00B07B55">
        <w:rPr>
          <w:lang w:val="en-GB"/>
        </w:rPr>
        <w:tab/>
        <w:t xml:space="preserve">Australian and British education levels compared </w:t>
      </w:r>
      <w:r w:rsidR="004A14A5">
        <w:rPr>
          <w:lang w:val="en-GB"/>
        </w:rPr>
        <w:t>with</w:t>
      </w:r>
      <w:r w:rsidRPr="00B07B55">
        <w:rPr>
          <w:lang w:val="en-GB"/>
        </w:rPr>
        <w:t xml:space="preserve"> the ISCED classification</w:t>
      </w:r>
      <w:bookmarkEnd w:id="88"/>
      <w:bookmarkEnd w:id="89"/>
      <w:r w:rsidRPr="00B07B55">
        <w:rPr>
          <w:lang w:val="en-GB"/>
        </w:rPr>
        <w:t xml:space="preserve"> </w:t>
      </w:r>
    </w:p>
    <w:tbl>
      <w:tblPr>
        <w:tblW w:w="8806" w:type="dxa"/>
        <w:tblInd w:w="57" w:type="dxa"/>
        <w:tblLayout w:type="fixed"/>
        <w:tblCellMar>
          <w:left w:w="57" w:type="dxa"/>
          <w:right w:w="57" w:type="dxa"/>
        </w:tblCellMar>
        <w:tblLook w:val="04A0"/>
      </w:tblPr>
      <w:tblGrid>
        <w:gridCol w:w="444"/>
        <w:gridCol w:w="3117"/>
        <w:gridCol w:w="1969"/>
        <w:gridCol w:w="3276"/>
      </w:tblGrid>
      <w:tr w:rsidR="00755B9C" w:rsidRPr="00B07B55" w:rsidTr="00755B9C">
        <w:tc>
          <w:tcPr>
            <w:tcW w:w="2022" w:type="pct"/>
            <w:gridSpan w:val="2"/>
            <w:tcBorders>
              <w:top w:val="single" w:sz="4" w:space="0" w:color="auto"/>
              <w:left w:val="nil"/>
              <w:bottom w:val="single" w:sz="4" w:space="0" w:color="auto"/>
              <w:right w:val="nil"/>
            </w:tcBorders>
            <w:shd w:val="clear" w:color="auto" w:fill="auto"/>
            <w:noWrap/>
            <w:tcMar>
              <w:top w:w="17" w:type="dxa"/>
              <w:left w:w="57" w:type="dxa"/>
              <w:bottom w:w="0" w:type="dxa"/>
              <w:right w:w="57" w:type="dxa"/>
            </w:tcMar>
            <w:hideMark/>
          </w:tcPr>
          <w:p w:rsidR="00755B9C" w:rsidRPr="00B07B55" w:rsidRDefault="00755B9C" w:rsidP="00755B9C">
            <w:pPr>
              <w:pStyle w:val="Tablehead1"/>
              <w:rPr>
                <w:lang w:val="en-GB"/>
              </w:rPr>
            </w:pPr>
            <w:r w:rsidRPr="00B07B55">
              <w:rPr>
                <w:lang w:val="en-GB"/>
              </w:rPr>
              <w:t>International Standard Classification</w:t>
            </w:r>
            <w:r>
              <w:rPr>
                <w:lang w:val="en-GB"/>
              </w:rPr>
              <w:t xml:space="preserve"> of E</w:t>
            </w:r>
            <w:r w:rsidRPr="00B07B55">
              <w:rPr>
                <w:lang w:val="en-GB"/>
              </w:rPr>
              <w:t xml:space="preserve">ducation </w:t>
            </w:r>
          </w:p>
        </w:tc>
        <w:tc>
          <w:tcPr>
            <w:tcW w:w="1118" w:type="pct"/>
            <w:tcBorders>
              <w:top w:val="single" w:sz="4" w:space="0" w:color="auto"/>
              <w:left w:val="nil"/>
              <w:bottom w:val="single" w:sz="4" w:space="0" w:color="auto"/>
            </w:tcBorders>
            <w:shd w:val="clear" w:color="auto" w:fill="auto"/>
            <w:noWrap/>
            <w:tcMar>
              <w:top w:w="17" w:type="dxa"/>
              <w:left w:w="57" w:type="dxa"/>
              <w:bottom w:w="0" w:type="dxa"/>
              <w:right w:w="57" w:type="dxa"/>
            </w:tcMar>
            <w:hideMark/>
          </w:tcPr>
          <w:p w:rsidR="00755B9C" w:rsidRPr="00B07B55" w:rsidRDefault="00755B9C" w:rsidP="00A62522">
            <w:pPr>
              <w:pStyle w:val="Tablehead1"/>
              <w:rPr>
                <w:lang w:val="en-GB"/>
              </w:rPr>
            </w:pPr>
            <w:r w:rsidRPr="00B07B55">
              <w:rPr>
                <w:lang w:val="en-GB"/>
              </w:rPr>
              <w:t>Australia</w:t>
            </w:r>
          </w:p>
        </w:tc>
        <w:tc>
          <w:tcPr>
            <w:tcW w:w="1860" w:type="pct"/>
            <w:tcBorders>
              <w:top w:val="single" w:sz="4" w:space="0" w:color="auto"/>
              <w:left w:val="nil"/>
              <w:bottom w:val="single" w:sz="4" w:space="0" w:color="auto"/>
              <w:right w:val="nil"/>
            </w:tcBorders>
            <w:tcMar>
              <w:left w:w="57" w:type="dxa"/>
              <w:right w:w="57" w:type="dxa"/>
            </w:tcMar>
          </w:tcPr>
          <w:p w:rsidR="00755B9C" w:rsidRPr="00B07B55" w:rsidRDefault="00755B9C" w:rsidP="00A62522">
            <w:pPr>
              <w:pStyle w:val="Tablehead1"/>
              <w:rPr>
                <w:lang w:val="en-GB"/>
              </w:rPr>
            </w:pPr>
            <w:r w:rsidRPr="00B07B55">
              <w:rPr>
                <w:lang w:val="en-GB"/>
              </w:rPr>
              <w:t>United Kingdom</w:t>
            </w:r>
          </w:p>
        </w:tc>
      </w:tr>
      <w:tr w:rsidR="00755B9C" w:rsidRPr="00B07B55" w:rsidTr="00755B9C">
        <w:tc>
          <w:tcPr>
            <w:tcW w:w="252" w:type="pct"/>
            <w:tcBorders>
              <w:top w:val="nil"/>
              <w:left w:val="nil"/>
              <w:bottom w:val="nil"/>
              <w:right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0</w:t>
            </w:r>
          </w:p>
        </w:tc>
        <w:tc>
          <w:tcPr>
            <w:tcW w:w="1770" w:type="pct"/>
            <w:tcBorders>
              <w:top w:val="nil"/>
              <w:left w:val="nil"/>
              <w:bottom w:val="nil"/>
              <w:right w:val="nil"/>
            </w:tcBorders>
            <w:shd w:val="clear" w:color="auto" w:fill="auto"/>
            <w:tcMar>
              <w:top w:w="17" w:type="dxa"/>
              <w:left w:w="57" w:type="dxa"/>
              <w:bottom w:w="0" w:type="dxa"/>
              <w:right w:w="57" w:type="dxa"/>
            </w:tcMar>
            <w:hideMark/>
          </w:tcPr>
          <w:p w:rsidR="00755B9C" w:rsidRPr="00DF1414" w:rsidRDefault="00755B9C" w:rsidP="00A62522">
            <w:pPr>
              <w:pStyle w:val="Tabletext"/>
              <w:rPr>
                <w:lang w:val="en-GB"/>
              </w:rPr>
            </w:pPr>
            <w:r w:rsidRPr="00DF1414">
              <w:rPr>
                <w:lang w:val="en-GB"/>
              </w:rPr>
              <w:t>Pre-primary education</w:t>
            </w:r>
          </w:p>
        </w:tc>
        <w:tc>
          <w:tcPr>
            <w:tcW w:w="1117" w:type="pct"/>
            <w:tcBorders>
              <w:top w:val="nil"/>
              <w:left w:val="nil"/>
              <w:bottom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Pre-primary education</w:t>
            </w:r>
          </w:p>
        </w:tc>
        <w:tc>
          <w:tcPr>
            <w:tcW w:w="1861" w:type="pct"/>
            <w:tcBorders>
              <w:top w:val="nil"/>
              <w:left w:val="nil"/>
              <w:bottom w:val="nil"/>
              <w:right w:val="nil"/>
            </w:tcBorders>
            <w:shd w:val="clear" w:color="auto" w:fill="auto"/>
            <w:tcMar>
              <w:top w:w="17" w:type="dxa"/>
              <w:left w:w="57" w:type="dxa"/>
              <w:bottom w:w="0" w:type="dxa"/>
              <w:right w:w="57" w:type="dxa"/>
            </w:tcMar>
            <w:hideMark/>
          </w:tcPr>
          <w:p w:rsidR="00755B9C" w:rsidRPr="00B07B55" w:rsidRDefault="00755B9C" w:rsidP="00A62522">
            <w:pPr>
              <w:pStyle w:val="Tabletext"/>
              <w:rPr>
                <w:lang w:val="en-GB"/>
              </w:rPr>
            </w:pPr>
          </w:p>
        </w:tc>
      </w:tr>
      <w:tr w:rsidR="00755B9C" w:rsidRPr="00B07B55" w:rsidTr="00755B9C">
        <w:tc>
          <w:tcPr>
            <w:tcW w:w="252" w:type="pct"/>
            <w:tcBorders>
              <w:top w:val="nil"/>
              <w:left w:val="nil"/>
              <w:bottom w:val="nil"/>
              <w:right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1</w:t>
            </w:r>
          </w:p>
        </w:tc>
        <w:tc>
          <w:tcPr>
            <w:tcW w:w="1770" w:type="pct"/>
            <w:tcBorders>
              <w:top w:val="nil"/>
              <w:left w:val="nil"/>
              <w:bottom w:val="nil"/>
              <w:right w:val="nil"/>
            </w:tcBorders>
            <w:shd w:val="clear" w:color="auto" w:fill="auto"/>
            <w:tcMar>
              <w:top w:w="17" w:type="dxa"/>
              <w:left w:w="57" w:type="dxa"/>
              <w:bottom w:w="0" w:type="dxa"/>
              <w:right w:w="57" w:type="dxa"/>
            </w:tcMar>
            <w:hideMark/>
          </w:tcPr>
          <w:p w:rsidR="00755B9C" w:rsidRPr="00DF1414" w:rsidRDefault="00755B9C" w:rsidP="00A62522">
            <w:pPr>
              <w:pStyle w:val="Tabletext"/>
              <w:rPr>
                <w:lang w:val="en-GB"/>
              </w:rPr>
            </w:pPr>
            <w:r w:rsidRPr="00DF1414">
              <w:rPr>
                <w:lang w:val="en-GB"/>
              </w:rPr>
              <w:t>Primary education or first stage of basic education</w:t>
            </w:r>
          </w:p>
        </w:tc>
        <w:tc>
          <w:tcPr>
            <w:tcW w:w="1117" w:type="pct"/>
            <w:tcBorders>
              <w:top w:val="nil"/>
              <w:left w:val="nil"/>
              <w:bottom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Primary education</w:t>
            </w:r>
          </w:p>
        </w:tc>
        <w:tc>
          <w:tcPr>
            <w:tcW w:w="1861" w:type="pct"/>
            <w:tcBorders>
              <w:top w:val="nil"/>
              <w:left w:val="nil"/>
              <w:bottom w:val="nil"/>
              <w:right w:val="nil"/>
            </w:tcBorders>
            <w:shd w:val="clear" w:color="auto" w:fill="auto"/>
            <w:tcMar>
              <w:top w:w="17" w:type="dxa"/>
              <w:left w:w="57" w:type="dxa"/>
              <w:bottom w:w="0" w:type="dxa"/>
              <w:right w:w="57" w:type="dxa"/>
            </w:tcMar>
            <w:hideMark/>
          </w:tcPr>
          <w:p w:rsidR="00755B9C" w:rsidRPr="00B07B55" w:rsidRDefault="00755B9C" w:rsidP="00A62522">
            <w:pPr>
              <w:pStyle w:val="Tabletext"/>
              <w:rPr>
                <w:lang w:val="en-GB"/>
              </w:rPr>
            </w:pPr>
            <w:r>
              <w:rPr>
                <w:lang w:val="en-GB"/>
              </w:rPr>
              <w:t>CSE Grades 2–</w:t>
            </w:r>
            <w:r w:rsidRPr="00B07B55">
              <w:rPr>
                <w:lang w:val="en-GB"/>
              </w:rPr>
              <w:t>5, O Level grades D</w:t>
            </w:r>
            <w:r>
              <w:rPr>
                <w:lang w:val="en-GB"/>
              </w:rPr>
              <w:t>–</w:t>
            </w:r>
            <w:r w:rsidRPr="00B07B55">
              <w:rPr>
                <w:lang w:val="en-GB"/>
              </w:rPr>
              <w:t>E, GCSE grades D</w:t>
            </w:r>
            <w:r>
              <w:rPr>
                <w:lang w:val="en-GB"/>
              </w:rPr>
              <w:t>–</w:t>
            </w:r>
            <w:r w:rsidRPr="00B07B55">
              <w:rPr>
                <w:lang w:val="en-GB"/>
              </w:rPr>
              <w:t>G, Scottish SCE Ordinary Grade bands D</w:t>
            </w:r>
            <w:r>
              <w:rPr>
                <w:lang w:val="en-GB"/>
              </w:rPr>
              <w:t>–</w:t>
            </w:r>
            <w:r w:rsidRPr="00B07B55">
              <w:rPr>
                <w:lang w:val="en-GB"/>
              </w:rPr>
              <w:t>E or 4</w:t>
            </w:r>
            <w:r>
              <w:rPr>
                <w:lang w:val="en-GB"/>
              </w:rPr>
              <w:t>–</w:t>
            </w:r>
            <w:r w:rsidRPr="00B07B55">
              <w:rPr>
                <w:lang w:val="en-GB"/>
              </w:rPr>
              <w:t>5 or Scottish Standard Grade levels 4</w:t>
            </w:r>
            <w:r>
              <w:rPr>
                <w:lang w:val="en-GB"/>
              </w:rPr>
              <w:t>–</w:t>
            </w:r>
            <w:r w:rsidRPr="00B07B55">
              <w:rPr>
                <w:lang w:val="en-GB"/>
              </w:rPr>
              <w:t>7</w:t>
            </w:r>
          </w:p>
        </w:tc>
      </w:tr>
      <w:tr w:rsidR="00755B9C" w:rsidRPr="00B07B55" w:rsidTr="00755B9C">
        <w:tc>
          <w:tcPr>
            <w:tcW w:w="252" w:type="pct"/>
            <w:tcBorders>
              <w:top w:val="nil"/>
              <w:left w:val="nil"/>
              <w:bottom w:val="nil"/>
              <w:right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2A</w:t>
            </w:r>
          </w:p>
        </w:tc>
        <w:tc>
          <w:tcPr>
            <w:tcW w:w="1770" w:type="pct"/>
            <w:tcBorders>
              <w:top w:val="nil"/>
              <w:left w:val="nil"/>
              <w:bottom w:val="nil"/>
              <w:right w:val="nil"/>
            </w:tcBorders>
            <w:shd w:val="clear" w:color="auto" w:fill="auto"/>
            <w:tcMar>
              <w:top w:w="17" w:type="dxa"/>
              <w:left w:w="57" w:type="dxa"/>
              <w:bottom w:w="0" w:type="dxa"/>
              <w:right w:w="57" w:type="dxa"/>
            </w:tcMar>
            <w:hideMark/>
          </w:tcPr>
          <w:p w:rsidR="00755B9C" w:rsidRPr="00DF1414" w:rsidRDefault="00755B9C" w:rsidP="00755B9C">
            <w:pPr>
              <w:pStyle w:val="Tabletext"/>
              <w:rPr>
                <w:lang w:val="en-GB"/>
              </w:rPr>
            </w:pPr>
            <w:r>
              <w:rPr>
                <w:lang w:val="en-GB"/>
              </w:rPr>
              <w:t>Program</w:t>
            </w:r>
            <w:r w:rsidRPr="00DF1414">
              <w:rPr>
                <w:lang w:val="en-GB"/>
              </w:rPr>
              <w:t>s designed to prepare students for direct access to ISCED 3A or 3B which</w:t>
            </w:r>
            <w:r>
              <w:rPr>
                <w:lang w:val="en-GB"/>
              </w:rPr>
              <w:t> </w:t>
            </w:r>
            <w:r w:rsidRPr="00DF1414">
              <w:rPr>
                <w:lang w:val="en-GB"/>
              </w:rPr>
              <w:t>are the subcategories of Level 3 earmarked for providing access to tertiary</w:t>
            </w:r>
            <w:r>
              <w:rPr>
                <w:lang w:val="en-GB"/>
              </w:rPr>
              <w:t> </w:t>
            </w:r>
            <w:r w:rsidRPr="00DF1414">
              <w:rPr>
                <w:lang w:val="en-GB"/>
              </w:rPr>
              <w:t>education</w:t>
            </w:r>
          </w:p>
        </w:tc>
        <w:tc>
          <w:tcPr>
            <w:tcW w:w="1117" w:type="pct"/>
            <w:tcBorders>
              <w:top w:val="nil"/>
              <w:left w:val="nil"/>
              <w:bottom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Junior secondary education</w:t>
            </w:r>
          </w:p>
        </w:tc>
        <w:tc>
          <w:tcPr>
            <w:tcW w:w="1861" w:type="pct"/>
            <w:tcBorders>
              <w:top w:val="nil"/>
              <w:left w:val="nil"/>
              <w:bottom w:val="nil"/>
              <w:right w:val="nil"/>
            </w:tcBorders>
            <w:shd w:val="clear" w:color="auto" w:fill="auto"/>
            <w:tcMar>
              <w:top w:w="17" w:type="dxa"/>
              <w:left w:w="57" w:type="dxa"/>
              <w:bottom w:w="0" w:type="dxa"/>
              <w:right w:w="57" w:type="dxa"/>
            </w:tcMar>
            <w:hideMark/>
          </w:tcPr>
          <w:p w:rsidR="00755B9C" w:rsidRPr="00B07B55" w:rsidRDefault="00755B9C" w:rsidP="00A62522">
            <w:pPr>
              <w:pStyle w:val="Tabletext"/>
              <w:rPr>
                <w:lang w:val="en-GB"/>
              </w:rPr>
            </w:pPr>
          </w:p>
        </w:tc>
      </w:tr>
      <w:tr w:rsidR="00755B9C" w:rsidRPr="00B07B55" w:rsidTr="00755B9C">
        <w:tc>
          <w:tcPr>
            <w:tcW w:w="252" w:type="pct"/>
            <w:tcBorders>
              <w:top w:val="nil"/>
              <w:left w:val="nil"/>
              <w:bottom w:val="nil"/>
              <w:right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3A</w:t>
            </w:r>
          </w:p>
        </w:tc>
        <w:tc>
          <w:tcPr>
            <w:tcW w:w="1770" w:type="pct"/>
            <w:tcBorders>
              <w:top w:val="nil"/>
              <w:left w:val="nil"/>
              <w:bottom w:val="nil"/>
              <w:right w:val="nil"/>
            </w:tcBorders>
            <w:shd w:val="clear" w:color="auto" w:fill="auto"/>
            <w:tcMar>
              <w:top w:w="17" w:type="dxa"/>
              <w:left w:w="57" w:type="dxa"/>
              <w:bottom w:w="0" w:type="dxa"/>
              <w:right w:w="57" w:type="dxa"/>
            </w:tcMar>
            <w:hideMark/>
          </w:tcPr>
          <w:p w:rsidR="00755B9C" w:rsidRPr="00DF1414" w:rsidRDefault="00755B9C" w:rsidP="00A62522">
            <w:pPr>
              <w:pStyle w:val="Tabletext"/>
              <w:rPr>
                <w:lang w:val="en-GB"/>
              </w:rPr>
            </w:pPr>
            <w:r>
              <w:rPr>
                <w:lang w:val="en-GB"/>
              </w:rPr>
              <w:t>Program</w:t>
            </w:r>
            <w:r w:rsidRPr="00DF1414">
              <w:rPr>
                <w:lang w:val="en-GB"/>
              </w:rPr>
              <w:t>s designed to provide direct access to ISCED 5A, which is the type of tertiary education that enables the students to gain entry into advanced research or highly skilled professions</w:t>
            </w:r>
          </w:p>
        </w:tc>
        <w:tc>
          <w:tcPr>
            <w:tcW w:w="1117" w:type="pct"/>
            <w:tcBorders>
              <w:top w:val="nil"/>
              <w:left w:val="nil"/>
              <w:bottom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Senior secondary education</w:t>
            </w:r>
          </w:p>
        </w:tc>
        <w:tc>
          <w:tcPr>
            <w:tcW w:w="1861" w:type="pct"/>
            <w:tcBorders>
              <w:top w:val="nil"/>
              <w:left w:val="nil"/>
              <w:bottom w:val="nil"/>
              <w:right w:val="nil"/>
            </w:tcBorders>
            <w:shd w:val="clear" w:color="auto" w:fill="auto"/>
            <w:tcMar>
              <w:top w:w="17" w:type="dxa"/>
              <w:left w:w="57" w:type="dxa"/>
              <w:bottom w:w="0" w:type="dxa"/>
              <w:right w:w="57" w:type="dxa"/>
            </w:tcMar>
            <w:hideMark/>
          </w:tcPr>
          <w:p w:rsidR="00755B9C" w:rsidRPr="00B07B55" w:rsidRDefault="00755B9C" w:rsidP="00A62522">
            <w:pPr>
              <w:pStyle w:val="Tabletext"/>
              <w:rPr>
                <w:lang w:val="en-GB"/>
              </w:rPr>
            </w:pPr>
          </w:p>
        </w:tc>
      </w:tr>
      <w:tr w:rsidR="00755B9C" w:rsidRPr="00B07B55" w:rsidTr="00755B9C">
        <w:tc>
          <w:tcPr>
            <w:tcW w:w="252" w:type="pct"/>
            <w:tcBorders>
              <w:top w:val="nil"/>
              <w:left w:val="nil"/>
              <w:bottom w:val="nil"/>
              <w:right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2C</w:t>
            </w:r>
          </w:p>
        </w:tc>
        <w:tc>
          <w:tcPr>
            <w:tcW w:w="1770" w:type="pct"/>
            <w:tcBorders>
              <w:top w:val="nil"/>
              <w:left w:val="nil"/>
              <w:bottom w:val="nil"/>
              <w:right w:val="nil"/>
            </w:tcBorders>
            <w:shd w:val="clear" w:color="auto" w:fill="auto"/>
            <w:tcMar>
              <w:top w:w="17" w:type="dxa"/>
              <w:left w:w="57" w:type="dxa"/>
              <w:bottom w:w="0" w:type="dxa"/>
              <w:right w:w="57" w:type="dxa"/>
            </w:tcMar>
            <w:hideMark/>
          </w:tcPr>
          <w:p w:rsidR="00755B9C" w:rsidRPr="00DF1414" w:rsidRDefault="00755B9C" w:rsidP="00755B9C">
            <w:pPr>
              <w:pStyle w:val="Tabletext"/>
              <w:rPr>
                <w:lang w:val="en-GB"/>
              </w:rPr>
            </w:pPr>
            <w:r>
              <w:rPr>
                <w:lang w:val="en-GB"/>
              </w:rPr>
              <w:t>Program</w:t>
            </w:r>
            <w:r w:rsidRPr="00DF1414">
              <w:rPr>
                <w:lang w:val="en-GB"/>
              </w:rPr>
              <w:t>s that are 'terminal' and are primarily meant to provide direct access to</w:t>
            </w:r>
            <w:r>
              <w:rPr>
                <w:lang w:val="en-GB"/>
              </w:rPr>
              <w:t> </w:t>
            </w:r>
            <w:r w:rsidRPr="00DF1414">
              <w:rPr>
                <w:lang w:val="en-GB"/>
              </w:rPr>
              <w:t>the labour market</w:t>
            </w:r>
          </w:p>
        </w:tc>
        <w:tc>
          <w:tcPr>
            <w:tcW w:w="1117" w:type="pct"/>
            <w:tcBorders>
              <w:top w:val="nil"/>
              <w:left w:val="nil"/>
              <w:bottom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Certificate I level</w:t>
            </w:r>
          </w:p>
        </w:tc>
        <w:tc>
          <w:tcPr>
            <w:tcW w:w="1861" w:type="pct"/>
            <w:tcBorders>
              <w:top w:val="nil"/>
              <w:left w:val="nil"/>
              <w:bottom w:val="nil"/>
              <w:right w:val="nil"/>
            </w:tcBorders>
            <w:shd w:val="clear" w:color="auto" w:fill="auto"/>
            <w:tcMar>
              <w:top w:w="17" w:type="dxa"/>
              <w:left w:w="57" w:type="dxa"/>
              <w:bottom w:w="0" w:type="dxa"/>
              <w:right w:w="57" w:type="dxa"/>
            </w:tcMar>
            <w:hideMark/>
          </w:tcPr>
          <w:p w:rsidR="00755B9C" w:rsidRPr="00B07B55" w:rsidRDefault="00755B9C" w:rsidP="00A62522">
            <w:pPr>
              <w:pStyle w:val="Tabletext"/>
              <w:rPr>
                <w:lang w:val="en-GB"/>
              </w:rPr>
            </w:pPr>
          </w:p>
        </w:tc>
      </w:tr>
      <w:tr w:rsidR="00755B9C" w:rsidRPr="00B07B55" w:rsidTr="00755B9C">
        <w:tc>
          <w:tcPr>
            <w:tcW w:w="252" w:type="pct"/>
            <w:tcBorders>
              <w:top w:val="nil"/>
              <w:left w:val="nil"/>
              <w:bottom w:val="nil"/>
              <w:right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2C</w:t>
            </w:r>
          </w:p>
        </w:tc>
        <w:tc>
          <w:tcPr>
            <w:tcW w:w="1770" w:type="pct"/>
            <w:tcBorders>
              <w:top w:val="nil"/>
              <w:left w:val="nil"/>
              <w:bottom w:val="nil"/>
              <w:right w:val="nil"/>
            </w:tcBorders>
            <w:shd w:val="clear" w:color="auto" w:fill="auto"/>
            <w:tcMar>
              <w:top w:w="17" w:type="dxa"/>
              <w:left w:w="57" w:type="dxa"/>
              <w:bottom w:w="0" w:type="dxa"/>
              <w:right w:w="57" w:type="dxa"/>
            </w:tcMar>
            <w:hideMark/>
          </w:tcPr>
          <w:p w:rsidR="00755B9C" w:rsidRPr="00DF1414" w:rsidRDefault="00755B9C" w:rsidP="00755B9C">
            <w:pPr>
              <w:pStyle w:val="Tabletext"/>
              <w:rPr>
                <w:lang w:val="en-GB"/>
              </w:rPr>
            </w:pPr>
            <w:r>
              <w:rPr>
                <w:lang w:val="en-GB"/>
              </w:rPr>
              <w:t>Program</w:t>
            </w:r>
            <w:r w:rsidRPr="00DF1414">
              <w:rPr>
                <w:lang w:val="en-GB"/>
              </w:rPr>
              <w:t>s that are 'terminal' and are primarily meant to provide direct access to</w:t>
            </w:r>
            <w:r>
              <w:rPr>
                <w:lang w:val="en-GB"/>
              </w:rPr>
              <w:t> </w:t>
            </w:r>
            <w:r w:rsidRPr="00DF1414">
              <w:rPr>
                <w:lang w:val="en-GB"/>
              </w:rPr>
              <w:t>the labour market</w:t>
            </w:r>
          </w:p>
        </w:tc>
        <w:tc>
          <w:tcPr>
            <w:tcW w:w="1117" w:type="pct"/>
            <w:tcBorders>
              <w:top w:val="nil"/>
              <w:left w:val="nil"/>
              <w:bottom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Certificate II level</w:t>
            </w:r>
          </w:p>
        </w:tc>
        <w:tc>
          <w:tcPr>
            <w:tcW w:w="1861" w:type="pct"/>
            <w:tcBorders>
              <w:top w:val="nil"/>
              <w:left w:val="nil"/>
              <w:bottom w:val="nil"/>
              <w:right w:val="nil"/>
            </w:tcBorders>
            <w:shd w:val="clear" w:color="auto" w:fill="auto"/>
            <w:tcMar>
              <w:top w:w="17" w:type="dxa"/>
              <w:left w:w="57" w:type="dxa"/>
              <w:bottom w:w="0" w:type="dxa"/>
              <w:right w:w="57" w:type="dxa"/>
            </w:tcMar>
            <w:hideMark/>
          </w:tcPr>
          <w:p w:rsidR="00755B9C" w:rsidRPr="00B07B55" w:rsidRDefault="00755B9C" w:rsidP="00A62522">
            <w:pPr>
              <w:pStyle w:val="Tabletext"/>
              <w:rPr>
                <w:lang w:val="en-GB"/>
              </w:rPr>
            </w:pPr>
          </w:p>
        </w:tc>
      </w:tr>
      <w:tr w:rsidR="00755B9C" w:rsidRPr="00B07B55" w:rsidTr="00755B9C">
        <w:tc>
          <w:tcPr>
            <w:tcW w:w="252" w:type="pct"/>
            <w:tcBorders>
              <w:top w:val="nil"/>
              <w:left w:val="nil"/>
              <w:bottom w:val="nil"/>
              <w:right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3C</w:t>
            </w:r>
          </w:p>
        </w:tc>
        <w:tc>
          <w:tcPr>
            <w:tcW w:w="1770" w:type="pct"/>
            <w:tcBorders>
              <w:top w:val="nil"/>
              <w:left w:val="nil"/>
              <w:bottom w:val="nil"/>
              <w:right w:val="nil"/>
            </w:tcBorders>
            <w:shd w:val="clear" w:color="auto" w:fill="auto"/>
            <w:tcMar>
              <w:top w:w="17" w:type="dxa"/>
              <w:left w:w="57" w:type="dxa"/>
              <w:bottom w:w="0" w:type="dxa"/>
              <w:right w:w="57" w:type="dxa"/>
            </w:tcMar>
            <w:hideMark/>
          </w:tcPr>
          <w:p w:rsidR="00755B9C" w:rsidRPr="00DF1414" w:rsidRDefault="00755B9C" w:rsidP="00A62522">
            <w:pPr>
              <w:pStyle w:val="Tabletext"/>
              <w:rPr>
                <w:lang w:val="en-GB"/>
              </w:rPr>
            </w:pPr>
            <w:r>
              <w:rPr>
                <w:lang w:val="en-GB"/>
              </w:rPr>
              <w:t>Program</w:t>
            </w:r>
            <w:r w:rsidRPr="00DF1414">
              <w:rPr>
                <w:lang w:val="en-GB"/>
              </w:rPr>
              <w:t xml:space="preserve">s designed to lead directly to the labour market or entry into ISCED level 4 </w:t>
            </w:r>
            <w:r>
              <w:rPr>
                <w:lang w:val="en-GB"/>
              </w:rPr>
              <w:t>program</w:t>
            </w:r>
            <w:r w:rsidRPr="00DF1414">
              <w:rPr>
                <w:lang w:val="en-GB"/>
              </w:rPr>
              <w:t xml:space="preserve">s or even other ISCED level 3 </w:t>
            </w:r>
            <w:r>
              <w:rPr>
                <w:lang w:val="en-GB"/>
              </w:rPr>
              <w:t>program</w:t>
            </w:r>
            <w:r w:rsidRPr="00DF1414">
              <w:rPr>
                <w:lang w:val="en-GB"/>
              </w:rPr>
              <w:t>s</w:t>
            </w:r>
          </w:p>
        </w:tc>
        <w:tc>
          <w:tcPr>
            <w:tcW w:w="1117" w:type="pct"/>
            <w:tcBorders>
              <w:top w:val="nil"/>
              <w:left w:val="nil"/>
              <w:bottom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Certificate III level</w:t>
            </w:r>
          </w:p>
        </w:tc>
        <w:tc>
          <w:tcPr>
            <w:tcW w:w="1861" w:type="pct"/>
            <w:tcBorders>
              <w:top w:val="nil"/>
              <w:left w:val="nil"/>
              <w:bottom w:val="nil"/>
              <w:right w:val="nil"/>
            </w:tcBorders>
            <w:shd w:val="clear" w:color="auto" w:fill="auto"/>
            <w:tcMar>
              <w:top w:w="17" w:type="dxa"/>
              <w:left w:w="57" w:type="dxa"/>
              <w:bottom w:w="0" w:type="dxa"/>
              <w:right w:w="57" w:type="dxa"/>
            </w:tcMar>
            <w:hideMark/>
          </w:tcPr>
          <w:p w:rsidR="00755B9C" w:rsidRPr="00B07B55" w:rsidRDefault="00755B9C" w:rsidP="004A14A5">
            <w:pPr>
              <w:pStyle w:val="Tabletext"/>
              <w:rPr>
                <w:lang w:val="en-GB"/>
              </w:rPr>
            </w:pPr>
            <w:r w:rsidRPr="00B07B55">
              <w:rPr>
                <w:lang w:val="en-GB"/>
              </w:rPr>
              <w:t>O Levels (pre</w:t>
            </w:r>
            <w:r w:rsidR="004A14A5">
              <w:rPr>
                <w:lang w:val="en-GB"/>
              </w:rPr>
              <w:t>-</w:t>
            </w:r>
            <w:r w:rsidRPr="00B07B55">
              <w:rPr>
                <w:lang w:val="en-GB"/>
              </w:rPr>
              <w:t>1975), O Level grades A</w:t>
            </w:r>
            <w:r>
              <w:rPr>
                <w:lang w:val="en-GB"/>
              </w:rPr>
              <w:t>–</w:t>
            </w:r>
            <w:r w:rsidRPr="00B07B55">
              <w:rPr>
                <w:lang w:val="en-GB"/>
              </w:rPr>
              <w:t xml:space="preserve">C (1975 or later), O Grades (pass or bands </w:t>
            </w:r>
            <w:r>
              <w:rPr>
                <w:lang w:val="en-GB"/>
              </w:rPr>
              <w:br/>
            </w:r>
            <w:r w:rsidRPr="00B07B55">
              <w:rPr>
                <w:lang w:val="en-GB"/>
              </w:rPr>
              <w:t>A</w:t>
            </w:r>
            <w:r>
              <w:rPr>
                <w:lang w:val="en-GB"/>
              </w:rPr>
              <w:t>–</w:t>
            </w:r>
            <w:r w:rsidRPr="00B07B55">
              <w:rPr>
                <w:lang w:val="en-GB"/>
              </w:rPr>
              <w:t>C or 1</w:t>
            </w:r>
            <w:r>
              <w:rPr>
                <w:lang w:val="en-GB"/>
              </w:rPr>
              <w:t>–</w:t>
            </w:r>
            <w:r w:rsidRPr="00B07B55">
              <w:rPr>
                <w:lang w:val="en-GB"/>
              </w:rPr>
              <w:t>3), Scottish School Leaving, Certificate Lower Grade</w:t>
            </w:r>
            <w:r>
              <w:rPr>
                <w:lang w:val="en-GB"/>
              </w:rPr>
              <w:t xml:space="preserve">, School Certificate or Matric. </w:t>
            </w:r>
            <w:r w:rsidRPr="00B07B55">
              <w:rPr>
                <w:lang w:val="en-GB"/>
              </w:rPr>
              <w:t xml:space="preserve">Scottish Standard Grade Level </w:t>
            </w:r>
            <w:r>
              <w:rPr>
                <w:lang w:val="en-GB"/>
              </w:rPr>
              <w:br/>
            </w:r>
            <w:r w:rsidRPr="00B07B55">
              <w:rPr>
                <w:lang w:val="en-GB"/>
              </w:rPr>
              <w:t>1</w:t>
            </w:r>
            <w:r>
              <w:rPr>
                <w:lang w:val="en-GB"/>
              </w:rPr>
              <w:t>–</w:t>
            </w:r>
            <w:r w:rsidRPr="00B07B55">
              <w:rPr>
                <w:lang w:val="en-GB"/>
              </w:rPr>
              <w:t>3 or City &amp; Guilds Certificate, clerical or commercial qualifications, recognised trade apprenticeship</w:t>
            </w:r>
          </w:p>
        </w:tc>
      </w:tr>
      <w:tr w:rsidR="00755B9C" w:rsidRPr="00B07B55" w:rsidTr="00755B9C">
        <w:tc>
          <w:tcPr>
            <w:tcW w:w="252" w:type="pct"/>
            <w:tcBorders>
              <w:top w:val="nil"/>
              <w:left w:val="nil"/>
              <w:bottom w:val="nil"/>
              <w:right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4B</w:t>
            </w:r>
          </w:p>
        </w:tc>
        <w:tc>
          <w:tcPr>
            <w:tcW w:w="1770" w:type="pct"/>
            <w:tcBorders>
              <w:top w:val="nil"/>
              <w:left w:val="nil"/>
              <w:bottom w:val="nil"/>
              <w:right w:val="nil"/>
            </w:tcBorders>
            <w:shd w:val="clear" w:color="auto" w:fill="auto"/>
            <w:tcMar>
              <w:top w:w="17" w:type="dxa"/>
              <w:left w:w="57" w:type="dxa"/>
              <w:bottom w:w="0" w:type="dxa"/>
              <w:right w:w="57" w:type="dxa"/>
            </w:tcMar>
            <w:hideMark/>
          </w:tcPr>
          <w:p w:rsidR="00755B9C" w:rsidRPr="00DF1414" w:rsidRDefault="00755B9C" w:rsidP="00A62522">
            <w:pPr>
              <w:pStyle w:val="Tabletext"/>
              <w:rPr>
                <w:lang w:val="en-GB"/>
              </w:rPr>
            </w:pPr>
            <w:r>
              <w:rPr>
                <w:lang w:val="en-GB"/>
              </w:rPr>
              <w:t>Program</w:t>
            </w:r>
            <w:r w:rsidRPr="00DF1414">
              <w:rPr>
                <w:lang w:val="en-GB"/>
              </w:rPr>
              <w:t>s that do not provide access to tertiary education (ISCED 5A or 5B), but are designed primarily for direct entry into the labour market</w:t>
            </w:r>
          </w:p>
        </w:tc>
        <w:tc>
          <w:tcPr>
            <w:tcW w:w="1117" w:type="pct"/>
            <w:tcBorders>
              <w:top w:val="nil"/>
              <w:left w:val="nil"/>
              <w:bottom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Certificate IV level</w:t>
            </w:r>
          </w:p>
        </w:tc>
        <w:tc>
          <w:tcPr>
            <w:tcW w:w="1861" w:type="pct"/>
            <w:tcBorders>
              <w:top w:val="nil"/>
              <w:left w:val="nil"/>
              <w:bottom w:val="nil"/>
              <w:right w:val="nil"/>
            </w:tcBorders>
            <w:shd w:val="clear" w:color="auto" w:fill="auto"/>
            <w:tcMar>
              <w:top w:w="17" w:type="dxa"/>
              <w:left w:w="57" w:type="dxa"/>
              <w:bottom w:w="0" w:type="dxa"/>
              <w:right w:w="57" w:type="dxa"/>
            </w:tcMar>
            <w:hideMark/>
          </w:tcPr>
          <w:p w:rsidR="00755B9C" w:rsidRPr="00B07B55" w:rsidRDefault="00755B9C" w:rsidP="00A62522">
            <w:pPr>
              <w:pStyle w:val="Tabletext"/>
              <w:rPr>
                <w:lang w:val="en-GB"/>
              </w:rPr>
            </w:pPr>
          </w:p>
        </w:tc>
      </w:tr>
      <w:tr w:rsidR="00755B9C" w:rsidRPr="00B07B55" w:rsidTr="00755B9C">
        <w:tc>
          <w:tcPr>
            <w:tcW w:w="252" w:type="pct"/>
            <w:tcBorders>
              <w:top w:val="nil"/>
              <w:left w:val="nil"/>
              <w:bottom w:val="nil"/>
              <w:right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5B</w:t>
            </w:r>
          </w:p>
        </w:tc>
        <w:tc>
          <w:tcPr>
            <w:tcW w:w="1770" w:type="pct"/>
            <w:tcBorders>
              <w:top w:val="nil"/>
              <w:left w:val="nil"/>
              <w:bottom w:val="nil"/>
              <w:right w:val="nil"/>
            </w:tcBorders>
            <w:shd w:val="clear" w:color="auto" w:fill="auto"/>
            <w:tcMar>
              <w:top w:w="17" w:type="dxa"/>
              <w:left w:w="57" w:type="dxa"/>
              <w:bottom w:w="0" w:type="dxa"/>
              <w:right w:w="57" w:type="dxa"/>
            </w:tcMar>
            <w:hideMark/>
          </w:tcPr>
          <w:p w:rsidR="00755B9C" w:rsidRPr="00DF1414" w:rsidRDefault="00755B9C" w:rsidP="00A62522">
            <w:pPr>
              <w:pStyle w:val="Tabletext"/>
              <w:rPr>
                <w:lang w:val="en-GB"/>
              </w:rPr>
            </w:pPr>
            <w:r>
              <w:rPr>
                <w:lang w:val="en-GB"/>
              </w:rPr>
              <w:t>Program</w:t>
            </w:r>
            <w:r w:rsidRPr="00DF1414">
              <w:rPr>
                <w:lang w:val="en-GB"/>
              </w:rPr>
              <w:t>s which are practical/technical/</w:t>
            </w:r>
            <w:r>
              <w:rPr>
                <w:lang w:val="en-GB"/>
              </w:rPr>
              <w:t xml:space="preserve"> </w:t>
            </w:r>
            <w:r w:rsidRPr="00DF1414">
              <w:rPr>
                <w:lang w:val="en-GB"/>
              </w:rPr>
              <w:t>occupationally specific</w:t>
            </w:r>
          </w:p>
        </w:tc>
        <w:tc>
          <w:tcPr>
            <w:tcW w:w="1117" w:type="pct"/>
            <w:tcBorders>
              <w:top w:val="nil"/>
              <w:left w:val="nil"/>
              <w:bottom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Diploma level</w:t>
            </w:r>
          </w:p>
        </w:tc>
        <w:tc>
          <w:tcPr>
            <w:tcW w:w="1861" w:type="pct"/>
            <w:tcBorders>
              <w:top w:val="nil"/>
              <w:left w:val="nil"/>
              <w:bottom w:val="nil"/>
              <w:right w:val="nil"/>
            </w:tcBorders>
            <w:shd w:val="clear" w:color="auto" w:fill="auto"/>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City &amp; Guilds Certificate (Full Technological/Part III), HNC, HND, BEC/TEC/BTEC higher certificate/diploma, university diploma, any other technical, professional or higher qualifications</w:t>
            </w:r>
          </w:p>
        </w:tc>
      </w:tr>
      <w:tr w:rsidR="00755B9C" w:rsidRPr="00B07B55" w:rsidTr="00755B9C">
        <w:tc>
          <w:tcPr>
            <w:tcW w:w="252" w:type="pct"/>
            <w:tcBorders>
              <w:top w:val="nil"/>
              <w:left w:val="nil"/>
              <w:bottom w:val="nil"/>
              <w:right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5B</w:t>
            </w:r>
          </w:p>
        </w:tc>
        <w:tc>
          <w:tcPr>
            <w:tcW w:w="1770" w:type="pct"/>
            <w:tcBorders>
              <w:top w:val="nil"/>
              <w:left w:val="nil"/>
              <w:bottom w:val="nil"/>
              <w:right w:val="nil"/>
            </w:tcBorders>
            <w:shd w:val="clear" w:color="auto" w:fill="auto"/>
            <w:tcMar>
              <w:top w:w="17" w:type="dxa"/>
              <w:left w:w="57" w:type="dxa"/>
              <w:bottom w:w="0" w:type="dxa"/>
              <w:right w:w="57" w:type="dxa"/>
            </w:tcMar>
            <w:hideMark/>
          </w:tcPr>
          <w:p w:rsidR="00755B9C" w:rsidRPr="00DF1414" w:rsidRDefault="00755B9C" w:rsidP="00A62522">
            <w:pPr>
              <w:pStyle w:val="Tabletext"/>
              <w:rPr>
                <w:lang w:val="en-GB"/>
              </w:rPr>
            </w:pPr>
            <w:r>
              <w:rPr>
                <w:lang w:val="en-GB"/>
              </w:rPr>
              <w:t>Program</w:t>
            </w:r>
            <w:r w:rsidRPr="00DF1414">
              <w:rPr>
                <w:lang w:val="en-GB"/>
              </w:rPr>
              <w:t>s which are practical/technical/</w:t>
            </w:r>
            <w:r>
              <w:rPr>
                <w:lang w:val="en-GB"/>
              </w:rPr>
              <w:t xml:space="preserve"> </w:t>
            </w:r>
            <w:r w:rsidRPr="00DF1414">
              <w:rPr>
                <w:lang w:val="en-GB"/>
              </w:rPr>
              <w:t>occupationally specific</w:t>
            </w:r>
          </w:p>
        </w:tc>
        <w:tc>
          <w:tcPr>
            <w:tcW w:w="1117" w:type="pct"/>
            <w:tcBorders>
              <w:top w:val="nil"/>
              <w:left w:val="nil"/>
              <w:bottom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Advanced diploma and associate degree level</w:t>
            </w:r>
          </w:p>
        </w:tc>
        <w:tc>
          <w:tcPr>
            <w:tcW w:w="1861" w:type="pct"/>
            <w:tcBorders>
              <w:top w:val="nil"/>
              <w:left w:val="nil"/>
              <w:bottom w:val="nil"/>
              <w:right w:val="nil"/>
            </w:tcBorders>
            <w:shd w:val="clear" w:color="auto" w:fill="auto"/>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Teachi</w:t>
            </w:r>
            <w:r>
              <w:rPr>
                <w:lang w:val="en-GB"/>
              </w:rPr>
              <w:t>ng q</w:t>
            </w:r>
            <w:r w:rsidRPr="00B07B55">
              <w:rPr>
                <w:lang w:val="en-GB"/>
              </w:rPr>
              <w:t>ualifications, nursing qualifications</w:t>
            </w:r>
          </w:p>
        </w:tc>
      </w:tr>
      <w:tr w:rsidR="00755B9C" w:rsidRPr="00B07B55" w:rsidTr="00755B9C">
        <w:tc>
          <w:tcPr>
            <w:tcW w:w="252" w:type="pct"/>
            <w:tcBorders>
              <w:top w:val="nil"/>
              <w:left w:val="nil"/>
              <w:bottom w:val="nil"/>
              <w:right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5A</w:t>
            </w:r>
          </w:p>
        </w:tc>
        <w:tc>
          <w:tcPr>
            <w:tcW w:w="1770" w:type="pct"/>
            <w:tcBorders>
              <w:top w:val="nil"/>
              <w:left w:val="nil"/>
              <w:bottom w:val="nil"/>
              <w:right w:val="nil"/>
            </w:tcBorders>
            <w:shd w:val="clear" w:color="auto" w:fill="auto"/>
            <w:tcMar>
              <w:top w:w="17" w:type="dxa"/>
              <w:left w:w="57" w:type="dxa"/>
              <w:bottom w:w="0" w:type="dxa"/>
              <w:right w:w="57" w:type="dxa"/>
            </w:tcMar>
            <w:hideMark/>
          </w:tcPr>
          <w:p w:rsidR="00755B9C" w:rsidRPr="00DF1414" w:rsidRDefault="00755B9C" w:rsidP="00A62522">
            <w:pPr>
              <w:pStyle w:val="Tabletext"/>
              <w:rPr>
                <w:lang w:val="en-GB"/>
              </w:rPr>
            </w:pPr>
            <w:r>
              <w:rPr>
                <w:lang w:val="en-GB"/>
              </w:rPr>
              <w:t>Program</w:t>
            </w:r>
            <w:r w:rsidRPr="00DF1414">
              <w:rPr>
                <w:lang w:val="en-GB"/>
              </w:rPr>
              <w:t>s which are largely theoretically based/research preparatory or which provide access to professions with high skills requirements</w:t>
            </w:r>
          </w:p>
        </w:tc>
        <w:tc>
          <w:tcPr>
            <w:tcW w:w="1117" w:type="pct"/>
            <w:tcBorders>
              <w:top w:val="nil"/>
              <w:left w:val="nil"/>
              <w:bottom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Bachelor degree level</w:t>
            </w:r>
          </w:p>
        </w:tc>
        <w:tc>
          <w:tcPr>
            <w:tcW w:w="1861" w:type="pct"/>
            <w:tcBorders>
              <w:top w:val="nil"/>
              <w:left w:val="nil"/>
              <w:bottom w:val="nil"/>
              <w:right w:val="nil"/>
            </w:tcBorders>
            <w:shd w:val="clear" w:color="auto" w:fill="auto"/>
            <w:tcMar>
              <w:top w:w="17" w:type="dxa"/>
              <w:left w:w="57" w:type="dxa"/>
              <w:bottom w:w="0" w:type="dxa"/>
              <w:right w:w="57" w:type="dxa"/>
            </w:tcMar>
            <w:hideMark/>
          </w:tcPr>
          <w:p w:rsidR="00755B9C" w:rsidRPr="00B07B55" w:rsidRDefault="00755B9C" w:rsidP="00A62522">
            <w:pPr>
              <w:pStyle w:val="Tabletext"/>
              <w:rPr>
                <w:lang w:val="en-GB"/>
              </w:rPr>
            </w:pPr>
          </w:p>
        </w:tc>
      </w:tr>
      <w:tr w:rsidR="00755B9C" w:rsidRPr="00B07B55" w:rsidTr="00755B9C">
        <w:tc>
          <w:tcPr>
            <w:tcW w:w="252" w:type="pct"/>
            <w:tcBorders>
              <w:top w:val="nil"/>
              <w:left w:val="nil"/>
              <w:bottom w:val="nil"/>
              <w:right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5A</w:t>
            </w:r>
          </w:p>
        </w:tc>
        <w:tc>
          <w:tcPr>
            <w:tcW w:w="1770" w:type="pct"/>
            <w:tcBorders>
              <w:top w:val="nil"/>
              <w:left w:val="nil"/>
              <w:bottom w:val="nil"/>
              <w:right w:val="nil"/>
            </w:tcBorders>
            <w:shd w:val="clear" w:color="auto" w:fill="auto"/>
            <w:tcMar>
              <w:top w:w="17" w:type="dxa"/>
              <w:left w:w="57" w:type="dxa"/>
              <w:bottom w:w="0" w:type="dxa"/>
              <w:right w:w="57" w:type="dxa"/>
            </w:tcMar>
            <w:hideMark/>
          </w:tcPr>
          <w:p w:rsidR="00755B9C" w:rsidRPr="00DF1414" w:rsidRDefault="00755B9C" w:rsidP="00A62522">
            <w:pPr>
              <w:pStyle w:val="Tabletext"/>
              <w:rPr>
                <w:lang w:val="en-GB"/>
              </w:rPr>
            </w:pPr>
            <w:r>
              <w:rPr>
                <w:lang w:val="en-GB"/>
              </w:rPr>
              <w:t>Program</w:t>
            </w:r>
            <w:r w:rsidRPr="00DF1414">
              <w:rPr>
                <w:lang w:val="en-GB"/>
              </w:rPr>
              <w:t>s which are largely theoretically based/research preparatory or which provide access to professions with high skills requirements</w:t>
            </w:r>
          </w:p>
        </w:tc>
        <w:tc>
          <w:tcPr>
            <w:tcW w:w="1117" w:type="pct"/>
            <w:tcBorders>
              <w:top w:val="nil"/>
              <w:left w:val="nil"/>
              <w:bottom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Graduate diploma and graduate certificate level</w:t>
            </w:r>
          </w:p>
        </w:tc>
        <w:tc>
          <w:tcPr>
            <w:tcW w:w="1861" w:type="pct"/>
            <w:tcBorders>
              <w:top w:val="nil"/>
              <w:left w:val="nil"/>
              <w:bottom w:val="nil"/>
              <w:right w:val="nil"/>
            </w:tcBorders>
            <w:shd w:val="clear" w:color="auto" w:fill="auto"/>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University or CNAA first degree</w:t>
            </w:r>
          </w:p>
        </w:tc>
      </w:tr>
      <w:tr w:rsidR="00755B9C" w:rsidRPr="00B07B55" w:rsidTr="00755B9C">
        <w:tc>
          <w:tcPr>
            <w:tcW w:w="252" w:type="pct"/>
            <w:tcBorders>
              <w:top w:val="nil"/>
              <w:left w:val="nil"/>
              <w:bottom w:val="nil"/>
              <w:right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5A</w:t>
            </w:r>
          </w:p>
        </w:tc>
        <w:tc>
          <w:tcPr>
            <w:tcW w:w="1770" w:type="pct"/>
            <w:tcBorders>
              <w:top w:val="nil"/>
              <w:left w:val="nil"/>
              <w:bottom w:val="nil"/>
              <w:right w:val="nil"/>
            </w:tcBorders>
            <w:shd w:val="clear" w:color="auto" w:fill="auto"/>
            <w:tcMar>
              <w:top w:w="17" w:type="dxa"/>
              <w:left w:w="57" w:type="dxa"/>
              <w:bottom w:w="0" w:type="dxa"/>
              <w:right w:w="57" w:type="dxa"/>
            </w:tcMar>
            <w:hideMark/>
          </w:tcPr>
          <w:p w:rsidR="00755B9C" w:rsidRPr="00DF1414" w:rsidRDefault="00755B9C" w:rsidP="00A62522">
            <w:pPr>
              <w:pStyle w:val="Tabletext"/>
              <w:rPr>
                <w:lang w:val="en-GB"/>
              </w:rPr>
            </w:pPr>
            <w:r>
              <w:rPr>
                <w:lang w:val="en-GB"/>
              </w:rPr>
              <w:t>Program</w:t>
            </w:r>
            <w:r w:rsidRPr="00DF1414">
              <w:rPr>
                <w:lang w:val="en-GB"/>
              </w:rPr>
              <w:t>s which are largely theoretically based/research preparatory or which provide access to professions with high skills requirements</w:t>
            </w:r>
          </w:p>
        </w:tc>
        <w:tc>
          <w:tcPr>
            <w:tcW w:w="1117" w:type="pct"/>
            <w:tcBorders>
              <w:top w:val="nil"/>
              <w:left w:val="nil"/>
              <w:bottom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Master degree level</w:t>
            </w:r>
          </w:p>
        </w:tc>
        <w:tc>
          <w:tcPr>
            <w:tcW w:w="1861" w:type="pct"/>
            <w:tcBorders>
              <w:top w:val="nil"/>
              <w:left w:val="nil"/>
              <w:bottom w:val="nil"/>
              <w:right w:val="nil"/>
            </w:tcBorders>
            <w:shd w:val="clear" w:color="auto" w:fill="auto"/>
            <w:tcMar>
              <w:top w:w="17" w:type="dxa"/>
              <w:left w:w="57" w:type="dxa"/>
              <w:bottom w:w="0" w:type="dxa"/>
              <w:right w:w="57" w:type="dxa"/>
            </w:tcMar>
            <w:hideMark/>
          </w:tcPr>
          <w:p w:rsidR="00755B9C" w:rsidRPr="00B07B55" w:rsidRDefault="00755B9C" w:rsidP="00A62522">
            <w:pPr>
              <w:pStyle w:val="Tabletext"/>
              <w:rPr>
                <w:lang w:val="en-GB"/>
              </w:rPr>
            </w:pPr>
          </w:p>
        </w:tc>
      </w:tr>
      <w:tr w:rsidR="00755B9C" w:rsidRPr="00B07B55" w:rsidTr="00755B9C">
        <w:tc>
          <w:tcPr>
            <w:tcW w:w="252" w:type="pct"/>
            <w:tcBorders>
              <w:top w:val="nil"/>
              <w:left w:val="nil"/>
              <w:bottom w:val="single" w:sz="4" w:space="0" w:color="auto"/>
              <w:right w:val="nil"/>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6</w:t>
            </w:r>
          </w:p>
        </w:tc>
        <w:tc>
          <w:tcPr>
            <w:tcW w:w="1770" w:type="pct"/>
            <w:tcBorders>
              <w:top w:val="nil"/>
              <w:left w:val="nil"/>
              <w:bottom w:val="single" w:sz="4" w:space="0" w:color="auto"/>
              <w:right w:val="nil"/>
            </w:tcBorders>
            <w:shd w:val="clear" w:color="auto" w:fill="auto"/>
            <w:tcMar>
              <w:top w:w="17" w:type="dxa"/>
              <w:left w:w="57" w:type="dxa"/>
              <w:bottom w:w="0" w:type="dxa"/>
              <w:right w:w="57" w:type="dxa"/>
            </w:tcMar>
            <w:hideMark/>
          </w:tcPr>
          <w:p w:rsidR="00755B9C" w:rsidRPr="00DF1414" w:rsidRDefault="00755B9C" w:rsidP="00A62522">
            <w:pPr>
              <w:pStyle w:val="Tabletext"/>
              <w:rPr>
                <w:lang w:val="en-GB"/>
              </w:rPr>
            </w:pPr>
            <w:r w:rsidRPr="00DF1414">
              <w:rPr>
                <w:lang w:val="en-GB"/>
              </w:rPr>
              <w:t>Second stage of tertiary education (leading to an advanced research qualification)</w:t>
            </w:r>
          </w:p>
        </w:tc>
        <w:tc>
          <w:tcPr>
            <w:tcW w:w="1117" w:type="pct"/>
            <w:tcBorders>
              <w:top w:val="nil"/>
              <w:left w:val="nil"/>
              <w:bottom w:val="single" w:sz="4" w:space="0" w:color="auto"/>
            </w:tcBorders>
            <w:shd w:val="clear" w:color="auto" w:fill="auto"/>
            <w:noWrap/>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Doctoral degree level</w:t>
            </w:r>
          </w:p>
        </w:tc>
        <w:tc>
          <w:tcPr>
            <w:tcW w:w="1861" w:type="pct"/>
            <w:tcBorders>
              <w:top w:val="nil"/>
              <w:left w:val="nil"/>
              <w:bottom w:val="single" w:sz="4" w:space="0" w:color="auto"/>
              <w:right w:val="nil"/>
            </w:tcBorders>
            <w:shd w:val="clear" w:color="auto" w:fill="auto"/>
            <w:tcMar>
              <w:top w:w="17" w:type="dxa"/>
              <w:left w:w="57" w:type="dxa"/>
              <w:bottom w:w="0" w:type="dxa"/>
              <w:right w:w="57" w:type="dxa"/>
            </w:tcMar>
            <w:hideMark/>
          </w:tcPr>
          <w:p w:rsidR="00755B9C" w:rsidRPr="00B07B55" w:rsidRDefault="00755B9C" w:rsidP="00A62522">
            <w:pPr>
              <w:pStyle w:val="Tabletext"/>
              <w:rPr>
                <w:lang w:val="en-GB"/>
              </w:rPr>
            </w:pPr>
            <w:r w:rsidRPr="00B07B55">
              <w:rPr>
                <w:lang w:val="en-GB"/>
              </w:rPr>
              <w:t>University or CNAA higher degree</w:t>
            </w:r>
          </w:p>
        </w:tc>
      </w:tr>
    </w:tbl>
    <w:p w:rsidR="002D79E4" w:rsidRDefault="00A62522" w:rsidP="00A62522">
      <w:pPr>
        <w:pStyle w:val="Source"/>
        <w:rPr>
          <w:lang w:val="en-GB"/>
        </w:rPr>
      </w:pPr>
      <w:r>
        <w:rPr>
          <w:lang w:val="en-GB"/>
        </w:rPr>
        <w:t>Sources:</w:t>
      </w:r>
      <w:r>
        <w:rPr>
          <w:lang w:val="en-GB"/>
        </w:rPr>
        <w:tab/>
      </w:r>
      <w:r w:rsidR="00BC6AF9">
        <w:rPr>
          <w:lang w:val="en-GB"/>
        </w:rPr>
        <w:t>ABS</w:t>
      </w:r>
      <w:r w:rsidR="002D79E4" w:rsidRPr="00B07B55">
        <w:rPr>
          <w:lang w:val="en-GB"/>
        </w:rPr>
        <w:t>; United Kingdom: BHPS definitions.</w:t>
      </w:r>
    </w:p>
    <w:p w:rsidR="00AF7D18" w:rsidRDefault="00AF7D18">
      <w:pPr>
        <w:spacing w:before="0" w:line="240" w:lineRule="auto"/>
        <w:rPr>
          <w:rFonts w:ascii="Tahoma" w:hAnsi="Tahoma"/>
          <w:b/>
          <w:sz w:val="17"/>
          <w:lang w:val="en-GB"/>
        </w:rPr>
      </w:pPr>
      <w:bookmarkStart w:id="90" w:name="_Toc311576133"/>
      <w:r>
        <w:rPr>
          <w:lang w:val="en-GB"/>
        </w:rPr>
        <w:br w:type="page"/>
      </w:r>
    </w:p>
    <w:p w:rsidR="0008221E" w:rsidRPr="00B07B55" w:rsidRDefault="0008221E" w:rsidP="00AF7D18">
      <w:pPr>
        <w:pStyle w:val="tabletitle"/>
        <w:rPr>
          <w:lang w:val="en-GB"/>
        </w:rPr>
      </w:pPr>
      <w:bookmarkStart w:id="91" w:name="_Toc334021189"/>
      <w:r w:rsidRPr="00B07B55">
        <w:rPr>
          <w:lang w:val="en-GB"/>
        </w:rPr>
        <w:t>Table A</w:t>
      </w:r>
      <w:r w:rsidR="00D87068">
        <w:rPr>
          <w:lang w:val="en-GB"/>
        </w:rPr>
        <w:t>7</w:t>
      </w:r>
      <w:r w:rsidRPr="00B07B55">
        <w:rPr>
          <w:lang w:val="en-GB"/>
        </w:rPr>
        <w:tab/>
      </w:r>
      <w:r w:rsidR="000343A1" w:rsidRPr="00B07B55">
        <w:rPr>
          <w:lang w:val="en-GB"/>
        </w:rPr>
        <w:t>B</w:t>
      </w:r>
      <w:r w:rsidR="00A957C6">
        <w:rPr>
          <w:lang w:val="en-GB"/>
        </w:rPr>
        <w:t xml:space="preserve">ritish survey </w:t>
      </w:r>
      <w:r w:rsidR="000343A1" w:rsidRPr="00B07B55">
        <w:rPr>
          <w:lang w:val="en-GB"/>
        </w:rPr>
        <w:t>sample, males</w:t>
      </w:r>
      <w:bookmarkEnd w:id="90"/>
      <w:bookmarkEnd w:id="91"/>
    </w:p>
    <w:tbl>
      <w:tblPr>
        <w:tblW w:w="8789" w:type="dxa"/>
        <w:tblInd w:w="113" w:type="dxa"/>
        <w:tblLayout w:type="fixed"/>
        <w:tblCellMar>
          <w:left w:w="113" w:type="dxa"/>
          <w:right w:w="113" w:type="dxa"/>
        </w:tblCellMar>
        <w:tblLook w:val="04A0"/>
      </w:tblPr>
      <w:tblGrid>
        <w:gridCol w:w="3544"/>
        <w:gridCol w:w="1311"/>
        <w:gridCol w:w="1311"/>
        <w:gridCol w:w="1311"/>
        <w:gridCol w:w="1312"/>
      </w:tblGrid>
      <w:tr w:rsidR="000343A1" w:rsidRPr="00B07B55" w:rsidTr="00A43A57">
        <w:tc>
          <w:tcPr>
            <w:tcW w:w="3544" w:type="dxa"/>
            <w:tcBorders>
              <w:top w:val="single" w:sz="4" w:space="0" w:color="auto"/>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14625D" w:rsidP="00A43A57">
            <w:pPr>
              <w:pStyle w:val="Tablehead1"/>
              <w:rPr>
                <w:lang w:val="en-GB"/>
              </w:rPr>
            </w:pPr>
            <w:r w:rsidRPr="00B07B55">
              <w:rPr>
                <w:lang w:val="en-GB"/>
              </w:rPr>
              <w:t>Age group</w:t>
            </w:r>
          </w:p>
        </w:tc>
        <w:tc>
          <w:tcPr>
            <w:tcW w:w="1311" w:type="dxa"/>
            <w:tcBorders>
              <w:top w:val="single" w:sz="4" w:space="0" w:color="auto"/>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0343A1" w:rsidP="00A43A57">
            <w:pPr>
              <w:pStyle w:val="Tablehead1"/>
              <w:jc w:val="center"/>
              <w:rPr>
                <w:bCs/>
                <w:lang w:val="en-GB"/>
              </w:rPr>
            </w:pPr>
            <w:r w:rsidRPr="00B07B55">
              <w:rPr>
                <w:bCs/>
                <w:lang w:val="en-GB"/>
              </w:rPr>
              <w:t>25</w:t>
            </w:r>
            <w:r w:rsidR="00DF1414">
              <w:rPr>
                <w:bCs/>
                <w:lang w:val="en-GB"/>
              </w:rPr>
              <w:t>–</w:t>
            </w:r>
            <w:r w:rsidRPr="00B07B55">
              <w:rPr>
                <w:bCs/>
                <w:lang w:val="en-GB"/>
              </w:rPr>
              <w:t>34</w:t>
            </w:r>
          </w:p>
        </w:tc>
        <w:tc>
          <w:tcPr>
            <w:tcW w:w="1311" w:type="dxa"/>
            <w:tcBorders>
              <w:top w:val="single" w:sz="4" w:space="0" w:color="auto"/>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0343A1" w:rsidP="00A43A57">
            <w:pPr>
              <w:pStyle w:val="Tablehead1"/>
              <w:jc w:val="center"/>
              <w:rPr>
                <w:bCs/>
                <w:lang w:val="en-GB"/>
              </w:rPr>
            </w:pPr>
            <w:r w:rsidRPr="00B07B55">
              <w:rPr>
                <w:bCs/>
                <w:lang w:val="en-GB"/>
              </w:rPr>
              <w:t>35</w:t>
            </w:r>
            <w:r w:rsidR="00DF1414">
              <w:rPr>
                <w:bCs/>
                <w:lang w:val="en-GB"/>
              </w:rPr>
              <w:t>–</w:t>
            </w:r>
            <w:r w:rsidRPr="00B07B55">
              <w:rPr>
                <w:bCs/>
                <w:lang w:val="en-GB"/>
              </w:rPr>
              <w:t>44</w:t>
            </w:r>
          </w:p>
        </w:tc>
        <w:tc>
          <w:tcPr>
            <w:tcW w:w="1311" w:type="dxa"/>
            <w:tcBorders>
              <w:top w:val="single" w:sz="4" w:space="0" w:color="auto"/>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0343A1" w:rsidP="00A43A57">
            <w:pPr>
              <w:pStyle w:val="Tablehead1"/>
              <w:jc w:val="center"/>
              <w:rPr>
                <w:bCs/>
                <w:lang w:val="en-GB"/>
              </w:rPr>
            </w:pPr>
            <w:r w:rsidRPr="00B07B55">
              <w:rPr>
                <w:bCs/>
                <w:lang w:val="en-GB"/>
              </w:rPr>
              <w:t>45</w:t>
            </w:r>
            <w:r w:rsidR="00DF1414">
              <w:rPr>
                <w:bCs/>
                <w:lang w:val="en-GB"/>
              </w:rPr>
              <w:t>–</w:t>
            </w:r>
            <w:r w:rsidRPr="00B07B55">
              <w:rPr>
                <w:bCs/>
                <w:lang w:val="en-GB"/>
              </w:rPr>
              <w:t>54</w:t>
            </w:r>
          </w:p>
        </w:tc>
        <w:tc>
          <w:tcPr>
            <w:tcW w:w="1312" w:type="dxa"/>
            <w:tcBorders>
              <w:top w:val="single" w:sz="4" w:space="0" w:color="auto"/>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0343A1" w:rsidP="00A43A57">
            <w:pPr>
              <w:pStyle w:val="Tablehead1"/>
              <w:jc w:val="center"/>
              <w:rPr>
                <w:bCs/>
                <w:lang w:val="en-GB"/>
              </w:rPr>
            </w:pPr>
            <w:r w:rsidRPr="00B07B55">
              <w:rPr>
                <w:bCs/>
                <w:lang w:val="en-GB"/>
              </w:rPr>
              <w:t>55</w:t>
            </w:r>
            <w:r w:rsidR="00DF1414">
              <w:rPr>
                <w:bCs/>
                <w:lang w:val="en-GB"/>
              </w:rPr>
              <w:t>–</w:t>
            </w:r>
            <w:r w:rsidRPr="00B07B55">
              <w:rPr>
                <w:bCs/>
                <w:lang w:val="en-GB"/>
              </w:rPr>
              <w:t>64</w:t>
            </w:r>
          </w:p>
        </w:tc>
      </w:tr>
      <w:tr w:rsidR="000343A1" w:rsidRPr="00874A6C"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4A14A5" w:rsidP="00A43A57">
            <w:pPr>
              <w:pStyle w:val="Tabletext"/>
              <w:rPr>
                <w:i/>
                <w:lang w:val="en-GB"/>
              </w:rPr>
            </w:pPr>
            <w:r w:rsidRPr="00874A6C">
              <w:rPr>
                <w:i/>
                <w:lang w:val="en-GB"/>
              </w:rPr>
              <w:t>Observations</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jc w:val="center"/>
              <w:rPr>
                <w:i/>
                <w:lang w:val="en-GB"/>
              </w:rPr>
            </w:pPr>
            <w:r w:rsidRPr="00874A6C">
              <w:rPr>
                <w:i/>
                <w:lang w:val="en-GB"/>
              </w:rPr>
              <w:t>859</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jc w:val="center"/>
              <w:rPr>
                <w:i/>
                <w:lang w:val="en-GB"/>
              </w:rPr>
            </w:pPr>
            <w:r w:rsidRPr="00874A6C">
              <w:rPr>
                <w:i/>
                <w:lang w:val="en-GB"/>
              </w:rPr>
              <w:t>998</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jc w:val="center"/>
              <w:rPr>
                <w:i/>
                <w:lang w:val="en-GB"/>
              </w:rPr>
            </w:pPr>
            <w:r w:rsidRPr="00874A6C">
              <w:rPr>
                <w:i/>
                <w:lang w:val="en-GB"/>
              </w:rPr>
              <w:t>882</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jc w:val="center"/>
              <w:rPr>
                <w:i/>
                <w:lang w:val="en-GB"/>
              </w:rPr>
            </w:pPr>
            <w:r w:rsidRPr="00874A6C">
              <w:rPr>
                <w:i/>
                <w:lang w:val="en-GB"/>
              </w:rPr>
              <w:t>698</w:t>
            </w:r>
          </w:p>
        </w:tc>
      </w:tr>
      <w:tr w:rsidR="000343A1" w:rsidRPr="00874A6C"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BC6AF9" w:rsidP="00A43A57">
            <w:pPr>
              <w:pStyle w:val="Tabletext"/>
              <w:spacing w:before="120"/>
              <w:rPr>
                <w:lang w:val="en-GB"/>
              </w:rPr>
            </w:pPr>
            <w:r w:rsidRPr="00874A6C">
              <w:rPr>
                <w:lang w:val="en-GB"/>
              </w:rPr>
              <w:t>Marital s</w:t>
            </w:r>
            <w:r w:rsidR="000343A1" w:rsidRPr="00874A6C">
              <w:rPr>
                <w:lang w:val="en-GB"/>
              </w:rPr>
              <w:t>tatus</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spacing w:before="120"/>
              <w:rPr>
                <w:lang w:val="en-GB"/>
              </w:rPr>
            </w:pP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spacing w:before="120"/>
              <w:rPr>
                <w:lang w:val="en-GB"/>
              </w:rPr>
            </w:pP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spacing w:before="120"/>
              <w:rPr>
                <w:lang w:val="en-GB"/>
              </w:rPr>
            </w:pP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spacing w:before="120"/>
              <w:rPr>
                <w:lang w:val="en-GB"/>
              </w:rPr>
            </w:pP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874A6C">
            <w:pPr>
              <w:pStyle w:val="Tabletext"/>
              <w:ind w:left="227"/>
              <w:rPr>
                <w:lang w:val="en-GB"/>
              </w:rPr>
            </w:pPr>
            <w:r w:rsidRPr="00B07B55">
              <w:rPr>
                <w:lang w:val="en-GB"/>
              </w:rPr>
              <w:t>Married</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51.92</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67.43</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76.98</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80.66</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BC6AF9" w:rsidP="00874A6C">
            <w:pPr>
              <w:pStyle w:val="Tabletext"/>
              <w:ind w:left="227"/>
              <w:rPr>
                <w:lang w:val="en-GB"/>
              </w:rPr>
            </w:pPr>
            <w:r>
              <w:rPr>
                <w:lang w:val="en-GB"/>
              </w:rPr>
              <w:t>Separated/</w:t>
            </w:r>
            <w:r w:rsidR="000343A1" w:rsidRPr="00B07B55">
              <w:rPr>
                <w:lang w:val="en-GB"/>
              </w:rPr>
              <w:t>divorced</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3.49</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12.22</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12.13</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9.03</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874A6C">
            <w:pPr>
              <w:pStyle w:val="Tabletext"/>
              <w:ind w:left="227"/>
              <w:rPr>
                <w:lang w:val="en-GB"/>
              </w:rPr>
            </w:pPr>
            <w:r w:rsidRPr="00B07B55">
              <w:rPr>
                <w:lang w:val="en-GB"/>
              </w:rPr>
              <w:t>Widowed</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0</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0.2</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0.91</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3.87</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874A6C">
            <w:pPr>
              <w:pStyle w:val="Tabletext"/>
              <w:ind w:left="227"/>
              <w:rPr>
                <w:lang w:val="en-GB"/>
              </w:rPr>
            </w:pPr>
            <w:r w:rsidRPr="00B07B55">
              <w:rPr>
                <w:lang w:val="en-GB"/>
              </w:rPr>
              <w:t>Never married</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44.59</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20.14</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9.98</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6.45</w:t>
            </w:r>
          </w:p>
        </w:tc>
      </w:tr>
      <w:tr w:rsidR="000343A1" w:rsidRPr="00874A6C"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spacing w:before="120"/>
              <w:rPr>
                <w:lang w:val="en-GB"/>
              </w:rPr>
            </w:pPr>
            <w:r w:rsidRPr="00874A6C">
              <w:rPr>
                <w:lang w:val="en-GB"/>
              </w:rPr>
              <w:t>Number of children at home</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tabs>
                <w:tab w:val="decimal" w:pos="510"/>
              </w:tabs>
              <w:spacing w:before="120"/>
              <w:rPr>
                <w:lang w:val="en-GB"/>
              </w:rPr>
            </w:pP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tabs>
                <w:tab w:val="decimal" w:pos="510"/>
              </w:tabs>
              <w:spacing w:before="120"/>
              <w:rPr>
                <w:lang w:val="en-GB"/>
              </w:rPr>
            </w:pP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tabs>
                <w:tab w:val="decimal" w:pos="510"/>
              </w:tabs>
              <w:spacing w:before="120"/>
              <w:rPr>
                <w:lang w:val="en-GB"/>
              </w:rPr>
            </w:pP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tabs>
                <w:tab w:val="decimal" w:pos="510"/>
              </w:tabs>
              <w:spacing w:before="120"/>
              <w:rPr>
                <w:lang w:val="en-GB"/>
              </w:rPr>
            </w:pP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874A6C">
            <w:pPr>
              <w:pStyle w:val="Tabletext"/>
              <w:ind w:left="227"/>
              <w:rPr>
                <w:lang w:val="en-GB"/>
              </w:rPr>
            </w:pPr>
            <w:r w:rsidRPr="00B07B55">
              <w:rPr>
                <w:lang w:val="en-GB"/>
              </w:rPr>
              <w:t>None</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53.55</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36.57</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67.57</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94.56</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874A6C">
            <w:pPr>
              <w:pStyle w:val="Tabletext"/>
              <w:ind w:left="227"/>
              <w:rPr>
                <w:lang w:val="en-GB"/>
              </w:rPr>
            </w:pPr>
            <w:r w:rsidRPr="00B07B55">
              <w:rPr>
                <w:lang w:val="en-GB"/>
              </w:rPr>
              <w:t>1 child</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19.21</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20.54</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15.65</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4.44</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874A6C">
            <w:pPr>
              <w:pStyle w:val="Tabletext"/>
              <w:ind w:left="227"/>
              <w:rPr>
                <w:lang w:val="en-GB"/>
              </w:rPr>
            </w:pPr>
            <w:r w:rsidRPr="00B07B55">
              <w:rPr>
                <w:lang w:val="en-GB"/>
              </w:rPr>
              <w:t>2 children</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20.26</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30.26</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11.79</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874A6C">
            <w:pPr>
              <w:pStyle w:val="Tabletext"/>
              <w:ind w:left="227"/>
              <w:rPr>
                <w:lang w:val="en-GB"/>
              </w:rPr>
            </w:pPr>
            <w:r w:rsidRPr="00B07B55">
              <w:rPr>
                <w:lang w:val="en-GB"/>
              </w:rPr>
              <w:t>3 children or more</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6.98</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12.63</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4.99</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0</w:t>
            </w:r>
          </w:p>
        </w:tc>
      </w:tr>
      <w:tr w:rsidR="000343A1" w:rsidRPr="00874A6C"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spacing w:before="120"/>
              <w:rPr>
                <w:lang w:val="en-GB"/>
              </w:rPr>
            </w:pPr>
            <w:r w:rsidRPr="00874A6C">
              <w:rPr>
                <w:lang w:val="en-GB"/>
              </w:rPr>
              <w:t>Education level</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tabs>
                <w:tab w:val="decimal" w:pos="510"/>
              </w:tabs>
              <w:spacing w:before="120"/>
              <w:rPr>
                <w:lang w:val="en-GB"/>
              </w:rPr>
            </w:pP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tabs>
                <w:tab w:val="decimal" w:pos="510"/>
              </w:tabs>
              <w:spacing w:before="120"/>
              <w:rPr>
                <w:lang w:val="en-GB"/>
              </w:rPr>
            </w:pP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tabs>
                <w:tab w:val="decimal" w:pos="510"/>
              </w:tabs>
              <w:spacing w:before="120"/>
              <w:rPr>
                <w:lang w:val="en-GB"/>
              </w:rPr>
            </w:pP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tabs>
                <w:tab w:val="decimal" w:pos="510"/>
              </w:tabs>
              <w:spacing w:before="120"/>
              <w:rPr>
                <w:lang w:val="en-GB"/>
              </w:rPr>
            </w:pP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874A6C">
            <w:pPr>
              <w:pStyle w:val="Tabletext"/>
              <w:ind w:left="227"/>
              <w:rPr>
                <w:lang w:val="en-GB"/>
              </w:rPr>
            </w:pPr>
            <w:r w:rsidRPr="00B07B55">
              <w:rPr>
                <w:lang w:val="en-GB"/>
              </w:rPr>
              <w:t>Primary</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10.74</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13.09</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24.5</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31.14</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874A6C">
            <w:pPr>
              <w:pStyle w:val="Tabletext"/>
              <w:ind w:left="227"/>
              <w:rPr>
                <w:lang w:val="en-GB"/>
              </w:rPr>
            </w:pPr>
            <w:r w:rsidRPr="00B07B55">
              <w:rPr>
                <w:lang w:val="en-GB"/>
              </w:rPr>
              <w:t>Low secondary</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32.93</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33.09</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25.55</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25.44</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874A6C">
            <w:pPr>
              <w:pStyle w:val="Tabletext"/>
              <w:ind w:left="227"/>
              <w:rPr>
                <w:lang w:val="en-GB"/>
              </w:rPr>
            </w:pPr>
            <w:r w:rsidRPr="00B07B55">
              <w:rPr>
                <w:lang w:val="en-GB"/>
              </w:rPr>
              <w:t>High secondary</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15.8</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11.96</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12.49</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9.65</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874A6C">
            <w:pPr>
              <w:pStyle w:val="Tabletext"/>
              <w:ind w:left="227"/>
              <w:rPr>
                <w:lang w:val="en-GB"/>
              </w:rPr>
            </w:pPr>
            <w:r w:rsidRPr="00B07B55">
              <w:rPr>
                <w:lang w:val="en-GB"/>
              </w:rPr>
              <w:t>High vocational</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20.14</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21.86</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22.52</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22.51</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874A6C">
            <w:pPr>
              <w:pStyle w:val="Tabletext"/>
              <w:ind w:left="227"/>
              <w:rPr>
                <w:lang w:val="en-GB"/>
              </w:rPr>
            </w:pPr>
            <w:r w:rsidRPr="00B07B55">
              <w:rPr>
                <w:lang w:val="en-GB"/>
              </w:rPr>
              <w:t>Degree</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20.39</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20</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14.94</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11.26</w:t>
            </w:r>
          </w:p>
        </w:tc>
      </w:tr>
      <w:tr w:rsidR="000343A1" w:rsidRPr="00874A6C"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spacing w:before="120"/>
              <w:rPr>
                <w:lang w:val="en-GB"/>
              </w:rPr>
            </w:pPr>
            <w:r w:rsidRPr="00874A6C">
              <w:rPr>
                <w:lang w:val="en-GB"/>
              </w:rPr>
              <w:t>Employment status</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tabs>
                <w:tab w:val="decimal" w:pos="510"/>
              </w:tabs>
              <w:spacing w:before="120"/>
              <w:rPr>
                <w:lang w:val="en-GB"/>
              </w:rPr>
            </w:pP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tabs>
                <w:tab w:val="decimal" w:pos="510"/>
              </w:tabs>
              <w:spacing w:before="120"/>
              <w:rPr>
                <w:lang w:val="en-GB"/>
              </w:rPr>
            </w:pP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tabs>
                <w:tab w:val="decimal" w:pos="510"/>
              </w:tabs>
              <w:spacing w:before="120"/>
              <w:rPr>
                <w:lang w:val="en-GB"/>
              </w:rPr>
            </w:pP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874A6C" w:rsidRDefault="000343A1" w:rsidP="00A43A57">
            <w:pPr>
              <w:pStyle w:val="Tabletext"/>
              <w:tabs>
                <w:tab w:val="decimal" w:pos="510"/>
              </w:tabs>
              <w:spacing w:before="120"/>
              <w:rPr>
                <w:lang w:val="en-GB"/>
              </w:rPr>
            </w:pP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874A6C">
            <w:pPr>
              <w:pStyle w:val="Tabletext"/>
              <w:ind w:left="227"/>
              <w:rPr>
                <w:lang w:val="en-GB"/>
              </w:rPr>
            </w:pPr>
            <w:r w:rsidRPr="00B07B55">
              <w:rPr>
                <w:lang w:val="en-GB"/>
              </w:rPr>
              <w:t>Employed</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89.87</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91.58</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86.28</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60.17</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874A6C">
            <w:pPr>
              <w:pStyle w:val="Tabletext"/>
              <w:ind w:left="227"/>
              <w:rPr>
                <w:lang w:val="en-GB"/>
              </w:rPr>
            </w:pPr>
            <w:r w:rsidRPr="00B07B55">
              <w:rPr>
                <w:lang w:val="en-GB"/>
              </w:rPr>
              <w:t>Unemployed</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5.47</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2.51</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2.49</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2.01</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874A6C">
            <w:pPr>
              <w:pStyle w:val="Tabletext"/>
              <w:ind w:left="227"/>
              <w:rPr>
                <w:lang w:val="en-GB"/>
              </w:rPr>
            </w:pPr>
            <w:r w:rsidRPr="00B07B55">
              <w:rPr>
                <w:lang w:val="en-GB"/>
              </w:rPr>
              <w:t>Not in the labour force</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4.66</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5.91</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11.22</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37.82</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4B0A8A" w:rsidP="00A43A57">
            <w:pPr>
              <w:pStyle w:val="Tabletext"/>
              <w:spacing w:before="120"/>
              <w:rPr>
                <w:lang w:val="en-GB"/>
              </w:rPr>
            </w:pPr>
            <w:r>
              <w:rPr>
                <w:lang w:val="en-GB"/>
              </w:rPr>
              <w:t>Health work-</w:t>
            </w:r>
            <w:r w:rsidR="000343A1" w:rsidRPr="00B07B55">
              <w:rPr>
                <w:lang w:val="en-GB"/>
              </w:rPr>
              <w:t>limiting condition</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spacing w:before="120"/>
              <w:rPr>
                <w:lang w:val="en-GB"/>
              </w:rPr>
            </w:pPr>
            <w:r w:rsidRPr="00B07B55">
              <w:rPr>
                <w:lang w:val="en-GB"/>
              </w:rPr>
              <w:t>8.51</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spacing w:before="120"/>
              <w:rPr>
                <w:lang w:val="en-GB"/>
              </w:rPr>
            </w:pPr>
            <w:r w:rsidRPr="00B07B55">
              <w:rPr>
                <w:lang w:val="en-GB"/>
              </w:rPr>
              <w:t>12.53</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spacing w:before="120"/>
              <w:rPr>
                <w:lang w:val="en-GB"/>
              </w:rPr>
            </w:pPr>
            <w:r w:rsidRPr="00B07B55">
              <w:rPr>
                <w:lang w:val="en-GB"/>
              </w:rPr>
              <w:t>16.89</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spacing w:before="120"/>
              <w:rPr>
                <w:lang w:val="en-GB"/>
              </w:rPr>
            </w:pPr>
            <w:r w:rsidRPr="00B07B55">
              <w:rPr>
                <w:lang w:val="en-GB"/>
              </w:rPr>
              <w:t>27.79</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rPr>
                <w:lang w:val="en-GB"/>
              </w:rPr>
            </w:pPr>
            <w:r w:rsidRPr="00B07B55">
              <w:rPr>
                <w:lang w:val="en-GB"/>
              </w:rPr>
              <w:t>On income support</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3.38</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3.21</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4.88</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6.88</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rPr>
                <w:lang w:val="en-GB"/>
              </w:rPr>
            </w:pPr>
            <w:r w:rsidRPr="00B07B55">
              <w:rPr>
                <w:lang w:val="en-GB"/>
              </w:rPr>
              <w:t>Average weekly earnings</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349.5</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417.99</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395.44</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226.69</w:t>
            </w:r>
          </w:p>
        </w:tc>
      </w:tr>
      <w:tr w:rsidR="000343A1" w:rsidRPr="00B07B55" w:rsidTr="00A43A57">
        <w:tc>
          <w:tcPr>
            <w:tcW w:w="3544" w:type="dxa"/>
            <w:tcBorders>
              <w:top w:val="nil"/>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spacing w:before="120"/>
              <w:rPr>
                <w:lang w:val="en-GB"/>
              </w:rPr>
            </w:pPr>
            <w:r w:rsidRPr="00B07B55">
              <w:rPr>
                <w:lang w:val="en-GB"/>
              </w:rPr>
              <w:t>GB born</w:t>
            </w:r>
          </w:p>
        </w:tc>
        <w:tc>
          <w:tcPr>
            <w:tcW w:w="1311" w:type="dxa"/>
            <w:tcBorders>
              <w:top w:val="nil"/>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spacing w:before="120"/>
              <w:rPr>
                <w:lang w:val="en-GB"/>
              </w:rPr>
            </w:pPr>
            <w:r w:rsidRPr="00B07B55">
              <w:rPr>
                <w:lang w:val="en-GB"/>
              </w:rPr>
              <w:t>96.97</w:t>
            </w:r>
          </w:p>
        </w:tc>
        <w:tc>
          <w:tcPr>
            <w:tcW w:w="1311" w:type="dxa"/>
            <w:tcBorders>
              <w:top w:val="nil"/>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spacing w:before="120"/>
              <w:rPr>
                <w:lang w:val="en-GB"/>
              </w:rPr>
            </w:pPr>
            <w:r w:rsidRPr="00B07B55">
              <w:rPr>
                <w:lang w:val="en-GB"/>
              </w:rPr>
              <w:t>95.59</w:t>
            </w:r>
          </w:p>
        </w:tc>
        <w:tc>
          <w:tcPr>
            <w:tcW w:w="1311" w:type="dxa"/>
            <w:tcBorders>
              <w:top w:val="nil"/>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spacing w:before="120"/>
              <w:rPr>
                <w:lang w:val="en-GB"/>
              </w:rPr>
            </w:pPr>
            <w:r w:rsidRPr="00B07B55">
              <w:rPr>
                <w:lang w:val="en-GB"/>
              </w:rPr>
              <w:t>95.12</w:t>
            </w:r>
          </w:p>
        </w:tc>
        <w:tc>
          <w:tcPr>
            <w:tcW w:w="1312" w:type="dxa"/>
            <w:tcBorders>
              <w:top w:val="nil"/>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spacing w:before="120"/>
              <w:rPr>
                <w:lang w:val="en-GB"/>
              </w:rPr>
            </w:pPr>
            <w:r w:rsidRPr="00B07B55">
              <w:rPr>
                <w:lang w:val="en-GB"/>
              </w:rPr>
              <w:t>95.70</w:t>
            </w:r>
          </w:p>
        </w:tc>
      </w:tr>
    </w:tbl>
    <w:p w:rsidR="00BB3AAD" w:rsidRDefault="00BB3AAD" w:rsidP="00AF7D18">
      <w:pPr>
        <w:pStyle w:val="Source"/>
        <w:rPr>
          <w:lang w:val="en-GB"/>
        </w:rPr>
      </w:pPr>
      <w:r>
        <w:rPr>
          <w:lang w:val="en-GB"/>
        </w:rPr>
        <w:t>Source:</w:t>
      </w:r>
      <w:r w:rsidR="00AF7D18">
        <w:rPr>
          <w:lang w:val="en-GB"/>
        </w:rPr>
        <w:tab/>
      </w:r>
      <w:r>
        <w:rPr>
          <w:lang w:val="en-GB"/>
        </w:rPr>
        <w:t>BHPS</w:t>
      </w:r>
      <w:r w:rsidRPr="00B07B55">
        <w:rPr>
          <w:lang w:val="en-GB"/>
        </w:rPr>
        <w:t xml:space="preserve"> data</w:t>
      </w:r>
      <w:r>
        <w:rPr>
          <w:lang w:val="en-GB"/>
        </w:rPr>
        <w:t>, weighted statistics.</w:t>
      </w:r>
    </w:p>
    <w:p w:rsidR="00A43A57" w:rsidRDefault="00A43A57">
      <w:pPr>
        <w:spacing w:before="0" w:line="240" w:lineRule="auto"/>
        <w:rPr>
          <w:rFonts w:ascii="Tahoma" w:hAnsi="Tahoma"/>
          <w:b/>
          <w:sz w:val="17"/>
          <w:lang w:val="en-GB"/>
        </w:rPr>
      </w:pPr>
      <w:bookmarkStart w:id="92" w:name="_Toc311576134"/>
      <w:r>
        <w:rPr>
          <w:lang w:val="en-GB"/>
        </w:rPr>
        <w:br w:type="page"/>
      </w:r>
    </w:p>
    <w:p w:rsidR="0008221E" w:rsidRPr="00B07B55" w:rsidRDefault="0008221E" w:rsidP="00AF7D18">
      <w:pPr>
        <w:pStyle w:val="tabletitle"/>
        <w:rPr>
          <w:lang w:val="en-GB"/>
        </w:rPr>
      </w:pPr>
      <w:bookmarkStart w:id="93" w:name="_Toc334021190"/>
      <w:r w:rsidRPr="00B07B55">
        <w:rPr>
          <w:lang w:val="en-GB"/>
        </w:rPr>
        <w:t>Table A</w:t>
      </w:r>
      <w:r w:rsidR="00D87068">
        <w:rPr>
          <w:lang w:val="en-GB"/>
        </w:rPr>
        <w:t>8</w:t>
      </w:r>
      <w:r w:rsidRPr="00B07B55">
        <w:rPr>
          <w:lang w:val="en-GB"/>
        </w:rPr>
        <w:tab/>
      </w:r>
      <w:r w:rsidR="00A957C6" w:rsidRPr="00B07B55">
        <w:rPr>
          <w:lang w:val="en-GB"/>
        </w:rPr>
        <w:t>B</w:t>
      </w:r>
      <w:r w:rsidR="00A957C6">
        <w:rPr>
          <w:lang w:val="en-GB"/>
        </w:rPr>
        <w:t xml:space="preserve">ritish survey </w:t>
      </w:r>
      <w:r w:rsidR="000343A1" w:rsidRPr="00B07B55">
        <w:rPr>
          <w:lang w:val="en-GB"/>
        </w:rPr>
        <w:t>sample, females</w:t>
      </w:r>
      <w:bookmarkEnd w:id="92"/>
      <w:bookmarkEnd w:id="93"/>
    </w:p>
    <w:tbl>
      <w:tblPr>
        <w:tblW w:w="8789" w:type="dxa"/>
        <w:tblInd w:w="113" w:type="dxa"/>
        <w:tblLayout w:type="fixed"/>
        <w:tblCellMar>
          <w:left w:w="113" w:type="dxa"/>
          <w:right w:w="113" w:type="dxa"/>
        </w:tblCellMar>
        <w:tblLook w:val="04A0"/>
      </w:tblPr>
      <w:tblGrid>
        <w:gridCol w:w="3544"/>
        <w:gridCol w:w="1311"/>
        <w:gridCol w:w="1311"/>
        <w:gridCol w:w="1311"/>
        <w:gridCol w:w="1312"/>
      </w:tblGrid>
      <w:tr w:rsidR="000343A1" w:rsidRPr="00B07B55" w:rsidTr="00A43A57">
        <w:tc>
          <w:tcPr>
            <w:tcW w:w="3544" w:type="dxa"/>
            <w:tcBorders>
              <w:top w:val="single" w:sz="4" w:space="0" w:color="auto"/>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14625D" w:rsidP="00A43A57">
            <w:pPr>
              <w:pStyle w:val="Tablehead1"/>
              <w:rPr>
                <w:lang w:val="en-GB"/>
              </w:rPr>
            </w:pPr>
            <w:r w:rsidRPr="00B07B55">
              <w:rPr>
                <w:lang w:val="en-GB"/>
              </w:rPr>
              <w:t>Age group</w:t>
            </w:r>
          </w:p>
        </w:tc>
        <w:tc>
          <w:tcPr>
            <w:tcW w:w="1311" w:type="dxa"/>
            <w:tcBorders>
              <w:top w:val="single" w:sz="4" w:space="0" w:color="auto"/>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0343A1" w:rsidP="00A43A57">
            <w:pPr>
              <w:pStyle w:val="Tablehead1"/>
              <w:jc w:val="center"/>
              <w:rPr>
                <w:bCs/>
                <w:lang w:val="en-GB"/>
              </w:rPr>
            </w:pPr>
            <w:r w:rsidRPr="00B07B55">
              <w:rPr>
                <w:bCs/>
                <w:lang w:val="en-GB"/>
              </w:rPr>
              <w:t>25</w:t>
            </w:r>
            <w:r w:rsidR="00DF1414">
              <w:rPr>
                <w:bCs/>
                <w:lang w:val="en-GB"/>
              </w:rPr>
              <w:t>–</w:t>
            </w:r>
            <w:r w:rsidRPr="00B07B55">
              <w:rPr>
                <w:bCs/>
                <w:lang w:val="en-GB"/>
              </w:rPr>
              <w:t>34</w:t>
            </w:r>
          </w:p>
        </w:tc>
        <w:tc>
          <w:tcPr>
            <w:tcW w:w="1311" w:type="dxa"/>
            <w:tcBorders>
              <w:top w:val="single" w:sz="4" w:space="0" w:color="auto"/>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0343A1" w:rsidP="00A43A57">
            <w:pPr>
              <w:pStyle w:val="Tablehead1"/>
              <w:jc w:val="center"/>
              <w:rPr>
                <w:bCs/>
                <w:lang w:val="en-GB"/>
              </w:rPr>
            </w:pPr>
            <w:r w:rsidRPr="00B07B55">
              <w:rPr>
                <w:bCs/>
                <w:lang w:val="en-GB"/>
              </w:rPr>
              <w:t>35</w:t>
            </w:r>
            <w:r w:rsidR="00DF1414">
              <w:rPr>
                <w:bCs/>
                <w:lang w:val="en-GB"/>
              </w:rPr>
              <w:t>–</w:t>
            </w:r>
            <w:r w:rsidRPr="00B07B55">
              <w:rPr>
                <w:bCs/>
                <w:lang w:val="en-GB"/>
              </w:rPr>
              <w:t>44</w:t>
            </w:r>
          </w:p>
        </w:tc>
        <w:tc>
          <w:tcPr>
            <w:tcW w:w="1311" w:type="dxa"/>
            <w:tcBorders>
              <w:top w:val="single" w:sz="4" w:space="0" w:color="auto"/>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0343A1" w:rsidP="00A43A57">
            <w:pPr>
              <w:pStyle w:val="Tablehead1"/>
              <w:jc w:val="center"/>
              <w:rPr>
                <w:bCs/>
                <w:lang w:val="en-GB"/>
              </w:rPr>
            </w:pPr>
            <w:r w:rsidRPr="00B07B55">
              <w:rPr>
                <w:bCs/>
                <w:lang w:val="en-GB"/>
              </w:rPr>
              <w:t>45</w:t>
            </w:r>
            <w:r w:rsidR="00DF1414">
              <w:rPr>
                <w:bCs/>
                <w:lang w:val="en-GB"/>
              </w:rPr>
              <w:t>–</w:t>
            </w:r>
            <w:r w:rsidRPr="00B07B55">
              <w:rPr>
                <w:bCs/>
                <w:lang w:val="en-GB"/>
              </w:rPr>
              <w:t>54</w:t>
            </w:r>
          </w:p>
        </w:tc>
        <w:tc>
          <w:tcPr>
            <w:tcW w:w="1312" w:type="dxa"/>
            <w:tcBorders>
              <w:top w:val="single" w:sz="4" w:space="0" w:color="auto"/>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0343A1" w:rsidP="00A43A57">
            <w:pPr>
              <w:pStyle w:val="Tablehead1"/>
              <w:jc w:val="center"/>
              <w:rPr>
                <w:bCs/>
                <w:lang w:val="en-GB"/>
              </w:rPr>
            </w:pPr>
            <w:r w:rsidRPr="00B07B55">
              <w:rPr>
                <w:bCs/>
                <w:lang w:val="en-GB"/>
              </w:rPr>
              <w:t>55</w:t>
            </w:r>
            <w:r w:rsidR="00DF1414">
              <w:rPr>
                <w:bCs/>
                <w:lang w:val="en-GB"/>
              </w:rPr>
              <w:t>–</w:t>
            </w:r>
            <w:r w:rsidRPr="00B07B55">
              <w:rPr>
                <w:bCs/>
                <w:lang w:val="en-GB"/>
              </w:rPr>
              <w:t>64</w:t>
            </w:r>
          </w:p>
        </w:tc>
      </w:tr>
      <w:tr w:rsidR="000343A1" w:rsidRPr="00BD7C17"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4A14A5" w:rsidP="00A43A57">
            <w:pPr>
              <w:pStyle w:val="Tabletext"/>
              <w:rPr>
                <w:i/>
                <w:lang w:val="en-GB"/>
              </w:rPr>
            </w:pPr>
            <w:r w:rsidRPr="00BD7C17">
              <w:rPr>
                <w:i/>
                <w:lang w:val="en-GB"/>
              </w:rPr>
              <w:t>Observations</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BD120F" w:rsidP="00A43A57">
            <w:pPr>
              <w:pStyle w:val="Tabletext"/>
              <w:jc w:val="center"/>
              <w:rPr>
                <w:i/>
                <w:lang w:val="en-GB"/>
              </w:rPr>
            </w:pPr>
            <w:r w:rsidRPr="00BD7C17">
              <w:rPr>
                <w:i/>
                <w:lang w:val="en-GB"/>
              </w:rPr>
              <w:t>1</w:t>
            </w:r>
            <w:r w:rsidR="000343A1" w:rsidRPr="00BD7C17">
              <w:rPr>
                <w:i/>
                <w:lang w:val="en-GB"/>
              </w:rPr>
              <w:t>117</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BD120F" w:rsidP="00A43A57">
            <w:pPr>
              <w:pStyle w:val="Tabletext"/>
              <w:jc w:val="center"/>
              <w:rPr>
                <w:i/>
                <w:lang w:val="en-GB"/>
              </w:rPr>
            </w:pPr>
            <w:r w:rsidRPr="00BD7C17">
              <w:rPr>
                <w:i/>
                <w:lang w:val="en-GB"/>
              </w:rPr>
              <w:t>1</w:t>
            </w:r>
            <w:r w:rsidR="000343A1" w:rsidRPr="00BD7C17">
              <w:rPr>
                <w:i/>
                <w:lang w:val="en-GB"/>
              </w:rPr>
              <w:t>251</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BD120F" w:rsidP="00A43A57">
            <w:pPr>
              <w:pStyle w:val="Tabletext"/>
              <w:jc w:val="center"/>
              <w:rPr>
                <w:i/>
                <w:lang w:val="en-GB"/>
              </w:rPr>
            </w:pPr>
            <w:r w:rsidRPr="00BD7C17">
              <w:rPr>
                <w:i/>
                <w:lang w:val="en-GB"/>
              </w:rPr>
              <w:t>1</w:t>
            </w:r>
            <w:r w:rsidR="000343A1" w:rsidRPr="00BD7C17">
              <w:rPr>
                <w:i/>
                <w:lang w:val="en-GB"/>
              </w:rPr>
              <w:t>057</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jc w:val="center"/>
              <w:rPr>
                <w:i/>
                <w:lang w:val="en-GB"/>
              </w:rPr>
            </w:pPr>
            <w:r w:rsidRPr="00BD7C17">
              <w:rPr>
                <w:i/>
                <w:lang w:val="en-GB"/>
              </w:rPr>
              <w:t>876</w:t>
            </w:r>
          </w:p>
        </w:tc>
      </w:tr>
      <w:tr w:rsidR="000343A1" w:rsidRPr="00BD7C17"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BC6AF9" w:rsidP="00A43A57">
            <w:pPr>
              <w:pStyle w:val="Tabletext"/>
              <w:spacing w:before="120"/>
              <w:rPr>
                <w:lang w:val="en-GB"/>
              </w:rPr>
            </w:pPr>
            <w:r w:rsidRPr="00BD7C17">
              <w:rPr>
                <w:lang w:val="en-GB"/>
              </w:rPr>
              <w:t>Marital s</w:t>
            </w:r>
            <w:r w:rsidR="000343A1" w:rsidRPr="00BD7C17">
              <w:rPr>
                <w:lang w:val="en-GB"/>
              </w:rPr>
              <w:t>tatus</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spacing w:before="120"/>
              <w:rPr>
                <w:lang w:val="en-GB"/>
              </w:rPr>
            </w:pP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spacing w:before="120"/>
              <w:rPr>
                <w:lang w:val="en-GB"/>
              </w:rPr>
            </w:pP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spacing w:before="120"/>
              <w:rPr>
                <w:lang w:val="en-GB"/>
              </w:rPr>
            </w:pP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spacing w:before="120"/>
              <w:rPr>
                <w:lang w:val="en-GB"/>
              </w:rPr>
            </w:pP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BD7C17">
            <w:pPr>
              <w:pStyle w:val="Tabletext"/>
              <w:ind w:left="227"/>
              <w:rPr>
                <w:lang w:val="en-GB"/>
              </w:rPr>
            </w:pPr>
            <w:r w:rsidRPr="00B07B55">
              <w:rPr>
                <w:lang w:val="en-GB"/>
              </w:rPr>
              <w:t>Married</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52.1</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67.95</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73.51</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69.41</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BC6AF9" w:rsidP="00BD7C17">
            <w:pPr>
              <w:pStyle w:val="Tabletext"/>
              <w:ind w:left="227"/>
              <w:rPr>
                <w:lang w:val="en-GB"/>
              </w:rPr>
            </w:pPr>
            <w:r>
              <w:rPr>
                <w:lang w:val="en-GB"/>
              </w:rPr>
              <w:t>Separated/</w:t>
            </w:r>
            <w:r w:rsidR="000343A1" w:rsidRPr="00B07B55">
              <w:rPr>
                <w:lang w:val="en-GB"/>
              </w:rPr>
              <w:t>divorced</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10.21</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18.86</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17.98</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14.27</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BD7C17">
            <w:pPr>
              <w:pStyle w:val="Tabletext"/>
              <w:ind w:left="227"/>
              <w:rPr>
                <w:lang w:val="en-GB"/>
              </w:rPr>
            </w:pPr>
            <w:r w:rsidRPr="00B07B55">
              <w:rPr>
                <w:lang w:val="en-GB"/>
              </w:rPr>
              <w:t>Widowed</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0.63</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1.12</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2.37</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11.53</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BD7C17">
            <w:pPr>
              <w:pStyle w:val="Tabletext"/>
              <w:ind w:left="227"/>
              <w:rPr>
                <w:lang w:val="en-GB"/>
              </w:rPr>
            </w:pPr>
            <w:r w:rsidRPr="00B07B55">
              <w:rPr>
                <w:lang w:val="en-GB"/>
              </w:rPr>
              <w:t>Never married</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37.06</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12.07</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6.15</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4.79</w:t>
            </w:r>
          </w:p>
        </w:tc>
      </w:tr>
      <w:tr w:rsidR="000343A1" w:rsidRPr="00BD7C17"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spacing w:before="120"/>
              <w:rPr>
                <w:lang w:val="en-GB"/>
              </w:rPr>
            </w:pPr>
            <w:r w:rsidRPr="00BD7C17">
              <w:rPr>
                <w:lang w:val="en-GB"/>
              </w:rPr>
              <w:t>Number of children at home</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tabs>
                <w:tab w:val="decimal" w:pos="510"/>
              </w:tabs>
              <w:spacing w:before="120"/>
              <w:rPr>
                <w:lang w:val="en-GB"/>
              </w:rPr>
            </w:pP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tabs>
                <w:tab w:val="decimal" w:pos="510"/>
              </w:tabs>
              <w:spacing w:before="120"/>
              <w:rPr>
                <w:lang w:val="en-GB"/>
              </w:rPr>
            </w:pP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tabs>
                <w:tab w:val="decimal" w:pos="510"/>
              </w:tabs>
              <w:spacing w:before="120"/>
              <w:rPr>
                <w:lang w:val="en-GB"/>
              </w:rPr>
            </w:pP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tabs>
                <w:tab w:val="decimal" w:pos="510"/>
              </w:tabs>
              <w:spacing w:before="120"/>
              <w:rPr>
                <w:lang w:val="en-GB"/>
              </w:rPr>
            </w:pP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BD7C17">
            <w:pPr>
              <w:pStyle w:val="Tabletext"/>
              <w:ind w:left="227"/>
              <w:rPr>
                <w:lang w:val="en-GB"/>
              </w:rPr>
            </w:pPr>
            <w:r w:rsidRPr="00B07B55">
              <w:rPr>
                <w:lang w:val="en-GB"/>
              </w:rPr>
              <w:t>None</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35.63</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25.98</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75.88</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99.09</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BD7C17">
            <w:pPr>
              <w:pStyle w:val="Tabletext"/>
              <w:ind w:left="227"/>
              <w:rPr>
                <w:lang w:val="en-GB"/>
              </w:rPr>
            </w:pPr>
            <w:r w:rsidRPr="00B07B55">
              <w:rPr>
                <w:lang w:val="en-GB"/>
              </w:rPr>
              <w:t>1 child</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24.17</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26.38</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15.7</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0.8</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BD7C17">
            <w:pPr>
              <w:pStyle w:val="Tabletext"/>
              <w:ind w:left="227"/>
              <w:rPr>
                <w:lang w:val="en-GB"/>
              </w:rPr>
            </w:pPr>
            <w:r w:rsidRPr="00B07B55">
              <w:rPr>
                <w:lang w:val="en-GB"/>
              </w:rPr>
              <w:t>2 children</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26.68</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32.85</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6.81</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0</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BD7C17">
            <w:pPr>
              <w:pStyle w:val="Tabletext"/>
              <w:ind w:left="227"/>
              <w:rPr>
                <w:lang w:val="en-GB"/>
              </w:rPr>
            </w:pPr>
            <w:r w:rsidRPr="00B07B55">
              <w:rPr>
                <w:lang w:val="en-GB"/>
              </w:rPr>
              <w:t>3 children or more</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13.52</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14.79</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1.61</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0.11</w:t>
            </w:r>
          </w:p>
        </w:tc>
      </w:tr>
      <w:tr w:rsidR="000343A1" w:rsidRPr="00BD7C17"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spacing w:before="120"/>
              <w:rPr>
                <w:lang w:val="en-GB"/>
              </w:rPr>
            </w:pPr>
            <w:r w:rsidRPr="00BD7C17">
              <w:rPr>
                <w:lang w:val="en-GB"/>
              </w:rPr>
              <w:t>Education level</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tabs>
                <w:tab w:val="decimal" w:pos="510"/>
              </w:tabs>
              <w:spacing w:before="120"/>
              <w:rPr>
                <w:lang w:val="en-GB"/>
              </w:rPr>
            </w:pP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tabs>
                <w:tab w:val="decimal" w:pos="510"/>
              </w:tabs>
              <w:spacing w:before="120"/>
              <w:rPr>
                <w:lang w:val="en-GB"/>
              </w:rPr>
            </w:pP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tabs>
                <w:tab w:val="decimal" w:pos="510"/>
              </w:tabs>
              <w:spacing w:before="120"/>
              <w:rPr>
                <w:lang w:val="en-GB"/>
              </w:rPr>
            </w:pP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tabs>
                <w:tab w:val="decimal" w:pos="510"/>
              </w:tabs>
              <w:spacing w:before="120"/>
              <w:rPr>
                <w:lang w:val="en-GB"/>
              </w:rPr>
            </w:pP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BD7C17">
            <w:pPr>
              <w:pStyle w:val="Tabletext"/>
              <w:ind w:left="227"/>
              <w:rPr>
                <w:lang w:val="en-GB"/>
              </w:rPr>
            </w:pPr>
            <w:r w:rsidRPr="00B07B55">
              <w:rPr>
                <w:lang w:val="en-GB"/>
              </w:rPr>
              <w:t>Primary</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9.93</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16.03</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29.05</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42.39</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BD7C17">
            <w:pPr>
              <w:pStyle w:val="Tabletext"/>
              <w:ind w:left="227"/>
              <w:rPr>
                <w:lang w:val="en-GB"/>
              </w:rPr>
            </w:pPr>
            <w:r w:rsidRPr="00B07B55">
              <w:rPr>
                <w:lang w:val="en-GB"/>
              </w:rPr>
              <w:t>Low secondary</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37.43</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37.09</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30.87</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28.46</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BD7C17">
            <w:pPr>
              <w:pStyle w:val="Tabletext"/>
              <w:ind w:left="227"/>
              <w:rPr>
                <w:lang w:val="en-GB"/>
              </w:rPr>
            </w:pPr>
            <w:r w:rsidRPr="00B07B55">
              <w:rPr>
                <w:lang w:val="en-GB"/>
              </w:rPr>
              <w:t>High secondary</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14.39</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10.12</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8.34</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3.72</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BD7C17">
            <w:pPr>
              <w:pStyle w:val="Tabletext"/>
              <w:ind w:left="227"/>
              <w:rPr>
                <w:lang w:val="en-GB"/>
              </w:rPr>
            </w:pPr>
            <w:r w:rsidRPr="00B07B55">
              <w:rPr>
                <w:lang w:val="en-GB"/>
              </w:rPr>
              <w:t>High vocational</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20.31</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21.13</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18.5</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18.58</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BD7C17">
            <w:pPr>
              <w:pStyle w:val="Tabletext"/>
              <w:ind w:left="227"/>
              <w:rPr>
                <w:lang w:val="en-GB"/>
              </w:rPr>
            </w:pPr>
            <w:r w:rsidRPr="00B07B55">
              <w:rPr>
                <w:lang w:val="en-GB"/>
              </w:rPr>
              <w:t>Degree</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17.94</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15.63</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13.23</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6.85</w:t>
            </w:r>
          </w:p>
        </w:tc>
      </w:tr>
      <w:tr w:rsidR="000343A1" w:rsidRPr="00BD7C17"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spacing w:before="120"/>
              <w:rPr>
                <w:lang w:val="en-GB"/>
              </w:rPr>
            </w:pPr>
            <w:r w:rsidRPr="00BD7C17">
              <w:rPr>
                <w:lang w:val="en-GB"/>
              </w:rPr>
              <w:t>Employment status</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tabs>
                <w:tab w:val="decimal" w:pos="510"/>
              </w:tabs>
              <w:spacing w:before="120"/>
              <w:rPr>
                <w:lang w:val="en-GB"/>
              </w:rPr>
            </w:pP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tabs>
                <w:tab w:val="decimal" w:pos="510"/>
              </w:tabs>
              <w:spacing w:before="120"/>
              <w:rPr>
                <w:lang w:val="en-GB"/>
              </w:rPr>
            </w:pP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tabs>
                <w:tab w:val="decimal" w:pos="510"/>
              </w:tabs>
              <w:spacing w:before="120"/>
              <w:rPr>
                <w:lang w:val="en-GB"/>
              </w:rPr>
            </w:pP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D7C17" w:rsidRDefault="000343A1" w:rsidP="00A43A57">
            <w:pPr>
              <w:pStyle w:val="Tabletext"/>
              <w:tabs>
                <w:tab w:val="decimal" w:pos="510"/>
              </w:tabs>
              <w:spacing w:before="120"/>
              <w:rPr>
                <w:lang w:val="en-GB"/>
              </w:rPr>
            </w:pP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BD7C17">
            <w:pPr>
              <w:pStyle w:val="Tabletext"/>
              <w:ind w:left="227"/>
              <w:rPr>
                <w:lang w:val="en-GB"/>
              </w:rPr>
            </w:pPr>
            <w:r w:rsidRPr="00B07B55">
              <w:rPr>
                <w:lang w:val="en-GB"/>
              </w:rPr>
              <w:t>Employed</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70.1</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73.38</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72.75</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39.95</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BD7C17">
            <w:pPr>
              <w:pStyle w:val="Tabletext"/>
              <w:ind w:left="227"/>
              <w:rPr>
                <w:lang w:val="en-GB"/>
              </w:rPr>
            </w:pPr>
            <w:r w:rsidRPr="00B07B55">
              <w:rPr>
                <w:lang w:val="en-GB"/>
              </w:rPr>
              <w:t>Unemployed</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2.6</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1.84</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2.55</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0.68</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BD7C17">
            <w:pPr>
              <w:pStyle w:val="Tabletext"/>
              <w:ind w:left="227"/>
              <w:rPr>
                <w:lang w:val="en-GB"/>
              </w:rPr>
            </w:pPr>
            <w:r w:rsidRPr="00B07B55">
              <w:rPr>
                <w:lang w:val="en-GB"/>
              </w:rPr>
              <w:t>Not in the labour force</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27.31</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24.78</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24.69</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59.36</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spacing w:before="120"/>
              <w:rPr>
                <w:lang w:val="en-GB"/>
              </w:rPr>
            </w:pPr>
            <w:r w:rsidRPr="00B07B55">
              <w:rPr>
                <w:lang w:val="en-GB"/>
              </w:rPr>
              <w:t>Health work limiting condition</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spacing w:before="120"/>
              <w:rPr>
                <w:lang w:val="en-GB"/>
              </w:rPr>
            </w:pPr>
            <w:r w:rsidRPr="00B07B55">
              <w:rPr>
                <w:lang w:val="en-GB"/>
              </w:rPr>
              <w:t>10.3</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spacing w:before="120"/>
              <w:rPr>
                <w:lang w:val="en-GB"/>
              </w:rPr>
            </w:pPr>
            <w:r w:rsidRPr="00B07B55">
              <w:rPr>
                <w:lang w:val="en-GB"/>
              </w:rPr>
              <w:t>16.55</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spacing w:before="120"/>
              <w:rPr>
                <w:lang w:val="en-GB"/>
              </w:rPr>
            </w:pPr>
            <w:r w:rsidRPr="00B07B55">
              <w:rPr>
                <w:lang w:val="en-GB"/>
              </w:rPr>
              <w:t>21.38</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spacing w:before="120"/>
              <w:rPr>
                <w:lang w:val="en-GB"/>
              </w:rPr>
            </w:pPr>
            <w:r w:rsidRPr="00B07B55">
              <w:rPr>
                <w:lang w:val="en-GB"/>
              </w:rPr>
              <w:t>29.6</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rPr>
                <w:lang w:val="en-GB"/>
              </w:rPr>
            </w:pPr>
            <w:r w:rsidRPr="00B07B55">
              <w:rPr>
                <w:lang w:val="en-GB"/>
              </w:rPr>
              <w:t>On income support</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8.77</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7.11</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4.64</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7.19</w:t>
            </w:r>
          </w:p>
        </w:tc>
      </w:tr>
      <w:tr w:rsidR="000343A1" w:rsidRPr="00B07B55" w:rsidTr="00A43A57">
        <w:tc>
          <w:tcPr>
            <w:tcW w:w="3544"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rPr>
                <w:lang w:val="en-GB"/>
              </w:rPr>
            </w:pPr>
            <w:r w:rsidRPr="00B07B55">
              <w:rPr>
                <w:lang w:val="en-GB"/>
              </w:rPr>
              <w:t>Average weekly earnings</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191.72</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197.37</w:t>
            </w:r>
          </w:p>
        </w:tc>
        <w:tc>
          <w:tcPr>
            <w:tcW w:w="1311"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196.55</w:t>
            </w:r>
          </w:p>
        </w:tc>
        <w:tc>
          <w:tcPr>
            <w:tcW w:w="1312" w:type="dxa"/>
            <w:tcBorders>
              <w:top w:val="nil"/>
              <w:left w:val="nil"/>
              <w:bottom w:val="nil"/>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rPr>
                <w:lang w:val="en-GB"/>
              </w:rPr>
            </w:pPr>
            <w:r w:rsidRPr="00B07B55">
              <w:rPr>
                <w:lang w:val="en-GB"/>
              </w:rPr>
              <w:t>226.69</w:t>
            </w:r>
          </w:p>
        </w:tc>
      </w:tr>
      <w:tr w:rsidR="000343A1" w:rsidRPr="00B07B55" w:rsidTr="00A43A57">
        <w:tc>
          <w:tcPr>
            <w:tcW w:w="3544" w:type="dxa"/>
            <w:tcBorders>
              <w:top w:val="nil"/>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spacing w:before="120"/>
              <w:rPr>
                <w:lang w:val="en-GB"/>
              </w:rPr>
            </w:pPr>
            <w:r w:rsidRPr="00B07B55">
              <w:rPr>
                <w:lang w:val="en-GB"/>
              </w:rPr>
              <w:t>GB born</w:t>
            </w:r>
          </w:p>
        </w:tc>
        <w:tc>
          <w:tcPr>
            <w:tcW w:w="1311" w:type="dxa"/>
            <w:tcBorders>
              <w:top w:val="nil"/>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spacing w:before="120"/>
              <w:rPr>
                <w:lang w:val="en-GB"/>
              </w:rPr>
            </w:pPr>
            <w:r w:rsidRPr="00B07B55">
              <w:rPr>
                <w:lang w:val="en-GB"/>
              </w:rPr>
              <w:t>96.24</w:t>
            </w:r>
          </w:p>
        </w:tc>
        <w:tc>
          <w:tcPr>
            <w:tcW w:w="1311" w:type="dxa"/>
            <w:tcBorders>
              <w:top w:val="nil"/>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spacing w:before="120"/>
              <w:rPr>
                <w:lang w:val="en-GB"/>
              </w:rPr>
            </w:pPr>
            <w:r w:rsidRPr="00B07B55">
              <w:rPr>
                <w:lang w:val="en-GB"/>
              </w:rPr>
              <w:t>95.28</w:t>
            </w:r>
          </w:p>
        </w:tc>
        <w:tc>
          <w:tcPr>
            <w:tcW w:w="1311" w:type="dxa"/>
            <w:tcBorders>
              <w:top w:val="nil"/>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spacing w:before="120"/>
              <w:rPr>
                <w:lang w:val="en-GB"/>
              </w:rPr>
            </w:pPr>
            <w:r w:rsidRPr="00B07B55">
              <w:rPr>
                <w:lang w:val="en-GB"/>
              </w:rPr>
              <w:t>93.66</w:t>
            </w:r>
          </w:p>
        </w:tc>
        <w:tc>
          <w:tcPr>
            <w:tcW w:w="1312" w:type="dxa"/>
            <w:tcBorders>
              <w:top w:val="nil"/>
              <w:left w:val="nil"/>
              <w:bottom w:val="single" w:sz="4" w:space="0" w:color="auto"/>
              <w:right w:val="nil"/>
            </w:tcBorders>
            <w:shd w:val="clear" w:color="auto" w:fill="auto"/>
            <w:noWrap/>
            <w:tcMar>
              <w:top w:w="0" w:type="dxa"/>
              <w:left w:w="113" w:type="dxa"/>
              <w:bottom w:w="0" w:type="dxa"/>
              <w:right w:w="113" w:type="dxa"/>
            </w:tcMar>
            <w:hideMark/>
          </w:tcPr>
          <w:p w:rsidR="000343A1" w:rsidRPr="00B07B55" w:rsidRDefault="000343A1" w:rsidP="00A43A57">
            <w:pPr>
              <w:pStyle w:val="Tabletext"/>
              <w:tabs>
                <w:tab w:val="decimal" w:pos="510"/>
              </w:tabs>
              <w:spacing w:before="120"/>
              <w:rPr>
                <w:lang w:val="en-GB"/>
              </w:rPr>
            </w:pPr>
            <w:r w:rsidRPr="00B07B55">
              <w:rPr>
                <w:lang w:val="en-GB"/>
              </w:rPr>
              <w:t>95.66</w:t>
            </w:r>
          </w:p>
        </w:tc>
      </w:tr>
    </w:tbl>
    <w:p w:rsidR="00BB3AAD" w:rsidRPr="00B07B55" w:rsidRDefault="00BB3AAD" w:rsidP="00A43A57">
      <w:pPr>
        <w:pStyle w:val="Source"/>
        <w:rPr>
          <w:lang w:val="en-GB"/>
        </w:rPr>
      </w:pPr>
      <w:r w:rsidRPr="00B07B55">
        <w:rPr>
          <w:lang w:val="en-GB"/>
        </w:rPr>
        <w:t>Source:</w:t>
      </w:r>
      <w:r w:rsidR="00A43A57">
        <w:rPr>
          <w:lang w:val="en-GB"/>
        </w:rPr>
        <w:tab/>
      </w:r>
      <w:r>
        <w:rPr>
          <w:lang w:val="en-GB"/>
        </w:rPr>
        <w:t>BHPS</w:t>
      </w:r>
      <w:r w:rsidRPr="00B07B55">
        <w:rPr>
          <w:lang w:val="en-GB"/>
        </w:rPr>
        <w:t xml:space="preserve"> data</w:t>
      </w:r>
      <w:r>
        <w:rPr>
          <w:lang w:val="en-GB"/>
        </w:rPr>
        <w:t>, weighted statistics.</w:t>
      </w:r>
    </w:p>
    <w:p w:rsidR="00A43A57" w:rsidRDefault="00A43A57">
      <w:pPr>
        <w:spacing w:before="0" w:line="240" w:lineRule="auto"/>
        <w:rPr>
          <w:rFonts w:ascii="Tahoma" w:hAnsi="Tahoma" w:cs="Tahoma"/>
          <w:color w:val="000000"/>
          <w:kern w:val="28"/>
          <w:sz w:val="56"/>
          <w:szCs w:val="56"/>
          <w:lang w:val="en-GB"/>
        </w:rPr>
      </w:pPr>
      <w:bookmarkStart w:id="94" w:name="_Toc456000800"/>
      <w:bookmarkStart w:id="95" w:name="_Toc457122465"/>
      <w:bookmarkStart w:id="96" w:name="_Toc188077643"/>
      <w:r>
        <w:rPr>
          <w:lang w:val="en-GB"/>
        </w:rPr>
        <w:br w:type="page"/>
      </w:r>
    </w:p>
    <w:p w:rsidR="005E04BA" w:rsidRDefault="005E04BA" w:rsidP="005E04BA">
      <w:pPr>
        <w:pStyle w:val="Heading1"/>
        <w:rPr>
          <w:lang w:val="en-GB"/>
        </w:rPr>
      </w:pPr>
      <w:bookmarkStart w:id="97" w:name="_Toc334101019"/>
      <w:r w:rsidRPr="00B07B55">
        <w:rPr>
          <w:lang w:val="en-GB"/>
        </w:rPr>
        <w:t>Appendix B</w:t>
      </w:r>
      <w:bookmarkEnd w:id="97"/>
    </w:p>
    <w:p w:rsidR="00255B6F" w:rsidRDefault="00E35004" w:rsidP="00B81464">
      <w:pPr>
        <w:pStyle w:val="tabletitle"/>
        <w:rPr>
          <w:lang w:val="en-GB"/>
        </w:rPr>
      </w:pPr>
      <w:bookmarkStart w:id="98" w:name="_Toc334021191"/>
      <w:r w:rsidRPr="00B07B55">
        <w:rPr>
          <w:lang w:val="en-GB"/>
        </w:rPr>
        <w:t>Table B</w:t>
      </w:r>
      <w:r>
        <w:rPr>
          <w:lang w:val="en-GB"/>
        </w:rPr>
        <w:t>1</w:t>
      </w:r>
      <w:r w:rsidR="00B81464">
        <w:rPr>
          <w:lang w:val="en-GB"/>
        </w:rPr>
        <w:tab/>
      </w:r>
      <w:r>
        <w:rPr>
          <w:lang w:val="en-GB"/>
        </w:rPr>
        <w:t>Effect of educ</w:t>
      </w:r>
      <w:r w:rsidR="00CC0813">
        <w:rPr>
          <w:lang w:val="en-GB"/>
        </w:rPr>
        <w:t>a</w:t>
      </w:r>
      <w:r>
        <w:rPr>
          <w:lang w:val="en-GB"/>
        </w:rPr>
        <w:t xml:space="preserve">tion on labour market outcomes by type of course and </w:t>
      </w:r>
      <w:r w:rsidR="005D79F4">
        <w:rPr>
          <w:lang w:val="en-GB"/>
        </w:rPr>
        <w:t>prior</w:t>
      </w:r>
      <w:r>
        <w:rPr>
          <w:lang w:val="en-GB"/>
        </w:rPr>
        <w:t xml:space="preserve"> education </w:t>
      </w:r>
      <w:r w:rsidR="005D79F4">
        <w:rPr>
          <w:lang w:val="en-GB"/>
        </w:rPr>
        <w:t>level</w:t>
      </w:r>
      <w:r w:rsidRPr="00B07B55">
        <w:rPr>
          <w:lang w:val="en-GB"/>
        </w:rPr>
        <w:t>, HILDA</w:t>
      </w:r>
      <w:bookmarkEnd w:id="98"/>
      <w:r w:rsidRPr="00B07B55">
        <w:rPr>
          <w:lang w:val="en-GB"/>
        </w:rPr>
        <w:t xml:space="preserve"> </w:t>
      </w:r>
    </w:p>
    <w:tbl>
      <w:tblPr>
        <w:tblW w:w="8789" w:type="dxa"/>
        <w:tblInd w:w="113" w:type="dxa"/>
        <w:tblLayout w:type="fixed"/>
        <w:tblCellMar>
          <w:left w:w="113" w:type="dxa"/>
          <w:right w:w="113" w:type="dxa"/>
        </w:tblCellMar>
        <w:tblLook w:val="04A0"/>
      </w:tblPr>
      <w:tblGrid>
        <w:gridCol w:w="4253"/>
        <w:gridCol w:w="1134"/>
        <w:gridCol w:w="1134"/>
        <w:gridCol w:w="1134"/>
        <w:gridCol w:w="1134"/>
      </w:tblGrid>
      <w:tr w:rsidR="000E3B5F" w:rsidTr="00AA75F8">
        <w:trPr>
          <w:tblHeader/>
        </w:trPr>
        <w:tc>
          <w:tcPr>
            <w:tcW w:w="4253" w:type="dxa"/>
            <w:tcBorders>
              <w:top w:val="single" w:sz="4" w:space="0" w:color="auto"/>
              <w:left w:val="nil"/>
              <w:right w:val="nil"/>
            </w:tcBorders>
            <w:shd w:val="clear" w:color="auto" w:fill="auto"/>
            <w:noWrap/>
            <w:tcMar>
              <w:top w:w="0" w:type="dxa"/>
              <w:left w:w="113" w:type="dxa"/>
              <w:bottom w:w="0" w:type="dxa"/>
              <w:right w:w="113" w:type="dxa"/>
            </w:tcMar>
            <w:hideMark/>
          </w:tcPr>
          <w:p w:rsidR="000E3B5F" w:rsidRDefault="000E3B5F" w:rsidP="00B81464">
            <w:pPr>
              <w:pStyle w:val="Tablehead1"/>
            </w:pPr>
            <w:bookmarkStart w:id="99" w:name="_Toc311576135"/>
          </w:p>
        </w:tc>
        <w:tc>
          <w:tcPr>
            <w:tcW w:w="2268" w:type="dxa"/>
            <w:gridSpan w:val="2"/>
            <w:tcBorders>
              <w:top w:val="single" w:sz="4" w:space="0" w:color="auto"/>
              <w:left w:val="nil"/>
              <w:right w:val="nil"/>
            </w:tcBorders>
            <w:shd w:val="clear" w:color="auto" w:fill="auto"/>
            <w:noWrap/>
            <w:tcMar>
              <w:top w:w="0" w:type="dxa"/>
              <w:left w:w="113" w:type="dxa"/>
              <w:bottom w:w="0" w:type="dxa"/>
              <w:right w:w="113" w:type="dxa"/>
            </w:tcMar>
            <w:hideMark/>
          </w:tcPr>
          <w:p w:rsidR="000E3B5F" w:rsidRDefault="000E3B5F" w:rsidP="00B81464">
            <w:pPr>
              <w:pStyle w:val="Tablehead1"/>
              <w:jc w:val="center"/>
              <w:rPr>
                <w:bCs/>
              </w:rPr>
            </w:pPr>
            <w:r>
              <w:rPr>
                <w:bCs/>
              </w:rPr>
              <w:t>Males</w:t>
            </w:r>
          </w:p>
        </w:tc>
        <w:tc>
          <w:tcPr>
            <w:tcW w:w="2268" w:type="dxa"/>
            <w:gridSpan w:val="2"/>
            <w:tcBorders>
              <w:top w:val="single" w:sz="4" w:space="0" w:color="auto"/>
              <w:left w:val="nil"/>
              <w:right w:val="nil"/>
            </w:tcBorders>
            <w:shd w:val="clear" w:color="auto" w:fill="auto"/>
            <w:noWrap/>
            <w:tcMar>
              <w:top w:w="0" w:type="dxa"/>
              <w:left w:w="113" w:type="dxa"/>
              <w:bottom w:w="0" w:type="dxa"/>
              <w:right w:w="113" w:type="dxa"/>
            </w:tcMar>
            <w:hideMark/>
          </w:tcPr>
          <w:p w:rsidR="000E3B5F" w:rsidRDefault="000E3B5F" w:rsidP="00B81464">
            <w:pPr>
              <w:pStyle w:val="Tablehead1"/>
              <w:jc w:val="center"/>
              <w:rPr>
                <w:bCs/>
              </w:rPr>
            </w:pPr>
            <w:r>
              <w:rPr>
                <w:bCs/>
              </w:rPr>
              <w:t>Females</w:t>
            </w:r>
          </w:p>
        </w:tc>
      </w:tr>
      <w:tr w:rsidR="000E3B5F" w:rsidRPr="00B81464" w:rsidTr="00AA75F8">
        <w:trPr>
          <w:tblHeader/>
        </w:trPr>
        <w:tc>
          <w:tcPr>
            <w:tcW w:w="4253" w:type="dxa"/>
            <w:tcBorders>
              <w:left w:val="nil"/>
              <w:bottom w:val="single" w:sz="4" w:space="0" w:color="auto"/>
              <w:right w:val="nil"/>
            </w:tcBorders>
            <w:shd w:val="clear" w:color="auto" w:fill="auto"/>
            <w:noWrap/>
            <w:tcMar>
              <w:top w:w="0" w:type="dxa"/>
              <w:left w:w="113" w:type="dxa"/>
              <w:bottom w:w="0" w:type="dxa"/>
              <w:right w:w="113" w:type="dxa"/>
            </w:tcMar>
            <w:hideMark/>
          </w:tcPr>
          <w:p w:rsidR="000E3B5F" w:rsidRPr="00B81464" w:rsidRDefault="000E3B5F" w:rsidP="00B81464">
            <w:pPr>
              <w:pStyle w:val="Tablehead2"/>
              <w:rPr>
                <w:szCs w:val="16"/>
              </w:rPr>
            </w:pPr>
          </w:p>
        </w:tc>
        <w:tc>
          <w:tcPr>
            <w:tcW w:w="1134" w:type="dxa"/>
            <w:tcBorders>
              <w:left w:val="nil"/>
              <w:bottom w:val="single" w:sz="4" w:space="0" w:color="auto"/>
              <w:right w:val="nil"/>
            </w:tcBorders>
            <w:shd w:val="clear" w:color="auto" w:fill="auto"/>
            <w:noWrap/>
            <w:tcMar>
              <w:top w:w="0" w:type="dxa"/>
              <w:left w:w="113" w:type="dxa"/>
              <w:bottom w:w="0" w:type="dxa"/>
              <w:right w:w="113" w:type="dxa"/>
            </w:tcMar>
            <w:hideMark/>
          </w:tcPr>
          <w:p w:rsidR="000E3B5F" w:rsidRPr="00B81464" w:rsidRDefault="000E3B5F" w:rsidP="00B81464">
            <w:pPr>
              <w:pStyle w:val="Tablehead2"/>
              <w:jc w:val="center"/>
              <w:rPr>
                <w:szCs w:val="16"/>
              </w:rPr>
            </w:pPr>
            <w:r w:rsidRPr="00B81464">
              <w:rPr>
                <w:szCs w:val="16"/>
              </w:rPr>
              <w:t>Enrolled</w:t>
            </w:r>
          </w:p>
        </w:tc>
        <w:tc>
          <w:tcPr>
            <w:tcW w:w="1134" w:type="dxa"/>
            <w:tcBorders>
              <w:left w:val="nil"/>
              <w:bottom w:val="single" w:sz="4" w:space="0" w:color="auto"/>
              <w:right w:val="nil"/>
            </w:tcBorders>
            <w:shd w:val="clear" w:color="auto" w:fill="auto"/>
            <w:noWrap/>
            <w:tcMar>
              <w:top w:w="0" w:type="dxa"/>
              <w:left w:w="113" w:type="dxa"/>
              <w:bottom w:w="0" w:type="dxa"/>
              <w:right w:w="113" w:type="dxa"/>
            </w:tcMar>
            <w:hideMark/>
          </w:tcPr>
          <w:p w:rsidR="000E3B5F" w:rsidRPr="00B81464" w:rsidRDefault="000E3B5F" w:rsidP="00B81464">
            <w:pPr>
              <w:pStyle w:val="Tablehead2"/>
              <w:jc w:val="center"/>
              <w:rPr>
                <w:szCs w:val="16"/>
              </w:rPr>
            </w:pPr>
            <w:r w:rsidRPr="00B81464">
              <w:rPr>
                <w:szCs w:val="16"/>
              </w:rPr>
              <w:t>Completed</w:t>
            </w:r>
          </w:p>
        </w:tc>
        <w:tc>
          <w:tcPr>
            <w:tcW w:w="1134" w:type="dxa"/>
            <w:tcBorders>
              <w:left w:val="nil"/>
              <w:bottom w:val="single" w:sz="4" w:space="0" w:color="auto"/>
              <w:right w:val="nil"/>
            </w:tcBorders>
            <w:shd w:val="clear" w:color="auto" w:fill="auto"/>
            <w:noWrap/>
            <w:tcMar>
              <w:top w:w="0" w:type="dxa"/>
              <w:left w:w="113" w:type="dxa"/>
              <w:bottom w:w="0" w:type="dxa"/>
              <w:right w:w="113" w:type="dxa"/>
            </w:tcMar>
            <w:hideMark/>
          </w:tcPr>
          <w:p w:rsidR="000E3B5F" w:rsidRPr="00B81464" w:rsidRDefault="000E3B5F" w:rsidP="00B81464">
            <w:pPr>
              <w:pStyle w:val="Tablehead2"/>
              <w:jc w:val="center"/>
              <w:rPr>
                <w:szCs w:val="16"/>
              </w:rPr>
            </w:pPr>
            <w:r w:rsidRPr="00B81464">
              <w:rPr>
                <w:szCs w:val="16"/>
              </w:rPr>
              <w:t>Enrolled</w:t>
            </w:r>
          </w:p>
        </w:tc>
        <w:tc>
          <w:tcPr>
            <w:tcW w:w="1134" w:type="dxa"/>
            <w:tcBorders>
              <w:left w:val="nil"/>
              <w:bottom w:val="single" w:sz="4" w:space="0" w:color="auto"/>
              <w:right w:val="nil"/>
            </w:tcBorders>
            <w:shd w:val="clear" w:color="auto" w:fill="auto"/>
            <w:noWrap/>
            <w:tcMar>
              <w:top w:w="0" w:type="dxa"/>
              <w:left w:w="113" w:type="dxa"/>
              <w:bottom w:w="0" w:type="dxa"/>
              <w:right w:w="113" w:type="dxa"/>
            </w:tcMar>
            <w:hideMark/>
          </w:tcPr>
          <w:p w:rsidR="000E3B5F" w:rsidRPr="00B81464" w:rsidRDefault="000E3B5F" w:rsidP="00B81464">
            <w:pPr>
              <w:pStyle w:val="Tablehead2"/>
              <w:jc w:val="center"/>
              <w:rPr>
                <w:szCs w:val="16"/>
              </w:rPr>
            </w:pPr>
            <w:r w:rsidRPr="00B81464">
              <w:rPr>
                <w:szCs w:val="16"/>
              </w:rPr>
              <w:t>Completed</w:t>
            </w:r>
          </w:p>
        </w:tc>
      </w:tr>
      <w:tr w:rsidR="00E54361" w:rsidTr="00E54361">
        <w:tc>
          <w:tcPr>
            <w:tcW w:w="4253" w:type="dxa"/>
            <w:tcBorders>
              <w:top w:val="single" w:sz="4" w:space="0" w:color="auto"/>
              <w:left w:val="nil"/>
              <w:bottom w:val="nil"/>
              <w:right w:val="nil"/>
            </w:tcBorders>
            <w:shd w:val="clear" w:color="auto" w:fill="auto"/>
            <w:noWrap/>
            <w:tcMar>
              <w:top w:w="0" w:type="dxa"/>
              <w:left w:w="113" w:type="dxa"/>
              <w:bottom w:w="0" w:type="dxa"/>
              <w:right w:w="113" w:type="dxa"/>
            </w:tcMar>
            <w:hideMark/>
          </w:tcPr>
          <w:p w:rsidR="00E54361" w:rsidRDefault="00E54361" w:rsidP="006E08A4">
            <w:pPr>
              <w:pStyle w:val="Tabletext"/>
              <w:spacing w:before="120"/>
            </w:pPr>
            <w:r w:rsidRPr="00E54361">
              <w:rPr>
                <w:b/>
              </w:rPr>
              <w:t>Change in annual disposable income (in US $1000s)</w:t>
            </w:r>
          </w:p>
        </w:tc>
        <w:tc>
          <w:tcPr>
            <w:tcW w:w="1134" w:type="dxa"/>
            <w:tcBorders>
              <w:top w:val="single" w:sz="4" w:space="0" w:color="auto"/>
              <w:left w:val="nil"/>
              <w:bottom w:val="nil"/>
              <w:right w:val="nil"/>
            </w:tcBorders>
            <w:shd w:val="clear" w:color="auto" w:fill="auto"/>
          </w:tcPr>
          <w:p w:rsidR="00E54361" w:rsidRDefault="00E54361" w:rsidP="006E08A4">
            <w:pPr>
              <w:pStyle w:val="Tabletext"/>
              <w:spacing w:before="120"/>
            </w:pPr>
          </w:p>
        </w:tc>
        <w:tc>
          <w:tcPr>
            <w:tcW w:w="1134" w:type="dxa"/>
            <w:tcBorders>
              <w:top w:val="single" w:sz="4" w:space="0" w:color="auto"/>
              <w:left w:val="nil"/>
              <w:bottom w:val="nil"/>
              <w:right w:val="nil"/>
            </w:tcBorders>
            <w:shd w:val="clear" w:color="auto" w:fill="auto"/>
          </w:tcPr>
          <w:p w:rsidR="00E54361" w:rsidRDefault="00E54361" w:rsidP="006E08A4">
            <w:pPr>
              <w:pStyle w:val="Tabletext"/>
              <w:spacing w:before="120"/>
            </w:pPr>
          </w:p>
        </w:tc>
        <w:tc>
          <w:tcPr>
            <w:tcW w:w="1134" w:type="dxa"/>
            <w:tcBorders>
              <w:top w:val="single" w:sz="4" w:space="0" w:color="auto"/>
              <w:left w:val="nil"/>
              <w:bottom w:val="nil"/>
              <w:right w:val="nil"/>
            </w:tcBorders>
            <w:shd w:val="clear" w:color="auto" w:fill="auto"/>
          </w:tcPr>
          <w:p w:rsidR="00E54361" w:rsidRDefault="00E54361" w:rsidP="006E08A4">
            <w:pPr>
              <w:pStyle w:val="Tabletext"/>
              <w:spacing w:before="120"/>
            </w:pPr>
          </w:p>
        </w:tc>
        <w:tc>
          <w:tcPr>
            <w:tcW w:w="1134" w:type="dxa"/>
            <w:tcBorders>
              <w:top w:val="single" w:sz="4" w:space="0" w:color="auto"/>
              <w:left w:val="nil"/>
              <w:bottom w:val="nil"/>
              <w:right w:val="nil"/>
            </w:tcBorders>
            <w:shd w:val="clear" w:color="auto" w:fill="auto"/>
          </w:tcPr>
          <w:p w:rsidR="00E54361" w:rsidRDefault="00E54361" w:rsidP="006E08A4">
            <w:pPr>
              <w:pStyle w:val="Tabletext"/>
              <w:spacing w:before="120"/>
            </w:pP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14.21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23.24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-2.689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-2.828</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(1.43)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(1.38)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(-0.97)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(-0.88)</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no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4.027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9.225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6.675*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4.459</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(0.70)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(1.01)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(1.69)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(1.34)</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-3.954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-2.704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4.055**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3.141</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(-1.63)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(-1.02)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(2.04)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(1.42)</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no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0.547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-2.956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1.357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0.227</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(-0.91)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(1.09)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(0.15)</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R-squared</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0.087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0.088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0.065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0.061</w:t>
            </w:r>
          </w:p>
        </w:tc>
      </w:tr>
      <w:tr w:rsidR="000E3B5F" w:rsidTr="00AA75F8">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Observations</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1982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1982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2314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2314</w:t>
            </w:r>
          </w:p>
        </w:tc>
      </w:tr>
      <w:tr w:rsidR="00E54361"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E54361" w:rsidRDefault="00E54361" w:rsidP="006E08A4">
            <w:pPr>
              <w:pStyle w:val="Tabletext"/>
              <w:spacing w:before="120"/>
            </w:pPr>
            <w:r w:rsidRPr="00E54361">
              <w:rPr>
                <w:b/>
              </w:rPr>
              <w:t>Change in job satisfaction</w:t>
            </w:r>
          </w:p>
        </w:tc>
        <w:tc>
          <w:tcPr>
            <w:tcW w:w="1134" w:type="dxa"/>
            <w:tcBorders>
              <w:top w:val="nil"/>
              <w:left w:val="nil"/>
              <w:bottom w:val="nil"/>
              <w:right w:val="nil"/>
            </w:tcBorders>
            <w:shd w:val="clear" w:color="auto" w:fill="auto"/>
          </w:tcPr>
          <w:p w:rsidR="00E54361" w:rsidRDefault="00E54361" w:rsidP="006E08A4">
            <w:pPr>
              <w:pStyle w:val="Tabletext"/>
              <w:spacing w:before="120"/>
            </w:pPr>
          </w:p>
        </w:tc>
        <w:tc>
          <w:tcPr>
            <w:tcW w:w="1134" w:type="dxa"/>
            <w:tcBorders>
              <w:top w:val="nil"/>
              <w:left w:val="nil"/>
              <w:bottom w:val="nil"/>
              <w:right w:val="nil"/>
            </w:tcBorders>
            <w:shd w:val="clear" w:color="auto" w:fill="auto"/>
          </w:tcPr>
          <w:p w:rsidR="00E54361" w:rsidRDefault="00E54361" w:rsidP="006E08A4">
            <w:pPr>
              <w:pStyle w:val="Tabletext"/>
              <w:spacing w:before="120"/>
            </w:pPr>
          </w:p>
        </w:tc>
        <w:tc>
          <w:tcPr>
            <w:tcW w:w="1134" w:type="dxa"/>
            <w:tcBorders>
              <w:top w:val="nil"/>
              <w:left w:val="nil"/>
              <w:bottom w:val="nil"/>
              <w:right w:val="nil"/>
            </w:tcBorders>
            <w:shd w:val="clear" w:color="auto" w:fill="auto"/>
          </w:tcPr>
          <w:p w:rsidR="00E54361" w:rsidRDefault="00E54361" w:rsidP="006E08A4">
            <w:pPr>
              <w:pStyle w:val="Tabletext"/>
              <w:spacing w:before="120"/>
            </w:pPr>
          </w:p>
        </w:tc>
        <w:tc>
          <w:tcPr>
            <w:tcW w:w="1134" w:type="dxa"/>
            <w:tcBorders>
              <w:top w:val="nil"/>
              <w:left w:val="nil"/>
              <w:bottom w:val="nil"/>
              <w:right w:val="nil"/>
            </w:tcBorders>
            <w:shd w:val="clear" w:color="auto" w:fill="auto"/>
          </w:tcPr>
          <w:p w:rsidR="00E54361" w:rsidRDefault="00E54361" w:rsidP="006E08A4">
            <w:pPr>
              <w:pStyle w:val="Tabletext"/>
              <w:spacing w:before="120"/>
            </w:pP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0.307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0.251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0.0602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0.196</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(0.87)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(0.58)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(0.45)</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no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0.143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0.344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0.343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-0.187</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(0.54)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(0.62)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(-0.37)</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0.339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0.537**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0.234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0.425</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(1.63)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(2.28)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(0.68)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(1.02)</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no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0.598***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0.711**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0.0406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0.0866</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(2.59)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(2.53)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(0.37)</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R-squared</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0.039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0.042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0.026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0.027</w:t>
            </w:r>
          </w:p>
        </w:tc>
      </w:tr>
      <w:tr w:rsidR="000E3B5F" w:rsidTr="00AA75F8">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Observations</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1544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1544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1294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1294</w:t>
            </w:r>
          </w:p>
        </w:tc>
      </w:tr>
      <w:tr w:rsidR="00E54361"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E54361" w:rsidRDefault="00E54361" w:rsidP="006E08A4">
            <w:pPr>
              <w:pStyle w:val="Tabletext"/>
              <w:spacing w:before="120"/>
            </w:pPr>
            <w:r w:rsidRPr="00E54361">
              <w:rPr>
                <w:b/>
              </w:rPr>
              <w:t>Change in skills utilisation</w:t>
            </w:r>
          </w:p>
        </w:tc>
        <w:tc>
          <w:tcPr>
            <w:tcW w:w="1134" w:type="dxa"/>
            <w:tcBorders>
              <w:top w:val="nil"/>
              <w:left w:val="nil"/>
              <w:bottom w:val="nil"/>
              <w:right w:val="nil"/>
            </w:tcBorders>
            <w:shd w:val="clear" w:color="auto" w:fill="auto"/>
          </w:tcPr>
          <w:p w:rsidR="00E54361" w:rsidRDefault="00E54361" w:rsidP="006E08A4">
            <w:pPr>
              <w:pStyle w:val="Tabletext"/>
              <w:spacing w:before="120"/>
            </w:pPr>
          </w:p>
        </w:tc>
        <w:tc>
          <w:tcPr>
            <w:tcW w:w="1134" w:type="dxa"/>
            <w:tcBorders>
              <w:top w:val="nil"/>
              <w:left w:val="nil"/>
              <w:bottom w:val="nil"/>
              <w:right w:val="nil"/>
            </w:tcBorders>
            <w:shd w:val="clear" w:color="auto" w:fill="auto"/>
          </w:tcPr>
          <w:p w:rsidR="00E54361" w:rsidRDefault="00E54361" w:rsidP="006E08A4">
            <w:pPr>
              <w:pStyle w:val="Tabletext"/>
              <w:spacing w:before="120"/>
            </w:pPr>
          </w:p>
        </w:tc>
        <w:tc>
          <w:tcPr>
            <w:tcW w:w="1134" w:type="dxa"/>
            <w:tcBorders>
              <w:top w:val="nil"/>
              <w:left w:val="nil"/>
              <w:bottom w:val="nil"/>
              <w:right w:val="nil"/>
            </w:tcBorders>
            <w:shd w:val="clear" w:color="auto" w:fill="auto"/>
          </w:tcPr>
          <w:p w:rsidR="00E54361" w:rsidRDefault="00E54361" w:rsidP="006E08A4">
            <w:pPr>
              <w:pStyle w:val="Tabletext"/>
              <w:spacing w:before="120"/>
            </w:pPr>
          </w:p>
        </w:tc>
        <w:tc>
          <w:tcPr>
            <w:tcW w:w="1134" w:type="dxa"/>
            <w:tcBorders>
              <w:top w:val="nil"/>
              <w:left w:val="nil"/>
              <w:bottom w:val="nil"/>
              <w:right w:val="nil"/>
            </w:tcBorders>
            <w:shd w:val="clear" w:color="auto" w:fill="auto"/>
          </w:tcPr>
          <w:p w:rsidR="00E54361" w:rsidRDefault="00E54361" w:rsidP="006E08A4">
            <w:pPr>
              <w:pStyle w:val="Tabletext"/>
              <w:spacing w:before="120"/>
            </w:pP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0.154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0.174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0.0400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0.178</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(0.63)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(0.56)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(0.68)</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no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0.169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0.665**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-0.471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0.0616</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(0.75)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(2.11)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(-0.96)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(0.08)</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0.0461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-0.104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0.412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0.412</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(-0.57)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(1.60)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(1.32)</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no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0.410**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0.322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0.161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0.147</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(2.02)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(1.39)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(0.93)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(0.74)</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R-squared</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0.047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0.045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0.026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0.024</w:t>
            </w:r>
          </w:p>
        </w:tc>
      </w:tr>
      <w:tr w:rsidR="000E3B5F" w:rsidTr="00AA75F8">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Observations</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1338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1338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1152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1152</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Pr="00E54361" w:rsidRDefault="000E3B5F" w:rsidP="006E08A4">
            <w:pPr>
              <w:pStyle w:val="Tabletext"/>
              <w:spacing w:before="120"/>
              <w:rPr>
                <w:b/>
              </w:rPr>
            </w:pPr>
            <w:r w:rsidRPr="00E54361">
              <w:rPr>
                <w:b/>
              </w:rPr>
              <w:t>Change in log hourly wage rate</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6E08A4">
            <w:pPr>
              <w:pStyle w:val="Tabletext"/>
              <w:spacing w:before="120"/>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6E08A4">
            <w:pPr>
              <w:pStyle w:val="Tabletext"/>
              <w:spacing w:before="120"/>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6E08A4">
            <w:pPr>
              <w:pStyle w:val="Tabletext"/>
              <w:spacing w:before="120"/>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6E08A4">
            <w:pPr>
              <w:pStyle w:val="Tabletext"/>
              <w:spacing w:before="120"/>
            </w:pP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0.188***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0.119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0.0585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-0.0411</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(2.64)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(1.14)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(0.90)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(-0.56)</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no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0.00857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-0.0559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0.176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0.154</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(-0.47)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(1.35)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(0.88)</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0.0290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0.0537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0.124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0.0786</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(0.73)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(1.21)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(1.30)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(0.92)</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no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-0.00972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-0.0194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-0.0101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0.0235</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(0.58)</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R-squared</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0.097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0.093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0.108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0.103</w:t>
            </w:r>
          </w:p>
        </w:tc>
      </w:tr>
      <w:tr w:rsidR="000E3B5F" w:rsidTr="00AA75F8">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Observations</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978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978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967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967</w:t>
            </w:r>
          </w:p>
        </w:tc>
      </w:tr>
      <w:tr w:rsidR="00E54361"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E54361" w:rsidRDefault="00E54361" w:rsidP="006E08A4">
            <w:pPr>
              <w:pStyle w:val="Tabletext"/>
              <w:spacing w:before="120"/>
            </w:pPr>
            <w:r w:rsidRPr="00E54361">
              <w:rPr>
                <w:b/>
              </w:rPr>
              <w:t>Change in working hours per week</w:t>
            </w:r>
          </w:p>
        </w:tc>
        <w:tc>
          <w:tcPr>
            <w:tcW w:w="1134" w:type="dxa"/>
            <w:tcBorders>
              <w:top w:val="nil"/>
              <w:left w:val="nil"/>
              <w:bottom w:val="nil"/>
              <w:right w:val="nil"/>
            </w:tcBorders>
            <w:shd w:val="clear" w:color="auto" w:fill="auto"/>
          </w:tcPr>
          <w:p w:rsidR="00E54361" w:rsidRDefault="00E54361" w:rsidP="006E08A4">
            <w:pPr>
              <w:pStyle w:val="Tabletext"/>
              <w:spacing w:before="120"/>
            </w:pPr>
          </w:p>
        </w:tc>
        <w:tc>
          <w:tcPr>
            <w:tcW w:w="1134" w:type="dxa"/>
            <w:tcBorders>
              <w:top w:val="nil"/>
              <w:left w:val="nil"/>
              <w:bottom w:val="nil"/>
              <w:right w:val="nil"/>
            </w:tcBorders>
            <w:shd w:val="clear" w:color="auto" w:fill="auto"/>
          </w:tcPr>
          <w:p w:rsidR="00E54361" w:rsidRDefault="00E54361" w:rsidP="006E08A4">
            <w:pPr>
              <w:pStyle w:val="Tabletext"/>
              <w:spacing w:before="120"/>
            </w:pPr>
          </w:p>
        </w:tc>
        <w:tc>
          <w:tcPr>
            <w:tcW w:w="1134" w:type="dxa"/>
            <w:tcBorders>
              <w:top w:val="nil"/>
              <w:left w:val="nil"/>
              <w:bottom w:val="nil"/>
              <w:right w:val="nil"/>
            </w:tcBorders>
            <w:shd w:val="clear" w:color="auto" w:fill="auto"/>
          </w:tcPr>
          <w:p w:rsidR="00E54361" w:rsidRDefault="00E54361" w:rsidP="006E08A4">
            <w:pPr>
              <w:pStyle w:val="Tabletext"/>
              <w:spacing w:before="120"/>
            </w:pPr>
          </w:p>
        </w:tc>
        <w:tc>
          <w:tcPr>
            <w:tcW w:w="1134" w:type="dxa"/>
            <w:tcBorders>
              <w:top w:val="nil"/>
              <w:left w:val="nil"/>
              <w:bottom w:val="nil"/>
              <w:right w:val="nil"/>
            </w:tcBorders>
            <w:shd w:val="clear" w:color="auto" w:fill="auto"/>
          </w:tcPr>
          <w:p w:rsidR="00E54361" w:rsidRDefault="00E54361" w:rsidP="006E08A4">
            <w:pPr>
              <w:pStyle w:val="Tabletext"/>
              <w:spacing w:before="120"/>
            </w:pP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0.0996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1.580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-1.892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-0.0224</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(0.70)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(-0.96)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(-0.01)</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no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-2.069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4.237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2.080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2.318</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(-0.74)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(1.01)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(0.71)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(0.50)</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-2.914**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-2.657*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0.0718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1.064</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(-2.09)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(-1.65)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(0.50)</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no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-2.579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-3.394*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-0.145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-1.205</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(-1.64)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(-1.79)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(-0.94)</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R-squared</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0.059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0.059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0.142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0.142</w:t>
            </w:r>
          </w:p>
        </w:tc>
      </w:tr>
      <w:tr w:rsidR="000E3B5F" w:rsidTr="00AA75F8">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Observations</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1540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1540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1291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1291</w:t>
            </w:r>
          </w:p>
        </w:tc>
      </w:tr>
      <w:tr w:rsidR="00E54361"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E54361" w:rsidRDefault="00E54361" w:rsidP="006E08A4">
            <w:pPr>
              <w:pStyle w:val="Tabletext"/>
              <w:spacing w:before="120"/>
            </w:pPr>
            <w:r w:rsidRPr="00E54361">
              <w:rPr>
                <w:b/>
              </w:rPr>
              <w:t>Change in overall life satisfaction</w:t>
            </w:r>
          </w:p>
        </w:tc>
        <w:tc>
          <w:tcPr>
            <w:tcW w:w="1134" w:type="dxa"/>
            <w:tcBorders>
              <w:top w:val="nil"/>
              <w:left w:val="nil"/>
              <w:bottom w:val="nil"/>
              <w:right w:val="nil"/>
            </w:tcBorders>
            <w:shd w:val="clear" w:color="auto" w:fill="auto"/>
          </w:tcPr>
          <w:p w:rsidR="00E54361" w:rsidRDefault="00E54361" w:rsidP="006E08A4">
            <w:pPr>
              <w:pStyle w:val="Tabletext"/>
              <w:spacing w:before="120"/>
            </w:pPr>
          </w:p>
        </w:tc>
        <w:tc>
          <w:tcPr>
            <w:tcW w:w="1134" w:type="dxa"/>
            <w:tcBorders>
              <w:top w:val="nil"/>
              <w:left w:val="nil"/>
              <w:bottom w:val="nil"/>
              <w:right w:val="nil"/>
            </w:tcBorders>
            <w:shd w:val="clear" w:color="auto" w:fill="auto"/>
          </w:tcPr>
          <w:p w:rsidR="00E54361" w:rsidRDefault="00E54361" w:rsidP="006E08A4">
            <w:pPr>
              <w:pStyle w:val="Tabletext"/>
              <w:spacing w:before="120"/>
            </w:pPr>
          </w:p>
        </w:tc>
        <w:tc>
          <w:tcPr>
            <w:tcW w:w="1134" w:type="dxa"/>
            <w:tcBorders>
              <w:top w:val="nil"/>
              <w:left w:val="nil"/>
              <w:bottom w:val="nil"/>
              <w:right w:val="nil"/>
            </w:tcBorders>
            <w:shd w:val="clear" w:color="auto" w:fill="auto"/>
          </w:tcPr>
          <w:p w:rsidR="00E54361" w:rsidRDefault="00E54361" w:rsidP="006E08A4">
            <w:pPr>
              <w:pStyle w:val="Tabletext"/>
              <w:spacing w:before="120"/>
            </w:pPr>
          </w:p>
        </w:tc>
        <w:tc>
          <w:tcPr>
            <w:tcW w:w="1134" w:type="dxa"/>
            <w:tcBorders>
              <w:top w:val="nil"/>
              <w:left w:val="nil"/>
              <w:bottom w:val="nil"/>
              <w:right w:val="nil"/>
            </w:tcBorders>
            <w:shd w:val="clear" w:color="auto" w:fill="auto"/>
          </w:tcPr>
          <w:p w:rsidR="00E54361" w:rsidRDefault="00E54361" w:rsidP="006E08A4">
            <w:pPr>
              <w:pStyle w:val="Tabletext"/>
              <w:spacing w:before="120"/>
            </w:pP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-0.229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-0.263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0.0655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0.129</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(-1.24)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(-1.08)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(0.45)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(0.81)</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no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0.558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0.222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-0.0960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0.853</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(1.22)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(1.25)</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0.158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-0.0200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-0.111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-0.313</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(1.08)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(-0.59)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(-1.42)</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no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0.0274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0.00107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0.144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0.139</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(1.30)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(1.09)</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R-squared</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0.026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0.023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0.034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0.036</w:t>
            </w:r>
          </w:p>
        </w:tc>
      </w:tr>
      <w:tr w:rsidR="000E3B5F" w:rsidTr="00AA75F8">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Observations</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1981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1981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2310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2310</w:t>
            </w:r>
          </w:p>
        </w:tc>
      </w:tr>
      <w:tr w:rsidR="00AA75F8" w:rsidTr="00AA75F8">
        <w:tc>
          <w:tcPr>
            <w:tcW w:w="8789" w:type="dxa"/>
            <w:gridSpan w:val="5"/>
            <w:tcBorders>
              <w:top w:val="nil"/>
              <w:left w:val="nil"/>
              <w:bottom w:val="nil"/>
              <w:right w:val="nil"/>
            </w:tcBorders>
            <w:shd w:val="clear" w:color="auto" w:fill="auto"/>
            <w:noWrap/>
            <w:tcMar>
              <w:top w:w="0" w:type="dxa"/>
              <w:left w:w="113" w:type="dxa"/>
              <w:bottom w:w="0" w:type="dxa"/>
              <w:right w:w="113" w:type="dxa"/>
            </w:tcMar>
            <w:hideMark/>
          </w:tcPr>
          <w:p w:rsidR="00AA75F8" w:rsidRDefault="00AA75F8" w:rsidP="006E08A4">
            <w:pPr>
              <w:pStyle w:val="Tabletext"/>
              <w:spacing w:before="120"/>
            </w:pPr>
            <w:r w:rsidRPr="00B81464">
              <w:rPr>
                <w:b/>
              </w:rPr>
              <w:t>Change in satisfaction with employment opportunities</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-0.335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-0.0733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0.121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 xml:space="preserve">0.468   </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(-0.89)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(0.42)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 xml:space="preserve">(1.16)   </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no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0.393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0.0542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0.393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 xml:space="preserve">0.168   </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(0.86)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(0.84)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 xml:space="preserve">(0.30)   </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-0.0447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-0.325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0.731**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 xml:space="preserve">0.808** </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(-1.33)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(2.25)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 xml:space="preserve">(2.22)   </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no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-0.0974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-0.0817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0.294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 xml:space="preserve">0.235   </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(1.56)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 xml:space="preserve">(1.06)   </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R-squared</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0.027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0.027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0.037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 xml:space="preserve">0.036   </w:t>
            </w:r>
          </w:p>
        </w:tc>
      </w:tr>
      <w:tr w:rsidR="000E3B5F" w:rsidTr="00AA75F8">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Observations</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1741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1741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1831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1831</w:t>
            </w:r>
          </w:p>
        </w:tc>
      </w:tr>
      <w:tr w:rsidR="00E54361"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E54361" w:rsidRDefault="00E54361" w:rsidP="006E08A4">
            <w:pPr>
              <w:pStyle w:val="Tabletext"/>
              <w:spacing w:before="120"/>
            </w:pPr>
            <w:r w:rsidRPr="00B81464">
              <w:rPr>
                <w:b/>
              </w:rPr>
              <w:t>Change in occupational status</w:t>
            </w:r>
          </w:p>
        </w:tc>
        <w:tc>
          <w:tcPr>
            <w:tcW w:w="1134" w:type="dxa"/>
            <w:tcBorders>
              <w:top w:val="nil"/>
              <w:left w:val="nil"/>
              <w:bottom w:val="nil"/>
              <w:right w:val="nil"/>
            </w:tcBorders>
            <w:shd w:val="clear" w:color="auto" w:fill="auto"/>
          </w:tcPr>
          <w:p w:rsidR="00E54361" w:rsidRDefault="00E54361" w:rsidP="006E08A4">
            <w:pPr>
              <w:pStyle w:val="Tabletext"/>
              <w:spacing w:before="120"/>
            </w:pPr>
          </w:p>
        </w:tc>
        <w:tc>
          <w:tcPr>
            <w:tcW w:w="1134" w:type="dxa"/>
            <w:tcBorders>
              <w:top w:val="nil"/>
              <w:left w:val="nil"/>
              <w:bottom w:val="nil"/>
              <w:right w:val="nil"/>
            </w:tcBorders>
            <w:shd w:val="clear" w:color="auto" w:fill="auto"/>
          </w:tcPr>
          <w:p w:rsidR="00E54361" w:rsidRDefault="00E54361" w:rsidP="006E08A4">
            <w:pPr>
              <w:pStyle w:val="Tabletext"/>
              <w:spacing w:before="120"/>
            </w:pPr>
          </w:p>
        </w:tc>
        <w:tc>
          <w:tcPr>
            <w:tcW w:w="1134" w:type="dxa"/>
            <w:tcBorders>
              <w:top w:val="nil"/>
              <w:left w:val="nil"/>
              <w:bottom w:val="nil"/>
              <w:right w:val="nil"/>
            </w:tcBorders>
            <w:shd w:val="clear" w:color="auto" w:fill="auto"/>
          </w:tcPr>
          <w:p w:rsidR="00E54361" w:rsidRDefault="00E54361" w:rsidP="006E08A4">
            <w:pPr>
              <w:pStyle w:val="Tabletext"/>
              <w:spacing w:before="120"/>
            </w:pPr>
          </w:p>
        </w:tc>
        <w:tc>
          <w:tcPr>
            <w:tcW w:w="1134" w:type="dxa"/>
            <w:tcBorders>
              <w:top w:val="nil"/>
              <w:left w:val="nil"/>
              <w:bottom w:val="nil"/>
              <w:right w:val="nil"/>
            </w:tcBorders>
            <w:shd w:val="clear" w:color="auto" w:fill="auto"/>
          </w:tcPr>
          <w:p w:rsidR="00E54361" w:rsidRDefault="00E54361" w:rsidP="006E08A4">
            <w:pPr>
              <w:pStyle w:val="Tabletext"/>
              <w:spacing w:before="120"/>
            </w:pP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-4.307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-2.682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0.331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-1.317</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(-1.41)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(-0.58)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(-0.56)</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no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8.316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22.22***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1.820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9.219</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(1.43)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(4.28)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(1.27)</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0.368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1.543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2.479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3.541</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(0.72)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(1.09)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(1.32)</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no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0.705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-3.003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0.777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0.930</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(0.40)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(-1.57)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(0.62)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(0.67)</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R-squared</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0.043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0.052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0.035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rPr>
                <w:i/>
                <w:iCs/>
              </w:rPr>
            </w:pPr>
            <w:r>
              <w:rPr>
                <w:i/>
                <w:iCs/>
              </w:rPr>
              <w:t>0.039</w:t>
            </w:r>
          </w:p>
        </w:tc>
      </w:tr>
      <w:tr w:rsidR="000E3B5F" w:rsidTr="00AA75F8">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Observations</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1533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1533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1295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1295</w:t>
            </w:r>
          </w:p>
        </w:tc>
      </w:tr>
      <w:tr w:rsidR="00AA75F8" w:rsidTr="00AA75F8">
        <w:tc>
          <w:tcPr>
            <w:tcW w:w="8789" w:type="dxa"/>
            <w:gridSpan w:val="5"/>
            <w:tcBorders>
              <w:top w:val="nil"/>
              <w:left w:val="nil"/>
              <w:bottom w:val="nil"/>
              <w:right w:val="nil"/>
            </w:tcBorders>
            <w:shd w:val="clear" w:color="auto" w:fill="auto"/>
            <w:noWrap/>
            <w:tcMar>
              <w:top w:w="0" w:type="dxa"/>
              <w:left w:w="113" w:type="dxa"/>
              <w:bottom w:w="0" w:type="dxa"/>
              <w:right w:w="113" w:type="dxa"/>
            </w:tcMar>
            <w:hideMark/>
          </w:tcPr>
          <w:p w:rsidR="00AA75F8" w:rsidRPr="009F3065" w:rsidRDefault="009F3065" w:rsidP="006E08A4">
            <w:pPr>
              <w:pStyle w:val="Tabletext"/>
              <w:spacing w:before="120"/>
              <w:rPr>
                <w:b/>
                <w:color w:val="FFFFFF" w:themeColor="background1"/>
              </w:rPr>
            </w:pPr>
            <w:r w:rsidRPr="009F3065">
              <w:rPr>
                <w:b/>
                <w:color w:val="FFFFFF" w:themeColor="background1"/>
                <w:lang w:val="en-GB"/>
              </w:rPr>
              <w:t>White text</w:t>
            </w:r>
          </w:p>
        </w:tc>
      </w:tr>
      <w:tr w:rsidR="00AA75F8" w:rsidTr="00AA75F8">
        <w:tc>
          <w:tcPr>
            <w:tcW w:w="8789" w:type="dxa"/>
            <w:gridSpan w:val="5"/>
            <w:tcBorders>
              <w:top w:val="nil"/>
              <w:left w:val="nil"/>
              <w:bottom w:val="nil"/>
              <w:right w:val="nil"/>
            </w:tcBorders>
            <w:shd w:val="clear" w:color="auto" w:fill="auto"/>
            <w:noWrap/>
            <w:tcMar>
              <w:top w:w="0" w:type="dxa"/>
              <w:left w:w="113" w:type="dxa"/>
              <w:bottom w:w="0" w:type="dxa"/>
              <w:right w:w="113" w:type="dxa"/>
            </w:tcMar>
            <w:hideMark/>
          </w:tcPr>
          <w:p w:rsidR="00AA75F8" w:rsidRPr="009F3065" w:rsidRDefault="009F3065" w:rsidP="006E08A4">
            <w:pPr>
              <w:pStyle w:val="Tabletext"/>
              <w:spacing w:before="120"/>
              <w:rPr>
                <w:b/>
                <w:color w:val="FFFFFF" w:themeColor="background1"/>
              </w:rPr>
            </w:pPr>
            <w:r w:rsidRPr="009F3065">
              <w:rPr>
                <w:b/>
                <w:color w:val="FFFFFF" w:themeColor="background1"/>
                <w:lang w:val="en-GB"/>
              </w:rPr>
              <w:t>White text</w:t>
            </w:r>
          </w:p>
        </w:tc>
      </w:tr>
      <w:tr w:rsidR="00AA75F8" w:rsidTr="00AA75F8">
        <w:tc>
          <w:tcPr>
            <w:tcW w:w="8789" w:type="dxa"/>
            <w:gridSpan w:val="5"/>
            <w:tcBorders>
              <w:top w:val="nil"/>
              <w:left w:val="nil"/>
              <w:bottom w:val="nil"/>
              <w:right w:val="nil"/>
            </w:tcBorders>
            <w:shd w:val="clear" w:color="auto" w:fill="auto"/>
            <w:noWrap/>
            <w:tcMar>
              <w:top w:w="0" w:type="dxa"/>
              <w:left w:w="113" w:type="dxa"/>
              <w:bottom w:w="0" w:type="dxa"/>
              <w:right w:w="113" w:type="dxa"/>
            </w:tcMar>
            <w:hideMark/>
          </w:tcPr>
          <w:p w:rsidR="00AA75F8" w:rsidRPr="009F3065" w:rsidRDefault="009F3065" w:rsidP="006E08A4">
            <w:pPr>
              <w:pStyle w:val="Tabletext"/>
              <w:spacing w:before="120"/>
              <w:rPr>
                <w:b/>
                <w:color w:val="FFFFFF" w:themeColor="background1"/>
              </w:rPr>
            </w:pPr>
            <w:r w:rsidRPr="009F3065">
              <w:rPr>
                <w:b/>
                <w:color w:val="FFFFFF" w:themeColor="background1"/>
                <w:lang w:val="en-GB"/>
              </w:rPr>
              <w:t>White text</w:t>
            </w:r>
          </w:p>
        </w:tc>
      </w:tr>
      <w:tr w:rsidR="00AA75F8" w:rsidTr="00AA75F8">
        <w:tc>
          <w:tcPr>
            <w:tcW w:w="8789" w:type="dxa"/>
            <w:gridSpan w:val="5"/>
            <w:tcBorders>
              <w:top w:val="nil"/>
              <w:left w:val="nil"/>
              <w:bottom w:val="nil"/>
              <w:right w:val="nil"/>
            </w:tcBorders>
            <w:shd w:val="clear" w:color="auto" w:fill="auto"/>
            <w:noWrap/>
            <w:tcMar>
              <w:top w:w="0" w:type="dxa"/>
              <w:left w:w="113" w:type="dxa"/>
              <w:bottom w:w="0" w:type="dxa"/>
              <w:right w:w="113" w:type="dxa"/>
            </w:tcMar>
            <w:hideMark/>
          </w:tcPr>
          <w:p w:rsidR="00AA75F8" w:rsidRPr="009F3065" w:rsidRDefault="009F3065" w:rsidP="006E08A4">
            <w:pPr>
              <w:pStyle w:val="Tabletext"/>
              <w:spacing w:before="120"/>
              <w:rPr>
                <w:b/>
                <w:color w:val="FFFFFF" w:themeColor="background1"/>
              </w:rPr>
            </w:pPr>
            <w:r w:rsidRPr="009F3065">
              <w:rPr>
                <w:b/>
                <w:color w:val="FFFFFF" w:themeColor="background1"/>
                <w:lang w:val="en-GB"/>
              </w:rPr>
              <w:t>White text</w:t>
            </w:r>
          </w:p>
        </w:tc>
      </w:tr>
      <w:tr w:rsidR="00AA75F8" w:rsidTr="00AA75F8">
        <w:tc>
          <w:tcPr>
            <w:tcW w:w="8789" w:type="dxa"/>
            <w:gridSpan w:val="5"/>
            <w:tcBorders>
              <w:top w:val="nil"/>
              <w:left w:val="nil"/>
              <w:bottom w:val="nil"/>
              <w:right w:val="nil"/>
            </w:tcBorders>
            <w:shd w:val="clear" w:color="auto" w:fill="auto"/>
            <w:noWrap/>
            <w:tcMar>
              <w:top w:w="0" w:type="dxa"/>
              <w:left w:w="113" w:type="dxa"/>
              <w:bottom w:w="0" w:type="dxa"/>
              <w:right w:w="113" w:type="dxa"/>
            </w:tcMar>
            <w:hideMark/>
          </w:tcPr>
          <w:p w:rsidR="00AA75F8" w:rsidRPr="009F3065" w:rsidRDefault="009F3065" w:rsidP="006E08A4">
            <w:pPr>
              <w:pStyle w:val="Tabletext"/>
              <w:spacing w:before="120"/>
              <w:rPr>
                <w:b/>
                <w:color w:val="FFFFFF" w:themeColor="background1"/>
              </w:rPr>
            </w:pPr>
            <w:r w:rsidRPr="009F3065">
              <w:rPr>
                <w:b/>
                <w:color w:val="FFFFFF" w:themeColor="background1"/>
                <w:lang w:val="en-GB"/>
              </w:rPr>
              <w:t>White text</w:t>
            </w:r>
          </w:p>
        </w:tc>
      </w:tr>
      <w:tr w:rsidR="00AA75F8" w:rsidTr="00AA75F8">
        <w:tc>
          <w:tcPr>
            <w:tcW w:w="8789" w:type="dxa"/>
            <w:gridSpan w:val="5"/>
            <w:tcBorders>
              <w:top w:val="nil"/>
              <w:left w:val="nil"/>
              <w:bottom w:val="nil"/>
              <w:right w:val="nil"/>
            </w:tcBorders>
            <w:shd w:val="clear" w:color="auto" w:fill="auto"/>
            <w:noWrap/>
            <w:tcMar>
              <w:top w:w="0" w:type="dxa"/>
              <w:left w:w="113" w:type="dxa"/>
              <w:bottom w:w="0" w:type="dxa"/>
              <w:right w:w="113" w:type="dxa"/>
            </w:tcMar>
            <w:hideMark/>
          </w:tcPr>
          <w:p w:rsidR="00AA75F8" w:rsidRDefault="00AA75F8" w:rsidP="006E08A4">
            <w:pPr>
              <w:pStyle w:val="Tabletext"/>
              <w:spacing w:before="120"/>
            </w:pPr>
            <w:r w:rsidRPr="00B81464">
              <w:rPr>
                <w:b/>
              </w:rPr>
              <w:t>Probability of employment in wave 9 if employed in wave 1</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0.0423*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0.0495*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0.0109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-0.0376</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(1.78)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(1.80)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(-0.45)</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no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0.0668***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0.0205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-0.00878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(4.42)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(0.42)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0.0178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0.0145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0.0394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0.0558</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(0.79)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(0.47)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(1.06)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(1.46)</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no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0.0213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-0.00431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0.00422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-0.00700</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(0.87)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(-0.22)</w:t>
            </w:r>
          </w:p>
        </w:tc>
      </w:tr>
      <w:tr w:rsidR="000E3B5F" w:rsidTr="00AA75F8">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Observations</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1733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1733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1593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1583</w:t>
            </w:r>
          </w:p>
        </w:tc>
      </w:tr>
      <w:tr w:rsidR="00AA75F8" w:rsidTr="00AA75F8">
        <w:tc>
          <w:tcPr>
            <w:tcW w:w="8789" w:type="dxa"/>
            <w:gridSpan w:val="5"/>
            <w:tcBorders>
              <w:top w:val="nil"/>
              <w:left w:val="nil"/>
              <w:bottom w:val="nil"/>
              <w:right w:val="nil"/>
            </w:tcBorders>
            <w:shd w:val="clear" w:color="auto" w:fill="auto"/>
            <w:noWrap/>
            <w:tcMar>
              <w:top w:w="0" w:type="dxa"/>
              <w:left w:w="113" w:type="dxa"/>
              <w:bottom w:w="0" w:type="dxa"/>
              <w:right w:w="113" w:type="dxa"/>
            </w:tcMar>
            <w:hideMark/>
          </w:tcPr>
          <w:p w:rsidR="00AA75F8" w:rsidRDefault="00AA75F8" w:rsidP="006E08A4">
            <w:pPr>
              <w:pStyle w:val="Tabletext"/>
              <w:spacing w:before="120"/>
            </w:pPr>
            <w:r w:rsidRPr="00B81464">
              <w:rPr>
                <w:b/>
              </w:rPr>
              <w:t>Probability of employment in wave 9 if not employed in wave 1</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-0.117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-0.0800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 xml:space="preserve">-0.0740   </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(-0.46)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(-0.59)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 xml:space="preserve">(-0.45)   </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no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-0.155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(-1.35)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0.160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0.331**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0.396***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0.315***</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(1.14)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(2.44)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(4.40)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 xml:space="preserve">(2.89)   </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no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0.0900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0.178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0.310***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0.307***</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(0.68)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(1.26)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(5.20)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 xml:space="preserve">(4.37)   </w:t>
            </w:r>
          </w:p>
        </w:tc>
      </w:tr>
      <w:tr w:rsidR="000E3B5F" w:rsidTr="00AA75F8">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Observations</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245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245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717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716</w:t>
            </w:r>
          </w:p>
        </w:tc>
      </w:tr>
      <w:tr w:rsidR="00AA75F8" w:rsidTr="00AA75F8">
        <w:tc>
          <w:tcPr>
            <w:tcW w:w="8789" w:type="dxa"/>
            <w:gridSpan w:val="5"/>
            <w:tcBorders>
              <w:top w:val="nil"/>
              <w:left w:val="nil"/>
              <w:bottom w:val="nil"/>
              <w:right w:val="nil"/>
            </w:tcBorders>
            <w:shd w:val="clear" w:color="auto" w:fill="auto"/>
            <w:noWrap/>
            <w:tcMar>
              <w:top w:w="0" w:type="dxa"/>
              <w:left w:w="113" w:type="dxa"/>
              <w:bottom w:w="0" w:type="dxa"/>
              <w:right w:w="113" w:type="dxa"/>
            </w:tcMar>
            <w:hideMark/>
          </w:tcPr>
          <w:p w:rsidR="00AA75F8" w:rsidRDefault="00AA75F8" w:rsidP="006E08A4">
            <w:pPr>
              <w:pStyle w:val="Tabletext"/>
              <w:spacing w:before="120"/>
            </w:pPr>
            <w:r w:rsidRPr="00B81464">
              <w:rPr>
                <w:b/>
              </w:rPr>
              <w:t>Probability of permanent employment in wave 9 if in permanent employment in wave 1</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0.00561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0.0220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0.0820*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 xml:space="preserve">0.102** </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(0.31)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(1.92)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 xml:space="preserve">(2.13)   </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no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-0.107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-0.0175</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0.101**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 xml:space="preserve">0.0527   </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(-0.87)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(2.27)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 xml:space="preserve">(0.50)   </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-0.0368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-0.0367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0.0593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0.106***</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(-0.67)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(-0.63)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(1.23)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 xml:space="preserve">(2.82)   </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no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-0.0924*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-0.0850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-0.109**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 xml:space="preserve">-0.0953*  </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(-1.66)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(-1.37)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(-2.34)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 xml:space="preserve">(-1.78)   </w:t>
            </w:r>
          </w:p>
        </w:tc>
      </w:tr>
      <w:tr w:rsidR="000E3B5F" w:rsidTr="00AA75F8">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Observations</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889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889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732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732</w:t>
            </w:r>
          </w:p>
        </w:tc>
      </w:tr>
      <w:tr w:rsidR="00AA75F8" w:rsidTr="00AA75F8">
        <w:tc>
          <w:tcPr>
            <w:tcW w:w="8789" w:type="dxa"/>
            <w:gridSpan w:val="5"/>
            <w:tcBorders>
              <w:top w:val="nil"/>
              <w:left w:val="nil"/>
              <w:bottom w:val="nil"/>
              <w:right w:val="nil"/>
            </w:tcBorders>
            <w:shd w:val="clear" w:color="auto" w:fill="auto"/>
            <w:noWrap/>
            <w:tcMar>
              <w:top w:w="0" w:type="dxa"/>
              <w:left w:w="113" w:type="dxa"/>
              <w:bottom w:w="0" w:type="dxa"/>
              <w:right w:w="113" w:type="dxa"/>
            </w:tcMar>
            <w:hideMark/>
          </w:tcPr>
          <w:p w:rsidR="00AA75F8" w:rsidRPr="00B81464" w:rsidRDefault="00AA75F8" w:rsidP="006E08A4">
            <w:pPr>
              <w:pStyle w:val="Tabletext"/>
              <w:spacing w:before="120"/>
              <w:rPr>
                <w:b/>
              </w:rPr>
            </w:pPr>
            <w:r w:rsidRPr="00B81464">
              <w:rPr>
                <w:b/>
              </w:rPr>
              <w:t>Probability of permanent employment in wave 9 if not in permanent employment in wave 1</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-0.230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-0.0437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-0.131</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-0.226</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(-1.26)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(-0.16)</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(-0.98)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(-1.63)</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Bachelor × no previous bachelor</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0.158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0.248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(0.72)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(0.80)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0.134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-0.0159</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-0.0817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0.0280</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C37B3F">
            <w:pPr>
              <w:pStyle w:val="Tabletext"/>
              <w:tabs>
                <w:tab w:val="decimal" w:pos="340"/>
              </w:tabs>
            </w:pPr>
            <w:r>
              <w:t>(1.14)</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(-0.12)</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(-0.60)</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(0.21)</w:t>
            </w:r>
          </w:p>
        </w:tc>
      </w:tr>
      <w:tr w:rsidR="000E3B5F" w:rsidTr="00E54361">
        <w:tc>
          <w:tcPr>
            <w:tcW w:w="4253"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B81464">
            <w:pPr>
              <w:pStyle w:val="Tabletext"/>
            </w:pPr>
            <w:r>
              <w:t>VET × no previous VET</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0.0238</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-0.0643</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C37B3F">
            <w:pPr>
              <w:pStyle w:val="Tabletext"/>
              <w:tabs>
                <w:tab w:val="decimal" w:pos="340"/>
              </w:tabs>
            </w:pPr>
            <w:r>
              <w:t>-0.00657</w:t>
            </w:r>
          </w:p>
        </w:tc>
        <w:tc>
          <w:tcPr>
            <w:tcW w:w="1134" w:type="dxa"/>
            <w:tcBorders>
              <w:top w:val="nil"/>
              <w:left w:val="nil"/>
              <w:bottom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-0.0470</w:t>
            </w:r>
          </w:p>
        </w:tc>
      </w:tr>
      <w:tr w:rsidR="000E3B5F" w:rsidTr="00E54361">
        <w:tc>
          <w:tcPr>
            <w:tcW w:w="4253" w:type="dxa"/>
            <w:tcBorders>
              <w:top w:val="nil"/>
              <w:left w:val="nil"/>
              <w:right w:val="nil"/>
            </w:tcBorders>
            <w:shd w:val="clear" w:color="auto" w:fill="auto"/>
            <w:noWrap/>
            <w:tcMar>
              <w:top w:w="0" w:type="dxa"/>
              <w:left w:w="113" w:type="dxa"/>
              <w:bottom w:w="0" w:type="dxa"/>
              <w:right w:w="113" w:type="dxa"/>
            </w:tcMar>
            <w:hideMark/>
          </w:tcPr>
          <w:p w:rsidR="000E3B5F" w:rsidRDefault="000E3B5F" w:rsidP="00B81464">
            <w:pPr>
              <w:pStyle w:val="Tabletext"/>
            </w:pPr>
          </w:p>
        </w:tc>
        <w:tc>
          <w:tcPr>
            <w:tcW w:w="1134" w:type="dxa"/>
            <w:tcBorders>
              <w:top w:val="nil"/>
              <w:left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(0.22)</w:t>
            </w:r>
          </w:p>
        </w:tc>
        <w:tc>
          <w:tcPr>
            <w:tcW w:w="1134" w:type="dxa"/>
            <w:tcBorders>
              <w:top w:val="nil"/>
              <w:left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(-0.47)</w:t>
            </w:r>
          </w:p>
        </w:tc>
        <w:tc>
          <w:tcPr>
            <w:tcW w:w="1134" w:type="dxa"/>
            <w:tcBorders>
              <w:top w:val="nil"/>
              <w:left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(-0.08)</w:t>
            </w:r>
          </w:p>
        </w:tc>
        <w:tc>
          <w:tcPr>
            <w:tcW w:w="1134" w:type="dxa"/>
            <w:tcBorders>
              <w:top w:val="nil"/>
              <w:left w:val="nil"/>
              <w:right w:val="nil"/>
            </w:tcBorders>
            <w:shd w:val="clear" w:color="auto" w:fill="auto"/>
            <w:noWrap/>
            <w:tcMar>
              <w:top w:w="0" w:type="dxa"/>
              <w:left w:w="113" w:type="dxa"/>
              <w:bottom w:w="0" w:type="dxa"/>
              <w:right w:w="113" w:type="dxa"/>
            </w:tcMar>
            <w:hideMark/>
          </w:tcPr>
          <w:p w:rsidR="000E3B5F" w:rsidRDefault="000E3B5F" w:rsidP="00AA75F8">
            <w:pPr>
              <w:pStyle w:val="Tabletext"/>
              <w:tabs>
                <w:tab w:val="decimal" w:pos="340"/>
              </w:tabs>
            </w:pPr>
            <w:r>
              <w:t>(-0.50)</w:t>
            </w:r>
          </w:p>
        </w:tc>
      </w:tr>
      <w:tr w:rsidR="000E3B5F" w:rsidTr="00AA75F8">
        <w:tc>
          <w:tcPr>
            <w:tcW w:w="4253" w:type="dxa"/>
            <w:tcBorders>
              <w:top w:val="nil"/>
              <w:left w:val="nil"/>
              <w:bottom w:val="single" w:sz="4" w:space="0" w:color="auto"/>
              <w:right w:val="nil"/>
            </w:tcBorders>
            <w:shd w:val="clear" w:color="auto" w:fill="auto"/>
            <w:noWrap/>
            <w:tcMar>
              <w:top w:w="0" w:type="dxa"/>
              <w:left w:w="113" w:type="dxa"/>
              <w:bottom w:w="0" w:type="dxa"/>
              <w:right w:w="113" w:type="dxa"/>
            </w:tcMar>
            <w:hideMark/>
          </w:tcPr>
          <w:p w:rsidR="000E3B5F" w:rsidRDefault="000E3B5F" w:rsidP="00B81464">
            <w:pPr>
              <w:pStyle w:val="Tabletext"/>
              <w:rPr>
                <w:i/>
                <w:iCs/>
              </w:rPr>
            </w:pPr>
            <w:r>
              <w:rPr>
                <w:i/>
                <w:iCs/>
              </w:rPr>
              <w:t>Observations</w:t>
            </w:r>
          </w:p>
        </w:tc>
        <w:tc>
          <w:tcPr>
            <w:tcW w:w="1134" w:type="dxa"/>
            <w:tcBorders>
              <w:top w:val="nil"/>
              <w:left w:val="nil"/>
              <w:bottom w:val="single" w:sz="4" w:space="0" w:color="auto"/>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275</w:t>
            </w:r>
          </w:p>
        </w:tc>
        <w:tc>
          <w:tcPr>
            <w:tcW w:w="1134" w:type="dxa"/>
            <w:tcBorders>
              <w:top w:val="nil"/>
              <w:left w:val="nil"/>
              <w:bottom w:val="single" w:sz="4" w:space="0" w:color="auto"/>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275</w:t>
            </w:r>
          </w:p>
        </w:tc>
        <w:tc>
          <w:tcPr>
            <w:tcW w:w="1134" w:type="dxa"/>
            <w:tcBorders>
              <w:top w:val="nil"/>
              <w:left w:val="nil"/>
              <w:bottom w:val="single" w:sz="4" w:space="0" w:color="auto"/>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352</w:t>
            </w:r>
          </w:p>
        </w:tc>
        <w:tc>
          <w:tcPr>
            <w:tcW w:w="1134" w:type="dxa"/>
            <w:tcBorders>
              <w:top w:val="nil"/>
              <w:left w:val="nil"/>
              <w:bottom w:val="single" w:sz="4" w:space="0" w:color="auto"/>
              <w:right w:val="nil"/>
            </w:tcBorders>
            <w:shd w:val="clear" w:color="auto" w:fill="auto"/>
            <w:noWrap/>
            <w:tcMar>
              <w:top w:w="0" w:type="dxa"/>
              <w:left w:w="113" w:type="dxa"/>
              <w:bottom w:w="0" w:type="dxa"/>
              <w:right w:w="113" w:type="dxa"/>
            </w:tcMar>
            <w:hideMark/>
          </w:tcPr>
          <w:p w:rsidR="000E3B5F" w:rsidRDefault="000E3B5F" w:rsidP="00AA75F8">
            <w:pPr>
              <w:pStyle w:val="Tabletext"/>
              <w:jc w:val="center"/>
              <w:rPr>
                <w:i/>
                <w:iCs/>
              </w:rPr>
            </w:pPr>
            <w:r>
              <w:rPr>
                <w:i/>
                <w:iCs/>
              </w:rPr>
              <w:t>353</w:t>
            </w:r>
          </w:p>
        </w:tc>
      </w:tr>
    </w:tbl>
    <w:p w:rsidR="00E35004" w:rsidRPr="00E54361" w:rsidRDefault="00E54361" w:rsidP="00E54361">
      <w:pPr>
        <w:pStyle w:val="Source"/>
      </w:pPr>
      <w:r>
        <w:rPr>
          <w:lang w:val="en-GB"/>
        </w:rPr>
        <w:t>Note:</w:t>
      </w:r>
      <w:r>
        <w:rPr>
          <w:lang w:val="en-GB"/>
        </w:rPr>
        <w:tab/>
      </w:r>
      <w:r w:rsidR="00E35004" w:rsidRPr="00E54361">
        <w:t>Annual individual disposable income (in thousands o</w:t>
      </w:r>
      <w:r w:rsidR="00BC6AF9" w:rsidRPr="00E54361">
        <w:t xml:space="preserve">f dollars); </w:t>
      </w:r>
      <w:r w:rsidR="004A14A5" w:rsidRPr="00E54361">
        <w:t xml:space="preserve">job </w:t>
      </w:r>
      <w:r w:rsidR="00BC6AF9" w:rsidRPr="00E54361">
        <w:t>satisfaction: 0–</w:t>
      </w:r>
      <w:r w:rsidR="00E35004" w:rsidRPr="00E54361">
        <w:t xml:space="preserve">10 </w:t>
      </w:r>
      <w:r w:rsidR="00BC6AF9" w:rsidRPr="00E54361">
        <w:t xml:space="preserve">scale; </w:t>
      </w:r>
      <w:r w:rsidR="004A14A5" w:rsidRPr="00E54361">
        <w:t xml:space="preserve">skills </w:t>
      </w:r>
      <w:r w:rsidR="00BC6AF9" w:rsidRPr="00E54361">
        <w:t>utilisation: 1–</w:t>
      </w:r>
      <w:r w:rsidR="00E35004" w:rsidRPr="00E54361">
        <w:t>7</w:t>
      </w:r>
      <w:r>
        <w:br/>
      </w:r>
      <w:r w:rsidR="00E35004" w:rsidRPr="00E54361">
        <w:t xml:space="preserve">t-statistics into brackets; </w:t>
      </w:r>
      <w:r w:rsidR="004A14A5" w:rsidRPr="00E54361">
        <w:t xml:space="preserve">significance </w:t>
      </w:r>
      <w:r w:rsidR="00E35004" w:rsidRPr="00E54361">
        <w:t>levels: * 10%, ** 5%, *** 1%.</w:t>
      </w:r>
      <w:r>
        <w:br/>
      </w:r>
      <w:r w:rsidR="00E35004" w:rsidRPr="00E54361">
        <w:t>Coefficients estimated using adjusted weights. t-statistics based on White standard errors.</w:t>
      </w:r>
    </w:p>
    <w:p w:rsidR="00E35004" w:rsidRPr="00B07B55" w:rsidRDefault="00E35004" w:rsidP="00E54361">
      <w:pPr>
        <w:pStyle w:val="Source"/>
        <w:rPr>
          <w:lang w:val="en-GB"/>
        </w:rPr>
      </w:pPr>
      <w:r w:rsidRPr="00E54361">
        <w:t>Source:</w:t>
      </w:r>
      <w:r w:rsidR="00E54361">
        <w:tab/>
      </w:r>
      <w:r w:rsidRPr="00E54361">
        <w:t>H</w:t>
      </w:r>
      <w:r w:rsidR="005D79F4" w:rsidRPr="00E54361">
        <w:t>ILDA</w:t>
      </w:r>
      <w:r>
        <w:rPr>
          <w:lang w:val="en-GB"/>
        </w:rPr>
        <w:t xml:space="preserve"> data.</w:t>
      </w:r>
    </w:p>
    <w:p w:rsidR="00AA75F8" w:rsidRDefault="00AA75F8">
      <w:pPr>
        <w:spacing w:before="0" w:line="240" w:lineRule="auto"/>
        <w:rPr>
          <w:rFonts w:ascii="Tahoma" w:hAnsi="Tahoma"/>
          <w:b/>
          <w:sz w:val="17"/>
          <w:lang w:val="en-GB"/>
        </w:rPr>
      </w:pPr>
      <w:r>
        <w:rPr>
          <w:lang w:val="en-GB"/>
        </w:rPr>
        <w:br w:type="page"/>
      </w:r>
    </w:p>
    <w:p w:rsidR="008A5C3D" w:rsidRPr="00B07B55" w:rsidRDefault="008A5C3D" w:rsidP="00AA75F8">
      <w:pPr>
        <w:pStyle w:val="tabletitle"/>
        <w:rPr>
          <w:lang w:val="en-GB"/>
        </w:rPr>
      </w:pPr>
      <w:bookmarkStart w:id="100" w:name="_Toc334021192"/>
      <w:r w:rsidRPr="00B07B55">
        <w:rPr>
          <w:lang w:val="en-GB"/>
        </w:rPr>
        <w:t>Tabl</w:t>
      </w:r>
      <w:r w:rsidR="0095115A" w:rsidRPr="00B07B55">
        <w:rPr>
          <w:lang w:val="en-GB"/>
        </w:rPr>
        <w:t>e B</w:t>
      </w:r>
      <w:r w:rsidR="00E35004">
        <w:rPr>
          <w:lang w:val="en-GB"/>
        </w:rPr>
        <w:t>2</w:t>
      </w:r>
      <w:r w:rsidRPr="00B07B55">
        <w:rPr>
          <w:lang w:val="en-GB"/>
        </w:rPr>
        <w:tab/>
        <w:t>Effect of education on labour market</w:t>
      </w:r>
      <w:r w:rsidR="00BC6AF9">
        <w:rPr>
          <w:lang w:val="en-GB"/>
        </w:rPr>
        <w:t xml:space="preserve"> outcomes by type of course (40 to 57-year-</w:t>
      </w:r>
      <w:r w:rsidRPr="00B07B55">
        <w:rPr>
          <w:lang w:val="en-GB"/>
        </w:rPr>
        <w:t>olds), HILDA</w:t>
      </w:r>
      <w:bookmarkEnd w:id="99"/>
      <w:bookmarkEnd w:id="100"/>
      <w:r w:rsidRPr="00B07B55">
        <w:rPr>
          <w:lang w:val="en-GB"/>
        </w:rPr>
        <w:t xml:space="preserve"> </w:t>
      </w:r>
    </w:p>
    <w:tbl>
      <w:tblPr>
        <w:tblW w:w="8789" w:type="dxa"/>
        <w:tblInd w:w="113" w:type="dxa"/>
        <w:tblLayout w:type="fixed"/>
        <w:tblCellMar>
          <w:left w:w="113" w:type="dxa"/>
          <w:right w:w="113" w:type="dxa"/>
        </w:tblCellMar>
        <w:tblLook w:val="04A0"/>
      </w:tblPr>
      <w:tblGrid>
        <w:gridCol w:w="4253"/>
        <w:gridCol w:w="1134"/>
        <w:gridCol w:w="1134"/>
        <w:gridCol w:w="1134"/>
        <w:gridCol w:w="1134"/>
      </w:tblGrid>
      <w:tr w:rsidR="008A5C3D" w:rsidRPr="00B07B55" w:rsidTr="00D45DF2">
        <w:trPr>
          <w:tblHeader/>
        </w:trPr>
        <w:tc>
          <w:tcPr>
            <w:tcW w:w="4253" w:type="dxa"/>
            <w:tcBorders>
              <w:top w:val="single" w:sz="8" w:space="0" w:color="auto"/>
              <w:left w:val="nil"/>
              <w:right w:val="nil"/>
            </w:tcBorders>
            <w:shd w:val="clear" w:color="auto" w:fill="auto"/>
            <w:noWrap/>
            <w:tcMar>
              <w:top w:w="15" w:type="dxa"/>
              <w:left w:w="113" w:type="dxa"/>
              <w:bottom w:w="0" w:type="dxa"/>
              <w:right w:w="113" w:type="dxa"/>
            </w:tcMar>
            <w:hideMark/>
          </w:tcPr>
          <w:p w:rsidR="008A5C3D" w:rsidRPr="00B07B55" w:rsidRDefault="008A5C3D" w:rsidP="00985306">
            <w:pPr>
              <w:pStyle w:val="Tablehead1"/>
              <w:rPr>
                <w:lang w:val="en-GB"/>
              </w:rPr>
            </w:pPr>
            <w:r w:rsidRPr="00B07B55">
              <w:rPr>
                <w:lang w:val="en-GB"/>
              </w:rPr>
              <w:t> </w:t>
            </w:r>
          </w:p>
        </w:tc>
        <w:tc>
          <w:tcPr>
            <w:tcW w:w="2268" w:type="dxa"/>
            <w:gridSpan w:val="2"/>
            <w:tcBorders>
              <w:top w:val="single" w:sz="8" w:space="0" w:color="auto"/>
              <w:left w:val="nil"/>
              <w:right w:val="nil"/>
            </w:tcBorders>
            <w:shd w:val="clear" w:color="auto" w:fill="auto"/>
            <w:noWrap/>
            <w:tcMar>
              <w:top w:w="15" w:type="dxa"/>
              <w:left w:w="113" w:type="dxa"/>
              <w:bottom w:w="0" w:type="dxa"/>
              <w:right w:w="113" w:type="dxa"/>
            </w:tcMar>
            <w:hideMark/>
          </w:tcPr>
          <w:p w:rsidR="008A5C3D" w:rsidRPr="00B07B55" w:rsidRDefault="008A5C3D" w:rsidP="00985306">
            <w:pPr>
              <w:pStyle w:val="Tablehead1"/>
              <w:jc w:val="center"/>
              <w:rPr>
                <w:bCs/>
                <w:lang w:val="en-GB"/>
              </w:rPr>
            </w:pPr>
            <w:r w:rsidRPr="00B07B55">
              <w:rPr>
                <w:bCs/>
                <w:lang w:val="en-GB"/>
              </w:rPr>
              <w:t>Males</w:t>
            </w:r>
          </w:p>
        </w:tc>
        <w:tc>
          <w:tcPr>
            <w:tcW w:w="2268" w:type="dxa"/>
            <w:gridSpan w:val="2"/>
            <w:tcBorders>
              <w:top w:val="single" w:sz="8" w:space="0" w:color="auto"/>
              <w:left w:val="nil"/>
              <w:right w:val="nil"/>
            </w:tcBorders>
            <w:shd w:val="clear" w:color="auto" w:fill="auto"/>
            <w:noWrap/>
            <w:tcMar>
              <w:top w:w="15" w:type="dxa"/>
              <w:left w:w="113" w:type="dxa"/>
              <w:bottom w:w="0" w:type="dxa"/>
              <w:right w:w="113" w:type="dxa"/>
            </w:tcMar>
            <w:hideMark/>
          </w:tcPr>
          <w:p w:rsidR="008A5C3D" w:rsidRPr="00B07B55" w:rsidRDefault="008A5C3D" w:rsidP="00985306">
            <w:pPr>
              <w:pStyle w:val="Tablehead1"/>
              <w:jc w:val="center"/>
              <w:rPr>
                <w:bCs/>
                <w:lang w:val="en-GB"/>
              </w:rPr>
            </w:pPr>
            <w:r w:rsidRPr="00B07B55">
              <w:rPr>
                <w:bCs/>
                <w:lang w:val="en-GB"/>
              </w:rPr>
              <w:t>Females</w:t>
            </w:r>
          </w:p>
        </w:tc>
      </w:tr>
      <w:tr w:rsidR="008A5C3D" w:rsidRPr="00985306" w:rsidTr="00D45DF2">
        <w:trPr>
          <w:tblHeader/>
        </w:trPr>
        <w:tc>
          <w:tcPr>
            <w:tcW w:w="4253" w:type="dxa"/>
            <w:tcBorders>
              <w:left w:val="nil"/>
              <w:bottom w:val="single" w:sz="4" w:space="0" w:color="auto"/>
              <w:right w:val="nil"/>
            </w:tcBorders>
            <w:shd w:val="clear" w:color="auto" w:fill="auto"/>
            <w:noWrap/>
            <w:tcMar>
              <w:top w:w="17" w:type="dxa"/>
              <w:left w:w="113" w:type="dxa"/>
              <w:bottom w:w="0" w:type="dxa"/>
              <w:right w:w="113" w:type="dxa"/>
            </w:tcMar>
            <w:hideMark/>
          </w:tcPr>
          <w:p w:rsidR="008A5C3D" w:rsidRPr="00985306" w:rsidRDefault="008A5C3D" w:rsidP="00985306">
            <w:pPr>
              <w:pStyle w:val="Tablehead2"/>
              <w:rPr>
                <w:szCs w:val="22"/>
              </w:rPr>
            </w:pPr>
          </w:p>
        </w:tc>
        <w:tc>
          <w:tcPr>
            <w:tcW w:w="1134" w:type="dxa"/>
            <w:tcBorders>
              <w:left w:val="nil"/>
              <w:bottom w:val="single" w:sz="4" w:space="0" w:color="auto"/>
              <w:right w:val="nil"/>
            </w:tcBorders>
            <w:shd w:val="clear" w:color="auto" w:fill="auto"/>
            <w:noWrap/>
            <w:tcMar>
              <w:top w:w="17" w:type="dxa"/>
              <w:left w:w="113" w:type="dxa"/>
              <w:bottom w:w="0" w:type="dxa"/>
              <w:right w:w="113" w:type="dxa"/>
            </w:tcMar>
            <w:hideMark/>
          </w:tcPr>
          <w:p w:rsidR="008A5C3D" w:rsidRPr="00985306" w:rsidRDefault="008A5C3D" w:rsidP="00985306">
            <w:pPr>
              <w:pStyle w:val="Tablehead2"/>
              <w:jc w:val="center"/>
              <w:rPr>
                <w:szCs w:val="17"/>
              </w:rPr>
            </w:pPr>
            <w:r w:rsidRPr="00985306">
              <w:rPr>
                <w:szCs w:val="17"/>
              </w:rPr>
              <w:t>Enrolled</w:t>
            </w:r>
          </w:p>
        </w:tc>
        <w:tc>
          <w:tcPr>
            <w:tcW w:w="1134" w:type="dxa"/>
            <w:tcBorders>
              <w:left w:val="nil"/>
              <w:bottom w:val="single" w:sz="4" w:space="0" w:color="auto"/>
              <w:right w:val="nil"/>
            </w:tcBorders>
            <w:shd w:val="clear" w:color="auto" w:fill="auto"/>
            <w:noWrap/>
            <w:tcMar>
              <w:top w:w="17" w:type="dxa"/>
              <w:left w:w="113" w:type="dxa"/>
              <w:bottom w:w="0" w:type="dxa"/>
              <w:right w:w="113" w:type="dxa"/>
            </w:tcMar>
            <w:hideMark/>
          </w:tcPr>
          <w:p w:rsidR="008A5C3D" w:rsidRPr="00985306" w:rsidRDefault="008A5C3D" w:rsidP="00985306">
            <w:pPr>
              <w:pStyle w:val="Tablehead2"/>
              <w:jc w:val="center"/>
              <w:rPr>
                <w:szCs w:val="17"/>
              </w:rPr>
            </w:pPr>
            <w:r w:rsidRPr="00985306">
              <w:rPr>
                <w:szCs w:val="17"/>
              </w:rPr>
              <w:t>Completed</w:t>
            </w:r>
          </w:p>
        </w:tc>
        <w:tc>
          <w:tcPr>
            <w:tcW w:w="1134" w:type="dxa"/>
            <w:tcBorders>
              <w:left w:val="nil"/>
              <w:bottom w:val="single" w:sz="4" w:space="0" w:color="auto"/>
              <w:right w:val="nil"/>
            </w:tcBorders>
            <w:shd w:val="clear" w:color="auto" w:fill="auto"/>
            <w:noWrap/>
            <w:tcMar>
              <w:top w:w="17" w:type="dxa"/>
              <w:left w:w="113" w:type="dxa"/>
              <w:bottom w:w="0" w:type="dxa"/>
              <w:right w:w="113" w:type="dxa"/>
            </w:tcMar>
            <w:hideMark/>
          </w:tcPr>
          <w:p w:rsidR="008A5C3D" w:rsidRPr="00985306" w:rsidRDefault="008A5C3D" w:rsidP="00985306">
            <w:pPr>
              <w:pStyle w:val="Tablehead2"/>
              <w:jc w:val="center"/>
              <w:rPr>
                <w:szCs w:val="17"/>
              </w:rPr>
            </w:pPr>
            <w:r w:rsidRPr="00985306">
              <w:rPr>
                <w:szCs w:val="17"/>
              </w:rPr>
              <w:t>Enrolled</w:t>
            </w:r>
          </w:p>
        </w:tc>
        <w:tc>
          <w:tcPr>
            <w:tcW w:w="1134" w:type="dxa"/>
            <w:tcBorders>
              <w:left w:val="nil"/>
              <w:bottom w:val="single" w:sz="4" w:space="0" w:color="auto"/>
              <w:right w:val="nil"/>
            </w:tcBorders>
            <w:shd w:val="clear" w:color="auto" w:fill="auto"/>
            <w:noWrap/>
            <w:tcMar>
              <w:top w:w="17" w:type="dxa"/>
              <w:left w:w="113" w:type="dxa"/>
              <w:bottom w:w="0" w:type="dxa"/>
              <w:right w:w="113" w:type="dxa"/>
            </w:tcMar>
            <w:hideMark/>
          </w:tcPr>
          <w:p w:rsidR="008A5C3D" w:rsidRPr="00985306" w:rsidRDefault="008A5C3D" w:rsidP="00985306">
            <w:pPr>
              <w:pStyle w:val="Tablehead2"/>
              <w:jc w:val="center"/>
              <w:rPr>
                <w:szCs w:val="17"/>
              </w:rPr>
            </w:pPr>
            <w:r w:rsidRPr="00985306">
              <w:rPr>
                <w:szCs w:val="17"/>
              </w:rPr>
              <w:t>Completed</w:t>
            </w:r>
          </w:p>
        </w:tc>
      </w:tr>
      <w:tr w:rsidR="00C37B3F" w:rsidRPr="00985306" w:rsidTr="00C37B3F">
        <w:tc>
          <w:tcPr>
            <w:tcW w:w="4253" w:type="dxa"/>
            <w:tcBorders>
              <w:top w:val="single" w:sz="4" w:space="0" w:color="auto"/>
              <w:left w:val="nil"/>
              <w:bottom w:val="nil"/>
              <w:right w:val="nil"/>
            </w:tcBorders>
            <w:shd w:val="clear" w:color="auto" w:fill="auto"/>
            <w:noWrap/>
            <w:tcMar>
              <w:top w:w="15" w:type="dxa"/>
              <w:left w:w="113" w:type="dxa"/>
              <w:bottom w:w="0" w:type="dxa"/>
              <w:right w:w="113" w:type="dxa"/>
            </w:tcMar>
            <w:hideMark/>
          </w:tcPr>
          <w:p w:rsidR="00C37B3F" w:rsidRPr="00985306" w:rsidRDefault="00C37B3F" w:rsidP="00D45DF2">
            <w:pPr>
              <w:pStyle w:val="Tabletext"/>
              <w:spacing w:before="120"/>
              <w:rPr>
                <w:lang w:val="en-GB"/>
              </w:rPr>
            </w:pPr>
            <w:r w:rsidRPr="00985306">
              <w:rPr>
                <w:b/>
                <w:lang w:val="en-GB"/>
              </w:rPr>
              <w:t>Change in annual disposable income (</w:t>
            </w:r>
            <w:r w:rsidRPr="004A14A5">
              <w:rPr>
                <w:b/>
                <w:lang w:val="en-GB"/>
              </w:rPr>
              <w:t>in $1000s</w:t>
            </w:r>
            <w:r w:rsidRPr="00985306">
              <w:rPr>
                <w:b/>
                <w:lang w:val="en-GB"/>
              </w:rPr>
              <w:t>)</w:t>
            </w:r>
          </w:p>
        </w:tc>
        <w:tc>
          <w:tcPr>
            <w:tcW w:w="1134" w:type="dxa"/>
            <w:tcBorders>
              <w:top w:val="single" w:sz="4" w:space="0" w:color="auto"/>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single" w:sz="4" w:space="0" w:color="auto"/>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single" w:sz="4" w:space="0" w:color="auto"/>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single" w:sz="4" w:space="0" w:color="auto"/>
              <w:left w:val="nil"/>
              <w:bottom w:val="nil"/>
              <w:right w:val="nil"/>
            </w:tcBorders>
            <w:shd w:val="clear" w:color="auto" w:fill="auto"/>
          </w:tcPr>
          <w:p w:rsidR="00C37B3F" w:rsidRPr="00985306" w:rsidRDefault="00C37B3F" w:rsidP="00D45DF2">
            <w:pPr>
              <w:pStyle w:val="Tabletext"/>
              <w:spacing w:before="120"/>
              <w:rPr>
                <w:lang w:val="en-GB"/>
              </w:rPr>
            </w:pPr>
          </w:p>
        </w:tc>
      </w:tr>
      <w:tr w:rsidR="00985306" w:rsidRPr="00985306" w:rsidTr="00C37B3F">
        <w:tc>
          <w:tcPr>
            <w:tcW w:w="4253"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985306">
            <w:pPr>
              <w:pStyle w:val="Tabletext"/>
              <w:rPr>
                <w:lang w:val="en-GB"/>
              </w:rPr>
            </w:pPr>
            <w:r w:rsidRPr="00985306">
              <w:rPr>
                <w:lang w:val="en-GB"/>
              </w:rPr>
              <w:t>Bachelor and above</w:t>
            </w:r>
          </w:p>
        </w:tc>
        <w:tc>
          <w:tcPr>
            <w:tcW w:w="1134"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-11.65**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-8.946</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-1.699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-3.805</w:t>
            </w:r>
          </w:p>
        </w:tc>
      </w:tr>
      <w:tr w:rsidR="00985306"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(-2.10)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(-1.13)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(-0.55)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(-0.87)</w:t>
            </w:r>
          </w:p>
        </w:tc>
      </w:tr>
      <w:tr w:rsidR="00985306"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r w:rsidRPr="00985306">
              <w:rPr>
                <w:lang w:val="en-GB"/>
              </w:rPr>
              <w:t>VET</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2.587</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-0.458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2.498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1.993</w:t>
            </w:r>
          </w:p>
        </w:tc>
      </w:tr>
      <w:tr w:rsidR="00985306"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(0.50)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(1.61)</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(1.08)</w:t>
            </w:r>
          </w:p>
        </w:tc>
      </w:tr>
      <w:tr w:rsidR="00985306"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085113" w:rsidP="00985306">
            <w:pPr>
              <w:pStyle w:val="Tabletext"/>
              <w:rPr>
                <w:i/>
                <w:iCs/>
                <w:lang w:val="en-GB"/>
              </w:rPr>
            </w:pPr>
            <w:r w:rsidRPr="00985306">
              <w:rPr>
                <w:i/>
                <w:iCs/>
                <w:lang w:val="en-GB"/>
              </w:rPr>
              <w:t>R-squared</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0.081</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0.079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0.051</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0.051</w:t>
            </w:r>
          </w:p>
        </w:tc>
      </w:tr>
      <w:tr w:rsidR="00985306"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985306" w:rsidP="00985306">
            <w:pPr>
              <w:pStyle w:val="Tabletext"/>
              <w:rPr>
                <w:i/>
                <w:iCs/>
                <w:lang w:val="en-GB"/>
              </w:rPr>
            </w:pPr>
            <w:r w:rsidRPr="00985306">
              <w:rPr>
                <w:i/>
                <w:iCs/>
                <w:lang w:val="en-GB"/>
              </w:rPr>
              <w:t>Observations</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1134</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1134</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1298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1298</w:t>
            </w:r>
          </w:p>
        </w:tc>
      </w:tr>
      <w:tr w:rsidR="00C37B3F" w:rsidRPr="00985306" w:rsidTr="00C37B3F">
        <w:tc>
          <w:tcPr>
            <w:tcW w:w="4253" w:type="dxa"/>
            <w:tcBorders>
              <w:top w:val="nil"/>
              <w:left w:val="nil"/>
              <w:bottom w:val="nil"/>
              <w:right w:val="nil"/>
            </w:tcBorders>
            <w:shd w:val="clear" w:color="auto" w:fill="auto"/>
            <w:noWrap/>
            <w:tcMar>
              <w:top w:w="15" w:type="dxa"/>
              <w:left w:w="113" w:type="dxa"/>
              <w:bottom w:w="0" w:type="dxa"/>
              <w:right w:w="113" w:type="dxa"/>
            </w:tcMar>
            <w:hideMark/>
          </w:tcPr>
          <w:p w:rsidR="00C37B3F" w:rsidRPr="00985306" w:rsidRDefault="00C37B3F" w:rsidP="00D45DF2">
            <w:pPr>
              <w:pStyle w:val="Tabletext"/>
              <w:spacing w:before="120"/>
              <w:rPr>
                <w:lang w:val="en-GB"/>
              </w:rPr>
            </w:pPr>
            <w:r w:rsidRPr="00985306">
              <w:rPr>
                <w:b/>
                <w:lang w:val="en-GB"/>
              </w:rPr>
              <w:t>Change in job satisfaction</w:t>
            </w: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r>
      <w:tr w:rsidR="008A5C3D" w:rsidRPr="00985306" w:rsidTr="00C37B3F">
        <w:tc>
          <w:tcPr>
            <w:tcW w:w="4253"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985306">
            <w:pPr>
              <w:pStyle w:val="Tabletext"/>
              <w:rPr>
                <w:lang w:val="en-GB"/>
              </w:rPr>
            </w:pPr>
            <w:r w:rsidRPr="00985306">
              <w:rPr>
                <w:lang w:val="en-GB"/>
              </w:rPr>
              <w:t>Bachelor and above</w:t>
            </w:r>
          </w:p>
        </w:tc>
        <w:tc>
          <w:tcPr>
            <w:tcW w:w="1134"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0.136</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0.713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0.0358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0.495</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(0.22)</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(0.92)</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(0.95)</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r w:rsidRPr="00985306">
              <w:rPr>
                <w:lang w:val="en-GB"/>
              </w:rPr>
              <w:t>VET</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0.187</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0.299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-0.0529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0.112</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(0.95)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(1.34)</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(-0.23)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(0.41)</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085113" w:rsidP="00985306">
            <w:pPr>
              <w:pStyle w:val="Tabletext"/>
              <w:rPr>
                <w:i/>
                <w:iCs/>
                <w:lang w:val="en-GB"/>
              </w:rPr>
            </w:pPr>
            <w:r w:rsidRPr="00985306">
              <w:rPr>
                <w:i/>
                <w:iCs/>
                <w:lang w:val="en-GB"/>
              </w:rPr>
              <w:t>R-squared</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0.046</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0.048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0.040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0.042</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985306" w:rsidP="00985306">
            <w:pPr>
              <w:pStyle w:val="Tabletext"/>
              <w:rPr>
                <w:i/>
                <w:iCs/>
                <w:lang w:val="en-GB"/>
              </w:rPr>
            </w:pPr>
            <w:r w:rsidRPr="00985306">
              <w:rPr>
                <w:i/>
                <w:iCs/>
                <w:lang w:val="en-GB"/>
              </w:rPr>
              <w:t>Observations</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800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800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696</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696</w:t>
            </w:r>
          </w:p>
        </w:tc>
      </w:tr>
      <w:tr w:rsidR="00C37B3F" w:rsidRPr="00985306" w:rsidTr="00C37B3F">
        <w:tc>
          <w:tcPr>
            <w:tcW w:w="4253" w:type="dxa"/>
            <w:tcBorders>
              <w:top w:val="nil"/>
              <w:left w:val="nil"/>
              <w:bottom w:val="nil"/>
              <w:right w:val="nil"/>
            </w:tcBorders>
            <w:shd w:val="clear" w:color="auto" w:fill="auto"/>
            <w:noWrap/>
            <w:tcMar>
              <w:top w:w="15" w:type="dxa"/>
              <w:left w:w="113" w:type="dxa"/>
              <w:bottom w:w="0" w:type="dxa"/>
              <w:right w:w="113" w:type="dxa"/>
            </w:tcMar>
            <w:hideMark/>
          </w:tcPr>
          <w:p w:rsidR="00C37B3F" w:rsidRPr="00985306" w:rsidRDefault="00C37B3F" w:rsidP="00D45DF2">
            <w:pPr>
              <w:pStyle w:val="Tabletext"/>
              <w:spacing w:before="120"/>
              <w:rPr>
                <w:lang w:val="en-GB"/>
              </w:rPr>
            </w:pPr>
            <w:r w:rsidRPr="00985306">
              <w:rPr>
                <w:b/>
                <w:lang w:val="en-GB"/>
              </w:rPr>
              <w:t>Change in skills utilisation</w:t>
            </w: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r>
      <w:tr w:rsidR="008A5C3D" w:rsidRPr="00985306" w:rsidTr="00C37B3F">
        <w:tc>
          <w:tcPr>
            <w:tcW w:w="4253"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985306">
            <w:pPr>
              <w:pStyle w:val="Tabletext"/>
              <w:rPr>
                <w:lang w:val="en-GB"/>
              </w:rPr>
            </w:pPr>
            <w:r w:rsidRPr="00985306">
              <w:rPr>
                <w:lang w:val="en-GB"/>
              </w:rPr>
              <w:t>Bachelor and above</w:t>
            </w:r>
          </w:p>
        </w:tc>
        <w:tc>
          <w:tcPr>
            <w:tcW w:w="1134"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0.115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0.0634</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-0.135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0.0149</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(0.42)</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(0.16)</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(-0.39)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(0.03)</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r w:rsidRPr="00985306">
              <w:rPr>
                <w:lang w:val="en-GB"/>
              </w:rPr>
              <w:t>VET</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0.288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0.0550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0.161</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0.240</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(1.41)</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(0.28)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(1.06)</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(1.40)</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085113" w:rsidP="00985306">
            <w:pPr>
              <w:pStyle w:val="Tabletext"/>
              <w:rPr>
                <w:i/>
                <w:iCs/>
                <w:lang w:val="en-GB"/>
              </w:rPr>
            </w:pPr>
            <w:r w:rsidRPr="00985306">
              <w:rPr>
                <w:i/>
                <w:iCs/>
                <w:lang w:val="en-GB"/>
              </w:rPr>
              <w:t>R-squared</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0.044</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0.039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0.052</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0.054</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985306" w:rsidP="00985306">
            <w:pPr>
              <w:pStyle w:val="Tabletext"/>
              <w:rPr>
                <w:i/>
                <w:iCs/>
                <w:lang w:val="en-GB"/>
              </w:rPr>
            </w:pPr>
            <w:r w:rsidRPr="00985306">
              <w:rPr>
                <w:i/>
                <w:iCs/>
                <w:lang w:val="en-GB"/>
              </w:rPr>
              <w:t>Observations</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690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690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614</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614</w:t>
            </w:r>
          </w:p>
        </w:tc>
      </w:tr>
      <w:tr w:rsidR="00C37B3F" w:rsidRPr="00985306" w:rsidTr="00C37B3F">
        <w:tc>
          <w:tcPr>
            <w:tcW w:w="4253" w:type="dxa"/>
            <w:tcBorders>
              <w:top w:val="nil"/>
              <w:left w:val="nil"/>
              <w:bottom w:val="nil"/>
              <w:right w:val="nil"/>
            </w:tcBorders>
            <w:shd w:val="clear" w:color="auto" w:fill="auto"/>
            <w:noWrap/>
            <w:tcMar>
              <w:top w:w="15" w:type="dxa"/>
              <w:left w:w="113" w:type="dxa"/>
              <w:bottom w:w="0" w:type="dxa"/>
              <w:right w:w="113" w:type="dxa"/>
            </w:tcMar>
            <w:hideMark/>
          </w:tcPr>
          <w:p w:rsidR="00C37B3F" w:rsidRPr="00985306" w:rsidRDefault="00C37B3F" w:rsidP="00D45DF2">
            <w:pPr>
              <w:pStyle w:val="Tabletext"/>
              <w:spacing w:before="120"/>
              <w:rPr>
                <w:lang w:val="en-GB"/>
              </w:rPr>
            </w:pPr>
            <w:r w:rsidRPr="00985306">
              <w:rPr>
                <w:b/>
                <w:lang w:val="en-GB"/>
              </w:rPr>
              <w:t>Change in log hourly wage rate</w:t>
            </w: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r>
      <w:tr w:rsidR="008A5C3D" w:rsidRPr="00985306" w:rsidTr="00C37B3F">
        <w:tc>
          <w:tcPr>
            <w:tcW w:w="4253"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985306">
            <w:pPr>
              <w:pStyle w:val="Tabletext"/>
              <w:rPr>
                <w:lang w:val="en-GB"/>
              </w:rPr>
            </w:pPr>
            <w:r w:rsidRPr="00985306">
              <w:rPr>
                <w:lang w:val="en-GB"/>
              </w:rPr>
              <w:t>Bachelor and above</w:t>
            </w:r>
          </w:p>
        </w:tc>
        <w:tc>
          <w:tcPr>
            <w:tcW w:w="1134"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-0.0172</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-0.0633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0.0686</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-0.0596</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(-0.20)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(-0.52)</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(0.96)</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(-0.81)</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r w:rsidRPr="00985306">
              <w:rPr>
                <w:lang w:val="en-GB"/>
              </w:rPr>
              <w:t>VET</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0.00633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0.0195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0.0610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0.0845</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(0.38)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(1.17)</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(1.59)</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085113" w:rsidP="00985306">
            <w:pPr>
              <w:pStyle w:val="Tabletext"/>
              <w:rPr>
                <w:i/>
                <w:iCs/>
                <w:lang w:val="en-GB"/>
              </w:rPr>
            </w:pPr>
            <w:r w:rsidRPr="00985306">
              <w:rPr>
                <w:i/>
                <w:iCs/>
                <w:lang w:val="en-GB"/>
              </w:rPr>
              <w:t>R-squared</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0.083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0.098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0.139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0.139</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985306" w:rsidP="00985306">
            <w:pPr>
              <w:pStyle w:val="Tabletext"/>
              <w:rPr>
                <w:i/>
                <w:iCs/>
                <w:lang w:val="en-GB"/>
              </w:rPr>
            </w:pPr>
            <w:r w:rsidRPr="00985306">
              <w:rPr>
                <w:i/>
                <w:iCs/>
                <w:lang w:val="en-GB"/>
              </w:rPr>
              <w:t>Observations</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465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465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512</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512</w:t>
            </w:r>
          </w:p>
        </w:tc>
      </w:tr>
      <w:tr w:rsidR="00C37B3F" w:rsidRPr="00985306" w:rsidTr="00C37B3F">
        <w:tc>
          <w:tcPr>
            <w:tcW w:w="4253" w:type="dxa"/>
            <w:tcBorders>
              <w:top w:val="nil"/>
              <w:left w:val="nil"/>
              <w:bottom w:val="nil"/>
              <w:right w:val="nil"/>
            </w:tcBorders>
            <w:shd w:val="clear" w:color="auto" w:fill="auto"/>
            <w:noWrap/>
            <w:tcMar>
              <w:top w:w="15" w:type="dxa"/>
              <w:left w:w="113" w:type="dxa"/>
              <w:bottom w:w="0" w:type="dxa"/>
              <w:right w:w="113" w:type="dxa"/>
            </w:tcMar>
            <w:hideMark/>
          </w:tcPr>
          <w:p w:rsidR="00C37B3F" w:rsidRPr="00985306" w:rsidRDefault="00C37B3F" w:rsidP="00D45DF2">
            <w:pPr>
              <w:pStyle w:val="Tabletext"/>
              <w:spacing w:before="120"/>
              <w:rPr>
                <w:lang w:val="en-GB"/>
              </w:rPr>
            </w:pPr>
            <w:r w:rsidRPr="00985306">
              <w:rPr>
                <w:b/>
                <w:lang w:val="en-GB"/>
              </w:rPr>
              <w:t>Change in working hours per week</w:t>
            </w: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r>
      <w:tr w:rsidR="008A5C3D" w:rsidRPr="00985306" w:rsidTr="00C37B3F">
        <w:tc>
          <w:tcPr>
            <w:tcW w:w="4253"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985306">
            <w:pPr>
              <w:pStyle w:val="Tabletext"/>
              <w:rPr>
                <w:lang w:val="en-GB"/>
              </w:rPr>
            </w:pPr>
            <w:r w:rsidRPr="00985306">
              <w:rPr>
                <w:lang w:val="en-GB"/>
              </w:rPr>
              <w:t>Bachelor and above</w:t>
            </w:r>
          </w:p>
        </w:tc>
        <w:tc>
          <w:tcPr>
            <w:tcW w:w="1134"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0.968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0.317</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-1.413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-1.126</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(0.35)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(-0.59)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(-0.29)</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r w:rsidRPr="00985306">
              <w:rPr>
                <w:lang w:val="en-GB"/>
              </w:rPr>
              <w:t>VET</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-3.229*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-4.116**</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-0.328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-0.166</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(-1.89)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(-2.04)</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(-0.26)</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(-0.12)</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085113" w:rsidP="00985306">
            <w:pPr>
              <w:pStyle w:val="Tabletext"/>
              <w:rPr>
                <w:i/>
                <w:iCs/>
                <w:lang w:val="en-GB"/>
              </w:rPr>
            </w:pPr>
            <w:r w:rsidRPr="00985306">
              <w:rPr>
                <w:i/>
                <w:iCs/>
                <w:lang w:val="en-GB"/>
              </w:rPr>
              <w:t>R-squared</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0.090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0.092</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0.149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0.148</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985306" w:rsidP="00985306">
            <w:pPr>
              <w:pStyle w:val="Tabletext"/>
              <w:rPr>
                <w:i/>
                <w:iCs/>
                <w:lang w:val="en-GB"/>
              </w:rPr>
            </w:pPr>
            <w:r w:rsidRPr="00985306">
              <w:rPr>
                <w:i/>
                <w:iCs/>
                <w:lang w:val="en-GB"/>
              </w:rPr>
              <w:t>Observations</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798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798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695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695</w:t>
            </w:r>
          </w:p>
        </w:tc>
      </w:tr>
      <w:tr w:rsidR="00C37B3F" w:rsidRPr="00985306" w:rsidTr="00C37B3F">
        <w:tc>
          <w:tcPr>
            <w:tcW w:w="4253" w:type="dxa"/>
            <w:tcBorders>
              <w:top w:val="nil"/>
              <w:left w:val="nil"/>
              <w:bottom w:val="nil"/>
              <w:right w:val="nil"/>
            </w:tcBorders>
            <w:shd w:val="clear" w:color="auto" w:fill="auto"/>
            <w:noWrap/>
            <w:tcMar>
              <w:top w:w="15" w:type="dxa"/>
              <w:left w:w="113" w:type="dxa"/>
              <w:bottom w:w="0" w:type="dxa"/>
              <w:right w:w="113" w:type="dxa"/>
            </w:tcMar>
            <w:hideMark/>
          </w:tcPr>
          <w:p w:rsidR="00C37B3F" w:rsidRPr="00985306" w:rsidRDefault="00C37B3F" w:rsidP="00D45DF2">
            <w:pPr>
              <w:pStyle w:val="Tabletext"/>
              <w:spacing w:before="120"/>
              <w:rPr>
                <w:lang w:val="en-GB"/>
              </w:rPr>
            </w:pPr>
            <w:r w:rsidRPr="00985306">
              <w:rPr>
                <w:b/>
                <w:lang w:val="en-GB"/>
              </w:rPr>
              <w:t>Change in overall life satisfaction</w:t>
            </w: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r>
      <w:tr w:rsidR="008A5C3D" w:rsidRPr="00985306" w:rsidTr="00C37B3F">
        <w:tc>
          <w:tcPr>
            <w:tcW w:w="4253"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985306">
            <w:pPr>
              <w:pStyle w:val="Tabletext"/>
              <w:rPr>
                <w:lang w:val="en-GB"/>
              </w:rPr>
            </w:pPr>
            <w:r w:rsidRPr="00985306">
              <w:rPr>
                <w:lang w:val="en-GB"/>
              </w:rPr>
              <w:t>Bachelor and above</w:t>
            </w:r>
          </w:p>
        </w:tc>
        <w:tc>
          <w:tcPr>
            <w:tcW w:w="1134"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-0.559*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-0.274</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0.377*</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0.413*</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(-1.80)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(-0.59)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(1.89)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(1.85)</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r w:rsidRPr="00985306">
              <w:rPr>
                <w:lang w:val="en-GB"/>
              </w:rPr>
              <w:t>VET</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0.0794</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-0.0150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0.0657</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0.179</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(0.48)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(0.48)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(1.10)</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085113" w:rsidP="00985306">
            <w:pPr>
              <w:pStyle w:val="Tabletext"/>
              <w:rPr>
                <w:i/>
                <w:iCs/>
                <w:lang w:val="en-GB"/>
              </w:rPr>
            </w:pPr>
            <w:r w:rsidRPr="00985306">
              <w:rPr>
                <w:i/>
                <w:iCs/>
                <w:lang w:val="en-GB"/>
              </w:rPr>
              <w:t>R-squared</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0.035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0.033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0.048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0.048</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985306" w:rsidP="00985306">
            <w:pPr>
              <w:pStyle w:val="Tabletext"/>
              <w:rPr>
                <w:i/>
                <w:iCs/>
                <w:lang w:val="en-GB"/>
              </w:rPr>
            </w:pPr>
            <w:r w:rsidRPr="00985306">
              <w:rPr>
                <w:i/>
                <w:iCs/>
                <w:lang w:val="en-GB"/>
              </w:rPr>
              <w:t>Observations</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1133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1133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1295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1295</w:t>
            </w:r>
          </w:p>
        </w:tc>
      </w:tr>
      <w:tr w:rsidR="008A5C3D" w:rsidRPr="00985306" w:rsidTr="00C37B3F">
        <w:tc>
          <w:tcPr>
            <w:tcW w:w="4253" w:type="dxa"/>
            <w:tcBorders>
              <w:top w:val="nil"/>
              <w:left w:val="nil"/>
              <w:bottom w:val="nil"/>
              <w:right w:val="nil"/>
            </w:tcBorders>
            <w:shd w:val="clear" w:color="auto" w:fill="auto"/>
            <w:noWrap/>
            <w:tcMar>
              <w:top w:w="15" w:type="dxa"/>
              <w:left w:w="113" w:type="dxa"/>
              <w:bottom w:w="0" w:type="dxa"/>
              <w:right w:w="113" w:type="dxa"/>
            </w:tcMar>
            <w:hideMark/>
          </w:tcPr>
          <w:p w:rsidR="008A5C3D" w:rsidRPr="009F3065" w:rsidRDefault="009F3065" w:rsidP="00985306">
            <w:pPr>
              <w:pStyle w:val="Tabletext"/>
              <w:rPr>
                <w:color w:val="FFFFFF" w:themeColor="background1"/>
                <w:lang w:val="en-GB"/>
              </w:rPr>
            </w:pPr>
            <w:r w:rsidRPr="009F3065">
              <w:rPr>
                <w:b/>
                <w:color w:val="FFFFFF" w:themeColor="background1"/>
                <w:lang w:val="en-GB"/>
              </w:rPr>
              <w:t>White text</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F3065" w:rsidRDefault="008A5C3D" w:rsidP="00985306">
            <w:pPr>
              <w:pStyle w:val="Tabletext"/>
              <w:rPr>
                <w:color w:val="FFFFFF" w:themeColor="background1"/>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F3065" w:rsidRDefault="008A5C3D" w:rsidP="00985306">
            <w:pPr>
              <w:pStyle w:val="Tabletext"/>
              <w:rPr>
                <w:color w:val="FFFFFF" w:themeColor="background1"/>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F3065" w:rsidRDefault="008A5C3D" w:rsidP="00985306">
            <w:pPr>
              <w:pStyle w:val="Tabletext"/>
              <w:rPr>
                <w:color w:val="FFFFFF" w:themeColor="background1"/>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F3065" w:rsidRDefault="008A5C3D" w:rsidP="00985306">
            <w:pPr>
              <w:pStyle w:val="Tabletext"/>
              <w:rPr>
                <w:color w:val="FFFFFF" w:themeColor="background1"/>
                <w:lang w:val="en-GB"/>
              </w:rPr>
            </w:pPr>
          </w:p>
        </w:tc>
      </w:tr>
      <w:tr w:rsidR="00D45DF2" w:rsidRPr="00985306" w:rsidTr="0029099A">
        <w:tc>
          <w:tcPr>
            <w:tcW w:w="8789" w:type="dxa"/>
            <w:gridSpan w:val="5"/>
            <w:tcBorders>
              <w:top w:val="nil"/>
              <w:left w:val="nil"/>
              <w:bottom w:val="nil"/>
              <w:right w:val="nil"/>
            </w:tcBorders>
            <w:shd w:val="clear" w:color="auto" w:fill="auto"/>
            <w:noWrap/>
            <w:tcMar>
              <w:top w:w="15" w:type="dxa"/>
              <w:left w:w="113" w:type="dxa"/>
              <w:bottom w:w="0" w:type="dxa"/>
              <w:right w:w="113" w:type="dxa"/>
            </w:tcMar>
            <w:hideMark/>
          </w:tcPr>
          <w:p w:rsidR="00D45DF2" w:rsidRPr="009F3065" w:rsidRDefault="009F3065" w:rsidP="00D45DF2">
            <w:pPr>
              <w:pStyle w:val="Tabletext"/>
              <w:spacing w:before="120"/>
              <w:rPr>
                <w:b/>
                <w:color w:val="FFFFFF" w:themeColor="background1"/>
                <w:lang w:val="en-GB"/>
              </w:rPr>
            </w:pPr>
            <w:r w:rsidRPr="009F3065">
              <w:rPr>
                <w:b/>
                <w:color w:val="FFFFFF" w:themeColor="background1"/>
                <w:lang w:val="en-GB"/>
              </w:rPr>
              <w:t>White text</w:t>
            </w:r>
          </w:p>
        </w:tc>
      </w:tr>
      <w:tr w:rsidR="00D45DF2" w:rsidRPr="00985306" w:rsidTr="0029099A">
        <w:tc>
          <w:tcPr>
            <w:tcW w:w="8789" w:type="dxa"/>
            <w:gridSpan w:val="5"/>
            <w:tcBorders>
              <w:top w:val="nil"/>
              <w:left w:val="nil"/>
              <w:bottom w:val="nil"/>
              <w:right w:val="nil"/>
            </w:tcBorders>
            <w:shd w:val="clear" w:color="auto" w:fill="auto"/>
            <w:noWrap/>
            <w:tcMar>
              <w:top w:w="15" w:type="dxa"/>
              <w:left w:w="113" w:type="dxa"/>
              <w:bottom w:w="0" w:type="dxa"/>
              <w:right w:w="113" w:type="dxa"/>
            </w:tcMar>
            <w:hideMark/>
          </w:tcPr>
          <w:p w:rsidR="00D45DF2" w:rsidRPr="00985306" w:rsidRDefault="00D45DF2" w:rsidP="00D45DF2">
            <w:pPr>
              <w:pStyle w:val="Tabletext"/>
              <w:spacing w:before="120"/>
              <w:rPr>
                <w:lang w:val="en-GB"/>
              </w:rPr>
            </w:pPr>
            <w:r w:rsidRPr="00985306">
              <w:rPr>
                <w:b/>
                <w:lang w:val="en-GB"/>
              </w:rPr>
              <w:t>Change in satisfaction with employment opportunities</w:t>
            </w:r>
          </w:p>
        </w:tc>
      </w:tr>
      <w:tr w:rsidR="008A5C3D" w:rsidRPr="00985306" w:rsidTr="00C37B3F">
        <w:tc>
          <w:tcPr>
            <w:tcW w:w="4253"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985306">
            <w:pPr>
              <w:pStyle w:val="Tabletext"/>
              <w:rPr>
                <w:lang w:val="en-GB"/>
              </w:rPr>
            </w:pPr>
            <w:r w:rsidRPr="00985306">
              <w:rPr>
                <w:lang w:val="en-GB"/>
              </w:rPr>
              <w:t>Bachelor and above</w:t>
            </w:r>
          </w:p>
        </w:tc>
        <w:tc>
          <w:tcPr>
            <w:tcW w:w="1134"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-0.711</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-0.121</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0.208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0.627</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(-1.37)</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(-0.24)</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(0.48)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(1.52)</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r w:rsidRPr="00985306">
              <w:rPr>
                <w:lang w:val="en-GB"/>
              </w:rPr>
              <w:t>VET</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-0.0535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-0.129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0.322</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0.547*</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(-0.21)</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(-0.43)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(1.26)</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(1.93)</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085113" w:rsidP="00985306">
            <w:pPr>
              <w:pStyle w:val="Tabletext"/>
              <w:rPr>
                <w:i/>
                <w:iCs/>
                <w:lang w:val="en-GB"/>
              </w:rPr>
            </w:pPr>
            <w:r w:rsidRPr="00985306">
              <w:rPr>
                <w:i/>
                <w:iCs/>
                <w:lang w:val="en-GB"/>
              </w:rPr>
              <w:t>R-squared</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0.065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0.064</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0.057</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0.061</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985306" w:rsidP="00985306">
            <w:pPr>
              <w:pStyle w:val="Tabletext"/>
              <w:rPr>
                <w:i/>
                <w:iCs/>
                <w:lang w:val="en-GB"/>
              </w:rPr>
            </w:pPr>
            <w:r w:rsidRPr="00985306">
              <w:rPr>
                <w:i/>
                <w:iCs/>
                <w:lang w:val="en-GB"/>
              </w:rPr>
              <w:t>Observations</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918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918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935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935</w:t>
            </w:r>
          </w:p>
        </w:tc>
      </w:tr>
      <w:tr w:rsidR="00C37B3F" w:rsidRPr="00985306" w:rsidTr="00C37B3F">
        <w:tc>
          <w:tcPr>
            <w:tcW w:w="4253" w:type="dxa"/>
            <w:tcBorders>
              <w:top w:val="nil"/>
              <w:left w:val="nil"/>
              <w:bottom w:val="nil"/>
              <w:right w:val="nil"/>
            </w:tcBorders>
            <w:shd w:val="clear" w:color="auto" w:fill="auto"/>
            <w:noWrap/>
            <w:tcMar>
              <w:top w:w="15" w:type="dxa"/>
              <w:left w:w="113" w:type="dxa"/>
              <w:bottom w:w="0" w:type="dxa"/>
              <w:right w:w="113" w:type="dxa"/>
            </w:tcMar>
            <w:hideMark/>
          </w:tcPr>
          <w:p w:rsidR="00C37B3F" w:rsidRPr="00985306" w:rsidRDefault="00C37B3F" w:rsidP="00D45DF2">
            <w:pPr>
              <w:pStyle w:val="Tabletext"/>
              <w:spacing w:before="120"/>
              <w:rPr>
                <w:lang w:val="en-GB"/>
              </w:rPr>
            </w:pPr>
            <w:r w:rsidRPr="00985306">
              <w:rPr>
                <w:b/>
                <w:lang w:val="en-GB"/>
              </w:rPr>
              <w:t>Change in occupational status</w:t>
            </w: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c>
          <w:tcPr>
            <w:tcW w:w="1134" w:type="dxa"/>
            <w:tcBorders>
              <w:top w:val="nil"/>
              <w:left w:val="nil"/>
              <w:bottom w:val="nil"/>
              <w:right w:val="nil"/>
            </w:tcBorders>
            <w:shd w:val="clear" w:color="auto" w:fill="auto"/>
          </w:tcPr>
          <w:p w:rsidR="00C37B3F" w:rsidRPr="00985306" w:rsidRDefault="00C37B3F" w:rsidP="00D45DF2">
            <w:pPr>
              <w:pStyle w:val="Tabletext"/>
              <w:spacing w:before="120"/>
              <w:rPr>
                <w:lang w:val="en-GB"/>
              </w:rPr>
            </w:pPr>
          </w:p>
        </w:tc>
      </w:tr>
      <w:tr w:rsidR="008A5C3D" w:rsidRPr="00985306" w:rsidTr="00C37B3F">
        <w:tc>
          <w:tcPr>
            <w:tcW w:w="4253"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985306">
            <w:pPr>
              <w:pStyle w:val="Tabletext"/>
              <w:rPr>
                <w:lang w:val="en-GB"/>
              </w:rPr>
            </w:pPr>
            <w:r w:rsidRPr="00985306">
              <w:rPr>
                <w:lang w:val="en-GB"/>
              </w:rPr>
              <w:t>Bachelor and above</w:t>
            </w:r>
          </w:p>
        </w:tc>
        <w:tc>
          <w:tcPr>
            <w:tcW w:w="1134"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-4.429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-8.792</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1.365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3.588</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(-0.63)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(-0.77)</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(0.35)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(0.73)</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r w:rsidRPr="00985306">
              <w:rPr>
                <w:lang w:val="en-GB"/>
              </w:rPr>
              <w:t>VET</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0.987</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0.741</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0.570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1.592</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(0.53)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(0.34)</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(0.36)</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(0.85)</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085113" w:rsidP="00985306">
            <w:pPr>
              <w:pStyle w:val="Tabletext"/>
              <w:rPr>
                <w:i/>
                <w:iCs/>
                <w:lang w:val="en-GB"/>
              </w:rPr>
            </w:pPr>
            <w:r w:rsidRPr="00985306">
              <w:rPr>
                <w:i/>
                <w:iCs/>
                <w:lang w:val="en-GB"/>
              </w:rPr>
              <w:t>R-squared</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0.065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0.066</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0.059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i/>
                <w:iCs/>
                <w:lang w:val="en-GB"/>
              </w:rPr>
            </w:pPr>
            <w:r w:rsidRPr="00985306">
              <w:rPr>
                <w:i/>
                <w:iCs/>
                <w:lang w:val="en-GB"/>
              </w:rPr>
              <w:t>0.062</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985306" w:rsidP="00985306">
            <w:pPr>
              <w:pStyle w:val="Tabletext"/>
              <w:rPr>
                <w:i/>
                <w:iCs/>
                <w:lang w:val="en-GB"/>
              </w:rPr>
            </w:pPr>
            <w:r w:rsidRPr="00985306">
              <w:rPr>
                <w:i/>
                <w:iCs/>
                <w:lang w:val="en-GB"/>
              </w:rPr>
              <w:t>Observations</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792</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792</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697</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697</w:t>
            </w:r>
          </w:p>
        </w:tc>
      </w:tr>
      <w:tr w:rsidR="00D45DF2" w:rsidRPr="00985306" w:rsidTr="0029099A">
        <w:tc>
          <w:tcPr>
            <w:tcW w:w="8789" w:type="dxa"/>
            <w:gridSpan w:val="5"/>
            <w:tcBorders>
              <w:top w:val="nil"/>
              <w:left w:val="nil"/>
              <w:bottom w:val="nil"/>
              <w:right w:val="nil"/>
            </w:tcBorders>
            <w:shd w:val="clear" w:color="auto" w:fill="auto"/>
            <w:noWrap/>
            <w:tcMar>
              <w:top w:w="15" w:type="dxa"/>
              <w:left w:w="113" w:type="dxa"/>
              <w:bottom w:w="0" w:type="dxa"/>
              <w:right w:w="113" w:type="dxa"/>
            </w:tcMar>
            <w:hideMark/>
          </w:tcPr>
          <w:p w:rsidR="00D45DF2" w:rsidRPr="00985306" w:rsidRDefault="00D45DF2" w:rsidP="00D45DF2">
            <w:pPr>
              <w:pStyle w:val="Tabletext"/>
              <w:spacing w:before="120"/>
              <w:rPr>
                <w:b/>
                <w:lang w:val="en-GB"/>
              </w:rPr>
            </w:pPr>
            <w:r w:rsidRPr="00985306">
              <w:rPr>
                <w:b/>
                <w:lang w:val="en-GB"/>
              </w:rPr>
              <w:t>Probability of employment in wave 9 if employed in wave 1</w:t>
            </w:r>
          </w:p>
        </w:tc>
      </w:tr>
      <w:tr w:rsidR="008A5C3D" w:rsidRPr="00985306" w:rsidTr="00C37B3F">
        <w:tc>
          <w:tcPr>
            <w:tcW w:w="4253"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985306">
            <w:pPr>
              <w:pStyle w:val="Tabletext"/>
              <w:rPr>
                <w:lang w:val="en-GB"/>
              </w:rPr>
            </w:pPr>
            <w:r w:rsidRPr="00985306">
              <w:rPr>
                <w:lang w:val="en-GB"/>
              </w:rPr>
              <w:t>Bachelor and above</w:t>
            </w:r>
          </w:p>
        </w:tc>
        <w:tc>
          <w:tcPr>
            <w:tcW w:w="1134"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0.0270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-0.0151</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-0.0362</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-0.0489</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(0.44)</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(-0.17)</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(-0.43)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(-0.37)</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r w:rsidRPr="00985306">
              <w:rPr>
                <w:lang w:val="en-GB"/>
              </w:rPr>
              <w:t>VET</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0.0760***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0.0727***</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0.0288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0.0222</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(3.24)</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(2.84)</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(0.89)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(0.61)</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985306" w:rsidP="00985306">
            <w:pPr>
              <w:pStyle w:val="Tabletext"/>
              <w:rPr>
                <w:i/>
                <w:iCs/>
                <w:lang w:val="en-GB"/>
              </w:rPr>
            </w:pPr>
            <w:r w:rsidRPr="00985306">
              <w:rPr>
                <w:i/>
                <w:iCs/>
                <w:lang w:val="en-GB"/>
              </w:rPr>
              <w:t>Observations</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953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953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898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898</w:t>
            </w:r>
          </w:p>
        </w:tc>
      </w:tr>
      <w:tr w:rsidR="00D45DF2" w:rsidRPr="00985306" w:rsidTr="0029099A">
        <w:tc>
          <w:tcPr>
            <w:tcW w:w="8789" w:type="dxa"/>
            <w:gridSpan w:val="5"/>
            <w:tcBorders>
              <w:top w:val="nil"/>
              <w:left w:val="nil"/>
              <w:bottom w:val="nil"/>
              <w:right w:val="nil"/>
            </w:tcBorders>
            <w:shd w:val="clear" w:color="auto" w:fill="auto"/>
            <w:noWrap/>
            <w:tcMar>
              <w:top w:w="15" w:type="dxa"/>
              <w:left w:w="113" w:type="dxa"/>
              <w:bottom w:w="0" w:type="dxa"/>
              <w:right w:w="113" w:type="dxa"/>
            </w:tcMar>
            <w:hideMark/>
          </w:tcPr>
          <w:p w:rsidR="00D45DF2" w:rsidRPr="00985306" w:rsidRDefault="00D45DF2" w:rsidP="00D45DF2">
            <w:pPr>
              <w:pStyle w:val="Tabletext"/>
              <w:spacing w:before="120"/>
              <w:rPr>
                <w:b/>
                <w:lang w:val="en-GB"/>
              </w:rPr>
            </w:pPr>
            <w:r w:rsidRPr="00985306">
              <w:rPr>
                <w:b/>
                <w:lang w:val="en-GB"/>
              </w:rPr>
              <w:t>Probability of employment in wave 9 if not employed in wave 1</w:t>
            </w:r>
          </w:p>
        </w:tc>
      </w:tr>
      <w:tr w:rsidR="008A5C3D" w:rsidRPr="00985306" w:rsidTr="00C37B3F">
        <w:tc>
          <w:tcPr>
            <w:tcW w:w="4253"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985306">
            <w:pPr>
              <w:pStyle w:val="Tabletext"/>
              <w:rPr>
                <w:lang w:val="en-GB"/>
              </w:rPr>
            </w:pPr>
            <w:r w:rsidRPr="00985306">
              <w:rPr>
                <w:lang w:val="en-GB"/>
              </w:rPr>
              <w:t>Bachelor and above</w:t>
            </w:r>
          </w:p>
        </w:tc>
        <w:tc>
          <w:tcPr>
            <w:tcW w:w="1134"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-0.0311</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 xml:space="preserve">0.290   </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 xml:space="preserve">(1.04)   </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r w:rsidRPr="00985306">
              <w:rPr>
                <w:lang w:val="en-GB"/>
              </w:rPr>
              <w:t>VET</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0.203**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0.146</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0.290***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0.304***</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(2.12)</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(1.47)</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(3.85)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 xml:space="preserve">(3.30)   </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985306" w:rsidP="00985306">
            <w:pPr>
              <w:pStyle w:val="Tabletext"/>
              <w:rPr>
                <w:i/>
                <w:iCs/>
                <w:lang w:val="en-GB"/>
              </w:rPr>
            </w:pPr>
            <w:r w:rsidRPr="00985306">
              <w:rPr>
                <w:i/>
                <w:iCs/>
                <w:lang w:val="en-GB"/>
              </w:rPr>
              <w:t>Observations</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174</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175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387</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387</w:t>
            </w:r>
          </w:p>
        </w:tc>
      </w:tr>
      <w:tr w:rsidR="00D45DF2" w:rsidRPr="00985306" w:rsidTr="0029099A">
        <w:tc>
          <w:tcPr>
            <w:tcW w:w="8789" w:type="dxa"/>
            <w:gridSpan w:val="5"/>
            <w:tcBorders>
              <w:top w:val="nil"/>
              <w:left w:val="nil"/>
              <w:bottom w:val="nil"/>
              <w:right w:val="nil"/>
            </w:tcBorders>
            <w:shd w:val="clear" w:color="auto" w:fill="auto"/>
            <w:noWrap/>
            <w:tcMar>
              <w:top w:w="15" w:type="dxa"/>
              <w:left w:w="113" w:type="dxa"/>
              <w:bottom w:w="0" w:type="dxa"/>
              <w:right w:w="113" w:type="dxa"/>
            </w:tcMar>
            <w:hideMark/>
          </w:tcPr>
          <w:p w:rsidR="00D45DF2" w:rsidRPr="00985306" w:rsidRDefault="00D45DF2" w:rsidP="00D45DF2">
            <w:pPr>
              <w:pStyle w:val="Tabletext"/>
              <w:spacing w:before="120"/>
              <w:rPr>
                <w:b/>
                <w:lang w:val="en-GB"/>
              </w:rPr>
            </w:pPr>
            <w:r w:rsidRPr="00985306">
              <w:rPr>
                <w:b/>
                <w:lang w:val="en-GB"/>
              </w:rPr>
              <w:t>Probability of permanent employment in wave 9 if in permanent employment in wave 1</w:t>
            </w:r>
          </w:p>
        </w:tc>
      </w:tr>
      <w:tr w:rsidR="008A5C3D" w:rsidRPr="00985306" w:rsidTr="00C37B3F">
        <w:tc>
          <w:tcPr>
            <w:tcW w:w="4253"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985306">
            <w:pPr>
              <w:pStyle w:val="Tabletext"/>
              <w:rPr>
                <w:lang w:val="en-GB"/>
              </w:rPr>
            </w:pPr>
            <w:r w:rsidRPr="00985306">
              <w:rPr>
                <w:lang w:val="en-GB"/>
              </w:rPr>
              <w:t>Bachelor and above</w:t>
            </w:r>
          </w:p>
        </w:tc>
        <w:tc>
          <w:tcPr>
            <w:tcW w:w="1134"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-0.0807</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-0.0451</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0.0394</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0.103*</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(-0.70)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(-0.33)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(0.65)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(1.94)</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r w:rsidRPr="00985306">
              <w:rPr>
                <w:lang w:val="en-GB"/>
              </w:rPr>
              <w:t>VET</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-0.161***</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-0.139**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-0.0487</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-0.0229</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(-2.76)</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(-2.20)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(-0.95)</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(-0.39)</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985306" w:rsidP="00985306">
            <w:pPr>
              <w:pStyle w:val="Tabletext"/>
              <w:rPr>
                <w:i/>
                <w:iCs/>
                <w:lang w:val="en-GB"/>
              </w:rPr>
            </w:pPr>
            <w:r w:rsidRPr="00985306">
              <w:rPr>
                <w:i/>
                <w:iCs/>
                <w:lang w:val="en-GB"/>
              </w:rPr>
              <w:t>Observations</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432</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432</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399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399</w:t>
            </w:r>
          </w:p>
        </w:tc>
      </w:tr>
      <w:tr w:rsidR="00D45DF2" w:rsidRPr="00985306" w:rsidTr="0029099A">
        <w:tc>
          <w:tcPr>
            <w:tcW w:w="8789" w:type="dxa"/>
            <w:gridSpan w:val="5"/>
            <w:tcBorders>
              <w:top w:val="nil"/>
              <w:left w:val="nil"/>
              <w:bottom w:val="nil"/>
              <w:right w:val="nil"/>
            </w:tcBorders>
            <w:shd w:val="clear" w:color="auto" w:fill="auto"/>
            <w:noWrap/>
            <w:tcMar>
              <w:top w:w="15" w:type="dxa"/>
              <w:left w:w="113" w:type="dxa"/>
              <w:bottom w:w="0" w:type="dxa"/>
              <w:right w:w="113" w:type="dxa"/>
            </w:tcMar>
            <w:hideMark/>
          </w:tcPr>
          <w:p w:rsidR="00D45DF2" w:rsidRPr="00985306" w:rsidRDefault="00D45DF2" w:rsidP="00D45DF2">
            <w:pPr>
              <w:pStyle w:val="Tabletext"/>
              <w:spacing w:before="120"/>
              <w:rPr>
                <w:b/>
                <w:lang w:val="en-GB"/>
              </w:rPr>
            </w:pPr>
            <w:r w:rsidRPr="00985306">
              <w:rPr>
                <w:b/>
                <w:lang w:val="en-GB"/>
              </w:rPr>
              <w:t>Probability of permanent employment in wave 9 if not in permanent employment in wave 1</w:t>
            </w:r>
          </w:p>
        </w:tc>
      </w:tr>
      <w:tr w:rsidR="008A5C3D" w:rsidRPr="00985306" w:rsidTr="00C37B3F">
        <w:tc>
          <w:tcPr>
            <w:tcW w:w="4253"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985306">
            <w:pPr>
              <w:pStyle w:val="Tabletext"/>
              <w:rPr>
                <w:lang w:val="en-GB"/>
              </w:rPr>
            </w:pPr>
            <w:r w:rsidRPr="00985306">
              <w:rPr>
                <w:lang w:val="en-GB"/>
              </w:rPr>
              <w:t>Bachelor and above</w:t>
            </w:r>
          </w:p>
        </w:tc>
        <w:tc>
          <w:tcPr>
            <w:tcW w:w="1134"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-0.269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-0.252</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0.173</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0.0175</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(-1.54)</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(-1.09)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(1.04)</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(0.08)</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r w:rsidRPr="00985306">
              <w:rPr>
                <w:lang w:val="en-GB"/>
              </w:rPr>
              <w:t>VET</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0.0439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0.0520</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0.00869</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-0.111</w:t>
            </w:r>
          </w:p>
        </w:tc>
      </w:tr>
      <w:tr w:rsidR="008A5C3D" w:rsidRPr="00985306" w:rsidTr="00C37B3F">
        <w:tc>
          <w:tcPr>
            <w:tcW w:w="4253" w:type="dxa"/>
            <w:tcBorders>
              <w:top w:val="nil"/>
              <w:left w:val="nil"/>
              <w:bottom w:val="nil"/>
              <w:right w:val="nil"/>
            </w:tcBorders>
            <w:shd w:val="clear" w:color="auto" w:fill="auto"/>
            <w:noWrap/>
            <w:tcMar>
              <w:top w:w="17" w:type="dxa"/>
              <w:left w:w="113" w:type="dxa"/>
              <w:bottom w:w="0" w:type="dxa"/>
              <w:right w:w="113" w:type="dxa"/>
            </w:tcMar>
            <w:hideMark/>
          </w:tcPr>
          <w:p w:rsidR="008A5C3D" w:rsidRPr="00985306" w:rsidRDefault="008A5C3D" w:rsidP="00985306">
            <w:pPr>
              <w:pStyle w:val="Tabletext"/>
              <w:rPr>
                <w:lang w:val="en-GB"/>
              </w:rPr>
            </w:pP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(0.37)</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(0.37)</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(0.08)</w:t>
            </w:r>
          </w:p>
        </w:tc>
        <w:tc>
          <w:tcPr>
            <w:tcW w:w="1134" w:type="dxa"/>
            <w:tcBorders>
              <w:top w:val="nil"/>
              <w:left w:val="nil"/>
              <w:bottom w:val="nil"/>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tabs>
                <w:tab w:val="decimal" w:pos="340"/>
              </w:tabs>
              <w:rPr>
                <w:lang w:val="en-GB"/>
              </w:rPr>
            </w:pPr>
            <w:r w:rsidRPr="00985306">
              <w:rPr>
                <w:lang w:val="en-GB"/>
              </w:rPr>
              <w:t>(-0.94)</w:t>
            </w:r>
          </w:p>
        </w:tc>
      </w:tr>
      <w:tr w:rsidR="008A5C3D" w:rsidRPr="00985306" w:rsidTr="00C37B3F">
        <w:tc>
          <w:tcPr>
            <w:tcW w:w="4253" w:type="dxa"/>
            <w:tcBorders>
              <w:top w:val="nil"/>
              <w:left w:val="nil"/>
              <w:bottom w:val="single" w:sz="4" w:space="0" w:color="auto"/>
              <w:right w:val="nil"/>
            </w:tcBorders>
            <w:shd w:val="clear" w:color="auto" w:fill="auto"/>
            <w:noWrap/>
            <w:tcMar>
              <w:top w:w="17" w:type="dxa"/>
              <w:left w:w="113" w:type="dxa"/>
              <w:bottom w:w="0" w:type="dxa"/>
              <w:right w:w="113" w:type="dxa"/>
            </w:tcMar>
            <w:hideMark/>
          </w:tcPr>
          <w:p w:rsidR="008A5C3D" w:rsidRPr="00985306" w:rsidRDefault="00985306" w:rsidP="00985306">
            <w:pPr>
              <w:pStyle w:val="Tabletext"/>
              <w:rPr>
                <w:i/>
                <w:iCs/>
                <w:lang w:val="en-GB"/>
              </w:rPr>
            </w:pPr>
            <w:r w:rsidRPr="00985306">
              <w:rPr>
                <w:i/>
                <w:iCs/>
                <w:lang w:val="en-GB"/>
              </w:rPr>
              <w:t>Observations</w:t>
            </w:r>
          </w:p>
        </w:tc>
        <w:tc>
          <w:tcPr>
            <w:tcW w:w="1134" w:type="dxa"/>
            <w:tcBorders>
              <w:top w:val="nil"/>
              <w:left w:val="nil"/>
              <w:bottom w:val="single" w:sz="4" w:space="0" w:color="auto"/>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142</w:t>
            </w:r>
          </w:p>
        </w:tc>
        <w:tc>
          <w:tcPr>
            <w:tcW w:w="1134" w:type="dxa"/>
            <w:tcBorders>
              <w:top w:val="nil"/>
              <w:left w:val="nil"/>
              <w:bottom w:val="single" w:sz="4" w:space="0" w:color="auto"/>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142</w:t>
            </w:r>
          </w:p>
        </w:tc>
        <w:tc>
          <w:tcPr>
            <w:tcW w:w="1134" w:type="dxa"/>
            <w:tcBorders>
              <w:top w:val="nil"/>
              <w:left w:val="nil"/>
              <w:bottom w:val="single" w:sz="4" w:space="0" w:color="auto"/>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183</w:t>
            </w:r>
          </w:p>
        </w:tc>
        <w:tc>
          <w:tcPr>
            <w:tcW w:w="1134" w:type="dxa"/>
            <w:tcBorders>
              <w:top w:val="nil"/>
              <w:left w:val="nil"/>
              <w:bottom w:val="single" w:sz="4" w:space="0" w:color="auto"/>
              <w:right w:val="nil"/>
            </w:tcBorders>
            <w:shd w:val="clear" w:color="auto" w:fill="auto"/>
            <w:noWrap/>
            <w:tcMar>
              <w:top w:w="15" w:type="dxa"/>
              <w:left w:w="113" w:type="dxa"/>
              <w:bottom w:w="0" w:type="dxa"/>
              <w:right w:w="113" w:type="dxa"/>
            </w:tcMar>
            <w:hideMark/>
          </w:tcPr>
          <w:p w:rsidR="008A5C3D" w:rsidRPr="00985306" w:rsidRDefault="008A5C3D" w:rsidP="00C37B3F">
            <w:pPr>
              <w:pStyle w:val="Tabletext"/>
              <w:jc w:val="center"/>
              <w:rPr>
                <w:i/>
                <w:iCs/>
                <w:lang w:val="en-GB"/>
              </w:rPr>
            </w:pPr>
            <w:r w:rsidRPr="00985306">
              <w:rPr>
                <w:i/>
                <w:iCs/>
                <w:lang w:val="en-GB"/>
              </w:rPr>
              <w:t>183</w:t>
            </w:r>
          </w:p>
        </w:tc>
      </w:tr>
    </w:tbl>
    <w:p w:rsidR="00BB3AAD" w:rsidRPr="00C37B3F" w:rsidRDefault="00C37B3F" w:rsidP="00C37B3F">
      <w:pPr>
        <w:pStyle w:val="Source"/>
      </w:pPr>
      <w:r>
        <w:rPr>
          <w:lang w:val="en-GB"/>
        </w:rPr>
        <w:t>Note:</w:t>
      </w:r>
      <w:r>
        <w:rPr>
          <w:lang w:val="en-GB"/>
        </w:rPr>
        <w:tab/>
      </w:r>
      <w:r w:rsidR="00BB3AAD" w:rsidRPr="00B07B55">
        <w:rPr>
          <w:lang w:val="en-GB"/>
        </w:rPr>
        <w:t xml:space="preserve">Annual </w:t>
      </w:r>
      <w:r w:rsidR="00BB3AAD" w:rsidRPr="00C37B3F">
        <w:t>individual disposable income (in thousands o</w:t>
      </w:r>
      <w:r w:rsidR="00BC6AF9" w:rsidRPr="00C37B3F">
        <w:t xml:space="preserve">f dollars); </w:t>
      </w:r>
      <w:r w:rsidR="004A14A5" w:rsidRPr="00C37B3F">
        <w:t xml:space="preserve">job </w:t>
      </w:r>
      <w:r w:rsidR="00BC6AF9" w:rsidRPr="00C37B3F">
        <w:t xml:space="preserve">satisfaction: 0–10 </w:t>
      </w:r>
      <w:r w:rsidR="004A14A5" w:rsidRPr="00C37B3F">
        <w:t>scale</w:t>
      </w:r>
      <w:r w:rsidR="00BC6AF9" w:rsidRPr="00C37B3F">
        <w:t xml:space="preserve">; </w:t>
      </w:r>
      <w:r w:rsidR="004A14A5" w:rsidRPr="00C37B3F">
        <w:t xml:space="preserve">skills </w:t>
      </w:r>
      <w:r w:rsidR="00BC6AF9" w:rsidRPr="00C37B3F">
        <w:t>utilisation: 1–</w:t>
      </w:r>
      <w:r w:rsidR="00BB3AAD" w:rsidRPr="00C37B3F">
        <w:t>7</w:t>
      </w:r>
      <w:r>
        <w:br/>
      </w:r>
      <w:r w:rsidR="00BB3AAD" w:rsidRPr="00C37B3F">
        <w:t xml:space="preserve">t-statistics into brackets; </w:t>
      </w:r>
      <w:r w:rsidR="004A14A5" w:rsidRPr="00C37B3F">
        <w:t xml:space="preserve">significance </w:t>
      </w:r>
      <w:r w:rsidR="00BB3AAD" w:rsidRPr="00C37B3F">
        <w:t>levels: * 10%, ** 5%, *** 1%.</w:t>
      </w:r>
      <w:r>
        <w:br/>
      </w:r>
      <w:r w:rsidR="00BB3AAD" w:rsidRPr="00C37B3F">
        <w:t>Coefficients estimated using adjusted weights. t-statistics based on White standard errors.</w:t>
      </w:r>
    </w:p>
    <w:p w:rsidR="002F16A8" w:rsidRDefault="00C37B3F" w:rsidP="00C37B3F">
      <w:pPr>
        <w:pStyle w:val="Source"/>
        <w:rPr>
          <w:lang w:val="en-GB"/>
        </w:rPr>
      </w:pPr>
      <w:r>
        <w:t>Source:</w:t>
      </w:r>
      <w:r>
        <w:tab/>
      </w:r>
      <w:r w:rsidR="000476BC" w:rsidRPr="00C37B3F">
        <w:t>HILDA</w:t>
      </w:r>
      <w:r w:rsidR="002F16A8" w:rsidRPr="00C37B3F">
        <w:t xml:space="preserve"> data</w:t>
      </w:r>
      <w:r w:rsidR="002F16A8">
        <w:rPr>
          <w:lang w:val="en-GB"/>
        </w:rPr>
        <w:t>.</w:t>
      </w:r>
    </w:p>
    <w:p w:rsidR="00C37B3F" w:rsidRDefault="00C37B3F">
      <w:pPr>
        <w:spacing w:before="0" w:line="240" w:lineRule="auto"/>
        <w:rPr>
          <w:rFonts w:ascii="Tahoma" w:hAnsi="Tahoma"/>
          <w:b/>
          <w:sz w:val="17"/>
          <w:lang w:val="en-GB"/>
        </w:rPr>
      </w:pPr>
      <w:bookmarkStart w:id="101" w:name="_Toc311576136"/>
      <w:bookmarkStart w:id="102" w:name="OLE_LINK1"/>
      <w:r>
        <w:rPr>
          <w:lang w:val="en-GB"/>
        </w:rPr>
        <w:br w:type="page"/>
      </w:r>
    </w:p>
    <w:p w:rsidR="005E04BA" w:rsidRPr="00B07B55" w:rsidRDefault="005E04BA" w:rsidP="0029099A">
      <w:pPr>
        <w:pStyle w:val="tabletitle"/>
        <w:rPr>
          <w:lang w:val="en-GB"/>
        </w:rPr>
      </w:pPr>
      <w:bookmarkStart w:id="103" w:name="_Toc334021193"/>
      <w:r w:rsidRPr="00DA100E">
        <w:rPr>
          <w:lang w:val="en-GB"/>
        </w:rPr>
        <w:t>Table B</w:t>
      </w:r>
      <w:r w:rsidR="00E35004" w:rsidRPr="00DA100E">
        <w:rPr>
          <w:lang w:val="en-GB"/>
        </w:rPr>
        <w:t>3</w:t>
      </w:r>
      <w:r w:rsidRPr="00DA100E">
        <w:rPr>
          <w:lang w:val="en-GB"/>
        </w:rPr>
        <w:tab/>
      </w:r>
      <w:r w:rsidR="000C48ED" w:rsidRPr="00DA100E">
        <w:rPr>
          <w:lang w:val="en-GB"/>
        </w:rPr>
        <w:t xml:space="preserve">Descriptive statistics, explanatory </w:t>
      </w:r>
      <w:r w:rsidR="000C48ED" w:rsidRPr="0029099A">
        <w:t>variables</w:t>
      </w:r>
      <w:r w:rsidR="0029099A">
        <w:rPr>
          <w:lang w:val="en-GB"/>
        </w:rPr>
        <w:t>:</w:t>
      </w:r>
      <w:r w:rsidR="000C48ED" w:rsidRPr="00DA100E">
        <w:rPr>
          <w:lang w:val="en-GB"/>
        </w:rPr>
        <w:t xml:space="preserve"> </w:t>
      </w:r>
      <w:r w:rsidR="00BC6AF9" w:rsidRPr="00DA100E">
        <w:rPr>
          <w:lang w:val="en-GB"/>
        </w:rPr>
        <w:t>British survey</w:t>
      </w:r>
      <w:r w:rsidR="000C48ED" w:rsidRPr="00DA100E">
        <w:rPr>
          <w:lang w:val="en-GB"/>
        </w:rPr>
        <w:t xml:space="preserve"> and HILDA</w:t>
      </w:r>
      <w:bookmarkEnd w:id="101"/>
      <w:bookmarkEnd w:id="103"/>
    </w:p>
    <w:tbl>
      <w:tblPr>
        <w:tblW w:w="8789" w:type="dxa"/>
        <w:tblInd w:w="113" w:type="dxa"/>
        <w:tblLayout w:type="fixed"/>
        <w:tblCellMar>
          <w:left w:w="113" w:type="dxa"/>
          <w:right w:w="113" w:type="dxa"/>
        </w:tblCellMar>
        <w:tblLook w:val="04A0"/>
      </w:tblPr>
      <w:tblGrid>
        <w:gridCol w:w="3969"/>
        <w:gridCol w:w="1205"/>
        <w:gridCol w:w="1205"/>
        <w:gridCol w:w="1205"/>
        <w:gridCol w:w="1205"/>
      </w:tblGrid>
      <w:tr w:rsidR="0029099A" w:rsidRPr="00B07B55" w:rsidTr="0029099A">
        <w:tc>
          <w:tcPr>
            <w:tcW w:w="3969" w:type="dxa"/>
            <w:tcBorders>
              <w:top w:val="single" w:sz="8" w:space="0" w:color="auto"/>
              <w:left w:val="nil"/>
              <w:bottom w:val="single" w:sz="8" w:space="0" w:color="auto"/>
              <w:right w:val="nil"/>
            </w:tcBorders>
            <w:shd w:val="clear" w:color="auto" w:fill="auto"/>
            <w:noWrap/>
            <w:tcMar>
              <w:top w:w="0" w:type="dxa"/>
              <w:left w:w="113" w:type="dxa"/>
              <w:bottom w:w="0" w:type="dxa"/>
              <w:right w:w="113" w:type="dxa"/>
            </w:tcMar>
            <w:hideMark/>
          </w:tcPr>
          <w:bookmarkEnd w:id="102"/>
          <w:p w:rsidR="0029099A" w:rsidRPr="00B07B55" w:rsidRDefault="0029099A" w:rsidP="0029099A">
            <w:pPr>
              <w:pStyle w:val="Tablehead1"/>
              <w:rPr>
                <w:lang w:val="en-GB"/>
              </w:rPr>
            </w:pPr>
            <w:r w:rsidRPr="00B07B55">
              <w:rPr>
                <w:lang w:val="en-GB"/>
              </w:rPr>
              <w:t> </w:t>
            </w:r>
          </w:p>
        </w:tc>
        <w:tc>
          <w:tcPr>
            <w:tcW w:w="2410" w:type="dxa"/>
            <w:gridSpan w:val="2"/>
            <w:tcBorders>
              <w:top w:val="single" w:sz="8" w:space="0" w:color="auto"/>
              <w:left w:val="nil"/>
              <w:bottom w:val="single" w:sz="8" w:space="0" w:color="auto"/>
              <w:right w:val="nil"/>
            </w:tcBorders>
            <w:shd w:val="clear" w:color="auto" w:fill="auto"/>
            <w:noWrap/>
            <w:tcMar>
              <w:top w:w="0" w:type="dxa"/>
              <w:left w:w="113" w:type="dxa"/>
              <w:bottom w:w="0" w:type="dxa"/>
              <w:right w:w="113" w:type="dxa"/>
            </w:tcMar>
            <w:hideMark/>
          </w:tcPr>
          <w:p w:rsidR="0029099A" w:rsidRPr="00B07B55" w:rsidRDefault="0029099A" w:rsidP="0029099A">
            <w:pPr>
              <w:pStyle w:val="Tablehead1"/>
              <w:jc w:val="center"/>
              <w:rPr>
                <w:rFonts w:cs="Arial"/>
                <w:bCs/>
                <w:szCs w:val="17"/>
                <w:lang w:val="en-GB"/>
              </w:rPr>
            </w:pPr>
            <w:r w:rsidRPr="00B07B55">
              <w:rPr>
                <w:rFonts w:cs="Arial"/>
                <w:bCs/>
                <w:szCs w:val="17"/>
                <w:lang w:val="en-GB"/>
              </w:rPr>
              <w:t>Great Britain</w:t>
            </w:r>
          </w:p>
        </w:tc>
        <w:tc>
          <w:tcPr>
            <w:tcW w:w="2410" w:type="dxa"/>
            <w:gridSpan w:val="2"/>
            <w:tcBorders>
              <w:top w:val="single" w:sz="8" w:space="0" w:color="auto"/>
              <w:left w:val="nil"/>
              <w:bottom w:val="single" w:sz="8" w:space="0" w:color="auto"/>
              <w:right w:val="nil"/>
            </w:tcBorders>
            <w:shd w:val="clear" w:color="auto" w:fill="auto"/>
            <w:noWrap/>
            <w:tcMar>
              <w:top w:w="0" w:type="dxa"/>
              <w:left w:w="113" w:type="dxa"/>
              <w:bottom w:w="0" w:type="dxa"/>
              <w:right w:w="113" w:type="dxa"/>
            </w:tcMar>
            <w:hideMark/>
          </w:tcPr>
          <w:p w:rsidR="0029099A" w:rsidRPr="00B07B55" w:rsidRDefault="0029099A" w:rsidP="0029099A">
            <w:pPr>
              <w:pStyle w:val="Tablehead1"/>
              <w:jc w:val="center"/>
              <w:rPr>
                <w:lang w:val="en-GB"/>
              </w:rPr>
            </w:pPr>
            <w:r w:rsidRPr="00B07B55">
              <w:rPr>
                <w:rFonts w:cs="Arial"/>
                <w:bCs/>
                <w:szCs w:val="17"/>
                <w:lang w:val="en-GB"/>
              </w:rPr>
              <w:t>Australia</w:t>
            </w:r>
          </w:p>
        </w:tc>
      </w:tr>
      <w:tr w:rsidR="00443CDE" w:rsidRPr="00BD7C17" w:rsidTr="00CA1053">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D7C17" w:rsidRDefault="004A14A5" w:rsidP="0029099A">
            <w:pPr>
              <w:pStyle w:val="Tabletext"/>
              <w:rPr>
                <w:i/>
                <w:lang w:val="en-GB"/>
              </w:rPr>
            </w:pPr>
            <w:r w:rsidRPr="00BD7C17">
              <w:rPr>
                <w:i/>
                <w:lang w:val="en-GB"/>
              </w:rPr>
              <w:t>Observations</w:t>
            </w:r>
          </w:p>
        </w:tc>
        <w:tc>
          <w:tcPr>
            <w:tcW w:w="2410" w:type="dxa"/>
            <w:gridSpan w:val="2"/>
            <w:tcBorders>
              <w:top w:val="single" w:sz="8" w:space="0" w:color="auto"/>
              <w:left w:val="nil"/>
              <w:bottom w:val="nil"/>
              <w:right w:val="nil"/>
            </w:tcBorders>
            <w:shd w:val="clear" w:color="auto" w:fill="auto"/>
            <w:noWrap/>
            <w:tcMar>
              <w:top w:w="0" w:type="dxa"/>
              <w:left w:w="113" w:type="dxa"/>
              <w:bottom w:w="0" w:type="dxa"/>
              <w:right w:w="113" w:type="dxa"/>
            </w:tcMar>
            <w:hideMark/>
          </w:tcPr>
          <w:p w:rsidR="00443CDE" w:rsidRPr="00BD7C17" w:rsidRDefault="00443CDE" w:rsidP="00CA1053">
            <w:pPr>
              <w:pStyle w:val="Tabletext"/>
              <w:jc w:val="center"/>
              <w:rPr>
                <w:i/>
                <w:lang w:val="en-GB"/>
              </w:rPr>
            </w:pPr>
            <w:r w:rsidRPr="00BD7C17">
              <w:rPr>
                <w:i/>
                <w:lang w:val="en-GB"/>
              </w:rPr>
              <w:t>5635</w:t>
            </w:r>
          </w:p>
        </w:tc>
        <w:tc>
          <w:tcPr>
            <w:tcW w:w="2410" w:type="dxa"/>
            <w:gridSpan w:val="2"/>
            <w:tcBorders>
              <w:top w:val="single" w:sz="8" w:space="0" w:color="auto"/>
              <w:left w:val="nil"/>
              <w:bottom w:val="nil"/>
              <w:right w:val="nil"/>
            </w:tcBorders>
            <w:shd w:val="clear" w:color="auto" w:fill="auto"/>
            <w:noWrap/>
            <w:tcMar>
              <w:top w:w="0" w:type="dxa"/>
              <w:left w:w="113" w:type="dxa"/>
              <w:bottom w:w="0" w:type="dxa"/>
              <w:right w:w="113" w:type="dxa"/>
            </w:tcMar>
            <w:hideMark/>
          </w:tcPr>
          <w:p w:rsidR="00443CDE" w:rsidRPr="00BD7C17" w:rsidRDefault="00443CDE" w:rsidP="00CA1053">
            <w:pPr>
              <w:pStyle w:val="Tabletext"/>
              <w:jc w:val="center"/>
              <w:rPr>
                <w:i/>
                <w:lang w:val="en-GB"/>
              </w:rPr>
            </w:pPr>
            <w:r w:rsidRPr="00BD7C17">
              <w:rPr>
                <w:i/>
                <w:lang w:val="en-GB"/>
              </w:rPr>
              <w:t>5248</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29099A">
            <w:pPr>
              <w:pStyle w:val="Tabletext"/>
              <w:rPr>
                <w:lang w:val="en-GB"/>
              </w:rPr>
            </w:pPr>
            <w:r w:rsidRPr="00B07B55">
              <w:rPr>
                <w:lang w:val="en-GB"/>
              </w:rPr>
              <w:t>Male individuals</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44.77%</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45.83%</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29099A">
            <w:pPr>
              <w:pStyle w:val="Tabletext"/>
              <w:spacing w:before="120"/>
              <w:rPr>
                <w:lang w:val="en-GB"/>
              </w:rPr>
            </w:pPr>
            <w:r w:rsidRPr="00B07B55">
              <w:rPr>
                <w:lang w:val="en-GB"/>
              </w:rPr>
              <w:t>Average age</w:t>
            </w: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510"/>
              </w:tabs>
              <w:spacing w:before="120"/>
              <w:rPr>
                <w:lang w:val="en-GB"/>
              </w:rPr>
            </w:pPr>
            <w:r w:rsidRPr="00B07B55">
              <w:rPr>
                <w:lang w:val="en-GB"/>
              </w:rPr>
              <w:t>40.95</w:t>
            </w: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397"/>
              </w:tabs>
              <w:spacing w:before="120"/>
              <w:rPr>
                <w:i/>
                <w:iCs/>
                <w:lang w:val="en-GB"/>
              </w:rPr>
            </w:pPr>
            <w:r w:rsidRPr="00B07B55">
              <w:rPr>
                <w:i/>
                <w:iCs/>
                <w:lang w:val="en-GB"/>
              </w:rPr>
              <w:t>(9.14)</w:t>
            </w: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510"/>
              </w:tabs>
              <w:spacing w:before="120"/>
              <w:rPr>
                <w:lang w:val="en-GB"/>
              </w:rPr>
            </w:pPr>
            <w:r w:rsidRPr="00B07B55">
              <w:rPr>
                <w:lang w:val="en-GB"/>
              </w:rPr>
              <w:t>40.83</w:t>
            </w: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397"/>
              </w:tabs>
              <w:spacing w:before="120"/>
              <w:rPr>
                <w:i/>
                <w:iCs/>
                <w:lang w:val="en-GB"/>
              </w:rPr>
            </w:pPr>
            <w:r w:rsidRPr="00B07B55">
              <w:rPr>
                <w:i/>
                <w:iCs/>
                <w:lang w:val="en-GB"/>
              </w:rPr>
              <w:t>(8.94)</w:t>
            </w:r>
          </w:p>
        </w:tc>
      </w:tr>
      <w:tr w:rsidR="00443CDE" w:rsidRPr="0029099A"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D7C17" w:rsidRDefault="00443CDE" w:rsidP="00CA1053">
            <w:pPr>
              <w:pStyle w:val="Tabletext"/>
              <w:spacing w:before="120"/>
              <w:rPr>
                <w:szCs w:val="16"/>
              </w:rPr>
            </w:pPr>
            <w:r w:rsidRPr="00BD7C17">
              <w:rPr>
                <w:szCs w:val="16"/>
              </w:rPr>
              <w:t>Education levels</w:t>
            </w: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rPr>
                <w:i/>
                <w:szCs w:val="22"/>
              </w:rPr>
            </w:pP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rPr>
                <w:i/>
                <w:szCs w:val="22"/>
              </w:rPr>
            </w:pP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rPr>
                <w:i/>
                <w:szCs w:val="22"/>
              </w:rPr>
            </w:pP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rPr>
                <w:i/>
                <w:szCs w:val="22"/>
              </w:rPr>
            </w:pP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BD7C17">
            <w:pPr>
              <w:pStyle w:val="Tabletext"/>
              <w:ind w:left="227"/>
              <w:rPr>
                <w:lang w:val="en-GB"/>
              </w:rPr>
            </w:pPr>
            <w:r w:rsidRPr="00B07B55">
              <w:rPr>
                <w:lang w:val="en-GB"/>
              </w:rPr>
              <w:t>Education: primary</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16.59%</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7.80%</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BD7C17">
            <w:pPr>
              <w:pStyle w:val="Tabletext"/>
              <w:ind w:left="227"/>
              <w:rPr>
                <w:lang w:val="en-GB"/>
              </w:rPr>
            </w:pPr>
            <w:r w:rsidRPr="00B07B55">
              <w:rPr>
                <w:lang w:val="en-GB"/>
              </w:rPr>
              <w:t>Education: low intermediate</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2.59%</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24.54%</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BD7C17">
            <w:pPr>
              <w:pStyle w:val="Tabletext"/>
              <w:ind w:left="227"/>
              <w:rPr>
                <w:lang w:val="en-GB"/>
              </w:rPr>
            </w:pPr>
            <w:r w:rsidRPr="00B07B55">
              <w:rPr>
                <w:lang w:val="en-GB"/>
              </w:rPr>
              <w:t>Education: intermediate (secondary)</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30.20%</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14.19%</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4A14A5">
            <w:pPr>
              <w:pStyle w:val="Tabletext"/>
              <w:ind w:left="227"/>
              <w:rPr>
                <w:lang w:val="en-GB"/>
              </w:rPr>
            </w:pPr>
            <w:r w:rsidRPr="00B07B55">
              <w:rPr>
                <w:lang w:val="en-GB"/>
              </w:rPr>
              <w:t>Education: high intermediate/high vocational</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11.85%</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18.21%</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BD7C17">
            <w:pPr>
              <w:pStyle w:val="Tabletext"/>
              <w:ind w:left="227"/>
              <w:rPr>
                <w:lang w:val="en-GB"/>
              </w:rPr>
            </w:pPr>
            <w:r w:rsidRPr="00B07B55">
              <w:rPr>
                <w:lang w:val="en-GB"/>
              </w:rPr>
              <w:t>Education: sub-degree</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21.93%</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10.14%</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BD7C17">
            <w:pPr>
              <w:pStyle w:val="Tabletext"/>
              <w:ind w:left="227"/>
              <w:rPr>
                <w:lang w:val="en-GB"/>
              </w:rPr>
            </w:pPr>
            <w:r w:rsidRPr="00B07B55">
              <w:rPr>
                <w:lang w:val="en-GB"/>
              </w:rPr>
              <w:t>Education: first degree</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13.37%</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21.49%</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BD7C17">
            <w:pPr>
              <w:pStyle w:val="Tabletext"/>
              <w:ind w:left="227"/>
              <w:rPr>
                <w:lang w:val="en-GB"/>
              </w:rPr>
            </w:pPr>
            <w:r w:rsidRPr="00B07B55">
              <w:rPr>
                <w:lang w:val="en-GB"/>
              </w:rPr>
              <w:t>Education: higher degree </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3.46%</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3.62%</w:t>
            </w:r>
          </w:p>
        </w:tc>
      </w:tr>
      <w:tr w:rsidR="00443CDE" w:rsidRPr="0029099A"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D7C17" w:rsidRDefault="00443CDE" w:rsidP="00CA1053">
            <w:pPr>
              <w:pStyle w:val="Tabletext"/>
              <w:spacing w:before="120"/>
              <w:rPr>
                <w:szCs w:val="16"/>
              </w:rPr>
            </w:pPr>
            <w:r w:rsidRPr="00BD7C17">
              <w:rPr>
                <w:szCs w:val="16"/>
              </w:rPr>
              <w:t>Country of origin</w:t>
            </w: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rPr>
                <w:i/>
                <w:szCs w:val="22"/>
              </w:rPr>
            </w:pP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rPr>
                <w:i/>
                <w:szCs w:val="22"/>
              </w:rPr>
            </w:pP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rPr>
                <w:i/>
                <w:szCs w:val="22"/>
              </w:rPr>
            </w:pP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rPr>
                <w:i/>
                <w:szCs w:val="22"/>
              </w:rPr>
            </w:pP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BD7C17">
            <w:pPr>
              <w:pStyle w:val="Tabletext"/>
              <w:ind w:left="227"/>
              <w:rPr>
                <w:lang w:val="en-GB"/>
              </w:rPr>
            </w:pPr>
            <w:r w:rsidRPr="00B07B55">
              <w:rPr>
                <w:lang w:val="en-GB"/>
              </w:rPr>
              <w:t>Born in the country</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95.14%</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77.76%</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BD7C17">
            <w:pPr>
              <w:pStyle w:val="Tabletext"/>
              <w:ind w:left="227"/>
              <w:rPr>
                <w:lang w:val="en-GB"/>
              </w:rPr>
            </w:pPr>
            <w:r w:rsidRPr="00B07B55">
              <w:rPr>
                <w:lang w:val="en-GB"/>
              </w:rPr>
              <w:t>Immigrant, English speaking</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1.99%</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11.13%</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BD7C17">
            <w:pPr>
              <w:pStyle w:val="Tabletext"/>
              <w:ind w:left="227"/>
              <w:rPr>
                <w:lang w:val="en-GB"/>
              </w:rPr>
            </w:pPr>
            <w:r w:rsidRPr="00B07B55">
              <w:rPr>
                <w:lang w:val="en-GB"/>
              </w:rPr>
              <w:t>Immigrant, non-English speaking</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2.88%</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11.11%</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D7C17" w:rsidRDefault="00443CDE" w:rsidP="00CA1053">
            <w:pPr>
              <w:pStyle w:val="Tabletext"/>
              <w:spacing w:before="120"/>
              <w:rPr>
                <w:iCs/>
                <w:lang w:val="en-GB"/>
              </w:rPr>
            </w:pPr>
            <w:r w:rsidRPr="00BD7C17">
              <w:rPr>
                <w:iCs/>
                <w:lang w:val="en-GB"/>
              </w:rPr>
              <w:t>Labour force status</w:t>
            </w: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pP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pP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pP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pP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BD7C17">
            <w:pPr>
              <w:pStyle w:val="Tabletext"/>
              <w:ind w:left="227"/>
              <w:rPr>
                <w:lang w:val="en-GB"/>
              </w:rPr>
            </w:pPr>
            <w:r w:rsidRPr="00B07B55">
              <w:rPr>
                <w:lang w:val="en-GB"/>
              </w:rPr>
              <w:t>Employed</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80.35%</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77.61%</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BD7C17">
            <w:pPr>
              <w:pStyle w:val="Tabletext"/>
              <w:ind w:left="227"/>
              <w:rPr>
                <w:lang w:val="en-GB"/>
              </w:rPr>
            </w:pPr>
            <w:r w:rsidRPr="00B07B55">
              <w:rPr>
                <w:lang w:val="en-GB"/>
              </w:rPr>
              <w:t>Unemployed</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2.45%</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3.39%</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BD7C17">
            <w:pPr>
              <w:pStyle w:val="Tabletext"/>
              <w:ind w:left="227"/>
              <w:rPr>
                <w:lang w:val="en-GB"/>
              </w:rPr>
            </w:pPr>
            <w:r w:rsidRPr="00B07B55">
              <w:rPr>
                <w:lang w:val="en-GB"/>
              </w:rPr>
              <w:t>Not in the labour force</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17.20%</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19.00%</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D7C17" w:rsidRDefault="00653E97" w:rsidP="00CA1053">
            <w:pPr>
              <w:pStyle w:val="Tabletext"/>
              <w:spacing w:before="120"/>
              <w:rPr>
                <w:iCs/>
                <w:lang w:val="en-GB"/>
              </w:rPr>
            </w:pPr>
            <w:r w:rsidRPr="00BD7C17">
              <w:rPr>
                <w:iCs/>
                <w:lang w:val="en-GB"/>
              </w:rPr>
              <w:t>Marital s</w:t>
            </w:r>
            <w:r w:rsidR="00443CDE" w:rsidRPr="00BD7C17">
              <w:rPr>
                <w:iCs/>
                <w:lang w:val="en-GB"/>
              </w:rPr>
              <w:t>tatus</w:t>
            </w: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pP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pP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pP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pP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BD7C17">
            <w:pPr>
              <w:pStyle w:val="Tabletext"/>
              <w:ind w:left="227"/>
              <w:rPr>
                <w:lang w:val="en-GB"/>
              </w:rPr>
            </w:pPr>
            <w:r w:rsidRPr="00B07B55">
              <w:rPr>
                <w:lang w:val="en-GB"/>
              </w:rPr>
              <w:t xml:space="preserve">Married or de </w:t>
            </w:r>
            <w:r w:rsidR="00653E97">
              <w:rPr>
                <w:lang w:val="en-GB"/>
              </w:rPr>
              <w:t xml:space="preserve"> </w:t>
            </w:r>
            <w:r w:rsidRPr="00B07B55">
              <w:rPr>
                <w:lang w:val="en-GB"/>
              </w:rPr>
              <w:t>facto</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65.41%</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75.51%</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4A14A5">
            <w:pPr>
              <w:pStyle w:val="Tabletext"/>
              <w:ind w:left="227"/>
              <w:rPr>
                <w:lang w:val="en-GB"/>
              </w:rPr>
            </w:pPr>
            <w:r w:rsidRPr="00B07B55">
              <w:rPr>
                <w:lang w:val="en-GB"/>
              </w:rPr>
              <w:t>Separated/divorced</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13.42%</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10.63%</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BD7C17">
            <w:pPr>
              <w:pStyle w:val="Tabletext"/>
              <w:ind w:left="227"/>
              <w:rPr>
                <w:lang w:val="en-GB"/>
              </w:rPr>
            </w:pPr>
            <w:r w:rsidRPr="00B07B55">
              <w:rPr>
                <w:lang w:val="en-GB"/>
              </w:rPr>
              <w:t>Widowed</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1.14%</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0.86%</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BD7C17">
            <w:pPr>
              <w:pStyle w:val="Tabletext"/>
              <w:ind w:left="227"/>
              <w:rPr>
                <w:lang w:val="en-GB"/>
              </w:rPr>
            </w:pPr>
            <w:r w:rsidRPr="00B07B55">
              <w:rPr>
                <w:lang w:val="en-GB"/>
              </w:rPr>
              <w:t>Never married</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20.04%</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13.01%</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D7C17" w:rsidRDefault="00443CDE" w:rsidP="00CA1053">
            <w:pPr>
              <w:pStyle w:val="Tabletext"/>
              <w:spacing w:before="120"/>
              <w:rPr>
                <w:iCs/>
                <w:lang w:val="en-GB"/>
              </w:rPr>
            </w:pPr>
            <w:r w:rsidRPr="00BD7C17">
              <w:rPr>
                <w:iCs/>
                <w:lang w:val="en-GB"/>
              </w:rPr>
              <w:t>Number of dependent children</w:t>
            </w: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pP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pP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pPr>
          </w:p>
        </w:tc>
        <w:tc>
          <w:tcPr>
            <w:tcW w:w="1205" w:type="dxa"/>
            <w:tcBorders>
              <w:top w:val="nil"/>
              <w:left w:val="nil"/>
              <w:bottom w:val="nil"/>
              <w:right w:val="nil"/>
            </w:tcBorders>
            <w:shd w:val="clear" w:color="auto" w:fill="auto"/>
            <w:noWrap/>
            <w:tcMar>
              <w:top w:w="0" w:type="dxa"/>
              <w:left w:w="113" w:type="dxa"/>
              <w:bottom w:w="0" w:type="dxa"/>
              <w:right w:w="113" w:type="dxa"/>
            </w:tcMar>
            <w:hideMark/>
          </w:tcPr>
          <w:p w:rsidR="00443CDE" w:rsidRPr="0029099A" w:rsidRDefault="00443CDE" w:rsidP="00CA1053">
            <w:pPr>
              <w:pStyle w:val="Tabletext"/>
              <w:spacing w:before="120"/>
            </w:pP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BD7C17">
            <w:pPr>
              <w:pStyle w:val="Tabletext"/>
              <w:ind w:left="227"/>
              <w:rPr>
                <w:lang w:val="en-GB"/>
              </w:rPr>
            </w:pPr>
            <w:r w:rsidRPr="00B07B55">
              <w:rPr>
                <w:lang w:val="en-GB"/>
              </w:rPr>
              <w:t>0</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52.26%</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42.53%</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BD7C17">
            <w:pPr>
              <w:pStyle w:val="Tabletext"/>
              <w:ind w:left="227"/>
              <w:rPr>
                <w:lang w:val="en-GB"/>
              </w:rPr>
            </w:pPr>
            <w:r w:rsidRPr="00B07B55">
              <w:rPr>
                <w:lang w:val="en-GB"/>
              </w:rPr>
              <w:t>1</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19.66%</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18.33%</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BD7C17">
            <w:pPr>
              <w:pStyle w:val="Tabletext"/>
              <w:ind w:left="227"/>
              <w:rPr>
                <w:lang w:val="en-GB"/>
              </w:rPr>
            </w:pPr>
            <w:r w:rsidRPr="00B07B55">
              <w:rPr>
                <w:lang w:val="en-GB"/>
              </w:rPr>
              <w:t>2</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20.23%</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24.60%</w:t>
            </w:r>
          </w:p>
        </w:tc>
      </w:tr>
      <w:tr w:rsidR="00443CDE" w:rsidRPr="00B07B55" w:rsidTr="0029099A">
        <w:tc>
          <w:tcPr>
            <w:tcW w:w="3969" w:type="dxa"/>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BD7C17">
            <w:pPr>
              <w:pStyle w:val="Tabletext"/>
              <w:ind w:left="227"/>
              <w:rPr>
                <w:lang w:val="en-GB"/>
              </w:rPr>
            </w:pPr>
            <w:r w:rsidRPr="00B07B55">
              <w:rPr>
                <w:lang w:val="en-GB"/>
              </w:rPr>
              <w:t>3 or more</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7.84%</w:t>
            </w:r>
          </w:p>
        </w:tc>
        <w:tc>
          <w:tcPr>
            <w:tcW w:w="2410" w:type="dxa"/>
            <w:gridSpan w:val="2"/>
            <w:tcBorders>
              <w:top w:val="nil"/>
              <w:left w:val="nil"/>
              <w:bottom w:val="nil"/>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1021"/>
              </w:tabs>
              <w:rPr>
                <w:lang w:val="en-GB"/>
              </w:rPr>
            </w:pPr>
            <w:r w:rsidRPr="00B07B55">
              <w:rPr>
                <w:lang w:val="en-GB"/>
              </w:rPr>
              <w:t>14.54%</w:t>
            </w:r>
          </w:p>
        </w:tc>
      </w:tr>
      <w:tr w:rsidR="00443CDE" w:rsidRPr="00B07B55" w:rsidTr="0029099A">
        <w:tc>
          <w:tcPr>
            <w:tcW w:w="3969" w:type="dxa"/>
            <w:tcBorders>
              <w:top w:val="nil"/>
              <w:left w:val="nil"/>
              <w:bottom w:val="single" w:sz="8" w:space="0" w:color="auto"/>
              <w:right w:val="nil"/>
            </w:tcBorders>
            <w:shd w:val="clear" w:color="auto" w:fill="auto"/>
            <w:noWrap/>
            <w:tcMar>
              <w:top w:w="0" w:type="dxa"/>
              <w:left w:w="113" w:type="dxa"/>
              <w:bottom w:w="0" w:type="dxa"/>
              <w:right w:w="113" w:type="dxa"/>
            </w:tcMar>
            <w:hideMark/>
          </w:tcPr>
          <w:p w:rsidR="00443CDE" w:rsidRPr="00B07B55" w:rsidRDefault="00DA100E" w:rsidP="00CA1053">
            <w:pPr>
              <w:pStyle w:val="Tabletext"/>
              <w:spacing w:before="120"/>
              <w:rPr>
                <w:lang w:val="en-GB"/>
              </w:rPr>
            </w:pPr>
            <w:r>
              <w:rPr>
                <w:lang w:val="en-GB"/>
              </w:rPr>
              <w:t>Disposable income (in US $</w:t>
            </w:r>
            <w:r w:rsidR="00443CDE" w:rsidRPr="00B07B55">
              <w:rPr>
                <w:lang w:val="en-GB"/>
              </w:rPr>
              <w:t>000)</w:t>
            </w:r>
          </w:p>
        </w:tc>
        <w:tc>
          <w:tcPr>
            <w:tcW w:w="1205" w:type="dxa"/>
            <w:tcBorders>
              <w:top w:val="nil"/>
              <w:left w:val="nil"/>
              <w:bottom w:val="single" w:sz="8" w:space="0" w:color="auto"/>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510"/>
              </w:tabs>
              <w:spacing w:before="120"/>
              <w:rPr>
                <w:lang w:val="en-GB"/>
              </w:rPr>
            </w:pPr>
            <w:r w:rsidRPr="00B07B55">
              <w:rPr>
                <w:lang w:val="en-GB"/>
              </w:rPr>
              <w:t>27.32</w:t>
            </w:r>
          </w:p>
        </w:tc>
        <w:tc>
          <w:tcPr>
            <w:tcW w:w="1205" w:type="dxa"/>
            <w:tcBorders>
              <w:top w:val="nil"/>
              <w:left w:val="nil"/>
              <w:bottom w:val="single" w:sz="8" w:space="0" w:color="auto"/>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454"/>
              </w:tabs>
              <w:spacing w:before="120"/>
              <w:rPr>
                <w:i/>
                <w:iCs/>
                <w:lang w:val="en-GB"/>
              </w:rPr>
            </w:pPr>
            <w:r w:rsidRPr="00B07B55">
              <w:rPr>
                <w:i/>
                <w:iCs/>
                <w:lang w:val="en-GB"/>
              </w:rPr>
              <w:t>(23.77)</w:t>
            </w:r>
          </w:p>
        </w:tc>
        <w:tc>
          <w:tcPr>
            <w:tcW w:w="1205" w:type="dxa"/>
            <w:tcBorders>
              <w:top w:val="nil"/>
              <w:left w:val="nil"/>
              <w:bottom w:val="single" w:sz="8" w:space="0" w:color="auto"/>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510"/>
              </w:tabs>
              <w:spacing w:before="120"/>
              <w:rPr>
                <w:lang w:val="en-GB"/>
              </w:rPr>
            </w:pPr>
            <w:r w:rsidRPr="00B07B55">
              <w:rPr>
                <w:lang w:val="en-GB"/>
              </w:rPr>
              <w:t>21.57</w:t>
            </w:r>
          </w:p>
        </w:tc>
        <w:tc>
          <w:tcPr>
            <w:tcW w:w="1205" w:type="dxa"/>
            <w:tcBorders>
              <w:top w:val="nil"/>
              <w:left w:val="nil"/>
              <w:bottom w:val="single" w:sz="8" w:space="0" w:color="auto"/>
              <w:right w:val="nil"/>
            </w:tcBorders>
            <w:shd w:val="clear" w:color="auto" w:fill="auto"/>
            <w:noWrap/>
            <w:tcMar>
              <w:top w:w="0" w:type="dxa"/>
              <w:left w:w="113" w:type="dxa"/>
              <w:bottom w:w="0" w:type="dxa"/>
              <w:right w:w="113" w:type="dxa"/>
            </w:tcMar>
            <w:hideMark/>
          </w:tcPr>
          <w:p w:rsidR="00443CDE" w:rsidRPr="00B07B55" w:rsidRDefault="00443CDE" w:rsidP="00CA1053">
            <w:pPr>
              <w:pStyle w:val="Tabletext"/>
              <w:tabs>
                <w:tab w:val="decimal" w:pos="454"/>
              </w:tabs>
              <w:spacing w:before="120"/>
              <w:rPr>
                <w:i/>
                <w:iCs/>
                <w:lang w:val="en-GB"/>
              </w:rPr>
            </w:pPr>
            <w:r w:rsidRPr="00B07B55">
              <w:rPr>
                <w:i/>
                <w:iCs/>
                <w:lang w:val="en-GB"/>
              </w:rPr>
              <w:t>(15.40)</w:t>
            </w:r>
          </w:p>
        </w:tc>
      </w:tr>
    </w:tbl>
    <w:p w:rsidR="00862ED5" w:rsidRPr="00B07B55" w:rsidRDefault="000C48ED" w:rsidP="00CA1053">
      <w:pPr>
        <w:pStyle w:val="Source"/>
        <w:rPr>
          <w:lang w:val="en-GB"/>
        </w:rPr>
      </w:pPr>
      <w:r w:rsidRPr="00B07B55">
        <w:rPr>
          <w:lang w:val="en-GB"/>
        </w:rPr>
        <w:t>Note:</w:t>
      </w:r>
      <w:r w:rsidR="00CA1053">
        <w:rPr>
          <w:lang w:val="en-GB"/>
        </w:rPr>
        <w:tab/>
      </w:r>
      <w:r w:rsidR="00CA1053" w:rsidRPr="00B07B55">
        <w:rPr>
          <w:lang w:val="en-GB"/>
        </w:rPr>
        <w:t xml:space="preserve">Standard </w:t>
      </w:r>
      <w:r w:rsidR="00D227E6" w:rsidRPr="00B07B55">
        <w:rPr>
          <w:lang w:val="en-GB"/>
        </w:rPr>
        <w:t>deviations into bracke</w:t>
      </w:r>
      <w:r w:rsidRPr="00B07B55">
        <w:rPr>
          <w:lang w:val="en-GB"/>
        </w:rPr>
        <w:t>t</w:t>
      </w:r>
      <w:r w:rsidR="00D227E6" w:rsidRPr="00B07B55">
        <w:rPr>
          <w:lang w:val="en-GB"/>
        </w:rPr>
        <w:t>s</w:t>
      </w:r>
      <w:r w:rsidRPr="00B07B55">
        <w:rPr>
          <w:lang w:val="en-GB"/>
        </w:rPr>
        <w:t xml:space="preserve">; </w:t>
      </w:r>
      <w:r w:rsidR="00862ED5" w:rsidRPr="00B07B55">
        <w:rPr>
          <w:lang w:val="en-GB"/>
        </w:rPr>
        <w:t>the disposable income is expressed in PPP-corrected US dollars.</w:t>
      </w:r>
      <w:r w:rsidR="00CA1053">
        <w:rPr>
          <w:lang w:val="en-GB"/>
        </w:rPr>
        <w:br/>
      </w:r>
      <w:r w:rsidR="00443CDE" w:rsidRPr="00B07B55">
        <w:rPr>
          <w:lang w:val="en-GB"/>
        </w:rPr>
        <w:t xml:space="preserve">The education levels correspond to the following ISCED levels: 1, 2A and 2C, 3C and 4B, 3A, 5B, 5A, 6. </w:t>
      </w:r>
    </w:p>
    <w:p w:rsidR="000C48ED" w:rsidRPr="00B07B55" w:rsidRDefault="000C48ED" w:rsidP="00CA1053">
      <w:pPr>
        <w:pStyle w:val="Source"/>
        <w:rPr>
          <w:lang w:val="en-GB"/>
        </w:rPr>
      </w:pPr>
      <w:r w:rsidRPr="00B07B55">
        <w:rPr>
          <w:lang w:val="en-GB"/>
        </w:rPr>
        <w:t>Source:</w:t>
      </w:r>
      <w:r w:rsidR="00CA1053">
        <w:rPr>
          <w:lang w:val="en-GB"/>
        </w:rPr>
        <w:tab/>
      </w:r>
      <w:r w:rsidRPr="00B07B55">
        <w:rPr>
          <w:lang w:val="en-GB"/>
        </w:rPr>
        <w:t>HILDA and BHPS data</w:t>
      </w:r>
      <w:r w:rsidR="00DA100E">
        <w:rPr>
          <w:lang w:val="en-GB"/>
        </w:rPr>
        <w:t>.</w:t>
      </w:r>
    </w:p>
    <w:p w:rsidR="00647E56" w:rsidRDefault="00647E56" w:rsidP="00647E56">
      <w:pPr>
        <w:pStyle w:val="Text"/>
        <w:rPr>
          <w:highlight w:val="yellow"/>
          <w:lang w:val="en-GB"/>
        </w:rPr>
      </w:pPr>
      <w:bookmarkStart w:id="104" w:name="_Toc311460401"/>
    </w:p>
    <w:p w:rsidR="00CA1053" w:rsidRDefault="00CA1053">
      <w:pPr>
        <w:spacing w:before="0" w:line="240" w:lineRule="auto"/>
        <w:rPr>
          <w:rFonts w:ascii="Arial" w:hAnsi="Arial" w:cs="Arial"/>
          <w:sz w:val="15"/>
          <w:szCs w:val="15"/>
          <w:highlight w:val="yellow"/>
          <w:lang w:val="en-GB"/>
        </w:rPr>
      </w:pPr>
      <w:r>
        <w:rPr>
          <w:rFonts w:ascii="Arial" w:hAnsi="Arial" w:cs="Arial"/>
          <w:b/>
          <w:sz w:val="15"/>
          <w:szCs w:val="15"/>
          <w:highlight w:val="yellow"/>
          <w:lang w:val="en-GB"/>
        </w:rPr>
        <w:br w:type="page"/>
      </w:r>
    </w:p>
    <w:p w:rsidR="00BE39D4" w:rsidRDefault="00F4707D" w:rsidP="00BE39D4">
      <w:pPr>
        <w:pStyle w:val="Figuretitle"/>
      </w:pPr>
      <w:bookmarkStart w:id="105" w:name="_Toc316371590"/>
      <w:bookmarkEnd w:id="104"/>
      <w:bookmarkEnd w:id="94"/>
      <w:bookmarkEnd w:id="95"/>
      <w:bookmarkEnd w:id="96"/>
      <w:bookmarkEnd w:id="18"/>
      <w:bookmarkEnd w:id="19"/>
      <w:bookmarkEnd w:id="20"/>
      <w:bookmarkEnd w:id="21"/>
      <w:r>
        <w:rPr>
          <w:noProof/>
          <w:lang w:eastAsia="en-AU"/>
        </w:rPr>
        <w:drawing>
          <wp:anchor distT="0" distB="0" distL="114300" distR="114300" simplePos="0" relativeHeight="251674624" behindDoc="0" locked="0" layoutInCell="1" allowOverlap="1">
            <wp:simplePos x="0" y="0"/>
            <wp:positionH relativeFrom="column">
              <wp:posOffset>2734945</wp:posOffset>
            </wp:positionH>
            <wp:positionV relativeFrom="paragraph">
              <wp:posOffset>482600</wp:posOffset>
            </wp:positionV>
            <wp:extent cx="2575560" cy="1663700"/>
            <wp:effectExtent l="19050" t="0" r="0" b="0"/>
            <wp:wrapSquare wrapText="bothSides"/>
            <wp:docPr id="24" name="Oggetto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00700" cy="3924300"/>
                      <a:chOff x="0" y="0"/>
                      <a:chExt cx="5600700" cy="3924300"/>
                    </a:xfrm>
                  </a:grpSpPr>
                  <a:pic>
                    <a:nvPicPr>
                      <a:cNvPr id="8" name="Picture 15"/>
                      <a:cNvPicPr/>
                    </a:nvPicPr>
                    <a:blipFill>
                      <a:blip r:embed="rId22" cstate="print"/>
                      <a:srcRect/>
                      <a:stretch>
                        <a:fillRect/>
                      </a:stretch>
                    </a:blipFill>
                    <a:spPr bwMode="auto">
                      <a:xfrm>
                        <a:off x="0" y="0"/>
                        <a:ext cx="5600700" cy="3924300"/>
                      </a:xfrm>
                      <a:prstGeom prst="rect">
                        <a:avLst/>
                      </a:prstGeom>
                      <a:noFill/>
                      <a:ln w="9525">
                        <a:noFill/>
                        <a:miter lim="800000"/>
                        <a:headEnd/>
                        <a:tailEnd/>
                      </a:ln>
                    </a:spPr>
                  </a:pic>
                  <a:sp>
                    <a:nvSpPr>
                      <a:cNvPr id="9" name="CasellaDiTesto 8"/>
                      <a:cNvSpPr txBox="1"/>
                    </a:nvSpPr>
                    <a:spPr>
                      <a:xfrm>
                        <a:off x="1952625" y="190500"/>
                        <a:ext cx="1730730" cy="432811"/>
                      </a:xfrm>
                      <a:prstGeom prst="rect">
                        <a:avLst/>
                      </a:prstGeom>
                      <a:solidFill>
                        <a:schemeClr val="bg1"/>
                      </a:solidFill>
                    </a:spPr>
                    <a:txSp>
                      <a:txBody>
                        <a:bodyPr vertOverflow="clip" wrap="none" rtlCol="0" anchor="ctr">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pPr algn="ctr"/>
                          <a:r>
                            <a:rPr lang="it-IT" sz="1100" b="1">
                              <a:latin typeface="Tahoma" pitchFamily="34" charset="0"/>
                              <a:ea typeface="Tahoma" pitchFamily="34" charset="0"/>
                              <a:cs typeface="Tahoma" pitchFamily="34" charset="0"/>
                            </a:rPr>
                            <a:t>Log of hourly wage</a:t>
                          </a:r>
                        </a:p>
                        <a:p>
                          <a:pPr algn="ctr"/>
                          <a:r>
                            <a:rPr lang="it-IT" sz="1100" b="1">
                              <a:latin typeface="Tahoma" pitchFamily="34" charset="0"/>
                              <a:ea typeface="Tahoma" pitchFamily="34" charset="0"/>
                              <a:cs typeface="Tahoma" pitchFamily="34" charset="0"/>
                            </a:rPr>
                            <a:t>Females - VET studies</a:t>
                          </a:r>
                        </a:p>
                      </a:txBody>
                      <a:useSpRect/>
                    </a:txSp>
                    <a:style>
                      <a:lnRef idx="0">
                        <a:scrgbClr r="0" g="0" b="0"/>
                      </a:lnRef>
                      <a:fillRef idx="0">
                        <a:scrgbClr r="0" g="0" b="0"/>
                      </a:fillRef>
                      <a:effectRef idx="0">
                        <a:scrgbClr r="0" g="0" b="0"/>
                      </a:effectRef>
                      <a:fontRef idx="minor">
                        <a:schemeClr val="tx1"/>
                      </a:fontRef>
                    </a:style>
                  </a:sp>
                </lc:lockedCanvas>
              </a:graphicData>
            </a:graphic>
          </wp:anchor>
        </w:drawing>
      </w:r>
      <w:bookmarkStart w:id="106" w:name="_Toc334101425"/>
      <w:r w:rsidR="00BE39D4">
        <w:t>Figure B1</w:t>
      </w:r>
      <w:r w:rsidR="00BE39D4">
        <w:tab/>
        <w:t>Effects of education on labour market outcomes: longitudinal analysis, fixed effect results, HILDA data</w:t>
      </w:r>
      <w:bookmarkEnd w:id="106"/>
    </w:p>
    <w:p w:rsidR="00BE39D4" w:rsidRDefault="00F4707D" w:rsidP="00F4707D">
      <w:pPr>
        <w:pStyle w:val="Figuretitle"/>
        <w:spacing w:before="0"/>
      </w:pPr>
      <w:r>
        <w:rPr>
          <w:noProof/>
          <w:lang w:eastAsia="en-AU"/>
        </w:rPr>
        <w:drawing>
          <wp:anchor distT="0" distB="0" distL="114300" distR="114300" simplePos="0" relativeHeight="251675648" behindDoc="0" locked="0" layoutInCell="1" allowOverlap="1">
            <wp:simplePos x="0" y="0"/>
            <wp:positionH relativeFrom="column">
              <wp:posOffset>2734945</wp:posOffset>
            </wp:positionH>
            <wp:positionV relativeFrom="paragraph">
              <wp:posOffset>2190115</wp:posOffset>
            </wp:positionV>
            <wp:extent cx="2575560" cy="1704975"/>
            <wp:effectExtent l="19050" t="0" r="0" b="0"/>
            <wp:wrapSquare wrapText="bothSides"/>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2575560" cy="1704975"/>
                    </a:xfrm>
                    <a:prstGeom prst="rect">
                      <a:avLst/>
                    </a:prstGeom>
                    <a:noFill/>
                    <a:ln w="9525">
                      <a:noFill/>
                      <a:miter lim="800000"/>
                      <a:headEnd/>
                      <a:tailEnd/>
                    </a:ln>
                  </pic:spPr>
                </pic:pic>
              </a:graphicData>
            </a:graphic>
          </wp:anchor>
        </w:drawing>
      </w:r>
      <w:r w:rsidR="00BE39D4" w:rsidRPr="00BE39D4">
        <w:rPr>
          <w:noProof/>
          <w:lang w:eastAsia="en-AU"/>
        </w:rPr>
        <w:drawing>
          <wp:anchor distT="0" distB="0" distL="114300" distR="114300" simplePos="0" relativeHeight="251672576" behindDoc="0" locked="0" layoutInCell="1" allowOverlap="1">
            <wp:simplePos x="0" y="0"/>
            <wp:positionH relativeFrom="column">
              <wp:posOffset>16510</wp:posOffset>
            </wp:positionH>
            <wp:positionV relativeFrom="paragraph">
              <wp:posOffset>165735</wp:posOffset>
            </wp:positionV>
            <wp:extent cx="2517775" cy="1671955"/>
            <wp:effectExtent l="19050" t="0" r="0" b="0"/>
            <wp:wrapSquare wrapText="bothSides"/>
            <wp:docPr id="1" name="Ogget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600700" cy="3933825"/>
                      <a:chOff x="0" y="0"/>
                      <a:chExt cx="5600700" cy="3933825"/>
                    </a:xfrm>
                  </a:grpSpPr>
                  <a:grpSp>
                    <a:nvGrpSpPr>
                      <a:cNvPr id="4" name="Gruppo 3"/>
                      <a:cNvGrpSpPr/>
                    </a:nvGrpSpPr>
                    <a:grpSpPr>
                      <a:xfrm>
                        <a:off x="0" y="0"/>
                        <a:ext cx="5600700" cy="3933825"/>
                        <a:chOff x="0" y="0"/>
                        <a:chExt cx="5600700" cy="3933825"/>
                      </a:xfrm>
                    </a:grpSpPr>
                    <a:pic>
                      <a:nvPicPr>
                        <a:cNvPr id="2" name="Picture 12"/>
                        <a:cNvPicPr/>
                      </a:nvPicPr>
                      <a:blipFill>
                        <a:blip r:embed="rId24" cstate="print"/>
                        <a:srcRect/>
                        <a:stretch>
                          <a:fillRect/>
                        </a:stretch>
                      </a:blipFill>
                      <a:spPr bwMode="auto">
                        <a:xfrm>
                          <a:off x="0" y="0"/>
                          <a:ext cx="5600700" cy="3933825"/>
                        </a:xfrm>
                        <a:prstGeom prst="rect">
                          <a:avLst/>
                        </a:prstGeom>
                        <a:noFill/>
                        <a:ln w="9525">
                          <a:noFill/>
                          <a:miter lim="800000"/>
                          <a:headEnd/>
                          <a:tailEnd/>
                        </a:ln>
                      </a:spPr>
                    </a:pic>
                    <a:sp>
                      <a:nvSpPr>
                        <a:cNvPr id="3" name="CasellaDiTesto 2"/>
                        <a:cNvSpPr txBox="1"/>
                      </a:nvSpPr>
                      <a:spPr>
                        <a:xfrm>
                          <a:off x="2009775" y="200025"/>
                          <a:ext cx="1590628" cy="432811"/>
                        </a:xfrm>
                        <a:prstGeom prst="rect">
                          <a:avLst/>
                        </a:prstGeom>
                        <a:solidFill>
                          <a:schemeClr val="bg1"/>
                        </a:solidFill>
                      </a:spPr>
                      <a:txSp>
                        <a:txBody>
                          <a:bodyPr vertOverflow="clip" wrap="non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it-IT" sz="1100" b="1">
                                <a:latin typeface="Tahoma" pitchFamily="34" charset="0"/>
                                <a:ea typeface="Tahoma" pitchFamily="34" charset="0"/>
                                <a:cs typeface="Tahoma" pitchFamily="34" charset="0"/>
                              </a:rPr>
                              <a:t>Log of hourly wage</a:t>
                            </a:r>
                          </a:p>
                          <a:p>
                            <a:r>
                              <a:rPr lang="it-IT" sz="1100" b="1">
                                <a:latin typeface="Tahoma" pitchFamily="34" charset="0"/>
                                <a:ea typeface="Tahoma" pitchFamily="34" charset="0"/>
                                <a:cs typeface="Tahoma" pitchFamily="34" charset="0"/>
                              </a:rPr>
                              <a:t>Males - VET studies</a:t>
                            </a:r>
                          </a:p>
                        </a:txBody>
                        <a:useSpRect/>
                      </a:txSp>
                      <a:style>
                        <a:lnRef idx="0">
                          <a:scrgbClr r="0" g="0" b="0"/>
                        </a:lnRef>
                        <a:fillRef idx="0">
                          <a:scrgbClr r="0" g="0" b="0"/>
                        </a:fillRef>
                        <a:effectRef idx="0">
                          <a:scrgbClr r="0" g="0" b="0"/>
                        </a:effectRef>
                        <a:fontRef idx="minor">
                          <a:schemeClr val="tx1"/>
                        </a:fontRef>
                      </a:style>
                    </a:sp>
                  </a:grpSp>
                </lc:lockedCanvas>
              </a:graphicData>
            </a:graphic>
          </wp:anchor>
        </w:drawing>
      </w:r>
    </w:p>
    <w:p w:rsidR="00BE39D4" w:rsidRDefault="00BE39D4" w:rsidP="00F4707D">
      <w:pPr>
        <w:pStyle w:val="Figuretitle"/>
        <w:spacing w:before="0"/>
      </w:pPr>
      <w:r w:rsidRPr="00BE39D4">
        <w:rPr>
          <w:noProof/>
          <w:lang w:eastAsia="en-AU"/>
        </w:rPr>
        <w:drawing>
          <wp:anchor distT="0" distB="0" distL="114300" distR="114300" simplePos="0" relativeHeight="251673600" behindDoc="0" locked="0" layoutInCell="1" allowOverlap="1">
            <wp:simplePos x="0" y="0"/>
            <wp:positionH relativeFrom="column">
              <wp:posOffset>16510</wp:posOffset>
            </wp:positionH>
            <wp:positionV relativeFrom="paragraph">
              <wp:posOffset>173355</wp:posOffset>
            </wp:positionV>
            <wp:extent cx="2575560" cy="1688465"/>
            <wp:effectExtent l="19050" t="0" r="0" b="0"/>
            <wp:wrapSquare wrapText="bothSides"/>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srcRect/>
                    <a:stretch>
                      <a:fillRect/>
                    </a:stretch>
                  </pic:blipFill>
                  <pic:spPr bwMode="auto">
                    <a:xfrm>
                      <a:off x="0" y="0"/>
                      <a:ext cx="2575560" cy="1688465"/>
                    </a:xfrm>
                    <a:prstGeom prst="rect">
                      <a:avLst/>
                    </a:prstGeom>
                    <a:noFill/>
                    <a:ln w="9525">
                      <a:noFill/>
                      <a:miter lim="800000"/>
                      <a:headEnd/>
                      <a:tailEnd/>
                    </a:ln>
                  </pic:spPr>
                </pic:pic>
              </a:graphicData>
            </a:graphic>
          </wp:anchor>
        </w:drawing>
      </w:r>
    </w:p>
    <w:p w:rsidR="00BE39D4" w:rsidRDefault="00BE39D4" w:rsidP="00F4707D">
      <w:pPr>
        <w:pStyle w:val="Figuretitle"/>
        <w:spacing w:before="0"/>
      </w:pPr>
      <w:r w:rsidRPr="00BE39D4">
        <w:rPr>
          <w:noProof/>
          <w:lang w:eastAsia="en-AU"/>
        </w:rPr>
        <w:drawing>
          <wp:anchor distT="0" distB="0" distL="114300" distR="114300" simplePos="0" relativeHeight="251676672" behindDoc="0" locked="0" layoutInCell="1" allowOverlap="1">
            <wp:simplePos x="0" y="0"/>
            <wp:positionH relativeFrom="column">
              <wp:posOffset>16544</wp:posOffset>
            </wp:positionH>
            <wp:positionV relativeFrom="paragraph">
              <wp:posOffset>178589</wp:posOffset>
            </wp:positionV>
            <wp:extent cx="2569519" cy="1696995"/>
            <wp:effectExtent l="19050" t="0" r="2231" b="0"/>
            <wp:wrapSquare wrapText="bothSides"/>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2569519" cy="1696995"/>
                    </a:xfrm>
                    <a:prstGeom prst="rect">
                      <a:avLst/>
                    </a:prstGeom>
                    <a:noFill/>
                    <a:ln w="9525">
                      <a:noFill/>
                      <a:miter lim="800000"/>
                      <a:headEnd/>
                      <a:tailEnd/>
                    </a:ln>
                  </pic:spPr>
                </pic:pic>
              </a:graphicData>
            </a:graphic>
          </wp:anchor>
        </w:drawing>
      </w:r>
      <w:r w:rsidR="00B12232" w:rsidRPr="00B12232">
        <w:rPr>
          <w:noProof/>
          <w:lang w:eastAsia="en-AU"/>
        </w:rPr>
        <w:drawing>
          <wp:anchor distT="0" distB="0" distL="114300" distR="114300" simplePos="0" relativeHeight="251677696" behindDoc="0" locked="0" layoutInCell="1" allowOverlap="1">
            <wp:simplePos x="0" y="0"/>
            <wp:positionH relativeFrom="column">
              <wp:posOffset>2718555</wp:posOffset>
            </wp:positionH>
            <wp:positionV relativeFrom="paragraph">
              <wp:posOffset>178589</wp:posOffset>
            </wp:positionV>
            <wp:extent cx="2569519" cy="1688757"/>
            <wp:effectExtent l="19050" t="0" r="2231" b="0"/>
            <wp:wrapSquare wrapText="bothSides"/>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srcRect/>
                    <a:stretch>
                      <a:fillRect/>
                    </a:stretch>
                  </pic:blipFill>
                  <pic:spPr bwMode="auto">
                    <a:xfrm>
                      <a:off x="0" y="0"/>
                      <a:ext cx="2569519" cy="1688757"/>
                    </a:xfrm>
                    <a:prstGeom prst="rect">
                      <a:avLst/>
                    </a:prstGeom>
                    <a:noFill/>
                    <a:ln w="9525">
                      <a:noFill/>
                      <a:miter lim="800000"/>
                      <a:headEnd/>
                      <a:tailEnd/>
                    </a:ln>
                  </pic:spPr>
                </pic:pic>
              </a:graphicData>
            </a:graphic>
          </wp:anchor>
        </w:drawing>
      </w:r>
    </w:p>
    <w:p w:rsidR="00BE39D4" w:rsidRDefault="00EA58DF" w:rsidP="00BE39D4">
      <w:pPr>
        <w:pStyle w:val="Figuretitle"/>
      </w:pPr>
      <w:r w:rsidRPr="00EA58DF">
        <w:rPr>
          <w:noProof/>
          <w:lang w:eastAsia="en-AU"/>
        </w:rPr>
        <w:drawing>
          <wp:anchor distT="0" distB="0" distL="114300" distR="114300" simplePos="0" relativeHeight="251678720" behindDoc="0" locked="0" layoutInCell="1" allowOverlap="1">
            <wp:simplePos x="0" y="0"/>
            <wp:positionH relativeFrom="column">
              <wp:posOffset>16544</wp:posOffset>
            </wp:positionH>
            <wp:positionV relativeFrom="paragraph">
              <wp:posOffset>175071</wp:posOffset>
            </wp:positionV>
            <wp:extent cx="2565726" cy="1696995"/>
            <wp:effectExtent l="19050" t="0" r="6024" b="0"/>
            <wp:wrapSquare wrapText="bothSides"/>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a:stretch>
                      <a:fillRect/>
                    </a:stretch>
                  </pic:blipFill>
                  <pic:spPr bwMode="auto">
                    <a:xfrm>
                      <a:off x="0" y="0"/>
                      <a:ext cx="2565726" cy="1696995"/>
                    </a:xfrm>
                    <a:prstGeom prst="rect">
                      <a:avLst/>
                    </a:prstGeom>
                    <a:noFill/>
                    <a:ln w="9525">
                      <a:noFill/>
                      <a:miter lim="800000"/>
                      <a:headEnd/>
                      <a:tailEnd/>
                    </a:ln>
                  </pic:spPr>
                </pic:pic>
              </a:graphicData>
            </a:graphic>
          </wp:anchor>
        </w:drawing>
      </w:r>
      <w:r w:rsidRPr="00EA58DF">
        <w:rPr>
          <w:noProof/>
          <w:lang w:eastAsia="en-AU"/>
        </w:rPr>
        <w:drawing>
          <wp:anchor distT="0" distB="0" distL="114300" distR="114300" simplePos="0" relativeHeight="251679744" behindDoc="0" locked="0" layoutInCell="1" allowOverlap="1">
            <wp:simplePos x="0" y="0"/>
            <wp:positionH relativeFrom="column">
              <wp:posOffset>2718555</wp:posOffset>
            </wp:positionH>
            <wp:positionV relativeFrom="paragraph">
              <wp:posOffset>175071</wp:posOffset>
            </wp:positionV>
            <wp:extent cx="2569519" cy="1696995"/>
            <wp:effectExtent l="19050" t="0" r="2231" b="0"/>
            <wp:wrapSquare wrapText="bothSides"/>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srcRect/>
                    <a:stretch>
                      <a:fillRect/>
                    </a:stretch>
                  </pic:blipFill>
                  <pic:spPr bwMode="auto">
                    <a:xfrm>
                      <a:off x="0" y="0"/>
                      <a:ext cx="2569519" cy="1696995"/>
                    </a:xfrm>
                    <a:prstGeom prst="rect">
                      <a:avLst/>
                    </a:prstGeom>
                    <a:noFill/>
                    <a:ln w="9525">
                      <a:noFill/>
                      <a:miter lim="800000"/>
                      <a:headEnd/>
                      <a:tailEnd/>
                    </a:ln>
                  </pic:spPr>
                </pic:pic>
              </a:graphicData>
            </a:graphic>
          </wp:anchor>
        </w:drawing>
      </w:r>
    </w:p>
    <w:p w:rsidR="00BE39D4" w:rsidRDefault="00BE39D4">
      <w:pPr>
        <w:spacing w:before="0" w:line="240" w:lineRule="auto"/>
        <w:rPr>
          <w:rFonts w:ascii="Tahoma" w:hAnsi="Tahoma"/>
          <w:b/>
          <w:sz w:val="17"/>
        </w:rPr>
      </w:pPr>
      <w:r>
        <w:br w:type="page"/>
      </w:r>
    </w:p>
    <w:p w:rsidR="00BE39D4" w:rsidRDefault="00BE39D4" w:rsidP="00F4707D">
      <w:pPr>
        <w:pStyle w:val="Figuretitle"/>
        <w:spacing w:before="0"/>
      </w:pPr>
      <w:r w:rsidRPr="00BE39D4">
        <w:rPr>
          <w:noProof/>
          <w:lang w:eastAsia="en-AU"/>
        </w:rPr>
        <w:drawing>
          <wp:anchor distT="0" distB="0" distL="114300" distR="114300" simplePos="0" relativeHeight="251680768" behindDoc="0" locked="0" layoutInCell="1" allowOverlap="1">
            <wp:simplePos x="0" y="0"/>
            <wp:positionH relativeFrom="column">
              <wp:posOffset>18072</wp:posOffset>
            </wp:positionH>
            <wp:positionV relativeFrom="paragraph">
              <wp:posOffset>-2952</wp:posOffset>
            </wp:positionV>
            <wp:extent cx="2569519" cy="1696995"/>
            <wp:effectExtent l="19050" t="0" r="2231" b="0"/>
            <wp:wrapSquare wrapText="bothSides"/>
            <wp:docPr id="13"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0" cstate="print"/>
                    <a:srcRect/>
                    <a:stretch>
                      <a:fillRect/>
                    </a:stretch>
                  </pic:blipFill>
                  <pic:spPr bwMode="auto">
                    <a:xfrm>
                      <a:off x="0" y="0"/>
                      <a:ext cx="2569519" cy="1696995"/>
                    </a:xfrm>
                    <a:prstGeom prst="rect">
                      <a:avLst/>
                    </a:prstGeom>
                    <a:noFill/>
                    <a:ln w="9525">
                      <a:noFill/>
                      <a:miter lim="800000"/>
                      <a:headEnd/>
                      <a:tailEnd/>
                    </a:ln>
                  </pic:spPr>
                </pic:pic>
              </a:graphicData>
            </a:graphic>
          </wp:anchor>
        </w:drawing>
      </w:r>
      <w:r w:rsidRPr="00BE39D4">
        <w:rPr>
          <w:noProof/>
          <w:lang w:eastAsia="en-AU"/>
        </w:rPr>
        <w:drawing>
          <wp:anchor distT="0" distB="0" distL="114300" distR="114300" simplePos="0" relativeHeight="251681792" behindDoc="0" locked="0" layoutInCell="1" allowOverlap="1">
            <wp:simplePos x="0" y="0"/>
            <wp:positionH relativeFrom="column">
              <wp:posOffset>2720083</wp:posOffset>
            </wp:positionH>
            <wp:positionV relativeFrom="paragraph">
              <wp:posOffset>-2952</wp:posOffset>
            </wp:positionV>
            <wp:extent cx="2569518" cy="1696995"/>
            <wp:effectExtent l="19050" t="0" r="2232" b="0"/>
            <wp:wrapSquare wrapText="bothSides"/>
            <wp:docPr id="14"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1" cstate="print"/>
                    <a:srcRect/>
                    <a:stretch>
                      <a:fillRect/>
                    </a:stretch>
                  </pic:blipFill>
                  <pic:spPr bwMode="auto">
                    <a:xfrm>
                      <a:off x="0" y="0"/>
                      <a:ext cx="2569518" cy="1696995"/>
                    </a:xfrm>
                    <a:prstGeom prst="rect">
                      <a:avLst/>
                    </a:prstGeom>
                    <a:noFill/>
                    <a:ln w="9525">
                      <a:noFill/>
                      <a:miter lim="800000"/>
                      <a:headEnd/>
                      <a:tailEnd/>
                    </a:ln>
                  </pic:spPr>
                </pic:pic>
              </a:graphicData>
            </a:graphic>
          </wp:anchor>
        </w:drawing>
      </w:r>
    </w:p>
    <w:p w:rsidR="00BE39D4" w:rsidRDefault="00BE39D4" w:rsidP="00F4707D">
      <w:pPr>
        <w:pStyle w:val="Figuretitle"/>
        <w:spacing w:before="0"/>
      </w:pPr>
      <w:r w:rsidRPr="00BE39D4">
        <w:rPr>
          <w:noProof/>
          <w:lang w:eastAsia="en-AU"/>
        </w:rPr>
        <w:drawing>
          <wp:anchor distT="0" distB="0" distL="114300" distR="114300" simplePos="0" relativeHeight="251682816" behindDoc="0" locked="0" layoutInCell="1" allowOverlap="1">
            <wp:simplePos x="0" y="0"/>
            <wp:positionH relativeFrom="column">
              <wp:posOffset>18072</wp:posOffset>
            </wp:positionH>
            <wp:positionV relativeFrom="paragraph">
              <wp:posOffset>175174</wp:posOffset>
            </wp:positionV>
            <wp:extent cx="2569519" cy="1696995"/>
            <wp:effectExtent l="19050" t="0" r="2231" b="0"/>
            <wp:wrapSquare wrapText="bothSides"/>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srcRect/>
                    <a:stretch>
                      <a:fillRect/>
                    </a:stretch>
                  </pic:blipFill>
                  <pic:spPr bwMode="auto">
                    <a:xfrm>
                      <a:off x="0" y="0"/>
                      <a:ext cx="2569519" cy="1696995"/>
                    </a:xfrm>
                    <a:prstGeom prst="rect">
                      <a:avLst/>
                    </a:prstGeom>
                    <a:noFill/>
                    <a:ln w="9525">
                      <a:noFill/>
                      <a:miter lim="800000"/>
                      <a:headEnd/>
                      <a:tailEnd/>
                    </a:ln>
                  </pic:spPr>
                </pic:pic>
              </a:graphicData>
            </a:graphic>
          </wp:anchor>
        </w:drawing>
      </w:r>
      <w:r w:rsidRPr="00BE39D4">
        <w:rPr>
          <w:noProof/>
          <w:lang w:eastAsia="en-AU"/>
        </w:rPr>
        <w:drawing>
          <wp:anchor distT="0" distB="0" distL="114300" distR="114300" simplePos="0" relativeHeight="251683840" behindDoc="0" locked="0" layoutInCell="1" allowOverlap="1">
            <wp:simplePos x="0" y="0"/>
            <wp:positionH relativeFrom="column">
              <wp:posOffset>2720083</wp:posOffset>
            </wp:positionH>
            <wp:positionV relativeFrom="paragraph">
              <wp:posOffset>175174</wp:posOffset>
            </wp:positionV>
            <wp:extent cx="2569518" cy="1696995"/>
            <wp:effectExtent l="19050" t="0" r="2232" b="0"/>
            <wp:wrapSquare wrapText="bothSides"/>
            <wp:docPr id="1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srcRect/>
                    <a:stretch>
                      <a:fillRect/>
                    </a:stretch>
                  </pic:blipFill>
                  <pic:spPr bwMode="auto">
                    <a:xfrm>
                      <a:off x="0" y="0"/>
                      <a:ext cx="2569518" cy="1696995"/>
                    </a:xfrm>
                    <a:prstGeom prst="rect">
                      <a:avLst/>
                    </a:prstGeom>
                    <a:noFill/>
                    <a:ln w="9525">
                      <a:noFill/>
                      <a:miter lim="800000"/>
                      <a:headEnd/>
                      <a:tailEnd/>
                    </a:ln>
                  </pic:spPr>
                </pic:pic>
              </a:graphicData>
            </a:graphic>
          </wp:anchor>
        </w:drawing>
      </w:r>
    </w:p>
    <w:p w:rsidR="00BE39D4" w:rsidRDefault="00EA58DF" w:rsidP="00B76918">
      <w:pPr>
        <w:pStyle w:val="Figuretitle"/>
        <w:spacing w:before="0"/>
      </w:pPr>
      <w:r w:rsidRPr="00EA58DF">
        <w:rPr>
          <w:noProof/>
          <w:lang w:eastAsia="en-AU"/>
        </w:rPr>
        <w:drawing>
          <wp:anchor distT="0" distB="0" distL="114300" distR="114300" simplePos="0" relativeHeight="251684864" behindDoc="0" locked="0" layoutInCell="1" allowOverlap="1">
            <wp:simplePos x="0" y="0"/>
            <wp:positionH relativeFrom="column">
              <wp:posOffset>18072</wp:posOffset>
            </wp:positionH>
            <wp:positionV relativeFrom="paragraph">
              <wp:posOffset>180254</wp:posOffset>
            </wp:positionV>
            <wp:extent cx="2569519" cy="1696995"/>
            <wp:effectExtent l="19050" t="0" r="2231" b="0"/>
            <wp:wrapSquare wrapText="bothSides"/>
            <wp:docPr id="6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srcRect/>
                    <a:stretch>
                      <a:fillRect/>
                    </a:stretch>
                  </pic:blipFill>
                  <pic:spPr bwMode="auto">
                    <a:xfrm>
                      <a:off x="0" y="0"/>
                      <a:ext cx="2569519" cy="1696995"/>
                    </a:xfrm>
                    <a:prstGeom prst="rect">
                      <a:avLst/>
                    </a:prstGeom>
                    <a:noFill/>
                    <a:ln w="9525">
                      <a:noFill/>
                      <a:miter lim="800000"/>
                      <a:headEnd/>
                      <a:tailEnd/>
                    </a:ln>
                  </pic:spPr>
                </pic:pic>
              </a:graphicData>
            </a:graphic>
          </wp:anchor>
        </w:drawing>
      </w:r>
      <w:r w:rsidRPr="00EA58DF">
        <w:rPr>
          <w:noProof/>
          <w:lang w:eastAsia="en-AU"/>
        </w:rPr>
        <w:drawing>
          <wp:anchor distT="0" distB="0" distL="114300" distR="114300" simplePos="0" relativeHeight="251685888" behindDoc="0" locked="0" layoutInCell="1" allowOverlap="1">
            <wp:simplePos x="0" y="0"/>
            <wp:positionH relativeFrom="column">
              <wp:posOffset>2720083</wp:posOffset>
            </wp:positionH>
            <wp:positionV relativeFrom="paragraph">
              <wp:posOffset>180254</wp:posOffset>
            </wp:positionV>
            <wp:extent cx="2569518" cy="1696995"/>
            <wp:effectExtent l="19050" t="0" r="2232" b="0"/>
            <wp:wrapSquare wrapText="bothSides"/>
            <wp:docPr id="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srcRect/>
                    <a:stretch>
                      <a:fillRect/>
                    </a:stretch>
                  </pic:blipFill>
                  <pic:spPr bwMode="auto">
                    <a:xfrm>
                      <a:off x="0" y="0"/>
                      <a:ext cx="2569518" cy="1696995"/>
                    </a:xfrm>
                    <a:prstGeom prst="rect">
                      <a:avLst/>
                    </a:prstGeom>
                    <a:noFill/>
                    <a:ln w="9525">
                      <a:noFill/>
                      <a:miter lim="800000"/>
                      <a:headEnd/>
                      <a:tailEnd/>
                    </a:ln>
                  </pic:spPr>
                </pic:pic>
              </a:graphicData>
            </a:graphic>
          </wp:anchor>
        </w:drawing>
      </w:r>
    </w:p>
    <w:p w:rsidR="00EA58DF" w:rsidRDefault="00EA58DF" w:rsidP="00BE39D4">
      <w:pPr>
        <w:pStyle w:val="Figuretitle"/>
      </w:pPr>
      <w:r w:rsidRPr="00EA58DF">
        <w:rPr>
          <w:noProof/>
          <w:lang w:eastAsia="en-AU"/>
        </w:rPr>
        <w:drawing>
          <wp:anchor distT="0" distB="0" distL="114300" distR="114300" simplePos="0" relativeHeight="251686912" behindDoc="0" locked="0" layoutInCell="1" allowOverlap="1">
            <wp:simplePos x="0" y="0"/>
            <wp:positionH relativeFrom="column">
              <wp:posOffset>18072</wp:posOffset>
            </wp:positionH>
            <wp:positionV relativeFrom="paragraph">
              <wp:posOffset>174076</wp:posOffset>
            </wp:positionV>
            <wp:extent cx="2569519" cy="1696994"/>
            <wp:effectExtent l="19050" t="0" r="2231" b="0"/>
            <wp:wrapSquare wrapText="bothSides"/>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srcRect/>
                    <a:stretch>
                      <a:fillRect/>
                    </a:stretch>
                  </pic:blipFill>
                  <pic:spPr bwMode="auto">
                    <a:xfrm>
                      <a:off x="0" y="0"/>
                      <a:ext cx="2569519" cy="1696994"/>
                    </a:xfrm>
                    <a:prstGeom prst="rect">
                      <a:avLst/>
                    </a:prstGeom>
                    <a:noFill/>
                    <a:ln w="9525">
                      <a:noFill/>
                      <a:miter lim="800000"/>
                      <a:headEnd/>
                      <a:tailEnd/>
                    </a:ln>
                  </pic:spPr>
                </pic:pic>
              </a:graphicData>
            </a:graphic>
          </wp:anchor>
        </w:drawing>
      </w:r>
      <w:r w:rsidRPr="00EA58DF">
        <w:rPr>
          <w:noProof/>
          <w:lang w:eastAsia="en-AU"/>
        </w:rPr>
        <w:drawing>
          <wp:anchor distT="0" distB="0" distL="114300" distR="114300" simplePos="0" relativeHeight="251687936" behindDoc="0" locked="0" layoutInCell="1" allowOverlap="1">
            <wp:simplePos x="0" y="0"/>
            <wp:positionH relativeFrom="column">
              <wp:posOffset>2720083</wp:posOffset>
            </wp:positionH>
            <wp:positionV relativeFrom="paragraph">
              <wp:posOffset>174076</wp:posOffset>
            </wp:positionV>
            <wp:extent cx="2569518" cy="1696994"/>
            <wp:effectExtent l="19050" t="0" r="2232" b="0"/>
            <wp:wrapSquare wrapText="bothSides"/>
            <wp:docPr id="3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srcRect/>
                    <a:stretch>
                      <a:fillRect/>
                    </a:stretch>
                  </pic:blipFill>
                  <pic:spPr bwMode="auto">
                    <a:xfrm>
                      <a:off x="0" y="0"/>
                      <a:ext cx="2569518" cy="1696994"/>
                    </a:xfrm>
                    <a:prstGeom prst="rect">
                      <a:avLst/>
                    </a:prstGeom>
                    <a:noFill/>
                    <a:ln w="9525">
                      <a:noFill/>
                      <a:miter lim="800000"/>
                      <a:headEnd/>
                      <a:tailEnd/>
                    </a:ln>
                  </pic:spPr>
                </pic:pic>
              </a:graphicData>
            </a:graphic>
          </wp:anchor>
        </w:drawing>
      </w:r>
    </w:p>
    <w:p w:rsidR="00BE39D4" w:rsidRDefault="00BE39D4">
      <w:pPr>
        <w:spacing w:before="0" w:line="240" w:lineRule="auto"/>
        <w:rPr>
          <w:rFonts w:ascii="Tahoma" w:hAnsi="Tahoma"/>
          <w:b/>
          <w:sz w:val="17"/>
        </w:rPr>
      </w:pPr>
      <w:r>
        <w:br w:type="page"/>
      </w:r>
    </w:p>
    <w:p w:rsidR="00BE39D4" w:rsidRDefault="00BE39D4" w:rsidP="00B76918">
      <w:pPr>
        <w:pStyle w:val="Figuretitle"/>
        <w:spacing w:before="0"/>
      </w:pPr>
      <w:r w:rsidRPr="00BE39D4">
        <w:rPr>
          <w:noProof/>
          <w:lang w:eastAsia="en-AU"/>
        </w:rPr>
        <w:drawing>
          <wp:anchor distT="0" distB="0" distL="114300" distR="114300" simplePos="0" relativeHeight="251688960" behindDoc="0" locked="0" layoutInCell="1" allowOverlap="1">
            <wp:simplePos x="0" y="0"/>
            <wp:positionH relativeFrom="column">
              <wp:posOffset>16544</wp:posOffset>
            </wp:positionH>
            <wp:positionV relativeFrom="paragraph">
              <wp:posOffset>5286</wp:posOffset>
            </wp:positionV>
            <wp:extent cx="2569519" cy="1688757"/>
            <wp:effectExtent l="19050" t="0" r="2231" b="0"/>
            <wp:wrapSquare wrapText="bothSides"/>
            <wp:docPr id="2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srcRect/>
                    <a:stretch>
                      <a:fillRect/>
                    </a:stretch>
                  </pic:blipFill>
                  <pic:spPr bwMode="auto">
                    <a:xfrm>
                      <a:off x="0" y="0"/>
                      <a:ext cx="2569519" cy="1688757"/>
                    </a:xfrm>
                    <a:prstGeom prst="rect">
                      <a:avLst/>
                    </a:prstGeom>
                    <a:noFill/>
                    <a:ln w="9525">
                      <a:noFill/>
                      <a:miter lim="800000"/>
                      <a:headEnd/>
                      <a:tailEnd/>
                    </a:ln>
                  </pic:spPr>
                </pic:pic>
              </a:graphicData>
            </a:graphic>
          </wp:anchor>
        </w:drawing>
      </w:r>
      <w:r w:rsidR="00EA58DF" w:rsidRPr="00EA58DF">
        <w:rPr>
          <w:noProof/>
          <w:lang w:eastAsia="en-AU"/>
        </w:rPr>
        <w:drawing>
          <wp:anchor distT="0" distB="0" distL="114300" distR="114300" simplePos="0" relativeHeight="251689984" behindDoc="0" locked="0" layoutInCell="1" allowOverlap="1">
            <wp:simplePos x="0" y="0"/>
            <wp:positionH relativeFrom="column">
              <wp:posOffset>2718555</wp:posOffset>
            </wp:positionH>
            <wp:positionV relativeFrom="paragraph">
              <wp:posOffset>-2952</wp:posOffset>
            </wp:positionV>
            <wp:extent cx="2569519" cy="1696995"/>
            <wp:effectExtent l="19050" t="0" r="2231" b="0"/>
            <wp:wrapSquare wrapText="bothSides"/>
            <wp:docPr id="3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srcRect/>
                    <a:stretch>
                      <a:fillRect/>
                    </a:stretch>
                  </pic:blipFill>
                  <pic:spPr bwMode="auto">
                    <a:xfrm>
                      <a:off x="0" y="0"/>
                      <a:ext cx="2569519" cy="1696995"/>
                    </a:xfrm>
                    <a:prstGeom prst="rect">
                      <a:avLst/>
                    </a:prstGeom>
                    <a:noFill/>
                    <a:ln w="9525">
                      <a:noFill/>
                      <a:miter lim="800000"/>
                      <a:headEnd/>
                      <a:tailEnd/>
                    </a:ln>
                  </pic:spPr>
                </pic:pic>
              </a:graphicData>
            </a:graphic>
          </wp:anchor>
        </w:drawing>
      </w:r>
    </w:p>
    <w:p w:rsidR="00F4707D" w:rsidRDefault="00EA58DF" w:rsidP="00B76918">
      <w:pPr>
        <w:pStyle w:val="Source"/>
        <w:spacing w:before="240"/>
      </w:pPr>
      <w:r w:rsidRPr="00EA58DF">
        <w:rPr>
          <w:noProof/>
          <w:lang w:eastAsia="en-AU"/>
        </w:rPr>
        <w:drawing>
          <wp:anchor distT="0" distB="0" distL="114300" distR="114300" simplePos="0" relativeHeight="251691008" behindDoc="0" locked="0" layoutInCell="1" allowOverlap="1">
            <wp:simplePos x="0" y="0"/>
            <wp:positionH relativeFrom="column">
              <wp:posOffset>16544</wp:posOffset>
            </wp:positionH>
            <wp:positionV relativeFrom="paragraph">
              <wp:posOffset>175809</wp:posOffset>
            </wp:positionV>
            <wp:extent cx="2569519" cy="1696995"/>
            <wp:effectExtent l="19050" t="0" r="2231" b="0"/>
            <wp:wrapSquare wrapText="bothSides"/>
            <wp:docPr id="6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srcRect/>
                    <a:stretch>
                      <a:fillRect/>
                    </a:stretch>
                  </pic:blipFill>
                  <pic:spPr bwMode="auto">
                    <a:xfrm>
                      <a:off x="0" y="0"/>
                      <a:ext cx="2569519" cy="1696995"/>
                    </a:xfrm>
                    <a:prstGeom prst="rect">
                      <a:avLst/>
                    </a:prstGeom>
                    <a:noFill/>
                    <a:ln w="9525">
                      <a:noFill/>
                      <a:miter lim="800000"/>
                      <a:headEnd/>
                      <a:tailEnd/>
                    </a:ln>
                  </pic:spPr>
                </pic:pic>
              </a:graphicData>
            </a:graphic>
          </wp:anchor>
        </w:drawing>
      </w:r>
      <w:r w:rsidRPr="00EA58DF">
        <w:rPr>
          <w:noProof/>
          <w:lang w:eastAsia="en-AU"/>
        </w:rPr>
        <w:drawing>
          <wp:anchor distT="0" distB="0" distL="114300" distR="114300" simplePos="0" relativeHeight="251692032" behindDoc="0" locked="0" layoutInCell="1" allowOverlap="1">
            <wp:simplePos x="0" y="0"/>
            <wp:positionH relativeFrom="column">
              <wp:posOffset>2718555</wp:posOffset>
            </wp:positionH>
            <wp:positionV relativeFrom="paragraph">
              <wp:posOffset>175809</wp:posOffset>
            </wp:positionV>
            <wp:extent cx="2569519" cy="1696995"/>
            <wp:effectExtent l="19050" t="0" r="2231" b="0"/>
            <wp:wrapSquare wrapText="bothSides"/>
            <wp:docPr id="6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cstate="print"/>
                    <a:srcRect/>
                    <a:stretch>
                      <a:fillRect/>
                    </a:stretch>
                  </pic:blipFill>
                  <pic:spPr bwMode="auto">
                    <a:xfrm>
                      <a:off x="0" y="0"/>
                      <a:ext cx="2569519" cy="1696995"/>
                    </a:xfrm>
                    <a:prstGeom prst="rect">
                      <a:avLst/>
                    </a:prstGeom>
                    <a:noFill/>
                    <a:ln w="9525">
                      <a:noFill/>
                      <a:miter lim="800000"/>
                      <a:headEnd/>
                      <a:tailEnd/>
                    </a:ln>
                  </pic:spPr>
                </pic:pic>
              </a:graphicData>
            </a:graphic>
          </wp:anchor>
        </w:drawing>
      </w:r>
      <w:r w:rsidR="00F4707D" w:rsidRPr="00B07B55">
        <w:rPr>
          <w:lang w:val="en-GB"/>
        </w:rPr>
        <w:t>Note</w:t>
      </w:r>
      <w:r w:rsidR="00F4707D">
        <w:rPr>
          <w:lang w:val="en-GB"/>
        </w:rPr>
        <w:t>:</w:t>
      </w:r>
      <w:r w:rsidR="00F4707D">
        <w:rPr>
          <w:lang w:val="en-GB"/>
        </w:rPr>
        <w:tab/>
      </w:r>
      <w:r w:rsidR="00F4707D" w:rsidRPr="00B07B55">
        <w:rPr>
          <w:lang w:val="en-GB"/>
        </w:rPr>
        <w:t>Graphs obtained from panel regressions on HILDA data</w:t>
      </w:r>
      <w:r w:rsidR="00F4707D">
        <w:rPr>
          <w:lang w:val="en-GB"/>
        </w:rPr>
        <w:t>.</w:t>
      </w:r>
    </w:p>
    <w:p w:rsidR="00BE39D4" w:rsidRDefault="00BE39D4">
      <w:pPr>
        <w:spacing w:before="0" w:line="240" w:lineRule="auto"/>
        <w:rPr>
          <w:rFonts w:ascii="Tahoma" w:hAnsi="Tahoma" w:cs="Tahoma"/>
          <w:color w:val="000000"/>
          <w:kern w:val="28"/>
          <w:sz w:val="56"/>
          <w:szCs w:val="56"/>
        </w:rPr>
      </w:pPr>
      <w:r>
        <w:br w:type="page"/>
      </w:r>
    </w:p>
    <w:p w:rsidR="002B5F36" w:rsidRDefault="002B5F36" w:rsidP="002B5F36">
      <w:pPr>
        <w:pStyle w:val="Heading1"/>
      </w:pPr>
      <w:bookmarkStart w:id="107" w:name="_Toc334101020"/>
      <w:r>
        <w:t>NVETR Program funding</w:t>
      </w:r>
      <w:bookmarkEnd w:id="105"/>
      <w:bookmarkEnd w:id="107"/>
      <w:r>
        <w:t xml:space="preserve"> </w:t>
      </w:r>
    </w:p>
    <w:p w:rsidR="002B5F36" w:rsidRDefault="002B5F36" w:rsidP="002B5F36">
      <w:pPr>
        <w:pStyle w:val="Text"/>
      </w:pPr>
      <w:r w:rsidRPr="003716FE">
        <w:t>This work has been produced by NCVER under the National Vocational Education and Training</w:t>
      </w:r>
      <w:r>
        <w:t xml:space="preserve"> Research (NVETR</w:t>
      </w:r>
      <w:r w:rsidRPr="003716FE">
        <w:t xml:space="preserve">) Program, which is coordinated and managed by NCVER on behalf of the Australian Government and state and territory governments. Funding is provided through the </w:t>
      </w:r>
      <w:r w:rsidRPr="00013AF5">
        <w:t>Department of Industry, Innovation, Science, Research and Tertiary Education</w:t>
      </w:r>
      <w:r w:rsidRPr="003716FE">
        <w:t xml:space="preserve">. </w:t>
      </w:r>
    </w:p>
    <w:p w:rsidR="002B5F36" w:rsidRPr="003716FE" w:rsidRDefault="002B5F36" w:rsidP="002B5F36">
      <w:pPr>
        <w:pStyle w:val="Text"/>
      </w:pPr>
      <w:r>
        <w:t>The NVETR</w:t>
      </w:r>
      <w:r w:rsidRPr="003716FE">
        <w:t xml:space="preserve"> </w:t>
      </w:r>
      <w:r>
        <w:t>P</w:t>
      </w:r>
      <w:r w:rsidRPr="003716FE">
        <w:t xml:space="preserve">rogram is based </w:t>
      </w:r>
      <w:r>
        <w:t>on</w:t>
      </w:r>
      <w:r w:rsidRPr="003716FE">
        <w:t xml:space="preserve"> priorities approved by ministers with responsibility for vocational education and training. This research aims to improve policy and practice in the VET sector. For further information about the program go to the NCVER website &lt;http://www.ncver.edu.au&gt;. The author/project team was funded to undertake this resea</w:t>
      </w:r>
      <w:r>
        <w:t>rch via a grant under the NVETR</w:t>
      </w:r>
      <w:r w:rsidRPr="003716FE">
        <w:t xml:space="preserve"> </w:t>
      </w:r>
      <w:r>
        <w:t>P</w:t>
      </w:r>
      <w:r w:rsidRPr="003716FE">
        <w:t xml:space="preserve">rogram. These grants are awarded to organisations through a competitive process, in which NCVER does not participate. </w:t>
      </w:r>
    </w:p>
    <w:p w:rsidR="00150874" w:rsidRPr="001C7034" w:rsidRDefault="00150874">
      <w:pPr>
        <w:spacing w:before="0" w:line="240" w:lineRule="auto"/>
        <w:rPr>
          <w:rFonts w:ascii="Arial" w:hAnsi="Arial" w:cs="Arial"/>
          <w:sz w:val="15"/>
          <w:szCs w:val="15"/>
          <w:lang w:val="en-GB"/>
        </w:rPr>
      </w:pPr>
    </w:p>
    <w:sectPr w:rsidR="00150874" w:rsidRPr="001C7034" w:rsidSect="002B5F36">
      <w:footerReference w:type="even" r:id="rId42"/>
      <w:footerReference w:type="default" r:id="rId43"/>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556" w:rsidRDefault="00AC0556">
      <w:r>
        <w:separator/>
      </w:r>
    </w:p>
  </w:endnote>
  <w:endnote w:type="continuationSeparator" w:id="0">
    <w:p w:rsidR="00AC0556" w:rsidRDefault="00AC05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vant Garde">
    <w:altName w:val="Century Gothic"/>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556" w:rsidRPr="009775C7" w:rsidRDefault="00AC0556"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556" w:rsidRPr="008C0A74" w:rsidRDefault="0067274E" w:rsidP="00FF5931">
    <w:pPr>
      <w:pStyle w:val="Footer"/>
      <w:tabs>
        <w:tab w:val="clear" w:pos="8505"/>
        <w:tab w:val="right" w:pos="8789"/>
      </w:tabs>
      <w:rPr>
        <w:b/>
      </w:rPr>
    </w:pPr>
    <w:r w:rsidRPr="0067274E">
      <w:rPr>
        <w:b/>
        <w:noProof/>
        <w:color w:val="FFFFFF" w:themeColor="background1"/>
        <w:lang w:eastAsia="en-AU"/>
      </w:rPr>
      <w:pict>
        <v:rect id="_x0000_s2054" style="position:absolute;margin-left:-85.05pt;margin-top:-2.45pt;width:99pt;height:18.75pt;z-index:-251649024" fillcolor="black [3213]" stroked="f" strokecolor="#bfbfbf [2412]"/>
      </w:pict>
    </w:r>
    <w:r w:rsidRPr="008C0A74">
      <w:rPr>
        <w:b/>
        <w:color w:val="FFFFFF" w:themeColor="background1"/>
      </w:rPr>
      <w:fldChar w:fldCharType="begin"/>
    </w:r>
    <w:r w:rsidR="00AC0556" w:rsidRPr="008C0A74">
      <w:rPr>
        <w:b/>
        <w:color w:val="FFFFFF" w:themeColor="background1"/>
      </w:rPr>
      <w:instrText xml:space="preserve"> PAGE </w:instrText>
    </w:r>
    <w:r w:rsidRPr="008C0A74">
      <w:rPr>
        <w:b/>
        <w:color w:val="FFFFFF" w:themeColor="background1"/>
      </w:rPr>
      <w:fldChar w:fldCharType="separate"/>
    </w:r>
    <w:r w:rsidR="00994D14">
      <w:rPr>
        <w:b/>
        <w:noProof/>
        <w:color w:val="FFFFFF" w:themeColor="background1"/>
      </w:rPr>
      <w:t>62</w:t>
    </w:r>
    <w:r w:rsidRPr="008C0A74">
      <w:rPr>
        <w:b/>
        <w:color w:val="FFFFFF" w:themeColor="background1"/>
      </w:rPr>
      <w:fldChar w:fldCharType="end"/>
    </w:r>
    <w:r w:rsidR="00AC0556" w:rsidRPr="008C0A74">
      <w:rPr>
        <w:b/>
        <w:color w:val="FFFFFF" w:themeColor="background1"/>
      </w:rPr>
      <w:tab/>
    </w:r>
    <w:r w:rsidR="00AC0556">
      <w:rPr>
        <w:b/>
      </w:rPr>
      <w:t xml:space="preserve">Studying beyond age 25: who does it and what do they </w:t>
    </w:r>
    <w:r w:rsidR="005C57CE">
      <w:rPr>
        <w:b/>
      </w:rPr>
      <w:t>gain</w:t>
    </w:r>
    <w:r w:rsidR="00AC0556">
      <w:rPr>
        <w:b/>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556" w:rsidRPr="009775C7" w:rsidRDefault="0067274E" w:rsidP="008C0A74">
    <w:pPr>
      <w:pStyle w:val="Footer"/>
      <w:tabs>
        <w:tab w:val="clear" w:pos="8505"/>
        <w:tab w:val="right" w:pos="8789"/>
      </w:tabs>
      <w:rPr>
        <w:color w:val="FFFFFF" w:themeColor="background1"/>
      </w:rPr>
    </w:pPr>
    <w:r w:rsidRPr="0067274E">
      <w:rPr>
        <w:b/>
        <w:noProof/>
        <w:lang w:eastAsia="en-AU"/>
      </w:rPr>
      <w:pict>
        <v:rect id="_x0000_s2053" style="position:absolute;margin-left:425.6pt;margin-top:-2.45pt;width:99pt;height:18.75pt;z-index:-251651072" fillcolor="black [3213]" stroked="f" strokecolor="#bfbfbf [2412]"/>
      </w:pict>
    </w:r>
    <w:r w:rsidR="00AC0556" w:rsidRPr="009775C7">
      <w:rPr>
        <w:b/>
      </w:rPr>
      <w:t>NCVER</w:t>
    </w:r>
    <w:r w:rsidR="00AC0556" w:rsidRPr="009775C7">
      <w:tab/>
    </w:r>
    <w:r w:rsidRPr="009775C7">
      <w:rPr>
        <w:rStyle w:val="PageNumber"/>
        <w:rFonts w:cs="Tahoma"/>
        <w:b/>
        <w:color w:val="FFFFFF" w:themeColor="background1"/>
        <w:sz w:val="17"/>
      </w:rPr>
      <w:fldChar w:fldCharType="begin"/>
    </w:r>
    <w:r w:rsidR="00AC0556"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994D14">
      <w:rPr>
        <w:rStyle w:val="PageNumber"/>
        <w:rFonts w:cs="Tahoma"/>
        <w:b/>
        <w:noProof/>
        <w:color w:val="FFFFFF" w:themeColor="background1"/>
        <w:sz w:val="17"/>
      </w:rPr>
      <w:t>63</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556" w:rsidRDefault="00AC0556">
      <w:r>
        <w:separator/>
      </w:r>
    </w:p>
  </w:footnote>
  <w:footnote w:type="continuationSeparator" w:id="0">
    <w:p w:rsidR="00AC0556" w:rsidRDefault="00AC0556">
      <w:r>
        <w:continuationSeparator/>
      </w:r>
    </w:p>
  </w:footnote>
  <w:footnote w:id="1">
    <w:p w:rsidR="00AC0556" w:rsidRDefault="00AC0556" w:rsidP="00D93B4C">
      <w:pPr>
        <w:pStyle w:val="FootnoteText"/>
        <w:ind w:right="57"/>
      </w:pPr>
      <w:r>
        <w:rPr>
          <w:rStyle w:val="FootnoteReference"/>
        </w:rPr>
        <w:footnoteRef/>
      </w:r>
      <w:r>
        <w:tab/>
        <w:t>Our definition of a mature-age student is similar to the OECD definition of individuals aged 30 and over. The Australian Bureau of Statistics (ABS) generally uses a narrower definition of mature age, which only includes individuals aged 45—64 years.</w:t>
      </w:r>
    </w:p>
  </w:footnote>
  <w:footnote w:id="2">
    <w:p w:rsidR="00AC0556" w:rsidRPr="00A853C4" w:rsidRDefault="00AC0556" w:rsidP="00354AD2">
      <w:pPr>
        <w:pStyle w:val="FootnoteText"/>
        <w:rPr>
          <w:lang w:val="en-US"/>
        </w:rPr>
      </w:pPr>
      <w:r>
        <w:rPr>
          <w:rStyle w:val="FootnoteReference"/>
        </w:rPr>
        <w:footnoteRef/>
      </w:r>
      <w:r>
        <w:tab/>
      </w:r>
      <w:r>
        <w:rPr>
          <w:lang w:val="en-US"/>
        </w:rPr>
        <w:t xml:space="preserve">Information on non-formal study is not collected in the HILDA Survey, the main dataset we rely on in this report. Informal training is quite prevalent in Australia, as it is in many countries. Approximately 30% of respondents aged 25 to 64 report having undertaken at least one informal training course in the past 12 months in the 2009 Survey of Education and Training, with over two-thirds of this training being work-related. </w:t>
      </w:r>
    </w:p>
  </w:footnote>
  <w:footnote w:id="3">
    <w:p w:rsidR="00AC0556" w:rsidRPr="005D2564" w:rsidRDefault="00AC0556" w:rsidP="006027F2">
      <w:pPr>
        <w:pStyle w:val="FootnoteText"/>
        <w:jc w:val="both"/>
        <w:rPr>
          <w:lang w:val="en-US"/>
        </w:rPr>
      </w:pPr>
      <w:r>
        <w:rPr>
          <w:rStyle w:val="FootnoteReference"/>
        </w:rPr>
        <w:footnoteRef/>
      </w:r>
      <w:r>
        <w:tab/>
      </w:r>
      <w:r>
        <w:rPr>
          <w:lang w:val="en-US"/>
        </w:rPr>
        <w:t xml:space="preserve">We employ the 2009 SET in addition to HILDA for two reasons. To begin, the 2009 SET has larger sample sizes than HILDA; therefore, we can provide potentially more precise estimates of participation in formal education broken down by age group, and thus provide a check to ensure the participation rates constructed using HILDA are reasonable. More importantly, the 2009 SET collects a number of variables that HILDA does not. The additional variables we employ are: </w:t>
      </w:r>
      <w:r w:rsidRPr="00B07B55">
        <w:rPr>
          <w:lang w:val="en-GB"/>
        </w:rPr>
        <w:t>type of institution attended, mode of attendance (on</w:t>
      </w:r>
      <w:r>
        <w:rPr>
          <w:lang w:val="en-GB"/>
        </w:rPr>
        <w:t>-</w:t>
      </w:r>
      <w:r w:rsidRPr="00B07B55">
        <w:rPr>
          <w:lang w:val="en-GB"/>
        </w:rPr>
        <w:t>campus versus correspondence or distance), whether the individual is an apprentice or trainee</w:t>
      </w:r>
      <w:r>
        <w:rPr>
          <w:lang w:val="en-GB"/>
        </w:rPr>
        <w:t xml:space="preserve">, and the main reason for studying. </w:t>
      </w:r>
    </w:p>
  </w:footnote>
  <w:footnote w:id="4">
    <w:p w:rsidR="00AC0556" w:rsidRPr="00C23F8E" w:rsidRDefault="00AC0556">
      <w:pPr>
        <w:pStyle w:val="FootnoteText"/>
        <w:rPr>
          <w:lang w:val="en-US"/>
        </w:rPr>
      </w:pPr>
      <w:r>
        <w:rPr>
          <w:rStyle w:val="FootnoteReference"/>
        </w:rPr>
        <w:footnoteRef/>
      </w:r>
      <w:r>
        <w:tab/>
      </w:r>
      <w:r>
        <w:rPr>
          <w:lang w:val="en-US"/>
        </w:rPr>
        <w:t xml:space="preserve">Similar percentages of certificate-level students were estimated to have already obtained a diploma or higher using the 2009 Survey of Education and Training. </w:t>
      </w:r>
    </w:p>
  </w:footnote>
  <w:footnote w:id="5">
    <w:p w:rsidR="00AC0556" w:rsidRDefault="00AC0556">
      <w:pPr>
        <w:pStyle w:val="FootnoteText"/>
      </w:pPr>
      <w:r>
        <w:rPr>
          <w:rStyle w:val="FootnoteReference"/>
        </w:rPr>
        <w:footnoteRef/>
      </w:r>
      <w:r>
        <w:tab/>
        <w:t>UNESCO = United Nations Educational, Scientific and Cultural Organization.</w:t>
      </w:r>
    </w:p>
  </w:footnote>
  <w:footnote w:id="6">
    <w:p w:rsidR="00AC0556" w:rsidRDefault="00AC0556">
      <w:pPr>
        <w:pStyle w:val="FootnoteText"/>
      </w:pPr>
      <w:r>
        <w:rPr>
          <w:rStyle w:val="FootnoteReference"/>
        </w:rPr>
        <w:footnoteRef/>
      </w:r>
      <w:r>
        <w:tab/>
        <w:t>As indicated earlier, only respondents who indicated the learning took place in a school or in an academic institution were included; those who undertook training in the workplace or at a training centre were excluded.</w:t>
      </w:r>
    </w:p>
  </w:footnote>
  <w:footnote w:id="7">
    <w:p w:rsidR="00AC0556" w:rsidRDefault="00AC0556" w:rsidP="005A7962">
      <w:pPr>
        <w:pStyle w:val="FootnoteText"/>
      </w:pPr>
      <w:r>
        <w:rPr>
          <w:rStyle w:val="FootnoteReference"/>
        </w:rPr>
        <w:footnoteRef/>
      </w:r>
      <w:r>
        <w:tab/>
        <w:t>Wolf (2011) provides an extremely detailed analysis of the role and scope of vocational education in the United Kingdom.</w:t>
      </w:r>
    </w:p>
  </w:footnote>
  <w:footnote w:id="8">
    <w:p w:rsidR="00AC0556" w:rsidRPr="005135EC" w:rsidRDefault="00AC0556">
      <w:pPr>
        <w:pStyle w:val="FootnoteText"/>
        <w:rPr>
          <w:lang w:val="en-US"/>
        </w:rPr>
      </w:pPr>
      <w:r>
        <w:rPr>
          <w:rStyle w:val="FootnoteReference"/>
        </w:rPr>
        <w:footnoteRef/>
      </w:r>
      <w:r>
        <w:tab/>
      </w:r>
      <w:r>
        <w:rPr>
          <w:lang w:val="en-US"/>
        </w:rPr>
        <w:t>These occupational quartiles were constructed using the AUSEI06 occupational status scale based on the occupation of the parent when the individual was aged 14. See McMillan, Beavis and Jones (2009) for further details of how the occupational status scale was constructed.</w:t>
      </w:r>
    </w:p>
  </w:footnote>
  <w:footnote w:id="9">
    <w:p w:rsidR="00AC0556" w:rsidRPr="00AC2138" w:rsidRDefault="00AC0556">
      <w:pPr>
        <w:pStyle w:val="FootnoteText"/>
        <w:rPr>
          <w:lang w:val="en-US"/>
        </w:rPr>
      </w:pPr>
      <w:r>
        <w:rPr>
          <w:rStyle w:val="FootnoteReference"/>
        </w:rPr>
        <w:footnoteRef/>
      </w:r>
      <w:r>
        <w:tab/>
      </w:r>
      <w:r>
        <w:rPr>
          <w:lang w:val="en-US"/>
        </w:rPr>
        <w:t>The measure employed is the AUSEI06 occupational status scale, with possible values running from 0 to 100. See McMillan, Beavis and Jones (2009) for details.</w:t>
      </w:r>
    </w:p>
  </w:footnote>
  <w:footnote w:id="10">
    <w:p w:rsidR="00AC0556" w:rsidRPr="005E4144" w:rsidRDefault="00AC0556" w:rsidP="000B4886">
      <w:pPr>
        <w:pStyle w:val="FootnoteText"/>
      </w:pPr>
      <w:r>
        <w:rPr>
          <w:rStyle w:val="FootnoteReference"/>
        </w:rPr>
        <w:footnoteRef/>
      </w:r>
      <w:r>
        <w:tab/>
        <w:t>The analysis was repeated after controlling for any changes in marital and employment status that might have occurred between waves 1 and 9. The main estimates of the effect of education on outcomes are essentially unchanged from those presented in table 12 and therefore are not reported here.</w:t>
      </w:r>
    </w:p>
  </w:footnote>
  <w:footnote w:id="11">
    <w:p w:rsidR="00AC0556" w:rsidRPr="00AB5011" w:rsidRDefault="00AC0556">
      <w:pPr>
        <w:pStyle w:val="FootnoteText"/>
      </w:pPr>
      <w:r>
        <w:rPr>
          <w:rStyle w:val="FootnoteReference"/>
        </w:rPr>
        <w:footnoteRef/>
      </w:r>
      <w:r>
        <w:tab/>
        <w:t>Table A5 presents some basic statistics on the number of individuals who enrol and complete VET and bachelor degree and higher courses at mature ages from HILDA.</w:t>
      </w:r>
    </w:p>
  </w:footnote>
  <w:footnote w:id="12">
    <w:p w:rsidR="00AC0556" w:rsidRPr="00B07B55" w:rsidRDefault="00AC0556" w:rsidP="00407EF9">
      <w:pPr>
        <w:pStyle w:val="FootnoteText"/>
        <w:rPr>
          <w:lang w:val="en-GB"/>
        </w:rPr>
      </w:pPr>
      <w:r>
        <w:rPr>
          <w:rStyle w:val="FootnoteReference"/>
        </w:rPr>
        <w:footnoteRef/>
      </w:r>
      <w:r>
        <w:tab/>
      </w:r>
      <w:r w:rsidRPr="00CF2FE5">
        <w:rPr>
          <w:lang w:val="en-US"/>
        </w:rPr>
        <w:t xml:space="preserve">Although VET courses do not define an educational level </w:t>
      </w:r>
      <w:r w:rsidRPr="00FD013F">
        <w:rPr>
          <w:lang w:val="en-US"/>
        </w:rPr>
        <w:t>per se</w:t>
      </w:r>
      <w:r w:rsidRPr="00CF2FE5">
        <w:rPr>
          <w:lang w:val="en-US"/>
        </w:rPr>
        <w:t>, the terminology will be used here to highlight the difference between participation</w:t>
      </w:r>
      <w:r>
        <w:rPr>
          <w:lang w:val="en-US"/>
        </w:rPr>
        <w:t xml:space="preserve"> at university-level courses and other educational choices. </w:t>
      </w:r>
    </w:p>
  </w:footnote>
  <w:footnote w:id="13">
    <w:p w:rsidR="00AC0556" w:rsidRDefault="00AC0556" w:rsidP="000D4797">
      <w:pPr>
        <w:pStyle w:val="FootnoteText"/>
      </w:pPr>
      <w:r>
        <w:rPr>
          <w:rStyle w:val="FootnoteReference"/>
        </w:rPr>
        <w:footnoteRef/>
      </w:r>
      <w:r>
        <w:tab/>
        <w:t>The complete set of results with respect to all the outcomes for bachelor and above level study and just for completion of qualifications is available from the authors.</w:t>
      </w:r>
    </w:p>
  </w:footnote>
  <w:footnote w:id="14">
    <w:p w:rsidR="00AC0556" w:rsidRPr="00CA49FB" w:rsidRDefault="00AC0556">
      <w:pPr>
        <w:pStyle w:val="FootnoteText"/>
        <w:rPr>
          <w:lang w:val="en-US"/>
        </w:rPr>
      </w:pPr>
      <w:r>
        <w:rPr>
          <w:rStyle w:val="FootnoteReference"/>
        </w:rPr>
        <w:footnoteRef/>
      </w:r>
      <w:r>
        <w:tab/>
      </w:r>
      <w:r>
        <w:rPr>
          <w:lang w:val="en-US"/>
        </w:rPr>
        <w:t xml:space="preserve">The estimates presented (the red crosses) are specifically the coefficients on indicator variables for the number of years before or after a particular education spell estimated using the full panel of nine years of annual data including all covariates that change over time (thus immigrant status and parental occupation are excluded) and individual fixed effects. The estimate for ‘study’ is the coefficient on an indicator equal to one during each year the individual is actually studying. </w:t>
      </w:r>
    </w:p>
  </w:footnote>
  <w:footnote w:id="15">
    <w:p w:rsidR="00AC0556" w:rsidRPr="00557130" w:rsidRDefault="00AC0556">
      <w:pPr>
        <w:pStyle w:val="FootnoteText"/>
        <w:rPr>
          <w:lang w:val="en-US"/>
        </w:rPr>
      </w:pPr>
      <w:r>
        <w:rPr>
          <w:rStyle w:val="FootnoteReference"/>
        </w:rPr>
        <w:footnoteRef/>
      </w:r>
      <w:r>
        <w:tab/>
      </w:r>
      <w:r>
        <w:rPr>
          <w:lang w:val="en-US"/>
        </w:rPr>
        <w:t>The vertical lines represent the 95% confidence intervals on the estimated coefficients.</w:t>
      </w:r>
    </w:p>
  </w:footnote>
  <w:footnote w:id="16">
    <w:p w:rsidR="00AC0556" w:rsidRDefault="00AC0556" w:rsidP="001F5956">
      <w:pPr>
        <w:pStyle w:val="FootnoteText"/>
      </w:pPr>
      <w:r>
        <w:rPr>
          <w:rStyle w:val="FootnoteReference"/>
        </w:rPr>
        <w:footnoteRef/>
      </w:r>
      <w:r>
        <w:tab/>
        <w:t>PPP = purchasing power parity.</w:t>
      </w:r>
    </w:p>
  </w:footnote>
  <w:footnote w:id="17">
    <w:p w:rsidR="00AC0556" w:rsidRDefault="00AC0556" w:rsidP="00260CE4">
      <w:pPr>
        <w:pStyle w:val="CommentText"/>
        <w:spacing w:before="0" w:line="220" w:lineRule="exact"/>
        <w:ind w:left="170" w:hanging="170"/>
      </w:pPr>
      <w:r w:rsidRPr="005E6EBC">
        <w:rPr>
          <w:rStyle w:val="FootnoteReference"/>
          <w:sz w:val="16"/>
          <w:szCs w:val="16"/>
        </w:rPr>
        <w:footnoteRef/>
      </w:r>
      <w:r>
        <w:rPr>
          <w:sz w:val="16"/>
          <w:szCs w:val="16"/>
        </w:rPr>
        <w:tab/>
      </w:r>
      <w:r w:rsidRPr="005E6EBC">
        <w:rPr>
          <w:sz w:val="16"/>
          <w:szCs w:val="16"/>
        </w:rPr>
        <w:t xml:space="preserve">The reported </w:t>
      </w:r>
      <w:r>
        <w:rPr>
          <w:sz w:val="16"/>
          <w:szCs w:val="16"/>
        </w:rPr>
        <w:t xml:space="preserve">mean </w:t>
      </w:r>
      <w:r w:rsidRPr="005E6EBC">
        <w:rPr>
          <w:sz w:val="16"/>
          <w:szCs w:val="16"/>
        </w:rPr>
        <w:t xml:space="preserve">probabilities </w:t>
      </w:r>
      <w:r>
        <w:rPr>
          <w:sz w:val="16"/>
          <w:szCs w:val="16"/>
        </w:rPr>
        <w:t xml:space="preserve">are predictions from our probit models, but are </w:t>
      </w:r>
      <w:r w:rsidRPr="005E6EBC">
        <w:rPr>
          <w:sz w:val="16"/>
          <w:szCs w:val="16"/>
        </w:rPr>
        <w:t xml:space="preserve">extremely close to the actual </w:t>
      </w:r>
      <w:r>
        <w:rPr>
          <w:sz w:val="16"/>
          <w:szCs w:val="16"/>
        </w:rPr>
        <w:t>mean probabilities of enrolment</w:t>
      </w:r>
      <w:r w:rsidRPr="005E6EBC">
        <w:rPr>
          <w:sz w:val="16"/>
          <w:szCs w:val="16"/>
        </w:rPr>
        <w:t xml:space="preserve"> </w:t>
      </w:r>
      <w:r>
        <w:rPr>
          <w:sz w:val="16"/>
          <w:szCs w:val="16"/>
        </w:rPr>
        <w:t xml:space="preserve">in </w:t>
      </w:r>
      <w:r w:rsidRPr="005E6EBC">
        <w:rPr>
          <w:sz w:val="16"/>
          <w:szCs w:val="16"/>
        </w:rPr>
        <w:t>the raw data</w:t>
      </w:r>
      <w:r>
        <w:rPr>
          <w:sz w:val="16"/>
          <w:szCs w:val="16"/>
        </w:rPr>
        <w:t>. We report these mean predicted probabilities</w:t>
      </w:r>
      <w:r w:rsidRPr="005E6EBC">
        <w:rPr>
          <w:sz w:val="16"/>
          <w:szCs w:val="16"/>
        </w:rPr>
        <w:t xml:space="preserve"> because the </w:t>
      </w:r>
      <w:r>
        <w:rPr>
          <w:sz w:val="16"/>
          <w:szCs w:val="16"/>
        </w:rPr>
        <w:t>decomposition results we report in table 15 use the probit estimates and these predicted probabilities</w:t>
      </w:r>
      <w:r w:rsidRPr="005E6EBC">
        <w:rPr>
          <w:sz w:val="16"/>
          <w:szCs w:val="16"/>
        </w:rPr>
        <w:t xml:space="preserve">. </w:t>
      </w:r>
    </w:p>
  </w:footnote>
  <w:footnote w:id="18">
    <w:p w:rsidR="00AC0556" w:rsidRPr="00F639CD" w:rsidRDefault="00AC0556" w:rsidP="00260CE4">
      <w:pPr>
        <w:pStyle w:val="FootnoteText"/>
        <w:ind w:right="0"/>
        <w:rPr>
          <w:lang w:val="en-US"/>
        </w:rPr>
      </w:pPr>
      <w:r>
        <w:rPr>
          <w:rStyle w:val="FootnoteReference"/>
        </w:rPr>
        <w:footnoteRef/>
      </w:r>
      <w:r>
        <w:tab/>
      </w:r>
      <w:r>
        <w:rPr>
          <w:lang w:val="en-US"/>
        </w:rPr>
        <w:t>Adema, Fron and Ladaique (</w:t>
      </w:r>
      <w:r w:rsidRPr="00DA5455">
        <w:rPr>
          <w:lang w:val="en-US"/>
        </w:rPr>
        <w:t>2011</w:t>
      </w:r>
      <w:r>
        <w:rPr>
          <w:lang w:val="en-US"/>
        </w:rPr>
        <w:t>). See also Buckingham (2</w:t>
      </w:r>
      <w:r w:rsidRPr="00DA5455">
        <w:rPr>
          <w:lang w:val="en-US"/>
        </w:rPr>
        <w:t>000</w:t>
      </w:r>
      <w:r>
        <w:rPr>
          <w:lang w:val="en-US"/>
        </w:rPr>
        <w:t>)</w:t>
      </w:r>
      <w:r w:rsidRPr="00DA5455">
        <w:rPr>
          <w:lang w:val="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57ACBD92"/>
    <w:lvl w:ilvl="0" w:tplc="5BECE91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7862114"/>
    <w:multiLevelType w:val="hybridMultilevel"/>
    <w:tmpl w:val="371A52A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20E4C72"/>
    <w:multiLevelType w:val="hybridMultilevel"/>
    <w:tmpl w:val="ECDA1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18"/>
  </w:num>
  <w:num w:numId="5">
    <w:abstractNumId w:val="12"/>
  </w:num>
  <w:num w:numId="6">
    <w:abstractNumId w:val="23"/>
  </w:num>
  <w:num w:numId="7">
    <w:abstractNumId w:val="25"/>
  </w:num>
  <w:num w:numId="8">
    <w:abstractNumId w:val="24"/>
  </w:num>
  <w:num w:numId="9">
    <w:abstractNumId w:val="28"/>
  </w:num>
  <w:num w:numId="10">
    <w:abstractNumId w:val="19"/>
  </w:num>
  <w:num w:numId="11">
    <w:abstractNumId w:val="16"/>
  </w:num>
  <w:num w:numId="12">
    <w:abstractNumId w:val="21"/>
  </w:num>
  <w:num w:numId="13">
    <w:abstractNumId w:val="22"/>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9"/>
  </w:num>
  <w:num w:numId="27">
    <w:abstractNumId w:val="27"/>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6"/>
  </w:num>
  <w:num w:numId="35">
    <w:abstractNumId w:val="30"/>
  </w:num>
  <w:num w:numId="36">
    <w:abstractNumId w:val="20"/>
  </w:num>
  <w:num w:numId="3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0"/>
  </w:num>
  <w:num w:numId="40">
    <w:abstractNumId w:val="10"/>
  </w:num>
  <w:num w:numId="41">
    <w:abstractNumId w:val="10"/>
  </w:num>
  <w:num w:numId="42">
    <w:abstractNumId w:val="10"/>
    <w:lvlOverride w:ilvl="0">
      <w:startOverride w:val="1"/>
    </w:lvlOverride>
  </w:num>
  <w:num w:numId="43">
    <w:abstractNumId w:val="10"/>
    <w:lvlOverride w:ilvl="0">
      <w:startOverride w:val="1"/>
    </w:lvlOverride>
  </w:num>
  <w:num w:numId="44">
    <w:abstractNumId w:val="10"/>
  </w:num>
  <w:num w:numId="45">
    <w:abstractNumId w:val="10"/>
  </w:num>
  <w:num w:numId="46">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F01"/>
  <w:stylePaneSortMethod w:val="0000"/>
  <w:defaultTabStop w:val="720"/>
  <w:hyphenationZone w:val="283"/>
  <w:doNotHyphenateCaps/>
  <w:clickAndTypeStyle w:val="Text"/>
  <w:evenAndOddHeaders/>
  <w:drawingGridHorizontalSpacing w:val="96"/>
  <w:drawingGridVerticalSpacing w:val="181"/>
  <w:displayHorizontalDrawingGridEvery w:val="0"/>
  <w:displayVerticalDrawingGridEvery w:val="2"/>
  <w:noPunctuationKerning/>
  <w:characterSpacingControl w:val="doNotCompress"/>
  <w:hdrShapeDefaults>
    <o:shapedefaults v:ext="edit" spidmax="2055">
      <o:colormenu v:ext="edit" strokecolor="none"/>
    </o:shapedefaults>
    <o:shapelayout v:ext="edit">
      <o:idmap v:ext="edit" data="2"/>
    </o:shapelayout>
  </w:hdrShapeDefaults>
  <w:footnotePr>
    <w:footnote w:id="-1"/>
    <w:footnote w:id="0"/>
  </w:footnotePr>
  <w:endnotePr>
    <w:endnote w:id="-1"/>
    <w:endnote w:id="0"/>
  </w:endnotePr>
  <w:compat/>
  <w:rsids>
    <w:rsidRoot w:val="004D2231"/>
    <w:rsid w:val="00002BED"/>
    <w:rsid w:val="00006DEF"/>
    <w:rsid w:val="00007035"/>
    <w:rsid w:val="00007E67"/>
    <w:rsid w:val="000108B2"/>
    <w:rsid w:val="00012E4E"/>
    <w:rsid w:val="00013265"/>
    <w:rsid w:val="0001435C"/>
    <w:rsid w:val="00022290"/>
    <w:rsid w:val="000228E4"/>
    <w:rsid w:val="00023F7F"/>
    <w:rsid w:val="00024143"/>
    <w:rsid w:val="00025CDB"/>
    <w:rsid w:val="00030733"/>
    <w:rsid w:val="000315D7"/>
    <w:rsid w:val="00031601"/>
    <w:rsid w:val="00032887"/>
    <w:rsid w:val="000343A1"/>
    <w:rsid w:val="000352D0"/>
    <w:rsid w:val="000371F7"/>
    <w:rsid w:val="0003788E"/>
    <w:rsid w:val="00040AD0"/>
    <w:rsid w:val="0004106D"/>
    <w:rsid w:val="00043321"/>
    <w:rsid w:val="00043C42"/>
    <w:rsid w:val="00043D27"/>
    <w:rsid w:val="000458D4"/>
    <w:rsid w:val="000476BC"/>
    <w:rsid w:val="00050589"/>
    <w:rsid w:val="00050A0D"/>
    <w:rsid w:val="00051566"/>
    <w:rsid w:val="00052249"/>
    <w:rsid w:val="00052CAE"/>
    <w:rsid w:val="00056408"/>
    <w:rsid w:val="00060506"/>
    <w:rsid w:val="0006125F"/>
    <w:rsid w:val="000624D4"/>
    <w:rsid w:val="0006428F"/>
    <w:rsid w:val="00065598"/>
    <w:rsid w:val="000657EB"/>
    <w:rsid w:val="0006639C"/>
    <w:rsid w:val="00066D15"/>
    <w:rsid w:val="000677C3"/>
    <w:rsid w:val="00067FEE"/>
    <w:rsid w:val="0007097D"/>
    <w:rsid w:val="00070F08"/>
    <w:rsid w:val="00074BD4"/>
    <w:rsid w:val="00074ECA"/>
    <w:rsid w:val="00081F56"/>
    <w:rsid w:val="0008221E"/>
    <w:rsid w:val="00083810"/>
    <w:rsid w:val="00085113"/>
    <w:rsid w:val="00092256"/>
    <w:rsid w:val="000939E6"/>
    <w:rsid w:val="00095876"/>
    <w:rsid w:val="00097D7D"/>
    <w:rsid w:val="000A0745"/>
    <w:rsid w:val="000A09FD"/>
    <w:rsid w:val="000A295F"/>
    <w:rsid w:val="000A37F0"/>
    <w:rsid w:val="000A40E3"/>
    <w:rsid w:val="000A7D5F"/>
    <w:rsid w:val="000B34AF"/>
    <w:rsid w:val="000B3680"/>
    <w:rsid w:val="000B45CC"/>
    <w:rsid w:val="000B477A"/>
    <w:rsid w:val="000B4886"/>
    <w:rsid w:val="000C48ED"/>
    <w:rsid w:val="000C7D39"/>
    <w:rsid w:val="000D1AAD"/>
    <w:rsid w:val="000D4003"/>
    <w:rsid w:val="000D4797"/>
    <w:rsid w:val="000E0ECC"/>
    <w:rsid w:val="000E22A7"/>
    <w:rsid w:val="000E2AA8"/>
    <w:rsid w:val="000E3B5F"/>
    <w:rsid w:val="000E73AC"/>
    <w:rsid w:val="000E7729"/>
    <w:rsid w:val="000F2BF9"/>
    <w:rsid w:val="000F54B5"/>
    <w:rsid w:val="000F6232"/>
    <w:rsid w:val="000F641C"/>
    <w:rsid w:val="000F6A27"/>
    <w:rsid w:val="000F7AEC"/>
    <w:rsid w:val="000F7E75"/>
    <w:rsid w:val="001007A0"/>
    <w:rsid w:val="00103B1A"/>
    <w:rsid w:val="0010438C"/>
    <w:rsid w:val="001049C9"/>
    <w:rsid w:val="00106995"/>
    <w:rsid w:val="0010761A"/>
    <w:rsid w:val="001106F0"/>
    <w:rsid w:val="00112ADC"/>
    <w:rsid w:val="00121E55"/>
    <w:rsid w:val="00123B5C"/>
    <w:rsid w:val="00124C8C"/>
    <w:rsid w:val="0012791C"/>
    <w:rsid w:val="00132752"/>
    <w:rsid w:val="00134808"/>
    <w:rsid w:val="00135C75"/>
    <w:rsid w:val="0013676B"/>
    <w:rsid w:val="0014061E"/>
    <w:rsid w:val="00141145"/>
    <w:rsid w:val="00143693"/>
    <w:rsid w:val="00143946"/>
    <w:rsid w:val="0014625D"/>
    <w:rsid w:val="001479D3"/>
    <w:rsid w:val="00150874"/>
    <w:rsid w:val="001509F3"/>
    <w:rsid w:val="001526FB"/>
    <w:rsid w:val="001532F8"/>
    <w:rsid w:val="00155839"/>
    <w:rsid w:val="001558CE"/>
    <w:rsid w:val="00157126"/>
    <w:rsid w:val="00163247"/>
    <w:rsid w:val="0016512F"/>
    <w:rsid w:val="001666A3"/>
    <w:rsid w:val="00166FC0"/>
    <w:rsid w:val="001672E7"/>
    <w:rsid w:val="001678E2"/>
    <w:rsid w:val="001701A2"/>
    <w:rsid w:val="00173290"/>
    <w:rsid w:val="00173FD4"/>
    <w:rsid w:val="001741AA"/>
    <w:rsid w:val="00176092"/>
    <w:rsid w:val="0017611B"/>
    <w:rsid w:val="00177827"/>
    <w:rsid w:val="00177AD5"/>
    <w:rsid w:val="001819E2"/>
    <w:rsid w:val="00181DC0"/>
    <w:rsid w:val="00182C1B"/>
    <w:rsid w:val="00184374"/>
    <w:rsid w:val="00184504"/>
    <w:rsid w:val="00185A40"/>
    <w:rsid w:val="00185FAF"/>
    <w:rsid w:val="00192431"/>
    <w:rsid w:val="001925F4"/>
    <w:rsid w:val="00193882"/>
    <w:rsid w:val="001A00DF"/>
    <w:rsid w:val="001A0107"/>
    <w:rsid w:val="001A3BD9"/>
    <w:rsid w:val="001A4C6C"/>
    <w:rsid w:val="001A6FE1"/>
    <w:rsid w:val="001B008D"/>
    <w:rsid w:val="001B0962"/>
    <w:rsid w:val="001B392D"/>
    <w:rsid w:val="001B3B01"/>
    <w:rsid w:val="001B3F2F"/>
    <w:rsid w:val="001B43CF"/>
    <w:rsid w:val="001B7360"/>
    <w:rsid w:val="001C005F"/>
    <w:rsid w:val="001C39DA"/>
    <w:rsid w:val="001C3E82"/>
    <w:rsid w:val="001C6B5B"/>
    <w:rsid w:val="001C7034"/>
    <w:rsid w:val="001C73D5"/>
    <w:rsid w:val="001C7A30"/>
    <w:rsid w:val="001D0F6A"/>
    <w:rsid w:val="001D0FC7"/>
    <w:rsid w:val="001D5D8F"/>
    <w:rsid w:val="001D7864"/>
    <w:rsid w:val="001E221C"/>
    <w:rsid w:val="001E3836"/>
    <w:rsid w:val="001E7CCE"/>
    <w:rsid w:val="001F2725"/>
    <w:rsid w:val="001F30AC"/>
    <w:rsid w:val="001F4451"/>
    <w:rsid w:val="001F575B"/>
    <w:rsid w:val="001F5956"/>
    <w:rsid w:val="001F7D84"/>
    <w:rsid w:val="00202D98"/>
    <w:rsid w:val="00205A5A"/>
    <w:rsid w:val="00207BDA"/>
    <w:rsid w:val="002120F5"/>
    <w:rsid w:val="00216DD1"/>
    <w:rsid w:val="00221B8B"/>
    <w:rsid w:val="002221C5"/>
    <w:rsid w:val="00224F17"/>
    <w:rsid w:val="00224FD3"/>
    <w:rsid w:val="00225088"/>
    <w:rsid w:val="0022560B"/>
    <w:rsid w:val="00225FA8"/>
    <w:rsid w:val="00226BC6"/>
    <w:rsid w:val="00226BCD"/>
    <w:rsid w:val="002277A9"/>
    <w:rsid w:val="00230081"/>
    <w:rsid w:val="00233BFA"/>
    <w:rsid w:val="00234CE2"/>
    <w:rsid w:val="00237974"/>
    <w:rsid w:val="00240C45"/>
    <w:rsid w:val="002462E2"/>
    <w:rsid w:val="00252A8E"/>
    <w:rsid w:val="00252FBE"/>
    <w:rsid w:val="00254BBC"/>
    <w:rsid w:val="00255B6F"/>
    <w:rsid w:val="00257635"/>
    <w:rsid w:val="00260CE4"/>
    <w:rsid w:val="00261CE0"/>
    <w:rsid w:val="00264735"/>
    <w:rsid w:val="002666F4"/>
    <w:rsid w:val="00266F28"/>
    <w:rsid w:val="00267D51"/>
    <w:rsid w:val="00274558"/>
    <w:rsid w:val="002747C1"/>
    <w:rsid w:val="002752AB"/>
    <w:rsid w:val="00280E1C"/>
    <w:rsid w:val="00282DD3"/>
    <w:rsid w:val="00284FCB"/>
    <w:rsid w:val="00286CA3"/>
    <w:rsid w:val="0029099A"/>
    <w:rsid w:val="002949DD"/>
    <w:rsid w:val="0029627E"/>
    <w:rsid w:val="002972FC"/>
    <w:rsid w:val="002A2EC6"/>
    <w:rsid w:val="002B1A43"/>
    <w:rsid w:val="002B2D73"/>
    <w:rsid w:val="002B37A0"/>
    <w:rsid w:val="002B4068"/>
    <w:rsid w:val="002B5F36"/>
    <w:rsid w:val="002B6FD0"/>
    <w:rsid w:val="002C050C"/>
    <w:rsid w:val="002C0ADC"/>
    <w:rsid w:val="002C1A1A"/>
    <w:rsid w:val="002C32C3"/>
    <w:rsid w:val="002C51FA"/>
    <w:rsid w:val="002C6A41"/>
    <w:rsid w:val="002C7AE1"/>
    <w:rsid w:val="002D000B"/>
    <w:rsid w:val="002D132B"/>
    <w:rsid w:val="002D2BF3"/>
    <w:rsid w:val="002D69E6"/>
    <w:rsid w:val="002D79E4"/>
    <w:rsid w:val="002E084D"/>
    <w:rsid w:val="002E196B"/>
    <w:rsid w:val="002E375F"/>
    <w:rsid w:val="002E4288"/>
    <w:rsid w:val="002E4877"/>
    <w:rsid w:val="002E4CC5"/>
    <w:rsid w:val="002F16A8"/>
    <w:rsid w:val="002F1E33"/>
    <w:rsid w:val="002F4018"/>
    <w:rsid w:val="002F464F"/>
    <w:rsid w:val="002F4787"/>
    <w:rsid w:val="002F7B47"/>
    <w:rsid w:val="003055F8"/>
    <w:rsid w:val="00314524"/>
    <w:rsid w:val="003146AA"/>
    <w:rsid w:val="003223AE"/>
    <w:rsid w:val="00326098"/>
    <w:rsid w:val="003276E0"/>
    <w:rsid w:val="00331C70"/>
    <w:rsid w:val="0033425C"/>
    <w:rsid w:val="00334CE3"/>
    <w:rsid w:val="0033524C"/>
    <w:rsid w:val="00336630"/>
    <w:rsid w:val="00340B4D"/>
    <w:rsid w:val="0034246D"/>
    <w:rsid w:val="00342A9F"/>
    <w:rsid w:val="00344D66"/>
    <w:rsid w:val="003456C2"/>
    <w:rsid w:val="00345A07"/>
    <w:rsid w:val="0035017A"/>
    <w:rsid w:val="00350DA0"/>
    <w:rsid w:val="00351417"/>
    <w:rsid w:val="00354A15"/>
    <w:rsid w:val="00354AD2"/>
    <w:rsid w:val="00360923"/>
    <w:rsid w:val="00360F55"/>
    <w:rsid w:val="003622EF"/>
    <w:rsid w:val="0036310C"/>
    <w:rsid w:val="003649E7"/>
    <w:rsid w:val="00365CEB"/>
    <w:rsid w:val="00370E9E"/>
    <w:rsid w:val="003777C2"/>
    <w:rsid w:val="00377A51"/>
    <w:rsid w:val="003807E5"/>
    <w:rsid w:val="00382BE3"/>
    <w:rsid w:val="00382C09"/>
    <w:rsid w:val="00385149"/>
    <w:rsid w:val="003903E3"/>
    <w:rsid w:val="00393BAE"/>
    <w:rsid w:val="00393D47"/>
    <w:rsid w:val="00394103"/>
    <w:rsid w:val="00394294"/>
    <w:rsid w:val="00394427"/>
    <w:rsid w:val="00395717"/>
    <w:rsid w:val="003960D4"/>
    <w:rsid w:val="003964B1"/>
    <w:rsid w:val="00397475"/>
    <w:rsid w:val="00397C94"/>
    <w:rsid w:val="003A05E0"/>
    <w:rsid w:val="003A16BB"/>
    <w:rsid w:val="003A3C05"/>
    <w:rsid w:val="003A4FCC"/>
    <w:rsid w:val="003A5059"/>
    <w:rsid w:val="003A5624"/>
    <w:rsid w:val="003A6034"/>
    <w:rsid w:val="003B144F"/>
    <w:rsid w:val="003B16DA"/>
    <w:rsid w:val="003B2FA6"/>
    <w:rsid w:val="003B3B59"/>
    <w:rsid w:val="003B4457"/>
    <w:rsid w:val="003B483E"/>
    <w:rsid w:val="003B511E"/>
    <w:rsid w:val="003B55CF"/>
    <w:rsid w:val="003B7CFB"/>
    <w:rsid w:val="003C0292"/>
    <w:rsid w:val="003C301F"/>
    <w:rsid w:val="003D07E1"/>
    <w:rsid w:val="003D18B2"/>
    <w:rsid w:val="003D1F0E"/>
    <w:rsid w:val="003D2252"/>
    <w:rsid w:val="003D521B"/>
    <w:rsid w:val="003E01C5"/>
    <w:rsid w:val="003E0E32"/>
    <w:rsid w:val="003E4C64"/>
    <w:rsid w:val="003E67CB"/>
    <w:rsid w:val="003E6EA1"/>
    <w:rsid w:val="003F0E25"/>
    <w:rsid w:val="003F1273"/>
    <w:rsid w:val="003F25BC"/>
    <w:rsid w:val="003F3E17"/>
    <w:rsid w:val="003F66A7"/>
    <w:rsid w:val="004039F4"/>
    <w:rsid w:val="00404356"/>
    <w:rsid w:val="004079CE"/>
    <w:rsid w:val="00407EF9"/>
    <w:rsid w:val="00410E14"/>
    <w:rsid w:val="00411B74"/>
    <w:rsid w:val="004134D2"/>
    <w:rsid w:val="0041647C"/>
    <w:rsid w:val="0041708C"/>
    <w:rsid w:val="00420F98"/>
    <w:rsid w:val="004224B0"/>
    <w:rsid w:val="00426201"/>
    <w:rsid w:val="00427068"/>
    <w:rsid w:val="00430FD7"/>
    <w:rsid w:val="00432B3E"/>
    <w:rsid w:val="004337B1"/>
    <w:rsid w:val="004348DD"/>
    <w:rsid w:val="0043566B"/>
    <w:rsid w:val="004360E1"/>
    <w:rsid w:val="004408C2"/>
    <w:rsid w:val="004417D0"/>
    <w:rsid w:val="00442518"/>
    <w:rsid w:val="00442EF9"/>
    <w:rsid w:val="00443CDE"/>
    <w:rsid w:val="00453518"/>
    <w:rsid w:val="00453F64"/>
    <w:rsid w:val="00453F93"/>
    <w:rsid w:val="00454907"/>
    <w:rsid w:val="00457FCB"/>
    <w:rsid w:val="00461B87"/>
    <w:rsid w:val="004625A2"/>
    <w:rsid w:val="00470D65"/>
    <w:rsid w:val="00471C54"/>
    <w:rsid w:val="0047447E"/>
    <w:rsid w:val="004801C6"/>
    <w:rsid w:val="0048461D"/>
    <w:rsid w:val="00485BE1"/>
    <w:rsid w:val="0048643A"/>
    <w:rsid w:val="00486502"/>
    <w:rsid w:val="004925A3"/>
    <w:rsid w:val="00493D62"/>
    <w:rsid w:val="0049453B"/>
    <w:rsid w:val="00494E7C"/>
    <w:rsid w:val="00495869"/>
    <w:rsid w:val="00495D5C"/>
    <w:rsid w:val="00496902"/>
    <w:rsid w:val="004A10E0"/>
    <w:rsid w:val="004A1312"/>
    <w:rsid w:val="004A14A5"/>
    <w:rsid w:val="004A1DDF"/>
    <w:rsid w:val="004A2358"/>
    <w:rsid w:val="004A2670"/>
    <w:rsid w:val="004A4497"/>
    <w:rsid w:val="004A4717"/>
    <w:rsid w:val="004A47AC"/>
    <w:rsid w:val="004A5AF7"/>
    <w:rsid w:val="004A79B9"/>
    <w:rsid w:val="004B0A8A"/>
    <w:rsid w:val="004B256E"/>
    <w:rsid w:val="004B2EF9"/>
    <w:rsid w:val="004B3150"/>
    <w:rsid w:val="004B3923"/>
    <w:rsid w:val="004B40F2"/>
    <w:rsid w:val="004B62FD"/>
    <w:rsid w:val="004B75E0"/>
    <w:rsid w:val="004C1023"/>
    <w:rsid w:val="004C1167"/>
    <w:rsid w:val="004C34CB"/>
    <w:rsid w:val="004C4063"/>
    <w:rsid w:val="004C6BC0"/>
    <w:rsid w:val="004C79D7"/>
    <w:rsid w:val="004D1B91"/>
    <w:rsid w:val="004D2231"/>
    <w:rsid w:val="004D4802"/>
    <w:rsid w:val="004D71DE"/>
    <w:rsid w:val="004D7E37"/>
    <w:rsid w:val="004E020A"/>
    <w:rsid w:val="004E41F2"/>
    <w:rsid w:val="004E6335"/>
    <w:rsid w:val="004E6814"/>
    <w:rsid w:val="004E7227"/>
    <w:rsid w:val="004F2AC5"/>
    <w:rsid w:val="004F7344"/>
    <w:rsid w:val="004F7534"/>
    <w:rsid w:val="0050030C"/>
    <w:rsid w:val="005008BD"/>
    <w:rsid w:val="00503F9E"/>
    <w:rsid w:val="005062E7"/>
    <w:rsid w:val="005104CD"/>
    <w:rsid w:val="005135EC"/>
    <w:rsid w:val="00514AB7"/>
    <w:rsid w:val="00516EC2"/>
    <w:rsid w:val="00520315"/>
    <w:rsid w:val="00522653"/>
    <w:rsid w:val="0052276C"/>
    <w:rsid w:val="005231BD"/>
    <w:rsid w:val="0053019A"/>
    <w:rsid w:val="00535A5E"/>
    <w:rsid w:val="00535FB9"/>
    <w:rsid w:val="00536784"/>
    <w:rsid w:val="00540936"/>
    <w:rsid w:val="00544E70"/>
    <w:rsid w:val="0054574F"/>
    <w:rsid w:val="00546F9E"/>
    <w:rsid w:val="00551431"/>
    <w:rsid w:val="005523EF"/>
    <w:rsid w:val="00553351"/>
    <w:rsid w:val="0055378D"/>
    <w:rsid w:val="00553B5D"/>
    <w:rsid w:val="005551DC"/>
    <w:rsid w:val="00556F87"/>
    <w:rsid w:val="00557130"/>
    <w:rsid w:val="00557475"/>
    <w:rsid w:val="005603FF"/>
    <w:rsid w:val="00561C6E"/>
    <w:rsid w:val="00564740"/>
    <w:rsid w:val="0056679E"/>
    <w:rsid w:val="00567D5F"/>
    <w:rsid w:val="00570758"/>
    <w:rsid w:val="005712DB"/>
    <w:rsid w:val="005722BD"/>
    <w:rsid w:val="00572768"/>
    <w:rsid w:val="00573B8F"/>
    <w:rsid w:val="0057449B"/>
    <w:rsid w:val="00577938"/>
    <w:rsid w:val="0058020A"/>
    <w:rsid w:val="005840CB"/>
    <w:rsid w:val="00587FE2"/>
    <w:rsid w:val="00590C01"/>
    <w:rsid w:val="00590F66"/>
    <w:rsid w:val="0059267B"/>
    <w:rsid w:val="0059646F"/>
    <w:rsid w:val="00596769"/>
    <w:rsid w:val="005970B2"/>
    <w:rsid w:val="005A558D"/>
    <w:rsid w:val="005A7962"/>
    <w:rsid w:val="005A7BAE"/>
    <w:rsid w:val="005B226F"/>
    <w:rsid w:val="005B51BA"/>
    <w:rsid w:val="005B6D49"/>
    <w:rsid w:val="005C0DD7"/>
    <w:rsid w:val="005C277E"/>
    <w:rsid w:val="005C2A07"/>
    <w:rsid w:val="005C3B97"/>
    <w:rsid w:val="005C57CE"/>
    <w:rsid w:val="005C61F8"/>
    <w:rsid w:val="005D1D16"/>
    <w:rsid w:val="005D2564"/>
    <w:rsid w:val="005D3002"/>
    <w:rsid w:val="005D79F4"/>
    <w:rsid w:val="005E04BA"/>
    <w:rsid w:val="005E2FB1"/>
    <w:rsid w:val="005E30A6"/>
    <w:rsid w:val="005E3A3C"/>
    <w:rsid w:val="005E4144"/>
    <w:rsid w:val="005E4764"/>
    <w:rsid w:val="005E4A4D"/>
    <w:rsid w:val="005E5207"/>
    <w:rsid w:val="005E53AB"/>
    <w:rsid w:val="005F3FF1"/>
    <w:rsid w:val="005F6636"/>
    <w:rsid w:val="00600347"/>
    <w:rsid w:val="006027F2"/>
    <w:rsid w:val="00603BA6"/>
    <w:rsid w:val="00607BE9"/>
    <w:rsid w:val="00612108"/>
    <w:rsid w:val="00614608"/>
    <w:rsid w:val="00614CD9"/>
    <w:rsid w:val="0061612F"/>
    <w:rsid w:val="00616E02"/>
    <w:rsid w:val="0062097D"/>
    <w:rsid w:val="006210D6"/>
    <w:rsid w:val="00621133"/>
    <w:rsid w:val="00621709"/>
    <w:rsid w:val="0062188C"/>
    <w:rsid w:val="006218F3"/>
    <w:rsid w:val="00623C5A"/>
    <w:rsid w:val="00627FE1"/>
    <w:rsid w:val="00632877"/>
    <w:rsid w:val="006329A1"/>
    <w:rsid w:val="00635CBB"/>
    <w:rsid w:val="006367B8"/>
    <w:rsid w:val="006404FC"/>
    <w:rsid w:val="0064101E"/>
    <w:rsid w:val="0064366D"/>
    <w:rsid w:val="0064378F"/>
    <w:rsid w:val="00647E56"/>
    <w:rsid w:val="00652973"/>
    <w:rsid w:val="0065399B"/>
    <w:rsid w:val="00653E97"/>
    <w:rsid w:val="006551C5"/>
    <w:rsid w:val="00656679"/>
    <w:rsid w:val="0065670F"/>
    <w:rsid w:val="0065683C"/>
    <w:rsid w:val="00660E83"/>
    <w:rsid w:val="00663372"/>
    <w:rsid w:val="0066452C"/>
    <w:rsid w:val="006654E3"/>
    <w:rsid w:val="00667CFD"/>
    <w:rsid w:val="0067274E"/>
    <w:rsid w:val="0067712D"/>
    <w:rsid w:val="006819F3"/>
    <w:rsid w:val="00681E0E"/>
    <w:rsid w:val="00681FB1"/>
    <w:rsid w:val="006827B7"/>
    <w:rsid w:val="00682A97"/>
    <w:rsid w:val="00685F3B"/>
    <w:rsid w:val="006905B5"/>
    <w:rsid w:val="0069072E"/>
    <w:rsid w:val="00690BF4"/>
    <w:rsid w:val="00694318"/>
    <w:rsid w:val="00696A48"/>
    <w:rsid w:val="0069749C"/>
    <w:rsid w:val="006A0B80"/>
    <w:rsid w:val="006A0B89"/>
    <w:rsid w:val="006A5795"/>
    <w:rsid w:val="006A59FD"/>
    <w:rsid w:val="006A7720"/>
    <w:rsid w:val="006A7DC1"/>
    <w:rsid w:val="006B37CF"/>
    <w:rsid w:val="006B3ED6"/>
    <w:rsid w:val="006B4F07"/>
    <w:rsid w:val="006B5294"/>
    <w:rsid w:val="006B5308"/>
    <w:rsid w:val="006C0127"/>
    <w:rsid w:val="006C0E35"/>
    <w:rsid w:val="006C218F"/>
    <w:rsid w:val="006C266B"/>
    <w:rsid w:val="006C4708"/>
    <w:rsid w:val="006C48B6"/>
    <w:rsid w:val="006C5DA9"/>
    <w:rsid w:val="006D0B7F"/>
    <w:rsid w:val="006D195A"/>
    <w:rsid w:val="006D29DC"/>
    <w:rsid w:val="006D5AB1"/>
    <w:rsid w:val="006D669E"/>
    <w:rsid w:val="006D7F77"/>
    <w:rsid w:val="006E0598"/>
    <w:rsid w:val="006E08A4"/>
    <w:rsid w:val="006E09C0"/>
    <w:rsid w:val="006E0CA2"/>
    <w:rsid w:val="006E136C"/>
    <w:rsid w:val="006E7D0C"/>
    <w:rsid w:val="006F4BC7"/>
    <w:rsid w:val="006F78AB"/>
    <w:rsid w:val="007037A4"/>
    <w:rsid w:val="0070433A"/>
    <w:rsid w:val="00704A2C"/>
    <w:rsid w:val="00705163"/>
    <w:rsid w:val="00705B54"/>
    <w:rsid w:val="00712A8A"/>
    <w:rsid w:val="00713FC5"/>
    <w:rsid w:val="00714AE2"/>
    <w:rsid w:val="007165A6"/>
    <w:rsid w:val="007174D3"/>
    <w:rsid w:val="00723CD1"/>
    <w:rsid w:val="007260BF"/>
    <w:rsid w:val="00731EC8"/>
    <w:rsid w:val="007328FD"/>
    <w:rsid w:val="0073427D"/>
    <w:rsid w:val="0073677C"/>
    <w:rsid w:val="00744B7C"/>
    <w:rsid w:val="00750FBA"/>
    <w:rsid w:val="0075452C"/>
    <w:rsid w:val="00755B9C"/>
    <w:rsid w:val="0075642C"/>
    <w:rsid w:val="007578DF"/>
    <w:rsid w:val="00760104"/>
    <w:rsid w:val="00760DD3"/>
    <w:rsid w:val="0076116A"/>
    <w:rsid w:val="00761488"/>
    <w:rsid w:val="00761BAF"/>
    <w:rsid w:val="00764D92"/>
    <w:rsid w:val="0076703B"/>
    <w:rsid w:val="007709D8"/>
    <w:rsid w:val="007719EB"/>
    <w:rsid w:val="007738FB"/>
    <w:rsid w:val="00773F7B"/>
    <w:rsid w:val="00774817"/>
    <w:rsid w:val="007771B6"/>
    <w:rsid w:val="0077724D"/>
    <w:rsid w:val="007804EA"/>
    <w:rsid w:val="007813A6"/>
    <w:rsid w:val="00781536"/>
    <w:rsid w:val="00783328"/>
    <w:rsid w:val="007835F8"/>
    <w:rsid w:val="00783F42"/>
    <w:rsid w:val="00783F44"/>
    <w:rsid w:val="007854BE"/>
    <w:rsid w:val="00787494"/>
    <w:rsid w:val="0079149D"/>
    <w:rsid w:val="00793045"/>
    <w:rsid w:val="00794738"/>
    <w:rsid w:val="00795A2A"/>
    <w:rsid w:val="007A027B"/>
    <w:rsid w:val="007A2079"/>
    <w:rsid w:val="007A4E37"/>
    <w:rsid w:val="007A6985"/>
    <w:rsid w:val="007B0B42"/>
    <w:rsid w:val="007B59D7"/>
    <w:rsid w:val="007B7800"/>
    <w:rsid w:val="007C16FD"/>
    <w:rsid w:val="007C3281"/>
    <w:rsid w:val="007C347E"/>
    <w:rsid w:val="007C50A7"/>
    <w:rsid w:val="007C5AE2"/>
    <w:rsid w:val="007D390B"/>
    <w:rsid w:val="007D3DF5"/>
    <w:rsid w:val="007D5394"/>
    <w:rsid w:val="007E2D8C"/>
    <w:rsid w:val="007E3478"/>
    <w:rsid w:val="007E4B79"/>
    <w:rsid w:val="007E54F3"/>
    <w:rsid w:val="007F0C1A"/>
    <w:rsid w:val="007F1287"/>
    <w:rsid w:val="007F261D"/>
    <w:rsid w:val="007F3D95"/>
    <w:rsid w:val="00800992"/>
    <w:rsid w:val="00800A2B"/>
    <w:rsid w:val="008040F1"/>
    <w:rsid w:val="00806C1C"/>
    <w:rsid w:val="00812CC5"/>
    <w:rsid w:val="00817833"/>
    <w:rsid w:val="00820396"/>
    <w:rsid w:val="00822EE5"/>
    <w:rsid w:val="00823C73"/>
    <w:rsid w:val="00826757"/>
    <w:rsid w:val="0083056E"/>
    <w:rsid w:val="00830AEE"/>
    <w:rsid w:val="008341EF"/>
    <w:rsid w:val="00835A10"/>
    <w:rsid w:val="0084172A"/>
    <w:rsid w:val="00842044"/>
    <w:rsid w:val="00845629"/>
    <w:rsid w:val="00851292"/>
    <w:rsid w:val="008516D4"/>
    <w:rsid w:val="00851760"/>
    <w:rsid w:val="00852661"/>
    <w:rsid w:val="00857459"/>
    <w:rsid w:val="00860192"/>
    <w:rsid w:val="00860349"/>
    <w:rsid w:val="008611AC"/>
    <w:rsid w:val="00862ED5"/>
    <w:rsid w:val="008644DC"/>
    <w:rsid w:val="00864E72"/>
    <w:rsid w:val="00865EDF"/>
    <w:rsid w:val="00870844"/>
    <w:rsid w:val="00871C0C"/>
    <w:rsid w:val="00874A6C"/>
    <w:rsid w:val="00874DA5"/>
    <w:rsid w:val="008752C8"/>
    <w:rsid w:val="00875963"/>
    <w:rsid w:val="00881EDE"/>
    <w:rsid w:val="00886F79"/>
    <w:rsid w:val="0089082A"/>
    <w:rsid w:val="0089104E"/>
    <w:rsid w:val="008914A2"/>
    <w:rsid w:val="00891EE5"/>
    <w:rsid w:val="008923B6"/>
    <w:rsid w:val="00894271"/>
    <w:rsid w:val="008964BC"/>
    <w:rsid w:val="00896718"/>
    <w:rsid w:val="00897B09"/>
    <w:rsid w:val="008A002C"/>
    <w:rsid w:val="008A1B5E"/>
    <w:rsid w:val="008A5C3D"/>
    <w:rsid w:val="008A5D03"/>
    <w:rsid w:val="008A6217"/>
    <w:rsid w:val="008A755A"/>
    <w:rsid w:val="008B1814"/>
    <w:rsid w:val="008B3271"/>
    <w:rsid w:val="008B32D7"/>
    <w:rsid w:val="008B6957"/>
    <w:rsid w:val="008C0A74"/>
    <w:rsid w:val="008C1384"/>
    <w:rsid w:val="008C2B0E"/>
    <w:rsid w:val="008C5967"/>
    <w:rsid w:val="008C7685"/>
    <w:rsid w:val="008C7EA6"/>
    <w:rsid w:val="008C7FFA"/>
    <w:rsid w:val="008D286A"/>
    <w:rsid w:val="008D4CB4"/>
    <w:rsid w:val="008D7948"/>
    <w:rsid w:val="008E3F76"/>
    <w:rsid w:val="008F0CA7"/>
    <w:rsid w:val="008F1BE3"/>
    <w:rsid w:val="008F20BA"/>
    <w:rsid w:val="008F2383"/>
    <w:rsid w:val="008F521F"/>
    <w:rsid w:val="00901801"/>
    <w:rsid w:val="00901BA2"/>
    <w:rsid w:val="009025DB"/>
    <w:rsid w:val="00903944"/>
    <w:rsid w:val="00905571"/>
    <w:rsid w:val="009058B5"/>
    <w:rsid w:val="00906371"/>
    <w:rsid w:val="00906B55"/>
    <w:rsid w:val="00906E34"/>
    <w:rsid w:val="00906F5B"/>
    <w:rsid w:val="009127C7"/>
    <w:rsid w:val="009131D7"/>
    <w:rsid w:val="00914F37"/>
    <w:rsid w:val="009159A0"/>
    <w:rsid w:val="00915CED"/>
    <w:rsid w:val="00917B93"/>
    <w:rsid w:val="00921645"/>
    <w:rsid w:val="00925D6C"/>
    <w:rsid w:val="00926097"/>
    <w:rsid w:val="00927C34"/>
    <w:rsid w:val="00933317"/>
    <w:rsid w:val="00934BB9"/>
    <w:rsid w:val="0093652C"/>
    <w:rsid w:val="0094056E"/>
    <w:rsid w:val="009454E4"/>
    <w:rsid w:val="009461ED"/>
    <w:rsid w:val="0095115A"/>
    <w:rsid w:val="009511A6"/>
    <w:rsid w:val="00951869"/>
    <w:rsid w:val="00951B8E"/>
    <w:rsid w:val="00952A01"/>
    <w:rsid w:val="009538E6"/>
    <w:rsid w:val="00955342"/>
    <w:rsid w:val="00955476"/>
    <w:rsid w:val="00955593"/>
    <w:rsid w:val="00960294"/>
    <w:rsid w:val="009604B0"/>
    <w:rsid w:val="009612D3"/>
    <w:rsid w:val="00962619"/>
    <w:rsid w:val="0096414D"/>
    <w:rsid w:val="009704E4"/>
    <w:rsid w:val="00971701"/>
    <w:rsid w:val="0097461F"/>
    <w:rsid w:val="00974BF4"/>
    <w:rsid w:val="009775C7"/>
    <w:rsid w:val="0098089C"/>
    <w:rsid w:val="00980A73"/>
    <w:rsid w:val="00981245"/>
    <w:rsid w:val="00985306"/>
    <w:rsid w:val="00985DFE"/>
    <w:rsid w:val="009869E3"/>
    <w:rsid w:val="00986D3F"/>
    <w:rsid w:val="00992B3C"/>
    <w:rsid w:val="009932E5"/>
    <w:rsid w:val="00994D14"/>
    <w:rsid w:val="009952B2"/>
    <w:rsid w:val="009A0DB8"/>
    <w:rsid w:val="009A1980"/>
    <w:rsid w:val="009A4E17"/>
    <w:rsid w:val="009B000B"/>
    <w:rsid w:val="009B297C"/>
    <w:rsid w:val="009B641C"/>
    <w:rsid w:val="009B66F6"/>
    <w:rsid w:val="009C22BE"/>
    <w:rsid w:val="009C55C4"/>
    <w:rsid w:val="009C6AF7"/>
    <w:rsid w:val="009D1CF9"/>
    <w:rsid w:val="009D307F"/>
    <w:rsid w:val="009D4349"/>
    <w:rsid w:val="009D4DEF"/>
    <w:rsid w:val="009E231A"/>
    <w:rsid w:val="009E2F64"/>
    <w:rsid w:val="009E56E3"/>
    <w:rsid w:val="009E7277"/>
    <w:rsid w:val="009F0834"/>
    <w:rsid w:val="009F3065"/>
    <w:rsid w:val="009F645A"/>
    <w:rsid w:val="009F6515"/>
    <w:rsid w:val="009F69B2"/>
    <w:rsid w:val="009F7BC2"/>
    <w:rsid w:val="00A0170A"/>
    <w:rsid w:val="00A03192"/>
    <w:rsid w:val="00A041DC"/>
    <w:rsid w:val="00A103BB"/>
    <w:rsid w:val="00A10A6B"/>
    <w:rsid w:val="00A10E2B"/>
    <w:rsid w:val="00A133B3"/>
    <w:rsid w:val="00A21333"/>
    <w:rsid w:val="00A2418A"/>
    <w:rsid w:val="00A252B3"/>
    <w:rsid w:val="00A27C58"/>
    <w:rsid w:val="00A30084"/>
    <w:rsid w:val="00A32ECD"/>
    <w:rsid w:val="00A32F28"/>
    <w:rsid w:val="00A35B62"/>
    <w:rsid w:val="00A41677"/>
    <w:rsid w:val="00A42A8F"/>
    <w:rsid w:val="00A43A57"/>
    <w:rsid w:val="00A43EE0"/>
    <w:rsid w:val="00A453C2"/>
    <w:rsid w:val="00A462D7"/>
    <w:rsid w:val="00A47888"/>
    <w:rsid w:val="00A50895"/>
    <w:rsid w:val="00A52E99"/>
    <w:rsid w:val="00A536FC"/>
    <w:rsid w:val="00A5445F"/>
    <w:rsid w:val="00A55190"/>
    <w:rsid w:val="00A55CF9"/>
    <w:rsid w:val="00A6010B"/>
    <w:rsid w:val="00A61544"/>
    <w:rsid w:val="00A62522"/>
    <w:rsid w:val="00A63FDA"/>
    <w:rsid w:val="00A65346"/>
    <w:rsid w:val="00A67655"/>
    <w:rsid w:val="00A7019E"/>
    <w:rsid w:val="00A71457"/>
    <w:rsid w:val="00A718EA"/>
    <w:rsid w:val="00A73318"/>
    <w:rsid w:val="00A7451D"/>
    <w:rsid w:val="00A75B57"/>
    <w:rsid w:val="00A80FF3"/>
    <w:rsid w:val="00A82150"/>
    <w:rsid w:val="00A824DA"/>
    <w:rsid w:val="00A82C0B"/>
    <w:rsid w:val="00A853C4"/>
    <w:rsid w:val="00A85BEC"/>
    <w:rsid w:val="00A904E7"/>
    <w:rsid w:val="00A93867"/>
    <w:rsid w:val="00A957C6"/>
    <w:rsid w:val="00A96AA7"/>
    <w:rsid w:val="00AA12F4"/>
    <w:rsid w:val="00AA3A83"/>
    <w:rsid w:val="00AA44D4"/>
    <w:rsid w:val="00AA5B81"/>
    <w:rsid w:val="00AA67F8"/>
    <w:rsid w:val="00AA6C79"/>
    <w:rsid w:val="00AA75F8"/>
    <w:rsid w:val="00AB5011"/>
    <w:rsid w:val="00AB7621"/>
    <w:rsid w:val="00AB78C2"/>
    <w:rsid w:val="00AC0556"/>
    <w:rsid w:val="00AC2138"/>
    <w:rsid w:val="00AC688A"/>
    <w:rsid w:val="00AD13CA"/>
    <w:rsid w:val="00AD5C9C"/>
    <w:rsid w:val="00AE54A6"/>
    <w:rsid w:val="00AF0241"/>
    <w:rsid w:val="00AF1005"/>
    <w:rsid w:val="00AF17CC"/>
    <w:rsid w:val="00AF43FD"/>
    <w:rsid w:val="00AF5BF8"/>
    <w:rsid w:val="00AF7D18"/>
    <w:rsid w:val="00B024CE"/>
    <w:rsid w:val="00B02EE2"/>
    <w:rsid w:val="00B04B19"/>
    <w:rsid w:val="00B05CEF"/>
    <w:rsid w:val="00B05F5C"/>
    <w:rsid w:val="00B07774"/>
    <w:rsid w:val="00B07B55"/>
    <w:rsid w:val="00B107BC"/>
    <w:rsid w:val="00B10A30"/>
    <w:rsid w:val="00B12232"/>
    <w:rsid w:val="00B143AB"/>
    <w:rsid w:val="00B16752"/>
    <w:rsid w:val="00B20158"/>
    <w:rsid w:val="00B2338D"/>
    <w:rsid w:val="00B24059"/>
    <w:rsid w:val="00B252D9"/>
    <w:rsid w:val="00B26099"/>
    <w:rsid w:val="00B26348"/>
    <w:rsid w:val="00B26B3D"/>
    <w:rsid w:val="00B27EDE"/>
    <w:rsid w:val="00B3168A"/>
    <w:rsid w:val="00B34A6A"/>
    <w:rsid w:val="00B369F9"/>
    <w:rsid w:val="00B37679"/>
    <w:rsid w:val="00B4071C"/>
    <w:rsid w:val="00B41272"/>
    <w:rsid w:val="00B4193B"/>
    <w:rsid w:val="00B426FE"/>
    <w:rsid w:val="00B4430B"/>
    <w:rsid w:val="00B52F78"/>
    <w:rsid w:val="00B53C94"/>
    <w:rsid w:val="00B54994"/>
    <w:rsid w:val="00B55717"/>
    <w:rsid w:val="00B63109"/>
    <w:rsid w:val="00B640F5"/>
    <w:rsid w:val="00B64943"/>
    <w:rsid w:val="00B671FE"/>
    <w:rsid w:val="00B71226"/>
    <w:rsid w:val="00B71968"/>
    <w:rsid w:val="00B76918"/>
    <w:rsid w:val="00B77043"/>
    <w:rsid w:val="00B81464"/>
    <w:rsid w:val="00B820C3"/>
    <w:rsid w:val="00B8364D"/>
    <w:rsid w:val="00B86D06"/>
    <w:rsid w:val="00B94E51"/>
    <w:rsid w:val="00B96AFE"/>
    <w:rsid w:val="00B97410"/>
    <w:rsid w:val="00B974FC"/>
    <w:rsid w:val="00BA21BA"/>
    <w:rsid w:val="00BA5362"/>
    <w:rsid w:val="00BA599F"/>
    <w:rsid w:val="00BB113D"/>
    <w:rsid w:val="00BB11E3"/>
    <w:rsid w:val="00BB29D1"/>
    <w:rsid w:val="00BB395D"/>
    <w:rsid w:val="00BB3AAD"/>
    <w:rsid w:val="00BB5C8E"/>
    <w:rsid w:val="00BC0632"/>
    <w:rsid w:val="00BC58F3"/>
    <w:rsid w:val="00BC5E1A"/>
    <w:rsid w:val="00BC6362"/>
    <w:rsid w:val="00BC69DA"/>
    <w:rsid w:val="00BC6AF9"/>
    <w:rsid w:val="00BC6D88"/>
    <w:rsid w:val="00BC770A"/>
    <w:rsid w:val="00BC7C47"/>
    <w:rsid w:val="00BD120F"/>
    <w:rsid w:val="00BD2DFC"/>
    <w:rsid w:val="00BD7661"/>
    <w:rsid w:val="00BD7C17"/>
    <w:rsid w:val="00BE2B5E"/>
    <w:rsid w:val="00BE3929"/>
    <w:rsid w:val="00BE39D4"/>
    <w:rsid w:val="00BE3F67"/>
    <w:rsid w:val="00BF2DD3"/>
    <w:rsid w:val="00BF3F7E"/>
    <w:rsid w:val="00BF5A7B"/>
    <w:rsid w:val="00BF6079"/>
    <w:rsid w:val="00BF6515"/>
    <w:rsid w:val="00BF6754"/>
    <w:rsid w:val="00BF690E"/>
    <w:rsid w:val="00C04503"/>
    <w:rsid w:val="00C053D5"/>
    <w:rsid w:val="00C05954"/>
    <w:rsid w:val="00C06A3D"/>
    <w:rsid w:val="00C07495"/>
    <w:rsid w:val="00C114CF"/>
    <w:rsid w:val="00C11EBC"/>
    <w:rsid w:val="00C13621"/>
    <w:rsid w:val="00C144BD"/>
    <w:rsid w:val="00C15C85"/>
    <w:rsid w:val="00C16602"/>
    <w:rsid w:val="00C172FE"/>
    <w:rsid w:val="00C17D32"/>
    <w:rsid w:val="00C20345"/>
    <w:rsid w:val="00C23F8E"/>
    <w:rsid w:val="00C24D89"/>
    <w:rsid w:val="00C25E53"/>
    <w:rsid w:val="00C27AD3"/>
    <w:rsid w:val="00C27CE1"/>
    <w:rsid w:val="00C30BF2"/>
    <w:rsid w:val="00C3103B"/>
    <w:rsid w:val="00C36CB7"/>
    <w:rsid w:val="00C37003"/>
    <w:rsid w:val="00C37B3F"/>
    <w:rsid w:val="00C40E2B"/>
    <w:rsid w:val="00C419F3"/>
    <w:rsid w:val="00C41F9C"/>
    <w:rsid w:val="00C513EA"/>
    <w:rsid w:val="00C54125"/>
    <w:rsid w:val="00C54317"/>
    <w:rsid w:val="00C565D8"/>
    <w:rsid w:val="00C56F46"/>
    <w:rsid w:val="00C615AE"/>
    <w:rsid w:val="00C61F4A"/>
    <w:rsid w:val="00C63294"/>
    <w:rsid w:val="00C65B47"/>
    <w:rsid w:val="00C65C56"/>
    <w:rsid w:val="00C67E35"/>
    <w:rsid w:val="00C71FF6"/>
    <w:rsid w:val="00C75D15"/>
    <w:rsid w:val="00C77DC6"/>
    <w:rsid w:val="00C801DA"/>
    <w:rsid w:val="00C808A8"/>
    <w:rsid w:val="00C85DA0"/>
    <w:rsid w:val="00C862CC"/>
    <w:rsid w:val="00C874D5"/>
    <w:rsid w:val="00C926F0"/>
    <w:rsid w:val="00C94B97"/>
    <w:rsid w:val="00C9656D"/>
    <w:rsid w:val="00C97F9C"/>
    <w:rsid w:val="00CA098D"/>
    <w:rsid w:val="00CA1053"/>
    <w:rsid w:val="00CA24D9"/>
    <w:rsid w:val="00CA38DB"/>
    <w:rsid w:val="00CA49FB"/>
    <w:rsid w:val="00CA4AFC"/>
    <w:rsid w:val="00CA5708"/>
    <w:rsid w:val="00CB2CBA"/>
    <w:rsid w:val="00CB5D53"/>
    <w:rsid w:val="00CC0813"/>
    <w:rsid w:val="00CC3717"/>
    <w:rsid w:val="00CC675F"/>
    <w:rsid w:val="00CC78CA"/>
    <w:rsid w:val="00CD0484"/>
    <w:rsid w:val="00CD0D0B"/>
    <w:rsid w:val="00CD3323"/>
    <w:rsid w:val="00CD5F32"/>
    <w:rsid w:val="00CD663E"/>
    <w:rsid w:val="00CD6902"/>
    <w:rsid w:val="00CE083C"/>
    <w:rsid w:val="00CE14D8"/>
    <w:rsid w:val="00CE17E6"/>
    <w:rsid w:val="00CE1C07"/>
    <w:rsid w:val="00CE2EC3"/>
    <w:rsid w:val="00CE6293"/>
    <w:rsid w:val="00CF0C42"/>
    <w:rsid w:val="00CF2FE5"/>
    <w:rsid w:val="00CF3EE3"/>
    <w:rsid w:val="00CF43F5"/>
    <w:rsid w:val="00CF47D2"/>
    <w:rsid w:val="00CF580B"/>
    <w:rsid w:val="00CF5A5F"/>
    <w:rsid w:val="00D045BD"/>
    <w:rsid w:val="00D056F5"/>
    <w:rsid w:val="00D0608B"/>
    <w:rsid w:val="00D0611F"/>
    <w:rsid w:val="00D12D39"/>
    <w:rsid w:val="00D13772"/>
    <w:rsid w:val="00D15F4D"/>
    <w:rsid w:val="00D2113B"/>
    <w:rsid w:val="00D2222F"/>
    <w:rsid w:val="00D223E1"/>
    <w:rsid w:val="00D227E6"/>
    <w:rsid w:val="00D24CF9"/>
    <w:rsid w:val="00D371C7"/>
    <w:rsid w:val="00D4351A"/>
    <w:rsid w:val="00D43B5F"/>
    <w:rsid w:val="00D445AC"/>
    <w:rsid w:val="00D456F0"/>
    <w:rsid w:val="00D45DF2"/>
    <w:rsid w:val="00D47D88"/>
    <w:rsid w:val="00D506FA"/>
    <w:rsid w:val="00D50701"/>
    <w:rsid w:val="00D5284D"/>
    <w:rsid w:val="00D55F2D"/>
    <w:rsid w:val="00D66163"/>
    <w:rsid w:val="00D6652E"/>
    <w:rsid w:val="00D66538"/>
    <w:rsid w:val="00D6663B"/>
    <w:rsid w:val="00D701C5"/>
    <w:rsid w:val="00D70400"/>
    <w:rsid w:val="00D754CB"/>
    <w:rsid w:val="00D806B0"/>
    <w:rsid w:val="00D810FB"/>
    <w:rsid w:val="00D8349E"/>
    <w:rsid w:val="00D83635"/>
    <w:rsid w:val="00D84AED"/>
    <w:rsid w:val="00D84F2D"/>
    <w:rsid w:val="00D87068"/>
    <w:rsid w:val="00D870DF"/>
    <w:rsid w:val="00D91157"/>
    <w:rsid w:val="00D92E9C"/>
    <w:rsid w:val="00D92ED6"/>
    <w:rsid w:val="00D93B4C"/>
    <w:rsid w:val="00DA0DED"/>
    <w:rsid w:val="00DA100E"/>
    <w:rsid w:val="00DA13E9"/>
    <w:rsid w:val="00DA2721"/>
    <w:rsid w:val="00DA3780"/>
    <w:rsid w:val="00DA45CB"/>
    <w:rsid w:val="00DA5455"/>
    <w:rsid w:val="00DB1693"/>
    <w:rsid w:val="00DB55D9"/>
    <w:rsid w:val="00DB5811"/>
    <w:rsid w:val="00DB599C"/>
    <w:rsid w:val="00DB5A3D"/>
    <w:rsid w:val="00DB77CF"/>
    <w:rsid w:val="00DC095C"/>
    <w:rsid w:val="00DC19DD"/>
    <w:rsid w:val="00DC28F4"/>
    <w:rsid w:val="00DC3B1D"/>
    <w:rsid w:val="00DC4E01"/>
    <w:rsid w:val="00DC5F5C"/>
    <w:rsid w:val="00DC616F"/>
    <w:rsid w:val="00DC7DBB"/>
    <w:rsid w:val="00DD0CF6"/>
    <w:rsid w:val="00DD1F08"/>
    <w:rsid w:val="00DD4181"/>
    <w:rsid w:val="00DD477A"/>
    <w:rsid w:val="00DD495B"/>
    <w:rsid w:val="00DD6FFA"/>
    <w:rsid w:val="00DE2054"/>
    <w:rsid w:val="00DE250C"/>
    <w:rsid w:val="00DE276E"/>
    <w:rsid w:val="00DE2C71"/>
    <w:rsid w:val="00DE4C33"/>
    <w:rsid w:val="00DE5E82"/>
    <w:rsid w:val="00DF114C"/>
    <w:rsid w:val="00DF1414"/>
    <w:rsid w:val="00DF19D0"/>
    <w:rsid w:val="00DF2E2F"/>
    <w:rsid w:val="00DF3773"/>
    <w:rsid w:val="00DF55C0"/>
    <w:rsid w:val="00DF5C0D"/>
    <w:rsid w:val="00DF726F"/>
    <w:rsid w:val="00DF74E4"/>
    <w:rsid w:val="00E06B95"/>
    <w:rsid w:val="00E072FD"/>
    <w:rsid w:val="00E113EE"/>
    <w:rsid w:val="00E123CB"/>
    <w:rsid w:val="00E14E16"/>
    <w:rsid w:val="00E14FA9"/>
    <w:rsid w:val="00E16AA6"/>
    <w:rsid w:val="00E20E3E"/>
    <w:rsid w:val="00E219CC"/>
    <w:rsid w:val="00E236D0"/>
    <w:rsid w:val="00E24A54"/>
    <w:rsid w:val="00E2763F"/>
    <w:rsid w:val="00E33357"/>
    <w:rsid w:val="00E34E86"/>
    <w:rsid w:val="00E35004"/>
    <w:rsid w:val="00E358DC"/>
    <w:rsid w:val="00E365F8"/>
    <w:rsid w:val="00E36C07"/>
    <w:rsid w:val="00E36DD9"/>
    <w:rsid w:val="00E3775B"/>
    <w:rsid w:val="00E40B0D"/>
    <w:rsid w:val="00E428EC"/>
    <w:rsid w:val="00E45A10"/>
    <w:rsid w:val="00E46282"/>
    <w:rsid w:val="00E47B92"/>
    <w:rsid w:val="00E52313"/>
    <w:rsid w:val="00E538BC"/>
    <w:rsid w:val="00E53A58"/>
    <w:rsid w:val="00E54361"/>
    <w:rsid w:val="00E56EC1"/>
    <w:rsid w:val="00E57478"/>
    <w:rsid w:val="00E639E5"/>
    <w:rsid w:val="00E650F2"/>
    <w:rsid w:val="00E65EC0"/>
    <w:rsid w:val="00E678A9"/>
    <w:rsid w:val="00E67A14"/>
    <w:rsid w:val="00E7112E"/>
    <w:rsid w:val="00E720BB"/>
    <w:rsid w:val="00E77D4D"/>
    <w:rsid w:val="00E81419"/>
    <w:rsid w:val="00E81A91"/>
    <w:rsid w:val="00E82C64"/>
    <w:rsid w:val="00E82D91"/>
    <w:rsid w:val="00E85EE8"/>
    <w:rsid w:val="00E91BF2"/>
    <w:rsid w:val="00E91E87"/>
    <w:rsid w:val="00E93FCA"/>
    <w:rsid w:val="00E94BDE"/>
    <w:rsid w:val="00E95012"/>
    <w:rsid w:val="00E95812"/>
    <w:rsid w:val="00E95948"/>
    <w:rsid w:val="00E96D3F"/>
    <w:rsid w:val="00EA0C91"/>
    <w:rsid w:val="00EA27E1"/>
    <w:rsid w:val="00EA29C9"/>
    <w:rsid w:val="00EA58DF"/>
    <w:rsid w:val="00EA66F6"/>
    <w:rsid w:val="00EA744D"/>
    <w:rsid w:val="00EB0905"/>
    <w:rsid w:val="00EB0C29"/>
    <w:rsid w:val="00EB1616"/>
    <w:rsid w:val="00EB199B"/>
    <w:rsid w:val="00EB2619"/>
    <w:rsid w:val="00EB2873"/>
    <w:rsid w:val="00EB5247"/>
    <w:rsid w:val="00EC3789"/>
    <w:rsid w:val="00ED00D7"/>
    <w:rsid w:val="00ED17A0"/>
    <w:rsid w:val="00ED3C05"/>
    <w:rsid w:val="00ED3E2B"/>
    <w:rsid w:val="00ED4D6D"/>
    <w:rsid w:val="00ED5130"/>
    <w:rsid w:val="00EE241E"/>
    <w:rsid w:val="00EE42D9"/>
    <w:rsid w:val="00EE5FFB"/>
    <w:rsid w:val="00EE67B3"/>
    <w:rsid w:val="00EE6FEB"/>
    <w:rsid w:val="00EF16C1"/>
    <w:rsid w:val="00EF2740"/>
    <w:rsid w:val="00EF6026"/>
    <w:rsid w:val="00EF7F0E"/>
    <w:rsid w:val="00F021DA"/>
    <w:rsid w:val="00F0263D"/>
    <w:rsid w:val="00F028AC"/>
    <w:rsid w:val="00F0303C"/>
    <w:rsid w:val="00F046AB"/>
    <w:rsid w:val="00F05540"/>
    <w:rsid w:val="00F05A81"/>
    <w:rsid w:val="00F0681B"/>
    <w:rsid w:val="00F073E0"/>
    <w:rsid w:val="00F11D24"/>
    <w:rsid w:val="00F139D8"/>
    <w:rsid w:val="00F16577"/>
    <w:rsid w:val="00F16B62"/>
    <w:rsid w:val="00F23175"/>
    <w:rsid w:val="00F23F1E"/>
    <w:rsid w:val="00F25460"/>
    <w:rsid w:val="00F33861"/>
    <w:rsid w:val="00F415BD"/>
    <w:rsid w:val="00F43621"/>
    <w:rsid w:val="00F44CA0"/>
    <w:rsid w:val="00F4707D"/>
    <w:rsid w:val="00F47EAB"/>
    <w:rsid w:val="00F50035"/>
    <w:rsid w:val="00F510B6"/>
    <w:rsid w:val="00F55DDE"/>
    <w:rsid w:val="00F60BA5"/>
    <w:rsid w:val="00F639CD"/>
    <w:rsid w:val="00F6511C"/>
    <w:rsid w:val="00F6522C"/>
    <w:rsid w:val="00F664EA"/>
    <w:rsid w:val="00F66889"/>
    <w:rsid w:val="00F7354D"/>
    <w:rsid w:val="00F7741A"/>
    <w:rsid w:val="00F776D5"/>
    <w:rsid w:val="00F80D75"/>
    <w:rsid w:val="00F8152A"/>
    <w:rsid w:val="00F83EDF"/>
    <w:rsid w:val="00F84201"/>
    <w:rsid w:val="00F86143"/>
    <w:rsid w:val="00F9074F"/>
    <w:rsid w:val="00F93048"/>
    <w:rsid w:val="00F9329E"/>
    <w:rsid w:val="00F962D6"/>
    <w:rsid w:val="00F963CE"/>
    <w:rsid w:val="00F96814"/>
    <w:rsid w:val="00F9751D"/>
    <w:rsid w:val="00FA23C6"/>
    <w:rsid w:val="00FA30E7"/>
    <w:rsid w:val="00FA3121"/>
    <w:rsid w:val="00FA32DA"/>
    <w:rsid w:val="00FA3EAA"/>
    <w:rsid w:val="00FA4AED"/>
    <w:rsid w:val="00FA5228"/>
    <w:rsid w:val="00FA6137"/>
    <w:rsid w:val="00FA79F7"/>
    <w:rsid w:val="00FA7C9F"/>
    <w:rsid w:val="00FB4AE7"/>
    <w:rsid w:val="00FB6000"/>
    <w:rsid w:val="00FC1FFB"/>
    <w:rsid w:val="00FC49A5"/>
    <w:rsid w:val="00FC4A89"/>
    <w:rsid w:val="00FC4B78"/>
    <w:rsid w:val="00FC6035"/>
    <w:rsid w:val="00FD013F"/>
    <w:rsid w:val="00FD2A14"/>
    <w:rsid w:val="00FE3F74"/>
    <w:rsid w:val="00FE4A2D"/>
    <w:rsid w:val="00FE5611"/>
    <w:rsid w:val="00FF0D0F"/>
    <w:rsid w:val="00FF3D80"/>
    <w:rsid w:val="00FF5931"/>
    <w:rsid w:val="00FF61C2"/>
    <w:rsid w:val="00FF6682"/>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EB199B"/>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uiPriority w:val="9"/>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73677C"/>
    <w:pPr>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MTDisplayEquation">
    <w:name w:val="MTDisplayEquation"/>
    <w:basedOn w:val="Normal"/>
    <w:next w:val="Normal"/>
    <w:link w:val="MTDisplayEquationChar"/>
    <w:rsid w:val="00331C70"/>
    <w:pPr>
      <w:tabs>
        <w:tab w:val="center" w:pos="4160"/>
        <w:tab w:val="right" w:pos="8300"/>
      </w:tabs>
      <w:spacing w:before="200" w:line="240" w:lineRule="auto"/>
      <w:jc w:val="both"/>
    </w:pPr>
    <w:rPr>
      <w:rFonts w:ascii="Garamond" w:hAnsi="Garamond"/>
      <w:sz w:val="22"/>
      <w:szCs w:val="22"/>
      <w:lang w:eastAsia="en-AU"/>
    </w:rPr>
  </w:style>
  <w:style w:type="character" w:customStyle="1" w:styleId="MTDisplayEquationChar">
    <w:name w:val="MTDisplayEquation Char"/>
    <w:basedOn w:val="DefaultParagraphFont"/>
    <w:link w:val="MTDisplayEquation"/>
    <w:rsid w:val="00331C70"/>
    <w:rPr>
      <w:rFonts w:ascii="Garamond" w:hAnsi="Garamond"/>
      <w:sz w:val="22"/>
      <w:szCs w:val="22"/>
      <w:lang w:val="en-AU" w:eastAsia="en-AU"/>
    </w:rPr>
  </w:style>
  <w:style w:type="character" w:styleId="PlaceholderText">
    <w:name w:val="Placeholder Text"/>
    <w:basedOn w:val="DefaultParagraphFont"/>
    <w:uiPriority w:val="99"/>
    <w:semiHidden/>
    <w:rsid w:val="00331C70"/>
    <w:rPr>
      <w:color w:val="808080"/>
    </w:rPr>
  </w:style>
  <w:style w:type="character" w:styleId="CommentReference">
    <w:name w:val="annotation reference"/>
    <w:basedOn w:val="DefaultParagraphFont"/>
    <w:uiPriority w:val="99"/>
    <w:semiHidden/>
    <w:rsid w:val="009B000B"/>
    <w:rPr>
      <w:sz w:val="16"/>
      <w:szCs w:val="16"/>
    </w:rPr>
  </w:style>
  <w:style w:type="paragraph" w:styleId="CommentText">
    <w:name w:val="annotation text"/>
    <w:basedOn w:val="Normal"/>
    <w:link w:val="CommentTextChar"/>
    <w:uiPriority w:val="99"/>
    <w:semiHidden/>
    <w:rsid w:val="009B000B"/>
    <w:pPr>
      <w:spacing w:line="240" w:lineRule="auto"/>
    </w:pPr>
    <w:rPr>
      <w:sz w:val="20"/>
    </w:rPr>
  </w:style>
  <w:style w:type="character" w:customStyle="1" w:styleId="CommentTextChar">
    <w:name w:val="Comment Text Char"/>
    <w:basedOn w:val="DefaultParagraphFont"/>
    <w:link w:val="CommentText"/>
    <w:uiPriority w:val="99"/>
    <w:semiHidden/>
    <w:rsid w:val="009B000B"/>
    <w:rPr>
      <w:rFonts w:ascii="Trebuchet MS" w:hAnsi="Trebuchet MS"/>
      <w:lang w:val="en-AU"/>
    </w:rPr>
  </w:style>
  <w:style w:type="paragraph" w:styleId="CommentSubject">
    <w:name w:val="annotation subject"/>
    <w:basedOn w:val="CommentText"/>
    <w:next w:val="CommentText"/>
    <w:link w:val="CommentSubjectChar"/>
    <w:uiPriority w:val="99"/>
    <w:semiHidden/>
    <w:rsid w:val="009B000B"/>
    <w:rPr>
      <w:b/>
      <w:bCs/>
    </w:rPr>
  </w:style>
  <w:style w:type="character" w:customStyle="1" w:styleId="CommentSubjectChar">
    <w:name w:val="Comment Subject Char"/>
    <w:basedOn w:val="CommentTextChar"/>
    <w:link w:val="CommentSubject"/>
    <w:uiPriority w:val="99"/>
    <w:semiHidden/>
    <w:rsid w:val="009B000B"/>
    <w:rPr>
      <w:b/>
      <w:bCs/>
    </w:rPr>
  </w:style>
  <w:style w:type="character" w:customStyle="1" w:styleId="Heading2Char">
    <w:name w:val="Heading 2 Char"/>
    <w:basedOn w:val="DefaultParagraphFont"/>
    <w:link w:val="Heading2"/>
    <w:uiPriority w:val="9"/>
    <w:rsid w:val="00B34A6A"/>
    <w:rPr>
      <w:rFonts w:ascii="Tahoma" w:hAnsi="Tahoma" w:cs="Tahoma"/>
      <w:sz w:val="28"/>
      <w:lang w:val="en-AU"/>
    </w:rPr>
  </w:style>
  <w:style w:type="character" w:styleId="FootnoteReference">
    <w:name w:val="footnote reference"/>
    <w:basedOn w:val="DefaultParagraphFont"/>
    <w:uiPriority w:val="99"/>
    <w:semiHidden/>
    <w:rsid w:val="007328FD"/>
    <w:rPr>
      <w:vertAlign w:val="superscript"/>
    </w:rPr>
  </w:style>
  <w:style w:type="paragraph" w:styleId="Revision">
    <w:name w:val="Revision"/>
    <w:hidden/>
    <w:uiPriority w:val="99"/>
    <w:semiHidden/>
    <w:rsid w:val="005231BD"/>
    <w:rPr>
      <w:rFonts w:ascii="Trebuchet MS" w:hAnsi="Trebuchet MS"/>
      <w:sz w:val="19"/>
      <w:lang w:val="en-AU"/>
    </w:rPr>
  </w:style>
  <w:style w:type="character" w:customStyle="1" w:styleId="FootnoteTextChar">
    <w:name w:val="Footnote Text Char"/>
    <w:basedOn w:val="DefaultParagraphFont"/>
    <w:link w:val="FootnoteText"/>
    <w:uiPriority w:val="99"/>
    <w:rsid w:val="002C050C"/>
    <w:rPr>
      <w:rFonts w:ascii="Trebuchet MS" w:hAnsi="Trebuchet MS"/>
      <w:sz w:val="16"/>
      <w:lang w:val="en-AU"/>
    </w:rPr>
  </w:style>
  <w:style w:type="character" w:customStyle="1" w:styleId="Heading1Char">
    <w:name w:val="Heading 1 Char"/>
    <w:basedOn w:val="DefaultParagraphFont"/>
    <w:link w:val="Heading1"/>
    <w:rsid w:val="0065683C"/>
    <w:rPr>
      <w:rFonts w:ascii="Tahoma" w:hAnsi="Tahoma" w:cs="Tahoma"/>
      <w:color w:val="000000"/>
      <w:kern w:val="28"/>
      <w:sz w:val="56"/>
      <w:szCs w:val="56"/>
      <w:lang w:val="en-AU"/>
    </w:rPr>
  </w:style>
  <w:style w:type="paragraph" w:customStyle="1" w:styleId="A-Ncver-Memo-Text">
    <w:name w:val="A-Ncver-Memo-Text"/>
    <w:basedOn w:val="Normal"/>
    <w:rsid w:val="000F6232"/>
    <w:pPr>
      <w:spacing w:before="0" w:after="120" w:line="240" w:lineRule="auto"/>
    </w:pPr>
    <w:rPr>
      <w:rFonts w:ascii="Verdana" w:eastAsiaTheme="minorHAnsi" w:hAnsi="Verdana"/>
      <w:sz w:val="20"/>
      <w:lang w:eastAsia="en-AU"/>
    </w:rPr>
  </w:style>
  <w:style w:type="paragraph" w:customStyle="1" w:styleId="NumberedAlphaLevel2">
    <w:name w:val="NumberedAlphaLevel2"/>
    <w:basedOn w:val="NumberedListContinuing"/>
    <w:uiPriority w:val="1"/>
    <w:qFormat/>
    <w:rsid w:val="00495869"/>
    <w:pPr>
      <w:numPr>
        <w:numId w:val="0"/>
      </w:numPr>
      <w:tabs>
        <w:tab w:val="num" w:pos="567"/>
      </w:tabs>
      <w:ind w:left="567" w:hanging="283"/>
    </w:pPr>
  </w:style>
  <w:style w:type="paragraph" w:customStyle="1" w:styleId="Textlessbefore">
    <w:name w:val="Text less # before"/>
    <w:basedOn w:val="Text"/>
    <w:uiPriority w:val="1"/>
    <w:qFormat/>
    <w:rsid w:val="00226BC6"/>
    <w:pPr>
      <w:spacing w:before="80"/>
      <w:ind w:right="0"/>
    </w:pPr>
    <w:rPr>
      <w:lang w:val="en-GB"/>
    </w:rPr>
  </w:style>
  <w:style w:type="paragraph" w:customStyle="1" w:styleId="Textmorebefore">
    <w:name w:val="Text more # before"/>
    <w:basedOn w:val="Text"/>
    <w:uiPriority w:val="1"/>
    <w:qFormat/>
    <w:rsid w:val="005008BD"/>
    <w:pPr>
      <w:spacing w:before="360"/>
      <w:ind w:right="0"/>
    </w:pPr>
    <w:rPr>
      <w:lang w:val="en-GB"/>
    </w:rPr>
  </w:style>
</w:styles>
</file>

<file path=word/webSettings.xml><?xml version="1.0" encoding="utf-8"?>
<w:webSettings xmlns:r="http://schemas.openxmlformats.org/officeDocument/2006/relationships" xmlns:w="http://schemas.openxmlformats.org/wordprocessingml/2006/main">
  <w:divs>
    <w:div w:id="46300204">
      <w:bodyDiv w:val="1"/>
      <w:marLeft w:val="0"/>
      <w:marRight w:val="0"/>
      <w:marTop w:val="0"/>
      <w:marBottom w:val="0"/>
      <w:divBdr>
        <w:top w:val="none" w:sz="0" w:space="0" w:color="auto"/>
        <w:left w:val="none" w:sz="0" w:space="0" w:color="auto"/>
        <w:bottom w:val="none" w:sz="0" w:space="0" w:color="auto"/>
        <w:right w:val="none" w:sz="0" w:space="0" w:color="auto"/>
      </w:divBdr>
    </w:div>
    <w:div w:id="76096444">
      <w:bodyDiv w:val="1"/>
      <w:marLeft w:val="0"/>
      <w:marRight w:val="0"/>
      <w:marTop w:val="0"/>
      <w:marBottom w:val="0"/>
      <w:divBdr>
        <w:top w:val="none" w:sz="0" w:space="0" w:color="auto"/>
        <w:left w:val="none" w:sz="0" w:space="0" w:color="auto"/>
        <w:bottom w:val="none" w:sz="0" w:space="0" w:color="auto"/>
        <w:right w:val="none" w:sz="0" w:space="0" w:color="auto"/>
      </w:divBdr>
    </w:div>
    <w:div w:id="98836261">
      <w:bodyDiv w:val="1"/>
      <w:marLeft w:val="0"/>
      <w:marRight w:val="0"/>
      <w:marTop w:val="0"/>
      <w:marBottom w:val="0"/>
      <w:divBdr>
        <w:top w:val="none" w:sz="0" w:space="0" w:color="auto"/>
        <w:left w:val="none" w:sz="0" w:space="0" w:color="auto"/>
        <w:bottom w:val="none" w:sz="0" w:space="0" w:color="auto"/>
        <w:right w:val="none" w:sz="0" w:space="0" w:color="auto"/>
      </w:divBdr>
    </w:div>
    <w:div w:id="116683429">
      <w:bodyDiv w:val="1"/>
      <w:marLeft w:val="0"/>
      <w:marRight w:val="0"/>
      <w:marTop w:val="0"/>
      <w:marBottom w:val="0"/>
      <w:divBdr>
        <w:top w:val="none" w:sz="0" w:space="0" w:color="auto"/>
        <w:left w:val="none" w:sz="0" w:space="0" w:color="auto"/>
        <w:bottom w:val="none" w:sz="0" w:space="0" w:color="auto"/>
        <w:right w:val="none" w:sz="0" w:space="0" w:color="auto"/>
      </w:divBdr>
    </w:div>
    <w:div w:id="123813972">
      <w:bodyDiv w:val="1"/>
      <w:marLeft w:val="0"/>
      <w:marRight w:val="0"/>
      <w:marTop w:val="0"/>
      <w:marBottom w:val="0"/>
      <w:divBdr>
        <w:top w:val="none" w:sz="0" w:space="0" w:color="auto"/>
        <w:left w:val="none" w:sz="0" w:space="0" w:color="auto"/>
        <w:bottom w:val="none" w:sz="0" w:space="0" w:color="auto"/>
        <w:right w:val="none" w:sz="0" w:space="0" w:color="auto"/>
      </w:divBdr>
      <w:divsChild>
        <w:div w:id="1574272986">
          <w:marLeft w:val="0"/>
          <w:marRight w:val="0"/>
          <w:marTop w:val="0"/>
          <w:marBottom w:val="0"/>
          <w:divBdr>
            <w:top w:val="none" w:sz="0" w:space="0" w:color="auto"/>
            <w:left w:val="none" w:sz="0" w:space="0" w:color="auto"/>
            <w:bottom w:val="none" w:sz="0" w:space="0" w:color="auto"/>
            <w:right w:val="none" w:sz="0" w:space="0" w:color="auto"/>
          </w:divBdr>
          <w:divsChild>
            <w:div w:id="295573528">
              <w:marLeft w:val="0"/>
              <w:marRight w:val="0"/>
              <w:marTop w:val="0"/>
              <w:marBottom w:val="0"/>
              <w:divBdr>
                <w:top w:val="none" w:sz="0" w:space="0" w:color="auto"/>
                <w:left w:val="none" w:sz="0" w:space="0" w:color="auto"/>
                <w:bottom w:val="none" w:sz="0" w:space="0" w:color="auto"/>
                <w:right w:val="none" w:sz="0" w:space="0" w:color="auto"/>
              </w:divBdr>
              <w:divsChild>
                <w:div w:id="373359453">
                  <w:marLeft w:val="0"/>
                  <w:marRight w:val="0"/>
                  <w:marTop w:val="0"/>
                  <w:marBottom w:val="0"/>
                  <w:divBdr>
                    <w:top w:val="none" w:sz="0" w:space="0" w:color="auto"/>
                    <w:left w:val="none" w:sz="0" w:space="0" w:color="auto"/>
                    <w:bottom w:val="none" w:sz="0" w:space="0" w:color="auto"/>
                    <w:right w:val="none" w:sz="0" w:space="0" w:color="auto"/>
                  </w:divBdr>
                  <w:divsChild>
                    <w:div w:id="1945964779">
                      <w:marLeft w:val="0"/>
                      <w:marRight w:val="0"/>
                      <w:marTop w:val="0"/>
                      <w:marBottom w:val="0"/>
                      <w:divBdr>
                        <w:top w:val="none" w:sz="0" w:space="0" w:color="auto"/>
                        <w:left w:val="none" w:sz="0" w:space="0" w:color="auto"/>
                        <w:bottom w:val="none" w:sz="0" w:space="0" w:color="auto"/>
                        <w:right w:val="none" w:sz="0" w:space="0" w:color="auto"/>
                      </w:divBdr>
                      <w:divsChild>
                        <w:div w:id="321280449">
                          <w:marLeft w:val="851"/>
                          <w:marRight w:val="0"/>
                          <w:marTop w:val="360"/>
                          <w:marBottom w:val="0"/>
                          <w:divBdr>
                            <w:top w:val="none" w:sz="0" w:space="0" w:color="auto"/>
                            <w:left w:val="none" w:sz="0" w:space="0" w:color="auto"/>
                            <w:bottom w:val="none" w:sz="0" w:space="0" w:color="auto"/>
                            <w:right w:val="none" w:sz="0" w:space="0" w:color="auto"/>
                          </w:divBdr>
                        </w:div>
                        <w:div w:id="1490827079">
                          <w:marLeft w:val="0"/>
                          <w:marRight w:val="0"/>
                          <w:marTop w:val="0"/>
                          <w:marBottom w:val="0"/>
                          <w:divBdr>
                            <w:top w:val="none" w:sz="0" w:space="0" w:color="auto"/>
                            <w:left w:val="none" w:sz="0" w:space="0" w:color="auto"/>
                            <w:bottom w:val="none" w:sz="0" w:space="0" w:color="auto"/>
                            <w:right w:val="none" w:sz="0" w:space="0" w:color="auto"/>
                          </w:divBdr>
                        </w:div>
                        <w:div w:id="607858826">
                          <w:marLeft w:val="0"/>
                          <w:marRight w:val="0"/>
                          <w:marTop w:val="160"/>
                          <w:marBottom w:val="0"/>
                          <w:divBdr>
                            <w:top w:val="none" w:sz="0" w:space="0" w:color="auto"/>
                            <w:left w:val="none" w:sz="0" w:space="0" w:color="auto"/>
                            <w:bottom w:val="none" w:sz="0" w:space="0" w:color="auto"/>
                            <w:right w:val="none" w:sz="0" w:space="0" w:color="auto"/>
                          </w:divBdr>
                        </w:div>
                        <w:div w:id="977300129">
                          <w:marLeft w:val="0"/>
                          <w:marRight w:val="0"/>
                          <w:marTop w:val="160"/>
                          <w:marBottom w:val="0"/>
                          <w:divBdr>
                            <w:top w:val="none" w:sz="0" w:space="0" w:color="auto"/>
                            <w:left w:val="none" w:sz="0" w:space="0" w:color="auto"/>
                            <w:bottom w:val="none" w:sz="0" w:space="0" w:color="auto"/>
                            <w:right w:val="none" w:sz="0" w:space="0" w:color="auto"/>
                          </w:divBdr>
                        </w:div>
                        <w:div w:id="1558006583">
                          <w:marLeft w:val="0"/>
                          <w:marRight w:val="0"/>
                          <w:marTop w:val="160"/>
                          <w:marBottom w:val="0"/>
                          <w:divBdr>
                            <w:top w:val="none" w:sz="0" w:space="0" w:color="auto"/>
                            <w:left w:val="none" w:sz="0" w:space="0" w:color="auto"/>
                            <w:bottom w:val="none" w:sz="0" w:space="0" w:color="auto"/>
                            <w:right w:val="none" w:sz="0" w:space="0" w:color="auto"/>
                          </w:divBdr>
                        </w:div>
                        <w:div w:id="420683664">
                          <w:marLeft w:val="0"/>
                          <w:marRight w:val="0"/>
                          <w:marTop w:val="160"/>
                          <w:marBottom w:val="0"/>
                          <w:divBdr>
                            <w:top w:val="none" w:sz="0" w:space="0" w:color="auto"/>
                            <w:left w:val="none" w:sz="0" w:space="0" w:color="auto"/>
                            <w:bottom w:val="none" w:sz="0" w:space="0" w:color="auto"/>
                            <w:right w:val="none" w:sz="0" w:space="0" w:color="auto"/>
                          </w:divBdr>
                        </w:div>
                        <w:div w:id="1519585559">
                          <w:marLeft w:val="0"/>
                          <w:marRight w:val="0"/>
                          <w:marTop w:val="160"/>
                          <w:marBottom w:val="0"/>
                          <w:divBdr>
                            <w:top w:val="none" w:sz="0" w:space="0" w:color="auto"/>
                            <w:left w:val="none" w:sz="0" w:space="0" w:color="auto"/>
                            <w:bottom w:val="none" w:sz="0" w:space="0" w:color="auto"/>
                            <w:right w:val="none" w:sz="0" w:space="0" w:color="auto"/>
                          </w:divBdr>
                        </w:div>
                        <w:div w:id="1338195537">
                          <w:marLeft w:val="0"/>
                          <w:marRight w:val="0"/>
                          <w:marTop w:val="160"/>
                          <w:marBottom w:val="0"/>
                          <w:divBdr>
                            <w:top w:val="none" w:sz="0" w:space="0" w:color="auto"/>
                            <w:left w:val="none" w:sz="0" w:space="0" w:color="auto"/>
                            <w:bottom w:val="none" w:sz="0" w:space="0" w:color="auto"/>
                            <w:right w:val="none" w:sz="0" w:space="0" w:color="auto"/>
                          </w:divBdr>
                        </w:div>
                        <w:div w:id="983434983">
                          <w:marLeft w:val="0"/>
                          <w:marRight w:val="0"/>
                          <w:marTop w:val="160"/>
                          <w:marBottom w:val="0"/>
                          <w:divBdr>
                            <w:top w:val="none" w:sz="0" w:space="0" w:color="auto"/>
                            <w:left w:val="none" w:sz="0" w:space="0" w:color="auto"/>
                            <w:bottom w:val="none" w:sz="0" w:space="0" w:color="auto"/>
                            <w:right w:val="none" w:sz="0" w:space="0" w:color="auto"/>
                          </w:divBdr>
                        </w:div>
                        <w:div w:id="1663192877">
                          <w:marLeft w:val="0"/>
                          <w:marRight w:val="0"/>
                          <w:marTop w:val="160"/>
                          <w:marBottom w:val="0"/>
                          <w:divBdr>
                            <w:top w:val="none" w:sz="0" w:space="0" w:color="auto"/>
                            <w:left w:val="none" w:sz="0" w:space="0" w:color="auto"/>
                            <w:bottom w:val="none" w:sz="0" w:space="0" w:color="auto"/>
                            <w:right w:val="none" w:sz="0" w:space="0" w:color="auto"/>
                          </w:divBdr>
                        </w:div>
                        <w:div w:id="536702168">
                          <w:marLeft w:val="0"/>
                          <w:marRight w:val="0"/>
                          <w:marTop w:val="160"/>
                          <w:marBottom w:val="0"/>
                          <w:divBdr>
                            <w:top w:val="none" w:sz="0" w:space="0" w:color="auto"/>
                            <w:left w:val="none" w:sz="0" w:space="0" w:color="auto"/>
                            <w:bottom w:val="none" w:sz="0" w:space="0" w:color="auto"/>
                            <w:right w:val="none" w:sz="0" w:space="0" w:color="auto"/>
                          </w:divBdr>
                        </w:div>
                        <w:div w:id="1195121705">
                          <w:marLeft w:val="0"/>
                          <w:marRight w:val="0"/>
                          <w:marTop w:val="160"/>
                          <w:marBottom w:val="0"/>
                          <w:divBdr>
                            <w:top w:val="none" w:sz="0" w:space="0" w:color="auto"/>
                            <w:left w:val="none" w:sz="0" w:space="0" w:color="auto"/>
                            <w:bottom w:val="none" w:sz="0" w:space="0" w:color="auto"/>
                            <w:right w:val="none" w:sz="0" w:space="0" w:color="auto"/>
                          </w:divBdr>
                        </w:div>
                        <w:div w:id="1692680074">
                          <w:marLeft w:val="0"/>
                          <w:marRight w:val="0"/>
                          <w:marTop w:val="160"/>
                          <w:marBottom w:val="0"/>
                          <w:divBdr>
                            <w:top w:val="none" w:sz="0" w:space="0" w:color="auto"/>
                            <w:left w:val="none" w:sz="0" w:space="0" w:color="auto"/>
                            <w:bottom w:val="none" w:sz="0" w:space="0" w:color="auto"/>
                            <w:right w:val="none" w:sz="0" w:space="0" w:color="auto"/>
                          </w:divBdr>
                        </w:div>
                        <w:div w:id="542445055">
                          <w:marLeft w:val="0"/>
                          <w:marRight w:val="0"/>
                          <w:marTop w:val="160"/>
                          <w:marBottom w:val="0"/>
                          <w:divBdr>
                            <w:top w:val="none" w:sz="0" w:space="0" w:color="auto"/>
                            <w:left w:val="none" w:sz="0" w:space="0" w:color="auto"/>
                            <w:bottom w:val="none" w:sz="0" w:space="0" w:color="auto"/>
                            <w:right w:val="none" w:sz="0" w:space="0" w:color="auto"/>
                          </w:divBdr>
                        </w:div>
                        <w:div w:id="2111046730">
                          <w:marLeft w:val="0"/>
                          <w:marRight w:val="0"/>
                          <w:marTop w:val="160"/>
                          <w:marBottom w:val="0"/>
                          <w:divBdr>
                            <w:top w:val="none" w:sz="0" w:space="0" w:color="auto"/>
                            <w:left w:val="none" w:sz="0" w:space="0" w:color="auto"/>
                            <w:bottom w:val="none" w:sz="0" w:space="0" w:color="auto"/>
                            <w:right w:val="none" w:sz="0" w:space="0" w:color="auto"/>
                          </w:divBdr>
                        </w:div>
                        <w:div w:id="25064500">
                          <w:marLeft w:val="0"/>
                          <w:marRight w:val="0"/>
                          <w:marTop w:val="160"/>
                          <w:marBottom w:val="0"/>
                          <w:divBdr>
                            <w:top w:val="none" w:sz="0" w:space="0" w:color="auto"/>
                            <w:left w:val="none" w:sz="0" w:space="0" w:color="auto"/>
                            <w:bottom w:val="none" w:sz="0" w:space="0" w:color="auto"/>
                            <w:right w:val="none" w:sz="0" w:space="0" w:color="auto"/>
                          </w:divBdr>
                        </w:div>
                        <w:div w:id="158037740">
                          <w:marLeft w:val="0"/>
                          <w:marRight w:val="0"/>
                          <w:marTop w:val="160"/>
                          <w:marBottom w:val="0"/>
                          <w:divBdr>
                            <w:top w:val="none" w:sz="0" w:space="0" w:color="auto"/>
                            <w:left w:val="none" w:sz="0" w:space="0" w:color="auto"/>
                            <w:bottom w:val="none" w:sz="0" w:space="0" w:color="auto"/>
                            <w:right w:val="none" w:sz="0" w:space="0" w:color="auto"/>
                          </w:divBdr>
                        </w:div>
                        <w:div w:id="1978366358">
                          <w:marLeft w:val="0"/>
                          <w:marRight w:val="0"/>
                          <w:marTop w:val="160"/>
                          <w:marBottom w:val="0"/>
                          <w:divBdr>
                            <w:top w:val="none" w:sz="0" w:space="0" w:color="auto"/>
                            <w:left w:val="none" w:sz="0" w:space="0" w:color="auto"/>
                            <w:bottom w:val="none" w:sz="0" w:space="0" w:color="auto"/>
                            <w:right w:val="none" w:sz="0" w:space="0" w:color="auto"/>
                          </w:divBdr>
                        </w:div>
                        <w:div w:id="233592740">
                          <w:marLeft w:val="0"/>
                          <w:marRight w:val="0"/>
                          <w:marTop w:val="160"/>
                          <w:marBottom w:val="0"/>
                          <w:divBdr>
                            <w:top w:val="none" w:sz="0" w:space="0" w:color="auto"/>
                            <w:left w:val="none" w:sz="0" w:space="0" w:color="auto"/>
                            <w:bottom w:val="none" w:sz="0" w:space="0" w:color="auto"/>
                            <w:right w:val="none" w:sz="0" w:space="0" w:color="auto"/>
                          </w:divBdr>
                        </w:div>
                        <w:div w:id="1186401650">
                          <w:marLeft w:val="0"/>
                          <w:marRight w:val="0"/>
                          <w:marTop w:val="160"/>
                          <w:marBottom w:val="0"/>
                          <w:divBdr>
                            <w:top w:val="none" w:sz="0" w:space="0" w:color="auto"/>
                            <w:left w:val="none" w:sz="0" w:space="0" w:color="auto"/>
                            <w:bottom w:val="none" w:sz="0" w:space="0" w:color="auto"/>
                            <w:right w:val="none" w:sz="0" w:space="0" w:color="auto"/>
                          </w:divBdr>
                        </w:div>
                        <w:div w:id="1289622260">
                          <w:marLeft w:val="0"/>
                          <w:marRight w:val="0"/>
                          <w:marTop w:val="160"/>
                          <w:marBottom w:val="0"/>
                          <w:divBdr>
                            <w:top w:val="none" w:sz="0" w:space="0" w:color="auto"/>
                            <w:left w:val="none" w:sz="0" w:space="0" w:color="auto"/>
                            <w:bottom w:val="none" w:sz="0" w:space="0" w:color="auto"/>
                            <w:right w:val="none" w:sz="0" w:space="0" w:color="auto"/>
                          </w:divBdr>
                        </w:div>
                        <w:div w:id="548999001">
                          <w:marLeft w:val="0"/>
                          <w:marRight w:val="0"/>
                          <w:marTop w:val="160"/>
                          <w:marBottom w:val="0"/>
                          <w:divBdr>
                            <w:top w:val="none" w:sz="0" w:space="0" w:color="auto"/>
                            <w:left w:val="none" w:sz="0" w:space="0" w:color="auto"/>
                            <w:bottom w:val="none" w:sz="0" w:space="0" w:color="auto"/>
                            <w:right w:val="none" w:sz="0" w:space="0" w:color="auto"/>
                          </w:divBdr>
                        </w:div>
                        <w:div w:id="11448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192818">
      <w:bodyDiv w:val="1"/>
      <w:marLeft w:val="0"/>
      <w:marRight w:val="0"/>
      <w:marTop w:val="0"/>
      <w:marBottom w:val="0"/>
      <w:divBdr>
        <w:top w:val="none" w:sz="0" w:space="0" w:color="auto"/>
        <w:left w:val="none" w:sz="0" w:space="0" w:color="auto"/>
        <w:bottom w:val="none" w:sz="0" w:space="0" w:color="auto"/>
        <w:right w:val="none" w:sz="0" w:space="0" w:color="auto"/>
      </w:divBdr>
    </w:div>
    <w:div w:id="286742583">
      <w:bodyDiv w:val="1"/>
      <w:marLeft w:val="0"/>
      <w:marRight w:val="0"/>
      <w:marTop w:val="0"/>
      <w:marBottom w:val="0"/>
      <w:divBdr>
        <w:top w:val="none" w:sz="0" w:space="0" w:color="auto"/>
        <w:left w:val="none" w:sz="0" w:space="0" w:color="auto"/>
        <w:bottom w:val="none" w:sz="0" w:space="0" w:color="auto"/>
        <w:right w:val="none" w:sz="0" w:space="0" w:color="auto"/>
      </w:divBdr>
    </w:div>
    <w:div w:id="338318673">
      <w:bodyDiv w:val="1"/>
      <w:marLeft w:val="0"/>
      <w:marRight w:val="0"/>
      <w:marTop w:val="0"/>
      <w:marBottom w:val="0"/>
      <w:divBdr>
        <w:top w:val="none" w:sz="0" w:space="0" w:color="auto"/>
        <w:left w:val="none" w:sz="0" w:space="0" w:color="auto"/>
        <w:bottom w:val="none" w:sz="0" w:space="0" w:color="auto"/>
        <w:right w:val="none" w:sz="0" w:space="0" w:color="auto"/>
      </w:divBdr>
    </w:div>
    <w:div w:id="355618504">
      <w:bodyDiv w:val="1"/>
      <w:marLeft w:val="0"/>
      <w:marRight w:val="0"/>
      <w:marTop w:val="0"/>
      <w:marBottom w:val="0"/>
      <w:divBdr>
        <w:top w:val="none" w:sz="0" w:space="0" w:color="auto"/>
        <w:left w:val="none" w:sz="0" w:space="0" w:color="auto"/>
        <w:bottom w:val="none" w:sz="0" w:space="0" w:color="auto"/>
        <w:right w:val="none" w:sz="0" w:space="0" w:color="auto"/>
      </w:divBdr>
    </w:div>
    <w:div w:id="469330159">
      <w:bodyDiv w:val="1"/>
      <w:marLeft w:val="0"/>
      <w:marRight w:val="0"/>
      <w:marTop w:val="0"/>
      <w:marBottom w:val="0"/>
      <w:divBdr>
        <w:top w:val="none" w:sz="0" w:space="0" w:color="auto"/>
        <w:left w:val="none" w:sz="0" w:space="0" w:color="auto"/>
        <w:bottom w:val="none" w:sz="0" w:space="0" w:color="auto"/>
        <w:right w:val="none" w:sz="0" w:space="0" w:color="auto"/>
      </w:divBdr>
    </w:div>
    <w:div w:id="502208126">
      <w:bodyDiv w:val="1"/>
      <w:marLeft w:val="0"/>
      <w:marRight w:val="0"/>
      <w:marTop w:val="0"/>
      <w:marBottom w:val="0"/>
      <w:divBdr>
        <w:top w:val="none" w:sz="0" w:space="0" w:color="auto"/>
        <w:left w:val="none" w:sz="0" w:space="0" w:color="auto"/>
        <w:bottom w:val="none" w:sz="0" w:space="0" w:color="auto"/>
        <w:right w:val="none" w:sz="0" w:space="0" w:color="auto"/>
      </w:divBdr>
      <w:divsChild>
        <w:div w:id="1165364549">
          <w:marLeft w:val="0"/>
          <w:marRight w:val="0"/>
          <w:marTop w:val="0"/>
          <w:marBottom w:val="0"/>
          <w:divBdr>
            <w:top w:val="none" w:sz="0" w:space="0" w:color="auto"/>
            <w:left w:val="none" w:sz="0" w:space="0" w:color="auto"/>
            <w:bottom w:val="none" w:sz="0" w:space="0" w:color="auto"/>
            <w:right w:val="none" w:sz="0" w:space="0" w:color="auto"/>
          </w:divBdr>
          <w:divsChild>
            <w:div w:id="535167985">
              <w:marLeft w:val="0"/>
              <w:marRight w:val="0"/>
              <w:marTop w:val="0"/>
              <w:marBottom w:val="0"/>
              <w:divBdr>
                <w:top w:val="none" w:sz="0" w:space="0" w:color="auto"/>
                <w:left w:val="none" w:sz="0" w:space="0" w:color="auto"/>
                <w:bottom w:val="none" w:sz="0" w:space="0" w:color="auto"/>
                <w:right w:val="none" w:sz="0" w:space="0" w:color="auto"/>
              </w:divBdr>
              <w:divsChild>
                <w:div w:id="3920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9859">
          <w:marLeft w:val="0"/>
          <w:marRight w:val="0"/>
          <w:marTop w:val="0"/>
          <w:marBottom w:val="0"/>
          <w:divBdr>
            <w:top w:val="none" w:sz="0" w:space="0" w:color="auto"/>
            <w:left w:val="none" w:sz="0" w:space="0" w:color="auto"/>
            <w:bottom w:val="none" w:sz="0" w:space="0" w:color="auto"/>
            <w:right w:val="none" w:sz="0" w:space="0" w:color="auto"/>
          </w:divBdr>
        </w:div>
      </w:divsChild>
    </w:div>
    <w:div w:id="538053158">
      <w:bodyDiv w:val="1"/>
      <w:marLeft w:val="0"/>
      <w:marRight w:val="0"/>
      <w:marTop w:val="0"/>
      <w:marBottom w:val="0"/>
      <w:divBdr>
        <w:top w:val="none" w:sz="0" w:space="0" w:color="auto"/>
        <w:left w:val="none" w:sz="0" w:space="0" w:color="auto"/>
        <w:bottom w:val="none" w:sz="0" w:space="0" w:color="auto"/>
        <w:right w:val="none" w:sz="0" w:space="0" w:color="auto"/>
      </w:divBdr>
    </w:div>
    <w:div w:id="755833149">
      <w:bodyDiv w:val="1"/>
      <w:marLeft w:val="0"/>
      <w:marRight w:val="0"/>
      <w:marTop w:val="0"/>
      <w:marBottom w:val="0"/>
      <w:divBdr>
        <w:top w:val="none" w:sz="0" w:space="0" w:color="auto"/>
        <w:left w:val="none" w:sz="0" w:space="0" w:color="auto"/>
        <w:bottom w:val="none" w:sz="0" w:space="0" w:color="auto"/>
        <w:right w:val="none" w:sz="0" w:space="0" w:color="auto"/>
      </w:divBdr>
    </w:div>
    <w:div w:id="833493986">
      <w:bodyDiv w:val="1"/>
      <w:marLeft w:val="0"/>
      <w:marRight w:val="0"/>
      <w:marTop w:val="0"/>
      <w:marBottom w:val="0"/>
      <w:divBdr>
        <w:top w:val="none" w:sz="0" w:space="0" w:color="auto"/>
        <w:left w:val="none" w:sz="0" w:space="0" w:color="auto"/>
        <w:bottom w:val="none" w:sz="0" w:space="0" w:color="auto"/>
        <w:right w:val="none" w:sz="0" w:space="0" w:color="auto"/>
      </w:divBdr>
    </w:div>
    <w:div w:id="855657447">
      <w:bodyDiv w:val="1"/>
      <w:marLeft w:val="0"/>
      <w:marRight w:val="0"/>
      <w:marTop w:val="0"/>
      <w:marBottom w:val="0"/>
      <w:divBdr>
        <w:top w:val="none" w:sz="0" w:space="0" w:color="auto"/>
        <w:left w:val="none" w:sz="0" w:space="0" w:color="auto"/>
        <w:bottom w:val="none" w:sz="0" w:space="0" w:color="auto"/>
        <w:right w:val="none" w:sz="0" w:space="0" w:color="auto"/>
      </w:divBdr>
    </w:div>
    <w:div w:id="923952636">
      <w:bodyDiv w:val="1"/>
      <w:marLeft w:val="0"/>
      <w:marRight w:val="0"/>
      <w:marTop w:val="0"/>
      <w:marBottom w:val="0"/>
      <w:divBdr>
        <w:top w:val="none" w:sz="0" w:space="0" w:color="auto"/>
        <w:left w:val="none" w:sz="0" w:space="0" w:color="auto"/>
        <w:bottom w:val="none" w:sz="0" w:space="0" w:color="auto"/>
        <w:right w:val="none" w:sz="0" w:space="0" w:color="auto"/>
      </w:divBdr>
    </w:div>
    <w:div w:id="1040010835">
      <w:bodyDiv w:val="1"/>
      <w:marLeft w:val="0"/>
      <w:marRight w:val="0"/>
      <w:marTop w:val="0"/>
      <w:marBottom w:val="0"/>
      <w:divBdr>
        <w:top w:val="none" w:sz="0" w:space="0" w:color="auto"/>
        <w:left w:val="none" w:sz="0" w:space="0" w:color="auto"/>
        <w:bottom w:val="none" w:sz="0" w:space="0" w:color="auto"/>
        <w:right w:val="none" w:sz="0" w:space="0" w:color="auto"/>
      </w:divBdr>
    </w:div>
    <w:div w:id="1114253196">
      <w:bodyDiv w:val="1"/>
      <w:marLeft w:val="0"/>
      <w:marRight w:val="0"/>
      <w:marTop w:val="0"/>
      <w:marBottom w:val="0"/>
      <w:divBdr>
        <w:top w:val="none" w:sz="0" w:space="0" w:color="auto"/>
        <w:left w:val="none" w:sz="0" w:space="0" w:color="auto"/>
        <w:bottom w:val="none" w:sz="0" w:space="0" w:color="auto"/>
        <w:right w:val="none" w:sz="0" w:space="0" w:color="auto"/>
      </w:divBdr>
    </w:div>
    <w:div w:id="1131365497">
      <w:bodyDiv w:val="1"/>
      <w:marLeft w:val="0"/>
      <w:marRight w:val="0"/>
      <w:marTop w:val="0"/>
      <w:marBottom w:val="0"/>
      <w:divBdr>
        <w:top w:val="none" w:sz="0" w:space="0" w:color="auto"/>
        <w:left w:val="none" w:sz="0" w:space="0" w:color="auto"/>
        <w:bottom w:val="none" w:sz="0" w:space="0" w:color="auto"/>
        <w:right w:val="none" w:sz="0" w:space="0" w:color="auto"/>
      </w:divBdr>
    </w:div>
    <w:div w:id="1144926897">
      <w:bodyDiv w:val="1"/>
      <w:marLeft w:val="0"/>
      <w:marRight w:val="0"/>
      <w:marTop w:val="0"/>
      <w:marBottom w:val="0"/>
      <w:divBdr>
        <w:top w:val="none" w:sz="0" w:space="0" w:color="auto"/>
        <w:left w:val="none" w:sz="0" w:space="0" w:color="auto"/>
        <w:bottom w:val="none" w:sz="0" w:space="0" w:color="auto"/>
        <w:right w:val="none" w:sz="0" w:space="0" w:color="auto"/>
      </w:divBdr>
    </w:div>
    <w:div w:id="1200431830">
      <w:bodyDiv w:val="1"/>
      <w:marLeft w:val="0"/>
      <w:marRight w:val="0"/>
      <w:marTop w:val="0"/>
      <w:marBottom w:val="0"/>
      <w:divBdr>
        <w:top w:val="none" w:sz="0" w:space="0" w:color="auto"/>
        <w:left w:val="none" w:sz="0" w:space="0" w:color="auto"/>
        <w:bottom w:val="none" w:sz="0" w:space="0" w:color="auto"/>
        <w:right w:val="none" w:sz="0" w:space="0" w:color="auto"/>
      </w:divBdr>
    </w:div>
    <w:div w:id="1281761441">
      <w:bodyDiv w:val="1"/>
      <w:marLeft w:val="0"/>
      <w:marRight w:val="0"/>
      <w:marTop w:val="0"/>
      <w:marBottom w:val="0"/>
      <w:divBdr>
        <w:top w:val="none" w:sz="0" w:space="0" w:color="auto"/>
        <w:left w:val="none" w:sz="0" w:space="0" w:color="auto"/>
        <w:bottom w:val="none" w:sz="0" w:space="0" w:color="auto"/>
        <w:right w:val="none" w:sz="0" w:space="0" w:color="auto"/>
      </w:divBdr>
    </w:div>
    <w:div w:id="1286304551">
      <w:bodyDiv w:val="1"/>
      <w:marLeft w:val="0"/>
      <w:marRight w:val="0"/>
      <w:marTop w:val="0"/>
      <w:marBottom w:val="0"/>
      <w:divBdr>
        <w:top w:val="none" w:sz="0" w:space="0" w:color="auto"/>
        <w:left w:val="none" w:sz="0" w:space="0" w:color="auto"/>
        <w:bottom w:val="none" w:sz="0" w:space="0" w:color="auto"/>
        <w:right w:val="none" w:sz="0" w:space="0" w:color="auto"/>
      </w:divBdr>
    </w:div>
    <w:div w:id="1310285013">
      <w:bodyDiv w:val="1"/>
      <w:marLeft w:val="0"/>
      <w:marRight w:val="0"/>
      <w:marTop w:val="0"/>
      <w:marBottom w:val="0"/>
      <w:divBdr>
        <w:top w:val="none" w:sz="0" w:space="0" w:color="auto"/>
        <w:left w:val="none" w:sz="0" w:space="0" w:color="auto"/>
        <w:bottom w:val="none" w:sz="0" w:space="0" w:color="auto"/>
        <w:right w:val="none" w:sz="0" w:space="0" w:color="auto"/>
      </w:divBdr>
    </w:div>
    <w:div w:id="1315915886">
      <w:bodyDiv w:val="1"/>
      <w:marLeft w:val="0"/>
      <w:marRight w:val="0"/>
      <w:marTop w:val="0"/>
      <w:marBottom w:val="0"/>
      <w:divBdr>
        <w:top w:val="none" w:sz="0" w:space="0" w:color="auto"/>
        <w:left w:val="none" w:sz="0" w:space="0" w:color="auto"/>
        <w:bottom w:val="none" w:sz="0" w:space="0" w:color="auto"/>
        <w:right w:val="none" w:sz="0" w:space="0" w:color="auto"/>
      </w:divBdr>
    </w:div>
    <w:div w:id="1339507364">
      <w:bodyDiv w:val="1"/>
      <w:marLeft w:val="0"/>
      <w:marRight w:val="0"/>
      <w:marTop w:val="0"/>
      <w:marBottom w:val="0"/>
      <w:divBdr>
        <w:top w:val="none" w:sz="0" w:space="0" w:color="auto"/>
        <w:left w:val="none" w:sz="0" w:space="0" w:color="auto"/>
        <w:bottom w:val="none" w:sz="0" w:space="0" w:color="auto"/>
        <w:right w:val="none" w:sz="0" w:space="0" w:color="auto"/>
      </w:divBdr>
    </w:div>
    <w:div w:id="1362902634">
      <w:bodyDiv w:val="1"/>
      <w:marLeft w:val="0"/>
      <w:marRight w:val="0"/>
      <w:marTop w:val="0"/>
      <w:marBottom w:val="0"/>
      <w:divBdr>
        <w:top w:val="none" w:sz="0" w:space="0" w:color="auto"/>
        <w:left w:val="none" w:sz="0" w:space="0" w:color="auto"/>
        <w:bottom w:val="none" w:sz="0" w:space="0" w:color="auto"/>
        <w:right w:val="none" w:sz="0" w:space="0" w:color="auto"/>
      </w:divBdr>
    </w:div>
    <w:div w:id="1404447163">
      <w:bodyDiv w:val="1"/>
      <w:marLeft w:val="0"/>
      <w:marRight w:val="0"/>
      <w:marTop w:val="0"/>
      <w:marBottom w:val="0"/>
      <w:divBdr>
        <w:top w:val="none" w:sz="0" w:space="0" w:color="auto"/>
        <w:left w:val="none" w:sz="0" w:space="0" w:color="auto"/>
        <w:bottom w:val="none" w:sz="0" w:space="0" w:color="auto"/>
        <w:right w:val="none" w:sz="0" w:space="0" w:color="auto"/>
      </w:divBdr>
    </w:div>
    <w:div w:id="1447843524">
      <w:bodyDiv w:val="1"/>
      <w:marLeft w:val="0"/>
      <w:marRight w:val="0"/>
      <w:marTop w:val="0"/>
      <w:marBottom w:val="0"/>
      <w:divBdr>
        <w:top w:val="none" w:sz="0" w:space="0" w:color="auto"/>
        <w:left w:val="none" w:sz="0" w:space="0" w:color="auto"/>
        <w:bottom w:val="none" w:sz="0" w:space="0" w:color="auto"/>
        <w:right w:val="none" w:sz="0" w:space="0" w:color="auto"/>
      </w:divBdr>
    </w:div>
    <w:div w:id="1596206030">
      <w:bodyDiv w:val="1"/>
      <w:marLeft w:val="0"/>
      <w:marRight w:val="0"/>
      <w:marTop w:val="0"/>
      <w:marBottom w:val="0"/>
      <w:divBdr>
        <w:top w:val="none" w:sz="0" w:space="0" w:color="auto"/>
        <w:left w:val="none" w:sz="0" w:space="0" w:color="auto"/>
        <w:bottom w:val="none" w:sz="0" w:space="0" w:color="auto"/>
        <w:right w:val="none" w:sz="0" w:space="0" w:color="auto"/>
      </w:divBdr>
    </w:div>
    <w:div w:id="1614750924">
      <w:bodyDiv w:val="1"/>
      <w:marLeft w:val="0"/>
      <w:marRight w:val="0"/>
      <w:marTop w:val="0"/>
      <w:marBottom w:val="0"/>
      <w:divBdr>
        <w:top w:val="none" w:sz="0" w:space="0" w:color="auto"/>
        <w:left w:val="none" w:sz="0" w:space="0" w:color="auto"/>
        <w:bottom w:val="none" w:sz="0" w:space="0" w:color="auto"/>
        <w:right w:val="none" w:sz="0" w:space="0" w:color="auto"/>
      </w:divBdr>
    </w:div>
    <w:div w:id="1619951570">
      <w:bodyDiv w:val="1"/>
      <w:marLeft w:val="0"/>
      <w:marRight w:val="0"/>
      <w:marTop w:val="0"/>
      <w:marBottom w:val="0"/>
      <w:divBdr>
        <w:top w:val="none" w:sz="0" w:space="0" w:color="auto"/>
        <w:left w:val="none" w:sz="0" w:space="0" w:color="auto"/>
        <w:bottom w:val="none" w:sz="0" w:space="0" w:color="auto"/>
        <w:right w:val="none" w:sz="0" w:space="0" w:color="auto"/>
      </w:divBdr>
    </w:div>
    <w:div w:id="1630432967">
      <w:bodyDiv w:val="1"/>
      <w:marLeft w:val="0"/>
      <w:marRight w:val="0"/>
      <w:marTop w:val="0"/>
      <w:marBottom w:val="0"/>
      <w:divBdr>
        <w:top w:val="none" w:sz="0" w:space="0" w:color="auto"/>
        <w:left w:val="none" w:sz="0" w:space="0" w:color="auto"/>
        <w:bottom w:val="none" w:sz="0" w:space="0" w:color="auto"/>
        <w:right w:val="none" w:sz="0" w:space="0" w:color="auto"/>
      </w:divBdr>
    </w:div>
    <w:div w:id="1635914855">
      <w:bodyDiv w:val="1"/>
      <w:marLeft w:val="0"/>
      <w:marRight w:val="0"/>
      <w:marTop w:val="0"/>
      <w:marBottom w:val="0"/>
      <w:divBdr>
        <w:top w:val="none" w:sz="0" w:space="0" w:color="auto"/>
        <w:left w:val="none" w:sz="0" w:space="0" w:color="auto"/>
        <w:bottom w:val="none" w:sz="0" w:space="0" w:color="auto"/>
        <w:right w:val="none" w:sz="0" w:space="0" w:color="auto"/>
      </w:divBdr>
    </w:div>
    <w:div w:id="1742559548">
      <w:bodyDiv w:val="1"/>
      <w:marLeft w:val="0"/>
      <w:marRight w:val="0"/>
      <w:marTop w:val="0"/>
      <w:marBottom w:val="0"/>
      <w:divBdr>
        <w:top w:val="none" w:sz="0" w:space="0" w:color="auto"/>
        <w:left w:val="none" w:sz="0" w:space="0" w:color="auto"/>
        <w:bottom w:val="none" w:sz="0" w:space="0" w:color="auto"/>
        <w:right w:val="none" w:sz="0" w:space="0" w:color="auto"/>
      </w:divBdr>
    </w:div>
    <w:div w:id="1749494576">
      <w:bodyDiv w:val="1"/>
      <w:marLeft w:val="0"/>
      <w:marRight w:val="0"/>
      <w:marTop w:val="0"/>
      <w:marBottom w:val="0"/>
      <w:divBdr>
        <w:top w:val="none" w:sz="0" w:space="0" w:color="auto"/>
        <w:left w:val="none" w:sz="0" w:space="0" w:color="auto"/>
        <w:bottom w:val="none" w:sz="0" w:space="0" w:color="auto"/>
        <w:right w:val="none" w:sz="0" w:space="0" w:color="auto"/>
      </w:divBdr>
    </w:div>
    <w:div w:id="1912542464">
      <w:bodyDiv w:val="1"/>
      <w:marLeft w:val="0"/>
      <w:marRight w:val="0"/>
      <w:marTop w:val="0"/>
      <w:marBottom w:val="0"/>
      <w:divBdr>
        <w:top w:val="none" w:sz="0" w:space="0" w:color="auto"/>
        <w:left w:val="none" w:sz="0" w:space="0" w:color="auto"/>
        <w:bottom w:val="none" w:sz="0" w:space="0" w:color="auto"/>
        <w:right w:val="none" w:sz="0" w:space="0" w:color="auto"/>
      </w:divBdr>
    </w:div>
    <w:div w:id="1974091743">
      <w:bodyDiv w:val="1"/>
      <w:marLeft w:val="0"/>
      <w:marRight w:val="0"/>
      <w:marTop w:val="0"/>
      <w:marBottom w:val="0"/>
      <w:divBdr>
        <w:top w:val="none" w:sz="0" w:space="0" w:color="auto"/>
        <w:left w:val="none" w:sz="0" w:space="0" w:color="auto"/>
        <w:bottom w:val="none" w:sz="0" w:space="0" w:color="auto"/>
        <w:right w:val="none" w:sz="0" w:space="0" w:color="auto"/>
      </w:divBdr>
    </w:div>
    <w:div w:id="2068844697">
      <w:bodyDiv w:val="1"/>
      <w:marLeft w:val="0"/>
      <w:marRight w:val="0"/>
      <w:marTop w:val="0"/>
      <w:marBottom w:val="0"/>
      <w:divBdr>
        <w:top w:val="none" w:sz="0" w:space="0" w:color="auto"/>
        <w:left w:val="none" w:sz="0" w:space="0" w:color="auto"/>
        <w:bottom w:val="none" w:sz="0" w:space="0" w:color="auto"/>
        <w:right w:val="none" w:sz="0" w:space="0" w:color="auto"/>
      </w:divBdr>
    </w:div>
    <w:div w:id="2086566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hyperlink" Target="http://ideas.repec.org/s/eee/econom.html" TargetMode="External"/><Relationship Id="rId26" Type="http://schemas.openxmlformats.org/officeDocument/2006/relationships/image" Target="media/image10.wmf"/><Relationship Id="rId39" Type="http://schemas.openxmlformats.org/officeDocument/2006/relationships/image" Target="media/image23.wmf"/><Relationship Id="rId3" Type="http://schemas.openxmlformats.org/officeDocument/2006/relationships/styles" Target="styles.xml"/><Relationship Id="rId21" Type="http://schemas.openxmlformats.org/officeDocument/2006/relationships/hyperlink" Target="https://www.education.gov.uk/publications/eOrderingDownload/%20The%20Wolf%20Report.pdf" TargetMode="External"/><Relationship Id="rId34" Type="http://schemas.openxmlformats.org/officeDocument/2006/relationships/image" Target="media/image18.wmf"/><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22.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ideas.repec.org/s/eee/labeco.html" TargetMode="External"/><Relationship Id="rId29" Type="http://schemas.openxmlformats.org/officeDocument/2006/relationships/image" Target="media/image13.wmf"/><Relationship Id="rId41"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image" Target="media/image24.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20.wmf"/><Relationship Id="rId10" Type="http://schemas.openxmlformats.org/officeDocument/2006/relationships/image" Target="media/image2.wmf"/><Relationship Id="rId19" Type="http://schemas.openxmlformats.org/officeDocument/2006/relationships/hyperlink" Target="http://ideas.repec.org/a/eee/labeco/v2y1995i4p381-406.html" TargetMode="External"/><Relationship Id="rId31" Type="http://schemas.openxmlformats.org/officeDocument/2006/relationships/image" Target="media/image15.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oced.edu.au/" TargetMode="External"/><Relationship Id="rId14" Type="http://schemas.openxmlformats.org/officeDocument/2006/relationships/image" Target="media/image4.wmf"/><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70CCF-1ADE-474A-ACF5-06847CDE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21889</Words>
  <Characters>124772</Characters>
  <Application>Microsoft Office Word</Application>
  <DocSecurity>0</DocSecurity>
  <Lines>1039</Lines>
  <Paragraphs>292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UQ</Company>
  <LinksUpToDate>false</LinksUpToDate>
  <CharactersWithSpaces>146369</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tanyadine</dc:creator>
  <cp:lastModifiedBy>kayemcadam</cp:lastModifiedBy>
  <cp:revision>5</cp:revision>
  <cp:lastPrinted>2012-09-06T04:36:00Z</cp:lastPrinted>
  <dcterms:created xsi:type="dcterms:W3CDTF">2012-09-17T00:47:00Z</dcterms:created>
  <dcterms:modified xsi:type="dcterms:W3CDTF">2012-10-04T02:13:00Z</dcterms:modified>
</cp:coreProperties>
</file>