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95748330"/>
    <w:bookmarkStart w:id="1" w:name="_Toc495810630"/>
    <w:bookmarkStart w:id="2" w:name="_Toc6031787"/>
    <w:bookmarkStart w:id="3" w:name="_Toc6031844"/>
    <w:bookmarkStart w:id="4" w:name="_GoBack"/>
    <w:bookmarkEnd w:id="4"/>
    <w:p w:rsidR="00AA0B11" w:rsidRDefault="00CB0756">
      <w:pPr>
        <w:spacing w:before="0" w:line="240" w:lineRule="auto"/>
      </w:pPr>
      <w:r>
        <w:rPr>
          <w:noProof/>
          <w:lang w:eastAsia="en-AU"/>
        </w:rPr>
        <mc:AlternateContent>
          <mc:Choice Requires="wps">
            <w:drawing>
              <wp:anchor distT="0" distB="0" distL="114300" distR="114300" simplePos="0" relativeHeight="252073984" behindDoc="0" locked="0" layoutInCell="1" allowOverlap="1" wp14:anchorId="6CDE0F60" wp14:editId="1E00C033">
                <wp:simplePos x="0" y="0"/>
                <wp:positionH relativeFrom="column">
                  <wp:posOffset>4652645</wp:posOffset>
                </wp:positionH>
                <wp:positionV relativeFrom="paragraph">
                  <wp:posOffset>-493395</wp:posOffset>
                </wp:positionV>
                <wp:extent cx="1743075" cy="279400"/>
                <wp:effectExtent l="0" t="0" r="9525" b="6350"/>
                <wp:wrapNone/>
                <wp:docPr id="18" name="Text Box 18"/>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6053" w:rsidRPr="0088361A" w:rsidRDefault="00396053" w:rsidP="00AA0B11">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366.35pt;margin-top:-38.85pt;width:137.25pt;height:22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" filled="f" stroked="f" strokeweight=".5pt">
                <v:textbox inset="1mm,0,1mm,0">
                  <w:txbxContent>
                    <w:p w:rsidR="00396053" w:rsidRPr="0088361A" w:rsidRDefault="00396053" w:rsidP="00AA0B11">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p>
    <w:p w:rsidR="00AA0B11" w:rsidRPr="00DA7709" w:rsidRDefault="00CB0756" w:rsidP="00AA0B11">
      <w:pPr>
        <w:sectPr w:rsidR="00AA0B11" w:rsidRPr="00DA7709" w:rsidSect="005E46E9">
          <w:headerReference w:type="even" r:id="rId9"/>
          <w:headerReference w:type="default" r:id="rId10"/>
          <w:footerReference w:type="even" r:id="rId11"/>
          <w:footerReference w:type="default" r:id="rId12"/>
          <w:headerReference w:type="first" r:id="rId13"/>
          <w:footerReference w:type="first" r:id="rId14"/>
          <w:pgSz w:w="11907" w:h="16840" w:code="9"/>
          <w:pgMar w:top="1418" w:right="1701" w:bottom="1134" w:left="1418" w:header="709" w:footer="556" w:gutter="0"/>
          <w:cols w:space="708"/>
          <w:docGrid w:linePitch="360"/>
        </w:sectPr>
      </w:pPr>
      <w:r>
        <w:rPr>
          <w:noProof/>
          <w:lang w:eastAsia="en-AU"/>
        </w:rPr>
        <w:drawing>
          <wp:anchor distT="0" distB="0" distL="114300" distR="114300" simplePos="0" relativeHeight="252131328" behindDoc="1" locked="0" layoutInCell="1" allowOverlap="1" wp14:anchorId="5A7BED43" wp14:editId="5F49F84F">
            <wp:simplePos x="0" y="0"/>
            <wp:positionH relativeFrom="column">
              <wp:posOffset>-592455</wp:posOffset>
            </wp:positionH>
            <wp:positionV relativeFrom="paragraph">
              <wp:posOffset>3712210</wp:posOffset>
            </wp:positionV>
            <wp:extent cx="7007860" cy="5257800"/>
            <wp:effectExtent l="0" t="0" r="2540" b="0"/>
            <wp:wrapThrough wrapText="bothSides">
              <wp:wrapPolygon edited="0">
                <wp:start x="0" y="0"/>
                <wp:lineTo x="0" y="21522"/>
                <wp:lineTo x="21549" y="21522"/>
                <wp:lineTo x="21549" y="0"/>
                <wp:lineTo x="0" y="0"/>
              </wp:wrapPolygon>
            </wp:wrapThrough>
            <wp:docPr id="1" name="Picture 1" descr="P:\WorkInProgress\AAAElise\2862-Snell et al-Cross-occupational skill transferability\iStock_000061176648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AAAElise\2862-Snell et al-Cross-occupational skill transferability\iStock_000061176648_Larg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372" r="2702"/>
                    <a:stretch/>
                  </pic:blipFill>
                  <pic:spPr bwMode="auto">
                    <a:xfrm>
                      <a:off x="0" y="0"/>
                      <a:ext cx="7007860" cy="525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5D4E">
        <w:rPr>
          <w:noProof/>
          <w:lang w:eastAsia="en-AU"/>
        </w:rPr>
        <w:drawing>
          <wp:anchor distT="0" distB="0" distL="114300" distR="114300" simplePos="0" relativeHeight="252077056" behindDoc="0" locked="0" layoutInCell="1" allowOverlap="1" wp14:anchorId="33C7C7CA" wp14:editId="1248691A">
            <wp:simplePos x="0" y="0"/>
            <wp:positionH relativeFrom="column">
              <wp:posOffset>4613275</wp:posOffset>
            </wp:positionH>
            <wp:positionV relativeFrom="paragraph">
              <wp:posOffset>9205595</wp:posOffset>
            </wp:positionV>
            <wp:extent cx="1791335" cy="24765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1335" cy="247650"/>
                    </a:xfrm>
                    <a:prstGeom prst="rect">
                      <a:avLst/>
                    </a:prstGeom>
                  </pic:spPr>
                </pic:pic>
              </a:graphicData>
            </a:graphic>
            <wp14:sizeRelH relativeFrom="page">
              <wp14:pctWidth>0</wp14:pctWidth>
            </wp14:sizeRelH>
            <wp14:sizeRelV relativeFrom="page">
              <wp14:pctHeight>0</wp14:pctHeight>
            </wp14:sizeRelV>
          </wp:anchor>
        </w:drawing>
      </w:r>
      <w:r w:rsidR="00975D4E">
        <w:rPr>
          <w:noProof/>
          <w:lang w:eastAsia="en-AU"/>
        </w:rPr>
        <mc:AlternateContent>
          <mc:Choice Requires="wps">
            <w:drawing>
              <wp:anchor distT="0" distB="0" distL="114300" distR="114300" simplePos="0" relativeHeight="252083200" behindDoc="0" locked="0" layoutInCell="1" allowOverlap="1" wp14:anchorId="7EF4C051" wp14:editId="0E82D445">
                <wp:simplePos x="0" y="0"/>
                <wp:positionH relativeFrom="column">
                  <wp:posOffset>-681355</wp:posOffset>
                </wp:positionH>
                <wp:positionV relativeFrom="paragraph">
                  <wp:posOffset>2550160</wp:posOffset>
                </wp:positionV>
                <wp:extent cx="2374265" cy="8667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866775"/>
                        </a:xfrm>
                        <a:prstGeom prst="rect">
                          <a:avLst/>
                        </a:prstGeom>
                        <a:noFill/>
                        <a:ln w="9525">
                          <a:noFill/>
                          <a:miter lim="800000"/>
                          <a:headEnd/>
                          <a:tailEnd/>
                        </a:ln>
                      </wps:spPr>
                      <wps:txbx>
                        <w:txbxContent>
                          <w:p w:rsidR="00396053" w:rsidRDefault="00396053" w:rsidP="00975D4E">
                            <w:pPr>
                              <w:pStyle w:val="Titlepage"/>
                              <w:spacing w:after="0"/>
                              <w:ind w:left="0"/>
                              <w:rPr>
                                <w:b/>
                                <w:color w:val="595959" w:themeColor="text1" w:themeTint="A6"/>
                                <w:sz w:val="27"/>
                                <w:szCs w:val="27"/>
                              </w:rPr>
                            </w:pPr>
                            <w:r>
                              <w:rPr>
                                <w:b/>
                                <w:color w:val="595959" w:themeColor="text1" w:themeTint="A6"/>
                                <w:sz w:val="27"/>
                                <w:szCs w:val="27"/>
                              </w:rPr>
                              <w:t>Dr Darryn Snell</w:t>
                            </w:r>
                            <w:r>
                              <w:rPr>
                                <w:b/>
                                <w:color w:val="595959" w:themeColor="text1" w:themeTint="A6"/>
                                <w:sz w:val="27"/>
                                <w:szCs w:val="27"/>
                              </w:rPr>
                              <w:br/>
                              <w:t xml:space="preserve">Dr Victor </w:t>
                            </w:r>
                            <w:proofErr w:type="spellStart"/>
                            <w:r>
                              <w:rPr>
                                <w:b/>
                                <w:color w:val="595959" w:themeColor="text1" w:themeTint="A6"/>
                                <w:sz w:val="27"/>
                                <w:szCs w:val="27"/>
                              </w:rPr>
                              <w:t>Gekara</w:t>
                            </w:r>
                            <w:proofErr w:type="spellEnd"/>
                          </w:p>
                          <w:p w:rsidR="00396053" w:rsidRPr="00753998" w:rsidRDefault="00396053" w:rsidP="00975D4E">
                            <w:pPr>
                              <w:pStyle w:val="Titlepage"/>
                              <w:spacing w:after="0"/>
                              <w:ind w:left="0"/>
                              <w:rPr>
                                <w:b/>
                                <w:color w:val="595959" w:themeColor="text1" w:themeTint="A6"/>
                                <w:sz w:val="27"/>
                                <w:szCs w:val="27"/>
                              </w:rPr>
                            </w:pPr>
                            <w:r>
                              <w:rPr>
                                <w:b/>
                                <w:color w:val="595959" w:themeColor="text1" w:themeTint="A6"/>
                                <w:sz w:val="27"/>
                                <w:szCs w:val="27"/>
                              </w:rPr>
                              <w:t xml:space="preserve">Dr Krystle </w:t>
                            </w:r>
                            <w:proofErr w:type="spellStart"/>
                            <w:r>
                              <w:rPr>
                                <w:b/>
                                <w:color w:val="595959" w:themeColor="text1" w:themeTint="A6"/>
                                <w:sz w:val="27"/>
                                <w:szCs w:val="27"/>
                              </w:rPr>
                              <w:t>Gatt</w:t>
                            </w:r>
                            <w:proofErr w:type="spellEnd"/>
                          </w:p>
                          <w:p w:rsidR="00396053" w:rsidRDefault="00396053" w:rsidP="00975D4E">
                            <w:pPr>
                              <w:pStyle w:val="Titlepage"/>
                              <w:spacing w:after="0"/>
                              <w:ind w:left="0"/>
                              <w:rPr>
                                <w:color w:val="595959" w:themeColor="text1" w:themeTint="A6"/>
                                <w:sz w:val="27"/>
                                <w:szCs w:val="27"/>
                              </w:rPr>
                            </w:pPr>
                            <w:r>
                              <w:rPr>
                                <w:color w:val="595959" w:themeColor="text1" w:themeTint="A6"/>
                                <w:sz w:val="27"/>
                                <w:szCs w:val="27"/>
                              </w:rPr>
                              <w:t>RMIT University</w:t>
                            </w:r>
                          </w:p>
                          <w:p w:rsidR="00396053" w:rsidRDefault="0039605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027" type="#_x0000_t202" style="position:absolute;margin-left:-53.65pt;margin-top:200.8pt;width:186.95pt;height:68.25pt;z-index:2520832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" filled="f" stroked="f">
                <v:textbox>
                  <w:txbxContent>
                    <w:p w:rsidR="00396053" w:rsidRDefault="00396053" w:rsidP="00975D4E">
                      <w:pPr>
                        <w:pStyle w:val="Titlepage"/>
                        <w:spacing w:after="0"/>
                        <w:ind w:left="0"/>
                        <w:rPr>
                          <w:b/>
                          <w:color w:val="595959" w:themeColor="text1" w:themeTint="A6"/>
                          <w:sz w:val="27"/>
                          <w:szCs w:val="27"/>
                        </w:rPr>
                      </w:pPr>
                      <w:r>
                        <w:rPr>
                          <w:b/>
                          <w:color w:val="595959" w:themeColor="text1" w:themeTint="A6"/>
                          <w:sz w:val="27"/>
                          <w:szCs w:val="27"/>
                        </w:rPr>
                        <w:t>Dr Darryn Snell</w:t>
                      </w:r>
                      <w:r>
                        <w:rPr>
                          <w:b/>
                          <w:color w:val="595959" w:themeColor="text1" w:themeTint="A6"/>
                          <w:sz w:val="27"/>
                          <w:szCs w:val="27"/>
                        </w:rPr>
                        <w:br/>
                        <w:t xml:space="preserve">Dr Victor </w:t>
                      </w:r>
                      <w:proofErr w:type="spellStart"/>
                      <w:r>
                        <w:rPr>
                          <w:b/>
                          <w:color w:val="595959" w:themeColor="text1" w:themeTint="A6"/>
                          <w:sz w:val="27"/>
                          <w:szCs w:val="27"/>
                        </w:rPr>
                        <w:t>Gekara</w:t>
                      </w:r>
                      <w:proofErr w:type="spellEnd"/>
                    </w:p>
                    <w:p w:rsidR="00396053" w:rsidRPr="00753998" w:rsidRDefault="00396053" w:rsidP="00975D4E">
                      <w:pPr>
                        <w:pStyle w:val="Titlepage"/>
                        <w:spacing w:after="0"/>
                        <w:ind w:left="0"/>
                        <w:rPr>
                          <w:b/>
                          <w:color w:val="595959" w:themeColor="text1" w:themeTint="A6"/>
                          <w:sz w:val="27"/>
                          <w:szCs w:val="27"/>
                        </w:rPr>
                      </w:pPr>
                      <w:r>
                        <w:rPr>
                          <w:b/>
                          <w:color w:val="595959" w:themeColor="text1" w:themeTint="A6"/>
                          <w:sz w:val="27"/>
                          <w:szCs w:val="27"/>
                        </w:rPr>
                        <w:t xml:space="preserve">Dr Krystle </w:t>
                      </w:r>
                      <w:proofErr w:type="spellStart"/>
                      <w:r>
                        <w:rPr>
                          <w:b/>
                          <w:color w:val="595959" w:themeColor="text1" w:themeTint="A6"/>
                          <w:sz w:val="27"/>
                          <w:szCs w:val="27"/>
                        </w:rPr>
                        <w:t>Gatt</w:t>
                      </w:r>
                      <w:proofErr w:type="spellEnd"/>
                    </w:p>
                    <w:p w:rsidR="00396053" w:rsidRDefault="00396053" w:rsidP="00975D4E">
                      <w:pPr>
                        <w:pStyle w:val="Titlepage"/>
                        <w:spacing w:after="0"/>
                        <w:ind w:left="0"/>
                        <w:rPr>
                          <w:color w:val="595959" w:themeColor="text1" w:themeTint="A6"/>
                          <w:sz w:val="27"/>
                          <w:szCs w:val="27"/>
                        </w:rPr>
                      </w:pPr>
                      <w:r>
                        <w:rPr>
                          <w:color w:val="595959" w:themeColor="text1" w:themeTint="A6"/>
                          <w:sz w:val="27"/>
                          <w:szCs w:val="27"/>
                        </w:rPr>
                        <w:t>RMIT University</w:t>
                      </w:r>
                    </w:p>
                    <w:p w:rsidR="00396053" w:rsidRDefault="00396053"/>
                  </w:txbxContent>
                </v:textbox>
              </v:shape>
            </w:pict>
          </mc:Fallback>
        </mc:AlternateContent>
      </w:r>
      <w:r w:rsidR="00975D4E">
        <w:rPr>
          <w:noProof/>
          <w:lang w:eastAsia="en-AU"/>
        </w:rPr>
        <mc:AlternateContent>
          <mc:Choice Requires="wps">
            <w:drawing>
              <wp:anchor distT="0" distB="0" distL="114300" distR="114300" simplePos="0" relativeHeight="252075008" behindDoc="0" locked="0" layoutInCell="1" allowOverlap="1" wp14:anchorId="4C1623AC" wp14:editId="086357B4">
                <wp:simplePos x="0" y="0"/>
                <wp:positionH relativeFrom="column">
                  <wp:posOffset>-681355</wp:posOffset>
                </wp:positionH>
                <wp:positionV relativeFrom="paragraph">
                  <wp:posOffset>961390</wp:posOffset>
                </wp:positionV>
                <wp:extent cx="6429375" cy="1267460"/>
                <wp:effectExtent l="0" t="0" r="0" b="8890"/>
                <wp:wrapNone/>
                <wp:docPr id="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9375" cy="1267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6053" w:rsidRDefault="00396053" w:rsidP="00AA0B11">
                            <w:pPr>
                              <w:pStyle w:val="Titlepage"/>
                              <w:spacing w:after="0"/>
                              <w:ind w:left="0"/>
                              <w:rPr>
                                <w:b/>
                                <w:color w:val="0081C6"/>
                              </w:rPr>
                            </w:pPr>
                            <w:bookmarkStart w:id="5" w:name="OLE_LINK1"/>
                            <w:r>
                              <w:rPr>
                                <w:b/>
                                <w:color w:val="0081C6"/>
                              </w:rPr>
                              <w:t xml:space="preserve">Cross-occupational skill </w:t>
                            </w:r>
                          </w:p>
                          <w:p w:rsidR="00396053" w:rsidRDefault="00396053" w:rsidP="00AA0B11">
                            <w:pPr>
                              <w:pStyle w:val="Titlepage"/>
                              <w:spacing w:after="0"/>
                              <w:ind w:left="0"/>
                              <w:rPr>
                                <w:b/>
                                <w:color w:val="0081C6"/>
                              </w:rPr>
                            </w:pPr>
                            <w:r>
                              <w:rPr>
                                <w:b/>
                                <w:color w:val="0081C6"/>
                              </w:rPr>
                              <w:t>transferability: challenges and opportunities in a changing economy</w:t>
                            </w:r>
                            <w:bookmarkEnd w:id="5"/>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53.65pt;margin-top:75.7pt;width:506.25pt;height:99.8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" filled="f" stroked="f" strokeweight=".5pt">
                <v:path arrowok="t"/>
                <v:textbox inset=",,,0">
                  <w:txbxContent>
                    <w:p w:rsidR="00396053" w:rsidRDefault="00396053" w:rsidP="00AA0B11">
                      <w:pPr>
                        <w:pStyle w:val="Titlepage"/>
                        <w:spacing w:after="0"/>
                        <w:ind w:left="0"/>
                        <w:rPr>
                          <w:b/>
                          <w:color w:val="0081C6"/>
                        </w:rPr>
                      </w:pPr>
                      <w:bookmarkStart w:id="5" w:name="OLE_LINK1"/>
                      <w:r>
                        <w:rPr>
                          <w:b/>
                          <w:color w:val="0081C6"/>
                        </w:rPr>
                        <w:t xml:space="preserve">Cross-occupational skill </w:t>
                      </w:r>
                    </w:p>
                    <w:p w:rsidR="00396053" w:rsidRDefault="00396053" w:rsidP="00AA0B11">
                      <w:pPr>
                        <w:pStyle w:val="Titlepage"/>
                        <w:spacing w:after="0"/>
                        <w:ind w:left="0"/>
                        <w:rPr>
                          <w:b/>
                          <w:color w:val="0081C6"/>
                        </w:rPr>
                      </w:pPr>
                      <w:r>
                        <w:rPr>
                          <w:b/>
                          <w:color w:val="0081C6"/>
                        </w:rPr>
                        <w:t>transferability: challenges and opportunities in a changing economy</w:t>
                      </w:r>
                      <w:bookmarkEnd w:id="5"/>
                    </w:p>
                  </w:txbxContent>
                </v:textbox>
              </v:shape>
            </w:pict>
          </mc:Fallback>
        </mc:AlternateContent>
      </w:r>
      <w:r w:rsidR="00975D4E">
        <w:rPr>
          <w:noProof/>
          <w:lang w:eastAsia="en-AU"/>
        </w:rPr>
        <mc:AlternateContent>
          <mc:Choice Requires="wps">
            <w:drawing>
              <wp:anchor distT="0" distB="0" distL="114300" distR="114300" simplePos="0" relativeHeight="252076032" behindDoc="0" locked="0" layoutInCell="1" allowOverlap="1" wp14:anchorId="66283C2D" wp14:editId="3099757F">
                <wp:simplePos x="0" y="0"/>
                <wp:positionH relativeFrom="column">
                  <wp:posOffset>-591820</wp:posOffset>
                </wp:positionH>
                <wp:positionV relativeFrom="paragraph">
                  <wp:posOffset>2402840</wp:posOffset>
                </wp:positionV>
                <wp:extent cx="2115820" cy="0"/>
                <wp:effectExtent l="0" t="0" r="17780" b="19050"/>
                <wp:wrapNone/>
                <wp:docPr id="35" name="Straight Connector 35"/>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Straight Connector 35" o:spid="_x0000_s1026" style="position:absolute;z-index:252076032;visibility:visible;mso-wrap-style:square;mso-wrap-distance-left:9pt;mso-wrap-distance-top:0;mso-wrap-distance-right:9pt;mso-wrap-distance-bottom:0;mso-position-horizontal:absolute;mso-position-horizontal-relative:text;mso-position-vertical:absolute;mso-position-vertical-relative:text" from="-46.6pt,189.2pt" to="120pt,1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" strokecolor="black [3213]" strokeweight="1pt"/>
            </w:pict>
          </mc:Fallback>
        </mc:AlternateContent>
      </w:r>
      <w:r w:rsidR="00975D4E">
        <w:rPr>
          <w:noProof/>
          <w:lang w:eastAsia="en-AU"/>
        </w:rPr>
        <w:drawing>
          <wp:anchor distT="0" distB="0" distL="114300" distR="114300" simplePos="0" relativeHeight="252078080" behindDoc="0" locked="0" layoutInCell="1" allowOverlap="1" wp14:anchorId="0A3D593D" wp14:editId="6E95334D">
            <wp:simplePos x="0" y="0"/>
            <wp:positionH relativeFrom="column">
              <wp:posOffset>3354070</wp:posOffset>
            </wp:positionH>
            <wp:positionV relativeFrom="paragraph">
              <wp:posOffset>2872105</wp:posOffset>
            </wp:positionV>
            <wp:extent cx="3010535" cy="544830"/>
            <wp:effectExtent l="0" t="0" r="0" b="7620"/>
            <wp:wrapSquare wrapText="bothSides"/>
            <wp:docPr id="48" name="Picture 48" descr="P:\PublicationComponents\logos\Commonwealth logo\EPS\Dept Education and Training_Inline_CorpBlu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Commonwealth logo\EPS\Dept Education and Training_Inline_CorpBlue.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0535"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AA0B11">
        <w:rPr>
          <w:noProof/>
          <w:lang w:eastAsia="en-AU"/>
        </w:rPr>
        <w:drawing>
          <wp:anchor distT="0" distB="0" distL="114300" distR="114300" simplePos="0" relativeHeight="252079104" behindDoc="1" locked="0" layoutInCell="1" allowOverlap="1" wp14:anchorId="5455C287" wp14:editId="7914A7AE">
            <wp:simplePos x="0" y="0"/>
            <wp:positionH relativeFrom="column">
              <wp:posOffset>-909955</wp:posOffset>
            </wp:positionH>
            <wp:positionV relativeFrom="paragraph">
              <wp:posOffset>-757555</wp:posOffset>
            </wp:positionV>
            <wp:extent cx="7572375" cy="1447280"/>
            <wp:effectExtent l="0" t="0" r="0" b="635"/>
            <wp:wrapNone/>
            <wp:docPr id="44" name="Picture 44"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AA0B11">
        <w:br w:type="page"/>
      </w:r>
    </w:p>
    <w:p w:rsidR="00AA0B11" w:rsidRPr="005C2FCF" w:rsidRDefault="00AA0B11" w:rsidP="00AA0B11">
      <w:pPr>
        <w:pStyle w:val="Heading3"/>
        <w:ind w:right="-1"/>
      </w:pPr>
      <w:bookmarkStart w:id="6" w:name="_Toc98394880"/>
      <w:bookmarkStart w:id="7" w:name="_Toc296423683"/>
      <w:bookmarkStart w:id="8" w:name="_Toc296497514"/>
      <w:r w:rsidRPr="005C2FCF">
        <w:lastRenderedPageBreak/>
        <w:t>Publisher’s note</w:t>
      </w:r>
    </w:p>
    <w:p w:rsidR="00AA0B11" w:rsidRPr="007C667B" w:rsidRDefault="00AA0B11" w:rsidP="00AA0B11">
      <w:pPr>
        <w:pStyle w:val="Imprint"/>
      </w:pPr>
      <w:r w:rsidRPr="007C667B">
        <w:t xml:space="preserve">The views and opinions expressed in this document are those of the author/project team and do not necessarily reflect the views of the Australian Government, </w:t>
      </w:r>
      <w:r>
        <w:t xml:space="preserve">or </w:t>
      </w:r>
      <w:r w:rsidRPr="007C667B">
        <w:t xml:space="preserve">state and territory </w:t>
      </w:r>
      <w:r w:rsidR="00917EBA">
        <w:t xml:space="preserve">governments. </w:t>
      </w:r>
      <w:r w:rsidRPr="007C667B">
        <w:t>Any interpretation of data is the responsibility of the author/project team.</w:t>
      </w:r>
    </w:p>
    <w:p w:rsidR="0044253B" w:rsidRDefault="00AA0B11" w:rsidP="0044253B">
      <w:pPr>
        <w:pStyle w:val="Imprint"/>
        <w:ind w:right="-1"/>
      </w:pPr>
      <w:r>
        <w:t>Additional information relating to this research is available in</w:t>
      </w:r>
      <w:r w:rsidR="0044253B">
        <w:t xml:space="preserve"> the accompanying support documents: </w:t>
      </w:r>
    </w:p>
    <w:p w:rsidR="0044253B" w:rsidRPr="0044253B" w:rsidRDefault="0044253B" w:rsidP="0044253B">
      <w:pPr>
        <w:pStyle w:val="Imprint"/>
        <w:ind w:right="-1"/>
        <w:rPr>
          <w:i/>
        </w:rPr>
      </w:pPr>
      <w:r w:rsidRPr="0044253B">
        <w:rPr>
          <w:i/>
        </w:rPr>
        <w:t>Identifying declining and growing occupations and changing skills demand in Australia</w:t>
      </w:r>
      <w:r w:rsidR="007E789F">
        <w:rPr>
          <w:i/>
        </w:rPr>
        <w:t xml:space="preserve"> </w:t>
      </w:r>
      <w:r w:rsidR="007E789F" w:rsidRPr="007E789F">
        <w:rPr>
          <w:i/>
        </w:rPr>
        <w:t>—</w:t>
      </w:r>
      <w:r w:rsidR="00AF100C">
        <w:rPr>
          <w:i/>
        </w:rPr>
        <w:t xml:space="preserve"> </w:t>
      </w:r>
      <w:r>
        <w:rPr>
          <w:i/>
        </w:rPr>
        <w:t>support d</w:t>
      </w:r>
      <w:r w:rsidRPr="0044253B">
        <w:rPr>
          <w:i/>
        </w:rPr>
        <w:t>ocument 1</w:t>
      </w:r>
    </w:p>
    <w:p w:rsidR="0044253B" w:rsidRPr="0044253B" w:rsidRDefault="0044253B" w:rsidP="0044253B">
      <w:pPr>
        <w:pStyle w:val="Imprint"/>
        <w:ind w:right="-1"/>
        <w:rPr>
          <w:i/>
        </w:rPr>
      </w:pPr>
      <w:r w:rsidRPr="0044253B">
        <w:rPr>
          <w:i/>
        </w:rPr>
        <w:t>Examining the transferability potential of skills developed within the Australian Vocational Education and Training system</w:t>
      </w:r>
      <w:r w:rsidR="007E789F">
        <w:rPr>
          <w:i/>
        </w:rPr>
        <w:t xml:space="preserve"> </w:t>
      </w:r>
      <w:r w:rsidR="007E789F" w:rsidRPr="007E789F">
        <w:rPr>
          <w:i/>
        </w:rPr>
        <w:t>—</w:t>
      </w:r>
      <w:r w:rsidR="007E789F">
        <w:rPr>
          <w:i/>
        </w:rPr>
        <w:t xml:space="preserve"> </w:t>
      </w:r>
      <w:r w:rsidRPr="0044253B">
        <w:rPr>
          <w:i/>
        </w:rPr>
        <w:t>support document 2</w:t>
      </w:r>
    </w:p>
    <w:p w:rsidR="0044253B" w:rsidRPr="0044253B" w:rsidRDefault="0044253B" w:rsidP="0044253B">
      <w:pPr>
        <w:pStyle w:val="Imprint"/>
        <w:ind w:right="-1"/>
        <w:rPr>
          <w:i/>
        </w:rPr>
      </w:pPr>
      <w:r w:rsidRPr="0044253B">
        <w:rPr>
          <w:i/>
        </w:rPr>
        <w:t>Occupational mobility and skills transferability of workers in transition: systems, perceptions and processes</w:t>
      </w:r>
      <w:r w:rsidR="007E789F">
        <w:rPr>
          <w:i/>
        </w:rPr>
        <w:t xml:space="preserve"> </w:t>
      </w:r>
      <w:r w:rsidR="007E789F" w:rsidRPr="007E789F">
        <w:rPr>
          <w:i/>
        </w:rPr>
        <w:t>—</w:t>
      </w:r>
      <w:r w:rsidR="007E789F">
        <w:rPr>
          <w:i/>
        </w:rPr>
        <w:t xml:space="preserve"> </w:t>
      </w:r>
      <w:r w:rsidRPr="0044253B">
        <w:rPr>
          <w:i/>
        </w:rPr>
        <w:t>support document 3</w:t>
      </w:r>
    </w:p>
    <w:p w:rsidR="0044253B" w:rsidRDefault="0044253B" w:rsidP="0044253B">
      <w:pPr>
        <w:pStyle w:val="Imprint"/>
        <w:ind w:right="-1"/>
      </w:pPr>
      <w:r>
        <w:t>These</w:t>
      </w:r>
      <w:r w:rsidR="00AA0B11">
        <w:t xml:space="preserve"> can be accessed from NCVER’s Portal &lt;http://www.ncver.edu.au/publications/</w:t>
      </w:r>
      <w:r w:rsidR="00917EBA">
        <w:rPr>
          <w:b/>
        </w:rPr>
        <w:t>2862</w:t>
      </w:r>
      <w:r w:rsidR="00AA0B11">
        <w:t xml:space="preserve">.html&gt;. </w:t>
      </w:r>
    </w:p>
    <w:p w:rsidR="00AA0B11" w:rsidRPr="00F2317D" w:rsidRDefault="00AA0B11" w:rsidP="00F2317D">
      <w:pPr>
        <w:pStyle w:val="Imprint"/>
        <w:ind w:right="-1"/>
      </w:pPr>
      <w:r>
        <w:t xml:space="preserve">To find other material of interest, search VOCEDplus (the UNESCO/NCVER international database </w:t>
      </w:r>
      <w:r w:rsidRPr="00CE248F">
        <w:t>&lt;</w:t>
      </w:r>
      <w:hyperlink r:id="rId19" w:history="1">
        <w:r w:rsidRPr="00CE248F">
          <w:t>http://www.voced.edu.au</w:t>
        </w:r>
      </w:hyperlink>
      <w:r w:rsidRPr="00CE248F">
        <w:t>&gt;)</w:t>
      </w:r>
      <w:r>
        <w:t xml:space="preserve"> using the following keywords: </w:t>
      </w:r>
      <w:r w:rsidR="008C35DE">
        <w:t>displace</w:t>
      </w:r>
      <w:r w:rsidR="00F2317D">
        <w:t>d</w:t>
      </w:r>
      <w:r w:rsidR="008C35DE">
        <w:t xml:space="preserve"> workers; employability; employees; employment; job skill; occupation; occupational classification; skill analysis; skill needs; skills and knowledge; transferable skill; vocation</w:t>
      </w:r>
      <w:r w:rsidR="00EE0A14">
        <w:t>al</w:t>
      </w:r>
      <w:r w:rsidR="008C35DE">
        <w:t xml:space="preserve"> education and training.</w:t>
      </w:r>
    </w:p>
    <w:p w:rsidR="00CB0F73" w:rsidRDefault="00CB0F73" w:rsidP="007C667B"/>
    <w:p w:rsidR="00CB0F73" w:rsidRDefault="00CB0F73" w:rsidP="007C667B"/>
    <w:p w:rsidR="00CB0F73" w:rsidRDefault="00CB0F73" w:rsidP="007C667B"/>
    <w:p w:rsidR="00C83D73" w:rsidRDefault="00AF100C" w:rsidP="007C667B">
      <w:pPr>
        <w:sectPr w:rsidR="00C83D73" w:rsidSect="00CE248F">
          <w:footerReference w:type="even" r:id="rId20"/>
          <w:footerReference w:type="default" r:id="rId21"/>
          <w:pgSz w:w="11907" w:h="16840" w:code="9"/>
          <w:pgMar w:top="1276" w:right="1701" w:bottom="1276" w:left="1418" w:header="709" w:footer="556" w:gutter="0"/>
          <w:cols w:space="708"/>
          <w:docGrid w:linePitch="360"/>
        </w:sectPr>
      </w:pPr>
      <w:r w:rsidRPr="00AF100C">
        <w:rPr>
          <w:noProof/>
          <w:lang w:eastAsia="en-AU"/>
        </w:rPr>
        <w:drawing>
          <wp:anchor distT="0" distB="0" distL="114300" distR="114300" simplePos="0" relativeHeight="252097536" behindDoc="0" locked="0" layoutInCell="1" allowOverlap="1" wp14:anchorId="66A35764" wp14:editId="235C8566">
            <wp:simplePos x="0" y="0"/>
            <wp:positionH relativeFrom="column">
              <wp:posOffset>2131060</wp:posOffset>
            </wp:positionH>
            <wp:positionV relativeFrom="paragraph">
              <wp:posOffset>4832985</wp:posOffset>
            </wp:positionV>
            <wp:extent cx="139065" cy="152400"/>
            <wp:effectExtent l="0" t="0" r="0" b="0"/>
            <wp:wrapNone/>
            <wp:docPr id="45" name="Picture 45"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22"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mc:AlternateContent>
          <mc:Choice Requires="wps">
            <w:drawing>
              <wp:anchor distT="0" distB="0" distL="114300" distR="114300" simplePos="0" relativeHeight="251765760" behindDoc="0" locked="0" layoutInCell="1" allowOverlap="1" wp14:anchorId="2F766D60" wp14:editId="6D4ED51D">
                <wp:simplePos x="0" y="0"/>
                <wp:positionH relativeFrom="column">
                  <wp:posOffset>-1270</wp:posOffset>
                </wp:positionH>
                <wp:positionV relativeFrom="paragraph">
                  <wp:posOffset>-8890</wp:posOffset>
                </wp:positionV>
                <wp:extent cx="5596890" cy="5210175"/>
                <wp:effectExtent l="0" t="0" r="3810" b="9525"/>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21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053" w:rsidRPr="00A021FC" w:rsidRDefault="00396053" w:rsidP="00AA0B11">
                            <w:pPr>
                              <w:pStyle w:val="Imprint"/>
                              <w:rPr>
                                <w:b/>
                              </w:rPr>
                            </w:pPr>
                            <w:r w:rsidRPr="00917EBA">
                              <w:rPr>
                                <w:b/>
                              </w:rPr>
                              <w:t xml:space="preserve">© Commonwealth of Australia, </w:t>
                            </w:r>
                            <w:r>
                              <w:rPr>
                                <w:b/>
                              </w:rPr>
                              <w:t>2016</w:t>
                            </w:r>
                          </w:p>
                          <w:p w:rsidR="00396053" w:rsidRDefault="00396053" w:rsidP="00AA0B11">
                            <w:pPr>
                              <w:pStyle w:val="Imprint"/>
                              <w:rPr>
                                <w:sz w:val="20"/>
                              </w:rPr>
                            </w:pPr>
                            <w:r w:rsidRPr="00E80270">
                              <w:rPr>
                                <w:noProof/>
                                <w:sz w:val="20"/>
                                <w:lang w:eastAsia="en-AU"/>
                              </w:rPr>
                              <w:drawing>
                                <wp:inline distT="0" distB="0" distL="0" distR="0" wp14:anchorId="64D04A9E" wp14:editId="25CB699D">
                                  <wp:extent cx="850265" cy="302895"/>
                                  <wp:effectExtent l="19050" t="0" r="6985" b="0"/>
                                  <wp:docPr id="7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3"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396053" w:rsidRPr="00AF100C" w:rsidRDefault="00396053" w:rsidP="00AF100C">
                            <w:pPr>
                              <w:pStyle w:val="Imprint"/>
                            </w:pPr>
                            <w:r w:rsidRPr="00AF100C">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396053" w:rsidRPr="00AF100C" w:rsidRDefault="00396053" w:rsidP="00AF100C">
                            <w:pPr>
                              <w:pStyle w:val="Imprint"/>
                            </w:pPr>
                            <w:r w:rsidRPr="00AF100C">
                              <w:t>The details of the relevant licence conditions are available on the Creative Commons website (accessible using the links provided) as is the full legal code for the CC BY 3.0 AU licence &lt;http://creativecommons.org/licenses/by/3.0/legalcode&gt;.</w:t>
                            </w:r>
                          </w:p>
                          <w:p w:rsidR="00396053" w:rsidRPr="00AF100C" w:rsidRDefault="00396053" w:rsidP="00AF100C">
                            <w:pPr>
                              <w:pStyle w:val="Imprint"/>
                            </w:pPr>
                            <w:r w:rsidRPr="00AF100C">
                              <w:t>The Creative Commons licence conditions do not apply to all logos, graphic design, artwork and photographs. Requests and enquiries concerning other reproduction and rights should be directed to the National Centre for Vocational Education Research (NCVER).</w:t>
                            </w:r>
                          </w:p>
                          <w:p w:rsidR="00396053" w:rsidRPr="00AF100C" w:rsidRDefault="00396053" w:rsidP="00AF100C">
                            <w:pPr>
                              <w:pStyle w:val="Imprint"/>
                            </w:pPr>
                            <w:r w:rsidRPr="00AF100C">
                              <w:t xml:space="preserve">This document should be attributed as Snell, D, </w:t>
                            </w:r>
                            <w:proofErr w:type="spellStart"/>
                            <w:r w:rsidRPr="00AF100C">
                              <w:t>Gekara</w:t>
                            </w:r>
                            <w:proofErr w:type="spellEnd"/>
                            <w:r w:rsidRPr="00AF100C">
                              <w:t xml:space="preserve">, V, </w:t>
                            </w:r>
                            <w:proofErr w:type="spellStart"/>
                            <w:r w:rsidRPr="00AF100C">
                              <w:t>Gatt</w:t>
                            </w:r>
                            <w:proofErr w:type="spellEnd"/>
                            <w:r w:rsidRPr="00AF100C">
                              <w:t xml:space="preserve">, K 2016, </w:t>
                            </w:r>
                            <w:r w:rsidRPr="00AF100C">
                              <w:rPr>
                                <w:i/>
                              </w:rPr>
                              <w:t>Cross-occupational skill transferability: challenges and opportunities in a changing economy</w:t>
                            </w:r>
                            <w:r w:rsidRPr="00AF100C">
                              <w:t>, NCVER, Adelaide.</w:t>
                            </w:r>
                          </w:p>
                          <w:p w:rsidR="00396053" w:rsidRPr="00AF100C" w:rsidRDefault="00396053" w:rsidP="00AF100C">
                            <w:pPr>
                              <w:pStyle w:val="Imprint"/>
                            </w:pPr>
                            <w:r w:rsidRPr="00AF100C">
                              <w:t>COVER IMAGE: GETTY IMAGES/</w:t>
                            </w:r>
                            <w:proofErr w:type="spellStart"/>
                            <w:r w:rsidRPr="00AF100C">
                              <w:t>iStock</w:t>
                            </w:r>
                            <w:proofErr w:type="spellEnd"/>
                          </w:p>
                          <w:p w:rsidR="00396053" w:rsidRPr="00AF100C" w:rsidRDefault="00396053" w:rsidP="00AF100C">
                            <w:pPr>
                              <w:pStyle w:val="Imprint"/>
                            </w:pPr>
                            <w:r w:rsidRPr="00AF100C">
                              <w:t xml:space="preserve">ISBN </w:t>
                            </w:r>
                            <w:r w:rsidRPr="00AF100C">
                              <w:tab/>
                              <w:t>978-1-925173-52-9</w:t>
                            </w:r>
                            <w:r>
                              <w:br/>
                            </w:r>
                            <w:r w:rsidRPr="00AF100C">
                              <w:t>TD/TNC</w:t>
                            </w:r>
                            <w:r w:rsidRPr="00AF100C">
                              <w:tab/>
                              <w:t>124.04</w:t>
                            </w:r>
                          </w:p>
                          <w:p w:rsidR="00396053" w:rsidRPr="00AF100C" w:rsidRDefault="00396053" w:rsidP="00AF100C">
                            <w:pPr>
                              <w:pStyle w:val="Imprint"/>
                            </w:pPr>
                            <w:r w:rsidRPr="00AF100C">
                              <w:t>Published by NCVER, ABN 87 007 967 311</w:t>
                            </w:r>
                          </w:p>
                          <w:p w:rsidR="00396053" w:rsidRPr="00AF100C" w:rsidRDefault="00396053" w:rsidP="00AF100C">
                            <w:pPr>
                              <w:pStyle w:val="Imprint"/>
                            </w:pPr>
                            <w:r w:rsidRPr="00AF100C">
                              <w:t>Level 11, 33 King William Street, Adelaide, SA 5000</w:t>
                            </w:r>
                            <w:r w:rsidRPr="00AF100C">
                              <w:br/>
                              <w:t>PO Box 8288 Station Arcade, Adelaide SA 5000, Australia</w:t>
                            </w:r>
                          </w:p>
                          <w:p w:rsidR="00396053" w:rsidRDefault="00396053" w:rsidP="00AF100C">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396053" w:rsidRPr="002C3573" w:rsidRDefault="00396053" w:rsidP="00AF100C">
                            <w:pPr>
                              <w:pStyle w:val="Imprint"/>
                              <w:tabs>
                                <w:tab w:val="left" w:pos="2127"/>
                              </w:tabs>
                              <w:spacing w:before="0"/>
                            </w:pPr>
                            <w:r w:rsidRPr="002C3573">
                              <w:rPr>
                                <w:b/>
                              </w:rPr>
                              <w:t>Email</w:t>
                            </w:r>
                            <w:r w:rsidRPr="002C3573">
                              <w:t xml:space="preserve"> </w:t>
                            </w:r>
                            <w:hyperlink r:id="rId24" w:history="1">
                              <w:r w:rsidRPr="004B031A">
                                <w:rPr>
                                  <w:rStyle w:val="Hyperlink"/>
                                  <w:sz w:val="16"/>
                                  <w:szCs w:val="16"/>
                                </w:rPr>
                                <w:t>ncver@ncver.edu.au</w:t>
                              </w:r>
                            </w:hyperlink>
                            <w:r w:rsidRPr="002C3573">
                              <w:t xml:space="preserve">    </w:t>
                            </w:r>
                            <w:r w:rsidRPr="002C3573">
                              <w:rPr>
                                <w:b/>
                              </w:rPr>
                              <w:t>Web</w:t>
                            </w:r>
                            <w:r w:rsidRPr="002C3573">
                              <w:t xml:space="preserve"> &lt;http://www.ncver.edu.au&gt;  &lt;</w:t>
                            </w:r>
                            <w:hyperlink r:id="rId25" w:history="1">
                              <w:r w:rsidRPr="004B031A">
                                <w:rPr>
                                  <w:rStyle w:val="Hyperlink"/>
                                  <w:sz w:val="16"/>
                                  <w:szCs w:val="16"/>
                                </w:rPr>
                                <w:t>http://www.lsay.edu.au</w:t>
                              </w:r>
                            </w:hyperlink>
                            <w:r w:rsidRPr="002C3573">
                              <w:t>&gt;</w:t>
                            </w:r>
                          </w:p>
                          <w:p w:rsidR="00396053" w:rsidRPr="00D212FA" w:rsidRDefault="00396053" w:rsidP="00AF100C">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p w:rsidR="00396053" w:rsidRPr="00D212FA" w:rsidRDefault="00396053" w:rsidP="007C667B">
                            <w:pPr>
                              <w:pStyle w:val="Imprint"/>
                              <w:tabs>
                                <w:tab w:val="left" w:pos="993"/>
                                <w:tab w:val="left" w:pos="3686"/>
                              </w:tabs>
                              <w:spacing w:before="0"/>
                            </w:pP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1pt;margin-top:-.7pt;width:440.7pt;height:410.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" filled="f" stroked="f">
                <v:textbox inset="0,,0">
                  <w:txbxContent>
                    <w:p w:rsidR="00396053" w:rsidRPr="00A021FC" w:rsidRDefault="00396053" w:rsidP="00AA0B11">
                      <w:pPr>
                        <w:pStyle w:val="Imprint"/>
                        <w:rPr>
                          <w:b/>
                        </w:rPr>
                      </w:pPr>
                      <w:r w:rsidRPr="00917EBA">
                        <w:rPr>
                          <w:b/>
                        </w:rPr>
                        <w:t xml:space="preserve">© Commonwealth of Australia, </w:t>
                      </w:r>
                      <w:r>
                        <w:rPr>
                          <w:b/>
                        </w:rPr>
                        <w:t>2016</w:t>
                      </w:r>
                    </w:p>
                    <w:p w:rsidR="00396053" w:rsidRDefault="00396053" w:rsidP="00AA0B11">
                      <w:pPr>
                        <w:pStyle w:val="Imprint"/>
                        <w:rPr>
                          <w:sz w:val="20"/>
                        </w:rPr>
                      </w:pPr>
                      <w:r w:rsidRPr="00E80270">
                        <w:rPr>
                          <w:noProof/>
                          <w:sz w:val="20"/>
                          <w:lang w:eastAsia="en-AU"/>
                        </w:rPr>
                        <w:drawing>
                          <wp:inline distT="0" distB="0" distL="0" distR="0" wp14:anchorId="64D04A9E" wp14:editId="25CB699D">
                            <wp:extent cx="850265" cy="302895"/>
                            <wp:effectExtent l="19050" t="0" r="6985" b="0"/>
                            <wp:docPr id="72"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396053" w:rsidRPr="00AF100C" w:rsidRDefault="00396053" w:rsidP="00AF100C">
                      <w:pPr>
                        <w:pStyle w:val="Imprint"/>
                      </w:pPr>
                      <w:r w:rsidRPr="00AF100C">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396053" w:rsidRPr="00AF100C" w:rsidRDefault="00396053" w:rsidP="00AF100C">
                      <w:pPr>
                        <w:pStyle w:val="Imprint"/>
                      </w:pPr>
                      <w:r w:rsidRPr="00AF100C">
                        <w:t>The details of the relevant licence conditions are available on the Creative Commons website (accessible using the links provided) as is the full legal code for the CC BY 3.0 AU licence &lt;http://creativecommons.org/licenses/by/3.0/legalcode&gt;.</w:t>
                      </w:r>
                    </w:p>
                    <w:p w:rsidR="00396053" w:rsidRPr="00AF100C" w:rsidRDefault="00396053" w:rsidP="00AF100C">
                      <w:pPr>
                        <w:pStyle w:val="Imprint"/>
                      </w:pPr>
                      <w:r w:rsidRPr="00AF100C">
                        <w:t>The Creative Commons licence conditions do not apply to all logos, graphic design, artwork and photographs. Requests and enquiries concerning other reproduction and rights should be directed to the National Centre for Vocational Education Research (NCVER).</w:t>
                      </w:r>
                    </w:p>
                    <w:p w:rsidR="00396053" w:rsidRPr="00AF100C" w:rsidRDefault="00396053" w:rsidP="00AF100C">
                      <w:pPr>
                        <w:pStyle w:val="Imprint"/>
                      </w:pPr>
                      <w:r w:rsidRPr="00AF100C">
                        <w:t xml:space="preserve">This document should be attributed as Snell, D, </w:t>
                      </w:r>
                      <w:proofErr w:type="spellStart"/>
                      <w:r w:rsidRPr="00AF100C">
                        <w:t>Gekara</w:t>
                      </w:r>
                      <w:proofErr w:type="spellEnd"/>
                      <w:r w:rsidRPr="00AF100C">
                        <w:t xml:space="preserve">, V, </w:t>
                      </w:r>
                      <w:proofErr w:type="spellStart"/>
                      <w:r w:rsidRPr="00AF100C">
                        <w:t>Gatt</w:t>
                      </w:r>
                      <w:proofErr w:type="spellEnd"/>
                      <w:r w:rsidRPr="00AF100C">
                        <w:t xml:space="preserve">, K 2016, </w:t>
                      </w:r>
                      <w:r w:rsidRPr="00AF100C">
                        <w:rPr>
                          <w:i/>
                        </w:rPr>
                        <w:t>Cross-occupational skill transferability: challenges and opportunities in a changing economy</w:t>
                      </w:r>
                      <w:r w:rsidRPr="00AF100C">
                        <w:t>, NCVER, Adelaide.</w:t>
                      </w:r>
                    </w:p>
                    <w:p w:rsidR="00396053" w:rsidRPr="00AF100C" w:rsidRDefault="00396053" w:rsidP="00AF100C">
                      <w:pPr>
                        <w:pStyle w:val="Imprint"/>
                      </w:pPr>
                      <w:r w:rsidRPr="00AF100C">
                        <w:t>COVER IMAGE: GETTY IMAGES/</w:t>
                      </w:r>
                      <w:proofErr w:type="spellStart"/>
                      <w:r w:rsidRPr="00AF100C">
                        <w:t>iStock</w:t>
                      </w:r>
                      <w:proofErr w:type="spellEnd"/>
                    </w:p>
                    <w:p w:rsidR="00396053" w:rsidRPr="00AF100C" w:rsidRDefault="00396053" w:rsidP="00AF100C">
                      <w:pPr>
                        <w:pStyle w:val="Imprint"/>
                      </w:pPr>
                      <w:r w:rsidRPr="00AF100C">
                        <w:t xml:space="preserve">ISBN </w:t>
                      </w:r>
                      <w:r w:rsidRPr="00AF100C">
                        <w:tab/>
                        <w:t>978-1-925173-52-9</w:t>
                      </w:r>
                      <w:r>
                        <w:br/>
                      </w:r>
                      <w:r w:rsidRPr="00AF100C">
                        <w:t>TD/TNC</w:t>
                      </w:r>
                      <w:r w:rsidRPr="00AF100C">
                        <w:tab/>
                        <w:t>124.04</w:t>
                      </w:r>
                    </w:p>
                    <w:p w:rsidR="00396053" w:rsidRPr="00AF100C" w:rsidRDefault="00396053" w:rsidP="00AF100C">
                      <w:pPr>
                        <w:pStyle w:val="Imprint"/>
                      </w:pPr>
                      <w:r w:rsidRPr="00AF100C">
                        <w:t>Published by NCVER, ABN 87 007 967 311</w:t>
                      </w:r>
                    </w:p>
                    <w:p w:rsidR="00396053" w:rsidRPr="00AF100C" w:rsidRDefault="00396053" w:rsidP="00AF100C">
                      <w:pPr>
                        <w:pStyle w:val="Imprint"/>
                      </w:pPr>
                      <w:r w:rsidRPr="00AF100C">
                        <w:t>Level 11, 33 King William Street, Adelaide, SA 5000</w:t>
                      </w:r>
                      <w:r w:rsidRPr="00AF100C">
                        <w:br/>
                        <w:t>PO Box 8288 Station Arcade, Adelaide SA 5000, Australia</w:t>
                      </w:r>
                    </w:p>
                    <w:p w:rsidR="00396053" w:rsidRDefault="00396053" w:rsidP="00AF100C">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396053" w:rsidRPr="002C3573" w:rsidRDefault="00396053" w:rsidP="00AF100C">
                      <w:pPr>
                        <w:pStyle w:val="Imprint"/>
                        <w:tabs>
                          <w:tab w:val="left" w:pos="2127"/>
                        </w:tabs>
                        <w:spacing w:before="0"/>
                      </w:pPr>
                      <w:r w:rsidRPr="002C3573">
                        <w:rPr>
                          <w:b/>
                        </w:rPr>
                        <w:t>Email</w:t>
                      </w:r>
                      <w:r w:rsidRPr="002C3573">
                        <w:t xml:space="preserve"> </w:t>
                      </w:r>
                      <w:hyperlink r:id="rId27" w:history="1">
                        <w:r w:rsidRPr="004B031A">
                          <w:rPr>
                            <w:rStyle w:val="Hyperlink"/>
                            <w:sz w:val="16"/>
                            <w:szCs w:val="16"/>
                          </w:rPr>
                          <w:t>ncver@ncver.edu.au</w:t>
                        </w:r>
                      </w:hyperlink>
                      <w:r w:rsidRPr="002C3573">
                        <w:t xml:space="preserve">    </w:t>
                      </w:r>
                      <w:r w:rsidRPr="002C3573">
                        <w:rPr>
                          <w:b/>
                        </w:rPr>
                        <w:t>Web</w:t>
                      </w:r>
                      <w:r w:rsidRPr="002C3573">
                        <w:t xml:space="preserve"> &lt;http://www.ncver.edu.au&gt;  &lt;</w:t>
                      </w:r>
                      <w:hyperlink r:id="rId28" w:history="1">
                        <w:r w:rsidRPr="004B031A">
                          <w:rPr>
                            <w:rStyle w:val="Hyperlink"/>
                            <w:sz w:val="16"/>
                            <w:szCs w:val="16"/>
                          </w:rPr>
                          <w:t>http://www.lsay.edu.au</w:t>
                        </w:r>
                      </w:hyperlink>
                      <w:r w:rsidRPr="002C3573">
                        <w:t>&gt;</w:t>
                      </w:r>
                    </w:p>
                    <w:p w:rsidR="00396053" w:rsidRPr="00D212FA" w:rsidRDefault="00396053" w:rsidP="00AF100C">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p w:rsidR="00396053" w:rsidRPr="00D212FA" w:rsidRDefault="00396053" w:rsidP="007C667B">
                      <w:pPr>
                        <w:pStyle w:val="Imprint"/>
                        <w:tabs>
                          <w:tab w:val="left" w:pos="993"/>
                          <w:tab w:val="left" w:pos="3686"/>
                        </w:tabs>
                        <w:spacing w:before="0"/>
                      </w:pPr>
                    </w:p>
                  </w:txbxContent>
                </v:textbox>
              </v:shape>
            </w:pict>
          </mc:Fallback>
        </mc:AlternateContent>
      </w:r>
      <w:r w:rsidRPr="00AF100C">
        <w:rPr>
          <w:noProof/>
          <w:lang w:eastAsia="en-AU"/>
        </w:rPr>
        <w:drawing>
          <wp:anchor distT="0" distB="0" distL="114300" distR="114300" simplePos="0" relativeHeight="252098560" behindDoc="0" locked="0" layoutInCell="1" allowOverlap="1" wp14:anchorId="0452A031" wp14:editId="70D8256E">
            <wp:simplePos x="0" y="0"/>
            <wp:positionH relativeFrom="column">
              <wp:posOffset>542290</wp:posOffset>
            </wp:positionH>
            <wp:positionV relativeFrom="paragraph">
              <wp:posOffset>4825365</wp:posOffset>
            </wp:positionV>
            <wp:extent cx="141605" cy="152400"/>
            <wp:effectExtent l="0" t="0" r="0" b="0"/>
            <wp:wrapNone/>
            <wp:docPr id="52"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CE248F">
        <w:rPr>
          <w:noProof/>
          <w:lang w:eastAsia="en-AU"/>
        </w:rPr>
        <w:drawing>
          <wp:anchor distT="0" distB="0" distL="114300" distR="114300" simplePos="0" relativeHeight="251769856" behindDoc="0" locked="0" layoutInCell="1" allowOverlap="1" wp14:anchorId="2F20DE8E" wp14:editId="1B06AF27">
            <wp:simplePos x="0" y="0"/>
            <wp:positionH relativeFrom="column">
              <wp:posOffset>544830</wp:posOffset>
            </wp:positionH>
            <wp:positionV relativeFrom="paragraph">
              <wp:posOffset>6542405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CE248F">
        <w:rPr>
          <w:noProof/>
          <w:lang w:eastAsia="en-AU"/>
        </w:rPr>
        <w:drawing>
          <wp:anchor distT="0" distB="0" distL="114300" distR="114300" simplePos="0" relativeHeight="251768832" behindDoc="0" locked="0" layoutInCell="1" allowOverlap="1" wp14:anchorId="6A7A1C2B" wp14:editId="699795E1">
            <wp:simplePos x="0" y="0"/>
            <wp:positionH relativeFrom="column">
              <wp:posOffset>2179955</wp:posOffset>
            </wp:positionH>
            <wp:positionV relativeFrom="paragraph">
              <wp:posOffset>6550025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22"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7C667B" w:rsidRPr="005C2FCF">
        <w:br w:type="page"/>
      </w:r>
    </w:p>
    <w:p w:rsidR="00F33784" w:rsidRPr="000E691E" w:rsidRDefault="00F33784" w:rsidP="0077355F">
      <w:pPr>
        <w:pStyle w:val="Heading1"/>
        <w:spacing w:after="240"/>
      </w:pPr>
      <w:bookmarkStart w:id="9" w:name="_Toc416260892"/>
      <w:bookmarkStart w:id="10" w:name="_Toc416421648"/>
      <w:bookmarkStart w:id="11" w:name="_Toc421789465"/>
      <w:bookmarkStart w:id="12" w:name="_Toc436511659"/>
      <w:bookmarkStart w:id="13" w:name="_Toc449707277"/>
      <w:r>
        <w:lastRenderedPageBreak/>
        <w:t xml:space="preserve">About </w:t>
      </w:r>
      <w:bookmarkEnd w:id="9"/>
      <w:bookmarkEnd w:id="10"/>
      <w:bookmarkEnd w:id="11"/>
      <w:r w:rsidR="00D92377">
        <w:t>the research</w:t>
      </w:r>
      <w:bookmarkEnd w:id="12"/>
      <w:bookmarkEnd w:id="13"/>
      <w:r w:rsidR="003364D3">
        <w:t xml:space="preserve"> </w:t>
      </w:r>
    </w:p>
    <w:p w:rsidR="00064902" w:rsidRPr="00516663" w:rsidRDefault="00064902" w:rsidP="0077355F">
      <w:pPr>
        <w:pStyle w:val="Abouttheresearchpubtitle"/>
        <w:spacing w:before="240"/>
      </w:pPr>
      <w:bookmarkStart w:id="14" w:name="_Toc98394878"/>
      <w:bookmarkStart w:id="15" w:name="_Toc296423682"/>
      <w:bookmarkStart w:id="16" w:name="_Toc296497513"/>
      <w:r w:rsidRPr="00516663">
        <w:t>Cross-occupational skill transferability: challenges and opportunities in a changing economy</w:t>
      </w:r>
    </w:p>
    <w:p w:rsidR="00CE248F" w:rsidRPr="001B43CF" w:rsidRDefault="007405DE" w:rsidP="00516663">
      <w:pPr>
        <w:pStyle w:val="Heading3"/>
      </w:pPr>
      <w:r>
        <w:t>Dr Darryn Snell, Dr Victor Gekara, Dr Krystle Gatt, RMIT University</w:t>
      </w:r>
    </w:p>
    <w:p w:rsidR="007F7649" w:rsidRDefault="0089229B" w:rsidP="00FC5A45">
      <w:pPr>
        <w:pStyle w:val="Text"/>
      </w:pPr>
      <w:r>
        <w:t>Industries</w:t>
      </w:r>
      <w:r w:rsidR="002E72CF">
        <w:t>,</w:t>
      </w:r>
      <w:r>
        <w:t xml:space="preserve"> and the occupations </w:t>
      </w:r>
      <w:r w:rsidR="002E72CF">
        <w:t>encompassed by</w:t>
      </w:r>
      <w:r>
        <w:t xml:space="preserve"> them</w:t>
      </w:r>
      <w:r w:rsidR="002E72CF">
        <w:t>,</w:t>
      </w:r>
      <w:r>
        <w:t xml:space="preserve"> are susceptible to many influences, such as fluctuations </w:t>
      </w:r>
      <w:r w:rsidR="005607E4">
        <w:t>in</w:t>
      </w:r>
      <w:r>
        <w:t xml:space="preserve"> the Australian dollar, trade agreements and the emergence of new technolog</w:t>
      </w:r>
      <w:r w:rsidR="002E72CF">
        <w:t xml:space="preserve">ies </w:t>
      </w:r>
      <w:r>
        <w:t xml:space="preserve">and ways of working. A recent example </w:t>
      </w:r>
      <w:r w:rsidR="009025DE">
        <w:t>of these changes is</w:t>
      </w:r>
      <w:r>
        <w:t xml:space="preserve"> the decline of the auto manufacturing industry in Australia</w:t>
      </w:r>
      <w:r w:rsidR="005F21B1">
        <w:t>;</w:t>
      </w:r>
      <w:r>
        <w:t xml:space="preserve"> </w:t>
      </w:r>
      <w:r w:rsidR="005F21B1">
        <w:t>c</w:t>
      </w:r>
      <w:r w:rsidR="009025DE">
        <w:t xml:space="preserve">losures </w:t>
      </w:r>
      <w:r w:rsidR="005607E4">
        <w:t xml:space="preserve">in this industry </w:t>
      </w:r>
      <w:r w:rsidR="009025DE">
        <w:t>hav</w:t>
      </w:r>
      <w:r w:rsidR="007F7649">
        <w:t xml:space="preserve">e resulted in </w:t>
      </w:r>
      <w:r w:rsidR="001D55A9">
        <w:t>increasing</w:t>
      </w:r>
      <w:r w:rsidR="007F7649">
        <w:t xml:space="preserve"> redundancies </w:t>
      </w:r>
      <w:r w:rsidR="005607E4">
        <w:t>leading</w:t>
      </w:r>
      <w:r w:rsidR="007F7649">
        <w:t xml:space="preserve"> to many people </w:t>
      </w:r>
      <w:r w:rsidR="002E72CF">
        <w:t>seeking</w:t>
      </w:r>
      <w:r w:rsidR="007F7649">
        <w:t xml:space="preserve"> work. In order to better understand where individuals in these situations can find work, this research looks at </w:t>
      </w:r>
      <w:r w:rsidR="001A192C">
        <w:t xml:space="preserve">the </w:t>
      </w:r>
      <w:r w:rsidR="007F7649">
        <w:t xml:space="preserve">transferability of skills between occupations at the same skill level. In order to do this, the </w:t>
      </w:r>
      <w:r w:rsidR="007F7649" w:rsidRPr="007F7649">
        <w:t xml:space="preserve">research identifies growing and declining occupations across Australia, assesses how the </w:t>
      </w:r>
      <w:r w:rsidR="002E72CF">
        <w:t>vocational education and training (</w:t>
      </w:r>
      <w:r w:rsidR="007F7649" w:rsidRPr="007F7649">
        <w:t>VET</w:t>
      </w:r>
      <w:r w:rsidR="002E72CF">
        <w:t>)</w:t>
      </w:r>
      <w:r w:rsidR="007F7649" w:rsidRPr="007F7649">
        <w:t xml:space="preserve"> system </w:t>
      </w:r>
      <w:r w:rsidR="005607E4">
        <w:t>develops</w:t>
      </w:r>
      <w:r w:rsidR="007F7649" w:rsidRPr="007F7649">
        <w:t xml:space="preserve"> transferable skills and explores how workers facing retrenchment understand their transferable skills.</w:t>
      </w:r>
    </w:p>
    <w:p w:rsidR="00CE248F" w:rsidRDefault="00CE248F" w:rsidP="00CE248F">
      <w:pPr>
        <w:pStyle w:val="Keymessages"/>
      </w:pPr>
      <w:r w:rsidRPr="005C2FCF">
        <w:t>Key messages</w:t>
      </w:r>
    </w:p>
    <w:p w:rsidR="004E02C6" w:rsidRDefault="00C666EC" w:rsidP="00856034">
      <w:pPr>
        <w:pStyle w:val="Dotpoint1"/>
        <w:tabs>
          <w:tab w:val="clear" w:pos="284"/>
        </w:tabs>
        <w:spacing w:before="80"/>
      </w:pPr>
      <w:r>
        <w:t>The transferability of a r</w:t>
      </w:r>
      <w:r w:rsidR="003C28BC">
        <w:t>etrenched</w:t>
      </w:r>
      <w:r w:rsidR="005F21B1">
        <w:t>,</w:t>
      </w:r>
      <w:r w:rsidR="003C28BC">
        <w:t xml:space="preserve"> </w:t>
      </w:r>
      <w:r>
        <w:t>or soon-to-be retrenched</w:t>
      </w:r>
      <w:r w:rsidR="005F21B1">
        <w:t>,</w:t>
      </w:r>
      <w:r>
        <w:t xml:space="preserve"> worker</w:t>
      </w:r>
      <w:r w:rsidR="008B09FD">
        <w:t>’s</w:t>
      </w:r>
      <w:r>
        <w:t xml:space="preserve"> skills depends on their ability to identify </w:t>
      </w:r>
      <w:r w:rsidR="002E72CF">
        <w:t xml:space="preserve">specific </w:t>
      </w:r>
      <w:r>
        <w:t xml:space="preserve">skills as transferable. Many individuals focus on their technical skills when applying for jobs and do not </w:t>
      </w:r>
      <w:r w:rsidR="002E72CF">
        <w:t>consider</w:t>
      </w:r>
      <w:r>
        <w:t xml:space="preserve"> other skills they </w:t>
      </w:r>
      <w:r w:rsidR="002E72CF">
        <w:t xml:space="preserve">may </w:t>
      </w:r>
      <w:r>
        <w:t>have developed</w:t>
      </w:r>
      <w:r w:rsidR="002E72CF">
        <w:t>,</w:t>
      </w:r>
      <w:r>
        <w:t xml:space="preserve"> such as communication and knowledge of workplace health and safety.</w:t>
      </w:r>
      <w:r w:rsidR="003C28BC">
        <w:t xml:space="preserve"> </w:t>
      </w:r>
      <w:r w:rsidR="000F6CFA">
        <w:t xml:space="preserve">Transition programs and </w:t>
      </w:r>
      <w:r w:rsidR="00210A02">
        <w:t>job support agencies</w:t>
      </w:r>
      <w:r w:rsidR="000F6CFA">
        <w:t xml:space="preserve"> should help these workers to better understand their transferable skills.</w:t>
      </w:r>
    </w:p>
    <w:p w:rsidR="008D4587" w:rsidRDefault="008D4587" w:rsidP="00856034">
      <w:pPr>
        <w:pStyle w:val="Dotpoint1"/>
        <w:tabs>
          <w:tab w:val="clear" w:pos="284"/>
        </w:tabs>
        <w:spacing w:before="80"/>
      </w:pPr>
      <w:r>
        <w:t>Improvements c</w:t>
      </w:r>
      <w:r w:rsidR="00343369">
        <w:t>ould</w:t>
      </w:r>
      <w:r>
        <w:t xml:space="preserve"> be made to the Australian VET system to encourage more transferability across occupations.</w:t>
      </w:r>
      <w:r w:rsidR="009C4AF5">
        <w:t xml:space="preserve"> </w:t>
      </w:r>
      <w:r w:rsidR="001441AF">
        <w:t xml:space="preserve">The research points to employability skills being made more applicable to all workplace contexts. </w:t>
      </w:r>
      <w:r w:rsidR="009C4AF5">
        <w:t xml:space="preserve">Currently, employability skills are embedded into training packages to </w:t>
      </w:r>
      <w:r w:rsidR="005607E4">
        <w:t>ensure</w:t>
      </w:r>
      <w:r w:rsidR="00343369">
        <w:t xml:space="preserve"> the development of these soft</w:t>
      </w:r>
      <w:r w:rsidR="009C4AF5">
        <w:t xml:space="preserve"> </w:t>
      </w:r>
      <w:r w:rsidR="00B72653">
        <w:t>skills;</w:t>
      </w:r>
      <w:r w:rsidR="009C4AF5">
        <w:t xml:space="preserve"> however, they are often</w:t>
      </w:r>
      <w:r w:rsidR="005607E4">
        <w:t xml:space="preserve"> developed in an occupation-</w:t>
      </w:r>
      <w:r w:rsidR="009C4AF5">
        <w:t>specific way</w:t>
      </w:r>
      <w:r w:rsidR="002E72CF">
        <w:t>, thus</w:t>
      </w:r>
      <w:r w:rsidR="009C4AF5">
        <w:t xml:space="preserve"> limiting their transferability. </w:t>
      </w:r>
      <w:r w:rsidR="00CC4FE8">
        <w:t>Another suggestion for training packages is to establish a common language to describe competencies, skills and knowledge to make the content of training packages easier to understand.</w:t>
      </w:r>
    </w:p>
    <w:p w:rsidR="00930F6E" w:rsidRDefault="00930F6E" w:rsidP="00856034">
      <w:pPr>
        <w:pStyle w:val="Dotpoint1"/>
        <w:tabs>
          <w:tab w:val="clear" w:pos="284"/>
        </w:tabs>
        <w:spacing w:before="80"/>
      </w:pPr>
      <w:r>
        <w:t xml:space="preserve">The research </w:t>
      </w:r>
      <w:r w:rsidR="00343369">
        <w:t xml:space="preserve">findings </w:t>
      </w:r>
      <w:r w:rsidR="001D55A9">
        <w:t>argue</w:t>
      </w:r>
      <w:r>
        <w:t xml:space="preserve"> </w:t>
      </w:r>
      <w:r w:rsidR="002E72CF">
        <w:t>the need to</w:t>
      </w:r>
      <w:r>
        <w:t xml:space="preserve"> re</w:t>
      </w:r>
      <w:r w:rsidR="005607E4">
        <w:t>conceptualise</w:t>
      </w:r>
      <w:r>
        <w:t xml:space="preserve"> how occupations are classified in Australia</w:t>
      </w:r>
      <w:r w:rsidR="005607E4">
        <w:t>,</w:t>
      </w:r>
      <w:r>
        <w:t xml:space="preserve"> </w:t>
      </w:r>
      <w:r w:rsidR="005607E4">
        <w:t>such that</w:t>
      </w:r>
      <w:r>
        <w:t xml:space="preserve"> </w:t>
      </w:r>
      <w:r w:rsidR="005607E4">
        <w:t xml:space="preserve">the transfer of skills is </w:t>
      </w:r>
      <w:r>
        <w:t>better acknowledge</w:t>
      </w:r>
      <w:r w:rsidR="005607E4">
        <w:t>d</w:t>
      </w:r>
      <w:r>
        <w:t xml:space="preserve"> and encourage</w:t>
      </w:r>
      <w:r w:rsidR="005607E4">
        <w:t>d</w:t>
      </w:r>
      <w:r>
        <w:t>.</w:t>
      </w:r>
      <w:r w:rsidR="00B72653">
        <w:t xml:space="preserve"> It is important to know how other occupations draw upon the skills </w:t>
      </w:r>
      <w:r w:rsidR="005607E4">
        <w:t xml:space="preserve">inherent </w:t>
      </w:r>
      <w:r w:rsidR="00B72653">
        <w:t>in a particular occupation.</w:t>
      </w:r>
      <w:r>
        <w:t xml:space="preserve"> An occupational cluster framework would enable the mapping of sk</w:t>
      </w:r>
      <w:r w:rsidR="00925D6D">
        <w:t>ills across occupations within a</w:t>
      </w:r>
      <w:r>
        <w:t xml:space="preserve"> ‘family’</w:t>
      </w:r>
      <w:r w:rsidR="00925D6D">
        <w:t xml:space="preserve"> cluster and encourage more movement within this cluster. This is a similar concept to vocational streams</w:t>
      </w:r>
      <w:r w:rsidR="002E72CF">
        <w:t>,</w:t>
      </w:r>
      <w:r w:rsidR="00925D6D">
        <w:t xml:space="preserve"> whereby occupations are grouped </w:t>
      </w:r>
      <w:r w:rsidR="005607E4">
        <w:t>according to</w:t>
      </w:r>
      <w:r w:rsidR="00925D6D">
        <w:t xml:space="preserve"> their shared knowledge, skills </w:t>
      </w:r>
      <w:r w:rsidR="001A192C">
        <w:t>and practices</w:t>
      </w:r>
      <w:r w:rsidR="002E72CF">
        <w:t>,</w:t>
      </w:r>
      <w:r w:rsidR="001A192C">
        <w:t xml:space="preserve"> rather than </w:t>
      </w:r>
      <w:r w:rsidR="002E72CF">
        <w:t xml:space="preserve">on </w:t>
      </w:r>
      <w:r w:rsidR="00925D6D">
        <w:t>specific workplace tasks and roles</w:t>
      </w:r>
      <w:r w:rsidR="002E72CF">
        <w:t>, the aim being</w:t>
      </w:r>
      <w:r w:rsidR="00925D6D">
        <w:t xml:space="preserve"> to promote a more adaptable workforce (Wheelahan, Buchanan </w:t>
      </w:r>
      <w:r w:rsidR="002E72CF">
        <w:t>&amp;</w:t>
      </w:r>
      <w:r w:rsidR="00925D6D">
        <w:t xml:space="preserve"> Yu 2015).</w:t>
      </w:r>
    </w:p>
    <w:p w:rsidR="00A6134D" w:rsidRPr="004C7FE4" w:rsidRDefault="007F7649" w:rsidP="004C7FE4">
      <w:pPr>
        <w:pStyle w:val="Text"/>
        <w:rPr>
          <w:i/>
        </w:rPr>
      </w:pPr>
      <w:r>
        <w:t>For further research in th</w:t>
      </w:r>
      <w:r w:rsidR="009C4AF5">
        <w:t>e</w:t>
      </w:r>
      <w:r>
        <w:t xml:space="preserve"> area</w:t>
      </w:r>
      <w:r w:rsidR="009C4AF5">
        <w:t xml:space="preserve"> of structural adjustment</w:t>
      </w:r>
      <w:r w:rsidR="002E72CF">
        <w:t>, see</w:t>
      </w:r>
      <w:r>
        <w:t xml:space="preserve"> </w:t>
      </w:r>
      <w:r w:rsidR="001C6537">
        <w:t xml:space="preserve">Victor </w:t>
      </w:r>
      <w:r w:rsidR="004C7FE4">
        <w:t>Callan</w:t>
      </w:r>
      <w:r w:rsidR="002E72CF">
        <w:t xml:space="preserve"> and </w:t>
      </w:r>
      <w:r w:rsidR="001C6537">
        <w:t>Kaye Bowman’s</w:t>
      </w:r>
      <w:r w:rsidR="00396053">
        <w:t xml:space="preserve"> </w:t>
      </w:r>
      <w:r w:rsidR="001C6537">
        <w:rPr>
          <w:rStyle w:val="TextChar"/>
        </w:rPr>
        <w:t xml:space="preserve">publication, </w:t>
      </w:r>
      <w:r w:rsidR="004C7FE4" w:rsidRPr="004C7FE4">
        <w:rPr>
          <w:rStyle w:val="TextChar"/>
          <w:i/>
        </w:rPr>
        <w:t>Industry restructuring and job loss: helping older workers get back into employment</w:t>
      </w:r>
      <w:r w:rsidR="004C7FE4">
        <w:rPr>
          <w:rStyle w:val="TextChar"/>
        </w:rPr>
        <w:t xml:space="preserve">, and </w:t>
      </w:r>
      <w:r w:rsidR="001C6537">
        <w:rPr>
          <w:rStyle w:val="TextChar"/>
        </w:rPr>
        <w:t>John Stanwick et al.’s</w:t>
      </w:r>
      <w:r w:rsidR="004C7FE4">
        <w:rPr>
          <w:rStyle w:val="TextChar"/>
        </w:rPr>
        <w:t xml:space="preserve"> </w:t>
      </w:r>
      <w:r w:rsidR="004C7FE4" w:rsidRPr="004C7FE4">
        <w:rPr>
          <w:rStyle w:val="TextChar"/>
          <w:i/>
        </w:rPr>
        <w:t>The end of car manufacturing in Australia: what is the role of training?</w:t>
      </w:r>
      <w:r w:rsidR="001C6537">
        <w:rPr>
          <w:rStyle w:val="TextChar"/>
        </w:rPr>
        <w:t>. Both</w:t>
      </w:r>
      <w:r w:rsidR="005607E4">
        <w:rPr>
          <w:rStyle w:val="TextChar"/>
        </w:rPr>
        <w:t xml:space="preserve"> reports</w:t>
      </w:r>
      <w:r w:rsidR="001C6537">
        <w:rPr>
          <w:rStyle w:val="TextChar"/>
        </w:rPr>
        <w:t xml:space="preserve"> were published by NCVER in 2015.</w:t>
      </w:r>
      <w:r w:rsidR="004C7FE4">
        <w:rPr>
          <w:rStyle w:val="TextChar"/>
        </w:rPr>
        <w:t xml:space="preserve"> </w:t>
      </w:r>
    </w:p>
    <w:p w:rsidR="00DE2EAE" w:rsidRDefault="00DE2EAE" w:rsidP="00A6134D">
      <w:pPr>
        <w:pStyle w:val="Dotpoint1"/>
        <w:numPr>
          <w:ilvl w:val="0"/>
          <w:numId w:val="0"/>
        </w:numPr>
      </w:pPr>
    </w:p>
    <w:p w:rsidR="00F33784" w:rsidRDefault="002E72CF" w:rsidP="00A6134D">
      <w:pPr>
        <w:pStyle w:val="Dotpoint1"/>
        <w:numPr>
          <w:ilvl w:val="0"/>
          <w:numId w:val="0"/>
        </w:numPr>
      </w:pPr>
      <w:r>
        <w:t xml:space="preserve">Dr </w:t>
      </w:r>
      <w:r w:rsidR="00CE248F" w:rsidRPr="00A6134D">
        <w:t>Craig Fowler</w:t>
      </w:r>
      <w:r w:rsidR="00CE248F" w:rsidRPr="00A6134D">
        <w:br/>
        <w:t>Managing Director, NCVER</w:t>
      </w:r>
      <w:bookmarkEnd w:id="14"/>
      <w:bookmarkEnd w:id="15"/>
      <w:bookmarkEnd w:id="16"/>
    </w:p>
    <w:p w:rsidR="00AF100C" w:rsidRDefault="00AF100C">
      <w:pPr>
        <w:spacing w:before="0" w:line="240" w:lineRule="auto"/>
        <w:rPr>
          <w:rFonts w:ascii="Arial" w:hAnsi="Arial" w:cs="Arial"/>
          <w:color w:val="000000"/>
          <w:kern w:val="28"/>
          <w:sz w:val="48"/>
          <w:szCs w:val="48"/>
        </w:rPr>
      </w:pPr>
      <w:r>
        <w:lastRenderedPageBreak/>
        <w:br w:type="page"/>
      </w:r>
    </w:p>
    <w:p w:rsidR="00F33784" w:rsidRDefault="00F33784" w:rsidP="003813E4">
      <w:pPr>
        <w:pStyle w:val="Contents"/>
        <w:sectPr w:rsidR="00F33784" w:rsidSect="00F33784">
          <w:headerReference w:type="default" r:id="rId30"/>
          <w:footerReference w:type="even" r:id="rId31"/>
          <w:footerReference w:type="default" r:id="rId32"/>
          <w:pgSz w:w="11907" w:h="16840" w:code="9"/>
          <w:pgMar w:top="1276" w:right="1418" w:bottom="992" w:left="1418" w:header="709" w:footer="420" w:gutter="0"/>
          <w:cols w:space="708"/>
          <w:docGrid w:linePitch="360"/>
        </w:sectPr>
      </w:pPr>
    </w:p>
    <w:p w:rsidR="00DB7CA4" w:rsidRPr="00E7423E" w:rsidRDefault="00D64F80" w:rsidP="00AF100C">
      <w:pPr>
        <w:pStyle w:val="Contents"/>
      </w:pPr>
      <w:r w:rsidRPr="00AF100C">
        <w:rPr>
          <w:noProof/>
          <w:lang w:eastAsia="en-AU"/>
        </w:rPr>
        <w:drawing>
          <wp:anchor distT="0" distB="0" distL="114300" distR="114300" simplePos="0" relativeHeight="252115968" behindDoc="0" locked="0" layoutInCell="1" allowOverlap="1" wp14:anchorId="07C0A696" wp14:editId="04C376CD">
            <wp:simplePos x="0" y="0"/>
            <wp:positionH relativeFrom="column">
              <wp:posOffset>1870710</wp:posOffset>
            </wp:positionH>
            <wp:positionV relativeFrom="paragraph">
              <wp:posOffset>580390</wp:posOffset>
            </wp:positionV>
            <wp:extent cx="419100" cy="41910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TargetWithArrowFindings_CorpBlue.emf"/>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00C">
        <w:rPr>
          <w:noProof/>
          <w:lang w:eastAsia="en-AU"/>
        </w:rPr>
        <w:drawing>
          <wp:anchor distT="0" distB="0" distL="114300" distR="114300" simplePos="0" relativeHeight="252101632" behindDoc="0" locked="0" layoutInCell="1" allowOverlap="1" wp14:anchorId="10A9FE48" wp14:editId="648CD191">
            <wp:simplePos x="0" y="0"/>
            <wp:positionH relativeFrom="column">
              <wp:posOffset>453390</wp:posOffset>
            </wp:positionH>
            <wp:positionV relativeFrom="paragraph">
              <wp:posOffset>566420</wp:posOffset>
            </wp:positionV>
            <wp:extent cx="419100" cy="447675"/>
            <wp:effectExtent l="0" t="0" r="0" b="9525"/>
            <wp:wrapNone/>
            <wp:docPr id="53" name="Picture 53" descr="P:\PublicationComponents\Icons\Intro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Intro_Green.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00C">
        <w:rPr>
          <w:noProof/>
          <w:lang w:eastAsia="en-AU"/>
        </w:rPr>
        <w:drawing>
          <wp:anchor distT="0" distB="0" distL="114300" distR="114300" simplePos="0" relativeHeight="252102656" behindDoc="0" locked="0" layoutInCell="1" allowOverlap="1" wp14:anchorId="09509779" wp14:editId="73CFB0BB">
            <wp:simplePos x="0" y="0"/>
            <wp:positionH relativeFrom="column">
              <wp:posOffset>927735</wp:posOffset>
            </wp:positionH>
            <wp:positionV relativeFrom="paragraph">
              <wp:posOffset>580390</wp:posOffset>
            </wp:positionV>
            <wp:extent cx="419100" cy="4191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Mag-glass_purple.emf"/>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00C">
        <w:rPr>
          <w:noProof/>
          <w:lang w:eastAsia="en-AU"/>
        </w:rPr>
        <w:drawing>
          <wp:anchor distT="0" distB="0" distL="114300" distR="114300" simplePos="0" relativeHeight="252104704" behindDoc="0" locked="0" layoutInCell="1" allowOverlap="1" wp14:anchorId="01BBE37C" wp14:editId="2012AE97">
            <wp:simplePos x="0" y="0"/>
            <wp:positionH relativeFrom="column">
              <wp:posOffset>1403985</wp:posOffset>
            </wp:positionH>
            <wp:positionV relativeFrom="paragraph">
              <wp:posOffset>580390</wp:posOffset>
            </wp:positionV>
            <wp:extent cx="419100" cy="4191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TargetWithArrowFindings_CorpBlue.emf"/>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865" w:rsidRPr="00AF100C">
        <w:rPr>
          <w:noProof/>
          <w:lang w:eastAsia="en-AU"/>
        </w:rPr>
        <w:drawing>
          <wp:anchor distT="0" distB="0" distL="114300" distR="114300" simplePos="0" relativeHeight="252107776" behindDoc="0" locked="0" layoutInCell="1" allowOverlap="1" wp14:anchorId="7D9DB569" wp14:editId="264584EB">
            <wp:simplePos x="0" y="0"/>
            <wp:positionH relativeFrom="column">
              <wp:posOffset>2823943</wp:posOffset>
            </wp:positionH>
            <wp:positionV relativeFrom="paragraph">
              <wp:posOffset>580390</wp:posOffset>
            </wp:positionV>
            <wp:extent cx="417634" cy="428625"/>
            <wp:effectExtent l="0" t="0" r="190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PublicationComponents\Icons\DollarSignFunding_LightBlue.emf"/>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17634"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00C" w:rsidRPr="00AF100C">
        <w:rPr>
          <w:noProof/>
          <w:lang w:eastAsia="en-AU"/>
        </w:rPr>
        <w:drawing>
          <wp:anchor distT="0" distB="0" distL="114300" distR="114300" simplePos="0" relativeHeight="252105728" behindDoc="0" locked="0" layoutInCell="1" allowOverlap="1" wp14:anchorId="5408E3F1" wp14:editId="741D73B5">
            <wp:simplePos x="0" y="0"/>
            <wp:positionH relativeFrom="column">
              <wp:posOffset>2345055</wp:posOffset>
            </wp:positionH>
            <wp:positionV relativeFrom="paragraph">
              <wp:posOffset>580390</wp:posOffset>
            </wp:positionV>
            <wp:extent cx="419100" cy="419100"/>
            <wp:effectExtent l="0" t="0" r="0" b="0"/>
            <wp:wrapNone/>
            <wp:docPr id="62" name="Picture 62" descr="P:\PublicationComponents\Icons\Referen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PublicationComponents\Icons\References_Green.em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00C" w:rsidRPr="00AF100C">
        <w:rPr>
          <w:noProof/>
          <w:lang w:eastAsia="en-AU"/>
        </w:rPr>
        <w:drawing>
          <wp:anchor distT="0" distB="0" distL="114300" distR="114300" simplePos="0" relativeHeight="252100608" behindDoc="0" locked="0" layoutInCell="1" allowOverlap="1" wp14:anchorId="2048F884" wp14:editId="2A72B1B4">
            <wp:simplePos x="0" y="0"/>
            <wp:positionH relativeFrom="column">
              <wp:posOffset>-7620</wp:posOffset>
            </wp:positionH>
            <wp:positionV relativeFrom="paragraph">
              <wp:posOffset>580390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EB0AD7" w:rsidRPr="00A6673C">
        <w:t>Contents</w:t>
      </w:r>
      <w:bookmarkEnd w:id="6"/>
      <w:bookmarkEnd w:id="7"/>
      <w:bookmarkEnd w:id="8"/>
    </w:p>
    <w:p w:rsidR="00575865" w:rsidRDefault="00BA1555" w:rsidP="00575865">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sidR="00061F13">
        <w:rPr>
          <w:rFonts w:ascii="Avant Garde" w:hAnsi="Avant Garde"/>
        </w:rPr>
        <w:instrText xml:space="preserve"> TOC \t "Heading 1,1,Heading 2,2" </w:instrText>
      </w:r>
      <w:r>
        <w:rPr>
          <w:rFonts w:ascii="Avant Garde" w:hAnsi="Avant Garde"/>
        </w:rPr>
        <w:fldChar w:fldCharType="separate"/>
      </w:r>
      <w:r w:rsidR="00575865">
        <w:t>Executive summary</w:t>
      </w:r>
      <w:r w:rsidR="00575865">
        <w:tab/>
      </w:r>
      <w:r w:rsidR="00575865">
        <w:fldChar w:fldCharType="begin"/>
      </w:r>
      <w:r w:rsidR="00575865">
        <w:instrText xml:space="preserve"> PAGEREF _Toc449707281 \h </w:instrText>
      </w:r>
      <w:r w:rsidR="00575865">
        <w:fldChar w:fldCharType="separate"/>
      </w:r>
      <w:r w:rsidR="001A6428">
        <w:t>7</w:t>
      </w:r>
      <w:r w:rsidR="00575865">
        <w:fldChar w:fldCharType="end"/>
      </w:r>
    </w:p>
    <w:p w:rsidR="00575865" w:rsidRDefault="00575865" w:rsidP="00575865">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_Toc449707282 \h </w:instrText>
      </w:r>
      <w:r>
        <w:fldChar w:fldCharType="separate"/>
      </w:r>
      <w:r w:rsidR="001A6428">
        <w:t>12</w:t>
      </w:r>
      <w:r>
        <w:fldChar w:fldCharType="end"/>
      </w:r>
    </w:p>
    <w:p w:rsidR="00575865" w:rsidRDefault="00575865" w:rsidP="00575865">
      <w:pPr>
        <w:pStyle w:val="TOC1"/>
        <w:rPr>
          <w:rFonts w:asciiTheme="minorHAnsi" w:eastAsiaTheme="minorEastAsia" w:hAnsiTheme="minorHAnsi" w:cstheme="minorBidi"/>
          <w:color w:val="auto"/>
          <w:sz w:val="22"/>
          <w:szCs w:val="22"/>
          <w:lang w:eastAsia="en-AU"/>
        </w:rPr>
      </w:pPr>
      <w:r w:rsidRPr="00047538">
        <w:rPr>
          <w:rFonts w:eastAsia="Arial"/>
        </w:rPr>
        <w:t>Methodology</w:t>
      </w:r>
      <w:r>
        <w:tab/>
      </w:r>
      <w:r>
        <w:fldChar w:fldCharType="begin"/>
      </w:r>
      <w:r>
        <w:instrText xml:space="preserve"> PAGEREF _Toc449707283 \h </w:instrText>
      </w:r>
      <w:r>
        <w:fldChar w:fldCharType="separate"/>
      </w:r>
      <w:r w:rsidR="001A6428">
        <w:t>16</w:t>
      </w:r>
      <w:r>
        <w:fldChar w:fldCharType="end"/>
      </w:r>
    </w:p>
    <w:p w:rsidR="00575865" w:rsidRDefault="00575865" w:rsidP="00575865">
      <w:pPr>
        <w:pStyle w:val="TOC1"/>
        <w:rPr>
          <w:rFonts w:asciiTheme="minorHAnsi" w:eastAsiaTheme="minorEastAsia" w:hAnsiTheme="minorHAnsi" w:cstheme="minorBidi"/>
          <w:color w:val="auto"/>
          <w:sz w:val="22"/>
          <w:szCs w:val="22"/>
          <w:lang w:eastAsia="en-AU"/>
        </w:rPr>
      </w:pPr>
      <w:r>
        <w:rPr>
          <w:lang w:eastAsia="en-AU"/>
        </w:rPr>
        <w:t>Key findings</w:t>
      </w:r>
      <w:r>
        <w:tab/>
      </w:r>
      <w:r>
        <w:fldChar w:fldCharType="begin"/>
      </w:r>
      <w:r>
        <w:instrText xml:space="preserve"> PAGEREF _Toc449707284 \h </w:instrText>
      </w:r>
      <w:r>
        <w:fldChar w:fldCharType="separate"/>
      </w:r>
      <w:r w:rsidR="001A6428">
        <w:t>18</w:t>
      </w:r>
      <w:r>
        <w:fldChar w:fldCharType="end"/>
      </w:r>
    </w:p>
    <w:p w:rsidR="00575865" w:rsidRDefault="00575865" w:rsidP="00575865">
      <w:pPr>
        <w:pStyle w:val="TOC2"/>
        <w:rPr>
          <w:rFonts w:asciiTheme="minorHAnsi" w:eastAsiaTheme="minorEastAsia" w:hAnsiTheme="minorHAnsi" w:cstheme="minorBidi"/>
          <w:color w:val="auto"/>
          <w:sz w:val="22"/>
          <w:szCs w:val="22"/>
          <w:lang w:eastAsia="en-AU"/>
        </w:rPr>
      </w:pPr>
      <w:r>
        <w:t>Declining and growing occupations and changing skill demand in Australia</w:t>
      </w:r>
      <w:r>
        <w:tab/>
      </w:r>
      <w:r>
        <w:fldChar w:fldCharType="begin"/>
      </w:r>
      <w:r>
        <w:instrText xml:space="preserve"> PAGEREF _Toc449707285 \h </w:instrText>
      </w:r>
      <w:r>
        <w:fldChar w:fldCharType="separate"/>
      </w:r>
      <w:r w:rsidR="001A6428">
        <w:t>18</w:t>
      </w:r>
      <w:r>
        <w:fldChar w:fldCharType="end"/>
      </w:r>
    </w:p>
    <w:p w:rsidR="00575865" w:rsidRDefault="00575865" w:rsidP="00575865">
      <w:pPr>
        <w:pStyle w:val="TOC2"/>
        <w:rPr>
          <w:rFonts w:asciiTheme="minorHAnsi" w:eastAsiaTheme="minorEastAsia" w:hAnsiTheme="minorHAnsi" w:cstheme="minorBidi"/>
          <w:color w:val="auto"/>
          <w:sz w:val="22"/>
          <w:szCs w:val="22"/>
          <w:lang w:eastAsia="en-AU"/>
        </w:rPr>
      </w:pPr>
      <w:r w:rsidRPr="00047538">
        <w:rPr>
          <w:rFonts w:eastAsia="Arial"/>
        </w:rPr>
        <w:t>The Australian VET system and the development of transferable skills</w:t>
      </w:r>
      <w:r>
        <w:tab/>
      </w:r>
      <w:r>
        <w:fldChar w:fldCharType="begin"/>
      </w:r>
      <w:r>
        <w:instrText xml:space="preserve"> PAGEREF _Toc449707286 \h </w:instrText>
      </w:r>
      <w:r>
        <w:fldChar w:fldCharType="separate"/>
      </w:r>
      <w:r w:rsidR="001A6428">
        <w:t>22</w:t>
      </w:r>
      <w:r>
        <w:fldChar w:fldCharType="end"/>
      </w:r>
    </w:p>
    <w:p w:rsidR="00575865" w:rsidRDefault="00575865" w:rsidP="00575865">
      <w:pPr>
        <w:pStyle w:val="TOC2"/>
        <w:rPr>
          <w:rFonts w:asciiTheme="minorHAnsi" w:eastAsiaTheme="minorEastAsia" w:hAnsiTheme="minorHAnsi" w:cstheme="minorBidi"/>
          <w:color w:val="auto"/>
          <w:sz w:val="22"/>
          <w:szCs w:val="22"/>
          <w:lang w:eastAsia="en-AU"/>
        </w:rPr>
      </w:pPr>
      <w:r w:rsidRPr="00047538">
        <w:rPr>
          <w:rFonts w:eastAsia="Arial"/>
        </w:rPr>
        <w:t>Transferable skills among retrenched and vulnerable workers</w:t>
      </w:r>
      <w:r>
        <w:tab/>
      </w:r>
      <w:r>
        <w:fldChar w:fldCharType="begin"/>
      </w:r>
      <w:r>
        <w:instrText xml:space="preserve"> PAGEREF _Toc449707287 \h </w:instrText>
      </w:r>
      <w:r>
        <w:fldChar w:fldCharType="separate"/>
      </w:r>
      <w:r w:rsidR="001A6428">
        <w:t>30</w:t>
      </w:r>
      <w:r>
        <w:fldChar w:fldCharType="end"/>
      </w:r>
    </w:p>
    <w:p w:rsidR="00575865" w:rsidRDefault="00575865" w:rsidP="00575865">
      <w:pPr>
        <w:pStyle w:val="TOC2"/>
        <w:rPr>
          <w:rFonts w:asciiTheme="minorHAnsi" w:eastAsiaTheme="minorEastAsia" w:hAnsiTheme="minorHAnsi" w:cstheme="minorBidi"/>
          <w:color w:val="auto"/>
          <w:sz w:val="22"/>
          <w:szCs w:val="22"/>
          <w:lang w:eastAsia="en-AU"/>
        </w:rPr>
      </w:pPr>
      <w:r w:rsidRPr="00047538">
        <w:rPr>
          <w:rFonts w:eastAsia="Arial"/>
        </w:rPr>
        <w:t>Workers’ understanding of their skills</w:t>
      </w:r>
      <w:r>
        <w:tab/>
      </w:r>
      <w:r>
        <w:fldChar w:fldCharType="begin"/>
      </w:r>
      <w:r>
        <w:instrText xml:space="preserve"> PAGEREF _Toc449707288 \h </w:instrText>
      </w:r>
      <w:r>
        <w:fldChar w:fldCharType="separate"/>
      </w:r>
      <w:r w:rsidR="001A6428">
        <w:t>31</w:t>
      </w:r>
      <w:r>
        <w:fldChar w:fldCharType="end"/>
      </w:r>
    </w:p>
    <w:p w:rsidR="00575865" w:rsidRDefault="00575865" w:rsidP="00575865">
      <w:pPr>
        <w:pStyle w:val="TOC2"/>
        <w:rPr>
          <w:rFonts w:asciiTheme="minorHAnsi" w:eastAsiaTheme="minorEastAsia" w:hAnsiTheme="minorHAnsi" w:cstheme="minorBidi"/>
          <w:color w:val="auto"/>
          <w:sz w:val="22"/>
          <w:szCs w:val="22"/>
          <w:lang w:eastAsia="en-AU"/>
        </w:rPr>
      </w:pPr>
      <w:r>
        <w:t xml:space="preserve">How training and employment support actors understand and utilise </w:t>
      </w:r>
      <w:r>
        <w:br/>
        <w:t>workers’ existing skills in the transition process</w:t>
      </w:r>
      <w:r>
        <w:tab/>
      </w:r>
      <w:r>
        <w:fldChar w:fldCharType="begin"/>
      </w:r>
      <w:r>
        <w:instrText xml:space="preserve"> PAGEREF _Toc449707289 \h </w:instrText>
      </w:r>
      <w:r>
        <w:fldChar w:fldCharType="separate"/>
      </w:r>
      <w:r w:rsidR="001A6428">
        <w:t>33</w:t>
      </w:r>
      <w:r>
        <w:fldChar w:fldCharType="end"/>
      </w:r>
    </w:p>
    <w:p w:rsidR="00575865" w:rsidRDefault="00575865" w:rsidP="00575865">
      <w:pPr>
        <w:pStyle w:val="TOC1"/>
        <w:rPr>
          <w:rFonts w:asciiTheme="minorHAnsi" w:eastAsiaTheme="minorEastAsia" w:hAnsiTheme="minorHAnsi" w:cstheme="minorBidi"/>
          <w:color w:val="auto"/>
          <w:sz w:val="22"/>
          <w:szCs w:val="22"/>
          <w:lang w:eastAsia="en-AU"/>
        </w:rPr>
      </w:pPr>
      <w:r w:rsidRPr="00047538">
        <w:rPr>
          <w:rFonts w:eastAsia="Arial"/>
        </w:rPr>
        <w:t>Implications and considerations</w:t>
      </w:r>
      <w:r>
        <w:tab/>
      </w:r>
      <w:r>
        <w:fldChar w:fldCharType="begin"/>
      </w:r>
      <w:r>
        <w:instrText xml:space="preserve"> PAGEREF _Toc449707290 \h </w:instrText>
      </w:r>
      <w:r>
        <w:fldChar w:fldCharType="separate"/>
      </w:r>
      <w:r w:rsidR="001A6428">
        <w:t>36</w:t>
      </w:r>
      <w:r>
        <w:fldChar w:fldCharType="end"/>
      </w:r>
    </w:p>
    <w:p w:rsidR="00575865" w:rsidRDefault="00575865" w:rsidP="00575865">
      <w:pPr>
        <w:pStyle w:val="TOC2"/>
        <w:rPr>
          <w:rFonts w:asciiTheme="minorHAnsi" w:eastAsiaTheme="minorEastAsia" w:hAnsiTheme="minorHAnsi" w:cstheme="minorBidi"/>
          <w:color w:val="auto"/>
          <w:sz w:val="22"/>
          <w:szCs w:val="22"/>
          <w:lang w:eastAsia="en-AU"/>
        </w:rPr>
      </w:pPr>
      <w:r w:rsidRPr="00047538">
        <w:rPr>
          <w:rFonts w:eastAsia="Arial"/>
        </w:rPr>
        <w:t>Greater recognition and promotion of transferable skills</w:t>
      </w:r>
      <w:r>
        <w:tab/>
      </w:r>
      <w:r>
        <w:fldChar w:fldCharType="begin"/>
      </w:r>
      <w:r>
        <w:instrText xml:space="preserve"> PAGEREF _Toc449707291 \h </w:instrText>
      </w:r>
      <w:r>
        <w:fldChar w:fldCharType="separate"/>
      </w:r>
      <w:r w:rsidR="001A6428">
        <w:t>36</w:t>
      </w:r>
      <w:r>
        <w:fldChar w:fldCharType="end"/>
      </w:r>
    </w:p>
    <w:p w:rsidR="00575865" w:rsidRDefault="00575865" w:rsidP="00575865">
      <w:pPr>
        <w:pStyle w:val="TOC2"/>
        <w:rPr>
          <w:rFonts w:asciiTheme="minorHAnsi" w:eastAsiaTheme="minorEastAsia" w:hAnsiTheme="minorHAnsi" w:cstheme="minorBidi"/>
          <w:color w:val="auto"/>
          <w:sz w:val="22"/>
          <w:szCs w:val="22"/>
          <w:lang w:eastAsia="en-AU"/>
        </w:rPr>
      </w:pPr>
      <w:r w:rsidRPr="00047538">
        <w:rPr>
          <w:rFonts w:eastAsia="Arial"/>
        </w:rPr>
        <w:t>Promoting accreditation of skills</w:t>
      </w:r>
      <w:r>
        <w:tab/>
      </w:r>
      <w:r>
        <w:fldChar w:fldCharType="begin"/>
      </w:r>
      <w:r>
        <w:instrText xml:space="preserve"> PAGEREF _Toc449707292 \h </w:instrText>
      </w:r>
      <w:r>
        <w:fldChar w:fldCharType="separate"/>
      </w:r>
      <w:r w:rsidR="001A6428">
        <w:t>37</w:t>
      </w:r>
      <w:r>
        <w:fldChar w:fldCharType="end"/>
      </w:r>
    </w:p>
    <w:p w:rsidR="00575865" w:rsidRDefault="00575865" w:rsidP="00575865">
      <w:pPr>
        <w:pStyle w:val="TOC2"/>
        <w:rPr>
          <w:rFonts w:asciiTheme="minorHAnsi" w:eastAsiaTheme="minorEastAsia" w:hAnsiTheme="minorHAnsi" w:cstheme="minorBidi"/>
          <w:color w:val="auto"/>
          <w:sz w:val="22"/>
          <w:szCs w:val="22"/>
          <w:lang w:eastAsia="en-AU"/>
        </w:rPr>
      </w:pPr>
      <w:r w:rsidRPr="00047538">
        <w:rPr>
          <w:rFonts w:eastAsia="Arial"/>
        </w:rPr>
        <w:t>Improvements to training packages and the training system</w:t>
      </w:r>
      <w:r>
        <w:tab/>
      </w:r>
      <w:r>
        <w:fldChar w:fldCharType="begin"/>
      </w:r>
      <w:r>
        <w:instrText xml:space="preserve"> PAGEREF _Toc449707293 \h </w:instrText>
      </w:r>
      <w:r>
        <w:fldChar w:fldCharType="separate"/>
      </w:r>
      <w:r w:rsidR="001A6428">
        <w:t>37</w:t>
      </w:r>
      <w:r>
        <w:fldChar w:fldCharType="end"/>
      </w:r>
    </w:p>
    <w:p w:rsidR="00575865" w:rsidRDefault="00575865" w:rsidP="00575865">
      <w:pPr>
        <w:pStyle w:val="TOC2"/>
        <w:rPr>
          <w:rFonts w:asciiTheme="minorHAnsi" w:eastAsiaTheme="minorEastAsia" w:hAnsiTheme="minorHAnsi" w:cstheme="minorBidi"/>
          <w:color w:val="auto"/>
          <w:sz w:val="22"/>
          <w:szCs w:val="22"/>
          <w:lang w:eastAsia="en-AU"/>
        </w:rPr>
      </w:pPr>
      <w:r w:rsidRPr="00047538">
        <w:rPr>
          <w:rFonts w:eastAsia="Arial"/>
        </w:rPr>
        <w:t>Increased awareness and understanding of occupational clusters</w:t>
      </w:r>
      <w:r>
        <w:tab/>
      </w:r>
      <w:r>
        <w:fldChar w:fldCharType="begin"/>
      </w:r>
      <w:r>
        <w:instrText xml:space="preserve"> PAGEREF _Toc449707294 \h </w:instrText>
      </w:r>
      <w:r>
        <w:fldChar w:fldCharType="separate"/>
      </w:r>
      <w:r w:rsidR="001A6428">
        <w:t>38</w:t>
      </w:r>
      <w:r>
        <w:fldChar w:fldCharType="end"/>
      </w:r>
    </w:p>
    <w:p w:rsidR="00575865" w:rsidRDefault="00575865" w:rsidP="00575865">
      <w:pPr>
        <w:pStyle w:val="TOC2"/>
        <w:rPr>
          <w:rFonts w:asciiTheme="minorHAnsi" w:eastAsiaTheme="minorEastAsia" w:hAnsiTheme="minorHAnsi" w:cstheme="minorBidi"/>
          <w:color w:val="auto"/>
          <w:sz w:val="22"/>
          <w:szCs w:val="22"/>
          <w:lang w:eastAsia="en-AU"/>
        </w:rPr>
      </w:pPr>
      <w:r w:rsidRPr="00047538">
        <w:rPr>
          <w:rFonts w:eastAsia="Arial"/>
        </w:rPr>
        <w:t>Improved occupational and labour market analysis</w:t>
      </w:r>
      <w:r>
        <w:tab/>
      </w:r>
      <w:r>
        <w:fldChar w:fldCharType="begin"/>
      </w:r>
      <w:r>
        <w:instrText xml:space="preserve"> PAGEREF _Toc449707295 \h </w:instrText>
      </w:r>
      <w:r>
        <w:fldChar w:fldCharType="separate"/>
      </w:r>
      <w:r w:rsidR="001A6428">
        <w:t>38</w:t>
      </w:r>
      <w:r>
        <w:fldChar w:fldCharType="end"/>
      </w:r>
    </w:p>
    <w:p w:rsidR="00575865" w:rsidRDefault="00575865" w:rsidP="00575865">
      <w:pPr>
        <w:pStyle w:val="TOC2"/>
        <w:rPr>
          <w:rFonts w:asciiTheme="minorHAnsi" w:eastAsiaTheme="minorEastAsia" w:hAnsiTheme="minorHAnsi" w:cstheme="minorBidi"/>
          <w:color w:val="auto"/>
          <w:sz w:val="22"/>
          <w:szCs w:val="22"/>
          <w:lang w:eastAsia="en-AU"/>
        </w:rPr>
      </w:pPr>
      <w:r w:rsidRPr="00047538">
        <w:rPr>
          <w:rFonts w:cs="Arial"/>
          <w:color w:val="222222"/>
          <w:shd w:val="clear" w:color="auto" w:fill="FFFFFF"/>
        </w:rPr>
        <w:t>The development of a coordinated and collaborative worker in transitio</w:t>
      </w:r>
      <w:r>
        <w:rPr>
          <w:rFonts w:cs="Arial"/>
          <w:color w:val="222222"/>
          <w:shd w:val="clear" w:color="auto" w:fill="FFFFFF"/>
        </w:rPr>
        <w:br/>
      </w:r>
      <w:r w:rsidRPr="00047538">
        <w:rPr>
          <w:rFonts w:cs="Arial"/>
          <w:color w:val="222222"/>
          <w:shd w:val="clear" w:color="auto" w:fill="FFFFFF"/>
        </w:rPr>
        <w:t>program</w:t>
      </w:r>
      <w:r>
        <w:tab/>
      </w:r>
      <w:r>
        <w:fldChar w:fldCharType="begin"/>
      </w:r>
      <w:r>
        <w:instrText xml:space="preserve"> PAGEREF _Toc449707296 \h </w:instrText>
      </w:r>
      <w:r>
        <w:fldChar w:fldCharType="separate"/>
      </w:r>
      <w:r w:rsidR="001A6428">
        <w:t>39</w:t>
      </w:r>
      <w:r>
        <w:fldChar w:fldCharType="end"/>
      </w:r>
    </w:p>
    <w:p w:rsidR="00575865" w:rsidRDefault="00575865" w:rsidP="00575865">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_Toc449707297 \h </w:instrText>
      </w:r>
      <w:r>
        <w:fldChar w:fldCharType="separate"/>
      </w:r>
      <w:r w:rsidR="001A6428">
        <w:t>40</w:t>
      </w:r>
      <w:r>
        <w:fldChar w:fldCharType="end"/>
      </w:r>
    </w:p>
    <w:p w:rsidR="00575865" w:rsidRDefault="00575865" w:rsidP="00575865">
      <w:pPr>
        <w:pStyle w:val="TOC1"/>
        <w:rPr>
          <w:rFonts w:asciiTheme="minorHAnsi" w:eastAsiaTheme="minorEastAsia" w:hAnsiTheme="minorHAnsi" w:cstheme="minorBidi"/>
          <w:color w:val="auto"/>
          <w:sz w:val="22"/>
          <w:szCs w:val="22"/>
          <w:lang w:eastAsia="en-AU"/>
        </w:rPr>
      </w:pPr>
      <w:r>
        <w:t>NVETR Program funding</w:t>
      </w:r>
      <w:r>
        <w:tab/>
      </w:r>
      <w:r>
        <w:fldChar w:fldCharType="begin"/>
      </w:r>
      <w:r>
        <w:instrText xml:space="preserve"> PAGEREF _Toc449707298 \h </w:instrText>
      </w:r>
      <w:r>
        <w:fldChar w:fldCharType="separate"/>
      </w:r>
      <w:r w:rsidR="001A6428">
        <w:t>42</w:t>
      </w:r>
      <w:r>
        <w:fldChar w:fldCharType="end"/>
      </w:r>
    </w:p>
    <w:p w:rsidR="00ED0C08" w:rsidRPr="00E96514" w:rsidRDefault="00BA1555" w:rsidP="00575865">
      <w:pPr>
        <w:pStyle w:val="Text"/>
        <w:tabs>
          <w:tab w:val="right" w:pos="6804"/>
        </w:tabs>
        <w:rPr>
          <w:b/>
        </w:rPr>
      </w:pPr>
      <w:r>
        <w:rPr>
          <w:rFonts w:ascii="Avant Garde" w:hAnsi="Avant Garde"/>
          <w:noProof/>
          <w:color w:val="000000"/>
          <w:szCs w:val="19"/>
        </w:rPr>
        <w:fldChar w:fldCharType="end"/>
      </w:r>
      <w:r w:rsidR="00ED0C08" w:rsidRPr="00156177">
        <w:rPr>
          <w:b/>
          <w:color w:val="C00000"/>
        </w:rPr>
        <w:br w:type="page"/>
      </w:r>
    </w:p>
    <w:p w:rsidR="00DB7CA4" w:rsidRPr="00DB7CA4" w:rsidRDefault="00ED0C08" w:rsidP="00A6673C">
      <w:pPr>
        <w:pStyle w:val="Heading1"/>
      </w:pPr>
      <w:bookmarkStart w:id="17" w:name="_Toc316371579"/>
      <w:bookmarkStart w:id="18" w:name="_Toc436511660"/>
      <w:bookmarkStart w:id="19" w:name="_Toc449707278"/>
      <w:r w:rsidRPr="00E7423E">
        <w:t>Tables and figures</w:t>
      </w:r>
      <w:bookmarkStart w:id="20" w:name="_Toc296497516"/>
      <w:bookmarkStart w:id="21" w:name="_Toc298162801"/>
      <w:bookmarkStart w:id="22" w:name="_Toc316371580"/>
      <w:bookmarkEnd w:id="17"/>
      <w:bookmarkEnd w:id="18"/>
      <w:bookmarkEnd w:id="19"/>
    </w:p>
    <w:p w:rsidR="00ED0C08" w:rsidRDefault="00ED0C08" w:rsidP="00111214">
      <w:pPr>
        <w:pStyle w:val="Heading2"/>
      </w:pPr>
      <w:bookmarkStart w:id="23" w:name="_Toc436511661"/>
      <w:bookmarkStart w:id="24" w:name="_Toc449707279"/>
      <w:r>
        <w:t>Tables</w:t>
      </w:r>
      <w:bookmarkEnd w:id="20"/>
      <w:bookmarkEnd w:id="21"/>
      <w:bookmarkEnd w:id="22"/>
      <w:bookmarkEnd w:id="23"/>
      <w:bookmarkEnd w:id="24"/>
    </w:p>
    <w:p w:rsidR="008A35D2" w:rsidRDefault="00BA1555" w:rsidP="003B0A94">
      <w:pPr>
        <w:pStyle w:val="TableofFigures"/>
        <w:tabs>
          <w:tab w:val="clear" w:pos="284"/>
          <w:tab w:val="left" w:pos="426"/>
        </w:tabs>
        <w:spacing w:before="0"/>
        <w:ind w:right="1985"/>
        <w:rPr>
          <w:rFonts w:asciiTheme="minorHAnsi" w:eastAsiaTheme="minorEastAsia" w:hAnsiTheme="minorHAnsi" w:cstheme="minorBidi"/>
          <w:color w:val="auto"/>
          <w:sz w:val="22"/>
          <w:szCs w:val="22"/>
          <w:lang w:eastAsia="en-AU"/>
        </w:rPr>
      </w:pPr>
      <w:r w:rsidRPr="00C34DAB">
        <w:rPr>
          <w:b/>
          <w:bCs/>
          <w:lang w:val="en-US"/>
        </w:rPr>
        <w:fldChar w:fldCharType="begin"/>
      </w:r>
      <w:r w:rsidR="00ED0C08" w:rsidRPr="00C34DAB">
        <w:rPr>
          <w:b/>
          <w:bCs/>
          <w:lang w:val="en-US"/>
        </w:rPr>
        <w:instrText xml:space="preserve"> TOC \f F \t "tabletitle" \c </w:instrText>
      </w:r>
      <w:r w:rsidRPr="00C34DAB">
        <w:rPr>
          <w:b/>
          <w:bCs/>
          <w:lang w:val="en-US"/>
        </w:rPr>
        <w:fldChar w:fldCharType="separate"/>
      </w:r>
      <w:r w:rsidR="008A35D2" w:rsidRPr="008D5BC8">
        <w:rPr>
          <w:rFonts w:eastAsia="Tahoma" w:cs="Tahoma"/>
        </w:rPr>
        <w:t>1</w:t>
      </w:r>
      <w:r w:rsidR="003B0A94">
        <w:rPr>
          <w:rFonts w:eastAsia="Tahoma" w:cs="Tahoma"/>
        </w:rPr>
        <w:tab/>
      </w:r>
      <w:r w:rsidR="008A35D2" w:rsidRPr="008D5BC8">
        <w:rPr>
          <w:rFonts w:eastAsia="Tahoma" w:cs="Tahoma"/>
        </w:rPr>
        <w:t>Occupational growth and decline by skill levels,</w:t>
      </w:r>
      <w:r w:rsidR="005F21B1">
        <w:rPr>
          <w:rFonts w:eastAsia="Tahoma" w:cs="Tahoma"/>
        </w:rPr>
        <w:t xml:space="preserve"> </w:t>
      </w:r>
      <w:r w:rsidR="008A35D2" w:rsidRPr="008D5BC8">
        <w:rPr>
          <w:rFonts w:eastAsia="Tahoma" w:cs="Tahoma"/>
        </w:rPr>
        <w:t>2006, 2011</w:t>
      </w:r>
      <w:r w:rsidR="008A35D2">
        <w:tab/>
      </w:r>
      <w:r>
        <w:fldChar w:fldCharType="begin"/>
      </w:r>
      <w:r w:rsidR="008A35D2">
        <w:instrText xml:space="preserve"> PAGEREF _Toc432142527 \h </w:instrText>
      </w:r>
      <w:r>
        <w:fldChar w:fldCharType="separate"/>
      </w:r>
      <w:r w:rsidR="001A6428">
        <w:t>20</w:t>
      </w:r>
      <w:r>
        <w:fldChar w:fldCharType="end"/>
      </w:r>
    </w:p>
    <w:p w:rsidR="00C34DAB" w:rsidRPr="00C34DAB" w:rsidRDefault="00BA1555" w:rsidP="00870BA3">
      <w:pPr>
        <w:pStyle w:val="TableofFigures"/>
        <w:tabs>
          <w:tab w:val="clear" w:pos="284"/>
        </w:tabs>
        <w:rPr>
          <w:b/>
          <w:bCs/>
          <w:lang w:val="en-US"/>
        </w:rPr>
      </w:pPr>
      <w:r w:rsidRPr="00C34DAB">
        <w:rPr>
          <w:b/>
          <w:bCs/>
          <w:lang w:val="en-US"/>
        </w:rPr>
        <w:fldChar w:fldCharType="end"/>
      </w:r>
      <w:bookmarkStart w:id="25" w:name="_Toc296497517"/>
      <w:bookmarkStart w:id="26" w:name="_Toc298162802"/>
      <w:bookmarkStart w:id="27" w:name="_Toc316371581"/>
    </w:p>
    <w:p w:rsidR="008A35D2" w:rsidRDefault="00ED0C08" w:rsidP="00ED0C08">
      <w:pPr>
        <w:pStyle w:val="Heading2"/>
        <w:rPr>
          <w:noProof/>
        </w:rPr>
      </w:pPr>
      <w:bookmarkStart w:id="28" w:name="_Toc436511662"/>
      <w:bookmarkStart w:id="29" w:name="_Toc449707280"/>
      <w:r>
        <w:t>Figures</w:t>
      </w:r>
      <w:bookmarkEnd w:id="25"/>
      <w:bookmarkEnd w:id="26"/>
      <w:bookmarkEnd w:id="27"/>
      <w:bookmarkEnd w:id="28"/>
      <w:bookmarkEnd w:id="29"/>
      <w:r w:rsidR="00BA1555">
        <w:rPr>
          <w:rFonts w:ascii="Garamond" w:hAnsi="Garamond"/>
          <w:sz w:val="22"/>
        </w:rPr>
        <w:fldChar w:fldCharType="begin"/>
      </w:r>
      <w:r>
        <w:instrText xml:space="preserve"> TOC \t "Figuretitle" \c </w:instrText>
      </w:r>
      <w:r w:rsidR="00BA1555">
        <w:rPr>
          <w:rFonts w:ascii="Garamond" w:hAnsi="Garamond"/>
          <w:sz w:val="22"/>
        </w:rPr>
        <w:fldChar w:fldCharType="separate"/>
      </w:r>
    </w:p>
    <w:p w:rsidR="008A35D2" w:rsidRDefault="008A35D2" w:rsidP="003B0A94">
      <w:pPr>
        <w:pStyle w:val="TableofFigures"/>
        <w:tabs>
          <w:tab w:val="clear" w:pos="284"/>
          <w:tab w:val="left" w:pos="426"/>
        </w:tabs>
        <w:spacing w:before="0"/>
        <w:ind w:right="1985"/>
        <w:rPr>
          <w:rFonts w:eastAsia="Tahoma"/>
        </w:rPr>
      </w:pPr>
      <w:r w:rsidRPr="0085494A">
        <w:rPr>
          <w:rFonts w:eastAsia="Tahoma"/>
        </w:rPr>
        <w:t>1</w:t>
      </w:r>
      <w:r w:rsidR="003B0A94">
        <w:rPr>
          <w:rFonts w:eastAsia="Tahoma"/>
        </w:rPr>
        <w:tab/>
      </w:r>
      <w:r w:rsidRPr="0085494A">
        <w:rPr>
          <w:rFonts w:eastAsia="Tahoma"/>
        </w:rPr>
        <w:t>Disposition of soft, generic hard and specific hard skills</w:t>
      </w:r>
    </w:p>
    <w:p w:rsidR="008A35D2" w:rsidRPr="008A35D2" w:rsidRDefault="003B0A94" w:rsidP="002B18EC">
      <w:pPr>
        <w:pStyle w:val="TableofFigures"/>
        <w:spacing w:before="0" w:line="240" w:lineRule="auto"/>
        <w:ind w:right="1985"/>
        <w:rPr>
          <w:rFonts w:eastAsia="Tahoma"/>
        </w:rPr>
      </w:pPr>
      <w:r>
        <w:rPr>
          <w:rFonts w:eastAsia="Tahoma"/>
        </w:rPr>
        <w:t xml:space="preserve">       </w:t>
      </w:r>
      <w:r w:rsidR="008A35D2" w:rsidRPr="0085494A">
        <w:rPr>
          <w:rFonts w:eastAsia="Tahoma"/>
        </w:rPr>
        <w:t>in occupations</w:t>
      </w:r>
      <w:r w:rsidR="008A35D2">
        <w:tab/>
      </w:r>
      <w:r w:rsidR="00BA1555">
        <w:fldChar w:fldCharType="begin"/>
      </w:r>
      <w:r w:rsidR="008A35D2">
        <w:instrText xml:space="preserve"> PAGEREF _Toc432142530 \h </w:instrText>
      </w:r>
      <w:r w:rsidR="00BA1555">
        <w:fldChar w:fldCharType="separate"/>
      </w:r>
      <w:r w:rsidR="001A6428">
        <w:t>25</w:t>
      </w:r>
      <w:r w:rsidR="00BA1555">
        <w:fldChar w:fldCharType="end"/>
      </w:r>
    </w:p>
    <w:p w:rsidR="008A35D2" w:rsidRDefault="008A35D2" w:rsidP="003B0A94">
      <w:pPr>
        <w:pStyle w:val="TableofFigures"/>
        <w:tabs>
          <w:tab w:val="clear" w:pos="284"/>
          <w:tab w:val="left" w:pos="426"/>
          <w:tab w:val="left" w:pos="950"/>
        </w:tabs>
        <w:rPr>
          <w:rFonts w:asciiTheme="minorHAnsi" w:eastAsiaTheme="minorEastAsia" w:hAnsiTheme="minorHAnsi" w:cstheme="minorBidi"/>
          <w:color w:val="auto"/>
          <w:sz w:val="22"/>
          <w:szCs w:val="22"/>
          <w:lang w:eastAsia="en-AU"/>
        </w:rPr>
      </w:pPr>
      <w:r>
        <w:t>2</w:t>
      </w:r>
      <w:r w:rsidR="003B0A94">
        <w:rPr>
          <w:rFonts w:asciiTheme="minorHAnsi" w:eastAsiaTheme="minorEastAsia" w:hAnsiTheme="minorHAnsi" w:cstheme="minorBidi"/>
          <w:color w:val="auto"/>
          <w:sz w:val="22"/>
          <w:szCs w:val="22"/>
          <w:lang w:eastAsia="en-AU"/>
        </w:rPr>
        <w:tab/>
      </w:r>
      <w:r>
        <w:t>Occupational clusters</w:t>
      </w:r>
      <w:r>
        <w:tab/>
      </w:r>
      <w:r w:rsidR="00BA1555">
        <w:fldChar w:fldCharType="begin"/>
      </w:r>
      <w:r>
        <w:instrText xml:space="preserve"> PAGEREF _Toc432142531 \h </w:instrText>
      </w:r>
      <w:r w:rsidR="00BA1555">
        <w:fldChar w:fldCharType="separate"/>
      </w:r>
      <w:r w:rsidR="001A6428">
        <w:t>28</w:t>
      </w:r>
      <w:r w:rsidR="00BA1555">
        <w:fldChar w:fldCharType="end"/>
      </w:r>
    </w:p>
    <w:p w:rsidR="008A35D2" w:rsidRDefault="008A35D2" w:rsidP="003B0A94">
      <w:pPr>
        <w:pStyle w:val="TableofFigures"/>
        <w:tabs>
          <w:tab w:val="clear" w:pos="284"/>
          <w:tab w:val="left" w:pos="426"/>
        </w:tabs>
        <w:spacing w:before="0"/>
        <w:ind w:right="1701"/>
        <w:rPr>
          <w:rFonts w:asciiTheme="minorHAnsi" w:eastAsiaTheme="minorEastAsia" w:hAnsiTheme="minorHAnsi" w:cstheme="minorBidi"/>
          <w:color w:val="auto"/>
          <w:sz w:val="22"/>
          <w:szCs w:val="22"/>
          <w:lang w:eastAsia="en-AU"/>
        </w:rPr>
      </w:pPr>
      <w:r w:rsidRPr="0085494A">
        <w:rPr>
          <w:rFonts w:eastAsia="Tahoma"/>
        </w:rPr>
        <w:t>3</w:t>
      </w:r>
      <w:r w:rsidR="003B0A94">
        <w:rPr>
          <w:rFonts w:eastAsia="Tahoma"/>
        </w:rPr>
        <w:tab/>
      </w:r>
      <w:r w:rsidRPr="0085494A">
        <w:rPr>
          <w:rFonts w:eastAsia="Tahoma"/>
        </w:rPr>
        <w:t>Redundancy and the actors involved in employment</w:t>
      </w:r>
      <w:r w:rsidR="005F21B1">
        <w:rPr>
          <w:rFonts w:eastAsia="Tahoma"/>
        </w:rPr>
        <w:t xml:space="preserve"> </w:t>
      </w:r>
      <w:r w:rsidRPr="0085494A">
        <w:rPr>
          <w:rFonts w:eastAsia="Tahoma"/>
        </w:rPr>
        <w:t>transition</w:t>
      </w:r>
      <w:r>
        <w:tab/>
      </w:r>
      <w:r w:rsidR="00BA1555">
        <w:fldChar w:fldCharType="begin"/>
      </w:r>
      <w:r>
        <w:instrText xml:space="preserve"> PAGEREF _Toc432142532 \h </w:instrText>
      </w:r>
      <w:r w:rsidR="00BA1555">
        <w:fldChar w:fldCharType="separate"/>
      </w:r>
      <w:r w:rsidR="001A6428">
        <w:t>31</w:t>
      </w:r>
      <w:r w:rsidR="00BA1555">
        <w:fldChar w:fldCharType="end"/>
      </w:r>
    </w:p>
    <w:p w:rsidR="00ED0C08" w:rsidRPr="00E96514" w:rsidRDefault="00BA1555" w:rsidP="008A35D2">
      <w:pPr>
        <w:pStyle w:val="TableofFigures"/>
        <w:tabs>
          <w:tab w:val="clear" w:pos="284"/>
          <w:tab w:val="clear" w:pos="6804"/>
          <w:tab w:val="left" w:pos="1350"/>
        </w:tabs>
      </w:pPr>
      <w:r>
        <w:fldChar w:fldCharType="end"/>
      </w:r>
      <w:r w:rsidR="008A35D2">
        <w:tab/>
      </w:r>
    </w:p>
    <w:p w:rsidR="00225424" w:rsidRDefault="00225424">
      <w:pPr>
        <w:spacing w:before="0" w:line="240" w:lineRule="auto"/>
        <w:rPr>
          <w:rFonts w:ascii="Arial" w:hAnsi="Arial" w:cs="Tahoma"/>
          <w:color w:val="000000"/>
          <w:kern w:val="28"/>
          <w:sz w:val="48"/>
          <w:szCs w:val="56"/>
        </w:rPr>
      </w:pPr>
      <w:bookmarkStart w:id="30" w:name="_Toc275542999"/>
      <w:bookmarkStart w:id="31" w:name="_Toc416260886"/>
      <w:bookmarkEnd w:id="0"/>
      <w:bookmarkEnd w:id="1"/>
      <w:bookmarkEnd w:id="2"/>
      <w:bookmarkEnd w:id="3"/>
      <w:r>
        <w:br w:type="page"/>
      </w:r>
    </w:p>
    <w:p w:rsidR="00A10A13" w:rsidRPr="00863ED4" w:rsidRDefault="00AF100C" w:rsidP="00863ED4">
      <w:pPr>
        <w:pStyle w:val="Heading1"/>
      </w:pPr>
      <w:bookmarkStart w:id="32" w:name="_Toc449707281"/>
      <w:r w:rsidRPr="00AF100C">
        <w:rPr>
          <w:noProof/>
          <w:lang w:eastAsia="en-AU"/>
        </w:rPr>
        <w:drawing>
          <wp:anchor distT="0" distB="0" distL="114300" distR="114300" simplePos="0" relativeHeight="252109824" behindDoc="1" locked="0" layoutInCell="1" allowOverlap="1" wp14:anchorId="32E0AFB2" wp14:editId="70C1032C">
            <wp:simplePos x="0" y="0"/>
            <wp:positionH relativeFrom="column">
              <wp:posOffset>-15240</wp:posOffset>
            </wp:positionH>
            <wp:positionV relativeFrom="paragraph">
              <wp:posOffset>-38735</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61" name="Picture 61"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A10A13" w:rsidRPr="00863ED4">
        <w:t>Executive summary</w:t>
      </w:r>
      <w:bookmarkEnd w:id="32"/>
      <w:r w:rsidR="00A10A13" w:rsidRPr="00863ED4">
        <w:t xml:space="preserve"> </w:t>
      </w:r>
    </w:p>
    <w:p w:rsidR="00A10A13" w:rsidRDefault="00DB7CA4" w:rsidP="00111214">
      <w:pPr>
        <w:pStyle w:val="Heading3"/>
      </w:pPr>
      <w:r>
        <w:t>Background and research a</w:t>
      </w:r>
      <w:r w:rsidR="00A10A13">
        <w:t>ims</w:t>
      </w:r>
    </w:p>
    <w:p w:rsidR="00FC5A45" w:rsidRDefault="00FC5A45" w:rsidP="00FC5A45">
      <w:pPr>
        <w:pStyle w:val="Text"/>
      </w:pPr>
      <w:r>
        <w:t xml:space="preserve">This study arose from concerns in policy and academic debates </w:t>
      </w:r>
      <w:r w:rsidR="00215FED">
        <w:t>relating to</w:t>
      </w:r>
      <w:r w:rsidR="00292B52">
        <w:t xml:space="preserve"> the most appropriate means </w:t>
      </w:r>
      <w:r w:rsidR="003B0A94">
        <w:t>of</w:t>
      </w:r>
      <w:r w:rsidR="00292B52">
        <w:t xml:space="preserve"> responding to </w:t>
      </w:r>
      <w:r w:rsidR="001C6537">
        <w:t>Australia</w:t>
      </w:r>
      <w:r w:rsidR="00292B52">
        <w:t xml:space="preserve">’s </w:t>
      </w:r>
      <w:r>
        <w:t xml:space="preserve">rapidly changing economy. The major industrial transformation that has taken place </w:t>
      </w:r>
      <w:r w:rsidR="00292B52">
        <w:t xml:space="preserve">in this country </w:t>
      </w:r>
      <w:r>
        <w:t>in recent decades has resulted in the decline of some established industries (</w:t>
      </w:r>
      <w:r w:rsidR="001C6537">
        <w:t>for example, m</w:t>
      </w:r>
      <w:r>
        <w:t>anufacturing) and the growth of others (</w:t>
      </w:r>
      <w:r w:rsidR="001C6537">
        <w:t>for example,</w:t>
      </w:r>
      <w:r>
        <w:t xml:space="preserve"> </w:t>
      </w:r>
      <w:r w:rsidR="001C6537">
        <w:t>health and community service</w:t>
      </w:r>
      <w:r>
        <w:t xml:space="preserve">s), simultaneously causing job loss and skills shortages. It has been argued that in </w:t>
      </w:r>
      <w:r w:rsidR="002D49AA">
        <w:t>situations such as this</w:t>
      </w:r>
      <w:r>
        <w:t xml:space="preserve"> cross-occupational mobility </w:t>
      </w:r>
      <w:r w:rsidR="00292B52">
        <w:t>provides the</w:t>
      </w:r>
      <w:r>
        <w:t xml:space="preserve"> vital </w:t>
      </w:r>
      <w:r w:rsidR="00292B52">
        <w:t>flexibility that</w:t>
      </w:r>
      <w:r>
        <w:t xml:space="preserve"> </w:t>
      </w:r>
      <w:r w:rsidR="001C6537">
        <w:t>enabl</w:t>
      </w:r>
      <w:r w:rsidR="00292B52">
        <w:t>es</w:t>
      </w:r>
      <w:r w:rsidR="001C6537">
        <w:t xml:space="preserve"> </w:t>
      </w:r>
      <w:r>
        <w:t xml:space="preserve">employers and workers to meet varying employment demands (Bernhardt et al. 2001; Sabirianova 2002). Such a perspective calls for a clear understanding of the concept </w:t>
      </w:r>
      <w:r w:rsidR="002D49AA">
        <w:t xml:space="preserve">of </w:t>
      </w:r>
      <w:r>
        <w:t xml:space="preserve">and potential for cross-occupational skills transferability between declining and growing occupations, as well as an awareness of how it currently works in practice. This study, therefore, has aimed to highlight the barriers and enablers to skills transferability, while exploring the potential benefits from </w:t>
      </w:r>
      <w:r w:rsidR="00292B52">
        <w:t>its</w:t>
      </w:r>
      <w:r>
        <w:t xml:space="preserve"> effective development and utilisation.</w:t>
      </w:r>
    </w:p>
    <w:p w:rsidR="009D2D27" w:rsidRPr="007476D9" w:rsidRDefault="009D2D27" w:rsidP="009D2D27">
      <w:pPr>
        <w:pStyle w:val="Text"/>
      </w:pPr>
      <w:r w:rsidRPr="007476D9">
        <w:t>A particular emphasis of the study is on the role of transferable skills (that is, those that can be adapted to different jobs, occupations and industry settings) i</w:t>
      </w:r>
      <w:r w:rsidR="009F531E" w:rsidRPr="007476D9">
        <w:t>n cross-occupational mobility during</w:t>
      </w:r>
      <w:r w:rsidRPr="007476D9">
        <w:t xml:space="preserve"> times of industrial restructuring.</w:t>
      </w:r>
      <w:r w:rsidR="009F531E" w:rsidRPr="007476D9">
        <w:t xml:space="preserve"> All workers possess transferable skills to some degree but their awareness and understanding of these skills varies considerably, which limits their ability to see how these skills can be applied to different occupational contexts. The study also explores</w:t>
      </w:r>
      <w:r w:rsidR="000F580E" w:rsidRPr="007476D9">
        <w:t xml:space="preserve"> how effective skills transferability can be managed during employment transition and the ability of the </w:t>
      </w:r>
      <w:r w:rsidR="003B0A94">
        <w:t>vocational education and training (</w:t>
      </w:r>
      <w:r w:rsidR="000F580E" w:rsidRPr="007476D9">
        <w:t>VET</w:t>
      </w:r>
      <w:r w:rsidR="003B0A94">
        <w:t>)</w:t>
      </w:r>
      <w:r w:rsidR="000F580E" w:rsidRPr="007476D9">
        <w:t xml:space="preserve"> system to produce</w:t>
      </w:r>
      <w:r w:rsidR="003B0A94">
        <w:t xml:space="preserve"> transferable</w:t>
      </w:r>
      <w:r w:rsidR="000F580E" w:rsidRPr="007476D9">
        <w:t xml:space="preserve"> skills.</w:t>
      </w:r>
    </w:p>
    <w:p w:rsidR="00A10A13" w:rsidRDefault="00DB7CA4" w:rsidP="00111214">
      <w:pPr>
        <w:pStyle w:val="Heading3"/>
      </w:pPr>
      <w:r>
        <w:t>Study m</w:t>
      </w:r>
      <w:r w:rsidR="00A10A13">
        <w:t xml:space="preserve">ethods  </w:t>
      </w:r>
    </w:p>
    <w:p w:rsidR="00A10A13" w:rsidRDefault="00A10A13" w:rsidP="00111214">
      <w:pPr>
        <w:pStyle w:val="Text"/>
      </w:pPr>
      <w:r>
        <w:t xml:space="preserve">The study adopted an integrated multi-method, multi-stage </w:t>
      </w:r>
      <w:r w:rsidR="00FC5A45">
        <w:t>approach</w:t>
      </w:r>
      <w:r>
        <w:t>, comprising both qualitative and quantitative instruments. The primary intention was to capture:</w:t>
      </w:r>
    </w:p>
    <w:p w:rsidR="00A10A13" w:rsidRDefault="001C6537" w:rsidP="00856034">
      <w:pPr>
        <w:pStyle w:val="Dotpoint1"/>
        <w:tabs>
          <w:tab w:val="clear" w:pos="284"/>
        </w:tabs>
        <w:spacing w:before="80"/>
        <w:ind w:left="357" w:hanging="357"/>
      </w:pPr>
      <w:r>
        <w:t>c</w:t>
      </w:r>
      <w:r w:rsidR="00A10A13">
        <w:t>hanging occupational and skills demand in the Australian economy in the prevailing context of economic tran</w:t>
      </w:r>
      <w:r>
        <w:t>sformation</w:t>
      </w:r>
    </w:p>
    <w:p w:rsidR="00A10A13" w:rsidRDefault="001C6537" w:rsidP="00856034">
      <w:pPr>
        <w:pStyle w:val="Dotpoint1"/>
        <w:tabs>
          <w:tab w:val="clear" w:pos="284"/>
        </w:tabs>
        <w:spacing w:before="80"/>
        <w:ind w:left="357" w:hanging="357"/>
      </w:pPr>
      <w:r>
        <w:t>t</w:t>
      </w:r>
      <w:r w:rsidR="00A10A13">
        <w:t xml:space="preserve">he </w:t>
      </w:r>
      <w:r w:rsidR="003B0A94">
        <w:t>capability</w:t>
      </w:r>
      <w:r w:rsidR="00A10A13">
        <w:t xml:space="preserve"> of the VET system to </w:t>
      </w:r>
      <w:r w:rsidR="002D49AA">
        <w:t>facilitate</w:t>
      </w:r>
      <w:r w:rsidR="00292B52">
        <w:t xml:space="preserve"> the </w:t>
      </w:r>
      <w:r w:rsidR="00A10A13">
        <w:t>develop</w:t>
      </w:r>
      <w:r w:rsidR="00292B52">
        <w:t>ment of</w:t>
      </w:r>
      <w:r w:rsidR="00A10A13">
        <w:t xml:space="preserve"> </w:t>
      </w:r>
      <w:r>
        <w:t xml:space="preserve">the </w:t>
      </w:r>
      <w:r w:rsidR="00A10A13">
        <w:t xml:space="preserve">transferable skills needed </w:t>
      </w:r>
      <w:r>
        <w:t>for cross-occupational mobility</w:t>
      </w:r>
    </w:p>
    <w:p w:rsidR="00A10A13" w:rsidRDefault="001C6537" w:rsidP="00856034">
      <w:pPr>
        <w:pStyle w:val="Dotpoint1"/>
        <w:tabs>
          <w:tab w:val="clear" w:pos="284"/>
        </w:tabs>
        <w:spacing w:before="80"/>
        <w:ind w:left="357" w:hanging="357"/>
      </w:pPr>
      <w:r>
        <w:t>r</w:t>
      </w:r>
      <w:r w:rsidR="00A10A13">
        <w:t>etrenched workers’ understanding of the potential of their skills and how they can be used i</w:t>
      </w:r>
      <w:r>
        <w:t>n other occupational contexts</w:t>
      </w:r>
    </w:p>
    <w:p w:rsidR="00A10A13" w:rsidRDefault="001C6537" w:rsidP="00856034">
      <w:pPr>
        <w:pStyle w:val="Dotpoint1"/>
        <w:tabs>
          <w:tab w:val="clear" w:pos="284"/>
        </w:tabs>
        <w:spacing w:before="80"/>
        <w:ind w:left="357" w:hanging="357"/>
      </w:pPr>
      <w:r>
        <w:t>t</w:t>
      </w:r>
      <w:r w:rsidR="00A10A13">
        <w:t>he process</w:t>
      </w:r>
      <w:r w:rsidR="002D49AA">
        <w:t>es</w:t>
      </w:r>
      <w:r w:rsidR="00A10A13">
        <w:t xml:space="preserve"> undertaken by </w:t>
      </w:r>
      <w:r w:rsidR="00292B52">
        <w:t xml:space="preserve">those </w:t>
      </w:r>
      <w:r w:rsidR="00B16314">
        <w:t>that play a role</w:t>
      </w:r>
      <w:r w:rsidR="00292B52">
        <w:t xml:space="preserve"> in </w:t>
      </w:r>
      <w:r w:rsidR="00A10A13">
        <w:t xml:space="preserve">training and </w:t>
      </w:r>
      <w:r w:rsidR="00292B52">
        <w:t xml:space="preserve">in </w:t>
      </w:r>
      <w:r w:rsidR="00A10A13">
        <w:t>employment facilitation in transitioning retrenched workers to new occupations and how the</w:t>
      </w:r>
      <w:r w:rsidR="008A16C1">
        <w:t xml:space="preserve">se actors </w:t>
      </w:r>
      <w:r w:rsidR="00A10A13">
        <w:t>apply the concept of transferable skills.</w:t>
      </w:r>
    </w:p>
    <w:p w:rsidR="00FC5A45" w:rsidRDefault="00A10A13" w:rsidP="00111214">
      <w:pPr>
        <w:pStyle w:val="Text"/>
      </w:pPr>
      <w:r>
        <w:t>Data w</w:t>
      </w:r>
      <w:r w:rsidR="001C6537">
        <w:t>ere</w:t>
      </w:r>
      <w:r>
        <w:t xml:space="preserve"> collected and analysed in three integrated stages. In the first stage a secondary analysis of </w:t>
      </w:r>
      <w:r w:rsidR="001C6537">
        <w:t>data from the Australian Bureau of Statistics (</w:t>
      </w:r>
      <w:r>
        <w:t>ABS</w:t>
      </w:r>
      <w:r w:rsidR="001C6537">
        <w:t>)</w:t>
      </w:r>
      <w:r w:rsidR="00292B52">
        <w:t xml:space="preserve"> </w:t>
      </w:r>
      <w:r w:rsidR="003B0A94">
        <w:t>C</w:t>
      </w:r>
      <w:r>
        <w:t>ensus and</w:t>
      </w:r>
      <w:r w:rsidR="00292B52">
        <w:t xml:space="preserve"> labour force </w:t>
      </w:r>
      <w:r>
        <w:t>survey</w:t>
      </w:r>
      <w:r w:rsidR="00292B52">
        <w:t>s</w:t>
      </w:r>
      <w:r>
        <w:t xml:space="preserve"> was conducted to determine how the Australian economy has changed over the past decade, with specific reference to declining and growing industries and occupations. Stage two involved an in-depth examination of the design and con</w:t>
      </w:r>
      <w:r w:rsidR="001B65F0">
        <w:t>tent of selected qualifications</w:t>
      </w:r>
      <w:r>
        <w:t xml:space="preserve"> associated with the identified declining and growing occupations, </w:t>
      </w:r>
      <w:r w:rsidR="001B65F0">
        <w:t xml:space="preserve">the aim being </w:t>
      </w:r>
      <w:r>
        <w:t xml:space="preserve">to determine the extent to which the VET system facilitates or impedes cross-occupational skills transfer. In stage </w:t>
      </w:r>
      <w:r w:rsidR="0037667C">
        <w:t xml:space="preserve">three </w:t>
      </w:r>
      <w:r>
        <w:t>a qualitative ca</w:t>
      </w:r>
      <w:r w:rsidR="00416A8F">
        <w:t xml:space="preserve">se </w:t>
      </w:r>
      <w:r w:rsidR="001B65F0">
        <w:t>study analysis was conducted</w:t>
      </w:r>
      <w:r w:rsidR="002D49AA">
        <w:t xml:space="preserve"> and involved</w:t>
      </w:r>
      <w:r w:rsidR="001B65F0">
        <w:t xml:space="preserve"> documentary analyse</w:t>
      </w:r>
      <w:r>
        <w:t>s and semi-structured interviews</w:t>
      </w:r>
      <w:r w:rsidR="00292B52">
        <w:t xml:space="preserve"> with workers, employers and</w:t>
      </w:r>
      <w:r>
        <w:t xml:space="preserve"> </w:t>
      </w:r>
      <w:r w:rsidR="00292B52">
        <w:t xml:space="preserve">representatives from </w:t>
      </w:r>
      <w:r>
        <w:t xml:space="preserve">unions, </w:t>
      </w:r>
      <w:r w:rsidR="00292B52">
        <w:t xml:space="preserve">the </w:t>
      </w:r>
      <w:r>
        <w:t>training system and job support agencies (</w:t>
      </w:r>
      <w:r w:rsidR="001C6537">
        <w:t>for example,</w:t>
      </w:r>
      <w:r>
        <w:t xml:space="preserve"> Jobactive) to examine how skills transferability works in situations </w:t>
      </w:r>
      <w:r w:rsidR="00FC5A45">
        <w:t>where</w:t>
      </w:r>
      <w:r>
        <w:t xml:space="preserve"> workers are confronting uncertain occupational futures. </w:t>
      </w:r>
    </w:p>
    <w:p w:rsidR="00A10A13" w:rsidRDefault="00DB7CA4" w:rsidP="00111214">
      <w:pPr>
        <w:pStyle w:val="Heading3"/>
      </w:pPr>
      <w:r>
        <w:t>Study f</w:t>
      </w:r>
      <w:r w:rsidR="00A10A13">
        <w:t>indings</w:t>
      </w:r>
    </w:p>
    <w:p w:rsidR="00A10A13" w:rsidRDefault="00A10A13" w:rsidP="00111214">
      <w:pPr>
        <w:pStyle w:val="Text"/>
      </w:pPr>
      <w:r>
        <w:t xml:space="preserve">A number of key findings emerged from the </w:t>
      </w:r>
      <w:r w:rsidR="00292B52">
        <w:t>investigation into</w:t>
      </w:r>
      <w:r w:rsidR="001B65F0">
        <w:t xml:space="preserve"> </w:t>
      </w:r>
      <w:r>
        <w:t xml:space="preserve">the three broad areas of research </w:t>
      </w:r>
      <w:r w:rsidR="00292B52">
        <w:t>interest:</w:t>
      </w:r>
      <w:r w:rsidR="001B65F0">
        <w:t xml:space="preserve"> </w:t>
      </w:r>
      <w:r>
        <w:t>the occupational consequences of recent</w:t>
      </w:r>
      <w:r w:rsidR="001B65F0">
        <w:t xml:space="preserve"> industrial restructuring;</w:t>
      </w:r>
      <w:r>
        <w:t xml:space="preserve"> the role and capacity of the VET system in </w:t>
      </w:r>
      <w:r w:rsidR="001B65F0">
        <w:t>cultivating transferable skills;</w:t>
      </w:r>
      <w:r>
        <w:t xml:space="preserve"> and the role of transferable skills in assisting disadvantaged workers to ac</w:t>
      </w:r>
      <w:r w:rsidR="00292B52">
        <w:t>cess</w:t>
      </w:r>
      <w:r>
        <w:t xml:space="preserve"> new occupational opportunities. </w:t>
      </w:r>
    </w:p>
    <w:p w:rsidR="00A10A13" w:rsidRDefault="00DB7CA4" w:rsidP="00111214">
      <w:pPr>
        <w:pStyle w:val="Heading4"/>
      </w:pPr>
      <w:r>
        <w:t>Key fi</w:t>
      </w:r>
      <w:r w:rsidR="00A10A13">
        <w:t>ndings</w:t>
      </w:r>
      <w:r w:rsidR="00292B52">
        <w:t>:</w:t>
      </w:r>
      <w:r>
        <w:t xml:space="preserve"> stage o</w:t>
      </w:r>
      <w:r w:rsidR="00A10A13">
        <w:t xml:space="preserve">ne </w:t>
      </w:r>
    </w:p>
    <w:p w:rsidR="00A10A13" w:rsidRDefault="00A10A13" w:rsidP="00111214">
      <w:pPr>
        <w:pStyle w:val="Text"/>
      </w:pPr>
      <w:r>
        <w:t>The Australian economy has undergone significant transformation and industrial restructu</w:t>
      </w:r>
      <w:r w:rsidR="001B65F0">
        <w:t>ring in the past two decades. The an</w:t>
      </w:r>
      <w:r>
        <w:t>a</w:t>
      </w:r>
      <w:r w:rsidR="001B65F0">
        <w:t xml:space="preserve">lysis of the 2006 and 2011 ABS </w:t>
      </w:r>
      <w:r w:rsidR="003B0A94">
        <w:t>C</w:t>
      </w:r>
      <w:r>
        <w:t xml:space="preserve">ensus data reveals that many traditional industries, especially in manufacturing, have declined and are increasingly </w:t>
      </w:r>
      <w:r w:rsidR="00292B52">
        <w:t xml:space="preserve">being </w:t>
      </w:r>
      <w:r w:rsidR="001B65F0">
        <w:t>replaced by service-</w:t>
      </w:r>
      <w:r>
        <w:t xml:space="preserve">oriented sectors such as </w:t>
      </w:r>
      <w:r w:rsidR="001B65F0">
        <w:t>health care, education, hospitality and retail</w:t>
      </w:r>
      <w:r>
        <w:t xml:space="preserve">. This transformation has </w:t>
      </w:r>
      <w:r w:rsidR="00292B52">
        <w:t>resulted in</w:t>
      </w:r>
      <w:r>
        <w:t xml:space="preserve"> employment loss and the need for new work </w:t>
      </w:r>
      <w:r w:rsidR="00292B52">
        <w:t>in vastly different occupations;</w:t>
      </w:r>
      <w:r>
        <w:t xml:space="preserve"> </w:t>
      </w:r>
      <w:r w:rsidR="001C6537">
        <w:t>for example,</w:t>
      </w:r>
      <w:r>
        <w:t xml:space="preserve"> automobile manufacturing workers seek</w:t>
      </w:r>
      <w:r w:rsidR="001B65F0">
        <w:t>ing new employment in h</w:t>
      </w:r>
      <w:r>
        <w:t xml:space="preserve">ospitality. Furthermore, the decline and growth in </w:t>
      </w:r>
      <w:r w:rsidR="00292B52">
        <w:t xml:space="preserve">the various </w:t>
      </w:r>
      <w:r>
        <w:t>sectors and occupations varies between regions</w:t>
      </w:r>
      <w:r w:rsidR="0037667C">
        <w:t>,</w:t>
      </w:r>
      <w:r>
        <w:t xml:space="preserve"> presenting different types of cross-occupational mobility challenges. </w:t>
      </w:r>
    </w:p>
    <w:p w:rsidR="00A10A13" w:rsidRDefault="00292B52" w:rsidP="00111214">
      <w:pPr>
        <w:pStyle w:val="Text"/>
      </w:pPr>
      <w:r>
        <w:t>The cross-occupational mobility that</w:t>
      </w:r>
      <w:r w:rsidR="00A10A13">
        <w:t xml:space="preserve"> involv</w:t>
      </w:r>
      <w:r>
        <w:t>es</w:t>
      </w:r>
      <w:r w:rsidR="00A10A13">
        <w:t xml:space="preserve"> little o</w:t>
      </w:r>
      <w:r w:rsidR="00D8578B">
        <w:t>r</w:t>
      </w:r>
      <w:r>
        <w:t xml:space="preserve"> no additional training</w:t>
      </w:r>
      <w:r w:rsidR="00A10A13">
        <w:t xml:space="preserve"> </w:t>
      </w:r>
      <w:r w:rsidR="002D49AA">
        <w:t xml:space="preserve">is </w:t>
      </w:r>
      <w:r w:rsidR="00A10A13">
        <w:t xml:space="preserve">typically horizontal occupational mobility. A skills level analysis of the declining and </w:t>
      </w:r>
      <w:r>
        <w:t>growing occupations</w:t>
      </w:r>
      <w:r w:rsidR="002D49AA">
        <w:t>,</w:t>
      </w:r>
      <w:r w:rsidR="00A10A13">
        <w:t xml:space="preserve"> utilising ANZSCO</w:t>
      </w:r>
      <w:r w:rsidR="001B65F0">
        <w:rPr>
          <w:rStyle w:val="FootnoteReference"/>
        </w:rPr>
        <w:footnoteReference w:id="1"/>
      </w:r>
      <w:r w:rsidR="002D49AA">
        <w:t>,</w:t>
      </w:r>
      <w:r w:rsidR="00824E3D">
        <w:t xml:space="preserve"> </w:t>
      </w:r>
      <w:r w:rsidR="002D49AA">
        <w:t>indicates</w:t>
      </w:r>
      <w:r w:rsidR="00824E3D">
        <w:t xml:space="preserve"> a general up</w:t>
      </w:r>
      <w:r w:rsidR="00A10A13">
        <w:t xml:space="preserve">skilling of the Australian labour market. The implication of this development is that workers employed in unskilled and semi-skilled occupations will find occupational mobility more difficult without retraining or upskilling.  </w:t>
      </w:r>
    </w:p>
    <w:p w:rsidR="00A10A13" w:rsidRDefault="00DB7CA4" w:rsidP="00111214">
      <w:pPr>
        <w:pStyle w:val="Heading4"/>
      </w:pPr>
      <w:r>
        <w:t>Key findings</w:t>
      </w:r>
      <w:r w:rsidR="00292B52">
        <w:t>:</w:t>
      </w:r>
      <w:r>
        <w:t xml:space="preserve"> stage t</w:t>
      </w:r>
      <w:r w:rsidR="00A10A13">
        <w:t xml:space="preserve">wo </w:t>
      </w:r>
    </w:p>
    <w:p w:rsidR="00A10A13" w:rsidRDefault="00A10A13" w:rsidP="00111214">
      <w:pPr>
        <w:pStyle w:val="Text"/>
      </w:pPr>
      <w:r>
        <w:t>The analysis of the content and design of VET qualifications and their parent training packages reveal</w:t>
      </w:r>
      <w:r w:rsidR="00D8578B">
        <w:t>s</w:t>
      </w:r>
      <w:r>
        <w:t xml:space="preserve"> </w:t>
      </w:r>
      <w:r w:rsidR="00292B52">
        <w:t xml:space="preserve">that the VET system </w:t>
      </w:r>
      <w:r w:rsidR="002D49AA">
        <w:t>possesses</w:t>
      </w:r>
      <w:r w:rsidR="00DD79A7">
        <w:t xml:space="preserve"> </w:t>
      </w:r>
      <w:r>
        <w:t xml:space="preserve">a reasonable capacity </w:t>
      </w:r>
      <w:r w:rsidR="002D49AA">
        <w:t>for</w:t>
      </w:r>
      <w:r>
        <w:t xml:space="preserve"> </w:t>
      </w:r>
      <w:r w:rsidR="00DD79A7">
        <w:t>support</w:t>
      </w:r>
      <w:r w:rsidR="002D49AA">
        <w:t>ing</w:t>
      </w:r>
      <w:r w:rsidR="00824E3D">
        <w:t xml:space="preserve"> the development of</w:t>
      </w:r>
      <w:r>
        <w:t xml:space="preserve"> </w:t>
      </w:r>
      <w:r w:rsidR="002D49AA">
        <w:t>transferable skills — those</w:t>
      </w:r>
      <w:r>
        <w:t xml:space="preserve"> </w:t>
      </w:r>
      <w:r w:rsidR="00DD79A7">
        <w:t>skills with the potential to</w:t>
      </w:r>
      <w:r>
        <w:t xml:space="preserve"> facilitate the occupational mobility of workers</w:t>
      </w:r>
      <w:r w:rsidR="00C82284">
        <w:t xml:space="preserve">, </w:t>
      </w:r>
      <w:r w:rsidR="002D49AA">
        <w:t>providing</w:t>
      </w:r>
      <w:r w:rsidR="00DD79A7">
        <w:t xml:space="preserve"> them with the flexibility to </w:t>
      </w:r>
      <w:r>
        <w:t>change jobs across a wide range of occupations. However, the specific way</w:t>
      </w:r>
      <w:r w:rsidR="00DD79A7">
        <w:t>s</w:t>
      </w:r>
      <w:r>
        <w:t xml:space="preserve"> </w:t>
      </w:r>
      <w:r w:rsidR="00824E3D">
        <w:t>by</w:t>
      </w:r>
      <w:r>
        <w:t xml:space="preserve"> which the key employability skills are interpreted and built into different qualifications may limit the extent of their transferability. </w:t>
      </w:r>
    </w:p>
    <w:p w:rsidR="00A10A13" w:rsidRDefault="00A10A13" w:rsidP="00111214">
      <w:pPr>
        <w:pStyle w:val="Text"/>
      </w:pPr>
      <w:r>
        <w:t>The study</w:t>
      </w:r>
      <w:r w:rsidR="00D8578B">
        <w:t>,</w:t>
      </w:r>
      <w:r>
        <w:t xml:space="preserve"> however</w:t>
      </w:r>
      <w:r w:rsidR="00D8578B">
        <w:t>,</w:t>
      </w:r>
      <w:r>
        <w:t xml:space="preserve"> finds that</w:t>
      </w:r>
      <w:r w:rsidR="00DD79A7">
        <w:t>,</w:t>
      </w:r>
      <w:r>
        <w:t xml:space="preserve"> in addition to employability skills as the determinant of transferability, the system also embeds certain key competency units whose application cuts across a broad range of qualifications. Ultimately, greater skills transferability and employment mobility could be achieved with more generically constructed employability skills</w:t>
      </w:r>
      <w:r w:rsidR="00D8578B">
        <w:t>,</w:t>
      </w:r>
      <w:r>
        <w:t xml:space="preserve"> combined with flexible </w:t>
      </w:r>
      <w:r w:rsidR="00FC5A45">
        <w:t>technical</w:t>
      </w:r>
      <w:r>
        <w:t xml:space="preserve"> skills</w:t>
      </w:r>
      <w:r w:rsidR="004C4C66" w:rsidRPr="004C4C66">
        <w:t xml:space="preserve"> </w:t>
      </w:r>
      <w:r w:rsidR="004C4C66">
        <w:t>specific to occupational clusters</w:t>
      </w:r>
      <w:r>
        <w:t>.</w:t>
      </w:r>
    </w:p>
    <w:p w:rsidR="00A10A13" w:rsidRDefault="00A10A13" w:rsidP="00111214">
      <w:pPr>
        <w:pStyle w:val="Text"/>
      </w:pPr>
      <w:r>
        <w:t xml:space="preserve">The importance of </w:t>
      </w:r>
      <w:r w:rsidR="003B0A94">
        <w:t>‘</w:t>
      </w:r>
      <w:r>
        <w:t>soft</w:t>
      </w:r>
      <w:r w:rsidR="003B0A94">
        <w:t xml:space="preserve"> </w:t>
      </w:r>
      <w:r w:rsidR="002F6FCF">
        <w:t>skills</w:t>
      </w:r>
      <w:r w:rsidR="00F36807">
        <w:t>’</w:t>
      </w:r>
      <w:r w:rsidR="002F6FCF">
        <w:t xml:space="preserve"> </w:t>
      </w:r>
      <w:r w:rsidR="003B0A94">
        <w:t>(ability to operate effectively in the workplace)</w:t>
      </w:r>
      <w:r>
        <w:t xml:space="preserve"> and generic skills, as well as personal attitudes and work ethics, was confirmed by employers and employment facilitation </w:t>
      </w:r>
      <w:r w:rsidR="00DD79A7">
        <w:t>agencies</w:t>
      </w:r>
      <w:r w:rsidR="002F6FCF">
        <w:t>. T</w:t>
      </w:r>
      <w:r w:rsidR="004C4C66">
        <w:t xml:space="preserve">hese skills </w:t>
      </w:r>
      <w:r w:rsidR="002F6FCF">
        <w:t xml:space="preserve">were </w:t>
      </w:r>
      <w:r w:rsidR="004C4C66">
        <w:t>recognised</w:t>
      </w:r>
      <w:r>
        <w:t xml:space="preserve"> </w:t>
      </w:r>
      <w:r w:rsidR="004C4C66">
        <w:t>as</w:t>
      </w:r>
      <w:r w:rsidR="00C82284">
        <w:t xml:space="preserve"> </w:t>
      </w:r>
      <w:r>
        <w:t xml:space="preserve">perhaps </w:t>
      </w:r>
      <w:r w:rsidR="004C4C66">
        <w:t xml:space="preserve">being </w:t>
      </w:r>
      <w:r>
        <w:t>the mo</w:t>
      </w:r>
      <w:r w:rsidR="002F6FCF">
        <w:t xml:space="preserve">re </w:t>
      </w:r>
      <w:r>
        <w:t>important transferable skills</w:t>
      </w:r>
      <w:r w:rsidR="00DD79A7" w:rsidRPr="00DD79A7">
        <w:t xml:space="preserve"> </w:t>
      </w:r>
      <w:r w:rsidR="00DD79A7">
        <w:t>in recent times</w:t>
      </w:r>
      <w:r>
        <w:t>.</w:t>
      </w:r>
    </w:p>
    <w:p w:rsidR="00A10A13" w:rsidRDefault="00DB7CA4" w:rsidP="00DB7CA4">
      <w:pPr>
        <w:pStyle w:val="Heading4"/>
      </w:pPr>
      <w:r>
        <w:t>Key findings</w:t>
      </w:r>
      <w:r w:rsidR="00292B52">
        <w:t>:</w:t>
      </w:r>
      <w:r>
        <w:t xml:space="preserve"> stage t</w:t>
      </w:r>
      <w:r w:rsidR="00A10A13">
        <w:t>hree</w:t>
      </w:r>
    </w:p>
    <w:p w:rsidR="00A10A13" w:rsidRDefault="00A10A13" w:rsidP="00111214">
      <w:pPr>
        <w:pStyle w:val="Text"/>
      </w:pPr>
      <w:r>
        <w:t>In stage three of the study, two regional case studies (Geelong, Victoria</w:t>
      </w:r>
      <w:r w:rsidR="00824E3D">
        <w:t>,</w:t>
      </w:r>
      <w:r>
        <w:t xml:space="preserve"> and the Latrobe Valley, Victoria) were conducted to determine how workers who confronted uncertain occupational futures understood their transferable skills</w:t>
      </w:r>
      <w:r w:rsidR="00D8578B">
        <w:t>,</w:t>
      </w:r>
      <w:r>
        <w:t xml:space="preserve"> and the role of </w:t>
      </w:r>
      <w:r w:rsidR="00215FED">
        <w:t xml:space="preserve">the </w:t>
      </w:r>
      <w:r>
        <w:t>training sector and employment facilitation a</w:t>
      </w:r>
      <w:r w:rsidR="00215FED">
        <w:t>gencies</w:t>
      </w:r>
      <w:r>
        <w:t xml:space="preserve"> in assisting these workers identify </w:t>
      </w:r>
      <w:r w:rsidR="004C4C66">
        <w:t xml:space="preserve">the </w:t>
      </w:r>
      <w:r>
        <w:t>transferable skills</w:t>
      </w:r>
      <w:r w:rsidR="004C4C66">
        <w:t xml:space="preserve"> that enabled</w:t>
      </w:r>
      <w:r w:rsidR="00215FED">
        <w:t xml:space="preserve"> their access to</w:t>
      </w:r>
      <w:r>
        <w:t xml:space="preserve"> cross-occupational mobility opportunities.</w:t>
      </w:r>
      <w:r w:rsidR="0096744F">
        <w:t xml:space="preserve"> </w:t>
      </w:r>
      <w:r>
        <w:t xml:space="preserve">The majority of the workers interviewed did not have a </w:t>
      </w:r>
      <w:r w:rsidR="00824E3D">
        <w:t>comprehensive</w:t>
      </w:r>
      <w:r>
        <w:t xml:space="preserve"> understanding of the full range of their skills and their transferability. Most of these workers </w:t>
      </w:r>
      <w:r w:rsidR="006B53BE">
        <w:t xml:space="preserve">tended to be unskilled or semi-skilled, </w:t>
      </w:r>
      <w:r>
        <w:t xml:space="preserve">had known </w:t>
      </w:r>
      <w:r w:rsidR="00215FED">
        <w:t xml:space="preserve">only </w:t>
      </w:r>
      <w:r>
        <w:t>one employer throughout their entire working lives, had little if any formally accredited training</w:t>
      </w:r>
      <w:r w:rsidR="00D8578B">
        <w:t>,</w:t>
      </w:r>
      <w:r>
        <w:t xml:space="preserve"> and </w:t>
      </w:r>
      <w:r w:rsidR="00D8578B">
        <w:t xml:space="preserve">had </w:t>
      </w:r>
      <w:r w:rsidR="00215FED">
        <w:t>previously never</w:t>
      </w:r>
      <w:r w:rsidR="00824E3D">
        <w:t xml:space="preserve"> </w:t>
      </w:r>
      <w:r>
        <w:t xml:space="preserve">had </w:t>
      </w:r>
      <w:r w:rsidR="00D8578B">
        <w:t>to consider</w:t>
      </w:r>
      <w:r w:rsidR="00842135">
        <w:t xml:space="preserve"> finding another job.</w:t>
      </w:r>
    </w:p>
    <w:p w:rsidR="00983469" w:rsidRDefault="00FC5A45" w:rsidP="00FC5A45">
      <w:pPr>
        <w:pStyle w:val="Text"/>
      </w:pPr>
      <w:r>
        <w:t>Workers who did have an understandi</w:t>
      </w:r>
      <w:r w:rsidR="00824E3D">
        <w:t>ng of their transferable skills</w:t>
      </w:r>
      <w:r w:rsidR="00215FED">
        <w:t xml:space="preserve"> tended to belong to higher-</w:t>
      </w:r>
      <w:r>
        <w:t>skill occupations (</w:t>
      </w:r>
      <w:r w:rsidR="00464D62">
        <w:rPr>
          <w:szCs w:val="19"/>
        </w:rPr>
        <w:t>s</w:t>
      </w:r>
      <w:r w:rsidR="00983469">
        <w:rPr>
          <w:szCs w:val="19"/>
        </w:rPr>
        <w:t xml:space="preserve">ee </w:t>
      </w:r>
      <w:r w:rsidR="00EE60F7">
        <w:rPr>
          <w:szCs w:val="19"/>
        </w:rPr>
        <w:t>s</w:t>
      </w:r>
      <w:r w:rsidR="00983469">
        <w:rPr>
          <w:szCs w:val="19"/>
        </w:rPr>
        <w:t xml:space="preserve">upport </w:t>
      </w:r>
      <w:r w:rsidR="00EE60F7">
        <w:rPr>
          <w:szCs w:val="19"/>
        </w:rPr>
        <w:t>d</w:t>
      </w:r>
      <w:r w:rsidR="00983469">
        <w:rPr>
          <w:szCs w:val="19"/>
        </w:rPr>
        <w:t>ocument</w:t>
      </w:r>
      <w:r w:rsidR="00B53606">
        <w:rPr>
          <w:szCs w:val="19"/>
        </w:rPr>
        <w:t xml:space="preserve"> 1</w:t>
      </w:r>
      <w:r w:rsidR="00824E3D">
        <w:rPr>
          <w:szCs w:val="19"/>
        </w:rPr>
        <w:t xml:space="preserve"> </w:t>
      </w:r>
      <w:r w:rsidRPr="00983469">
        <w:t>for ANZSCO skill levels analysis</w:t>
      </w:r>
      <w:r>
        <w:t>), often h</w:t>
      </w:r>
      <w:r w:rsidR="00824E3D">
        <w:t>eld a variety of qualifications</w:t>
      </w:r>
      <w:r>
        <w:t xml:space="preserve"> and had worked for different employers. Skilled workers employed on short-term contracts for contract firms could more easily identify and differentiate their transferable skills (</w:t>
      </w:r>
      <w:r w:rsidR="00824E3D">
        <w:t>that is,</w:t>
      </w:r>
      <w:r>
        <w:t xml:space="preserve"> </w:t>
      </w:r>
      <w:r w:rsidR="00215FED">
        <w:t xml:space="preserve">both </w:t>
      </w:r>
      <w:r>
        <w:t xml:space="preserve">soft </w:t>
      </w:r>
      <w:r w:rsidR="00215FED">
        <w:t xml:space="preserve">skills </w:t>
      </w:r>
      <w:r>
        <w:t xml:space="preserve">and generic </w:t>
      </w:r>
      <w:r w:rsidR="002F6FCF">
        <w:t>technical</w:t>
      </w:r>
      <w:r>
        <w:t xml:space="preserve"> skills) and specific </w:t>
      </w:r>
      <w:r w:rsidR="002F6FCF">
        <w:t>technical</w:t>
      </w:r>
      <w:r>
        <w:t xml:space="preserve"> skills. </w:t>
      </w:r>
    </w:p>
    <w:p w:rsidR="00A10A13" w:rsidRDefault="00215FED" w:rsidP="00111214">
      <w:pPr>
        <w:pStyle w:val="Text"/>
      </w:pPr>
      <w:r>
        <w:t>T</w:t>
      </w:r>
      <w:r w:rsidR="003E586A">
        <w:t>he</w:t>
      </w:r>
      <w:r w:rsidR="00A10A13">
        <w:t xml:space="preserve"> dominant challenges in transitioning </w:t>
      </w:r>
      <w:r w:rsidR="003E586A">
        <w:t xml:space="preserve">the </w:t>
      </w:r>
      <w:r w:rsidR="00A10A13">
        <w:t xml:space="preserve">displaced workers </w:t>
      </w:r>
      <w:r w:rsidR="003E586A">
        <w:t>studied</w:t>
      </w:r>
      <w:r w:rsidR="00A10A13">
        <w:t xml:space="preserve"> </w:t>
      </w:r>
      <w:r>
        <w:t xml:space="preserve">therefore </w:t>
      </w:r>
      <w:r w:rsidR="00A10A13">
        <w:t>include a lack of formal qualifications, poor understanding of their skills and the</w:t>
      </w:r>
      <w:r w:rsidR="003E586A">
        <w:t>ir</w:t>
      </w:r>
      <w:r w:rsidR="00A10A13">
        <w:t xml:space="preserve"> transferability value</w:t>
      </w:r>
      <w:r w:rsidR="00FC5A45">
        <w:t>,</w:t>
      </w:r>
      <w:r w:rsidR="00A10A13">
        <w:t xml:space="preserve"> leading to a general assumption that their skills are not transferable</w:t>
      </w:r>
      <w:r w:rsidR="003E586A">
        <w:t>,</w:t>
      </w:r>
      <w:r w:rsidR="00A10A13">
        <w:t xml:space="preserve"> and</w:t>
      </w:r>
      <w:r w:rsidR="002F6FCF">
        <w:t xml:space="preserve"> they have</w:t>
      </w:r>
      <w:r w:rsidR="00A10A13">
        <w:t xml:space="preserve"> a lack of basic job market navigation skills. </w:t>
      </w:r>
    </w:p>
    <w:p w:rsidR="00A10A13" w:rsidRDefault="00A10A13" w:rsidP="00111214">
      <w:pPr>
        <w:pStyle w:val="Text"/>
      </w:pPr>
      <w:r>
        <w:t>A wide range of actors often become involved in the efforts of transitioning retrenched workers into new jobs. However, how well these</w:t>
      </w:r>
      <w:r w:rsidR="00014EC8">
        <w:t xml:space="preserve"> player</w:t>
      </w:r>
      <w:r>
        <w:t>s understand and apply the con</w:t>
      </w:r>
      <w:r w:rsidR="004C4C66">
        <w:t>cept of skills transferability whe</w:t>
      </w:r>
      <w:r>
        <w:t>n designing their assistance to displaced workers is questionable. In the cases studied, only one company (Ford</w:t>
      </w:r>
      <w:r w:rsidR="00B86197">
        <w:t xml:space="preserve"> Australia</w:t>
      </w:r>
      <w:r>
        <w:t>) provided a comprehensive transition program</w:t>
      </w:r>
      <w:r w:rsidR="00DC5F27">
        <w:t xml:space="preserve"> which included skills transferability elements</w:t>
      </w:r>
      <w:r>
        <w:t xml:space="preserve">. </w:t>
      </w:r>
    </w:p>
    <w:p w:rsidR="00A10A13" w:rsidRPr="00856034" w:rsidRDefault="00DB7CA4" w:rsidP="00111214">
      <w:pPr>
        <w:pStyle w:val="Heading3"/>
        <w:rPr>
          <w:i/>
        </w:rPr>
      </w:pPr>
      <w:r w:rsidRPr="00225424">
        <w:t>Key c</w:t>
      </w:r>
      <w:r w:rsidR="00A10A13" w:rsidRPr="00225424">
        <w:t>onclusion</w:t>
      </w:r>
      <w:r w:rsidR="00225424">
        <w:t>s</w:t>
      </w:r>
      <w:r w:rsidR="0043011B">
        <w:t xml:space="preserve"> </w:t>
      </w:r>
    </w:p>
    <w:p w:rsidR="00A10A13" w:rsidRPr="00111214" w:rsidRDefault="00215FED" w:rsidP="00111214">
      <w:pPr>
        <w:pStyle w:val="Text"/>
      </w:pPr>
      <w:r>
        <w:t>The f</w:t>
      </w:r>
      <w:r w:rsidR="00A10A13" w:rsidRPr="00111214">
        <w:t>indings from this report lend further support to the view that transferable skills perform an invaluable role in an employee’s cross-occupational mobility (</w:t>
      </w:r>
      <w:r w:rsidR="0051030A">
        <w:t>Partridge</w:t>
      </w:r>
      <w:r w:rsidR="00772FC9">
        <w:t xml:space="preserve">, </w:t>
      </w:r>
      <w:r w:rsidR="00A10A13" w:rsidRPr="00111214">
        <w:t xml:space="preserve">Chapman </w:t>
      </w:r>
      <w:r w:rsidR="003E586A" w:rsidRPr="00111214">
        <w:t xml:space="preserve">&amp; </w:t>
      </w:r>
      <w:r w:rsidR="00A10A13" w:rsidRPr="00111214">
        <w:t xml:space="preserve">O’Neil 2009; </w:t>
      </w:r>
      <w:r w:rsidR="00BC191B">
        <w:t>European Commission</w:t>
      </w:r>
      <w:r w:rsidR="00A10A13" w:rsidRPr="00111214">
        <w:t xml:space="preserve"> 2013; Mayer 1992; Misko 1998; National Quality Council 20</w:t>
      </w:r>
      <w:r w:rsidR="008A16C1">
        <w:t>10; Skills for Jobs 2013; Sweet</w:t>
      </w:r>
      <w:r w:rsidR="00A10A13" w:rsidRPr="00111214">
        <w:t xml:space="preserve"> 2009). </w:t>
      </w:r>
      <w:r w:rsidR="003E586A" w:rsidRPr="00111214">
        <w:t>However, a</w:t>
      </w:r>
      <w:r w:rsidR="00A10A13" w:rsidRPr="00111214">
        <w:t xml:space="preserve"> number of factors must be taken into consideration when understanding skills transferability and cross-occupational mobility, including:</w:t>
      </w:r>
    </w:p>
    <w:p w:rsidR="00A10A13" w:rsidRDefault="00BC191B" w:rsidP="00856034">
      <w:pPr>
        <w:pStyle w:val="Dotpoint1"/>
        <w:tabs>
          <w:tab w:val="clear" w:pos="284"/>
        </w:tabs>
        <w:spacing w:before="80"/>
        <w:ind w:left="357" w:hanging="357"/>
      </w:pPr>
      <w:r>
        <w:t>T</w:t>
      </w:r>
      <w:r w:rsidR="00A10A13">
        <w:t xml:space="preserve">ransferable skills are </w:t>
      </w:r>
      <w:r w:rsidR="0028105B">
        <w:t xml:space="preserve">somewhat </w:t>
      </w:r>
      <w:r w:rsidR="00215FED">
        <w:t>determined</w:t>
      </w:r>
      <w:r w:rsidR="00A10A13">
        <w:t xml:space="preserve"> by the training system and the </w:t>
      </w:r>
      <w:r>
        <w:t>way</w:t>
      </w:r>
      <w:r w:rsidR="00A10A13">
        <w:t xml:space="preserve"> in which worker</w:t>
      </w:r>
      <w:r w:rsidR="00FC5A45">
        <w:t>s and employers engage with the</w:t>
      </w:r>
      <w:r w:rsidR="00A10A13">
        <w:t xml:space="preserve"> training system.</w:t>
      </w:r>
      <w:r w:rsidR="0096744F">
        <w:t xml:space="preserve"> </w:t>
      </w:r>
      <w:r w:rsidR="00A10A13">
        <w:t xml:space="preserve">An employee </w:t>
      </w:r>
      <w:r>
        <w:t>who</w:t>
      </w:r>
      <w:r w:rsidR="00A10A13">
        <w:t xml:space="preserve"> only acquires </w:t>
      </w:r>
      <w:r w:rsidR="002F6FCF">
        <w:t xml:space="preserve">specific </w:t>
      </w:r>
      <w:r w:rsidR="00A10A13">
        <w:t xml:space="preserve">skills sets, for example, is </w:t>
      </w:r>
      <w:r w:rsidR="004C4C66">
        <w:t>unlikely</w:t>
      </w:r>
      <w:r w:rsidR="00A10A13">
        <w:t xml:space="preserve"> to develop transferable skills in a similar way </w:t>
      </w:r>
      <w:r>
        <w:t>to</w:t>
      </w:r>
      <w:r w:rsidR="00A10A13">
        <w:t xml:space="preserve"> those who receive full qualifications.</w:t>
      </w:r>
      <w:r w:rsidR="0096744F">
        <w:t xml:space="preserve"> </w:t>
      </w:r>
    </w:p>
    <w:p w:rsidR="00A10A13" w:rsidRDefault="00A10A13" w:rsidP="00895DE3">
      <w:pPr>
        <w:pStyle w:val="Dotpoint1"/>
        <w:tabs>
          <w:tab w:val="clear" w:pos="284"/>
        </w:tabs>
        <w:spacing w:before="80"/>
        <w:ind w:left="357" w:hanging="357"/>
      </w:pPr>
      <w:r>
        <w:t xml:space="preserve">Transferable skills tend to be </w:t>
      </w:r>
      <w:r w:rsidRPr="00215FED">
        <w:t xml:space="preserve">soft </w:t>
      </w:r>
      <w:r w:rsidR="00215FED">
        <w:t>skills</w:t>
      </w:r>
      <w:r w:rsidR="004B200C">
        <w:t xml:space="preserve"> (non-job-specific skills relating to an individual’s ability to operate effectively in the workplace)</w:t>
      </w:r>
      <w:r w:rsidR="00215FED">
        <w:t xml:space="preserve"> </w:t>
      </w:r>
      <w:r w:rsidRPr="00215FED">
        <w:t>and generic hard skills</w:t>
      </w:r>
      <w:r w:rsidR="004B200C">
        <w:t xml:space="preserve"> (technical and job-specific abilities that can be applied effectively in almost all jobs and personal life)</w:t>
      </w:r>
      <w:r w:rsidR="004C4C66">
        <w:t xml:space="preserve"> and</w:t>
      </w:r>
      <w:r>
        <w:t xml:space="preserve"> are applicable to a range of occupational contexts.</w:t>
      </w:r>
      <w:r w:rsidR="0096744F">
        <w:t xml:space="preserve"> </w:t>
      </w:r>
      <w:r>
        <w:t xml:space="preserve">However, </w:t>
      </w:r>
      <w:r w:rsidR="00BC191B">
        <w:t xml:space="preserve">the </w:t>
      </w:r>
      <w:r>
        <w:t xml:space="preserve">differences </w:t>
      </w:r>
      <w:r w:rsidR="00215FED">
        <w:t>associated with</w:t>
      </w:r>
      <w:r>
        <w:t xml:space="preserve"> the particular skills and knowledge required to perform </w:t>
      </w:r>
      <w:r w:rsidR="00215FED">
        <w:t xml:space="preserve">the </w:t>
      </w:r>
      <w:r>
        <w:t xml:space="preserve">different tasks </w:t>
      </w:r>
      <w:r w:rsidR="00215FED">
        <w:t>attached to</w:t>
      </w:r>
      <w:r w:rsidR="00BC191B">
        <w:t xml:space="preserve"> specific occupations mean</w:t>
      </w:r>
      <w:r>
        <w:t xml:space="preserve"> that some skills are more transferable </w:t>
      </w:r>
      <w:r w:rsidR="002F6FCF">
        <w:t>in</w:t>
      </w:r>
      <w:r>
        <w:t xml:space="preserve"> some occupational context</w:t>
      </w:r>
      <w:r w:rsidR="002F6FCF">
        <w:t>s</w:t>
      </w:r>
      <w:r>
        <w:t>.</w:t>
      </w:r>
      <w:r w:rsidR="0096744F">
        <w:t xml:space="preserve"> </w:t>
      </w:r>
      <w:r>
        <w:t xml:space="preserve">A </w:t>
      </w:r>
      <w:r w:rsidR="00BC191B">
        <w:t>wood machinist</w:t>
      </w:r>
      <w:r w:rsidR="00FC5A45">
        <w:t>, for example,</w:t>
      </w:r>
      <w:r>
        <w:t xml:space="preserve"> is going to find it much easier to become a </w:t>
      </w:r>
      <w:r w:rsidR="00BC191B">
        <w:t xml:space="preserve">carpenter and joiner than to become a </w:t>
      </w:r>
      <w:r w:rsidR="00BC191B" w:rsidRPr="00BC05A9">
        <w:t>chef</w:t>
      </w:r>
      <w:r w:rsidR="00D132BE" w:rsidRPr="00BC05A9">
        <w:t xml:space="preserve"> as they share more similar tasks</w:t>
      </w:r>
      <w:r>
        <w:t xml:space="preserve">.   </w:t>
      </w:r>
    </w:p>
    <w:p w:rsidR="00807C63" w:rsidRPr="002826BF" w:rsidRDefault="00807C63" w:rsidP="00807C63">
      <w:pPr>
        <w:pStyle w:val="Dotpoint1"/>
        <w:tabs>
          <w:tab w:val="clear" w:pos="284"/>
        </w:tabs>
        <w:spacing w:before="80"/>
        <w:ind w:left="357" w:hanging="357"/>
      </w:pPr>
      <w:r w:rsidRPr="002826BF">
        <w:t>Occupational clusters have the potential to facilitate skills transferability and cross-occupational mobility. These clusters contain certain elements</w:t>
      </w:r>
      <w:r w:rsidR="002826BF" w:rsidRPr="002826BF">
        <w:t>,</w:t>
      </w:r>
      <w:r w:rsidRPr="002826BF">
        <w:t xml:space="preserve"> </w:t>
      </w:r>
      <w:r w:rsidR="002826BF" w:rsidRPr="002826BF">
        <w:t>such as</w:t>
      </w:r>
      <w:r w:rsidRPr="002826BF">
        <w:t xml:space="preserve"> skill</w:t>
      </w:r>
      <w:r w:rsidR="002826BF" w:rsidRPr="002826BF">
        <w:t>s, knowledge, tasks, activities and</w:t>
      </w:r>
      <w:r w:rsidRPr="002826BF">
        <w:t xml:space="preserve"> desirable employee attributes</w:t>
      </w:r>
      <w:r w:rsidR="002826BF" w:rsidRPr="002826BF">
        <w:t>,</w:t>
      </w:r>
      <w:r w:rsidRPr="002826BF">
        <w:t xml:space="preserve"> which are common to ‘groups’ of occupations</w:t>
      </w:r>
      <w:r w:rsidR="00336442" w:rsidRPr="002826BF">
        <w:t xml:space="preserve"> across industries</w:t>
      </w:r>
      <w:r w:rsidRPr="002826BF">
        <w:t xml:space="preserve">. </w:t>
      </w:r>
      <w:r w:rsidR="00336442" w:rsidRPr="002826BF">
        <w:t>Aligning training packages to occupational clusters c</w:t>
      </w:r>
      <w:r w:rsidR="00AF57C6">
        <w:t>ould</w:t>
      </w:r>
      <w:r w:rsidR="00336442" w:rsidRPr="002826BF">
        <w:t xml:space="preserve"> contribute to the development of generic competencies</w:t>
      </w:r>
      <w:r w:rsidR="002F6FCF">
        <w:t>,</w:t>
      </w:r>
      <w:r w:rsidR="00336442" w:rsidRPr="002826BF">
        <w:t xml:space="preserve"> which can </w:t>
      </w:r>
      <w:r w:rsidR="002F6FCF">
        <w:t xml:space="preserve">also </w:t>
      </w:r>
      <w:r w:rsidR="00336442" w:rsidRPr="002826BF">
        <w:t>be used across any occupation.</w:t>
      </w:r>
    </w:p>
    <w:p w:rsidR="00807C63" w:rsidRDefault="00215FED" w:rsidP="008F670C">
      <w:pPr>
        <w:pStyle w:val="Dotpoint1"/>
        <w:tabs>
          <w:tab w:val="clear" w:pos="284"/>
        </w:tabs>
        <w:spacing w:before="80"/>
        <w:ind w:left="357" w:hanging="357"/>
      </w:pPr>
      <w:r>
        <w:t>The l</w:t>
      </w:r>
      <w:r w:rsidR="00A10A13">
        <w:t>ocal labour market deman</w:t>
      </w:r>
      <w:r w:rsidR="002F6FCF">
        <w:t>d</w:t>
      </w:r>
      <w:r w:rsidR="00A10A13">
        <w:t xml:space="preserve"> for particular skills and types of occupations have significant implications for a worker’s prospects </w:t>
      </w:r>
      <w:r w:rsidR="004C4C66">
        <w:t>for</w:t>
      </w:r>
      <w:r w:rsidR="00A10A13">
        <w:t xml:space="preserve"> applying the skills developed in one occupational context to another occupational context. If </w:t>
      </w:r>
      <w:r w:rsidR="003E586A">
        <w:t xml:space="preserve">a worker’s </w:t>
      </w:r>
      <w:r w:rsidR="00A10A13">
        <w:t>transferable skills are aligned with growing occupations in similar occupational clusters</w:t>
      </w:r>
      <w:r w:rsidR="003E586A">
        <w:t>,</w:t>
      </w:r>
      <w:r w:rsidR="00A10A13">
        <w:t xml:space="preserve"> they would be in a much better labour market position.</w:t>
      </w:r>
      <w:r w:rsidR="008F670C">
        <w:t xml:space="preserve"> </w:t>
      </w:r>
    </w:p>
    <w:p w:rsidR="00A10A13" w:rsidRDefault="00A10A13" w:rsidP="00856034">
      <w:pPr>
        <w:pStyle w:val="Dotpoint1"/>
        <w:tabs>
          <w:tab w:val="clear" w:pos="284"/>
        </w:tabs>
        <w:spacing w:before="80"/>
        <w:ind w:left="357" w:hanging="357"/>
      </w:pPr>
      <w:r>
        <w:t>The ability to make use of transferable skills for cross-occupational mobility is highly dependent on how well the</w:t>
      </w:r>
      <w:r w:rsidR="00A1181F">
        <w:t xml:space="preserve"> worker</w:t>
      </w:r>
      <w:r w:rsidR="00BC191B">
        <w:t xml:space="preserve"> </w:t>
      </w:r>
      <w:r>
        <w:t>—</w:t>
      </w:r>
      <w:r w:rsidR="00BC191B">
        <w:t xml:space="preserve"> </w:t>
      </w:r>
      <w:r>
        <w:t>and those who assist them to find employment</w:t>
      </w:r>
      <w:r w:rsidR="00BC191B">
        <w:t xml:space="preserve"> </w:t>
      </w:r>
      <w:r>
        <w:t>—understand</w:t>
      </w:r>
      <w:r w:rsidR="00215FED">
        <w:t>s</w:t>
      </w:r>
      <w:r>
        <w:t xml:space="preserve"> the</w:t>
      </w:r>
      <w:r w:rsidR="00A1181F">
        <w:t>ir</w:t>
      </w:r>
      <w:r>
        <w:t xml:space="preserve"> skills and the role they perform in occupational mobility.</w:t>
      </w:r>
    </w:p>
    <w:p w:rsidR="00A10A13" w:rsidRDefault="00DB7CA4" w:rsidP="00111214">
      <w:pPr>
        <w:pStyle w:val="Heading3"/>
      </w:pPr>
      <w:r>
        <w:t>Key policy c</w:t>
      </w:r>
      <w:r w:rsidR="00A10A13">
        <w:t>onsiderations</w:t>
      </w:r>
    </w:p>
    <w:p w:rsidR="00A10A13" w:rsidRDefault="00A10A13" w:rsidP="00863ED4">
      <w:pPr>
        <w:pStyle w:val="Text"/>
      </w:pPr>
      <w:r>
        <w:t xml:space="preserve">For </w:t>
      </w:r>
      <w:r w:rsidR="00215FED">
        <w:t>the development of policy in this area</w:t>
      </w:r>
      <w:r>
        <w:t xml:space="preserve">, the study </w:t>
      </w:r>
      <w:r w:rsidR="00FD2F64">
        <w:t>suggests</w:t>
      </w:r>
      <w:r>
        <w:t>:</w:t>
      </w:r>
    </w:p>
    <w:p w:rsidR="00A10A13" w:rsidRDefault="00376568" w:rsidP="00856034">
      <w:pPr>
        <w:pStyle w:val="Dotpoint1"/>
        <w:tabs>
          <w:tab w:val="clear" w:pos="284"/>
        </w:tabs>
        <w:spacing w:before="80"/>
        <w:ind w:left="357" w:hanging="357"/>
      </w:pPr>
      <w:r>
        <w:t>g</w:t>
      </w:r>
      <w:r w:rsidR="00A10A13">
        <w:t>reater recognition and promotion of transferable skills to enhance flexibility</w:t>
      </w:r>
      <w:r>
        <w:t xml:space="preserve"> in cross-occupational mobility</w:t>
      </w:r>
      <w:r w:rsidR="000D43D0">
        <w:t>. This includes</w:t>
      </w:r>
      <w:r w:rsidR="0086472A">
        <w:t xml:space="preserve"> a role for training providers and employment facilitators to help workers and job seekers recognise and understand their transferable skills</w:t>
      </w:r>
      <w:r w:rsidR="00A10A13">
        <w:t xml:space="preserve"> </w:t>
      </w:r>
    </w:p>
    <w:p w:rsidR="00A10A13" w:rsidRDefault="00376568" w:rsidP="00856034">
      <w:pPr>
        <w:pStyle w:val="Dotpoint1"/>
        <w:tabs>
          <w:tab w:val="clear" w:pos="284"/>
        </w:tabs>
        <w:spacing w:before="80"/>
        <w:ind w:left="357" w:hanging="357"/>
      </w:pPr>
      <w:r>
        <w:t>p</w:t>
      </w:r>
      <w:r w:rsidR="00A10A13">
        <w:t>romoti</w:t>
      </w:r>
      <w:r>
        <w:t>on of</w:t>
      </w:r>
      <w:r w:rsidR="00A10A13">
        <w:t xml:space="preserve"> </w:t>
      </w:r>
      <w:r w:rsidR="00416BE7">
        <w:t xml:space="preserve">the </w:t>
      </w:r>
      <w:r w:rsidR="00A10A13">
        <w:t>full accreditation of skills</w:t>
      </w:r>
      <w:r w:rsidR="00416BE7">
        <w:t xml:space="preserve"> and competencies</w:t>
      </w:r>
      <w:r w:rsidR="00A10A13">
        <w:t xml:space="preserve"> to better assist workers in credential-sensitive labour markets and in understanding and identifying the ran</w:t>
      </w:r>
      <w:r>
        <w:t>ge of skills they have acquired</w:t>
      </w:r>
      <w:r w:rsidR="00A10A13">
        <w:t xml:space="preserve"> </w:t>
      </w:r>
    </w:p>
    <w:p w:rsidR="00BD085B" w:rsidRPr="00856034" w:rsidRDefault="00376568" w:rsidP="00856034">
      <w:pPr>
        <w:pStyle w:val="Dotpoint1"/>
        <w:tabs>
          <w:tab w:val="clear" w:pos="284"/>
        </w:tabs>
        <w:spacing w:before="80"/>
        <w:ind w:left="357" w:hanging="357"/>
      </w:pPr>
      <w:r>
        <w:rPr>
          <w:shd w:val="clear" w:color="auto" w:fill="FFFFFF"/>
        </w:rPr>
        <w:t>p</w:t>
      </w:r>
      <w:r w:rsidR="00702CBA" w:rsidRPr="00702CBA">
        <w:rPr>
          <w:shd w:val="clear" w:color="auto" w:fill="FFFFFF"/>
        </w:rPr>
        <w:t xml:space="preserve">rioritising </w:t>
      </w:r>
      <w:r>
        <w:rPr>
          <w:shd w:val="clear" w:color="auto" w:fill="FFFFFF"/>
        </w:rPr>
        <w:t xml:space="preserve">of </w:t>
      </w:r>
      <w:r w:rsidR="00702CBA" w:rsidRPr="00702CBA">
        <w:rPr>
          <w:shd w:val="clear" w:color="auto" w:fill="FFFFFF"/>
        </w:rPr>
        <w:t>partnerships between the VET sector and ind</w:t>
      </w:r>
      <w:r w:rsidR="00842135">
        <w:rPr>
          <w:shd w:val="clear" w:color="auto" w:fill="FFFFFF"/>
        </w:rPr>
        <w:t>ustry to systematically recognis</w:t>
      </w:r>
      <w:r w:rsidR="00702CBA" w:rsidRPr="00702CBA">
        <w:rPr>
          <w:shd w:val="clear" w:color="auto" w:fill="FFFFFF"/>
        </w:rPr>
        <w:t>e skills and competencies in vulnerable businesses and</w:t>
      </w:r>
      <w:r w:rsidR="00420EEF">
        <w:rPr>
          <w:shd w:val="clear" w:color="auto" w:fill="FFFFFF"/>
        </w:rPr>
        <w:t xml:space="preserve"> </w:t>
      </w:r>
      <w:r w:rsidR="00215FED">
        <w:rPr>
          <w:shd w:val="clear" w:color="auto" w:fill="FFFFFF"/>
        </w:rPr>
        <w:t xml:space="preserve">the implementation of </w:t>
      </w:r>
      <w:r w:rsidR="00702CBA">
        <w:rPr>
          <w:shd w:val="clear" w:color="auto" w:fill="FFFFFF"/>
        </w:rPr>
        <w:t>b</w:t>
      </w:r>
      <w:r w:rsidR="00BD085B" w:rsidRPr="00702CBA">
        <w:rPr>
          <w:shd w:val="clear" w:color="auto" w:fill="FFFFFF"/>
        </w:rPr>
        <w:t>etter process</w:t>
      </w:r>
      <w:r w:rsidR="00702CBA">
        <w:rPr>
          <w:shd w:val="clear" w:color="auto" w:fill="FFFFFF"/>
        </w:rPr>
        <w:t>es</w:t>
      </w:r>
      <w:r w:rsidR="00BD085B" w:rsidRPr="00702CBA">
        <w:rPr>
          <w:shd w:val="clear" w:color="auto" w:fill="FFFFFF"/>
        </w:rPr>
        <w:t xml:space="preserve"> for </w:t>
      </w:r>
      <w:r w:rsidR="00215FED">
        <w:rPr>
          <w:shd w:val="clear" w:color="auto" w:fill="FFFFFF"/>
        </w:rPr>
        <w:t xml:space="preserve">the </w:t>
      </w:r>
      <w:r w:rsidR="00BD085B" w:rsidRPr="00702CBA">
        <w:rPr>
          <w:shd w:val="clear" w:color="auto" w:fill="FFFFFF"/>
        </w:rPr>
        <w:t xml:space="preserve">formal recognition of skills gained on the job </w:t>
      </w:r>
    </w:p>
    <w:p w:rsidR="00A10A13" w:rsidRDefault="00376568" w:rsidP="00856034">
      <w:pPr>
        <w:pStyle w:val="Dotpoint1"/>
        <w:tabs>
          <w:tab w:val="clear" w:pos="284"/>
        </w:tabs>
        <w:spacing w:before="80"/>
        <w:ind w:left="357" w:hanging="357"/>
      </w:pPr>
      <w:r>
        <w:t>i</w:t>
      </w:r>
      <w:r w:rsidR="00A10A13">
        <w:t>mprovements to the training system</w:t>
      </w:r>
      <w:r w:rsidR="000426D3">
        <w:t xml:space="preserve"> and</w:t>
      </w:r>
      <w:r>
        <w:t>,</w:t>
      </w:r>
      <w:r w:rsidR="000426D3">
        <w:t xml:space="preserve"> more specifically</w:t>
      </w:r>
      <w:r>
        <w:t>,</w:t>
      </w:r>
      <w:r w:rsidR="000426D3">
        <w:t xml:space="preserve"> </w:t>
      </w:r>
      <w:r>
        <w:t xml:space="preserve">to </w:t>
      </w:r>
      <w:r w:rsidR="000426D3">
        <w:t>training packages,</w:t>
      </w:r>
      <w:r w:rsidR="00420EEF">
        <w:t xml:space="preserve"> </w:t>
      </w:r>
      <w:r>
        <w:t>such</w:t>
      </w:r>
      <w:r w:rsidR="00A10A13">
        <w:t xml:space="preserve"> that</w:t>
      </w:r>
      <w:r w:rsidR="0035693F">
        <w:t xml:space="preserve"> </w:t>
      </w:r>
      <w:r w:rsidR="00A10A13">
        <w:t>the skills developed are not only transferable within closely related occupations</w:t>
      </w:r>
      <w:r w:rsidR="00A1181F">
        <w:t>,</w:t>
      </w:r>
      <w:r w:rsidR="00A10A13">
        <w:t xml:space="preserve"> but </w:t>
      </w:r>
      <w:r>
        <w:t>more broadly within the economy</w:t>
      </w:r>
      <w:r w:rsidR="00C6219C">
        <w:t xml:space="preserve">. </w:t>
      </w:r>
      <w:r w:rsidR="00D167F2">
        <w:t xml:space="preserve">Additionally, </w:t>
      </w:r>
      <w:r w:rsidR="00D167F2" w:rsidRPr="00D167F2">
        <w:t>t</w:t>
      </w:r>
      <w:r w:rsidR="00C6219C" w:rsidRPr="00D167F2">
        <w:t xml:space="preserve">he establishment of a common language </w:t>
      </w:r>
      <w:r w:rsidR="00512BA4" w:rsidRPr="00D167F2">
        <w:t>to describe competencies, skills and knowledge could make qualifications and training packages easier to understand across industry boundaries, educational institutions and training bodies, and among policy-makers and employers</w:t>
      </w:r>
    </w:p>
    <w:p w:rsidR="00A10A13" w:rsidRDefault="00376568" w:rsidP="00856034">
      <w:pPr>
        <w:pStyle w:val="Dotpoint1"/>
        <w:tabs>
          <w:tab w:val="clear" w:pos="284"/>
        </w:tabs>
        <w:spacing w:before="80"/>
        <w:ind w:left="357" w:hanging="357"/>
      </w:pPr>
      <w:r>
        <w:t>i</w:t>
      </w:r>
      <w:r w:rsidR="00A10A13">
        <w:t>ncreased awareness and understanding of occupational clusters by workers, training providers and job support a</w:t>
      </w:r>
      <w:r w:rsidR="00215FED">
        <w:t>gencies</w:t>
      </w:r>
      <w:r w:rsidR="00A10A13">
        <w:t>. This would ensure that decisions made during employment transitions, as well a</w:t>
      </w:r>
      <w:r>
        <w:t>s advice given, are appropriate</w:t>
      </w:r>
      <w:r w:rsidR="002F6FCF">
        <w:t xml:space="preserve"> and relevant</w:t>
      </w:r>
    </w:p>
    <w:p w:rsidR="00A10A13" w:rsidRDefault="00376568" w:rsidP="00856034">
      <w:pPr>
        <w:pStyle w:val="Dotpoint1"/>
        <w:tabs>
          <w:tab w:val="clear" w:pos="284"/>
        </w:tabs>
        <w:spacing w:before="80"/>
        <w:ind w:left="357" w:hanging="357"/>
      </w:pPr>
      <w:r>
        <w:t xml:space="preserve">extensive and locally </w:t>
      </w:r>
      <w:r w:rsidR="00A10A13">
        <w:t>sensitive occupa</w:t>
      </w:r>
      <w:r>
        <w:t>tional and labour market analyse</w:t>
      </w:r>
      <w:r w:rsidR="00A10A13">
        <w:t>s</w:t>
      </w:r>
      <w:r w:rsidR="00BC05A9">
        <w:t xml:space="preserve"> is required to provide a</w:t>
      </w:r>
      <w:r w:rsidR="00B31F60">
        <w:t xml:space="preserve"> </w:t>
      </w:r>
      <w:r w:rsidR="00A10A13">
        <w:t>better understanding of where displaced workers are likely to find appropriate employment</w:t>
      </w:r>
      <w:r w:rsidR="00BC05A9">
        <w:t xml:space="preserve"> that can utilise their transferable skills and potentially technical skills</w:t>
      </w:r>
      <w:r w:rsidR="00A10A13">
        <w:t xml:space="preserve">. This should be </w:t>
      </w:r>
      <w:r w:rsidR="00215FED">
        <w:t>undertaken</w:t>
      </w:r>
      <w:r w:rsidR="00A10A13">
        <w:t xml:space="preserve"> alongside a comprehensive analysis of workers’ existing skills</w:t>
      </w:r>
      <w:r>
        <w:t>, both accredited and otherwise</w:t>
      </w:r>
      <w:r w:rsidR="00A10A13">
        <w:t xml:space="preserve"> </w:t>
      </w:r>
    </w:p>
    <w:p w:rsidR="00BD085B" w:rsidRDefault="00601A41" w:rsidP="00856034">
      <w:pPr>
        <w:pStyle w:val="Dotpoint1"/>
        <w:tabs>
          <w:tab w:val="clear" w:pos="284"/>
        </w:tabs>
        <w:spacing w:before="80"/>
        <w:ind w:left="357" w:hanging="357"/>
      </w:pPr>
      <w:r>
        <w:t>well-articulated</w:t>
      </w:r>
      <w:r w:rsidR="00A10A13">
        <w:t xml:space="preserve"> proces</w:t>
      </w:r>
      <w:r w:rsidR="00215FED">
        <w:t>ses</w:t>
      </w:r>
      <w:r w:rsidR="00BC05A9">
        <w:t xml:space="preserve"> are required</w:t>
      </w:r>
      <w:r w:rsidR="00A10A13">
        <w:t xml:space="preserve"> for establishing and managing effective worker transition programs</w:t>
      </w:r>
      <w:r w:rsidR="00215FED">
        <w:t xml:space="preserve"> </w:t>
      </w:r>
      <w:r w:rsidR="00BC05A9">
        <w:t xml:space="preserve">particularly </w:t>
      </w:r>
      <w:r w:rsidR="00A10A13">
        <w:t>in situations of retrenchment. Such process</w:t>
      </w:r>
      <w:r w:rsidR="00215FED">
        <w:t>es</w:t>
      </w:r>
      <w:r w:rsidR="00A10A13">
        <w:t xml:space="preserve"> should clearly identify and s</w:t>
      </w:r>
      <w:r w:rsidR="00215FED">
        <w:t>pecify</w:t>
      </w:r>
      <w:r w:rsidR="00A10A13">
        <w:t xml:space="preserve"> the roles and expectations of different actors in the transition</w:t>
      </w:r>
      <w:r w:rsidR="000D43D0">
        <w:t>.</w:t>
      </w:r>
    </w:p>
    <w:p w:rsidR="00225424" w:rsidRDefault="00225424">
      <w:pPr>
        <w:spacing w:before="0" w:line="240" w:lineRule="auto"/>
        <w:rPr>
          <w:rFonts w:ascii="Arial" w:hAnsi="Arial" w:cs="Tahoma"/>
          <w:color w:val="000000"/>
          <w:kern w:val="28"/>
          <w:sz w:val="48"/>
          <w:szCs w:val="56"/>
        </w:rPr>
      </w:pPr>
      <w:bookmarkStart w:id="33" w:name="_Toc316371587"/>
      <w:bookmarkEnd w:id="30"/>
      <w:r>
        <w:br w:type="page"/>
      </w:r>
    </w:p>
    <w:p w:rsidR="004F2E7A" w:rsidRDefault="00AF100C" w:rsidP="00A6159F">
      <w:pPr>
        <w:pStyle w:val="Heading1"/>
      </w:pPr>
      <w:bookmarkStart w:id="34" w:name="_Toc449707282"/>
      <w:r w:rsidRPr="00AF100C">
        <w:rPr>
          <w:noProof/>
          <w:lang w:eastAsia="en-AU"/>
        </w:rPr>
        <w:drawing>
          <wp:anchor distT="0" distB="0" distL="114300" distR="114300" simplePos="0" relativeHeight="252111872" behindDoc="1" locked="0" layoutInCell="1" allowOverlap="1" wp14:anchorId="2B6847D3" wp14:editId="5A983601">
            <wp:simplePos x="0" y="0"/>
            <wp:positionH relativeFrom="column">
              <wp:posOffset>-38100</wp:posOffset>
            </wp:positionH>
            <wp:positionV relativeFrom="paragraph">
              <wp:posOffset>-48260</wp:posOffset>
            </wp:positionV>
            <wp:extent cx="419100" cy="447675"/>
            <wp:effectExtent l="0" t="0" r="0" b="9525"/>
            <wp:wrapTight wrapText="bothSides">
              <wp:wrapPolygon edited="0">
                <wp:start x="4909" y="0"/>
                <wp:lineTo x="0" y="5515"/>
                <wp:lineTo x="0" y="11949"/>
                <wp:lineTo x="982" y="15626"/>
                <wp:lineTo x="5891" y="19302"/>
                <wp:lineTo x="6873" y="21140"/>
                <wp:lineTo x="13745" y="21140"/>
                <wp:lineTo x="14727" y="19302"/>
                <wp:lineTo x="20618" y="15626"/>
                <wp:lineTo x="20618" y="5515"/>
                <wp:lineTo x="15709" y="0"/>
                <wp:lineTo x="4909" y="0"/>
              </wp:wrapPolygon>
            </wp:wrapTight>
            <wp:docPr id="66" name="Picture 66" descr="P:\PublicationComponents\Icons\Intro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Intro_Green.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5725">
        <w:t>Introduction</w:t>
      </w:r>
      <w:bookmarkEnd w:id="34"/>
      <w:r w:rsidR="00A6673C" w:rsidRPr="00A6673C">
        <w:rPr>
          <w:noProof/>
          <w:lang w:eastAsia="en-AU"/>
        </w:rPr>
        <w:t xml:space="preserve"> </w:t>
      </w:r>
    </w:p>
    <w:p w:rsidR="008A16C1" w:rsidRPr="0043011B" w:rsidRDefault="004F0FD5" w:rsidP="004F0FD5">
      <w:pPr>
        <w:pStyle w:val="Text"/>
      </w:pPr>
      <w:r>
        <w:t xml:space="preserve">Australia, </w:t>
      </w:r>
      <w:r w:rsidR="002F6FCF">
        <w:t xml:space="preserve">like </w:t>
      </w:r>
      <w:r>
        <w:t>many other industrially advanced economies, is undergoing economic and industrial transformation. As a result</w:t>
      </w:r>
      <w:r w:rsidR="00376568">
        <w:t>,</w:t>
      </w:r>
      <w:r>
        <w:t xml:space="preserve"> some e</w:t>
      </w:r>
      <w:r w:rsidR="00376568">
        <w:t>stablished industries, notably m</w:t>
      </w:r>
      <w:r>
        <w:t>anufacturing, have declined</w:t>
      </w:r>
      <w:r w:rsidR="00376568">
        <w:t>, while others have grown</w:t>
      </w:r>
      <w:r>
        <w:t xml:space="preserve"> and new ones have emerged. The inevitable consequence of this transformation has been massive job losses</w:t>
      </w:r>
      <w:r w:rsidR="00376568">
        <w:t>,</w:t>
      </w:r>
      <w:r>
        <w:t xml:space="preserve"> as currently witnessed in the (impending) closure of the </w:t>
      </w:r>
      <w:r w:rsidR="007A7999">
        <w:t xml:space="preserve">automotive </w:t>
      </w:r>
      <w:r>
        <w:t>indust</w:t>
      </w:r>
      <w:r w:rsidR="00376568">
        <w:t>ry, smelters and oil refineries</w:t>
      </w:r>
      <w:r w:rsidR="002F6FCF">
        <w:t>,</w:t>
      </w:r>
      <w:r w:rsidR="002F6FCF">
        <w:rPr>
          <w:noProof/>
          <w:lang w:eastAsia="en-AU"/>
        </w:rPr>
        <mc:AlternateContent>
          <mc:Choice Requires="wps">
            <w:drawing>
              <wp:anchor distT="0" distB="0" distL="114300" distR="114300" simplePos="0" relativeHeight="252085248" behindDoc="0" locked="1" layoutInCell="1" allowOverlap="1" wp14:anchorId="27923E6B" wp14:editId="30714712">
                <wp:simplePos x="0" y="0"/>
                <wp:positionH relativeFrom="outsideMargin">
                  <wp:posOffset>187960</wp:posOffset>
                </wp:positionH>
                <wp:positionV relativeFrom="page">
                  <wp:posOffset>798830</wp:posOffset>
                </wp:positionV>
                <wp:extent cx="1320800" cy="20669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0669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396053" w:rsidRPr="00543BFF" w:rsidRDefault="00396053" w:rsidP="002F6FCF">
                            <w:pPr>
                              <w:pStyle w:val="PullQuote"/>
                            </w:pPr>
                            <w:r>
                              <w:t>There is considerable debate</w:t>
                            </w:r>
                            <w:r w:rsidRPr="0006449D">
                              <w:t xml:space="preserve"> over what constitutes a transferable skill and how best to define and measure </w:t>
                            </w:r>
                            <w:r>
                              <w:t>such skills.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4.8pt;margin-top:62.9pt;width:104pt;height:162.75pt;z-index:25208524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" filled="f" stroked="f" strokeweight=".5pt">
                <v:shadow on="t" type="perspective" color="black" opacity="9830f" origin=",.5" offset="0,25pt" matrix="58982f,,,-12452f"/>
                <v:path arrowok="t"/>
                <v:textbox inset="10mm">
                  <w:txbxContent>
                    <w:p w:rsidR="00396053" w:rsidRPr="00543BFF" w:rsidRDefault="00396053" w:rsidP="002F6FCF">
                      <w:pPr>
                        <w:pStyle w:val="PullQuote"/>
                      </w:pPr>
                      <w:r>
                        <w:t>There is considerable debate</w:t>
                      </w:r>
                      <w:r w:rsidRPr="0006449D">
                        <w:t xml:space="preserve"> over what constitutes a transferable skill and how best to define and measure </w:t>
                      </w:r>
                      <w:r>
                        <w:t>such skills.</w:t>
                      </w:r>
                    </w:p>
                  </w:txbxContent>
                </v:textbox>
                <w10:wrap anchorx="margin" anchory="page"/>
                <w10:anchorlock/>
              </v:shape>
            </w:pict>
          </mc:Fallback>
        </mc:AlternateContent>
      </w:r>
      <w:r w:rsidR="002F6FCF">
        <w:t xml:space="preserve"> </w:t>
      </w:r>
      <w:r>
        <w:t xml:space="preserve">and the </w:t>
      </w:r>
      <w:r w:rsidRPr="0043011B">
        <w:t xml:space="preserve">retraction of the </w:t>
      </w:r>
      <w:r w:rsidR="008A16C1" w:rsidRPr="0043011B">
        <w:t>mi</w:t>
      </w:r>
      <w:r w:rsidRPr="0043011B">
        <w:t>ning sector</w:t>
      </w:r>
      <w:r w:rsidR="00376568">
        <w:t>,</w:t>
      </w:r>
      <w:r w:rsidRPr="0043011B">
        <w:t xml:space="preserve"> among others. The key concerns in policy and academic debates about this situation relate to: </w:t>
      </w:r>
    </w:p>
    <w:p w:rsidR="008A16C1" w:rsidRDefault="00E7423E" w:rsidP="00856034">
      <w:pPr>
        <w:pStyle w:val="Dotpoint1"/>
        <w:tabs>
          <w:tab w:val="clear" w:pos="284"/>
        </w:tabs>
        <w:spacing w:before="80"/>
        <w:ind w:left="357" w:hanging="357"/>
      </w:pPr>
      <w:r w:rsidRPr="0043011B">
        <w:t>e</w:t>
      </w:r>
      <w:r w:rsidR="004F0FD5" w:rsidRPr="0043011B">
        <w:t>mployment and the econo</w:t>
      </w:r>
      <w:r w:rsidR="008A16C1" w:rsidRPr="0043011B">
        <w:t>mic</w:t>
      </w:r>
      <w:r w:rsidR="008A16C1">
        <w:t xml:space="preserve"> implications of job losses</w:t>
      </w:r>
    </w:p>
    <w:p w:rsidR="008A16C1" w:rsidRDefault="00376568" w:rsidP="00856034">
      <w:pPr>
        <w:pStyle w:val="Dotpoint1"/>
        <w:tabs>
          <w:tab w:val="clear" w:pos="284"/>
        </w:tabs>
        <w:spacing w:before="80"/>
        <w:ind w:left="357" w:hanging="357"/>
      </w:pPr>
      <w:r>
        <w:t>the approach to</w:t>
      </w:r>
      <w:r w:rsidR="004F0FD5">
        <w:t xml:space="preserve"> best assist workers </w:t>
      </w:r>
      <w:r w:rsidR="00826400">
        <w:t>to</w:t>
      </w:r>
      <w:r w:rsidR="004F0FD5">
        <w:t xml:space="preserve"> </w:t>
      </w:r>
      <w:r w:rsidR="00826400">
        <w:t>find</w:t>
      </w:r>
      <w:r w:rsidR="008A16C1">
        <w:t xml:space="preserve"> alternative employment</w:t>
      </w:r>
    </w:p>
    <w:p w:rsidR="008A16C1" w:rsidRDefault="00376568" w:rsidP="00856034">
      <w:pPr>
        <w:pStyle w:val="Dotpoint1"/>
        <w:tabs>
          <w:tab w:val="clear" w:pos="284"/>
        </w:tabs>
        <w:spacing w:before="80"/>
        <w:ind w:left="357" w:hanging="357"/>
      </w:pPr>
      <w:r>
        <w:t>the degree to which</w:t>
      </w:r>
      <w:r w:rsidR="00A64367">
        <w:t xml:space="preserve"> the currently stable and</w:t>
      </w:r>
      <w:r w:rsidR="004F0FD5">
        <w:t xml:space="preserve"> </w:t>
      </w:r>
      <w:r w:rsidR="00826400">
        <w:t xml:space="preserve">the </w:t>
      </w:r>
      <w:r w:rsidR="004F0FD5">
        <w:t>growing and emerging industries (</w:t>
      </w:r>
      <w:r w:rsidR="001C6537">
        <w:t>for example,</w:t>
      </w:r>
      <w:r w:rsidR="004F0FD5">
        <w:t xml:space="preserve"> </w:t>
      </w:r>
      <w:r>
        <w:t xml:space="preserve">health and community services, education </w:t>
      </w:r>
      <w:r w:rsidR="004F0FD5">
        <w:t>etc</w:t>
      </w:r>
      <w:r w:rsidR="007A7999">
        <w:t>.</w:t>
      </w:r>
      <w:r w:rsidR="004F0FD5">
        <w:t>) have the capacity to absorb displaced workers</w:t>
      </w:r>
      <w:r>
        <w:t>,</w:t>
      </w:r>
      <w:r w:rsidR="004F0FD5">
        <w:t xml:space="preserve"> as well as provide sustainable employment into the future</w:t>
      </w:r>
    </w:p>
    <w:p w:rsidR="008A16C1" w:rsidRDefault="008A16C1" w:rsidP="00856034">
      <w:pPr>
        <w:pStyle w:val="Dotpoint1"/>
        <w:tabs>
          <w:tab w:val="clear" w:pos="284"/>
        </w:tabs>
        <w:spacing w:before="80"/>
        <w:ind w:left="357" w:hanging="357"/>
      </w:pPr>
      <w:r>
        <w:t>t</w:t>
      </w:r>
      <w:r w:rsidR="004F0FD5">
        <w:t xml:space="preserve">he extent to which the current VET system and </w:t>
      </w:r>
      <w:r w:rsidR="00A64367">
        <w:t xml:space="preserve">the </w:t>
      </w:r>
      <w:r w:rsidR="004F0FD5">
        <w:t xml:space="preserve">prevailing employer recruitment strategies facilitate employment mobility across occupations and, by extension, facilitate </w:t>
      </w:r>
      <w:r w:rsidR="00A64367">
        <w:t xml:space="preserve">the </w:t>
      </w:r>
      <w:r w:rsidR="004F0FD5">
        <w:t>effective absorption of vulnerable workers</w:t>
      </w:r>
      <w:r w:rsidR="00A64367">
        <w:t xml:space="preserve"> into the labour</w:t>
      </w:r>
      <w:r w:rsidR="00BC0C15">
        <w:t xml:space="preserve"> market</w:t>
      </w:r>
      <w:r w:rsidR="004F0FD5">
        <w:t xml:space="preserve">. </w:t>
      </w:r>
    </w:p>
    <w:p w:rsidR="004F0FD5" w:rsidRDefault="004F0FD5" w:rsidP="004F0FD5">
      <w:pPr>
        <w:pStyle w:val="Text"/>
      </w:pPr>
      <w:r>
        <w:t xml:space="preserve">Concerns about economic transition and employment sustainability, therefore, are interconnected, </w:t>
      </w:r>
      <w:r w:rsidR="00376568">
        <w:t>with</w:t>
      </w:r>
      <w:r>
        <w:t xml:space="preserve"> skills transferability a critical component to that interconnection.</w:t>
      </w:r>
    </w:p>
    <w:p w:rsidR="004F0FD5" w:rsidRDefault="004F0FD5" w:rsidP="004F0FD5">
      <w:pPr>
        <w:pStyle w:val="Text"/>
      </w:pPr>
      <w:r>
        <w:t xml:space="preserve">This study examines the role of </w:t>
      </w:r>
      <w:r w:rsidR="00B119E3">
        <w:t>transferable skills</w:t>
      </w:r>
      <w:r>
        <w:t xml:space="preserve"> </w:t>
      </w:r>
      <w:r w:rsidR="00B119E3">
        <w:t>(</w:t>
      </w:r>
      <w:r w:rsidR="00376568">
        <w:t>that is,</w:t>
      </w:r>
      <w:r w:rsidR="00FB0221">
        <w:t xml:space="preserve"> </w:t>
      </w:r>
      <w:r w:rsidR="00D44748">
        <w:t xml:space="preserve">those </w:t>
      </w:r>
      <w:r w:rsidR="00376568">
        <w:t>that</w:t>
      </w:r>
      <w:r w:rsidR="00D44748">
        <w:t xml:space="preserve"> can be adapted to different jobs, oc</w:t>
      </w:r>
      <w:r w:rsidR="00B119E3">
        <w:t>cupations and industry settings)</w:t>
      </w:r>
      <w:r w:rsidR="00D44748">
        <w:t xml:space="preserve"> </w:t>
      </w:r>
      <w:r>
        <w:t>in cross-occupational mobility</w:t>
      </w:r>
      <w:r w:rsidR="00FC5A45">
        <w:t xml:space="preserve"> in times of industrial restructuring</w:t>
      </w:r>
      <w:r>
        <w:t>.</w:t>
      </w:r>
      <w:r w:rsidR="0096744F">
        <w:t xml:space="preserve"> </w:t>
      </w:r>
      <w:r>
        <w:t>Occupational mobility occurs in a range of levels and contexts. For many workers, o</w:t>
      </w:r>
      <w:r w:rsidR="00A64367">
        <w:t xml:space="preserve">ccupational mobility </w:t>
      </w:r>
      <w:r w:rsidR="00826400">
        <w:t>can take place</w:t>
      </w:r>
      <w:r w:rsidR="00A64367">
        <w:t xml:space="preserve"> </w:t>
      </w:r>
      <w:r>
        <w:t xml:space="preserve">in the organisation </w:t>
      </w:r>
      <w:r w:rsidR="00AF12FE">
        <w:t xml:space="preserve">in which </w:t>
      </w:r>
      <w:r>
        <w:t>they are employed</w:t>
      </w:r>
      <w:r w:rsidR="00376568">
        <w:t>:</w:t>
      </w:r>
      <w:r>
        <w:t xml:space="preserve"> as they move from one position to another they are able to draw upon similar types of skills. In other cases, it may involve changing employers but gaining employment in a like occupation in the same or similar industry, whether that</w:t>
      </w:r>
      <w:r w:rsidR="00FC5A45">
        <w:t xml:space="preserve"> is</w:t>
      </w:r>
      <w:r w:rsidR="00A64367">
        <w:t xml:space="preserve"> in an individual</w:t>
      </w:r>
      <w:r>
        <w:t xml:space="preserve">’s hometown or a completely different geographical area (Atkinson </w:t>
      </w:r>
      <w:r w:rsidR="00FA2B91">
        <w:t xml:space="preserve">&amp; </w:t>
      </w:r>
      <w:r>
        <w:t>Hargreaves 2014; Productivity Commission 2014). In these two levels of mobility</w:t>
      </w:r>
      <w:r w:rsidR="00376568">
        <w:t>,</w:t>
      </w:r>
      <w:r>
        <w:t xml:space="preserve"> workers typically move vertically (upwards), building on existing skills, cumulative experie</w:t>
      </w:r>
      <w:r w:rsidR="00A64367">
        <w:t>nce and additional training (up</w:t>
      </w:r>
      <w:r>
        <w:t>skilling)</w:t>
      </w:r>
      <w:r w:rsidR="00AF12FE">
        <w:t>,</w:t>
      </w:r>
      <w:r>
        <w:t xml:space="preserve"> with the objective of enhancing their careers (Shaw 1987). In other situations, a worker is able to use the skills they </w:t>
      </w:r>
      <w:r w:rsidR="003B230F">
        <w:t>gained</w:t>
      </w:r>
      <w:r>
        <w:t xml:space="preserve"> in one occupation to acquire a job in a very different occupation, but which partially relies upon their existing skills (Quintini </w:t>
      </w:r>
      <w:r w:rsidR="00FA2B91">
        <w:t xml:space="preserve">&amp; </w:t>
      </w:r>
      <w:r>
        <w:t>Venn 2013). This lat</w:t>
      </w:r>
      <w:r w:rsidR="00AF12FE">
        <w:t>t</w:t>
      </w:r>
      <w:r>
        <w:t>er type of occupational mobility, what we define as cross-occupational mobility, is the primary focus of this study.</w:t>
      </w:r>
    </w:p>
    <w:p w:rsidR="00EE07B8" w:rsidRDefault="00EE07B8" w:rsidP="00EE07B8">
      <w:pPr>
        <w:pStyle w:val="Text"/>
      </w:pPr>
      <w:r>
        <w:t xml:space="preserve">The importance of transferable skills for occupational mobility and employability is commonly noted by </w:t>
      </w:r>
      <w:r w:rsidR="00B16314">
        <w:t>educators</w:t>
      </w:r>
      <w:r>
        <w:t xml:space="preserve">, careers counsellors and labour market analysts (European Commission 2013; National Quality Council 2010; Misko 1999; Perkins </w:t>
      </w:r>
      <w:r w:rsidR="00D67D5F">
        <w:t>&amp;</w:t>
      </w:r>
      <w:r>
        <w:t xml:space="preserve"> Salmon 1988; Subedi 2004).</w:t>
      </w:r>
      <w:r w:rsidR="00420EEF">
        <w:t xml:space="preserve"> </w:t>
      </w:r>
      <w:r>
        <w:t xml:space="preserve">There is </w:t>
      </w:r>
      <w:r w:rsidRPr="0006449D">
        <w:t xml:space="preserve">considerable debate, however, over what constitutes a transferable skill and how best to define and measure </w:t>
      </w:r>
      <w:r w:rsidR="003B230F">
        <w:t>such skills</w:t>
      </w:r>
      <w:r w:rsidRPr="0006449D">
        <w:t>.</w:t>
      </w:r>
      <w:r w:rsidR="00420EEF">
        <w:t xml:space="preserve"> </w:t>
      </w:r>
      <w:r w:rsidRPr="0006449D">
        <w:t>A common view is that transferable skills are non-technical generic skills,</w:t>
      </w:r>
      <w:r w:rsidR="003B230F">
        <w:t xml:space="preserve"> such as communication, problem-</w:t>
      </w:r>
      <w:r w:rsidRPr="0006449D">
        <w:t xml:space="preserve">solving and </w:t>
      </w:r>
      <w:r w:rsidR="003B230F">
        <w:t xml:space="preserve">the </w:t>
      </w:r>
      <w:r w:rsidRPr="0006449D">
        <w:t xml:space="preserve">ability to work as part of a team, </w:t>
      </w:r>
      <w:r w:rsidR="00826400">
        <w:t>and</w:t>
      </w:r>
      <w:r w:rsidRPr="0006449D">
        <w:t xml:space="preserve"> can be used in a broad spectrum of jobs and are not occupation-specific.</w:t>
      </w:r>
      <w:r w:rsidR="00420EEF">
        <w:t xml:space="preserve"> </w:t>
      </w:r>
      <w:r w:rsidRPr="0006449D">
        <w:t>Beerepoot and Hendriks (2013</w:t>
      </w:r>
      <w:r w:rsidR="003B230F">
        <w:t>, p.828</w:t>
      </w:r>
      <w:r w:rsidRPr="0006449D">
        <w:t xml:space="preserve">) note ‘the transferability and flexibility of generic skills make them invaluable tools for successful action in highly volatile environments where purely subject-related competencies are very </w:t>
      </w:r>
      <w:r w:rsidR="003B230F">
        <w:t>short lived</w:t>
      </w:r>
      <w:r w:rsidR="00D44748">
        <w:t>.</w:t>
      </w:r>
      <w:r w:rsidR="002F6FCF">
        <w:t>’</w:t>
      </w:r>
      <w:r w:rsidR="00D44748">
        <w:t xml:space="preserve"> </w:t>
      </w:r>
      <w:r w:rsidRPr="0006449D">
        <w:t>Typically, ‘soft skills’ are also included among the category of transferable skills.</w:t>
      </w:r>
      <w:r w:rsidR="00420EEF">
        <w:t xml:space="preserve"> </w:t>
      </w:r>
      <w:r w:rsidRPr="0006449D">
        <w:t xml:space="preserve">Soft </w:t>
      </w:r>
      <w:r w:rsidR="00A64367">
        <w:t>skills</w:t>
      </w:r>
      <w:r w:rsidRPr="00856034">
        <w:t xml:space="preserve"> are much more intangible and difficult to quantify and formally</w:t>
      </w:r>
      <w:r w:rsidR="00F36807">
        <w:t xml:space="preserve"> develop; they </w:t>
      </w:r>
      <w:r>
        <w:t>relate to issues of creativity, self</w:t>
      </w:r>
      <w:r w:rsidR="00D44748">
        <w:t>-</w:t>
      </w:r>
      <w:r>
        <w:t>initiative and self-control</w:t>
      </w:r>
      <w:r w:rsidR="00D44748">
        <w:t>. They</w:t>
      </w:r>
      <w:r>
        <w:t xml:space="preserve"> are closely connected </w:t>
      </w:r>
      <w:r w:rsidR="003B230F">
        <w:t>to</w:t>
      </w:r>
      <w:r>
        <w:t xml:space="preserve"> personal attributes and characteristics (European Commission 2013).</w:t>
      </w:r>
      <w:r w:rsidR="00420EEF">
        <w:t xml:space="preserve"> </w:t>
      </w:r>
      <w:r>
        <w:t xml:space="preserve">This connection to personal attributes has led </w:t>
      </w:r>
      <w:r w:rsidR="00A64367">
        <w:t xml:space="preserve">some to question </w:t>
      </w:r>
      <w:r w:rsidR="00F36807">
        <w:t xml:space="preserve">about </w:t>
      </w:r>
      <w:r w:rsidR="00A64367">
        <w:t>whether these soft</w:t>
      </w:r>
      <w:r>
        <w:t xml:space="preserve"> transferable skills are actually skills </w:t>
      </w:r>
      <w:r w:rsidR="00F36807">
        <w:t>or</w:t>
      </w:r>
      <w:r>
        <w:t xml:space="preserve"> pertain to personality, attitudes and behaviours (Lafer 2004; Moss </w:t>
      </w:r>
      <w:r w:rsidR="00843604">
        <w:t>&amp;</w:t>
      </w:r>
      <w:r>
        <w:t xml:space="preserve"> Tilly 1996; Shan 2013; Grugulis 2007). These debates have </w:t>
      </w:r>
      <w:r w:rsidR="00A64367">
        <w:t>prompted</w:t>
      </w:r>
      <w:r>
        <w:t xml:space="preserve"> some to advocate for a more ‘holistic’ approach</w:t>
      </w:r>
      <w:r w:rsidR="003B230F">
        <w:t>, one</w:t>
      </w:r>
      <w:r>
        <w:t xml:space="preserve"> which recognises that the competencies required </w:t>
      </w:r>
      <w:r w:rsidR="00A64367">
        <w:t xml:space="preserve">for </w:t>
      </w:r>
      <w:r>
        <w:t xml:space="preserve">an occupation include both conceptual competencies (cognitive, knowledge and understanding) and operational competencies </w:t>
      </w:r>
      <w:r w:rsidR="00A64367">
        <w:t>(functional, applied and psycho</w:t>
      </w:r>
      <w:r>
        <w:t>metric skills</w:t>
      </w:r>
      <w:r w:rsidR="003B230F">
        <w:t>,</w:t>
      </w:r>
      <w:r>
        <w:t xml:space="preserve"> including behaviours </w:t>
      </w:r>
      <w:r w:rsidR="003B230F">
        <w:t xml:space="preserve">and attitudes; </w:t>
      </w:r>
      <w:r w:rsidR="00843604">
        <w:t>see Le Deist &amp;</w:t>
      </w:r>
      <w:r>
        <w:t xml:space="preserve"> Winterton 2005).</w:t>
      </w:r>
      <w:r w:rsidR="00420EEF">
        <w:t xml:space="preserve"> </w:t>
      </w:r>
      <w:r>
        <w:t xml:space="preserve">It is also generally acknowledged that the skills that employers </w:t>
      </w:r>
      <w:r w:rsidR="00A64367">
        <w:t>assess</w:t>
      </w:r>
      <w:r>
        <w:t xml:space="preserve"> to make hiring decisions are changing</w:t>
      </w:r>
      <w:r w:rsidR="00D44748">
        <w:t>,</w:t>
      </w:r>
      <w:r>
        <w:t xml:space="preserve"> with soft sk</w:t>
      </w:r>
      <w:r w:rsidR="003B230F">
        <w:t>ill</w:t>
      </w:r>
      <w:r w:rsidR="00F36807">
        <w:rPr>
          <w:noProof/>
          <w:lang w:eastAsia="en-AU"/>
        </w:rPr>
        <mc:AlternateContent>
          <mc:Choice Requires="wps">
            <w:drawing>
              <wp:anchor distT="0" distB="0" distL="114300" distR="114300" simplePos="0" relativeHeight="252087296" behindDoc="0" locked="1" layoutInCell="1" allowOverlap="1" wp14:anchorId="6922C7C7" wp14:editId="7657134D">
                <wp:simplePos x="0" y="0"/>
                <wp:positionH relativeFrom="outsideMargin">
                  <wp:posOffset>294005</wp:posOffset>
                </wp:positionH>
                <wp:positionV relativeFrom="page">
                  <wp:posOffset>829310</wp:posOffset>
                </wp:positionV>
                <wp:extent cx="1320800" cy="206692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0669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396053" w:rsidRPr="00543BFF" w:rsidRDefault="00396053" w:rsidP="00F36807">
                            <w:pPr>
                              <w:pStyle w:val="PullQuote"/>
                            </w:pPr>
                            <w:r>
                              <w:t>S</w:t>
                            </w:r>
                            <w:r w:rsidRPr="00F36807">
                              <w:t>kills transferability is more easily achieved between occupations where similar tasks and skill requirements are needed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3.15pt;margin-top:65.3pt;width:104pt;height:162.75pt;z-index:25208729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" filled="f" stroked="f" strokeweight=".5pt">
                <v:shadow on="t" type="perspective" color="black" opacity="9830f" origin=",.5" offset="0,25pt" matrix="58982f,,,-12452f"/>
                <v:path arrowok="t"/>
                <v:textbox inset="10mm">
                  <w:txbxContent>
                    <w:p w:rsidR="00396053" w:rsidRPr="00543BFF" w:rsidRDefault="00396053" w:rsidP="00F36807">
                      <w:pPr>
                        <w:pStyle w:val="PullQuote"/>
                      </w:pPr>
                      <w:r>
                        <w:t>S</w:t>
                      </w:r>
                      <w:r w:rsidRPr="00F36807">
                        <w:t>kills transferability is more easily achieved between occupations where similar tasks and skill requirements are needed</w:t>
                      </w:r>
                    </w:p>
                  </w:txbxContent>
                </v:textbox>
                <w10:wrap anchorx="margin" anchory="page"/>
                <w10:anchorlock/>
              </v:shape>
            </w:pict>
          </mc:Fallback>
        </mc:AlternateContent>
      </w:r>
      <w:r w:rsidR="003B230F">
        <w:t>s being considered alongside</w:t>
      </w:r>
      <w:r>
        <w:t xml:space="preserve"> and in some cases privileged over the more technical ones (Grugulis </w:t>
      </w:r>
      <w:r w:rsidR="00D44748">
        <w:t>&amp;</w:t>
      </w:r>
      <w:r>
        <w:t xml:space="preserve"> Vincent 2009).</w:t>
      </w:r>
    </w:p>
    <w:p w:rsidR="004F0FD5" w:rsidRDefault="003B230F" w:rsidP="004F0FD5">
      <w:pPr>
        <w:pStyle w:val="Text"/>
      </w:pPr>
      <w:r>
        <w:t>I</w:t>
      </w:r>
      <w:r w:rsidR="004F0FD5">
        <w:t>n Australia researchers and policy analysts have sought to better understand the degre</w:t>
      </w:r>
      <w:r>
        <w:t xml:space="preserve">e of skills transferability </w:t>
      </w:r>
      <w:r w:rsidR="004F0FD5">
        <w:t xml:space="preserve">in the labour market and the </w:t>
      </w:r>
      <w:r w:rsidR="00FC5A45">
        <w:t>enablers</w:t>
      </w:r>
      <w:r w:rsidR="004F0FD5">
        <w:t xml:space="preserve"> and barriers associated with skills transfer (Mayer 1992; Misko 1998; Pa</w:t>
      </w:r>
      <w:r w:rsidR="00A64367">
        <w:t>r</w:t>
      </w:r>
      <w:r w:rsidR="004F0FD5">
        <w:t xml:space="preserve">tridge, Chapman </w:t>
      </w:r>
      <w:r w:rsidR="00FA2B91">
        <w:t xml:space="preserve">&amp; </w:t>
      </w:r>
      <w:r w:rsidR="004F0FD5">
        <w:t>O’Neil 2009</w:t>
      </w:r>
      <w:r w:rsidR="004F0FD5" w:rsidRPr="00AA59C9">
        <w:t xml:space="preserve">). </w:t>
      </w:r>
      <w:r w:rsidR="004F0FD5" w:rsidRPr="00FD7DCE">
        <w:t>It is generally acknowledged that an individual’s level of skills affects the probability of employment or unemployment during changing economic circumstances (National Quality Council 20</w:t>
      </w:r>
      <w:r>
        <w:t>10; Skills for Jobs 2013; Sweet</w:t>
      </w:r>
      <w:r w:rsidR="004F0FD5" w:rsidRPr="00FD7DCE">
        <w:t xml:space="preserve"> 2009).</w:t>
      </w:r>
      <w:r w:rsidR="004F0FD5">
        <w:t xml:space="preserve"> Much depends, however, on the level of skills transferability </w:t>
      </w:r>
      <w:r>
        <w:t>the individual</w:t>
      </w:r>
      <w:r w:rsidR="004F0FD5">
        <w:t xml:space="preserve"> has acquired and how well </w:t>
      </w:r>
      <w:r>
        <w:t>their</w:t>
      </w:r>
      <w:r w:rsidR="004F0FD5">
        <w:t xml:space="preserve"> skills translate from one context to another (Curtis </w:t>
      </w:r>
      <w:r w:rsidR="00FA2B91">
        <w:t xml:space="preserve">&amp; </w:t>
      </w:r>
      <w:r w:rsidR="004F0FD5">
        <w:t>McKenzie 2001; Misko 1999</w:t>
      </w:r>
      <w:r w:rsidR="00AF12FE">
        <w:t>,</w:t>
      </w:r>
      <w:r w:rsidR="004F0FD5">
        <w:t xml:space="preserve"> 1995). For example, research points to occupational mobility being more common among machinery operator</w:t>
      </w:r>
      <w:r>
        <w:t>s and drivers and sales workers</w:t>
      </w:r>
      <w:r w:rsidR="004F0FD5">
        <w:t xml:space="preserve"> and less common among managers (Sweet 2011).</w:t>
      </w:r>
    </w:p>
    <w:p w:rsidR="00A51FAB" w:rsidRDefault="00D44748" w:rsidP="00856034">
      <w:pPr>
        <w:spacing w:line="300" w:lineRule="exact"/>
      </w:pPr>
      <w:r>
        <w:t>T</w:t>
      </w:r>
      <w:r w:rsidR="00EA79E0">
        <w:t>he barriers and enablers to skills transferability are both objective and subjective. As other studies have demonstrated, not all skills are transferable and much depends on the generic aspect of the skill. This typically applies to non-technical and/or soft skill</w:t>
      </w:r>
      <w:r w:rsidR="00420EEF">
        <w:t>s</w:t>
      </w:r>
      <w:r w:rsidR="00EA79E0">
        <w:t>. Transferabil</w:t>
      </w:r>
      <w:r w:rsidR="00C96785">
        <w:t xml:space="preserve">ity is also heavily dependent </w:t>
      </w:r>
      <w:r w:rsidR="00EA79E0">
        <w:t>on the similarities and differences between occupations and their knowledge and skill requirements. It is well known that skill and knowledge boundaries between occupations can restrict occupational mobility (Weeden 2011; Kim 2013). A</w:t>
      </w:r>
      <w:r w:rsidR="00E770EB">
        <w:t>s demonstrated in support</w:t>
      </w:r>
      <w:r w:rsidR="00EA79E0">
        <w:t xml:space="preserve"> document</w:t>
      </w:r>
      <w:r w:rsidR="00095EBD">
        <w:t xml:space="preserve"> 2</w:t>
      </w:r>
      <w:r w:rsidR="00EA79E0">
        <w:rPr>
          <w:i/>
        </w:rPr>
        <w:t>,</w:t>
      </w:r>
      <w:r w:rsidR="00EA79E0">
        <w:t xml:space="preserve"> skills transferability is more easily achieved between occupations where similar tasks and skill requirements are needed.</w:t>
      </w:r>
      <w:r w:rsidR="00420EEF">
        <w:t xml:space="preserve"> </w:t>
      </w:r>
      <w:r w:rsidR="00EA79E0">
        <w:t>While transferable skills may have an objective quality to them at a more subjective level, they are not always well understood by the workers who possess these skills, the potential employers who may rely upon them</w:t>
      </w:r>
      <w:r w:rsidR="00A51FAB">
        <w:t>,</w:t>
      </w:r>
      <w:r w:rsidR="00EA79E0">
        <w:t xml:space="preserve"> or the employment facilitators who seek to assist the workers </w:t>
      </w:r>
      <w:r w:rsidR="00A64367">
        <w:t>to find</w:t>
      </w:r>
      <w:r w:rsidR="00EA79E0">
        <w:t xml:space="preserve"> alternative employment.</w:t>
      </w:r>
    </w:p>
    <w:p w:rsidR="00EA79E0" w:rsidRDefault="00EA79E0" w:rsidP="00856034">
      <w:pPr>
        <w:spacing w:line="300" w:lineRule="exact"/>
      </w:pPr>
      <w:r>
        <w:t>While all workers possess some transferable skills</w:t>
      </w:r>
      <w:r w:rsidR="00A64367">
        <w:t>,</w:t>
      </w:r>
      <w:r>
        <w:t xml:space="preserve"> their awareness and understanding of these skills can vary widely. As demonstrated in suppo</w:t>
      </w:r>
      <w:r w:rsidR="00E770EB">
        <w:t>rt</w:t>
      </w:r>
      <w:r>
        <w:t xml:space="preserve"> document</w:t>
      </w:r>
      <w:r w:rsidR="00095EBD">
        <w:t xml:space="preserve"> 3</w:t>
      </w:r>
      <w:r>
        <w:rPr>
          <w:i/>
        </w:rPr>
        <w:t>,</w:t>
      </w:r>
      <w:r>
        <w:t xml:space="preserve"> workers often only come to understand these skills through their engagement with career counsellors, job service agencies or training providers.</w:t>
      </w:r>
      <w:r w:rsidR="00420EEF">
        <w:t xml:space="preserve"> </w:t>
      </w:r>
      <w:r>
        <w:t>One of the major barriers to skills transferability for workers is</w:t>
      </w:r>
      <w:r w:rsidR="00F36807">
        <w:t>,</w:t>
      </w:r>
      <w:r>
        <w:t xml:space="preserve"> therefore</w:t>
      </w:r>
      <w:r w:rsidR="00F36807">
        <w:t>,</w:t>
      </w:r>
      <w:r>
        <w:t xml:space="preserve"> not that they do not possess these skills</w:t>
      </w:r>
      <w:r w:rsidR="00D44748">
        <w:t>,</w:t>
      </w:r>
      <w:r>
        <w:t xml:space="preserve"> but that they are unable to fully identify and </w:t>
      </w:r>
      <w:r w:rsidR="00A51FAB">
        <w:t>express</w:t>
      </w:r>
      <w:r>
        <w:t xml:space="preserve"> how they are developed in one occupational context and might be utilised and of value </w:t>
      </w:r>
      <w:r w:rsidR="00513A07">
        <w:t>in</w:t>
      </w:r>
      <w:r>
        <w:t xml:space="preserve"> another occupational context.</w:t>
      </w:r>
      <w:r w:rsidR="00420EEF">
        <w:t xml:space="preserve"> </w:t>
      </w:r>
      <w:r>
        <w:t>An additional barrier relates to the lack of formal qualifications for most of the workers, as highlighted by the case studies. For these workers</w:t>
      </w:r>
      <w:r w:rsidR="00A51FAB">
        <w:t>,</w:t>
      </w:r>
      <w:r>
        <w:t xml:space="preserve"> the wide range of skills they possess, developed mostly through informal on-the-job training, go unrecognised and undervalued </w:t>
      </w:r>
      <w:r w:rsidR="00A51FAB">
        <w:t>in relation</w:t>
      </w:r>
      <w:r w:rsidR="00A64367">
        <w:t xml:space="preserve"> to transferability. I</w:t>
      </w:r>
      <w:r>
        <w:t xml:space="preserve">t is often only through being educated </w:t>
      </w:r>
      <w:r w:rsidR="00513A07">
        <w:t xml:space="preserve">about transferable skills </w:t>
      </w:r>
      <w:r>
        <w:t>by employment facilitat</w:t>
      </w:r>
      <w:r w:rsidR="00A51FAB">
        <w:t>ors</w:t>
      </w:r>
      <w:r>
        <w:t xml:space="preserve"> and </w:t>
      </w:r>
      <w:r w:rsidR="00A51FAB">
        <w:t xml:space="preserve">representatives from the </w:t>
      </w:r>
      <w:r>
        <w:t xml:space="preserve">training system </w:t>
      </w:r>
      <w:r w:rsidR="00D44748">
        <w:t>that</w:t>
      </w:r>
      <w:r>
        <w:t xml:space="preserve"> th</w:t>
      </w:r>
      <w:r w:rsidR="00A64367">
        <w:t>is group of workers</w:t>
      </w:r>
      <w:r>
        <w:t xml:space="preserve"> </w:t>
      </w:r>
      <w:r w:rsidR="00A64367">
        <w:t>begins</w:t>
      </w:r>
      <w:r>
        <w:t xml:space="preserve"> to develop an understanding of their skills and their value in the labour market. For the individual worker, employability depends not only on the knowledge, skills and attitudes they possess but </w:t>
      </w:r>
      <w:r w:rsidR="00513A07">
        <w:t xml:space="preserve">also </w:t>
      </w:r>
      <w:r w:rsidR="00A64367">
        <w:t xml:space="preserve">on </w:t>
      </w:r>
      <w:r>
        <w:t xml:space="preserve">the ability to identify and present these attributes to potential employers (Hillage </w:t>
      </w:r>
      <w:r w:rsidR="00AA59C9">
        <w:t xml:space="preserve">&amp; </w:t>
      </w:r>
      <w:r>
        <w:t>Pollard 1998). Ultimately</w:t>
      </w:r>
      <w:r w:rsidR="00A51FAB">
        <w:t>,</w:t>
      </w:r>
      <w:r>
        <w:t xml:space="preserve"> effective skills transferability depends on the </w:t>
      </w:r>
      <w:r w:rsidR="00A64367">
        <w:t>processes</w:t>
      </w:r>
      <w:r>
        <w:t xml:space="preserve"> established to manage employment transition, in addition to the capacity of the VET system to produce skills with a transferability capacity. These issues are explored in relation to the Australian t</w:t>
      </w:r>
      <w:r w:rsidR="00E770EB">
        <w:t>raining system in support</w:t>
      </w:r>
      <w:r>
        <w:t xml:space="preserve"> document</w:t>
      </w:r>
      <w:r w:rsidR="00095EBD">
        <w:t xml:space="preserve"> 2</w:t>
      </w:r>
      <w:r>
        <w:rPr>
          <w:i/>
        </w:rPr>
        <w:t>.</w:t>
      </w:r>
      <w:r>
        <w:t xml:space="preserve"> As seen in the </w:t>
      </w:r>
      <w:r w:rsidR="00A51FAB">
        <w:t>various</w:t>
      </w:r>
      <w:r>
        <w:t xml:space="preserve"> cases studies, the transition system and the coordination of its many actors is not always as effective as it should be.</w:t>
      </w:r>
      <w:r w:rsidR="00420EEF">
        <w:t xml:space="preserve">    </w:t>
      </w:r>
    </w:p>
    <w:p w:rsidR="004F0FD5" w:rsidRDefault="004F0FD5" w:rsidP="004F0FD5">
      <w:pPr>
        <w:pStyle w:val="Text"/>
      </w:pPr>
      <w:r>
        <w:t>Another implication of rapidly changing job and labour</w:t>
      </w:r>
      <w:r w:rsidR="00F36807">
        <w:rPr>
          <w:noProof/>
          <w:lang w:eastAsia="en-AU"/>
        </w:rPr>
        <mc:AlternateContent>
          <mc:Choice Requires="wps">
            <w:drawing>
              <wp:anchor distT="0" distB="0" distL="114300" distR="114300" simplePos="0" relativeHeight="252089344" behindDoc="0" locked="1" layoutInCell="1" allowOverlap="1" wp14:anchorId="7089669B" wp14:editId="62322A8A">
                <wp:simplePos x="0" y="0"/>
                <wp:positionH relativeFrom="outsideMargin">
                  <wp:posOffset>202565</wp:posOffset>
                </wp:positionH>
                <wp:positionV relativeFrom="page">
                  <wp:posOffset>814070</wp:posOffset>
                </wp:positionV>
                <wp:extent cx="1320800" cy="206692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0669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396053" w:rsidRPr="00543BFF" w:rsidRDefault="00396053" w:rsidP="00F36807">
                            <w:pPr>
                              <w:pStyle w:val="PullQuote"/>
                            </w:pPr>
                            <w:r>
                              <w:t>Many countries in the world have a serious shortage of workers possessing the critical soft skills that companies require, along with the ability to adapt and deal with evolving situations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15.95pt;margin-top:64.1pt;width:104pt;height:162.75pt;z-index:25208934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" filled="f" stroked="f" strokeweight=".5pt">
                <v:shadow on="t" type="perspective" color="black" opacity="9830f" origin=",.5" offset="0,25pt" matrix="58982f,,,-12452f"/>
                <v:path arrowok="t"/>
                <v:textbox inset="10mm">
                  <w:txbxContent>
                    <w:p w:rsidR="00396053" w:rsidRPr="00543BFF" w:rsidRDefault="00396053" w:rsidP="00F36807">
                      <w:pPr>
                        <w:pStyle w:val="PullQuote"/>
                      </w:pPr>
                      <w:r>
                        <w:t>Many countries in the world have a serious shortage of workers possessing the critical soft skills that companies require, along with the ability to adapt and deal with evolving situations</w:t>
                      </w:r>
                    </w:p>
                  </w:txbxContent>
                </v:textbox>
                <w10:wrap anchorx="margin" anchory="page"/>
                <w10:anchorlock/>
              </v:shape>
            </w:pict>
          </mc:Fallback>
        </mc:AlternateContent>
      </w:r>
      <w:r>
        <w:t xml:space="preserve"> markets i</w:t>
      </w:r>
      <w:r w:rsidR="00A51FAB">
        <w:t>s also that transferable skills</w:t>
      </w:r>
      <w:r>
        <w:t xml:space="preserve"> are becoming much more </w:t>
      </w:r>
      <w:r w:rsidRPr="0006449D">
        <w:t>important than the technical or</w:t>
      </w:r>
      <w:r w:rsidR="00A51FAB">
        <w:t xml:space="preserve"> occupation-</w:t>
      </w:r>
      <w:r>
        <w:t>specific skills (Misko 1995</w:t>
      </w:r>
      <w:r w:rsidR="00AF12FE">
        <w:t xml:space="preserve">, </w:t>
      </w:r>
      <w:r>
        <w:t>1998</w:t>
      </w:r>
      <w:r w:rsidR="00AF12FE">
        <w:t xml:space="preserve">, </w:t>
      </w:r>
      <w:r>
        <w:t>1999; Partridge, Chapman &amp; O’Neil 2009; Perkins &amp; Salmon 1988). According t</w:t>
      </w:r>
      <w:r w:rsidR="00A64367">
        <w:t xml:space="preserve">o the 2015 </w:t>
      </w:r>
      <w:r w:rsidR="00A64367" w:rsidRPr="00A64367">
        <w:rPr>
          <w:i/>
        </w:rPr>
        <w:t>Global Talent Index r</w:t>
      </w:r>
      <w:r w:rsidRPr="00A64367">
        <w:rPr>
          <w:i/>
        </w:rPr>
        <w:t>eport</w:t>
      </w:r>
      <w:r>
        <w:t xml:space="preserve">, many countries in the world </w:t>
      </w:r>
      <w:r w:rsidR="00584472">
        <w:t xml:space="preserve">have </w:t>
      </w:r>
      <w:r>
        <w:t xml:space="preserve">a serious shortage of workers possessing the critical soft skills </w:t>
      </w:r>
      <w:r w:rsidR="00D42F79">
        <w:t xml:space="preserve">that </w:t>
      </w:r>
      <w:r>
        <w:t>companies require</w:t>
      </w:r>
      <w:r w:rsidR="00584472">
        <w:t>,</w:t>
      </w:r>
      <w:r>
        <w:t xml:space="preserve"> a</w:t>
      </w:r>
      <w:r w:rsidR="00D42F79">
        <w:t>long with</w:t>
      </w:r>
      <w:r>
        <w:t xml:space="preserve"> the ability to adapt and deal with evolving situations. With cycles of economic change becoming shorter, workers will increasingly need to prepare themselves </w:t>
      </w:r>
      <w:r w:rsidR="00F36807">
        <w:t>and</w:t>
      </w:r>
      <w:r>
        <w:t xml:space="preserve"> develop the necessary soft skills to adapt and respond to constant changes</w:t>
      </w:r>
      <w:r w:rsidR="00E7423E">
        <w:t xml:space="preserve"> (Economist Intelligence Unit 2015)</w:t>
      </w:r>
      <w:r>
        <w:t>.</w:t>
      </w:r>
    </w:p>
    <w:p w:rsidR="004F0FD5" w:rsidRDefault="004F0FD5" w:rsidP="004F0FD5">
      <w:pPr>
        <w:pStyle w:val="Text"/>
      </w:pPr>
      <w:r>
        <w:t xml:space="preserve">This insight has led to the argument that one of the keys to developing transferable skills is </w:t>
      </w:r>
      <w:r w:rsidR="00D42F79">
        <w:t xml:space="preserve">to </w:t>
      </w:r>
      <w:r>
        <w:t>design improvements to the training system it</w:t>
      </w:r>
      <w:r w:rsidR="00A64367">
        <w:t>self to ensure</w:t>
      </w:r>
      <w:r w:rsidR="00D42F79">
        <w:t xml:space="preserve"> that both occupation-</w:t>
      </w:r>
      <w:r>
        <w:t xml:space="preserve">specific and more generic skills and competencies are developed </w:t>
      </w:r>
      <w:r w:rsidR="00513A07">
        <w:t>in</w:t>
      </w:r>
      <w:r>
        <w:t xml:space="preserve"> employees. Across a range of countries, </w:t>
      </w:r>
      <w:r w:rsidR="00B16314">
        <w:t>educators</w:t>
      </w:r>
      <w:r w:rsidR="00D42F79">
        <w:t xml:space="preserve"> and policy-</w:t>
      </w:r>
      <w:r>
        <w:t>makers have re-evaluated their approach to skill formation and recalibrated the balance bet</w:t>
      </w:r>
      <w:r w:rsidR="00D42F79">
        <w:t xml:space="preserve">ween ‘generic’ and occupation-specific skills </w:t>
      </w:r>
      <w:r>
        <w:t xml:space="preserve">in their training systems (Skills for Jobs 2013; Subedi 2004; Sweet 2009; Warhurst, Grugulis &amp; Keep 2004; Winterton &amp; Haworth 2013). Likewise, in Australia the </w:t>
      </w:r>
      <w:r w:rsidR="00A64367">
        <w:t xml:space="preserve">ongoing </w:t>
      </w:r>
      <w:r>
        <w:t>economic transformation has forced a re-examination of the types of skills developed and the effectiveness of the training system.</w:t>
      </w:r>
      <w:r w:rsidR="00F73463">
        <w:t xml:space="preserve"> </w:t>
      </w:r>
    </w:p>
    <w:p w:rsidR="004F0FD5" w:rsidRDefault="004F0FD5" w:rsidP="004F0FD5">
      <w:pPr>
        <w:pStyle w:val="Text"/>
      </w:pPr>
      <w:r>
        <w:t>In Australia, skills development and accreditation is guided by industry training packages, which provide guidelines on the skills composition</w:t>
      </w:r>
      <w:r w:rsidR="00A64367">
        <w:t xml:space="preserve"> required</w:t>
      </w:r>
      <w:r>
        <w:t xml:space="preserve"> for the various formal qualifications awarded (Misko 2010</w:t>
      </w:r>
      <w:r w:rsidR="00D42F79">
        <w:t>). In the current system transferability</w:t>
      </w:r>
      <w:r>
        <w:t xml:space="preserve"> is </w:t>
      </w:r>
      <w:r w:rsidR="00A64367">
        <w:t>purportedly</w:t>
      </w:r>
      <w:r>
        <w:t xml:space="preserve"> enhanced by a set of skills built into every training qualification in the form of employability skills (Curtis &amp; McKenzie 2001). </w:t>
      </w:r>
      <w:r w:rsidR="00513A07">
        <w:t>However, t</w:t>
      </w:r>
      <w:r>
        <w:t>h</w:t>
      </w:r>
      <w:r w:rsidR="00513A07">
        <w:t>is raises a number of questions</w:t>
      </w:r>
      <w:r>
        <w:t xml:space="preserve"> related to how effectively transferable these skills are, how well workers and those who assist them to find employment understand the role and importance of transferable skills, and whether these skills and understandings are sufficient enough to ensure effective employment mobility for workers across occupations.</w:t>
      </w:r>
    </w:p>
    <w:p w:rsidR="004F0FD5" w:rsidRDefault="004F0FD5" w:rsidP="004F0FD5">
      <w:pPr>
        <w:pStyle w:val="Text"/>
      </w:pPr>
      <w:r>
        <w:t>In this study, we interrogate the capacity of the system in this respect, a</w:t>
      </w:r>
      <w:r w:rsidR="00D42F79">
        <w:t xml:space="preserve">s well as the broad context </w:t>
      </w:r>
      <w:r>
        <w:t xml:space="preserve">in which transferable skills are produced and utilised. The ultimate objective </w:t>
      </w:r>
      <w:r w:rsidR="00513A07">
        <w:t xml:space="preserve">of the research </w:t>
      </w:r>
      <w:r>
        <w:t>is to highlight the key barriers and enablers to skills transferability. The project is premised on the understanding that in rapidly changing economies</w:t>
      </w:r>
      <w:r w:rsidR="00513A07">
        <w:t>,</w:t>
      </w:r>
      <w:r>
        <w:t xml:space="preserve"> where industries are being restructured, cross-occupational mobility is vital </w:t>
      </w:r>
      <w:r w:rsidR="00A64367">
        <w:t xml:space="preserve">in </w:t>
      </w:r>
      <w:r w:rsidR="00513A07">
        <w:t>en</w:t>
      </w:r>
      <w:r w:rsidR="00A64367">
        <w:t>abling</w:t>
      </w:r>
      <w:r>
        <w:t xml:space="preserve"> employers and workers to flexibly meet varying employment demands (Bernhardt et al. 2001; Sabirianova 2002).</w:t>
      </w:r>
    </w:p>
    <w:p w:rsidR="004F0FD5" w:rsidRDefault="004F0FD5" w:rsidP="004F0FD5">
      <w:pPr>
        <w:pStyle w:val="Text"/>
      </w:pPr>
      <w:r>
        <w:t>This report is organised into four broad sections.</w:t>
      </w:r>
      <w:r w:rsidR="00D42F79">
        <w:t xml:space="preserve"> The section f</w:t>
      </w:r>
      <w:r w:rsidR="00A64367">
        <w:t>ollowing this introduction</w:t>
      </w:r>
      <w:r>
        <w:t xml:space="preserve"> presents a brief description of the study and the methods utilise</w:t>
      </w:r>
      <w:r w:rsidR="00D42F79">
        <w:t>d to collect and analyse data. The third s</w:t>
      </w:r>
      <w:r>
        <w:t>ection presents a summary of the key findings</w:t>
      </w:r>
      <w:r w:rsidR="00A64367">
        <w:t>, while</w:t>
      </w:r>
      <w:r w:rsidR="00D42F79">
        <w:t xml:space="preserve"> the final</w:t>
      </w:r>
      <w:r>
        <w:t xml:space="preserve"> section presents key policy </w:t>
      </w:r>
      <w:r w:rsidR="006B53BE">
        <w:t>suggestions</w:t>
      </w:r>
      <w:r>
        <w:t>.</w:t>
      </w:r>
    </w:p>
    <w:p w:rsidR="00225424" w:rsidRDefault="00225424">
      <w:pPr>
        <w:spacing w:before="0" w:line="240" w:lineRule="auto"/>
        <w:rPr>
          <w:rFonts w:ascii="Arial" w:eastAsia="Arial" w:hAnsi="Arial" w:cs="Tahoma"/>
          <w:color w:val="000000"/>
          <w:kern w:val="28"/>
          <w:sz w:val="48"/>
          <w:szCs w:val="56"/>
        </w:rPr>
      </w:pPr>
      <w:r>
        <w:rPr>
          <w:rFonts w:eastAsia="Arial"/>
        </w:rPr>
        <w:br w:type="page"/>
      </w:r>
    </w:p>
    <w:p w:rsidR="004F0FD5" w:rsidRDefault="00D64F80" w:rsidP="004F0FD5">
      <w:pPr>
        <w:pStyle w:val="Heading1"/>
      </w:pPr>
      <w:bookmarkStart w:id="35" w:name="_Toc449707283"/>
      <w:r w:rsidRPr="00AF100C">
        <w:rPr>
          <w:noProof/>
          <w:lang w:eastAsia="en-AU"/>
        </w:rPr>
        <w:drawing>
          <wp:anchor distT="0" distB="0" distL="114300" distR="114300" simplePos="0" relativeHeight="252118016" behindDoc="1" locked="0" layoutInCell="1" allowOverlap="1" wp14:anchorId="6A0493E9" wp14:editId="4CAB4136">
            <wp:simplePos x="0" y="0"/>
            <wp:positionH relativeFrom="column">
              <wp:posOffset>0</wp:posOffset>
            </wp:positionH>
            <wp:positionV relativeFrom="paragraph">
              <wp:posOffset>-19685</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Mag-glass_purple.emf"/>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FD5">
        <w:rPr>
          <w:rFonts w:eastAsia="Arial"/>
        </w:rPr>
        <w:t>Methodology</w:t>
      </w:r>
      <w:bookmarkEnd w:id="35"/>
    </w:p>
    <w:p w:rsidR="004F0FD5" w:rsidRDefault="004F0FD5" w:rsidP="004F0FD5">
      <w:pPr>
        <w:pStyle w:val="Text"/>
      </w:pPr>
      <w:r>
        <w:t>This study utilised an integrated multi-method, multi-level methodology</w:t>
      </w:r>
      <w:r w:rsidR="00A64367">
        <w:t>,</w:t>
      </w:r>
      <w:r>
        <w:t xml:space="preserve"> comprising both qualitative and quantitative instruments. The analysis aimed </w:t>
      </w:r>
      <w:r w:rsidR="00A64367">
        <w:t>to capture</w:t>
      </w:r>
      <w:r>
        <w:t xml:space="preserve"> the complexities and specificities of industrial transformation, skills development and cross-occupational employment mobility, and was guided by </w:t>
      </w:r>
      <w:r w:rsidR="00DC5F27">
        <w:t xml:space="preserve">the following </w:t>
      </w:r>
      <w:r>
        <w:t>key research questions:</w:t>
      </w:r>
    </w:p>
    <w:p w:rsidR="004F0FD5" w:rsidRDefault="004F0FD5" w:rsidP="00D42F79">
      <w:pPr>
        <w:pStyle w:val="NumberedList"/>
        <w:numPr>
          <w:ilvl w:val="0"/>
          <w:numId w:val="42"/>
        </w:numPr>
      </w:pPr>
      <w:r>
        <w:t xml:space="preserve">What is the skills demand profile in the </w:t>
      </w:r>
      <w:r w:rsidR="00F36807">
        <w:t xml:space="preserve">changing </w:t>
      </w:r>
      <w:r>
        <w:t>Australian economy</w:t>
      </w:r>
      <w:r w:rsidR="00F36807">
        <w:t>;</w:t>
      </w:r>
      <w:r>
        <w:t xml:space="preserve"> which occupations are growing and which are declining? </w:t>
      </w:r>
    </w:p>
    <w:p w:rsidR="004F0FD5" w:rsidRDefault="004F0FD5" w:rsidP="00D42F79">
      <w:pPr>
        <w:pStyle w:val="NumberedList"/>
        <w:numPr>
          <w:ilvl w:val="0"/>
          <w:numId w:val="42"/>
        </w:numPr>
      </w:pPr>
      <w:r>
        <w:t xml:space="preserve">To what degree do </w:t>
      </w:r>
      <w:r w:rsidR="00513A07">
        <w:t xml:space="preserve">the </w:t>
      </w:r>
      <w:r>
        <w:t>industry training pa</w:t>
      </w:r>
      <w:r w:rsidR="00513A07">
        <w:t>ckages and qualifications that</w:t>
      </w:r>
      <w:r>
        <w:t xml:space="preserve"> und</w:t>
      </w:r>
      <w:r w:rsidR="00513A07">
        <w:t>erpin the Australian VET system</w:t>
      </w:r>
      <w:r>
        <w:t xml:space="preserve"> facilitate and enhance horizontal cross-occupational skills transfer and employment mobility?</w:t>
      </w:r>
    </w:p>
    <w:p w:rsidR="00F36807" w:rsidRDefault="004F0FD5" w:rsidP="00D42F79">
      <w:pPr>
        <w:pStyle w:val="NumberedList"/>
        <w:numPr>
          <w:ilvl w:val="0"/>
          <w:numId w:val="42"/>
        </w:numPr>
      </w:pPr>
      <w:r>
        <w:t xml:space="preserve">What are transferable skills and do retrenched Australian workers possess them and/or understand them? </w:t>
      </w:r>
    </w:p>
    <w:p w:rsidR="004F0FD5" w:rsidRDefault="004F0FD5" w:rsidP="00D42F79">
      <w:pPr>
        <w:pStyle w:val="NumberedList"/>
        <w:numPr>
          <w:ilvl w:val="0"/>
          <w:numId w:val="42"/>
        </w:numPr>
      </w:pPr>
      <w:r>
        <w:t xml:space="preserve">How can </w:t>
      </w:r>
      <w:r w:rsidR="00F36807">
        <w:t>transferable skills</w:t>
      </w:r>
      <w:r>
        <w:t xml:space="preserve"> be identified and utilised to facilitate productive occupational mobility in the context of economic transition?</w:t>
      </w:r>
      <w:r>
        <w:rPr>
          <w:color w:val="FFFFFF"/>
        </w:rPr>
        <w:t xml:space="preserve"> </w:t>
      </w:r>
    </w:p>
    <w:p w:rsidR="004F0FD5" w:rsidRDefault="004F0FD5" w:rsidP="00D42F79">
      <w:pPr>
        <w:pStyle w:val="NumberedList"/>
        <w:numPr>
          <w:ilvl w:val="0"/>
          <w:numId w:val="42"/>
        </w:numPr>
      </w:pPr>
      <w:r>
        <w:t xml:space="preserve">What is the role of training and employment support actors in the process of transitioning retrenched workers and how do they utilise the worker’s existing skills to find them work in new occupations? </w:t>
      </w:r>
    </w:p>
    <w:p w:rsidR="00C20869" w:rsidRDefault="004F0FD5" w:rsidP="00C20869">
      <w:pPr>
        <w:pStyle w:val="Text"/>
      </w:pPr>
      <w:r>
        <w:t>The data collection and analysis was organised into three integrated stages, which were designed to</w:t>
      </w:r>
      <w:r w:rsidR="00FC5A45">
        <w:t xml:space="preserve"> incrementally</w:t>
      </w:r>
      <w:r>
        <w:t xml:space="preserve"> address the research questions and comprehensively </w:t>
      </w:r>
      <w:r w:rsidR="00513A07">
        <w:t>meet</w:t>
      </w:r>
      <w:r>
        <w:t xml:space="preserve"> the scope of the study. The first stage involved a secondary analysis of ABS </w:t>
      </w:r>
      <w:r w:rsidR="00B46998">
        <w:t>C</w:t>
      </w:r>
      <w:r w:rsidR="000A1A78">
        <w:t xml:space="preserve">ensus and labour force </w:t>
      </w:r>
      <w:r>
        <w:t>survey data to determine how the Australian economy has changed</w:t>
      </w:r>
      <w:r w:rsidR="00513A07">
        <w:t xml:space="preserve"> over the past decade</w:t>
      </w:r>
      <w:r>
        <w:t>. In this</w:t>
      </w:r>
      <w:r w:rsidR="00D42F79">
        <w:t xml:space="preserve"> stage, we identified declining</w:t>
      </w:r>
      <w:r>
        <w:t xml:space="preserve"> and growing occupations, as well as employment change within and between skill levels</w:t>
      </w:r>
      <w:r w:rsidR="00D42F79">
        <w:t>,</w:t>
      </w:r>
      <w:r>
        <w:t xml:space="preserve"> as a way of understanding the skills demand profile of the emerging industrial landscape. An additional aspect of this inquiry was to </w:t>
      </w:r>
      <w:r w:rsidR="00A64367">
        <w:t xml:space="preserve">gain a </w:t>
      </w:r>
      <w:r>
        <w:t>better understand</w:t>
      </w:r>
      <w:r w:rsidR="00A64367">
        <w:t>ing of</w:t>
      </w:r>
      <w:r>
        <w:t xml:space="preserve"> the implications of changing skills and occupational contexts </w:t>
      </w:r>
      <w:r w:rsidR="00513A07">
        <w:t>for</w:t>
      </w:r>
      <w:r>
        <w:t xml:space="preserve"> the occupational mobility prospects for work</w:t>
      </w:r>
      <w:r w:rsidR="00A64367">
        <w:t>ers with different occupation-</w:t>
      </w:r>
      <w:r>
        <w:t>specific skills</w:t>
      </w:r>
      <w:r w:rsidR="00A64367">
        <w:t>. (S</w:t>
      </w:r>
      <w:r>
        <w:t xml:space="preserve">ee </w:t>
      </w:r>
      <w:r w:rsidR="00E770EB">
        <w:rPr>
          <w:szCs w:val="19"/>
        </w:rPr>
        <w:t>support document</w:t>
      </w:r>
      <w:r w:rsidR="00095EBD">
        <w:rPr>
          <w:szCs w:val="19"/>
        </w:rPr>
        <w:t xml:space="preserve"> 1</w:t>
      </w:r>
      <w:r w:rsidR="00E770EB">
        <w:rPr>
          <w:szCs w:val="19"/>
        </w:rPr>
        <w:t xml:space="preserve"> </w:t>
      </w:r>
      <w:r>
        <w:t>for full discussion of method and findings from this stage of the research</w:t>
      </w:r>
      <w:r w:rsidR="00A64367">
        <w:t>.)</w:t>
      </w:r>
    </w:p>
    <w:p w:rsidR="004F0FD5" w:rsidRPr="00C20869" w:rsidRDefault="004F0FD5" w:rsidP="00C20869">
      <w:pPr>
        <w:pStyle w:val="Text"/>
      </w:pPr>
      <w:r w:rsidRPr="00856034">
        <w:rPr>
          <w:szCs w:val="19"/>
        </w:rPr>
        <w:t>The declining and growing occupations identified in this analysis formed the basis for the examination in stage two of the study, where the training architecture itself was considered. In this stage of the research an in-depth examination of the design and content of selected qualifications associated with the identified declining and growing occupations was conducted</w:t>
      </w:r>
      <w:r w:rsidR="00E42028" w:rsidRPr="00856034">
        <w:rPr>
          <w:szCs w:val="19"/>
        </w:rPr>
        <w:t>,</w:t>
      </w:r>
      <w:r w:rsidRPr="00856034">
        <w:rPr>
          <w:szCs w:val="19"/>
        </w:rPr>
        <w:t xml:space="preserve"> </w:t>
      </w:r>
      <w:r w:rsidR="00D42F79">
        <w:rPr>
          <w:szCs w:val="19"/>
        </w:rPr>
        <w:t xml:space="preserve">the aim being </w:t>
      </w:r>
      <w:r w:rsidRPr="00856034">
        <w:rPr>
          <w:szCs w:val="19"/>
        </w:rPr>
        <w:t>to determine the extent to which the VET system facilitates or impedes cross-occupational skills transfer. In examining this question, we considered transferability at two different levels of the training system: we began at</w:t>
      </w:r>
      <w:r w:rsidR="00D42F79">
        <w:rPr>
          <w:szCs w:val="19"/>
        </w:rPr>
        <w:t xml:space="preserve"> the level of </w:t>
      </w:r>
      <w:r w:rsidR="00A91EFB">
        <w:rPr>
          <w:szCs w:val="19"/>
        </w:rPr>
        <w:t xml:space="preserve">the </w:t>
      </w:r>
      <w:r w:rsidR="00D42F79">
        <w:rPr>
          <w:szCs w:val="19"/>
        </w:rPr>
        <w:t>skills themselves</w:t>
      </w:r>
      <w:r w:rsidRPr="00856034">
        <w:rPr>
          <w:szCs w:val="19"/>
        </w:rPr>
        <w:t xml:space="preserve"> and followed </w:t>
      </w:r>
      <w:r w:rsidR="00D42F79">
        <w:rPr>
          <w:szCs w:val="19"/>
        </w:rPr>
        <w:t>this</w:t>
      </w:r>
      <w:r w:rsidRPr="00856034">
        <w:rPr>
          <w:szCs w:val="19"/>
        </w:rPr>
        <w:t xml:space="preserve"> with an examination at the level of units of competency. In the former, we focused on the key employability skills, which are embedded in the training fabric for all qualifications and </w:t>
      </w:r>
      <w:r w:rsidR="00A64367">
        <w:rPr>
          <w:szCs w:val="19"/>
        </w:rPr>
        <w:t>aim to</w:t>
      </w:r>
      <w:r w:rsidRPr="00856034">
        <w:rPr>
          <w:szCs w:val="19"/>
        </w:rPr>
        <w:t xml:space="preserve"> ensure broad-range occupational transferability. In the latter, we focused on how units of competency are shared across different qualifications and the extent to which this guarantees skill transferability across diversely different occupations. These two levels of analysis enabled the research team to make determinations about how well Australia’s training architecture delivers transferable skills opportunities</w:t>
      </w:r>
      <w:r w:rsidR="00A64367">
        <w:rPr>
          <w:szCs w:val="19"/>
        </w:rPr>
        <w:t>.</w:t>
      </w:r>
      <w:r w:rsidRPr="00856034">
        <w:rPr>
          <w:szCs w:val="19"/>
        </w:rPr>
        <w:t xml:space="preserve"> (</w:t>
      </w:r>
      <w:r w:rsidR="00A64367">
        <w:rPr>
          <w:szCs w:val="19"/>
        </w:rPr>
        <w:t>S</w:t>
      </w:r>
      <w:r w:rsidR="00797CA0" w:rsidRPr="00843604">
        <w:rPr>
          <w:szCs w:val="19"/>
        </w:rPr>
        <w:t xml:space="preserve">ee support </w:t>
      </w:r>
      <w:r w:rsidR="00983469">
        <w:rPr>
          <w:szCs w:val="19"/>
        </w:rPr>
        <w:t>document</w:t>
      </w:r>
      <w:r w:rsidR="00095EBD">
        <w:rPr>
          <w:szCs w:val="19"/>
        </w:rPr>
        <w:t xml:space="preserve"> 2</w:t>
      </w:r>
      <w:r w:rsidR="00420EEF">
        <w:rPr>
          <w:szCs w:val="19"/>
        </w:rPr>
        <w:t xml:space="preserve"> </w:t>
      </w:r>
      <w:r w:rsidR="00E7423E" w:rsidRPr="00856034">
        <w:rPr>
          <w:szCs w:val="19"/>
        </w:rPr>
        <w:t>f</w:t>
      </w:r>
      <w:r w:rsidRPr="00856034">
        <w:rPr>
          <w:szCs w:val="19"/>
        </w:rPr>
        <w:t xml:space="preserve">or </w:t>
      </w:r>
      <w:r w:rsidR="008302F2">
        <w:rPr>
          <w:szCs w:val="19"/>
        </w:rPr>
        <w:t xml:space="preserve">a </w:t>
      </w:r>
      <w:r w:rsidRPr="00856034">
        <w:rPr>
          <w:szCs w:val="19"/>
        </w:rPr>
        <w:t>full discussion of</w:t>
      </w:r>
      <w:r w:rsidR="008302F2">
        <w:rPr>
          <w:szCs w:val="19"/>
        </w:rPr>
        <w:t xml:space="preserve"> the</w:t>
      </w:r>
      <w:r w:rsidRPr="00856034">
        <w:rPr>
          <w:szCs w:val="19"/>
        </w:rPr>
        <w:t xml:space="preserve"> method and findings f</w:t>
      </w:r>
      <w:r w:rsidR="00A64367">
        <w:rPr>
          <w:szCs w:val="19"/>
        </w:rPr>
        <w:t>rom this stage of the research.)</w:t>
      </w:r>
    </w:p>
    <w:p w:rsidR="004F0FD5" w:rsidRDefault="004F0FD5" w:rsidP="004F0FD5">
      <w:pPr>
        <w:pStyle w:val="Text"/>
      </w:pPr>
      <w:r w:rsidRPr="00856034">
        <w:rPr>
          <w:szCs w:val="19"/>
        </w:rPr>
        <w:t>In stage three we employed a qua</w:t>
      </w:r>
      <w:r w:rsidR="00A64367">
        <w:rPr>
          <w:szCs w:val="19"/>
        </w:rPr>
        <w:t xml:space="preserve">litative case </w:t>
      </w:r>
      <w:r w:rsidR="008302F2">
        <w:rPr>
          <w:szCs w:val="19"/>
        </w:rPr>
        <w:t>study methodology</w:t>
      </w:r>
      <w:r w:rsidR="00A91EFB">
        <w:rPr>
          <w:szCs w:val="19"/>
        </w:rPr>
        <w:t>, involving documentary analyse</w:t>
      </w:r>
      <w:r w:rsidRPr="00856034">
        <w:rPr>
          <w:szCs w:val="19"/>
        </w:rPr>
        <w:t>s and semi-str</w:t>
      </w:r>
      <w:r w:rsidR="00A64367">
        <w:rPr>
          <w:szCs w:val="19"/>
        </w:rPr>
        <w:t>uctured interviews with workers and employers</w:t>
      </w:r>
      <w:r w:rsidR="00B46998">
        <w:rPr>
          <w:szCs w:val="19"/>
        </w:rPr>
        <w:t>,</w:t>
      </w:r>
      <w:r w:rsidR="00A64367">
        <w:rPr>
          <w:szCs w:val="19"/>
        </w:rPr>
        <w:t xml:space="preserve"> and representatives from</w:t>
      </w:r>
      <w:r w:rsidRPr="00856034">
        <w:rPr>
          <w:szCs w:val="19"/>
        </w:rPr>
        <w:t xml:space="preserve"> trade</w:t>
      </w:r>
      <w:r>
        <w:t xml:space="preserve"> unions, skills councils, </w:t>
      </w:r>
      <w:r w:rsidR="00A64367">
        <w:t xml:space="preserve">the </w:t>
      </w:r>
      <w:r>
        <w:t>training system and job support agencies (</w:t>
      </w:r>
      <w:r w:rsidR="001C6537">
        <w:t>for example,</w:t>
      </w:r>
      <w:r>
        <w:t xml:space="preserve"> Jobactive) to examine how skills transferability works in practice. The focus was on the questions of whether retrenched or vulnerable workers</w:t>
      </w:r>
      <w:r w:rsidR="008302F2">
        <w:t xml:space="preserve"> in Australia</w:t>
      </w:r>
      <w:r>
        <w:t xml:space="preserve"> possess and understand transferable skills, what these skills are and how they are identified, and how the agencies charged with employment transition utilise them to assist these workers find new jobs. Such an approach views skills as the product of social and material processes involving institutional influences and the range of actors listed above (Lloyd </w:t>
      </w:r>
      <w:r w:rsidR="005C563F">
        <w:t xml:space="preserve">&amp; </w:t>
      </w:r>
      <w:r>
        <w:t>Payne 2002). A worker’s labour market</w:t>
      </w:r>
      <w:r w:rsidR="00B46998">
        <w:t xml:space="preserve">, </w:t>
      </w:r>
      <w:r>
        <w:t xml:space="preserve">workplace experiences and </w:t>
      </w:r>
      <w:r w:rsidR="005C563F">
        <w:t xml:space="preserve">their </w:t>
      </w:r>
      <w:r>
        <w:t xml:space="preserve">involvement with training and employment facilitation </w:t>
      </w:r>
      <w:r w:rsidR="00A64367">
        <w:t>agencies</w:t>
      </w:r>
      <w:r>
        <w:t xml:space="preserve"> have implications for how well they develop and come to understand their transferable skills and occupational mobility prospects. The case studies were drawn from two local</w:t>
      </w:r>
      <w:r w:rsidR="008302F2">
        <w:t>ities in the state of Victoria —</w:t>
      </w:r>
      <w:r>
        <w:t xml:space="preserve"> </w:t>
      </w:r>
      <w:r w:rsidR="008302F2">
        <w:t>Geelong and the Latrobe Valley —</w:t>
      </w:r>
      <w:r>
        <w:t xml:space="preserve"> </w:t>
      </w:r>
      <w:r w:rsidR="008302F2">
        <w:t xml:space="preserve">both of </w:t>
      </w:r>
      <w:r>
        <w:t>which have experienced significant industrial change and company closures leading to worker vulnerabilities and worker retrenchments</w:t>
      </w:r>
      <w:r w:rsidR="008302F2">
        <w:t>. (S</w:t>
      </w:r>
      <w:r>
        <w:t xml:space="preserve">ee </w:t>
      </w:r>
      <w:r w:rsidR="00983469">
        <w:rPr>
          <w:szCs w:val="19"/>
        </w:rPr>
        <w:t>support document</w:t>
      </w:r>
      <w:r w:rsidR="00095EBD">
        <w:rPr>
          <w:szCs w:val="19"/>
        </w:rPr>
        <w:t xml:space="preserve"> 3</w:t>
      </w:r>
      <w:r w:rsidR="00C05FF3" w:rsidRPr="006C3B6C">
        <w:rPr>
          <w:szCs w:val="19"/>
        </w:rPr>
        <w:t xml:space="preserve"> </w:t>
      </w:r>
      <w:r>
        <w:t xml:space="preserve">for </w:t>
      </w:r>
      <w:r w:rsidR="008302F2">
        <w:t xml:space="preserve">a </w:t>
      </w:r>
      <w:r>
        <w:t xml:space="preserve">full discussion of </w:t>
      </w:r>
      <w:r w:rsidR="008302F2">
        <w:t xml:space="preserve">the </w:t>
      </w:r>
      <w:r>
        <w:t>method and findings from this stage of the research</w:t>
      </w:r>
      <w:r w:rsidR="008302F2">
        <w:t>.)</w:t>
      </w:r>
    </w:p>
    <w:p w:rsidR="00225424" w:rsidRDefault="00225424">
      <w:pPr>
        <w:spacing w:before="0" w:line="240" w:lineRule="auto"/>
        <w:rPr>
          <w:rFonts w:ascii="Arial" w:hAnsi="Arial" w:cs="Tahoma"/>
          <w:color w:val="000000"/>
          <w:kern w:val="28"/>
          <w:sz w:val="48"/>
          <w:szCs w:val="56"/>
        </w:rPr>
      </w:pPr>
      <w:r>
        <w:br w:type="page"/>
      </w:r>
    </w:p>
    <w:p w:rsidR="005C55F8" w:rsidRPr="005C55F8" w:rsidRDefault="00D64F80" w:rsidP="00870BA3">
      <w:pPr>
        <w:pStyle w:val="Heading1"/>
        <w:rPr>
          <w:rFonts w:ascii="Times New Roman" w:hAnsi="Times New Roman"/>
          <w:sz w:val="24"/>
          <w:szCs w:val="24"/>
          <w:lang w:eastAsia="en-AU"/>
        </w:rPr>
      </w:pPr>
      <w:bookmarkStart w:id="36" w:name="_Toc449707284"/>
      <w:r w:rsidRPr="00AF100C">
        <w:rPr>
          <w:noProof/>
          <w:lang w:eastAsia="en-AU"/>
        </w:rPr>
        <w:drawing>
          <wp:anchor distT="0" distB="0" distL="114300" distR="114300" simplePos="0" relativeHeight="252120064" behindDoc="1" locked="0" layoutInCell="1" allowOverlap="1" wp14:anchorId="2B673376" wp14:editId="312DFA0E">
            <wp:simplePos x="0" y="0"/>
            <wp:positionH relativeFrom="column">
              <wp:posOffset>0</wp:posOffset>
            </wp:positionH>
            <wp:positionV relativeFrom="paragraph">
              <wp:posOffset>-29210</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TargetWithArrowFindings_CorpBlue.emf"/>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3DB">
        <w:rPr>
          <w:lang w:eastAsia="en-AU"/>
        </w:rPr>
        <w:t>Key f</w:t>
      </w:r>
      <w:r w:rsidR="005C55F8" w:rsidRPr="005C55F8">
        <w:rPr>
          <w:lang w:eastAsia="en-AU"/>
        </w:rPr>
        <w:t>indings</w:t>
      </w:r>
      <w:bookmarkEnd w:id="36"/>
      <w:r w:rsidR="00A6673C" w:rsidRPr="00A6673C">
        <w:rPr>
          <w:noProof/>
          <w:lang w:eastAsia="en-AU"/>
        </w:rPr>
        <w:t xml:space="preserve"> </w:t>
      </w:r>
    </w:p>
    <w:p w:rsidR="00516663" w:rsidRDefault="00516663" w:rsidP="00516663">
      <w:pPr>
        <w:pStyle w:val="Text"/>
        <w:rPr>
          <w:lang w:eastAsia="en-AU"/>
        </w:rPr>
      </w:pPr>
      <w:r w:rsidRPr="00516663">
        <w:rPr>
          <w:lang w:eastAsia="en-AU"/>
        </w:rPr>
        <w:t xml:space="preserve">The findings are presented </w:t>
      </w:r>
      <w:r w:rsidR="00A64367">
        <w:rPr>
          <w:lang w:eastAsia="en-AU"/>
        </w:rPr>
        <w:t>according to the sequence adopted in the</w:t>
      </w:r>
      <w:r w:rsidR="00416A8F" w:rsidRPr="00516663">
        <w:rPr>
          <w:lang w:eastAsia="en-AU"/>
        </w:rPr>
        <w:t xml:space="preserve"> investigation </w:t>
      </w:r>
      <w:r w:rsidRPr="00516663">
        <w:rPr>
          <w:lang w:eastAsia="en-AU"/>
        </w:rPr>
        <w:t xml:space="preserve">and guided by the key research questions. We begin with an examination of the industrial restructuring taking place and the changing employment landscape. </w:t>
      </w:r>
      <w:r w:rsidR="00A64367">
        <w:rPr>
          <w:lang w:eastAsia="en-AU"/>
        </w:rPr>
        <w:t>After</w:t>
      </w:r>
      <w:r w:rsidRPr="00516663">
        <w:rPr>
          <w:lang w:eastAsia="en-AU"/>
        </w:rPr>
        <w:t xml:space="preserve"> </w:t>
      </w:r>
      <w:r w:rsidR="00A64367">
        <w:rPr>
          <w:lang w:eastAsia="en-AU"/>
        </w:rPr>
        <w:t>identifying</w:t>
      </w:r>
      <w:r w:rsidRPr="00516663">
        <w:rPr>
          <w:lang w:eastAsia="en-AU"/>
        </w:rPr>
        <w:t xml:space="preserve"> the emerging skills and occupational demand profile, we look at how the Australian VET system is set up with regard to </w:t>
      </w:r>
      <w:r w:rsidR="00A64367">
        <w:rPr>
          <w:lang w:eastAsia="en-AU"/>
        </w:rPr>
        <w:t xml:space="preserve">the </w:t>
      </w:r>
      <w:r w:rsidRPr="00516663">
        <w:rPr>
          <w:lang w:eastAsia="en-AU"/>
        </w:rPr>
        <w:t>develop</w:t>
      </w:r>
      <w:r w:rsidR="00A64367">
        <w:rPr>
          <w:lang w:eastAsia="en-AU"/>
        </w:rPr>
        <w:t>ment of</w:t>
      </w:r>
      <w:r w:rsidRPr="00516663">
        <w:rPr>
          <w:lang w:eastAsia="en-AU"/>
        </w:rPr>
        <w:t xml:space="preserve"> effective transferable skills. Focusing on the </w:t>
      </w:r>
      <w:r w:rsidR="005E6BF6">
        <w:rPr>
          <w:noProof/>
          <w:lang w:eastAsia="en-AU"/>
        </w:rPr>
        <mc:AlternateContent>
          <mc:Choice Requires="wps">
            <w:drawing>
              <wp:anchor distT="0" distB="0" distL="114300" distR="114300" simplePos="0" relativeHeight="252091392" behindDoc="0" locked="1" layoutInCell="1" allowOverlap="1" wp14:anchorId="618D73F7" wp14:editId="0AA6B25C">
                <wp:simplePos x="0" y="0"/>
                <wp:positionH relativeFrom="outsideMargin">
                  <wp:posOffset>211455</wp:posOffset>
                </wp:positionH>
                <wp:positionV relativeFrom="page">
                  <wp:posOffset>802005</wp:posOffset>
                </wp:positionV>
                <wp:extent cx="1320800" cy="125920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25920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396053" w:rsidRPr="00543BFF" w:rsidRDefault="00396053" w:rsidP="005E6BF6">
                            <w:pPr>
                              <w:pStyle w:val="PullQuote"/>
                            </w:pPr>
                            <w:r w:rsidRPr="005E6BF6">
                              <w:t>While some occupations may be specific to an industry, others may be found across a range of industries</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3" type="#_x0000_t202" style="position:absolute;margin-left:16.65pt;margin-top:63.15pt;width:104pt;height:99.15pt;z-index:2520913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" filled="f" stroked="f" strokeweight=".5pt">
                <v:shadow on="t" type="perspective" color="black" opacity="9830f" origin=",.5" offset="0,25pt" matrix="58982f,,,-12452f"/>
                <v:path arrowok="t"/>
                <v:textbox inset="10mm">
                  <w:txbxContent>
                    <w:p w:rsidR="00396053" w:rsidRPr="00543BFF" w:rsidRDefault="00396053" w:rsidP="005E6BF6">
                      <w:pPr>
                        <w:pStyle w:val="PullQuote"/>
                      </w:pPr>
                      <w:r w:rsidRPr="005E6BF6">
                        <w:t>While some occupations may be specific to an industry, others may be found across a range of industries</w:t>
                      </w:r>
                      <w:r>
                        <w:t>.</w:t>
                      </w:r>
                    </w:p>
                  </w:txbxContent>
                </v:textbox>
                <w10:wrap anchorx="margin" anchory="page"/>
                <w10:anchorlock/>
              </v:shape>
            </w:pict>
          </mc:Fallback>
        </mc:AlternateContent>
      </w:r>
      <w:r w:rsidRPr="00516663">
        <w:rPr>
          <w:lang w:eastAsia="en-AU"/>
        </w:rPr>
        <w:t xml:space="preserve">Geelong and Latrobe Valley case studies, we examine how retrenched and soon-to-be-retrenched workers come to understand the transferability value of their skills in the rapidly changing local labour market. We follow with an analysis of the transition process, its core actors, and how they understand and utilise workers’ existing skills </w:t>
      </w:r>
      <w:r w:rsidR="00A91EFB">
        <w:rPr>
          <w:lang w:eastAsia="en-AU"/>
        </w:rPr>
        <w:t>to assist</w:t>
      </w:r>
      <w:r w:rsidRPr="00516663">
        <w:rPr>
          <w:lang w:eastAsia="en-AU"/>
        </w:rPr>
        <w:t xml:space="preserve"> them to find new jobs and make career and retraining decisions.</w:t>
      </w:r>
    </w:p>
    <w:p w:rsidR="005C55F8" w:rsidRPr="00870BA3" w:rsidRDefault="005C55F8" w:rsidP="00870BA3">
      <w:pPr>
        <w:pStyle w:val="Heading2"/>
      </w:pPr>
      <w:bookmarkStart w:id="37" w:name="_Toc449707285"/>
      <w:r w:rsidRPr="00870BA3">
        <w:t>Declining and growing occupations and changing skill demand in Australia</w:t>
      </w:r>
      <w:bookmarkEnd w:id="37"/>
      <w:r w:rsidRPr="00870BA3">
        <w:t xml:space="preserve"> </w:t>
      </w:r>
    </w:p>
    <w:p w:rsidR="005E6BF6" w:rsidRDefault="00516663" w:rsidP="00516663">
      <w:pPr>
        <w:pStyle w:val="Text"/>
      </w:pPr>
      <w:r w:rsidRPr="00881B3D">
        <w:t>Cross-occupational mobility is most likely to involve mobility within similar skill levels (</w:t>
      </w:r>
      <w:r w:rsidR="00376568">
        <w:t>that is,</w:t>
      </w:r>
      <w:r w:rsidRPr="00881B3D">
        <w:t xml:space="preserve"> horizontal occupational mobility). The prospects</w:t>
      </w:r>
      <w:r w:rsidRPr="00516663">
        <w:t xml:space="preserve"> for an individual’s cross-occupational skills transfer, therefore, are significantly influenced by employment opportu</w:t>
      </w:r>
      <w:r w:rsidR="008302F2">
        <w:t>nities in</w:t>
      </w:r>
      <w:r w:rsidRPr="00516663">
        <w:t xml:space="preserve"> </w:t>
      </w:r>
      <w:r w:rsidR="008302F2">
        <w:t xml:space="preserve">particular occupations </w:t>
      </w:r>
      <w:r w:rsidR="005E6BF6">
        <w:t>and</w:t>
      </w:r>
      <w:r w:rsidR="008302F2">
        <w:t xml:space="preserve"> </w:t>
      </w:r>
      <w:r w:rsidRPr="00516663">
        <w:t xml:space="preserve">the skill levels in which they are located. These occupational and skills employment opportunities change over time and vary from one location to another. As a first step to understanding the changing employment opportunities for particular occupations and skills categories, it is important to understand the labour market context and how it shapes occupational mobility in particular ways. </w:t>
      </w:r>
    </w:p>
    <w:p w:rsidR="00516663" w:rsidRPr="00516663" w:rsidRDefault="00516663" w:rsidP="00516663">
      <w:pPr>
        <w:pStyle w:val="Text"/>
      </w:pPr>
      <w:r w:rsidRPr="00516663">
        <w:t>Attempts to understand occupational change have tended to take an industry approach, which focus</w:t>
      </w:r>
      <w:r w:rsidR="008302F2">
        <w:t>es</w:t>
      </w:r>
      <w:r w:rsidRPr="00516663">
        <w:t xml:space="preserve"> on how industrial shifts have contributed to changing employment opportunities from one industry and sector to another (</w:t>
      </w:r>
      <w:r w:rsidR="001C6537">
        <w:t>for example,</w:t>
      </w:r>
      <w:r w:rsidR="00A6673C">
        <w:t xml:space="preserve"> </w:t>
      </w:r>
      <w:r w:rsidR="008302F2">
        <w:t>manufacturing to health c</w:t>
      </w:r>
      <w:r w:rsidR="008302F2" w:rsidRPr="00516663">
        <w:t>are</w:t>
      </w:r>
      <w:r w:rsidRPr="00516663">
        <w:t>). In these explanations, occupational and skill demand changes are considered to be determined by industry developments and influences. The relationship between occupations and specific industries, however, is not always straightforward. While some occupations may be specific to an industry</w:t>
      </w:r>
      <w:r w:rsidR="008302F2">
        <w:t>,</w:t>
      </w:r>
      <w:r w:rsidRPr="00516663">
        <w:t xml:space="preserve"> others may be found across a range of industries. Where the boundaries of an industry begin and end, and who to include among its workforce, are also often difficult to establish, particularly given the increasing rate </w:t>
      </w:r>
      <w:r w:rsidR="00A64367" w:rsidRPr="00516663">
        <w:t xml:space="preserve">in many industries </w:t>
      </w:r>
      <w:r w:rsidRPr="00516663">
        <w:t xml:space="preserve">of </w:t>
      </w:r>
      <w:r w:rsidR="005C717B">
        <w:t xml:space="preserve">the </w:t>
      </w:r>
      <w:r w:rsidRPr="00516663">
        <w:t>outsourcing of tasks and operations. These industry-based approaches, therefore, have certain limitations with regard to understanding occupational mobility and labour market conditions.</w:t>
      </w:r>
      <w:r w:rsidR="00420EEF">
        <w:t xml:space="preserve"> </w:t>
      </w:r>
    </w:p>
    <w:p w:rsidR="00516663" w:rsidRPr="00516663" w:rsidRDefault="00516663" w:rsidP="00516663">
      <w:pPr>
        <w:pStyle w:val="Text"/>
      </w:pPr>
      <w:r w:rsidRPr="00516663">
        <w:t>An alternative approach, which is adopted in this</w:t>
      </w:r>
      <w:r w:rsidR="00A91EFB">
        <w:t xml:space="preserve"> study, involves an occupation</w:t>
      </w:r>
      <w:r w:rsidRPr="00516663">
        <w:t xml:space="preserve"> and skills approach. This approach acknowledges that single occupatio</w:t>
      </w:r>
      <w:r w:rsidR="005C717B">
        <w:t>ns exist in multiple industries</w:t>
      </w:r>
      <w:r w:rsidRPr="00516663">
        <w:t xml:space="preserve"> and considers them as distinct individual entities (as opposed to undefined parts of an industry) in the analysis of occupational</w:t>
      </w:r>
      <w:r w:rsidR="005C717B">
        <w:t xml:space="preserve"> growth rates. This occupation</w:t>
      </w:r>
      <w:r w:rsidRPr="00516663">
        <w:t>-based approach is overlaid with a skills-level analysis, whereby the changing employment composition of occupations is also examined according to various skill levels, which, as discussed earlier, is important for understanding the context for horizontal occupational mobility and skills transferability.</w:t>
      </w:r>
      <w:r w:rsidR="00420EEF">
        <w:t xml:space="preserve"> </w:t>
      </w:r>
      <w:r w:rsidRPr="00516663">
        <w:t xml:space="preserve"> </w:t>
      </w:r>
    </w:p>
    <w:p w:rsidR="00516663" w:rsidRPr="00FC5A45" w:rsidRDefault="00516663" w:rsidP="00516663">
      <w:pPr>
        <w:pStyle w:val="Text"/>
      </w:pPr>
      <w:r w:rsidRPr="00516663">
        <w:t>An ana</w:t>
      </w:r>
      <w:r w:rsidR="005C717B">
        <w:t>lysis of the 2006 and 2011 ABS c</w:t>
      </w:r>
      <w:r w:rsidRPr="00516663">
        <w:t>ensu</w:t>
      </w:r>
      <w:r w:rsidR="00A91EFB">
        <w:t>s data through this occupation</w:t>
      </w:r>
      <w:r w:rsidRPr="00516663">
        <w:t xml:space="preserve"> and skills-level approach reveals a number of changes in Australia’s labour market, which ha</w:t>
      </w:r>
      <w:r w:rsidR="00A91EFB">
        <w:t>s</w:t>
      </w:r>
      <w:r w:rsidRPr="00516663">
        <w:t xml:space="preserve"> implications for horizontal occupational mobility and skil</w:t>
      </w:r>
      <w:r w:rsidR="005C717B">
        <w:t xml:space="preserve">ls transferability. </w:t>
      </w:r>
      <w:r w:rsidRPr="00516663">
        <w:t xml:space="preserve">First, while overall </w:t>
      </w:r>
      <w:r w:rsidR="00854EAC">
        <w:rPr>
          <w:noProof/>
          <w:lang w:eastAsia="en-AU"/>
        </w:rPr>
        <mc:AlternateContent>
          <mc:Choice Requires="wps">
            <w:drawing>
              <wp:anchor distT="0" distB="0" distL="114300" distR="114300" simplePos="0" relativeHeight="252001280" behindDoc="0" locked="1" layoutInCell="1" allowOverlap="1" wp14:anchorId="430430E5" wp14:editId="12D4872D">
                <wp:simplePos x="0" y="0"/>
                <wp:positionH relativeFrom="outsideMargin">
                  <wp:posOffset>228600</wp:posOffset>
                </wp:positionH>
                <wp:positionV relativeFrom="page">
                  <wp:posOffset>790575</wp:posOffset>
                </wp:positionV>
                <wp:extent cx="1320800" cy="120967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209675"/>
                        </a:xfrm>
                        <a:prstGeom prst="rect">
                          <a:avLst/>
                        </a:prstGeom>
                        <a:noFill/>
                        <a:ln w="6350">
                          <a:noFill/>
                        </a:ln>
                        <a:effectLst>
                          <a:outerShdw blurRad="152400" dist="317500" dir="5400000" sx="90000" sy="-19000" rotWithShape="0">
                            <a:prstClr val="black">
                              <a:alpha val="15000"/>
                            </a:prstClr>
                          </a:outerShdw>
                        </a:effectLst>
                      </wps:spPr>
                      <wps:txbx>
                        <w:txbxContent>
                          <w:p w:rsidR="00396053" w:rsidRPr="00543BFF" w:rsidRDefault="00396053" w:rsidP="00701E77">
                            <w:pPr>
                              <w:pStyle w:val="PullQuote"/>
                            </w:pPr>
                            <w:r>
                              <w:t>Between the 2006 and 2011 census periods, unskilled workers in the manufacturing industry suffered the worst decline.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margin-left:18pt;margin-top:62.25pt;width:104pt;height:95.25pt;z-index:25200128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" filled="f" stroked="f" strokeweight=".5pt">
                <v:shadow on="t" type="perspective" color="black" opacity="9830f" origin=",.5" offset="0,25pt" matrix="58982f,,,-12452f"/>
                <v:path arrowok="t"/>
                <v:textbox inset="10mm">
                  <w:txbxContent>
                    <w:p w:rsidR="00396053" w:rsidRPr="00543BFF" w:rsidRDefault="00396053" w:rsidP="00701E77">
                      <w:pPr>
                        <w:pStyle w:val="PullQuote"/>
                      </w:pPr>
                      <w:r>
                        <w:t>Between the 2006 and 2011 census periods, unskilled workers in the manufacturing industry suffered the worst decline.</w:t>
                      </w:r>
                    </w:p>
                  </w:txbxContent>
                </v:textbox>
                <w10:wrap anchorx="margin" anchory="page"/>
                <w10:anchorlock/>
              </v:shape>
            </w:pict>
          </mc:Fallback>
        </mc:AlternateContent>
      </w:r>
      <w:r w:rsidR="005C717B">
        <w:t>employment grew by 1.1% between the 2006 and 2011 c</w:t>
      </w:r>
      <w:r w:rsidRPr="00516663">
        <w:t>ensus periods, job growth was spread uneve</w:t>
      </w:r>
      <w:r w:rsidR="005C717B">
        <w:t>nly across skill levels. Higher-</w:t>
      </w:r>
      <w:r w:rsidRPr="00516663">
        <w:t>skilled oc</w:t>
      </w:r>
      <w:r w:rsidR="005C717B">
        <w:t>cupations, commensurate with a b</w:t>
      </w:r>
      <w:r w:rsidRPr="00516663">
        <w:t>achelor or higher degree qualification (ANZSCO skill level 1)</w:t>
      </w:r>
      <w:r w:rsidR="005C717B">
        <w:t>,</w:t>
      </w:r>
      <w:r w:rsidRPr="00516663">
        <w:t xml:space="preserve"> or those requiring an </w:t>
      </w:r>
      <w:r w:rsidR="005C717B" w:rsidRPr="00516663">
        <w:t xml:space="preserve">associate degree, advanced diploma or diploma </w:t>
      </w:r>
      <w:r w:rsidRPr="00516663">
        <w:t xml:space="preserve">(ANZSCO skill level 2), experienced </w:t>
      </w:r>
      <w:r w:rsidR="005C717B">
        <w:t>job growth of around 15%</w:t>
      </w:r>
      <w:r w:rsidRPr="00516663">
        <w:t xml:space="preserve"> between 2006 and 2011. Semi-skilled occupations (ANZSCO skill l</w:t>
      </w:r>
      <w:r w:rsidR="005C717B">
        <w:t>evel 4), commensurate with Australian Qualifications Framework (AQF) c</w:t>
      </w:r>
      <w:r w:rsidRPr="00516663">
        <w:t>ertificate II or III, grew slightly less</w:t>
      </w:r>
      <w:r w:rsidR="00A64367">
        <w:t>,</w:t>
      </w:r>
      <w:r w:rsidRPr="00516663">
        <w:t xml:space="preserve"> at 12</w:t>
      </w:r>
      <w:r w:rsidR="005C717B">
        <w:t>%</w:t>
      </w:r>
      <w:r w:rsidR="00A64367">
        <w:t>,</w:t>
      </w:r>
      <w:r w:rsidRPr="00516663">
        <w:t xml:space="preserve"> between the two census periods. The slowest rate of job growth</w:t>
      </w:r>
      <w:r w:rsidR="005C717B">
        <w:t xml:space="preserve"> occurred among technical trade-</w:t>
      </w:r>
      <w:r w:rsidRPr="00516663">
        <w:t>oriented occu</w:t>
      </w:r>
      <w:r w:rsidR="005C717B">
        <w:t>pations, commensurate with AQF c</w:t>
      </w:r>
      <w:r w:rsidRPr="00516663">
        <w:t>ertificate IV or III (A</w:t>
      </w:r>
      <w:r w:rsidR="00701E77">
        <w:t>N</w:t>
      </w:r>
      <w:r w:rsidRPr="00516663">
        <w:t>ZSCO skill level 3), which grew at a rate of 6.5</w:t>
      </w:r>
      <w:r w:rsidR="005C717B">
        <w:t>%,</w:t>
      </w:r>
      <w:r w:rsidRPr="00516663">
        <w:t xml:space="preserve"> and unskilled occupations, which grew by less than 2</w:t>
      </w:r>
      <w:r w:rsidR="005C717B">
        <w:t>% between the 2006 and 2011 c</w:t>
      </w:r>
      <w:r w:rsidRPr="00516663">
        <w:t>ensus periods. Of the total number of additional jobs created between 2006 and 2011, 57</w:t>
      </w:r>
      <w:r w:rsidR="005C717B">
        <w:t>%</w:t>
      </w:r>
      <w:r w:rsidRPr="00516663">
        <w:t xml:space="preserve"> were at higher skill levels (ANZSCO levels 1 and 2), highli</w:t>
      </w:r>
      <w:r w:rsidR="00A64367">
        <w:t xml:space="preserve">ghting a general upskilling </w:t>
      </w:r>
      <w:r w:rsidRPr="00516663">
        <w:t xml:space="preserve">in the labour market. One of the implications of these labour market conditions is that unskilled workers, many of whom do not hold formal </w:t>
      </w:r>
      <w:r w:rsidRPr="00FC5A45">
        <w:t>qualifications, are unable to take advantage of occupational mobility in the same ways as highly skilled workers.</w:t>
      </w:r>
      <w:r w:rsidR="00420EEF">
        <w:t xml:space="preserve"> </w:t>
      </w:r>
    </w:p>
    <w:p w:rsidR="00516663" w:rsidRPr="00516663" w:rsidRDefault="005C717B" w:rsidP="00516663">
      <w:pPr>
        <w:pStyle w:val="Text"/>
      </w:pPr>
      <w:r>
        <w:t>Between the 2006 and 2011 c</w:t>
      </w:r>
      <w:r w:rsidR="00516663" w:rsidRPr="00FC5A45">
        <w:t>ensus per</w:t>
      </w:r>
      <w:r>
        <w:t>iods, unskilled workers in the m</w:t>
      </w:r>
      <w:r w:rsidR="00516663" w:rsidRPr="00FC5A45">
        <w:t>anufacturing industry were particularly disadvantaged. While there was some job growth among highly skilled manufacturing occupations over this period, with occupations at skill level 1 growing by 1.2</w:t>
      </w:r>
      <w:r>
        <w:t>%</w:t>
      </w:r>
      <w:r w:rsidR="00516663" w:rsidRPr="00FC5A45">
        <w:t xml:space="preserve"> and occupations at skill level 2 growing by 2.8</w:t>
      </w:r>
      <w:r>
        <w:t>%</w:t>
      </w:r>
      <w:r w:rsidR="00516663" w:rsidRPr="00FC5A45">
        <w:t>, all other skill levels experienced a significant decline in the number of jobs. Unskilled manufacturing positions suffered the worst decline.</w:t>
      </w:r>
      <w:r>
        <w:t xml:space="preserve"> Between 2006 and 2011, some 43 </w:t>
      </w:r>
      <w:r w:rsidR="00516663" w:rsidRPr="00FC5A45">
        <w:t>869 unskilled manufacturing jobs (nearly a quarter) were lost from the industry. The industries most likely to provide opportunities for unskilled displaced manufacturing workers, with little requirement for retraining or upskilling, are the mining and construction industries</w:t>
      </w:r>
      <w:r>
        <w:t>,</w:t>
      </w:r>
      <w:r w:rsidR="00516663" w:rsidRPr="00FC5A45">
        <w:t xml:space="preserve"> where unskilled jobs grew </w:t>
      </w:r>
      <w:r>
        <w:t xml:space="preserve">by </w:t>
      </w:r>
      <w:r w:rsidR="00516663" w:rsidRPr="00FC5A45">
        <w:t>52</w:t>
      </w:r>
      <w:r>
        <w:t>%</w:t>
      </w:r>
      <w:r w:rsidR="00516663" w:rsidRPr="00FC5A45">
        <w:t xml:space="preserve"> and 10</w:t>
      </w:r>
      <w:r>
        <w:t>%</w:t>
      </w:r>
      <w:r w:rsidR="00516663" w:rsidRPr="00FC5A45">
        <w:t>, respectively, between</w:t>
      </w:r>
      <w:r>
        <w:t xml:space="preserve"> the c</w:t>
      </w:r>
      <w:r w:rsidR="00516663" w:rsidRPr="00516663">
        <w:t>ensus periods. In numerical terms, however, this job growth only rep</w:t>
      </w:r>
      <w:r>
        <w:t>resented 2769 new jobs in the m</w:t>
      </w:r>
      <w:r w:rsidR="00516663" w:rsidRPr="00516663">
        <w:t xml:space="preserve">ining </w:t>
      </w:r>
      <w:r w:rsidR="00701E77">
        <w:t>i</w:t>
      </w:r>
      <w:r>
        <w:t>ndustry and 8641 jobs in the c</w:t>
      </w:r>
      <w:r w:rsidR="00516663" w:rsidRPr="00516663">
        <w:t>onstruction industry. Unsk</w:t>
      </w:r>
      <w:r>
        <w:t>illed job opportunities in the m</w:t>
      </w:r>
      <w:r w:rsidR="00516663" w:rsidRPr="00516663">
        <w:t xml:space="preserve">ining industry, however, are likely to require relocation or </w:t>
      </w:r>
      <w:r w:rsidR="00516663" w:rsidRPr="0043011B">
        <w:t>fly-in-fly-out work</w:t>
      </w:r>
      <w:r w:rsidR="00A64367">
        <w:t>. Moreover,</w:t>
      </w:r>
      <w:r w:rsidR="002955C0">
        <w:t xml:space="preserve"> the fall in commodity prices means these jobs are becoming significantly scarcer</w:t>
      </w:r>
      <w:r w:rsidR="00516663" w:rsidRPr="00516663">
        <w:t>.</w:t>
      </w:r>
    </w:p>
    <w:p w:rsidR="00516663" w:rsidRPr="00516663" w:rsidRDefault="00516663" w:rsidP="00516663">
      <w:pPr>
        <w:pStyle w:val="Text"/>
      </w:pPr>
      <w:r w:rsidRPr="00516663">
        <w:t xml:space="preserve">Other job options for unskilled manufacturing workers </w:t>
      </w:r>
      <w:r w:rsidRPr="00FC5A45">
        <w:t>might be found in the retail trade, and accommodation and food services industries, which experienced the strongest numerical gr</w:t>
      </w:r>
      <w:r w:rsidR="005C717B">
        <w:t xml:space="preserve">owth in unskilled jobs. Some 63 </w:t>
      </w:r>
      <w:r w:rsidRPr="00FC5A45">
        <w:t>327 additional unskilled jobs were created in these combined indust</w:t>
      </w:r>
      <w:r w:rsidR="005C717B">
        <w:t>ries between the 2006 and 2011 c</w:t>
      </w:r>
      <w:r w:rsidRPr="00FC5A45">
        <w:t xml:space="preserve">ensus periods. However, since these industries are mostly characterised by casual employment, high staff turnover and lower remuneration than unskilled work in traditional industries </w:t>
      </w:r>
      <w:r w:rsidR="005E6BF6">
        <w:t>(</w:t>
      </w:r>
      <w:r w:rsidRPr="00FC5A45">
        <w:t>such as manufacturing</w:t>
      </w:r>
      <w:r w:rsidR="005E6BF6">
        <w:t>)</w:t>
      </w:r>
      <w:r w:rsidRPr="00FC5A45">
        <w:t xml:space="preserve">, employment </w:t>
      </w:r>
      <w:r w:rsidR="005E6BF6">
        <w:t xml:space="preserve">in these industries </w:t>
      </w:r>
      <w:r w:rsidRPr="00FC5A45">
        <w:t xml:space="preserve">is more likely to be used as a stop-gap measure. This means </w:t>
      </w:r>
      <w:r w:rsidRPr="00516663">
        <w:t>that workers may continue to seek jobs in other industries or may have to consider retraining or upskilling in order to gain more secure work.</w:t>
      </w:r>
    </w:p>
    <w:p w:rsidR="00870BA3" w:rsidRPr="005C55F8" w:rsidRDefault="00516663" w:rsidP="00870BA3">
      <w:pPr>
        <w:pStyle w:val="Text"/>
        <w:rPr>
          <w:rFonts w:ascii="Times New Roman" w:hAnsi="Times New Roman"/>
          <w:sz w:val="24"/>
          <w:szCs w:val="24"/>
          <w:lang w:eastAsia="en-AU"/>
        </w:rPr>
      </w:pPr>
      <w:r w:rsidRPr="00516663">
        <w:t xml:space="preserve">Mobility between occupations at common skill levels, however, will also be significantly influenced by </w:t>
      </w:r>
      <w:r w:rsidRPr="00FC5A45">
        <w:t>the similarities and differences in skills sets between these grow</w:t>
      </w:r>
      <w:r w:rsidR="005C717B">
        <w:t>ing and declining occupations. The occupational analysis of the c</w:t>
      </w:r>
      <w:r w:rsidRPr="00FC5A45">
        <w:t>ensus data suggests that the skills required for growing occupations are, in general, significantly different from those required in declining occupations. The occupations that showed the strongest growth and greatest decline in worker numbers for the 2006</w:t>
      </w:r>
      <w:r w:rsidR="005C717B">
        <w:t xml:space="preserve"> and 2011 c</w:t>
      </w:r>
      <w:r w:rsidRPr="00516663">
        <w:t xml:space="preserve">ensus years </w:t>
      </w:r>
      <w:r w:rsidR="005C717B">
        <w:t>are presented in table 1</w:t>
      </w:r>
      <w:r w:rsidRPr="00516663">
        <w:t>.</w:t>
      </w:r>
    </w:p>
    <w:p w:rsidR="005C55F8" w:rsidRDefault="00870BA3" w:rsidP="005C55F8">
      <w:pPr>
        <w:pStyle w:val="tabletitle0"/>
      </w:pPr>
      <w:bookmarkStart w:id="38" w:name="_Toc432142527"/>
      <w:r>
        <w:rPr>
          <w:rFonts w:eastAsia="Tahoma" w:cs="Tahoma"/>
          <w:szCs w:val="17"/>
        </w:rPr>
        <w:t>T</w:t>
      </w:r>
      <w:r w:rsidR="005C55F8">
        <w:rPr>
          <w:rFonts w:eastAsia="Tahoma" w:cs="Tahoma"/>
          <w:szCs w:val="17"/>
        </w:rPr>
        <w:t xml:space="preserve">able 1 </w:t>
      </w:r>
      <w:r w:rsidR="005E6BF6">
        <w:rPr>
          <w:rFonts w:eastAsia="Tahoma" w:cs="Tahoma"/>
          <w:szCs w:val="17"/>
        </w:rPr>
        <w:tab/>
      </w:r>
      <w:r w:rsidR="005C55F8">
        <w:rPr>
          <w:rFonts w:eastAsia="Tahoma" w:cs="Tahoma"/>
          <w:szCs w:val="17"/>
        </w:rPr>
        <w:t>Occupational growth and decline by skill levels, 2006, 2011</w:t>
      </w:r>
      <w:bookmarkEnd w:id="38"/>
      <w:r w:rsidR="00854EAC">
        <w:rPr>
          <w:noProof/>
          <w:lang w:eastAsia="en-AU"/>
        </w:rPr>
        <mc:AlternateContent>
          <mc:Choice Requires="wps">
            <w:drawing>
              <wp:anchor distT="0" distB="0" distL="114300" distR="114300" simplePos="0" relativeHeight="252005376" behindDoc="0" locked="1" layoutInCell="1" allowOverlap="1" wp14:anchorId="0B0B7D07" wp14:editId="52C82772">
                <wp:simplePos x="0" y="0"/>
                <wp:positionH relativeFrom="outsideMargin">
                  <wp:posOffset>180340</wp:posOffset>
                </wp:positionH>
                <wp:positionV relativeFrom="page">
                  <wp:posOffset>781685</wp:posOffset>
                </wp:positionV>
                <wp:extent cx="1320800" cy="1941195"/>
                <wp:effectExtent l="0" t="0" r="0"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941195"/>
                        </a:xfrm>
                        <a:prstGeom prst="rect">
                          <a:avLst/>
                        </a:prstGeom>
                        <a:noFill/>
                        <a:ln w="6350">
                          <a:noFill/>
                        </a:ln>
                        <a:effectLst>
                          <a:outerShdw blurRad="152400" dist="317500" dir="5400000" sx="90000" sy="-19000" rotWithShape="0">
                            <a:prstClr val="black">
                              <a:alpha val="15000"/>
                            </a:prstClr>
                          </a:outerShdw>
                        </a:effectLst>
                      </wps:spPr>
                      <wps:txbx>
                        <w:txbxContent>
                          <w:p w:rsidR="00396053" w:rsidRPr="00543BFF" w:rsidRDefault="00396053" w:rsidP="00FC5A45">
                            <w:pPr>
                              <w:pStyle w:val="PullQuote"/>
                            </w:pPr>
                            <w:r>
                              <w:rPr>
                                <w:lang w:eastAsia="en-AU"/>
                              </w:rPr>
                              <w:t>T</w:t>
                            </w:r>
                            <w:r w:rsidRPr="00FC5A45">
                              <w:rPr>
                                <w:lang w:eastAsia="en-AU"/>
                              </w:rPr>
                              <w:t>he health care and social assistance industry witnessed the strongest job growth of any industry between 2006 and 2011 to become Australia’s largest employing sector</w:t>
                            </w:r>
                            <w:r>
                              <w:rPr>
                                <w:lang w:eastAsia="en-AU"/>
                              </w:rP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left:0;text-align:left;margin-left:14.2pt;margin-top:61.55pt;width:104pt;height:152.85pt;z-index:25200537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" filled="f" stroked="f" strokeweight=".5pt">
                <v:shadow on="t" type="perspective" color="black" opacity="9830f" origin=",.5" offset="0,25pt" matrix="58982f,,,-12452f"/>
                <v:path arrowok="t"/>
                <v:textbox inset="10mm">
                  <w:txbxContent>
                    <w:p w:rsidR="00396053" w:rsidRPr="00543BFF" w:rsidRDefault="00396053" w:rsidP="00FC5A45">
                      <w:pPr>
                        <w:pStyle w:val="PullQuote"/>
                      </w:pPr>
                      <w:r>
                        <w:rPr>
                          <w:lang w:eastAsia="en-AU"/>
                        </w:rPr>
                        <w:t>T</w:t>
                      </w:r>
                      <w:r w:rsidRPr="00FC5A45">
                        <w:rPr>
                          <w:lang w:eastAsia="en-AU"/>
                        </w:rPr>
                        <w:t>he health care and social assistance industry witnessed the strongest job growth of any industry between 2006 and 2011 to become Australia’s largest employing sector</w:t>
                      </w:r>
                      <w:r>
                        <w:rPr>
                          <w:lang w:eastAsia="en-AU"/>
                        </w:rPr>
                        <w:t>.</w:t>
                      </w:r>
                    </w:p>
                  </w:txbxContent>
                </v:textbox>
                <w10:wrap anchorx="margin" anchory="page"/>
                <w10:anchorlock/>
              </v:shape>
            </w:pict>
          </mc:Fallback>
        </mc:AlternateContent>
      </w:r>
    </w:p>
    <w:tbl>
      <w:tblPr>
        <w:tblW w:w="7804" w:type="dxa"/>
        <w:tblInd w:w="108" w:type="dxa"/>
        <w:tblBorders>
          <w:top w:val="single" w:sz="4" w:space="0" w:color="auto"/>
          <w:bottom w:val="single" w:sz="4" w:space="0" w:color="auto"/>
        </w:tblBorders>
        <w:tblLayout w:type="fixed"/>
        <w:tblLook w:val="0000" w:firstRow="0" w:lastRow="0" w:firstColumn="0" w:lastColumn="0" w:noHBand="0" w:noVBand="0"/>
      </w:tblPr>
      <w:tblGrid>
        <w:gridCol w:w="623"/>
        <w:gridCol w:w="907"/>
        <w:gridCol w:w="2581"/>
        <w:gridCol w:w="357"/>
        <w:gridCol w:w="483"/>
        <w:gridCol w:w="964"/>
        <w:gridCol w:w="1039"/>
        <w:gridCol w:w="850"/>
      </w:tblGrid>
      <w:tr w:rsidR="005C55F8" w:rsidTr="00E544E1">
        <w:trPr>
          <w:cantSplit/>
        </w:trPr>
        <w:tc>
          <w:tcPr>
            <w:tcW w:w="623"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5C55F8" w:rsidRDefault="005C55F8" w:rsidP="005C55F8">
            <w:pPr>
              <w:pStyle w:val="Tablehead1"/>
            </w:pPr>
          </w:p>
        </w:tc>
        <w:tc>
          <w:tcPr>
            <w:tcW w:w="907"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rsidR="005C55F8" w:rsidRDefault="005C55F8" w:rsidP="005C55F8">
            <w:pPr>
              <w:pStyle w:val="Tablehead1"/>
            </w:pPr>
          </w:p>
        </w:tc>
        <w:tc>
          <w:tcPr>
            <w:tcW w:w="2938" w:type="dxa"/>
            <w:gridSpan w:val="2"/>
            <w:tcBorders>
              <w:top w:val="single" w:sz="4" w:space="0" w:color="auto"/>
              <w:left w:val="single" w:sz="4" w:space="0" w:color="FFFFFF" w:themeColor="background1"/>
              <w:bottom w:val="nil"/>
              <w:right w:val="single" w:sz="4" w:space="0" w:color="FFFFFF" w:themeColor="background1"/>
            </w:tcBorders>
          </w:tcPr>
          <w:p w:rsidR="005C55F8" w:rsidRDefault="005C55F8" w:rsidP="005C55F8">
            <w:pPr>
              <w:pStyle w:val="Tablehead1"/>
            </w:pPr>
            <w:r>
              <w:t>Occupation</w:t>
            </w:r>
          </w:p>
        </w:tc>
        <w:tc>
          <w:tcPr>
            <w:tcW w:w="3336" w:type="dxa"/>
            <w:gridSpan w:val="4"/>
            <w:tcBorders>
              <w:top w:val="single" w:sz="4" w:space="0" w:color="auto"/>
              <w:left w:val="single" w:sz="4" w:space="0" w:color="FFFFFF" w:themeColor="background1"/>
              <w:bottom w:val="nil"/>
              <w:right w:val="single" w:sz="4" w:space="0" w:color="FFFFFF" w:themeColor="background1"/>
            </w:tcBorders>
          </w:tcPr>
          <w:p w:rsidR="005C55F8" w:rsidRDefault="005C55F8" w:rsidP="005C55F8">
            <w:pPr>
              <w:pStyle w:val="Tablehead1"/>
              <w:jc w:val="center"/>
            </w:pPr>
          </w:p>
        </w:tc>
      </w:tr>
      <w:tr w:rsidR="00BB3865" w:rsidTr="00E544E1">
        <w:trPr>
          <w:cantSplit/>
        </w:trPr>
        <w:tc>
          <w:tcPr>
            <w:tcW w:w="623"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BB3865" w:rsidRDefault="00BB3865" w:rsidP="005C55F8">
            <w:pPr>
              <w:pStyle w:val="Tablehead3"/>
            </w:pPr>
          </w:p>
        </w:tc>
        <w:tc>
          <w:tcPr>
            <w:tcW w:w="907"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BB3865" w:rsidRDefault="00BB3865" w:rsidP="005C55F8">
            <w:pPr>
              <w:pStyle w:val="Tablehead3"/>
            </w:pPr>
          </w:p>
        </w:tc>
        <w:tc>
          <w:tcPr>
            <w:tcW w:w="2581" w:type="dxa"/>
            <w:tcBorders>
              <w:top w:val="single" w:sz="4" w:space="0" w:color="FFFFFF" w:themeColor="background1"/>
              <w:left w:val="single" w:sz="4" w:space="0" w:color="FFFFFF" w:themeColor="background1"/>
              <w:bottom w:val="single" w:sz="4" w:space="0" w:color="auto"/>
              <w:right w:val="single" w:sz="4" w:space="0" w:color="FFFFFF" w:themeColor="background1"/>
            </w:tcBorders>
          </w:tcPr>
          <w:p w:rsidR="00BB3865" w:rsidRDefault="00BB3865" w:rsidP="005C55F8">
            <w:pPr>
              <w:pStyle w:val="Tablehead3"/>
            </w:pPr>
          </w:p>
        </w:tc>
        <w:tc>
          <w:tcPr>
            <w:tcW w:w="840" w:type="dxa"/>
            <w:gridSpan w:val="2"/>
            <w:tcBorders>
              <w:top w:val="nil"/>
              <w:left w:val="single" w:sz="4" w:space="0" w:color="FFFFFF" w:themeColor="background1"/>
              <w:bottom w:val="single" w:sz="4" w:space="0" w:color="auto"/>
              <w:right w:val="single" w:sz="4" w:space="0" w:color="FFFFFF" w:themeColor="background1"/>
            </w:tcBorders>
            <w:vAlign w:val="bottom"/>
          </w:tcPr>
          <w:p w:rsidR="00BB3865" w:rsidRDefault="00BB3865" w:rsidP="005C55F8">
            <w:pPr>
              <w:pStyle w:val="Tablehead3"/>
              <w:jc w:val="right"/>
            </w:pPr>
            <w:r>
              <w:t>Persons employed 2006</w:t>
            </w:r>
          </w:p>
        </w:tc>
        <w:tc>
          <w:tcPr>
            <w:tcW w:w="964"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rsidR="00BB3865" w:rsidRDefault="00BB3865" w:rsidP="005C55F8">
            <w:pPr>
              <w:pStyle w:val="Tablehead3"/>
              <w:tabs>
                <w:tab w:val="left" w:pos="495"/>
                <w:tab w:val="center" w:pos="602"/>
              </w:tabs>
              <w:jc w:val="right"/>
            </w:pPr>
            <w:r>
              <w:t>Persons employed 2011</w:t>
            </w:r>
          </w:p>
        </w:tc>
        <w:tc>
          <w:tcPr>
            <w:tcW w:w="1039" w:type="dxa"/>
            <w:tcBorders>
              <w:top w:val="nil"/>
              <w:left w:val="single" w:sz="4" w:space="0" w:color="FFFFFF" w:themeColor="background1"/>
              <w:bottom w:val="single" w:sz="4" w:space="0" w:color="auto"/>
              <w:right w:val="single" w:sz="4" w:space="0" w:color="FFFFFF" w:themeColor="background1"/>
            </w:tcBorders>
            <w:vAlign w:val="bottom"/>
          </w:tcPr>
          <w:p w:rsidR="00BB3865" w:rsidRPr="00901440" w:rsidRDefault="00BB3865" w:rsidP="00396053">
            <w:pPr>
              <w:spacing w:before="20" w:after="20" w:line="240" w:lineRule="auto"/>
              <w:jc w:val="right"/>
              <w:rPr>
                <w:rFonts w:ascii="Calibri" w:eastAsia="Calibri" w:hAnsi="Calibri" w:cs="Calibri"/>
                <w:color w:val="000000"/>
                <w:sz w:val="22"/>
                <w:lang w:eastAsia="en-AU"/>
              </w:rPr>
            </w:pPr>
            <w:r>
              <w:rPr>
                <w:rFonts w:ascii="Arial" w:eastAsia="Arial" w:hAnsi="Arial" w:cs="Arial"/>
                <w:i/>
                <w:color w:val="000000"/>
                <w:sz w:val="16"/>
                <w:lang w:eastAsia="en-AU"/>
              </w:rPr>
              <w:t>D</w:t>
            </w:r>
            <w:r w:rsidRPr="000D7ADD">
              <w:rPr>
                <w:rFonts w:ascii="Arial" w:eastAsia="Arial" w:hAnsi="Arial" w:cs="Arial"/>
                <w:i/>
                <w:color w:val="000000"/>
                <w:sz w:val="16"/>
                <w:lang w:eastAsia="en-AU"/>
              </w:rPr>
              <w:t xml:space="preserve">ifference </w:t>
            </w:r>
            <w:r>
              <w:rPr>
                <w:rFonts w:ascii="Arial" w:eastAsia="Arial" w:hAnsi="Arial" w:cs="Arial"/>
                <w:i/>
                <w:color w:val="000000"/>
                <w:sz w:val="16"/>
                <w:lang w:eastAsia="en-AU"/>
              </w:rPr>
              <w:br/>
              <w:t>in persons employed 2006-11</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bottom"/>
          </w:tcPr>
          <w:p w:rsidR="00BB3865" w:rsidRPr="00901440" w:rsidRDefault="00BB3865" w:rsidP="00396053">
            <w:pPr>
              <w:spacing w:before="20" w:after="20" w:line="240" w:lineRule="auto"/>
              <w:jc w:val="right"/>
              <w:rPr>
                <w:rFonts w:ascii="Calibri" w:eastAsia="Calibri" w:hAnsi="Calibri" w:cs="Calibri"/>
                <w:color w:val="000000"/>
                <w:sz w:val="22"/>
                <w:lang w:eastAsia="en-AU"/>
              </w:rPr>
            </w:pPr>
            <w:r w:rsidRPr="00901440">
              <w:rPr>
                <w:rFonts w:ascii="Arial" w:eastAsia="Arial" w:hAnsi="Arial" w:cs="Arial"/>
                <w:i/>
                <w:color w:val="000000"/>
                <w:sz w:val="16"/>
                <w:lang w:eastAsia="en-AU"/>
              </w:rPr>
              <w:t>% change</w:t>
            </w:r>
            <w:r>
              <w:rPr>
                <w:rFonts w:ascii="Arial" w:eastAsia="Arial" w:hAnsi="Arial" w:cs="Arial"/>
                <w:i/>
                <w:color w:val="000000"/>
                <w:sz w:val="16"/>
                <w:lang w:eastAsia="en-AU"/>
              </w:rPr>
              <w:br/>
              <w:t>2006-11</w:t>
            </w:r>
          </w:p>
        </w:tc>
      </w:tr>
      <w:tr w:rsidR="005C55F8" w:rsidTr="00E544E1">
        <w:trPr>
          <w:cantSplit/>
          <w:trHeight w:val="57"/>
        </w:trPr>
        <w:tc>
          <w:tcPr>
            <w:tcW w:w="623" w:type="dxa"/>
            <w:vMerge w:val="restart"/>
            <w:tcBorders>
              <w:top w:val="single" w:sz="4" w:space="0" w:color="auto"/>
              <w:left w:val="single" w:sz="4" w:space="0" w:color="FFFFFF" w:themeColor="background1"/>
              <w:right w:val="single" w:sz="4" w:space="0" w:color="FFFFFF" w:themeColor="background1"/>
            </w:tcBorders>
            <w:vAlign w:val="center"/>
          </w:tcPr>
          <w:p w:rsidR="005C55F8" w:rsidRPr="00901440" w:rsidRDefault="00A64367" w:rsidP="005C55F8">
            <w:pPr>
              <w:spacing w:before="40" w:after="40" w:line="240" w:lineRule="auto"/>
              <w:jc w:val="center"/>
              <w:rPr>
                <w:rFonts w:ascii="Calibri" w:eastAsia="Calibri" w:hAnsi="Calibri" w:cs="Calibri"/>
                <w:color w:val="000000"/>
                <w:sz w:val="22"/>
                <w:lang w:eastAsia="en-AU"/>
              </w:rPr>
            </w:pPr>
            <w:r>
              <w:rPr>
                <w:rFonts w:ascii="Arial" w:eastAsia="Arial" w:hAnsi="Arial" w:cs="Arial"/>
                <w:color w:val="000000"/>
                <w:sz w:val="16"/>
                <w:lang w:eastAsia="en-AU"/>
              </w:rPr>
              <w:t>Skill l</w:t>
            </w:r>
            <w:r w:rsidR="005C55F8" w:rsidRPr="00901440">
              <w:rPr>
                <w:rFonts w:ascii="Arial" w:eastAsia="Arial" w:hAnsi="Arial" w:cs="Arial"/>
                <w:color w:val="000000"/>
                <w:sz w:val="16"/>
                <w:lang w:eastAsia="en-AU"/>
              </w:rPr>
              <w:t>evel 1</w:t>
            </w:r>
          </w:p>
        </w:tc>
        <w:tc>
          <w:tcPr>
            <w:tcW w:w="907" w:type="dxa"/>
            <w:vMerge w:val="restart"/>
            <w:tcBorders>
              <w:top w:val="single" w:sz="4" w:space="0" w:color="auto"/>
              <w:left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rPr>
                <w:rFonts w:ascii="Calibri" w:eastAsia="Calibri" w:hAnsi="Calibri" w:cs="Calibri"/>
                <w:color w:val="000000"/>
                <w:sz w:val="22"/>
                <w:lang w:eastAsia="en-AU"/>
              </w:rPr>
            </w:pPr>
            <w:r w:rsidRPr="00901440">
              <w:rPr>
                <w:rFonts w:ascii="Arial" w:eastAsia="Arial" w:hAnsi="Arial" w:cs="Arial"/>
                <w:color w:val="000000"/>
                <w:sz w:val="16"/>
                <w:lang w:eastAsia="en-AU"/>
              </w:rPr>
              <w:t>Growing</w:t>
            </w:r>
          </w:p>
        </w:tc>
        <w:tc>
          <w:tcPr>
            <w:tcW w:w="2581"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Default="007716CB" w:rsidP="005C55F8">
            <w:pPr>
              <w:pStyle w:val="Tabletext"/>
            </w:pPr>
            <w:r>
              <w:t>Registered n</w:t>
            </w:r>
            <w:r w:rsidR="005C55F8" w:rsidRPr="00E9517E">
              <w:t>urses</w:t>
            </w:r>
          </w:p>
        </w:tc>
        <w:tc>
          <w:tcPr>
            <w:tcW w:w="84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172 565</w:t>
            </w:r>
          </w:p>
        </w:tc>
        <w:tc>
          <w:tcPr>
            <w:tcW w:w="964"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206 916</w:t>
            </w:r>
          </w:p>
        </w:tc>
        <w:tc>
          <w:tcPr>
            <w:tcW w:w="1039"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34 351</w:t>
            </w:r>
          </w:p>
        </w:tc>
        <w:tc>
          <w:tcPr>
            <w:tcW w:w="850"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19.9%</w:t>
            </w:r>
          </w:p>
        </w:tc>
      </w:tr>
      <w:tr w:rsidR="005C55F8" w:rsidTr="00E544E1">
        <w:trPr>
          <w:cantSplit/>
          <w:trHeight w:val="57"/>
        </w:trPr>
        <w:tc>
          <w:tcPr>
            <w:tcW w:w="623" w:type="dxa"/>
            <w:vMerge/>
            <w:tcBorders>
              <w:left w:val="single" w:sz="4" w:space="0" w:color="FFFFFF" w:themeColor="background1"/>
              <w:right w:val="single" w:sz="4" w:space="0" w:color="FFFFFF" w:themeColor="background1"/>
            </w:tcBorders>
            <w:vAlign w:val="center"/>
          </w:tcPr>
          <w:p w:rsidR="005C55F8" w:rsidRDefault="005C55F8" w:rsidP="005C55F8">
            <w:pPr>
              <w:pStyle w:val="Tabletext"/>
            </w:pPr>
          </w:p>
        </w:tc>
        <w:tc>
          <w:tcPr>
            <w:tcW w:w="907" w:type="dxa"/>
            <w:vMerge/>
            <w:tcBorders>
              <w:left w:val="single" w:sz="4" w:space="0" w:color="FFFFFF" w:themeColor="background1"/>
              <w:right w:val="single" w:sz="4" w:space="0" w:color="FFFFFF" w:themeColor="background1"/>
            </w:tcBorders>
            <w:vAlign w:val="center"/>
          </w:tcPr>
          <w:p w:rsidR="005C55F8" w:rsidRDefault="005C55F8" w:rsidP="005C55F8">
            <w:pPr>
              <w:pStyle w:val="Tabletext"/>
            </w:pPr>
          </w:p>
        </w:tc>
        <w:tc>
          <w:tcPr>
            <w:tcW w:w="2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Default="005C55F8" w:rsidP="005C55F8">
            <w:pPr>
              <w:pStyle w:val="Tabletext"/>
            </w:pPr>
            <w:r w:rsidRPr="00901440">
              <w:rPr>
                <w:rFonts w:ascii="Arial" w:eastAsia="Arial" w:hAnsi="Arial" w:cs="Arial"/>
                <w:color w:val="000000"/>
                <w:lang w:eastAsia="en-AU"/>
              </w:rPr>
              <w:t>Accountants</w:t>
            </w:r>
          </w:p>
        </w:tc>
        <w:tc>
          <w:tcPr>
            <w:tcW w:w="8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123 373</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138 298</w:t>
            </w:r>
          </w:p>
        </w:tc>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14 925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12.1%</w:t>
            </w:r>
          </w:p>
        </w:tc>
      </w:tr>
      <w:tr w:rsidR="005C55F8" w:rsidTr="00E544E1">
        <w:trPr>
          <w:cantSplit/>
          <w:trHeight w:val="57"/>
        </w:trPr>
        <w:tc>
          <w:tcPr>
            <w:tcW w:w="623" w:type="dxa"/>
            <w:vMerge/>
            <w:tcBorders>
              <w:left w:val="single" w:sz="4" w:space="0" w:color="FFFFFF" w:themeColor="background1"/>
              <w:right w:val="single" w:sz="4" w:space="0" w:color="FFFFFF" w:themeColor="background1"/>
            </w:tcBorders>
            <w:vAlign w:val="center"/>
          </w:tcPr>
          <w:p w:rsidR="005C55F8" w:rsidRDefault="005C55F8" w:rsidP="005C55F8">
            <w:pPr>
              <w:pStyle w:val="Tabletext"/>
            </w:pPr>
          </w:p>
        </w:tc>
        <w:tc>
          <w:tcPr>
            <w:tcW w:w="907" w:type="dxa"/>
            <w:vMerge/>
            <w:tcBorders>
              <w:left w:val="single" w:sz="4" w:space="0" w:color="FFFFFF" w:themeColor="background1"/>
              <w:bottom w:val="single" w:sz="4" w:space="0" w:color="auto"/>
              <w:right w:val="single" w:sz="4" w:space="0" w:color="FFFFFF" w:themeColor="background1"/>
            </w:tcBorders>
            <w:vAlign w:val="center"/>
          </w:tcPr>
          <w:p w:rsidR="005C55F8" w:rsidRDefault="005C55F8" w:rsidP="005C55F8">
            <w:pPr>
              <w:pStyle w:val="Tabletext"/>
            </w:pPr>
          </w:p>
        </w:tc>
        <w:tc>
          <w:tcPr>
            <w:tcW w:w="2581"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Default="00B72A63" w:rsidP="005C55F8">
            <w:pPr>
              <w:pStyle w:val="Tabletext"/>
            </w:pPr>
            <w:r>
              <w:rPr>
                <w:rFonts w:ascii="Arial" w:eastAsia="Arial" w:hAnsi="Arial" w:cs="Arial"/>
                <w:color w:val="000000"/>
                <w:lang w:eastAsia="en-AU"/>
              </w:rPr>
              <w:t>ICT m</w:t>
            </w:r>
            <w:r w:rsidR="005C55F8" w:rsidRPr="00901440">
              <w:rPr>
                <w:rFonts w:ascii="Arial" w:eastAsia="Arial" w:hAnsi="Arial" w:cs="Arial"/>
                <w:color w:val="000000"/>
                <w:lang w:eastAsia="en-AU"/>
              </w:rPr>
              <w:t>anagers</w:t>
            </w:r>
          </w:p>
        </w:tc>
        <w:tc>
          <w:tcPr>
            <w:tcW w:w="840"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29 964</w:t>
            </w:r>
          </w:p>
        </w:tc>
        <w:tc>
          <w:tcPr>
            <w:tcW w:w="964"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42 451</w:t>
            </w:r>
          </w:p>
        </w:tc>
        <w:tc>
          <w:tcPr>
            <w:tcW w:w="1039"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12 487</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41.7%</w:t>
            </w:r>
          </w:p>
        </w:tc>
      </w:tr>
      <w:tr w:rsidR="005C55F8" w:rsidTr="00E544E1">
        <w:trPr>
          <w:cantSplit/>
          <w:trHeight w:val="57"/>
        </w:trPr>
        <w:tc>
          <w:tcPr>
            <w:tcW w:w="623" w:type="dxa"/>
            <w:vMerge/>
            <w:tcBorders>
              <w:left w:val="single" w:sz="4" w:space="0" w:color="FFFFFF" w:themeColor="background1"/>
              <w:right w:val="single" w:sz="4" w:space="0" w:color="FFFFFF" w:themeColor="background1"/>
            </w:tcBorders>
            <w:vAlign w:val="center"/>
          </w:tcPr>
          <w:p w:rsidR="005C55F8" w:rsidRDefault="005C55F8" w:rsidP="005C55F8">
            <w:pPr>
              <w:pStyle w:val="Tabletext"/>
            </w:pPr>
          </w:p>
        </w:tc>
        <w:tc>
          <w:tcPr>
            <w:tcW w:w="907" w:type="dxa"/>
            <w:vMerge w:val="restart"/>
            <w:tcBorders>
              <w:top w:val="single" w:sz="4" w:space="0" w:color="auto"/>
              <w:left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rPr>
                <w:rFonts w:ascii="Calibri" w:eastAsia="Calibri" w:hAnsi="Calibri" w:cs="Calibri"/>
                <w:color w:val="000000"/>
                <w:sz w:val="22"/>
                <w:lang w:eastAsia="en-AU"/>
              </w:rPr>
            </w:pPr>
            <w:r w:rsidRPr="00901440">
              <w:rPr>
                <w:rFonts w:ascii="Arial" w:eastAsia="Arial" w:hAnsi="Arial" w:cs="Arial"/>
                <w:color w:val="000000"/>
                <w:sz w:val="16"/>
                <w:lang w:eastAsia="en-AU"/>
              </w:rPr>
              <w:t>Declining</w:t>
            </w:r>
          </w:p>
        </w:tc>
        <w:tc>
          <w:tcPr>
            <w:tcW w:w="2581"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Default="005C55F8" w:rsidP="005C55F8">
            <w:pPr>
              <w:pStyle w:val="Tabletext"/>
            </w:pPr>
            <w:r w:rsidRPr="00901440">
              <w:rPr>
                <w:rFonts w:ascii="Arial" w:eastAsia="Arial" w:hAnsi="Arial" w:cs="Arial"/>
                <w:color w:val="000000"/>
                <w:lang w:eastAsia="en-AU"/>
              </w:rPr>
              <w:t xml:space="preserve">Mixed </w:t>
            </w:r>
            <w:r w:rsidR="007716CB" w:rsidRPr="00901440">
              <w:rPr>
                <w:rFonts w:ascii="Arial" w:eastAsia="Arial" w:hAnsi="Arial" w:cs="Arial"/>
                <w:color w:val="000000"/>
                <w:lang w:eastAsia="en-AU"/>
              </w:rPr>
              <w:t>crop and livestock farmers</w:t>
            </w:r>
          </w:p>
        </w:tc>
        <w:tc>
          <w:tcPr>
            <w:tcW w:w="84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41 349</w:t>
            </w:r>
          </w:p>
        </w:tc>
        <w:tc>
          <w:tcPr>
            <w:tcW w:w="964"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34 724</w:t>
            </w:r>
          </w:p>
        </w:tc>
        <w:tc>
          <w:tcPr>
            <w:tcW w:w="1039"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-6 625</w:t>
            </w:r>
          </w:p>
        </w:tc>
        <w:tc>
          <w:tcPr>
            <w:tcW w:w="850"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-16.0%</w:t>
            </w:r>
          </w:p>
        </w:tc>
      </w:tr>
      <w:tr w:rsidR="005C55F8" w:rsidTr="00E544E1">
        <w:trPr>
          <w:cantSplit/>
          <w:trHeight w:val="57"/>
        </w:trPr>
        <w:tc>
          <w:tcPr>
            <w:tcW w:w="623" w:type="dxa"/>
            <w:vMerge/>
            <w:tcBorders>
              <w:left w:val="single" w:sz="4" w:space="0" w:color="FFFFFF" w:themeColor="background1"/>
              <w:right w:val="single" w:sz="4" w:space="0" w:color="FFFFFF" w:themeColor="background1"/>
            </w:tcBorders>
            <w:vAlign w:val="center"/>
          </w:tcPr>
          <w:p w:rsidR="005C55F8" w:rsidRDefault="005C55F8" w:rsidP="005C55F8">
            <w:pPr>
              <w:pStyle w:val="Tabletext"/>
            </w:pPr>
          </w:p>
        </w:tc>
        <w:tc>
          <w:tcPr>
            <w:tcW w:w="907" w:type="dxa"/>
            <w:vMerge/>
            <w:tcBorders>
              <w:left w:val="single" w:sz="4" w:space="0" w:color="FFFFFF" w:themeColor="background1"/>
              <w:right w:val="single" w:sz="4" w:space="0" w:color="FFFFFF" w:themeColor="background1"/>
            </w:tcBorders>
            <w:vAlign w:val="center"/>
          </w:tcPr>
          <w:p w:rsidR="005C55F8" w:rsidRDefault="005C55F8" w:rsidP="005C55F8">
            <w:pPr>
              <w:pStyle w:val="Tabletext"/>
            </w:pPr>
          </w:p>
        </w:tc>
        <w:tc>
          <w:tcPr>
            <w:tcW w:w="2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Default="005C55F8" w:rsidP="005C55F8">
            <w:pPr>
              <w:pStyle w:val="Tabletext"/>
            </w:pPr>
            <w:r w:rsidRPr="00901440">
              <w:rPr>
                <w:rFonts w:ascii="Arial" w:eastAsia="Arial" w:hAnsi="Arial" w:cs="Arial"/>
                <w:color w:val="000000"/>
                <w:lang w:eastAsia="en-AU"/>
              </w:rPr>
              <w:t xml:space="preserve">Livestock </w:t>
            </w:r>
            <w:r w:rsidR="007716CB">
              <w:rPr>
                <w:rFonts w:ascii="Arial" w:eastAsia="Arial" w:hAnsi="Arial" w:cs="Arial"/>
                <w:color w:val="000000"/>
                <w:lang w:eastAsia="en-AU"/>
              </w:rPr>
              <w:t>f</w:t>
            </w:r>
            <w:r w:rsidRPr="00901440">
              <w:rPr>
                <w:rFonts w:ascii="Arial" w:eastAsia="Arial" w:hAnsi="Arial" w:cs="Arial"/>
                <w:color w:val="000000"/>
                <w:lang w:eastAsia="en-AU"/>
              </w:rPr>
              <w:t>armers</w:t>
            </w:r>
          </w:p>
        </w:tc>
        <w:tc>
          <w:tcPr>
            <w:tcW w:w="8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83 804</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75 113</w:t>
            </w:r>
          </w:p>
        </w:tc>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-8 691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-10.4%</w:t>
            </w:r>
          </w:p>
        </w:tc>
      </w:tr>
      <w:tr w:rsidR="005C55F8" w:rsidTr="00E544E1">
        <w:trPr>
          <w:cantSplit/>
          <w:trHeight w:val="57"/>
        </w:trPr>
        <w:tc>
          <w:tcPr>
            <w:tcW w:w="623" w:type="dxa"/>
            <w:vMerge/>
            <w:tcBorders>
              <w:left w:val="single" w:sz="4" w:space="0" w:color="FFFFFF" w:themeColor="background1"/>
              <w:bottom w:val="single" w:sz="4" w:space="0" w:color="auto"/>
              <w:right w:val="single" w:sz="4" w:space="0" w:color="FFFFFF" w:themeColor="background1"/>
            </w:tcBorders>
            <w:vAlign w:val="center"/>
          </w:tcPr>
          <w:p w:rsidR="005C55F8" w:rsidRDefault="005C55F8" w:rsidP="005C55F8">
            <w:pPr>
              <w:pStyle w:val="Tabletext"/>
            </w:pPr>
          </w:p>
        </w:tc>
        <w:tc>
          <w:tcPr>
            <w:tcW w:w="907" w:type="dxa"/>
            <w:vMerge/>
            <w:tcBorders>
              <w:left w:val="single" w:sz="4" w:space="0" w:color="FFFFFF" w:themeColor="background1"/>
              <w:bottom w:val="single" w:sz="4" w:space="0" w:color="auto"/>
              <w:right w:val="single" w:sz="4" w:space="0" w:color="FFFFFF" w:themeColor="background1"/>
            </w:tcBorders>
            <w:vAlign w:val="center"/>
          </w:tcPr>
          <w:p w:rsidR="005C55F8" w:rsidRDefault="005C55F8" w:rsidP="005C55F8">
            <w:pPr>
              <w:pStyle w:val="Tabletext"/>
            </w:pPr>
          </w:p>
        </w:tc>
        <w:tc>
          <w:tcPr>
            <w:tcW w:w="2581"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Default="005C55F8" w:rsidP="005C55F8">
            <w:pPr>
              <w:pStyle w:val="Tabletext"/>
            </w:pPr>
            <w:r w:rsidRPr="00901440">
              <w:rPr>
                <w:rFonts w:ascii="Arial" w:eastAsia="Arial" w:hAnsi="Arial" w:cs="Arial"/>
                <w:color w:val="000000"/>
                <w:lang w:eastAsia="en-AU"/>
              </w:rPr>
              <w:t xml:space="preserve">Corporate </w:t>
            </w:r>
            <w:r w:rsidR="007716CB" w:rsidRPr="00901440">
              <w:rPr>
                <w:rFonts w:ascii="Arial" w:eastAsia="Arial" w:hAnsi="Arial" w:cs="Arial"/>
                <w:color w:val="000000"/>
                <w:lang w:eastAsia="en-AU"/>
              </w:rPr>
              <w:t>services managers</w:t>
            </w:r>
          </w:p>
        </w:tc>
        <w:tc>
          <w:tcPr>
            <w:tcW w:w="840"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21 804</w:t>
            </w:r>
          </w:p>
        </w:tc>
        <w:tc>
          <w:tcPr>
            <w:tcW w:w="964"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7 365</w:t>
            </w:r>
          </w:p>
        </w:tc>
        <w:tc>
          <w:tcPr>
            <w:tcW w:w="1039"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-14 439</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-66.2%</w:t>
            </w:r>
          </w:p>
        </w:tc>
      </w:tr>
      <w:tr w:rsidR="005C55F8" w:rsidTr="00E544E1">
        <w:trPr>
          <w:cantSplit/>
          <w:trHeight w:val="57"/>
        </w:trPr>
        <w:tc>
          <w:tcPr>
            <w:tcW w:w="623" w:type="dxa"/>
            <w:vMerge w:val="restart"/>
            <w:tcBorders>
              <w:top w:val="single" w:sz="4" w:space="0" w:color="auto"/>
              <w:left w:val="single" w:sz="4" w:space="0" w:color="FFFFFF" w:themeColor="background1"/>
              <w:right w:val="single" w:sz="4" w:space="0" w:color="FFFFFF" w:themeColor="background1"/>
            </w:tcBorders>
            <w:vAlign w:val="center"/>
          </w:tcPr>
          <w:p w:rsidR="005C55F8" w:rsidRPr="00901440" w:rsidRDefault="00A64367" w:rsidP="005C55F8">
            <w:pPr>
              <w:spacing w:before="40" w:after="40" w:line="240" w:lineRule="auto"/>
              <w:jc w:val="center"/>
              <w:rPr>
                <w:rFonts w:ascii="Calibri" w:eastAsia="Calibri" w:hAnsi="Calibri" w:cs="Calibri"/>
                <w:color w:val="000000"/>
                <w:sz w:val="22"/>
                <w:lang w:eastAsia="en-AU"/>
              </w:rPr>
            </w:pPr>
            <w:r>
              <w:rPr>
                <w:rFonts w:ascii="Arial" w:eastAsia="Arial" w:hAnsi="Arial" w:cs="Arial"/>
                <w:color w:val="000000"/>
                <w:sz w:val="16"/>
                <w:lang w:eastAsia="en-AU"/>
              </w:rPr>
              <w:t>Skill l</w:t>
            </w:r>
            <w:r w:rsidR="005C55F8" w:rsidRPr="00901440">
              <w:rPr>
                <w:rFonts w:ascii="Arial" w:eastAsia="Arial" w:hAnsi="Arial" w:cs="Arial"/>
                <w:color w:val="000000"/>
                <w:sz w:val="16"/>
                <w:lang w:eastAsia="en-AU"/>
              </w:rPr>
              <w:t>evel 2</w:t>
            </w:r>
          </w:p>
        </w:tc>
        <w:tc>
          <w:tcPr>
            <w:tcW w:w="907" w:type="dxa"/>
            <w:vMerge w:val="restart"/>
            <w:tcBorders>
              <w:top w:val="single" w:sz="4" w:space="0" w:color="auto"/>
              <w:left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rPr>
                <w:rFonts w:ascii="Calibri" w:eastAsia="Calibri" w:hAnsi="Calibri" w:cs="Calibri"/>
                <w:color w:val="000000"/>
                <w:sz w:val="22"/>
                <w:lang w:eastAsia="en-AU"/>
              </w:rPr>
            </w:pPr>
            <w:r w:rsidRPr="00901440">
              <w:rPr>
                <w:rFonts w:ascii="Arial" w:eastAsia="Arial" w:hAnsi="Arial" w:cs="Arial"/>
                <w:color w:val="000000"/>
                <w:sz w:val="16"/>
                <w:lang w:eastAsia="en-AU"/>
              </w:rPr>
              <w:t>Growing</w:t>
            </w:r>
          </w:p>
        </w:tc>
        <w:tc>
          <w:tcPr>
            <w:tcW w:w="2581"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rPr>
                <w:rFonts w:ascii="Calibri" w:eastAsia="Calibri" w:hAnsi="Calibri" w:cs="Calibri"/>
                <w:color w:val="000000"/>
                <w:sz w:val="22"/>
                <w:lang w:eastAsia="en-AU"/>
              </w:rPr>
            </w:pPr>
            <w:r w:rsidRPr="00901440">
              <w:rPr>
                <w:rFonts w:ascii="Arial" w:eastAsia="Arial" w:hAnsi="Arial" w:cs="Arial"/>
                <w:color w:val="000000"/>
                <w:sz w:val="16"/>
                <w:lang w:eastAsia="en-AU"/>
              </w:rPr>
              <w:t xml:space="preserve">Contract, </w:t>
            </w:r>
            <w:r w:rsidR="007716CB" w:rsidRPr="00901440">
              <w:rPr>
                <w:rFonts w:ascii="Arial" w:eastAsia="Arial" w:hAnsi="Arial" w:cs="Arial"/>
                <w:color w:val="000000"/>
                <w:sz w:val="16"/>
                <w:lang w:eastAsia="en-AU"/>
              </w:rPr>
              <w:t>program and project administrators</w:t>
            </w:r>
          </w:p>
        </w:tc>
        <w:tc>
          <w:tcPr>
            <w:tcW w:w="84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83 902</w:t>
            </w:r>
          </w:p>
        </w:tc>
        <w:tc>
          <w:tcPr>
            <w:tcW w:w="964"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104 658</w:t>
            </w:r>
          </w:p>
        </w:tc>
        <w:tc>
          <w:tcPr>
            <w:tcW w:w="1039"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20 756</w:t>
            </w:r>
          </w:p>
        </w:tc>
        <w:tc>
          <w:tcPr>
            <w:tcW w:w="850"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24.7%</w:t>
            </w:r>
          </w:p>
        </w:tc>
      </w:tr>
      <w:tr w:rsidR="005C55F8" w:rsidTr="00E544E1">
        <w:trPr>
          <w:cantSplit/>
          <w:trHeight w:val="57"/>
        </w:trPr>
        <w:tc>
          <w:tcPr>
            <w:tcW w:w="623" w:type="dxa"/>
            <w:vMerge/>
            <w:tcBorders>
              <w:left w:val="single" w:sz="4" w:space="0" w:color="FFFFFF" w:themeColor="background1"/>
              <w:right w:val="single" w:sz="4" w:space="0" w:color="FFFFFF" w:themeColor="background1"/>
            </w:tcBorders>
            <w:vAlign w:val="center"/>
          </w:tcPr>
          <w:p w:rsidR="005C55F8" w:rsidRDefault="005C55F8" w:rsidP="005C55F8">
            <w:pPr>
              <w:pStyle w:val="Tabletext"/>
            </w:pPr>
          </w:p>
        </w:tc>
        <w:tc>
          <w:tcPr>
            <w:tcW w:w="907" w:type="dxa"/>
            <w:vMerge/>
            <w:tcBorders>
              <w:left w:val="single" w:sz="4" w:space="0" w:color="FFFFFF" w:themeColor="background1"/>
              <w:right w:val="single" w:sz="4" w:space="0" w:color="FFFFFF" w:themeColor="background1"/>
            </w:tcBorders>
            <w:vAlign w:val="center"/>
          </w:tcPr>
          <w:p w:rsidR="005C55F8" w:rsidRDefault="005C55F8" w:rsidP="005C55F8">
            <w:pPr>
              <w:pStyle w:val="Tabletext"/>
            </w:pPr>
          </w:p>
        </w:tc>
        <w:tc>
          <w:tcPr>
            <w:tcW w:w="2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7716CB" w:rsidP="005C55F8">
            <w:pPr>
              <w:spacing w:before="40" w:after="40" w:line="240" w:lineRule="auto"/>
              <w:rPr>
                <w:rFonts w:ascii="Calibri" w:eastAsia="Calibri" w:hAnsi="Calibri" w:cs="Calibri"/>
                <w:color w:val="000000"/>
                <w:sz w:val="22"/>
                <w:lang w:eastAsia="en-AU"/>
              </w:rPr>
            </w:pPr>
            <w:r>
              <w:rPr>
                <w:rFonts w:ascii="Arial" w:eastAsia="Arial" w:hAnsi="Arial" w:cs="Arial"/>
                <w:color w:val="000000"/>
                <w:sz w:val="16"/>
                <w:lang w:eastAsia="en-AU"/>
              </w:rPr>
              <w:t>Office m</w:t>
            </w:r>
            <w:r w:rsidR="005C55F8" w:rsidRPr="00901440">
              <w:rPr>
                <w:rFonts w:ascii="Arial" w:eastAsia="Arial" w:hAnsi="Arial" w:cs="Arial"/>
                <w:color w:val="000000"/>
                <w:sz w:val="16"/>
                <w:lang w:eastAsia="en-AU"/>
              </w:rPr>
              <w:t>anagers</w:t>
            </w:r>
          </w:p>
        </w:tc>
        <w:tc>
          <w:tcPr>
            <w:tcW w:w="8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92 274</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108 230</w:t>
            </w:r>
          </w:p>
        </w:tc>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15 956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17.3%</w:t>
            </w:r>
          </w:p>
        </w:tc>
      </w:tr>
      <w:tr w:rsidR="005C55F8" w:rsidTr="00E544E1">
        <w:trPr>
          <w:cantSplit/>
          <w:trHeight w:val="57"/>
        </w:trPr>
        <w:tc>
          <w:tcPr>
            <w:tcW w:w="623" w:type="dxa"/>
            <w:vMerge/>
            <w:tcBorders>
              <w:left w:val="single" w:sz="4" w:space="0" w:color="FFFFFF" w:themeColor="background1"/>
              <w:right w:val="single" w:sz="4" w:space="0" w:color="FFFFFF" w:themeColor="background1"/>
            </w:tcBorders>
            <w:vAlign w:val="center"/>
          </w:tcPr>
          <w:p w:rsidR="005C55F8" w:rsidRDefault="005C55F8" w:rsidP="005C55F8">
            <w:pPr>
              <w:pStyle w:val="Tabletext"/>
            </w:pPr>
          </w:p>
        </w:tc>
        <w:tc>
          <w:tcPr>
            <w:tcW w:w="907" w:type="dxa"/>
            <w:vMerge/>
            <w:tcBorders>
              <w:left w:val="single" w:sz="4" w:space="0" w:color="FFFFFF" w:themeColor="background1"/>
              <w:bottom w:val="single" w:sz="4" w:space="0" w:color="auto"/>
              <w:right w:val="single" w:sz="4" w:space="0" w:color="FFFFFF" w:themeColor="background1"/>
            </w:tcBorders>
            <w:vAlign w:val="center"/>
          </w:tcPr>
          <w:p w:rsidR="005C55F8" w:rsidRDefault="005C55F8" w:rsidP="005C55F8">
            <w:pPr>
              <w:pStyle w:val="Tabletext"/>
            </w:pPr>
          </w:p>
        </w:tc>
        <w:tc>
          <w:tcPr>
            <w:tcW w:w="2581"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rPr>
                <w:rFonts w:ascii="Calibri" w:eastAsia="Calibri" w:hAnsi="Calibri" w:cs="Calibri"/>
                <w:color w:val="000000"/>
                <w:sz w:val="22"/>
                <w:lang w:eastAsia="en-AU"/>
              </w:rPr>
            </w:pPr>
            <w:r w:rsidRPr="00901440">
              <w:rPr>
                <w:rFonts w:ascii="Arial" w:eastAsia="Arial" w:hAnsi="Arial" w:cs="Arial"/>
                <w:color w:val="000000"/>
                <w:sz w:val="16"/>
                <w:lang w:eastAsia="en-AU"/>
              </w:rPr>
              <w:t>Architectural</w:t>
            </w:r>
            <w:r w:rsidR="007716CB" w:rsidRPr="00901440">
              <w:rPr>
                <w:rFonts w:ascii="Arial" w:eastAsia="Arial" w:hAnsi="Arial" w:cs="Arial"/>
                <w:color w:val="000000"/>
                <w:sz w:val="16"/>
                <w:lang w:eastAsia="en-AU"/>
              </w:rPr>
              <w:t>, building and surveying technicians</w:t>
            </w:r>
          </w:p>
        </w:tc>
        <w:tc>
          <w:tcPr>
            <w:tcW w:w="840"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34 601</w:t>
            </w:r>
          </w:p>
        </w:tc>
        <w:tc>
          <w:tcPr>
            <w:tcW w:w="964"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49 236</w:t>
            </w:r>
          </w:p>
        </w:tc>
        <w:tc>
          <w:tcPr>
            <w:tcW w:w="1039"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14 635</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42.3%</w:t>
            </w:r>
          </w:p>
        </w:tc>
      </w:tr>
      <w:tr w:rsidR="005C55F8" w:rsidTr="00E544E1">
        <w:trPr>
          <w:cantSplit/>
          <w:trHeight w:val="57"/>
        </w:trPr>
        <w:tc>
          <w:tcPr>
            <w:tcW w:w="623" w:type="dxa"/>
            <w:vMerge/>
            <w:tcBorders>
              <w:left w:val="single" w:sz="4" w:space="0" w:color="FFFFFF" w:themeColor="background1"/>
              <w:right w:val="single" w:sz="4" w:space="0" w:color="FFFFFF" w:themeColor="background1"/>
            </w:tcBorders>
            <w:vAlign w:val="center"/>
          </w:tcPr>
          <w:p w:rsidR="005C55F8" w:rsidRDefault="005C55F8" w:rsidP="005C55F8">
            <w:pPr>
              <w:pStyle w:val="Tabletext"/>
            </w:pPr>
          </w:p>
        </w:tc>
        <w:tc>
          <w:tcPr>
            <w:tcW w:w="907" w:type="dxa"/>
            <w:vMerge w:val="restart"/>
            <w:tcBorders>
              <w:top w:val="single" w:sz="4" w:space="0" w:color="auto"/>
              <w:left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rPr>
                <w:rFonts w:ascii="Calibri" w:eastAsia="Calibri" w:hAnsi="Calibri" w:cs="Calibri"/>
                <w:color w:val="000000"/>
                <w:sz w:val="22"/>
                <w:lang w:eastAsia="en-AU"/>
              </w:rPr>
            </w:pPr>
            <w:r w:rsidRPr="00901440">
              <w:rPr>
                <w:rFonts w:ascii="Arial" w:eastAsia="Arial" w:hAnsi="Arial" w:cs="Arial"/>
                <w:color w:val="000000"/>
                <w:sz w:val="16"/>
                <w:lang w:eastAsia="en-AU"/>
              </w:rPr>
              <w:t>Declining</w:t>
            </w:r>
          </w:p>
        </w:tc>
        <w:tc>
          <w:tcPr>
            <w:tcW w:w="2581"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7716CB" w:rsidP="005C55F8">
            <w:pPr>
              <w:spacing w:before="0" w:after="40" w:line="240" w:lineRule="auto"/>
              <w:rPr>
                <w:rFonts w:ascii="Calibri" w:eastAsia="Calibri" w:hAnsi="Calibri" w:cs="Calibri"/>
                <w:color w:val="000000"/>
                <w:sz w:val="22"/>
                <w:lang w:eastAsia="en-AU"/>
              </w:rPr>
            </w:pPr>
            <w:r>
              <w:rPr>
                <w:rFonts w:ascii="Arial" w:eastAsia="Arial" w:hAnsi="Arial" w:cs="Arial"/>
                <w:color w:val="000000"/>
                <w:sz w:val="16"/>
                <w:lang w:eastAsia="en-AU"/>
              </w:rPr>
              <w:t>E</w:t>
            </w:r>
            <w:r w:rsidRPr="00901440">
              <w:rPr>
                <w:rFonts w:ascii="Arial" w:eastAsia="Arial" w:hAnsi="Arial" w:cs="Arial"/>
                <w:color w:val="000000"/>
                <w:sz w:val="16"/>
                <w:lang w:eastAsia="en-AU"/>
              </w:rPr>
              <w:t>lectronic engineering draftspersons and technicians</w:t>
            </w:r>
          </w:p>
        </w:tc>
        <w:tc>
          <w:tcPr>
            <w:tcW w:w="84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5 253</w:t>
            </w:r>
          </w:p>
        </w:tc>
        <w:tc>
          <w:tcPr>
            <w:tcW w:w="964"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4 569</w:t>
            </w:r>
          </w:p>
        </w:tc>
        <w:tc>
          <w:tcPr>
            <w:tcW w:w="1039"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-684</w:t>
            </w:r>
          </w:p>
        </w:tc>
        <w:tc>
          <w:tcPr>
            <w:tcW w:w="850"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-13.0%</w:t>
            </w:r>
          </w:p>
        </w:tc>
      </w:tr>
      <w:tr w:rsidR="005C55F8" w:rsidTr="00E544E1">
        <w:trPr>
          <w:cantSplit/>
          <w:trHeight w:val="57"/>
        </w:trPr>
        <w:tc>
          <w:tcPr>
            <w:tcW w:w="623" w:type="dxa"/>
            <w:vMerge/>
            <w:tcBorders>
              <w:left w:val="single" w:sz="4" w:space="0" w:color="FFFFFF" w:themeColor="background1"/>
              <w:right w:val="single" w:sz="4" w:space="0" w:color="FFFFFF" w:themeColor="background1"/>
            </w:tcBorders>
            <w:vAlign w:val="center"/>
          </w:tcPr>
          <w:p w:rsidR="005C55F8" w:rsidRDefault="005C55F8" w:rsidP="005C55F8">
            <w:pPr>
              <w:pStyle w:val="Tabletext"/>
            </w:pPr>
          </w:p>
        </w:tc>
        <w:tc>
          <w:tcPr>
            <w:tcW w:w="907" w:type="dxa"/>
            <w:vMerge/>
            <w:tcBorders>
              <w:left w:val="single" w:sz="4" w:space="0" w:color="FFFFFF" w:themeColor="background1"/>
              <w:right w:val="single" w:sz="4" w:space="0" w:color="FFFFFF" w:themeColor="background1"/>
            </w:tcBorders>
            <w:vAlign w:val="center"/>
          </w:tcPr>
          <w:p w:rsidR="005C55F8" w:rsidRDefault="005C55F8" w:rsidP="005C55F8">
            <w:pPr>
              <w:pStyle w:val="Tabletext"/>
            </w:pPr>
          </w:p>
        </w:tc>
        <w:tc>
          <w:tcPr>
            <w:tcW w:w="2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7716CB" w:rsidP="005C55F8">
            <w:pPr>
              <w:spacing w:before="40" w:after="40" w:line="240" w:lineRule="auto"/>
              <w:rPr>
                <w:rFonts w:ascii="Calibri" w:eastAsia="Calibri" w:hAnsi="Calibri" w:cs="Calibri"/>
                <w:color w:val="000000"/>
                <w:sz w:val="22"/>
                <w:lang w:eastAsia="en-AU"/>
              </w:rPr>
            </w:pPr>
            <w:r>
              <w:rPr>
                <w:rFonts w:ascii="Arial" w:eastAsia="Arial" w:hAnsi="Arial" w:cs="Arial"/>
                <w:color w:val="000000"/>
                <w:sz w:val="16"/>
                <w:lang w:eastAsia="en-AU"/>
              </w:rPr>
              <w:t>E</w:t>
            </w:r>
            <w:r w:rsidRPr="00901440">
              <w:rPr>
                <w:rFonts w:ascii="Arial" w:eastAsia="Arial" w:hAnsi="Arial" w:cs="Arial"/>
                <w:color w:val="000000"/>
                <w:sz w:val="16"/>
                <w:lang w:eastAsia="en-AU"/>
              </w:rPr>
              <w:t>nrolled and mothercraft nurses</w:t>
            </w:r>
          </w:p>
        </w:tc>
        <w:tc>
          <w:tcPr>
            <w:tcW w:w="8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19 396</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17 892</w:t>
            </w:r>
          </w:p>
        </w:tc>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-1 504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-7.8%</w:t>
            </w:r>
          </w:p>
        </w:tc>
      </w:tr>
      <w:tr w:rsidR="005C55F8" w:rsidTr="00E544E1">
        <w:trPr>
          <w:cantSplit/>
          <w:trHeight w:val="57"/>
        </w:trPr>
        <w:tc>
          <w:tcPr>
            <w:tcW w:w="623" w:type="dxa"/>
            <w:vMerge/>
            <w:tcBorders>
              <w:left w:val="single" w:sz="4" w:space="0" w:color="FFFFFF" w:themeColor="background1"/>
              <w:bottom w:val="single" w:sz="4" w:space="0" w:color="auto"/>
              <w:right w:val="single" w:sz="4" w:space="0" w:color="FFFFFF" w:themeColor="background1"/>
            </w:tcBorders>
            <w:vAlign w:val="center"/>
          </w:tcPr>
          <w:p w:rsidR="005C55F8" w:rsidRDefault="005C55F8" w:rsidP="005C55F8">
            <w:pPr>
              <w:pStyle w:val="Tabletext"/>
            </w:pPr>
          </w:p>
        </w:tc>
        <w:tc>
          <w:tcPr>
            <w:tcW w:w="907" w:type="dxa"/>
            <w:vMerge/>
            <w:tcBorders>
              <w:left w:val="single" w:sz="4" w:space="0" w:color="FFFFFF" w:themeColor="background1"/>
              <w:bottom w:val="single" w:sz="4" w:space="0" w:color="auto"/>
              <w:right w:val="single" w:sz="4" w:space="0" w:color="FFFFFF" w:themeColor="background1"/>
            </w:tcBorders>
            <w:vAlign w:val="center"/>
          </w:tcPr>
          <w:p w:rsidR="005C55F8" w:rsidRDefault="005C55F8" w:rsidP="005C55F8">
            <w:pPr>
              <w:pStyle w:val="Tabletext"/>
            </w:pPr>
          </w:p>
        </w:tc>
        <w:tc>
          <w:tcPr>
            <w:tcW w:w="2581"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7716CB" w:rsidP="005C55F8">
            <w:pPr>
              <w:spacing w:before="40" w:after="40" w:line="240" w:lineRule="auto"/>
              <w:rPr>
                <w:rFonts w:ascii="Calibri" w:eastAsia="Calibri" w:hAnsi="Calibri" w:cs="Calibri"/>
                <w:color w:val="000000"/>
                <w:sz w:val="22"/>
                <w:lang w:eastAsia="en-AU"/>
              </w:rPr>
            </w:pPr>
            <w:r>
              <w:rPr>
                <w:rFonts w:ascii="Arial" w:eastAsia="Arial" w:hAnsi="Arial" w:cs="Arial"/>
                <w:color w:val="000000"/>
                <w:sz w:val="16"/>
                <w:lang w:eastAsia="en-AU"/>
              </w:rPr>
              <w:t>S</w:t>
            </w:r>
            <w:r w:rsidRPr="00901440">
              <w:rPr>
                <w:rFonts w:ascii="Arial" w:eastAsia="Arial" w:hAnsi="Arial" w:cs="Arial"/>
                <w:color w:val="000000"/>
                <w:sz w:val="16"/>
                <w:lang w:eastAsia="en-AU"/>
              </w:rPr>
              <w:t>afety inspectors</w:t>
            </w:r>
          </w:p>
        </w:tc>
        <w:tc>
          <w:tcPr>
            <w:tcW w:w="840"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5 844</w:t>
            </w:r>
          </w:p>
        </w:tc>
        <w:tc>
          <w:tcPr>
            <w:tcW w:w="964"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3 365</w:t>
            </w:r>
          </w:p>
        </w:tc>
        <w:tc>
          <w:tcPr>
            <w:tcW w:w="1039"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-2 479</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-42.4%</w:t>
            </w:r>
          </w:p>
        </w:tc>
      </w:tr>
      <w:tr w:rsidR="005C55F8" w:rsidTr="00E544E1">
        <w:trPr>
          <w:cantSplit/>
          <w:trHeight w:val="57"/>
        </w:trPr>
        <w:tc>
          <w:tcPr>
            <w:tcW w:w="623" w:type="dxa"/>
            <w:vMerge w:val="restart"/>
            <w:tcBorders>
              <w:top w:val="single" w:sz="4" w:space="0" w:color="auto"/>
              <w:left w:val="single" w:sz="4" w:space="0" w:color="FFFFFF" w:themeColor="background1"/>
              <w:right w:val="single" w:sz="4" w:space="0" w:color="FFFFFF" w:themeColor="background1"/>
            </w:tcBorders>
            <w:vAlign w:val="center"/>
          </w:tcPr>
          <w:p w:rsidR="005C55F8" w:rsidRPr="00901440" w:rsidRDefault="00A64367" w:rsidP="005C55F8">
            <w:pPr>
              <w:spacing w:before="40" w:after="40" w:line="240" w:lineRule="auto"/>
              <w:jc w:val="center"/>
              <w:rPr>
                <w:rFonts w:ascii="Calibri" w:eastAsia="Calibri" w:hAnsi="Calibri" w:cs="Calibri"/>
                <w:color w:val="000000"/>
                <w:sz w:val="22"/>
                <w:lang w:eastAsia="en-AU"/>
              </w:rPr>
            </w:pPr>
            <w:r>
              <w:rPr>
                <w:rFonts w:ascii="Arial" w:eastAsia="Arial" w:hAnsi="Arial" w:cs="Arial"/>
                <w:color w:val="000000"/>
                <w:sz w:val="16"/>
                <w:lang w:eastAsia="en-AU"/>
              </w:rPr>
              <w:t>Skill l</w:t>
            </w:r>
            <w:r w:rsidR="005C55F8" w:rsidRPr="00901440">
              <w:rPr>
                <w:rFonts w:ascii="Arial" w:eastAsia="Arial" w:hAnsi="Arial" w:cs="Arial"/>
                <w:color w:val="000000"/>
                <w:sz w:val="16"/>
                <w:lang w:eastAsia="en-AU"/>
              </w:rPr>
              <w:t>evel 3</w:t>
            </w:r>
          </w:p>
        </w:tc>
        <w:tc>
          <w:tcPr>
            <w:tcW w:w="907" w:type="dxa"/>
            <w:vMerge w:val="restart"/>
            <w:tcBorders>
              <w:top w:val="single" w:sz="4" w:space="0" w:color="auto"/>
              <w:left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rPr>
                <w:rFonts w:ascii="Calibri" w:eastAsia="Calibri" w:hAnsi="Calibri" w:cs="Calibri"/>
                <w:color w:val="000000"/>
                <w:sz w:val="22"/>
                <w:lang w:eastAsia="en-AU"/>
              </w:rPr>
            </w:pPr>
            <w:r w:rsidRPr="00901440">
              <w:rPr>
                <w:rFonts w:ascii="Arial" w:eastAsia="Arial" w:hAnsi="Arial" w:cs="Arial"/>
                <w:color w:val="000000"/>
                <w:sz w:val="16"/>
                <w:lang w:eastAsia="en-AU"/>
              </w:rPr>
              <w:t>Growing</w:t>
            </w:r>
          </w:p>
        </w:tc>
        <w:tc>
          <w:tcPr>
            <w:tcW w:w="2581"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rPr>
                <w:rFonts w:ascii="Calibri" w:eastAsia="Calibri" w:hAnsi="Calibri" w:cs="Calibri"/>
                <w:color w:val="000000"/>
                <w:sz w:val="22"/>
                <w:lang w:eastAsia="en-AU"/>
              </w:rPr>
            </w:pPr>
            <w:r w:rsidRPr="00901440">
              <w:rPr>
                <w:rFonts w:ascii="Arial" w:eastAsia="Arial" w:hAnsi="Arial" w:cs="Arial"/>
                <w:color w:val="000000"/>
                <w:sz w:val="16"/>
                <w:lang w:eastAsia="en-AU"/>
              </w:rPr>
              <w:t>Electricians</w:t>
            </w:r>
          </w:p>
        </w:tc>
        <w:tc>
          <w:tcPr>
            <w:tcW w:w="84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90 242</w:t>
            </w:r>
          </w:p>
        </w:tc>
        <w:tc>
          <w:tcPr>
            <w:tcW w:w="964"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110 713</w:t>
            </w:r>
          </w:p>
        </w:tc>
        <w:tc>
          <w:tcPr>
            <w:tcW w:w="1039"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20 471</w:t>
            </w:r>
          </w:p>
        </w:tc>
        <w:tc>
          <w:tcPr>
            <w:tcW w:w="850"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22.7%</w:t>
            </w:r>
          </w:p>
        </w:tc>
      </w:tr>
      <w:tr w:rsidR="005C55F8" w:rsidTr="00E544E1">
        <w:trPr>
          <w:cantSplit/>
          <w:trHeight w:val="57"/>
        </w:trPr>
        <w:tc>
          <w:tcPr>
            <w:tcW w:w="623" w:type="dxa"/>
            <w:vMerge/>
            <w:tcBorders>
              <w:left w:val="single" w:sz="4" w:space="0" w:color="FFFFFF" w:themeColor="background1"/>
              <w:right w:val="single" w:sz="4" w:space="0" w:color="FFFFFF" w:themeColor="background1"/>
            </w:tcBorders>
            <w:vAlign w:val="center"/>
          </w:tcPr>
          <w:p w:rsidR="005C55F8" w:rsidRDefault="005C55F8" w:rsidP="005C55F8">
            <w:pPr>
              <w:pStyle w:val="Tabletext"/>
            </w:pPr>
          </w:p>
        </w:tc>
        <w:tc>
          <w:tcPr>
            <w:tcW w:w="907" w:type="dxa"/>
            <w:vMerge/>
            <w:tcBorders>
              <w:left w:val="single" w:sz="4" w:space="0" w:color="FFFFFF" w:themeColor="background1"/>
              <w:right w:val="single" w:sz="4" w:space="0" w:color="FFFFFF" w:themeColor="background1"/>
            </w:tcBorders>
            <w:vAlign w:val="center"/>
          </w:tcPr>
          <w:p w:rsidR="005C55F8" w:rsidRDefault="005C55F8" w:rsidP="005C55F8">
            <w:pPr>
              <w:pStyle w:val="Tabletext"/>
            </w:pPr>
          </w:p>
        </w:tc>
        <w:tc>
          <w:tcPr>
            <w:tcW w:w="2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rPr>
                <w:rFonts w:ascii="Calibri" w:eastAsia="Calibri" w:hAnsi="Calibri" w:cs="Calibri"/>
                <w:color w:val="000000"/>
                <w:sz w:val="22"/>
                <w:lang w:eastAsia="en-AU"/>
              </w:rPr>
            </w:pPr>
            <w:r w:rsidRPr="00901440">
              <w:rPr>
                <w:rFonts w:ascii="Arial" w:eastAsia="Arial" w:hAnsi="Arial" w:cs="Arial"/>
                <w:color w:val="000000"/>
                <w:sz w:val="16"/>
                <w:lang w:eastAsia="en-AU"/>
              </w:rPr>
              <w:t>Chefs</w:t>
            </w:r>
          </w:p>
        </w:tc>
        <w:tc>
          <w:tcPr>
            <w:tcW w:w="8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44 552</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57 613</w:t>
            </w:r>
          </w:p>
        </w:tc>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13 061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29.3%</w:t>
            </w:r>
          </w:p>
        </w:tc>
      </w:tr>
      <w:tr w:rsidR="005C55F8" w:rsidTr="00E544E1">
        <w:trPr>
          <w:cantSplit/>
          <w:trHeight w:val="57"/>
        </w:trPr>
        <w:tc>
          <w:tcPr>
            <w:tcW w:w="623" w:type="dxa"/>
            <w:vMerge/>
            <w:tcBorders>
              <w:left w:val="single" w:sz="4" w:space="0" w:color="FFFFFF" w:themeColor="background1"/>
              <w:right w:val="single" w:sz="4" w:space="0" w:color="FFFFFF" w:themeColor="background1"/>
            </w:tcBorders>
            <w:vAlign w:val="center"/>
          </w:tcPr>
          <w:p w:rsidR="005C55F8" w:rsidRDefault="005C55F8" w:rsidP="005C55F8">
            <w:pPr>
              <w:pStyle w:val="Tabletext"/>
            </w:pPr>
          </w:p>
        </w:tc>
        <w:tc>
          <w:tcPr>
            <w:tcW w:w="907" w:type="dxa"/>
            <w:vMerge/>
            <w:tcBorders>
              <w:left w:val="single" w:sz="4" w:space="0" w:color="FFFFFF" w:themeColor="background1"/>
              <w:bottom w:val="single" w:sz="4" w:space="0" w:color="auto"/>
              <w:right w:val="single" w:sz="4" w:space="0" w:color="FFFFFF" w:themeColor="background1"/>
            </w:tcBorders>
            <w:vAlign w:val="center"/>
          </w:tcPr>
          <w:p w:rsidR="005C55F8" w:rsidRDefault="005C55F8" w:rsidP="005C55F8">
            <w:pPr>
              <w:pStyle w:val="Tabletext"/>
            </w:pPr>
          </w:p>
        </w:tc>
        <w:tc>
          <w:tcPr>
            <w:tcW w:w="2581"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7716CB" w:rsidP="005C55F8">
            <w:pPr>
              <w:spacing w:before="40" w:after="40" w:line="240" w:lineRule="auto"/>
              <w:rPr>
                <w:rFonts w:ascii="Calibri" w:eastAsia="Calibri" w:hAnsi="Calibri" w:cs="Calibri"/>
                <w:color w:val="000000"/>
                <w:sz w:val="22"/>
                <w:lang w:eastAsia="en-AU"/>
              </w:rPr>
            </w:pPr>
            <w:r>
              <w:rPr>
                <w:rFonts w:ascii="Arial" w:eastAsia="Arial" w:hAnsi="Arial" w:cs="Arial"/>
                <w:color w:val="000000"/>
                <w:sz w:val="16"/>
                <w:lang w:eastAsia="en-AU"/>
              </w:rPr>
              <w:t>Carpenters and j</w:t>
            </w:r>
            <w:r w:rsidR="005C55F8" w:rsidRPr="00901440">
              <w:rPr>
                <w:rFonts w:ascii="Arial" w:eastAsia="Arial" w:hAnsi="Arial" w:cs="Arial"/>
                <w:color w:val="000000"/>
                <w:sz w:val="16"/>
                <w:lang w:eastAsia="en-AU"/>
              </w:rPr>
              <w:t>oiners</w:t>
            </w:r>
          </w:p>
        </w:tc>
        <w:tc>
          <w:tcPr>
            <w:tcW w:w="840"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87 032</w:t>
            </w:r>
          </w:p>
        </w:tc>
        <w:tc>
          <w:tcPr>
            <w:tcW w:w="964"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98 249</w:t>
            </w:r>
          </w:p>
        </w:tc>
        <w:tc>
          <w:tcPr>
            <w:tcW w:w="1039"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11 217</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12.9%</w:t>
            </w:r>
          </w:p>
        </w:tc>
      </w:tr>
      <w:tr w:rsidR="005C55F8" w:rsidTr="00E544E1">
        <w:trPr>
          <w:cantSplit/>
          <w:trHeight w:val="57"/>
        </w:trPr>
        <w:tc>
          <w:tcPr>
            <w:tcW w:w="623" w:type="dxa"/>
            <w:vMerge/>
            <w:tcBorders>
              <w:left w:val="single" w:sz="4" w:space="0" w:color="FFFFFF" w:themeColor="background1"/>
              <w:right w:val="single" w:sz="4" w:space="0" w:color="FFFFFF" w:themeColor="background1"/>
            </w:tcBorders>
            <w:vAlign w:val="center"/>
          </w:tcPr>
          <w:p w:rsidR="005C55F8" w:rsidRDefault="005C55F8" w:rsidP="005C55F8">
            <w:pPr>
              <w:pStyle w:val="Tabletext"/>
            </w:pPr>
          </w:p>
        </w:tc>
        <w:tc>
          <w:tcPr>
            <w:tcW w:w="907" w:type="dxa"/>
            <w:vMerge w:val="restart"/>
            <w:tcBorders>
              <w:top w:val="single" w:sz="4" w:space="0" w:color="auto"/>
              <w:left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rPr>
                <w:rFonts w:ascii="Calibri" w:eastAsia="Calibri" w:hAnsi="Calibri" w:cs="Calibri"/>
                <w:color w:val="000000"/>
                <w:sz w:val="22"/>
                <w:lang w:eastAsia="en-AU"/>
              </w:rPr>
            </w:pPr>
            <w:r w:rsidRPr="00901440">
              <w:rPr>
                <w:rFonts w:ascii="Arial" w:eastAsia="Arial" w:hAnsi="Arial" w:cs="Arial"/>
                <w:color w:val="000000"/>
                <w:sz w:val="16"/>
                <w:lang w:eastAsia="en-AU"/>
              </w:rPr>
              <w:t>Declining</w:t>
            </w:r>
          </w:p>
        </w:tc>
        <w:tc>
          <w:tcPr>
            <w:tcW w:w="2581"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rPr>
                <w:rFonts w:ascii="Calibri" w:eastAsia="Calibri" w:hAnsi="Calibri" w:cs="Calibri"/>
                <w:color w:val="000000"/>
                <w:sz w:val="22"/>
                <w:lang w:eastAsia="en-AU"/>
              </w:rPr>
            </w:pPr>
            <w:r w:rsidRPr="00901440">
              <w:rPr>
                <w:rFonts w:ascii="Arial" w:eastAsia="Arial" w:hAnsi="Arial" w:cs="Arial"/>
                <w:color w:val="000000"/>
                <w:sz w:val="16"/>
                <w:lang w:eastAsia="en-AU"/>
              </w:rPr>
              <w:t xml:space="preserve">Telecommunications </w:t>
            </w:r>
            <w:r w:rsidR="007716CB" w:rsidRPr="00901440">
              <w:rPr>
                <w:rFonts w:ascii="Arial" w:eastAsia="Arial" w:hAnsi="Arial" w:cs="Arial"/>
                <w:color w:val="000000"/>
                <w:sz w:val="16"/>
                <w:lang w:eastAsia="en-AU"/>
              </w:rPr>
              <w:t>trades workers</w:t>
            </w:r>
          </w:p>
        </w:tc>
        <w:tc>
          <w:tcPr>
            <w:tcW w:w="84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19 128</w:t>
            </w:r>
          </w:p>
        </w:tc>
        <w:tc>
          <w:tcPr>
            <w:tcW w:w="964"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16 709</w:t>
            </w:r>
          </w:p>
        </w:tc>
        <w:tc>
          <w:tcPr>
            <w:tcW w:w="1039"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-2 419</w:t>
            </w:r>
          </w:p>
        </w:tc>
        <w:tc>
          <w:tcPr>
            <w:tcW w:w="850"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-12.6%</w:t>
            </w:r>
          </w:p>
        </w:tc>
      </w:tr>
      <w:tr w:rsidR="005C55F8" w:rsidTr="00E544E1">
        <w:trPr>
          <w:cantSplit/>
          <w:trHeight w:val="57"/>
        </w:trPr>
        <w:tc>
          <w:tcPr>
            <w:tcW w:w="623" w:type="dxa"/>
            <w:vMerge/>
            <w:tcBorders>
              <w:left w:val="single" w:sz="4" w:space="0" w:color="FFFFFF" w:themeColor="background1"/>
              <w:right w:val="single" w:sz="4" w:space="0" w:color="FFFFFF" w:themeColor="background1"/>
            </w:tcBorders>
            <w:vAlign w:val="center"/>
          </w:tcPr>
          <w:p w:rsidR="005C55F8" w:rsidRDefault="005C55F8" w:rsidP="005C55F8">
            <w:pPr>
              <w:pStyle w:val="Tabletext"/>
            </w:pPr>
          </w:p>
        </w:tc>
        <w:tc>
          <w:tcPr>
            <w:tcW w:w="907" w:type="dxa"/>
            <w:vMerge/>
            <w:tcBorders>
              <w:left w:val="single" w:sz="4" w:space="0" w:color="FFFFFF" w:themeColor="background1"/>
              <w:right w:val="single" w:sz="4" w:space="0" w:color="FFFFFF" w:themeColor="background1"/>
            </w:tcBorders>
            <w:vAlign w:val="center"/>
          </w:tcPr>
          <w:p w:rsidR="005C55F8" w:rsidRDefault="005C55F8" w:rsidP="005C55F8">
            <w:pPr>
              <w:pStyle w:val="Tabletext"/>
            </w:pPr>
          </w:p>
        </w:tc>
        <w:tc>
          <w:tcPr>
            <w:tcW w:w="2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rPr>
                <w:rFonts w:ascii="Calibri" w:eastAsia="Calibri" w:hAnsi="Calibri" w:cs="Calibri"/>
                <w:color w:val="000000"/>
                <w:sz w:val="22"/>
                <w:lang w:eastAsia="en-AU"/>
              </w:rPr>
            </w:pPr>
            <w:r w:rsidRPr="00901440">
              <w:rPr>
                <w:rFonts w:ascii="Arial" w:eastAsia="Arial" w:hAnsi="Arial" w:cs="Arial"/>
                <w:color w:val="000000"/>
                <w:sz w:val="16"/>
                <w:lang w:eastAsia="en-AU"/>
              </w:rPr>
              <w:t>Printers</w:t>
            </w:r>
          </w:p>
        </w:tc>
        <w:tc>
          <w:tcPr>
            <w:tcW w:w="8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15 312</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12 498</w:t>
            </w:r>
          </w:p>
        </w:tc>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-2 814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-18.4%</w:t>
            </w:r>
          </w:p>
        </w:tc>
      </w:tr>
      <w:tr w:rsidR="005C55F8" w:rsidTr="00E544E1">
        <w:trPr>
          <w:cantSplit/>
          <w:trHeight w:val="57"/>
        </w:trPr>
        <w:tc>
          <w:tcPr>
            <w:tcW w:w="623" w:type="dxa"/>
            <w:vMerge/>
            <w:tcBorders>
              <w:left w:val="single" w:sz="4" w:space="0" w:color="FFFFFF" w:themeColor="background1"/>
              <w:bottom w:val="single" w:sz="4" w:space="0" w:color="auto"/>
              <w:right w:val="single" w:sz="4" w:space="0" w:color="FFFFFF" w:themeColor="background1"/>
            </w:tcBorders>
            <w:vAlign w:val="center"/>
          </w:tcPr>
          <w:p w:rsidR="005C55F8" w:rsidRDefault="005C55F8" w:rsidP="005C55F8">
            <w:pPr>
              <w:pStyle w:val="Tabletext"/>
            </w:pPr>
          </w:p>
        </w:tc>
        <w:tc>
          <w:tcPr>
            <w:tcW w:w="907" w:type="dxa"/>
            <w:vMerge/>
            <w:tcBorders>
              <w:left w:val="single" w:sz="4" w:space="0" w:color="FFFFFF" w:themeColor="background1"/>
              <w:bottom w:val="single" w:sz="4" w:space="0" w:color="auto"/>
              <w:right w:val="single" w:sz="4" w:space="0" w:color="FFFFFF" w:themeColor="background1"/>
            </w:tcBorders>
            <w:vAlign w:val="center"/>
          </w:tcPr>
          <w:p w:rsidR="005C55F8" w:rsidRDefault="005C55F8" w:rsidP="005C55F8">
            <w:pPr>
              <w:pStyle w:val="Tabletext"/>
            </w:pPr>
          </w:p>
        </w:tc>
        <w:tc>
          <w:tcPr>
            <w:tcW w:w="2581"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rPr>
                <w:rFonts w:ascii="Calibri" w:eastAsia="Calibri" w:hAnsi="Calibri" w:cs="Calibri"/>
                <w:color w:val="000000"/>
                <w:sz w:val="22"/>
                <w:lang w:eastAsia="en-AU"/>
              </w:rPr>
            </w:pPr>
            <w:r w:rsidRPr="00901440">
              <w:rPr>
                <w:rFonts w:ascii="Arial" w:eastAsia="Arial" w:hAnsi="Arial" w:cs="Arial"/>
                <w:color w:val="000000"/>
                <w:sz w:val="16"/>
                <w:lang w:eastAsia="en-AU"/>
              </w:rPr>
              <w:t>Secretaries</w:t>
            </w:r>
          </w:p>
        </w:tc>
        <w:tc>
          <w:tcPr>
            <w:tcW w:w="840"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94 403</w:t>
            </w:r>
          </w:p>
        </w:tc>
        <w:tc>
          <w:tcPr>
            <w:tcW w:w="964"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64 169</w:t>
            </w:r>
          </w:p>
        </w:tc>
        <w:tc>
          <w:tcPr>
            <w:tcW w:w="1039"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-30 234</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-32.0%</w:t>
            </w:r>
          </w:p>
        </w:tc>
      </w:tr>
      <w:tr w:rsidR="005C55F8" w:rsidTr="00E544E1">
        <w:trPr>
          <w:cantSplit/>
          <w:trHeight w:val="57"/>
        </w:trPr>
        <w:tc>
          <w:tcPr>
            <w:tcW w:w="623" w:type="dxa"/>
            <w:vMerge w:val="restart"/>
            <w:tcBorders>
              <w:top w:val="single" w:sz="4" w:space="0" w:color="auto"/>
              <w:left w:val="single" w:sz="4" w:space="0" w:color="FFFFFF" w:themeColor="background1"/>
              <w:right w:val="single" w:sz="4" w:space="0" w:color="FFFFFF" w:themeColor="background1"/>
            </w:tcBorders>
            <w:vAlign w:val="center"/>
          </w:tcPr>
          <w:p w:rsidR="005C55F8" w:rsidRPr="00901440" w:rsidRDefault="00A64367" w:rsidP="005C55F8">
            <w:pPr>
              <w:spacing w:before="40" w:after="40" w:line="240" w:lineRule="auto"/>
              <w:jc w:val="center"/>
              <w:rPr>
                <w:rFonts w:ascii="Calibri" w:eastAsia="Calibri" w:hAnsi="Calibri" w:cs="Calibri"/>
                <w:color w:val="000000"/>
                <w:sz w:val="22"/>
                <w:lang w:eastAsia="en-AU"/>
              </w:rPr>
            </w:pPr>
            <w:r>
              <w:rPr>
                <w:rFonts w:ascii="Arial" w:eastAsia="Arial" w:hAnsi="Arial" w:cs="Arial"/>
                <w:color w:val="000000"/>
                <w:sz w:val="16"/>
                <w:lang w:eastAsia="en-AU"/>
              </w:rPr>
              <w:t>Skill l</w:t>
            </w:r>
            <w:r w:rsidR="005C55F8" w:rsidRPr="00901440">
              <w:rPr>
                <w:rFonts w:ascii="Arial" w:eastAsia="Arial" w:hAnsi="Arial" w:cs="Arial"/>
                <w:color w:val="000000"/>
                <w:sz w:val="16"/>
                <w:lang w:eastAsia="en-AU"/>
              </w:rPr>
              <w:t>evel 4</w:t>
            </w:r>
          </w:p>
        </w:tc>
        <w:tc>
          <w:tcPr>
            <w:tcW w:w="907" w:type="dxa"/>
            <w:vMerge w:val="restart"/>
            <w:tcBorders>
              <w:top w:val="single" w:sz="4" w:space="0" w:color="auto"/>
              <w:left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rPr>
                <w:rFonts w:ascii="Calibri" w:eastAsia="Calibri" w:hAnsi="Calibri" w:cs="Calibri"/>
                <w:color w:val="000000"/>
                <w:sz w:val="22"/>
                <w:lang w:eastAsia="en-AU"/>
              </w:rPr>
            </w:pPr>
            <w:r w:rsidRPr="00901440">
              <w:rPr>
                <w:rFonts w:ascii="Arial" w:eastAsia="Arial" w:hAnsi="Arial" w:cs="Arial"/>
                <w:color w:val="000000"/>
                <w:sz w:val="16"/>
                <w:lang w:eastAsia="en-AU"/>
              </w:rPr>
              <w:t>Growing</w:t>
            </w:r>
          </w:p>
        </w:tc>
        <w:tc>
          <w:tcPr>
            <w:tcW w:w="2581"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rPr>
                <w:rFonts w:ascii="Calibri" w:eastAsia="Calibri" w:hAnsi="Calibri" w:cs="Calibri"/>
                <w:color w:val="000000"/>
                <w:sz w:val="22"/>
                <w:lang w:eastAsia="en-AU"/>
              </w:rPr>
            </w:pPr>
            <w:r w:rsidRPr="00901440">
              <w:rPr>
                <w:rFonts w:ascii="Arial" w:eastAsia="Arial" w:hAnsi="Arial" w:cs="Arial"/>
                <w:color w:val="000000"/>
                <w:sz w:val="16"/>
                <w:lang w:eastAsia="en-AU"/>
              </w:rPr>
              <w:t xml:space="preserve">Aged and </w:t>
            </w:r>
            <w:r w:rsidR="007716CB" w:rsidRPr="00901440">
              <w:rPr>
                <w:rFonts w:ascii="Arial" w:eastAsia="Arial" w:hAnsi="Arial" w:cs="Arial"/>
                <w:color w:val="000000"/>
                <w:sz w:val="16"/>
                <w:lang w:eastAsia="en-AU"/>
              </w:rPr>
              <w:t>disabled carers</w:t>
            </w:r>
          </w:p>
        </w:tc>
        <w:tc>
          <w:tcPr>
            <w:tcW w:w="84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77 413</w:t>
            </w:r>
          </w:p>
        </w:tc>
        <w:tc>
          <w:tcPr>
            <w:tcW w:w="964"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108 215</w:t>
            </w:r>
          </w:p>
        </w:tc>
        <w:tc>
          <w:tcPr>
            <w:tcW w:w="1039"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30 802</w:t>
            </w:r>
          </w:p>
        </w:tc>
        <w:tc>
          <w:tcPr>
            <w:tcW w:w="850"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39.8%</w:t>
            </w:r>
          </w:p>
        </w:tc>
      </w:tr>
      <w:tr w:rsidR="005C55F8" w:rsidTr="00E544E1">
        <w:trPr>
          <w:cantSplit/>
          <w:trHeight w:val="57"/>
        </w:trPr>
        <w:tc>
          <w:tcPr>
            <w:tcW w:w="623" w:type="dxa"/>
            <w:vMerge/>
            <w:tcBorders>
              <w:left w:val="single" w:sz="4" w:space="0" w:color="FFFFFF" w:themeColor="background1"/>
              <w:right w:val="single" w:sz="4" w:space="0" w:color="FFFFFF" w:themeColor="background1"/>
            </w:tcBorders>
            <w:vAlign w:val="center"/>
          </w:tcPr>
          <w:p w:rsidR="005C55F8" w:rsidRDefault="005C55F8" w:rsidP="005C55F8">
            <w:pPr>
              <w:pStyle w:val="Tabletext"/>
            </w:pPr>
          </w:p>
        </w:tc>
        <w:tc>
          <w:tcPr>
            <w:tcW w:w="907" w:type="dxa"/>
            <w:vMerge/>
            <w:tcBorders>
              <w:left w:val="single" w:sz="4" w:space="0" w:color="FFFFFF" w:themeColor="background1"/>
              <w:right w:val="single" w:sz="4" w:space="0" w:color="FFFFFF" w:themeColor="background1"/>
            </w:tcBorders>
            <w:vAlign w:val="center"/>
          </w:tcPr>
          <w:p w:rsidR="005C55F8" w:rsidRDefault="005C55F8" w:rsidP="005C55F8">
            <w:pPr>
              <w:pStyle w:val="Tabletext"/>
            </w:pPr>
          </w:p>
        </w:tc>
        <w:tc>
          <w:tcPr>
            <w:tcW w:w="2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7716CB" w:rsidP="005C55F8">
            <w:pPr>
              <w:spacing w:before="40" w:after="40" w:line="240" w:lineRule="auto"/>
              <w:rPr>
                <w:rFonts w:ascii="Calibri" w:eastAsia="Calibri" w:hAnsi="Calibri" w:cs="Calibri"/>
                <w:color w:val="000000"/>
                <w:sz w:val="22"/>
                <w:lang w:eastAsia="en-AU"/>
              </w:rPr>
            </w:pPr>
            <w:r>
              <w:rPr>
                <w:rFonts w:ascii="Arial" w:eastAsia="Arial" w:hAnsi="Arial" w:cs="Arial"/>
                <w:color w:val="000000"/>
                <w:sz w:val="16"/>
                <w:lang w:eastAsia="en-AU"/>
              </w:rPr>
              <w:t>General c</w:t>
            </w:r>
            <w:r w:rsidR="005C55F8" w:rsidRPr="00901440">
              <w:rPr>
                <w:rFonts w:ascii="Arial" w:eastAsia="Arial" w:hAnsi="Arial" w:cs="Arial"/>
                <w:color w:val="000000"/>
                <w:sz w:val="16"/>
                <w:lang w:eastAsia="en-AU"/>
              </w:rPr>
              <w:t>lerks</w:t>
            </w:r>
          </w:p>
        </w:tc>
        <w:tc>
          <w:tcPr>
            <w:tcW w:w="8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206 292</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236 382</w:t>
            </w:r>
          </w:p>
        </w:tc>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30 090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14.6%</w:t>
            </w:r>
          </w:p>
        </w:tc>
      </w:tr>
      <w:tr w:rsidR="005C55F8" w:rsidTr="00E544E1">
        <w:trPr>
          <w:cantSplit/>
          <w:trHeight w:val="57"/>
        </w:trPr>
        <w:tc>
          <w:tcPr>
            <w:tcW w:w="623" w:type="dxa"/>
            <w:vMerge/>
            <w:tcBorders>
              <w:left w:val="single" w:sz="4" w:space="0" w:color="FFFFFF" w:themeColor="background1"/>
              <w:right w:val="single" w:sz="4" w:space="0" w:color="FFFFFF" w:themeColor="background1"/>
            </w:tcBorders>
            <w:vAlign w:val="center"/>
          </w:tcPr>
          <w:p w:rsidR="005C55F8" w:rsidRDefault="005C55F8" w:rsidP="005C55F8">
            <w:pPr>
              <w:pStyle w:val="Tabletext"/>
            </w:pPr>
          </w:p>
        </w:tc>
        <w:tc>
          <w:tcPr>
            <w:tcW w:w="907" w:type="dxa"/>
            <w:vMerge/>
            <w:tcBorders>
              <w:left w:val="single" w:sz="4" w:space="0" w:color="FFFFFF" w:themeColor="background1"/>
              <w:bottom w:val="single" w:sz="4" w:space="0" w:color="auto"/>
              <w:right w:val="single" w:sz="4" w:space="0" w:color="FFFFFF" w:themeColor="background1"/>
            </w:tcBorders>
            <w:vAlign w:val="center"/>
          </w:tcPr>
          <w:p w:rsidR="005C55F8" w:rsidRDefault="005C55F8" w:rsidP="005C55F8">
            <w:pPr>
              <w:pStyle w:val="Tabletext"/>
            </w:pPr>
          </w:p>
        </w:tc>
        <w:tc>
          <w:tcPr>
            <w:tcW w:w="2581"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7716CB" w:rsidP="005C55F8">
            <w:pPr>
              <w:spacing w:before="40" w:after="40" w:line="240" w:lineRule="auto"/>
              <w:rPr>
                <w:rFonts w:ascii="Calibri" w:eastAsia="Calibri" w:hAnsi="Calibri" w:cs="Calibri"/>
                <w:color w:val="000000"/>
                <w:sz w:val="22"/>
                <w:lang w:eastAsia="en-AU"/>
              </w:rPr>
            </w:pPr>
            <w:r>
              <w:rPr>
                <w:rFonts w:ascii="Arial" w:eastAsia="Arial" w:hAnsi="Arial" w:cs="Arial"/>
                <w:color w:val="000000"/>
                <w:sz w:val="16"/>
                <w:lang w:eastAsia="en-AU"/>
              </w:rPr>
              <w:t>Child c</w:t>
            </w:r>
            <w:r w:rsidR="005C55F8" w:rsidRPr="00901440">
              <w:rPr>
                <w:rFonts w:ascii="Arial" w:eastAsia="Arial" w:hAnsi="Arial" w:cs="Arial"/>
                <w:color w:val="000000"/>
                <w:sz w:val="16"/>
                <w:lang w:eastAsia="en-AU"/>
              </w:rPr>
              <w:t>arers</w:t>
            </w:r>
          </w:p>
        </w:tc>
        <w:tc>
          <w:tcPr>
            <w:tcW w:w="840"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85 258</w:t>
            </w:r>
          </w:p>
        </w:tc>
        <w:tc>
          <w:tcPr>
            <w:tcW w:w="964"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107 926</w:t>
            </w:r>
          </w:p>
        </w:tc>
        <w:tc>
          <w:tcPr>
            <w:tcW w:w="1039"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22 668</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26.6%</w:t>
            </w:r>
          </w:p>
        </w:tc>
      </w:tr>
      <w:tr w:rsidR="005C55F8" w:rsidTr="00E544E1">
        <w:trPr>
          <w:cantSplit/>
          <w:trHeight w:val="57"/>
        </w:trPr>
        <w:tc>
          <w:tcPr>
            <w:tcW w:w="623" w:type="dxa"/>
            <w:vMerge/>
            <w:tcBorders>
              <w:left w:val="single" w:sz="4" w:space="0" w:color="FFFFFF" w:themeColor="background1"/>
              <w:right w:val="single" w:sz="4" w:space="0" w:color="FFFFFF" w:themeColor="background1"/>
            </w:tcBorders>
            <w:vAlign w:val="center"/>
          </w:tcPr>
          <w:p w:rsidR="005C55F8" w:rsidRDefault="005C55F8" w:rsidP="005C55F8">
            <w:pPr>
              <w:pStyle w:val="Tabletext"/>
            </w:pPr>
          </w:p>
        </w:tc>
        <w:tc>
          <w:tcPr>
            <w:tcW w:w="907" w:type="dxa"/>
            <w:vMerge w:val="restart"/>
            <w:tcBorders>
              <w:top w:val="single" w:sz="4" w:space="0" w:color="auto"/>
              <w:left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rPr>
                <w:rFonts w:ascii="Calibri" w:eastAsia="Calibri" w:hAnsi="Calibri" w:cs="Calibri"/>
                <w:color w:val="000000"/>
                <w:sz w:val="22"/>
                <w:lang w:eastAsia="en-AU"/>
              </w:rPr>
            </w:pPr>
            <w:r w:rsidRPr="00901440">
              <w:rPr>
                <w:rFonts w:ascii="Arial" w:eastAsia="Arial" w:hAnsi="Arial" w:cs="Arial"/>
                <w:color w:val="000000"/>
                <w:sz w:val="16"/>
                <w:lang w:eastAsia="en-AU"/>
              </w:rPr>
              <w:t>Declining</w:t>
            </w:r>
          </w:p>
        </w:tc>
        <w:tc>
          <w:tcPr>
            <w:tcW w:w="2581"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rPr>
                <w:rFonts w:ascii="Calibri" w:eastAsia="Calibri" w:hAnsi="Calibri" w:cs="Calibri"/>
                <w:color w:val="000000"/>
                <w:sz w:val="22"/>
                <w:lang w:eastAsia="en-AU"/>
              </w:rPr>
            </w:pPr>
            <w:r w:rsidRPr="00901440">
              <w:rPr>
                <w:rFonts w:ascii="Arial" w:eastAsia="Arial" w:hAnsi="Arial" w:cs="Arial"/>
                <w:color w:val="000000"/>
                <w:sz w:val="16"/>
                <w:lang w:eastAsia="en-AU"/>
              </w:rPr>
              <w:t xml:space="preserve">Credit and </w:t>
            </w:r>
            <w:r w:rsidR="007716CB" w:rsidRPr="00901440">
              <w:rPr>
                <w:rFonts w:ascii="Arial" w:eastAsia="Arial" w:hAnsi="Arial" w:cs="Arial"/>
                <w:color w:val="000000"/>
                <w:sz w:val="16"/>
                <w:lang w:eastAsia="en-AU"/>
              </w:rPr>
              <w:t>loans officers</w:t>
            </w:r>
          </w:p>
        </w:tc>
        <w:tc>
          <w:tcPr>
            <w:tcW w:w="84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24 346</w:t>
            </w:r>
          </w:p>
        </w:tc>
        <w:tc>
          <w:tcPr>
            <w:tcW w:w="964"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22 133</w:t>
            </w:r>
          </w:p>
        </w:tc>
        <w:tc>
          <w:tcPr>
            <w:tcW w:w="1039"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-2 213</w:t>
            </w:r>
          </w:p>
        </w:tc>
        <w:tc>
          <w:tcPr>
            <w:tcW w:w="850"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-9.1%</w:t>
            </w:r>
          </w:p>
        </w:tc>
      </w:tr>
      <w:tr w:rsidR="005C55F8" w:rsidTr="00E544E1">
        <w:trPr>
          <w:cantSplit/>
          <w:trHeight w:val="57"/>
        </w:trPr>
        <w:tc>
          <w:tcPr>
            <w:tcW w:w="623" w:type="dxa"/>
            <w:vMerge/>
            <w:tcBorders>
              <w:left w:val="single" w:sz="4" w:space="0" w:color="FFFFFF" w:themeColor="background1"/>
              <w:right w:val="single" w:sz="4" w:space="0" w:color="FFFFFF" w:themeColor="background1"/>
            </w:tcBorders>
            <w:vAlign w:val="center"/>
          </w:tcPr>
          <w:p w:rsidR="005C55F8" w:rsidRDefault="005C55F8" w:rsidP="005C55F8">
            <w:pPr>
              <w:pStyle w:val="Tabletext"/>
            </w:pPr>
          </w:p>
        </w:tc>
        <w:tc>
          <w:tcPr>
            <w:tcW w:w="907" w:type="dxa"/>
            <w:vMerge/>
            <w:tcBorders>
              <w:left w:val="single" w:sz="4" w:space="0" w:color="FFFFFF" w:themeColor="background1"/>
              <w:right w:val="single" w:sz="4" w:space="0" w:color="FFFFFF" w:themeColor="background1"/>
            </w:tcBorders>
            <w:vAlign w:val="center"/>
          </w:tcPr>
          <w:p w:rsidR="005C55F8" w:rsidRDefault="005C55F8" w:rsidP="005C55F8">
            <w:pPr>
              <w:pStyle w:val="Tabletext"/>
            </w:pPr>
          </w:p>
        </w:tc>
        <w:tc>
          <w:tcPr>
            <w:tcW w:w="2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7716CB" w:rsidP="005C55F8">
            <w:pPr>
              <w:spacing w:before="40" w:after="40" w:line="240" w:lineRule="auto"/>
              <w:rPr>
                <w:rFonts w:ascii="Calibri" w:eastAsia="Calibri" w:hAnsi="Calibri" w:cs="Calibri"/>
                <w:color w:val="000000"/>
                <w:sz w:val="22"/>
                <w:lang w:eastAsia="en-AU"/>
              </w:rPr>
            </w:pPr>
            <w:r>
              <w:rPr>
                <w:rFonts w:ascii="Arial" w:eastAsia="Arial" w:hAnsi="Arial" w:cs="Arial"/>
                <w:color w:val="000000"/>
                <w:sz w:val="16"/>
                <w:lang w:eastAsia="en-AU"/>
              </w:rPr>
              <w:t>Sewing m</w:t>
            </w:r>
            <w:r w:rsidR="005C55F8" w:rsidRPr="00901440">
              <w:rPr>
                <w:rFonts w:ascii="Arial" w:eastAsia="Arial" w:hAnsi="Arial" w:cs="Arial"/>
                <w:color w:val="000000"/>
                <w:sz w:val="16"/>
                <w:lang w:eastAsia="en-AU"/>
              </w:rPr>
              <w:t>achinists</w:t>
            </w:r>
          </w:p>
        </w:tc>
        <w:tc>
          <w:tcPr>
            <w:tcW w:w="8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13 314</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10 706</w:t>
            </w:r>
          </w:p>
        </w:tc>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-2 608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-19.6%</w:t>
            </w:r>
          </w:p>
        </w:tc>
      </w:tr>
      <w:tr w:rsidR="005C55F8" w:rsidTr="00E544E1">
        <w:trPr>
          <w:cantSplit/>
          <w:trHeight w:val="57"/>
        </w:trPr>
        <w:tc>
          <w:tcPr>
            <w:tcW w:w="623" w:type="dxa"/>
            <w:vMerge/>
            <w:tcBorders>
              <w:left w:val="single" w:sz="4" w:space="0" w:color="FFFFFF" w:themeColor="background1"/>
              <w:bottom w:val="single" w:sz="4" w:space="0" w:color="auto"/>
              <w:right w:val="single" w:sz="4" w:space="0" w:color="FFFFFF" w:themeColor="background1"/>
            </w:tcBorders>
            <w:vAlign w:val="center"/>
          </w:tcPr>
          <w:p w:rsidR="005C55F8" w:rsidRDefault="005C55F8" w:rsidP="005C55F8">
            <w:pPr>
              <w:pStyle w:val="Tabletext"/>
            </w:pPr>
          </w:p>
        </w:tc>
        <w:tc>
          <w:tcPr>
            <w:tcW w:w="907" w:type="dxa"/>
            <w:vMerge/>
            <w:tcBorders>
              <w:left w:val="single" w:sz="4" w:space="0" w:color="FFFFFF" w:themeColor="background1"/>
              <w:bottom w:val="single" w:sz="4" w:space="0" w:color="auto"/>
              <w:right w:val="single" w:sz="4" w:space="0" w:color="FFFFFF" w:themeColor="background1"/>
            </w:tcBorders>
            <w:vAlign w:val="center"/>
          </w:tcPr>
          <w:p w:rsidR="005C55F8" w:rsidRDefault="005C55F8" w:rsidP="005C55F8">
            <w:pPr>
              <w:pStyle w:val="Tabletext"/>
            </w:pPr>
          </w:p>
        </w:tc>
        <w:tc>
          <w:tcPr>
            <w:tcW w:w="2581"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7716CB" w:rsidP="005C55F8">
            <w:pPr>
              <w:spacing w:before="40" w:after="40" w:line="240" w:lineRule="auto"/>
              <w:rPr>
                <w:rFonts w:ascii="Calibri" w:eastAsia="Calibri" w:hAnsi="Calibri" w:cs="Calibri"/>
                <w:color w:val="000000"/>
                <w:sz w:val="22"/>
                <w:lang w:eastAsia="en-AU"/>
              </w:rPr>
            </w:pPr>
            <w:r>
              <w:rPr>
                <w:rFonts w:ascii="Arial" w:eastAsia="Arial" w:hAnsi="Arial" w:cs="Arial"/>
                <w:color w:val="000000"/>
                <w:sz w:val="16"/>
                <w:lang w:eastAsia="en-AU"/>
              </w:rPr>
              <w:t>Keyboard o</w:t>
            </w:r>
            <w:r w:rsidR="005C55F8" w:rsidRPr="00901440">
              <w:rPr>
                <w:rFonts w:ascii="Arial" w:eastAsia="Arial" w:hAnsi="Arial" w:cs="Arial"/>
                <w:color w:val="000000"/>
                <w:sz w:val="16"/>
                <w:lang w:eastAsia="en-AU"/>
              </w:rPr>
              <w:t>perators</w:t>
            </w:r>
          </w:p>
        </w:tc>
        <w:tc>
          <w:tcPr>
            <w:tcW w:w="840"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52 923</w:t>
            </w:r>
          </w:p>
        </w:tc>
        <w:tc>
          <w:tcPr>
            <w:tcW w:w="964"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48 910</w:t>
            </w:r>
          </w:p>
        </w:tc>
        <w:tc>
          <w:tcPr>
            <w:tcW w:w="1039"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-4 013</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-7.6%</w:t>
            </w:r>
          </w:p>
        </w:tc>
      </w:tr>
      <w:tr w:rsidR="005C55F8" w:rsidTr="00E544E1">
        <w:trPr>
          <w:cantSplit/>
          <w:trHeight w:val="57"/>
        </w:trPr>
        <w:tc>
          <w:tcPr>
            <w:tcW w:w="623" w:type="dxa"/>
            <w:vMerge w:val="restart"/>
            <w:tcBorders>
              <w:top w:val="single" w:sz="4" w:space="0" w:color="auto"/>
              <w:left w:val="single" w:sz="4" w:space="0" w:color="FFFFFF" w:themeColor="background1"/>
              <w:right w:val="single" w:sz="4" w:space="0" w:color="FFFFFF" w:themeColor="background1"/>
            </w:tcBorders>
            <w:vAlign w:val="center"/>
          </w:tcPr>
          <w:p w:rsidR="005C55F8" w:rsidRPr="00901440" w:rsidRDefault="00A64367" w:rsidP="005C55F8">
            <w:pPr>
              <w:spacing w:before="40" w:after="40" w:line="240" w:lineRule="auto"/>
              <w:jc w:val="center"/>
              <w:rPr>
                <w:rFonts w:ascii="Calibri" w:eastAsia="Calibri" w:hAnsi="Calibri" w:cs="Calibri"/>
                <w:color w:val="000000"/>
                <w:sz w:val="22"/>
                <w:lang w:eastAsia="en-AU"/>
              </w:rPr>
            </w:pPr>
            <w:r>
              <w:rPr>
                <w:rFonts w:ascii="Arial" w:eastAsia="Arial" w:hAnsi="Arial" w:cs="Arial"/>
                <w:color w:val="000000"/>
                <w:sz w:val="16"/>
                <w:lang w:eastAsia="en-AU"/>
              </w:rPr>
              <w:t>Skill l</w:t>
            </w:r>
            <w:r w:rsidR="005C55F8" w:rsidRPr="00901440">
              <w:rPr>
                <w:rFonts w:ascii="Arial" w:eastAsia="Arial" w:hAnsi="Arial" w:cs="Arial"/>
                <w:color w:val="000000"/>
                <w:sz w:val="16"/>
                <w:lang w:eastAsia="en-AU"/>
              </w:rPr>
              <w:t>evel 5</w:t>
            </w:r>
          </w:p>
        </w:tc>
        <w:tc>
          <w:tcPr>
            <w:tcW w:w="907" w:type="dxa"/>
            <w:vMerge w:val="restart"/>
            <w:tcBorders>
              <w:top w:val="single" w:sz="4" w:space="0" w:color="auto"/>
              <w:left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rPr>
                <w:rFonts w:ascii="Calibri" w:eastAsia="Calibri" w:hAnsi="Calibri" w:cs="Calibri"/>
                <w:color w:val="000000"/>
                <w:sz w:val="22"/>
                <w:lang w:eastAsia="en-AU"/>
              </w:rPr>
            </w:pPr>
            <w:r w:rsidRPr="00901440">
              <w:rPr>
                <w:rFonts w:ascii="Arial" w:eastAsia="Arial" w:hAnsi="Arial" w:cs="Arial"/>
                <w:color w:val="000000"/>
                <w:sz w:val="16"/>
                <w:lang w:eastAsia="en-AU"/>
              </w:rPr>
              <w:t>Growing</w:t>
            </w:r>
          </w:p>
        </w:tc>
        <w:tc>
          <w:tcPr>
            <w:tcW w:w="2581"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rPr>
                <w:rFonts w:ascii="Calibri" w:eastAsia="Calibri" w:hAnsi="Calibri" w:cs="Calibri"/>
                <w:color w:val="000000"/>
                <w:sz w:val="22"/>
                <w:lang w:eastAsia="en-AU"/>
              </w:rPr>
            </w:pPr>
            <w:r w:rsidRPr="00901440">
              <w:rPr>
                <w:rFonts w:ascii="Arial" w:eastAsia="Arial" w:hAnsi="Arial" w:cs="Arial"/>
                <w:color w:val="000000"/>
                <w:sz w:val="16"/>
                <w:lang w:eastAsia="en-AU"/>
              </w:rPr>
              <w:t xml:space="preserve">Checkout </w:t>
            </w:r>
            <w:r w:rsidR="007716CB" w:rsidRPr="00901440">
              <w:rPr>
                <w:rFonts w:ascii="Arial" w:eastAsia="Arial" w:hAnsi="Arial" w:cs="Arial"/>
                <w:color w:val="000000"/>
                <w:sz w:val="16"/>
                <w:lang w:eastAsia="en-AU"/>
              </w:rPr>
              <w:t>operators and office cashiers</w:t>
            </w:r>
          </w:p>
        </w:tc>
        <w:tc>
          <w:tcPr>
            <w:tcW w:w="84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95 681</w:t>
            </w:r>
          </w:p>
        </w:tc>
        <w:tc>
          <w:tcPr>
            <w:tcW w:w="964"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110 904</w:t>
            </w:r>
          </w:p>
        </w:tc>
        <w:tc>
          <w:tcPr>
            <w:tcW w:w="1039"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15 223</w:t>
            </w:r>
          </w:p>
        </w:tc>
        <w:tc>
          <w:tcPr>
            <w:tcW w:w="850"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15.9%</w:t>
            </w:r>
          </w:p>
        </w:tc>
      </w:tr>
      <w:tr w:rsidR="005C55F8" w:rsidTr="00E544E1">
        <w:trPr>
          <w:cantSplit/>
          <w:trHeight w:val="57"/>
        </w:trPr>
        <w:tc>
          <w:tcPr>
            <w:tcW w:w="623" w:type="dxa"/>
            <w:vMerge/>
            <w:tcBorders>
              <w:left w:val="single" w:sz="4" w:space="0" w:color="FFFFFF" w:themeColor="background1"/>
              <w:right w:val="single" w:sz="4" w:space="0" w:color="FFFFFF" w:themeColor="background1"/>
            </w:tcBorders>
          </w:tcPr>
          <w:p w:rsidR="005C55F8" w:rsidRDefault="005C55F8" w:rsidP="005C55F8">
            <w:pPr>
              <w:pStyle w:val="Tabletext"/>
            </w:pPr>
          </w:p>
        </w:tc>
        <w:tc>
          <w:tcPr>
            <w:tcW w:w="907" w:type="dxa"/>
            <w:vMerge/>
            <w:tcBorders>
              <w:left w:val="single" w:sz="4" w:space="0" w:color="FFFFFF" w:themeColor="background1"/>
              <w:right w:val="single" w:sz="4" w:space="0" w:color="FFFFFF" w:themeColor="background1"/>
            </w:tcBorders>
            <w:vAlign w:val="center"/>
          </w:tcPr>
          <w:p w:rsidR="005C55F8" w:rsidRDefault="005C55F8" w:rsidP="005C55F8">
            <w:pPr>
              <w:pStyle w:val="Tabletext"/>
            </w:pPr>
          </w:p>
        </w:tc>
        <w:tc>
          <w:tcPr>
            <w:tcW w:w="2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rPr>
                <w:rFonts w:ascii="Calibri" w:eastAsia="Calibri" w:hAnsi="Calibri" w:cs="Calibri"/>
                <w:color w:val="000000"/>
                <w:sz w:val="22"/>
                <w:lang w:eastAsia="en-AU"/>
              </w:rPr>
            </w:pPr>
            <w:r w:rsidRPr="00901440">
              <w:rPr>
                <w:rFonts w:ascii="Arial" w:eastAsia="Arial" w:hAnsi="Arial" w:cs="Arial"/>
                <w:color w:val="000000"/>
                <w:sz w:val="16"/>
                <w:lang w:eastAsia="en-AU"/>
              </w:rPr>
              <w:t xml:space="preserve">General </w:t>
            </w:r>
            <w:r w:rsidR="007716CB" w:rsidRPr="00901440">
              <w:rPr>
                <w:rFonts w:ascii="Arial" w:eastAsia="Arial" w:hAnsi="Arial" w:cs="Arial"/>
                <w:color w:val="000000"/>
                <w:sz w:val="16"/>
                <w:lang w:eastAsia="en-AU"/>
              </w:rPr>
              <w:t>sales assistants</w:t>
            </w:r>
          </w:p>
        </w:tc>
        <w:tc>
          <w:tcPr>
            <w:tcW w:w="8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442 894</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456 914</w:t>
            </w:r>
          </w:p>
        </w:tc>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14 020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3.2%</w:t>
            </w:r>
          </w:p>
        </w:tc>
      </w:tr>
      <w:tr w:rsidR="005C55F8" w:rsidTr="00E544E1">
        <w:trPr>
          <w:cantSplit/>
          <w:trHeight w:val="57"/>
        </w:trPr>
        <w:tc>
          <w:tcPr>
            <w:tcW w:w="623" w:type="dxa"/>
            <w:vMerge/>
            <w:tcBorders>
              <w:left w:val="single" w:sz="4" w:space="0" w:color="FFFFFF" w:themeColor="background1"/>
              <w:right w:val="single" w:sz="4" w:space="0" w:color="FFFFFF" w:themeColor="background1"/>
            </w:tcBorders>
          </w:tcPr>
          <w:p w:rsidR="005C55F8" w:rsidRDefault="005C55F8" w:rsidP="005C55F8">
            <w:pPr>
              <w:pStyle w:val="Tabletext"/>
            </w:pPr>
          </w:p>
        </w:tc>
        <w:tc>
          <w:tcPr>
            <w:tcW w:w="907" w:type="dxa"/>
            <w:vMerge/>
            <w:tcBorders>
              <w:left w:val="single" w:sz="4" w:space="0" w:color="FFFFFF" w:themeColor="background1"/>
              <w:bottom w:val="single" w:sz="4" w:space="0" w:color="auto"/>
              <w:right w:val="single" w:sz="4" w:space="0" w:color="FFFFFF" w:themeColor="background1"/>
            </w:tcBorders>
            <w:vAlign w:val="center"/>
          </w:tcPr>
          <w:p w:rsidR="005C55F8" w:rsidRDefault="005C55F8" w:rsidP="005C55F8">
            <w:pPr>
              <w:pStyle w:val="Tabletext"/>
            </w:pPr>
          </w:p>
        </w:tc>
        <w:tc>
          <w:tcPr>
            <w:tcW w:w="2581"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rPr>
                <w:rFonts w:ascii="Calibri" w:eastAsia="Calibri" w:hAnsi="Calibri" w:cs="Calibri"/>
                <w:color w:val="000000"/>
                <w:sz w:val="22"/>
                <w:lang w:eastAsia="en-AU"/>
              </w:rPr>
            </w:pPr>
            <w:r w:rsidRPr="00901440">
              <w:rPr>
                <w:rFonts w:ascii="Arial" w:eastAsia="Arial" w:hAnsi="Arial" w:cs="Arial"/>
                <w:color w:val="000000"/>
                <w:sz w:val="16"/>
                <w:lang w:eastAsia="en-AU"/>
              </w:rPr>
              <w:t xml:space="preserve">Fast </w:t>
            </w:r>
            <w:r w:rsidR="007716CB" w:rsidRPr="00901440">
              <w:rPr>
                <w:rFonts w:ascii="Arial" w:eastAsia="Arial" w:hAnsi="Arial" w:cs="Arial"/>
                <w:color w:val="000000"/>
                <w:sz w:val="16"/>
                <w:lang w:eastAsia="en-AU"/>
              </w:rPr>
              <w:t>food cooks</w:t>
            </w:r>
          </w:p>
        </w:tc>
        <w:tc>
          <w:tcPr>
            <w:tcW w:w="840"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25 092</w:t>
            </w:r>
          </w:p>
        </w:tc>
        <w:tc>
          <w:tcPr>
            <w:tcW w:w="964"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32 178</w:t>
            </w:r>
          </w:p>
        </w:tc>
        <w:tc>
          <w:tcPr>
            <w:tcW w:w="1039"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7 086</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28.2%</w:t>
            </w:r>
          </w:p>
        </w:tc>
      </w:tr>
      <w:tr w:rsidR="005C55F8" w:rsidTr="00E544E1">
        <w:trPr>
          <w:cantSplit/>
          <w:trHeight w:val="57"/>
        </w:trPr>
        <w:tc>
          <w:tcPr>
            <w:tcW w:w="623" w:type="dxa"/>
            <w:vMerge/>
            <w:tcBorders>
              <w:left w:val="single" w:sz="4" w:space="0" w:color="FFFFFF" w:themeColor="background1"/>
              <w:right w:val="single" w:sz="4" w:space="0" w:color="FFFFFF" w:themeColor="background1"/>
            </w:tcBorders>
          </w:tcPr>
          <w:p w:rsidR="005C55F8" w:rsidRDefault="005C55F8" w:rsidP="005C55F8">
            <w:pPr>
              <w:pStyle w:val="Tabletext"/>
            </w:pPr>
          </w:p>
        </w:tc>
        <w:tc>
          <w:tcPr>
            <w:tcW w:w="907" w:type="dxa"/>
            <w:vMerge w:val="restart"/>
            <w:tcBorders>
              <w:top w:val="single" w:sz="4" w:space="0" w:color="auto"/>
              <w:left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rPr>
                <w:rFonts w:ascii="Calibri" w:eastAsia="Calibri" w:hAnsi="Calibri" w:cs="Calibri"/>
                <w:color w:val="000000"/>
                <w:sz w:val="22"/>
                <w:lang w:eastAsia="en-AU"/>
              </w:rPr>
            </w:pPr>
            <w:r w:rsidRPr="00901440">
              <w:rPr>
                <w:rFonts w:ascii="Arial" w:eastAsia="Arial" w:hAnsi="Arial" w:cs="Arial"/>
                <w:color w:val="000000"/>
                <w:sz w:val="16"/>
                <w:lang w:eastAsia="en-AU"/>
              </w:rPr>
              <w:t>Declining</w:t>
            </w:r>
          </w:p>
        </w:tc>
        <w:tc>
          <w:tcPr>
            <w:tcW w:w="2581"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rPr>
                <w:rFonts w:ascii="Calibri" w:eastAsia="Calibri" w:hAnsi="Calibri" w:cs="Calibri"/>
                <w:color w:val="000000"/>
                <w:sz w:val="22"/>
                <w:lang w:eastAsia="en-AU"/>
              </w:rPr>
            </w:pPr>
            <w:r w:rsidRPr="00901440">
              <w:rPr>
                <w:rFonts w:ascii="Arial" w:eastAsia="Arial" w:hAnsi="Arial" w:cs="Arial"/>
                <w:color w:val="000000"/>
                <w:sz w:val="16"/>
                <w:lang w:eastAsia="en-AU"/>
              </w:rPr>
              <w:t xml:space="preserve">Crop </w:t>
            </w:r>
            <w:r w:rsidR="007716CB" w:rsidRPr="00901440">
              <w:rPr>
                <w:rFonts w:ascii="Arial" w:eastAsia="Arial" w:hAnsi="Arial" w:cs="Arial"/>
                <w:color w:val="000000"/>
                <w:sz w:val="16"/>
                <w:lang w:eastAsia="en-AU"/>
              </w:rPr>
              <w:t>farm workers</w:t>
            </w:r>
          </w:p>
        </w:tc>
        <w:tc>
          <w:tcPr>
            <w:tcW w:w="840"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25 540</w:t>
            </w:r>
          </w:p>
        </w:tc>
        <w:tc>
          <w:tcPr>
            <w:tcW w:w="964"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19 855</w:t>
            </w:r>
          </w:p>
        </w:tc>
        <w:tc>
          <w:tcPr>
            <w:tcW w:w="1039"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-5 685</w:t>
            </w:r>
          </w:p>
        </w:tc>
        <w:tc>
          <w:tcPr>
            <w:tcW w:w="850"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-22.3%</w:t>
            </w:r>
          </w:p>
        </w:tc>
      </w:tr>
      <w:tr w:rsidR="005C55F8" w:rsidTr="00E544E1">
        <w:trPr>
          <w:cantSplit/>
          <w:trHeight w:val="57"/>
        </w:trPr>
        <w:tc>
          <w:tcPr>
            <w:tcW w:w="623" w:type="dxa"/>
            <w:vMerge/>
            <w:tcBorders>
              <w:left w:val="single" w:sz="4" w:space="0" w:color="FFFFFF" w:themeColor="background1"/>
              <w:right w:val="single" w:sz="4" w:space="0" w:color="FFFFFF" w:themeColor="background1"/>
            </w:tcBorders>
          </w:tcPr>
          <w:p w:rsidR="005C55F8" w:rsidRDefault="005C55F8" w:rsidP="005C55F8">
            <w:pPr>
              <w:pStyle w:val="Tabletext"/>
            </w:pPr>
          </w:p>
        </w:tc>
        <w:tc>
          <w:tcPr>
            <w:tcW w:w="907" w:type="dxa"/>
            <w:vMerge/>
            <w:tcBorders>
              <w:left w:val="single" w:sz="4" w:space="0" w:color="FFFFFF" w:themeColor="background1"/>
              <w:right w:val="single" w:sz="4" w:space="0" w:color="FFFFFF" w:themeColor="background1"/>
            </w:tcBorders>
          </w:tcPr>
          <w:p w:rsidR="005C55F8" w:rsidRDefault="005C55F8" w:rsidP="005C55F8">
            <w:pPr>
              <w:pStyle w:val="Tabletext"/>
            </w:pPr>
          </w:p>
        </w:tc>
        <w:tc>
          <w:tcPr>
            <w:tcW w:w="2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7716CB" w:rsidP="005C55F8">
            <w:pPr>
              <w:spacing w:before="40" w:after="40" w:line="240" w:lineRule="auto"/>
              <w:rPr>
                <w:rFonts w:ascii="Calibri" w:eastAsia="Calibri" w:hAnsi="Calibri" w:cs="Calibri"/>
                <w:color w:val="000000"/>
                <w:sz w:val="22"/>
                <w:lang w:eastAsia="en-AU"/>
              </w:rPr>
            </w:pPr>
            <w:r>
              <w:rPr>
                <w:rFonts w:ascii="Arial" w:eastAsia="Arial" w:hAnsi="Arial" w:cs="Arial"/>
                <w:color w:val="000000"/>
                <w:sz w:val="16"/>
                <w:lang w:eastAsia="en-AU"/>
              </w:rPr>
              <w:t>Shelf f</w:t>
            </w:r>
            <w:r w:rsidR="005C55F8" w:rsidRPr="00901440">
              <w:rPr>
                <w:rFonts w:ascii="Arial" w:eastAsia="Arial" w:hAnsi="Arial" w:cs="Arial"/>
                <w:color w:val="000000"/>
                <w:sz w:val="16"/>
                <w:lang w:eastAsia="en-AU"/>
              </w:rPr>
              <w:t>illers</w:t>
            </w:r>
          </w:p>
        </w:tc>
        <w:tc>
          <w:tcPr>
            <w:tcW w:w="84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51 103</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44 662</w:t>
            </w:r>
          </w:p>
        </w:tc>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-6 441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-12.6%</w:t>
            </w:r>
          </w:p>
        </w:tc>
      </w:tr>
      <w:tr w:rsidR="005C55F8" w:rsidTr="00E544E1">
        <w:trPr>
          <w:cantSplit/>
          <w:trHeight w:val="57"/>
        </w:trPr>
        <w:tc>
          <w:tcPr>
            <w:tcW w:w="623" w:type="dxa"/>
            <w:vMerge/>
            <w:tcBorders>
              <w:left w:val="single" w:sz="4" w:space="0" w:color="FFFFFF" w:themeColor="background1"/>
              <w:bottom w:val="single" w:sz="4" w:space="0" w:color="auto"/>
              <w:right w:val="single" w:sz="4" w:space="0" w:color="FFFFFF" w:themeColor="background1"/>
            </w:tcBorders>
          </w:tcPr>
          <w:p w:rsidR="005C55F8" w:rsidRDefault="005C55F8" w:rsidP="005C55F8">
            <w:pPr>
              <w:pStyle w:val="Tabletext"/>
            </w:pPr>
          </w:p>
        </w:tc>
        <w:tc>
          <w:tcPr>
            <w:tcW w:w="907" w:type="dxa"/>
            <w:vMerge/>
            <w:tcBorders>
              <w:left w:val="single" w:sz="4" w:space="0" w:color="FFFFFF" w:themeColor="background1"/>
              <w:bottom w:val="single" w:sz="4" w:space="0" w:color="auto"/>
              <w:right w:val="single" w:sz="4" w:space="0" w:color="FFFFFF" w:themeColor="background1"/>
            </w:tcBorders>
          </w:tcPr>
          <w:p w:rsidR="005C55F8" w:rsidRDefault="005C55F8" w:rsidP="005C55F8">
            <w:pPr>
              <w:pStyle w:val="Tabletext"/>
            </w:pPr>
          </w:p>
        </w:tc>
        <w:tc>
          <w:tcPr>
            <w:tcW w:w="2581"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rPr>
                <w:rFonts w:ascii="Arial" w:eastAsia="Arial" w:hAnsi="Arial" w:cs="Arial"/>
                <w:color w:val="000000"/>
                <w:sz w:val="16"/>
                <w:lang w:eastAsia="en-AU"/>
              </w:rPr>
            </w:pPr>
            <w:r w:rsidRPr="00901440">
              <w:rPr>
                <w:rFonts w:ascii="Arial" w:eastAsia="Arial" w:hAnsi="Arial" w:cs="Arial"/>
                <w:color w:val="000000"/>
                <w:sz w:val="16"/>
                <w:lang w:eastAsia="en-AU"/>
              </w:rPr>
              <w:t xml:space="preserve">Product </w:t>
            </w:r>
            <w:r w:rsidR="007716CB" w:rsidRPr="00901440">
              <w:rPr>
                <w:rFonts w:ascii="Arial" w:eastAsia="Arial" w:hAnsi="Arial" w:cs="Arial"/>
                <w:color w:val="000000"/>
                <w:sz w:val="16"/>
                <w:lang w:eastAsia="en-AU"/>
              </w:rPr>
              <w:t>assemblers</w:t>
            </w:r>
          </w:p>
        </w:tc>
        <w:tc>
          <w:tcPr>
            <w:tcW w:w="840"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32 669</w:t>
            </w:r>
          </w:p>
        </w:tc>
        <w:tc>
          <w:tcPr>
            <w:tcW w:w="964"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24 887</w:t>
            </w:r>
          </w:p>
        </w:tc>
        <w:tc>
          <w:tcPr>
            <w:tcW w:w="1039"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-7 782</w:t>
            </w:r>
          </w:p>
        </w:tc>
        <w:tc>
          <w:tcPr>
            <w:tcW w:w="850"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rsidR="005C55F8" w:rsidRPr="00901440" w:rsidRDefault="005C55F8" w:rsidP="005C55F8">
            <w:pPr>
              <w:spacing w:before="40" w:after="40" w:line="240" w:lineRule="auto"/>
              <w:jc w:val="right"/>
              <w:rPr>
                <w:rFonts w:ascii="Calibri" w:eastAsia="Calibri" w:hAnsi="Calibri" w:cs="Calibri"/>
                <w:color w:val="000000"/>
                <w:sz w:val="22"/>
                <w:lang w:eastAsia="en-AU"/>
              </w:rPr>
            </w:pPr>
            <w:r w:rsidRPr="00901440">
              <w:rPr>
                <w:rFonts w:ascii="Arial" w:eastAsia="Arial" w:hAnsi="Arial" w:cs="Arial"/>
                <w:color w:val="000000"/>
                <w:sz w:val="16"/>
                <w:lang w:eastAsia="en-AU"/>
              </w:rPr>
              <w:t>-23.8%</w:t>
            </w:r>
          </w:p>
        </w:tc>
      </w:tr>
    </w:tbl>
    <w:p w:rsidR="005C55F8" w:rsidRDefault="00631AB9" w:rsidP="005C55F8">
      <w:pPr>
        <w:pStyle w:val="Source"/>
        <w:rPr>
          <w:rFonts w:eastAsia="Arial"/>
        </w:rPr>
      </w:pPr>
      <w:r>
        <w:rPr>
          <w:szCs w:val="15"/>
        </w:rPr>
        <w:t xml:space="preserve">Source: ABS </w:t>
      </w:r>
      <w:r w:rsidR="00A64367">
        <w:rPr>
          <w:szCs w:val="15"/>
        </w:rPr>
        <w:t xml:space="preserve">2006, </w:t>
      </w:r>
      <w:r w:rsidR="00D171B5">
        <w:rPr>
          <w:szCs w:val="15"/>
        </w:rPr>
        <w:t xml:space="preserve">2009 &amp; </w:t>
      </w:r>
      <w:r w:rsidR="007716CB">
        <w:rPr>
          <w:szCs w:val="15"/>
        </w:rPr>
        <w:t>2011</w:t>
      </w:r>
      <w:r w:rsidR="00D171B5">
        <w:rPr>
          <w:szCs w:val="15"/>
        </w:rPr>
        <w:t>.</w:t>
      </w:r>
    </w:p>
    <w:p w:rsidR="005E6BF6" w:rsidRDefault="00516663" w:rsidP="004F0FD5">
      <w:pPr>
        <w:pStyle w:val="Text"/>
        <w:rPr>
          <w:lang w:eastAsia="en-AU"/>
        </w:rPr>
      </w:pPr>
      <w:r w:rsidRPr="00516663">
        <w:rPr>
          <w:lang w:eastAsia="en-AU"/>
        </w:rPr>
        <w:t>The occup</w:t>
      </w:r>
      <w:r w:rsidR="007716CB">
        <w:rPr>
          <w:lang w:eastAsia="en-AU"/>
        </w:rPr>
        <w:t>ational changes illustrated in t</w:t>
      </w:r>
      <w:r w:rsidRPr="00516663">
        <w:rPr>
          <w:lang w:eastAsia="en-AU"/>
        </w:rPr>
        <w:t xml:space="preserve">able 1 tend to align with the growth and decline of </w:t>
      </w:r>
      <w:r w:rsidRPr="00FC5A45">
        <w:rPr>
          <w:lang w:eastAsia="en-AU"/>
        </w:rPr>
        <w:t>certain Australia</w:t>
      </w:r>
      <w:r w:rsidR="007716CB">
        <w:rPr>
          <w:lang w:eastAsia="en-AU"/>
        </w:rPr>
        <w:t>n industries; f</w:t>
      </w:r>
      <w:r w:rsidR="00701E77" w:rsidRPr="00FC5A45">
        <w:rPr>
          <w:lang w:eastAsia="en-AU"/>
        </w:rPr>
        <w:t xml:space="preserve">or example, the </w:t>
      </w:r>
      <w:r w:rsidR="007716CB" w:rsidRPr="00FC5A45">
        <w:rPr>
          <w:lang w:eastAsia="en-AU"/>
        </w:rPr>
        <w:t xml:space="preserve">health care and social assistance </w:t>
      </w:r>
      <w:r w:rsidRPr="00FC5A45">
        <w:rPr>
          <w:lang w:eastAsia="en-AU"/>
        </w:rPr>
        <w:t>industry witnessed the strongest job growth of any industry between 2006 and 2011</w:t>
      </w:r>
      <w:r w:rsidR="00A64367">
        <w:rPr>
          <w:lang w:eastAsia="en-AU"/>
        </w:rPr>
        <w:t>,</w:t>
      </w:r>
      <w:r w:rsidRPr="00FC5A45">
        <w:rPr>
          <w:lang w:eastAsia="en-AU"/>
        </w:rPr>
        <w:t xml:space="preserve"> to become Australia’s largest employing sector. Occupations found in this industry, such as </w:t>
      </w:r>
      <w:r w:rsidR="007716CB" w:rsidRPr="00FC5A45">
        <w:rPr>
          <w:lang w:eastAsia="en-AU"/>
        </w:rPr>
        <w:t>registered nurses (skill level 1), aged and disabled carers (skill level 4) and child carers</w:t>
      </w:r>
      <w:r w:rsidRPr="00FC5A45">
        <w:rPr>
          <w:lang w:eastAsia="en-AU"/>
        </w:rPr>
        <w:t xml:space="preserve"> (skill level 4)</w:t>
      </w:r>
      <w:r w:rsidR="007716CB">
        <w:rPr>
          <w:lang w:eastAsia="en-AU"/>
        </w:rPr>
        <w:t>,</w:t>
      </w:r>
      <w:r w:rsidRPr="00FC5A45">
        <w:rPr>
          <w:lang w:eastAsia="en-AU"/>
        </w:rPr>
        <w:t xml:space="preserve"> were also some of the fastest growing occupations in Australia. Likewise, occupations associated with ot</w:t>
      </w:r>
      <w:r w:rsidR="00FC5A45" w:rsidRPr="00FC5A45">
        <w:rPr>
          <w:lang w:eastAsia="en-AU"/>
        </w:rPr>
        <w:t xml:space="preserve">her growing industries such as </w:t>
      </w:r>
      <w:r w:rsidR="007716CB" w:rsidRPr="00FC5A45">
        <w:rPr>
          <w:lang w:eastAsia="en-AU"/>
        </w:rPr>
        <w:t>accommodation and food services, and retail industries are some of the country’s fastest growing (</w:t>
      </w:r>
      <w:r w:rsidR="007716CB">
        <w:rPr>
          <w:lang w:eastAsia="en-AU"/>
        </w:rPr>
        <w:t>for example,</w:t>
      </w:r>
      <w:r w:rsidR="007716CB" w:rsidRPr="00FC5A45">
        <w:rPr>
          <w:lang w:eastAsia="en-AU"/>
        </w:rPr>
        <w:t xml:space="preserve"> chefs, checkout operators and office cashiers, general sales assistants, fast food cooks</w:t>
      </w:r>
      <w:r w:rsidRPr="00FC5A45">
        <w:rPr>
          <w:lang w:eastAsia="en-AU"/>
        </w:rPr>
        <w:t>).</w:t>
      </w:r>
      <w:r w:rsidR="00420EEF">
        <w:rPr>
          <w:lang w:eastAsia="en-AU"/>
        </w:rPr>
        <w:t xml:space="preserve"> </w:t>
      </w:r>
      <w:r w:rsidRPr="00FC5A45">
        <w:rPr>
          <w:lang w:eastAsia="en-AU"/>
        </w:rPr>
        <w:t>Significant</w:t>
      </w:r>
      <w:r w:rsidRPr="00516663">
        <w:rPr>
          <w:lang w:eastAsia="en-AU"/>
        </w:rPr>
        <w:t xml:space="preserve"> occupational job loss among </w:t>
      </w:r>
      <w:r w:rsidR="007716CB" w:rsidRPr="00516663">
        <w:rPr>
          <w:lang w:eastAsia="en-AU"/>
        </w:rPr>
        <w:t xml:space="preserve">livestock farmers, crop farm workers, sewing machinists and product assemblers is, likewise, associated with general job decline in the </w:t>
      </w:r>
      <w:r w:rsidR="007716CB">
        <w:rPr>
          <w:lang w:eastAsia="en-AU"/>
        </w:rPr>
        <w:t>agricultural and forestry industry and the m</w:t>
      </w:r>
      <w:r w:rsidR="007716CB" w:rsidRPr="00516663">
        <w:rPr>
          <w:lang w:eastAsia="en-AU"/>
        </w:rPr>
        <w:t xml:space="preserve">anufacturing </w:t>
      </w:r>
      <w:r w:rsidRPr="00516663">
        <w:rPr>
          <w:lang w:eastAsia="en-AU"/>
        </w:rPr>
        <w:t xml:space="preserve">industry. </w:t>
      </w:r>
    </w:p>
    <w:p w:rsidR="00516663" w:rsidRDefault="00516663" w:rsidP="004F0FD5">
      <w:pPr>
        <w:pStyle w:val="Text"/>
        <w:rPr>
          <w:lang w:eastAsia="en-AU"/>
        </w:rPr>
      </w:pPr>
      <w:r w:rsidRPr="00516663">
        <w:rPr>
          <w:lang w:eastAsia="en-AU"/>
        </w:rPr>
        <w:t xml:space="preserve">Not all declining occupations, however, can be </w:t>
      </w:r>
      <w:r w:rsidR="00854EAC">
        <w:rPr>
          <w:noProof/>
          <w:lang w:eastAsia="en-AU"/>
        </w:rPr>
        <mc:AlternateContent>
          <mc:Choice Requires="wps">
            <w:drawing>
              <wp:anchor distT="0" distB="0" distL="114300" distR="114300" simplePos="0" relativeHeight="252007424" behindDoc="0" locked="1" layoutInCell="1" allowOverlap="1" wp14:anchorId="639E1934" wp14:editId="4339C319">
                <wp:simplePos x="0" y="0"/>
                <wp:positionH relativeFrom="outsideMargin">
                  <wp:posOffset>144780</wp:posOffset>
                </wp:positionH>
                <wp:positionV relativeFrom="page">
                  <wp:posOffset>819150</wp:posOffset>
                </wp:positionV>
                <wp:extent cx="1320800" cy="155257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552575"/>
                        </a:xfrm>
                        <a:prstGeom prst="rect">
                          <a:avLst/>
                        </a:prstGeom>
                        <a:noFill/>
                        <a:ln w="6350">
                          <a:noFill/>
                        </a:ln>
                        <a:effectLst>
                          <a:outerShdw blurRad="152400" dist="317500" dir="5400000" sx="90000" sy="-19000" rotWithShape="0">
                            <a:prstClr val="black">
                              <a:alpha val="15000"/>
                            </a:prstClr>
                          </a:outerShdw>
                        </a:effectLst>
                      </wps:spPr>
                      <wps:txbx>
                        <w:txbxContent>
                          <w:p w:rsidR="00396053" w:rsidRPr="00543BFF" w:rsidRDefault="00396053" w:rsidP="00FC5A45">
                            <w:pPr>
                              <w:pStyle w:val="PullQuote"/>
                            </w:pPr>
                            <w:r w:rsidRPr="00FC5A45">
                              <w:t>Retrenched workers from declining occupations and industries will most likely need to consider occupations in diversely different industries.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1.4pt;margin-top:64.5pt;width:104pt;height:122.25pt;z-index:25200742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" filled="f" stroked="f" strokeweight=".5pt">
                <v:shadow on="t" type="perspective" color="black" opacity="9830f" origin=",.5" offset="0,25pt" matrix="58982f,,,-12452f"/>
                <v:path arrowok="t"/>
                <v:textbox inset="10mm">
                  <w:txbxContent>
                    <w:p w:rsidR="00396053" w:rsidRPr="00543BFF" w:rsidRDefault="00396053" w:rsidP="00FC5A45">
                      <w:pPr>
                        <w:pStyle w:val="PullQuote"/>
                      </w:pPr>
                      <w:r w:rsidRPr="00FC5A45">
                        <w:t>Retrenched workers from declining occupations and industries will most likely need to consider occupations in diversely different industries.</w:t>
                      </w:r>
                    </w:p>
                  </w:txbxContent>
                </v:textbox>
                <w10:wrap anchorx="margin" anchory="page"/>
                <w10:anchorlock/>
              </v:shape>
            </w:pict>
          </mc:Fallback>
        </mc:AlternateContent>
      </w:r>
      <w:r w:rsidRPr="00516663">
        <w:rPr>
          <w:lang w:eastAsia="en-AU"/>
        </w:rPr>
        <w:t xml:space="preserve">directly associated with </w:t>
      </w:r>
      <w:r w:rsidR="008A41C1">
        <w:rPr>
          <w:lang w:eastAsia="en-AU"/>
        </w:rPr>
        <w:t xml:space="preserve">declining industries. Overall, </w:t>
      </w:r>
      <w:r w:rsidR="007716CB">
        <w:rPr>
          <w:lang w:eastAsia="en-AU"/>
        </w:rPr>
        <w:t>s</w:t>
      </w:r>
      <w:r w:rsidRPr="00516663">
        <w:rPr>
          <w:lang w:eastAsia="en-AU"/>
        </w:rPr>
        <w:t xml:space="preserve">ecretaries (skill level 3) experienced the greatest decline of any other occupation, losing almost a third of the entire workforce (-32%). This contraction is likely </w:t>
      </w:r>
      <w:r w:rsidR="007716CB">
        <w:rPr>
          <w:lang w:eastAsia="en-AU"/>
        </w:rPr>
        <w:t xml:space="preserve">to be </w:t>
      </w:r>
      <w:r w:rsidRPr="00516663">
        <w:rPr>
          <w:lang w:eastAsia="en-AU"/>
        </w:rPr>
        <w:t xml:space="preserve">a result of a general </w:t>
      </w:r>
      <w:r w:rsidR="00A64367">
        <w:rPr>
          <w:lang w:eastAsia="en-AU"/>
        </w:rPr>
        <w:t>reorganisation of office work such</w:t>
      </w:r>
      <w:r w:rsidRPr="00516663">
        <w:rPr>
          <w:lang w:eastAsia="en-AU"/>
        </w:rPr>
        <w:t xml:space="preserve"> that functions formerly performed by office secretaries such as typing, filing and data entry are now either computerised or performed by individual officials. </w:t>
      </w:r>
    </w:p>
    <w:p w:rsidR="004F0FD5" w:rsidRDefault="004F0FD5" w:rsidP="004F0FD5">
      <w:pPr>
        <w:pStyle w:val="Text"/>
      </w:pPr>
      <w:r>
        <w:t xml:space="preserve">While it is important to understand the implication of occupational and skill level changes </w:t>
      </w:r>
      <w:r w:rsidR="00A64367">
        <w:t>for</w:t>
      </w:r>
      <w:r>
        <w:t xml:space="preserve"> cross-sectoral employment mobility, it is equally important to appreciate that there are significant regional variations in the types of occupational and skill level changes taking place. This understanding is particularly important in a regionally diversified economy such as </w:t>
      </w:r>
      <w:r w:rsidR="007716CB">
        <w:t xml:space="preserve">that of </w:t>
      </w:r>
      <w:r>
        <w:t>Australia</w:t>
      </w:r>
      <w:r w:rsidR="005C563F">
        <w:t>,</w:t>
      </w:r>
      <w:r>
        <w:t xml:space="preserve"> where industrial activity varies between and within different states and territories. Our examination found distinct patterns of occupational clusters in certain states and territories, such as </w:t>
      </w:r>
      <w:r w:rsidR="00631AB9">
        <w:t>m</w:t>
      </w:r>
      <w:r w:rsidR="007716CB">
        <w:t>ining-</w:t>
      </w:r>
      <w:r>
        <w:t>related jobs dominating the</w:t>
      </w:r>
      <w:r w:rsidR="00C20869">
        <w:t xml:space="preserve"> economies of Western Australia</w:t>
      </w:r>
      <w:r>
        <w:t xml:space="preserve"> and Queensland, public sector occupations overshadowing others in the Australian Capital Territory, as do social welfare and support roles in the Northern Territory. Likewise, in Victoria, New South Wales and South Australia there was a high increase in what may be considered personal care and assistance jobs (</w:t>
      </w:r>
      <w:r w:rsidR="00CC15B6">
        <w:t>aged an</w:t>
      </w:r>
      <w:r w:rsidR="00481A18">
        <w:t>d disabled carers, child carers</w:t>
      </w:r>
      <w:r w:rsidR="00CC15B6">
        <w:t xml:space="preserve"> and general clerks</w:t>
      </w:r>
      <w:r>
        <w:t>). Although these r</w:t>
      </w:r>
      <w:r w:rsidR="00FB390A">
        <w:t>egional occupational trends ex</w:t>
      </w:r>
      <w:r>
        <w:t xml:space="preserve">ist, significant similarities across some occupations related to the growth in the </w:t>
      </w:r>
      <w:r w:rsidR="00CC15B6">
        <w:t>health care and social assistance</w:t>
      </w:r>
      <w:r w:rsidR="005E6BF6">
        <w:t>,</w:t>
      </w:r>
      <w:r w:rsidR="00CC15B6">
        <w:t xml:space="preserve"> and the retail service</w:t>
      </w:r>
      <w:r>
        <w:t xml:space="preserve">s industry </w:t>
      </w:r>
      <w:r w:rsidR="00FB390A">
        <w:t xml:space="preserve">are </w:t>
      </w:r>
      <w:r>
        <w:t xml:space="preserve">still </w:t>
      </w:r>
      <w:r w:rsidR="00CC15B6">
        <w:t>pre</w:t>
      </w:r>
      <w:r w:rsidR="00FB390A">
        <w:t>sent</w:t>
      </w:r>
      <w:r>
        <w:t xml:space="preserve">. The same applies to the decline of the </w:t>
      </w:r>
      <w:r w:rsidR="00CC15B6">
        <w:t xml:space="preserve">manufacturing, agricultural and forestry, and administrative and support services </w:t>
      </w:r>
      <w:r>
        <w:t>industries. These findings suggest that the patterns of occupational growth and decline found within the regions are consistent across the country.</w:t>
      </w:r>
    </w:p>
    <w:p w:rsidR="004F0FD5" w:rsidRDefault="004F0FD5" w:rsidP="004F0FD5">
      <w:pPr>
        <w:pStyle w:val="Text"/>
      </w:pPr>
      <w:r>
        <w:t xml:space="preserve">In terms of the extent to which regional employment mobility was likely to take place, our analysis found opportunities for workers </w:t>
      </w:r>
      <w:r w:rsidR="00CC15B6">
        <w:t>employed in specific declining m</w:t>
      </w:r>
      <w:r>
        <w:t>anufacturing jobs in</w:t>
      </w:r>
      <w:r w:rsidR="00FC5A45">
        <w:t xml:space="preserve"> Victoria (</w:t>
      </w:r>
      <w:r w:rsidR="001C6537">
        <w:t>for example,</w:t>
      </w:r>
      <w:r w:rsidR="00FC5A45">
        <w:t xml:space="preserve"> </w:t>
      </w:r>
      <w:r w:rsidR="00CC15B6">
        <w:t>metal fitters</w:t>
      </w:r>
      <w:r w:rsidR="00FC5A45">
        <w:t>)</w:t>
      </w:r>
      <w:r>
        <w:t xml:space="preserve"> to obtain employment in West</w:t>
      </w:r>
      <w:r w:rsidR="00CC15B6">
        <w:t>ern Australia and Queensland’s m</w:t>
      </w:r>
      <w:r>
        <w:t>ining industry</w:t>
      </w:r>
      <w:r w:rsidR="002955C0">
        <w:t xml:space="preserve">, </w:t>
      </w:r>
      <w:r w:rsidR="00CC15B6">
        <w:t>al</w:t>
      </w:r>
      <w:r w:rsidR="002955C0">
        <w:t xml:space="preserve">though these are likely to become more scarce in </w:t>
      </w:r>
      <w:r w:rsidR="00FB390A">
        <w:t xml:space="preserve">the </w:t>
      </w:r>
      <w:r w:rsidR="002955C0">
        <w:t>future</w:t>
      </w:r>
      <w:r>
        <w:t xml:space="preserve">. However, since growing and declining occupations in some sectors are concentrated in different states and territories, physical relocation across regions is likely to </w:t>
      </w:r>
      <w:r w:rsidRPr="00FC5A45">
        <w:t>present a major barrier for employment mobility. For the purposes of considering skills transferability, the study shows that retrenched workers from declining occupations and industries will most likely need to consider occupations in diversely different industries. For exam</w:t>
      </w:r>
      <w:r w:rsidR="00FB390A">
        <w:t>ple, since most occupations in m</w:t>
      </w:r>
      <w:r w:rsidRPr="00FC5A45">
        <w:t>anufacturing are in decline, retrenched work</w:t>
      </w:r>
      <w:r w:rsidR="00D00471" w:rsidRPr="00FC5A45">
        <w:t>er</w:t>
      </w:r>
      <w:r w:rsidRPr="00FC5A45">
        <w:t xml:space="preserve">s will need to apply their skills in the emerging industries of </w:t>
      </w:r>
      <w:r w:rsidR="00E94A88">
        <w:t>health care</w:t>
      </w:r>
      <w:r w:rsidR="00CC15B6" w:rsidRPr="00FC5A45">
        <w:t>, retail and hospitality</w:t>
      </w:r>
      <w:r w:rsidRPr="00FC5A45">
        <w:t>. An important question, examined in the next section, is therefore whether or not the VET</w:t>
      </w:r>
      <w:r>
        <w:t xml:space="preserve"> system is designed and </w:t>
      </w:r>
      <w:r w:rsidR="00FB390A">
        <w:t xml:space="preserve">sufficiently </w:t>
      </w:r>
      <w:r>
        <w:t>equipped to develop skills capable of such broad cross-sectoral transferability.</w:t>
      </w:r>
    </w:p>
    <w:p w:rsidR="004F0FD5" w:rsidRDefault="004F0FD5" w:rsidP="00870BA3">
      <w:pPr>
        <w:pStyle w:val="Heading2"/>
      </w:pPr>
      <w:bookmarkStart w:id="39" w:name="_Toc449707286"/>
      <w:r>
        <w:rPr>
          <w:rFonts w:eastAsia="Arial"/>
        </w:rPr>
        <w:t>The Australian VET system and the development of transferable skills</w:t>
      </w:r>
      <w:bookmarkEnd w:id="39"/>
    </w:p>
    <w:p w:rsidR="007347ED" w:rsidRDefault="004F0FD5" w:rsidP="004F0FD5">
      <w:pPr>
        <w:pStyle w:val="Text"/>
      </w:pPr>
      <w:r w:rsidRPr="007566C3">
        <w:t>The current Australian VET system is pillared by three important elements, which were</w:t>
      </w:r>
      <w:r>
        <w:t xml:space="preserve"> established under the Australian National Training Authority (ANTA) policies</w:t>
      </w:r>
      <w:r w:rsidR="005C6274">
        <w:t xml:space="preserve"> of the 1990s</w:t>
      </w:r>
      <w:r>
        <w:t>. These pillars include the Australia</w:t>
      </w:r>
      <w:r w:rsidR="00CC15B6">
        <w:t>n Qualifications Framework</w:t>
      </w:r>
      <w:r>
        <w:t xml:space="preserve">, the </w:t>
      </w:r>
      <w:r w:rsidR="00AC2ACC">
        <w:t>VET Quality Framework (including the</w:t>
      </w:r>
      <w:r w:rsidR="00CC15B6">
        <w:t xml:space="preserve"> </w:t>
      </w:r>
      <w:r>
        <w:t>Standards for Registered Training Organisations</w:t>
      </w:r>
      <w:r w:rsidR="00AC2ACC">
        <w:t>)</w:t>
      </w:r>
      <w:r>
        <w:t xml:space="preserve">, and </w:t>
      </w:r>
      <w:r w:rsidR="00CC15B6">
        <w:t>training packages</w:t>
      </w:r>
      <w:r w:rsidR="001E4B1C">
        <w:t xml:space="preserve">, </w:t>
      </w:r>
      <w:r w:rsidR="00FB390A">
        <w:t xml:space="preserve">the latter </w:t>
      </w:r>
      <w:r w:rsidR="004F3DE0">
        <w:t xml:space="preserve">of </w:t>
      </w:r>
      <w:r w:rsidR="001E4B1C">
        <w:t>which</w:t>
      </w:r>
      <w:r w:rsidR="00CC15B6">
        <w:t xml:space="preserve"> </w:t>
      </w:r>
      <w:r w:rsidR="00AC2ACC">
        <w:t>were</w:t>
      </w:r>
      <w:r w:rsidR="004F3DE0">
        <w:t>,</w:t>
      </w:r>
      <w:r w:rsidR="00AC2ACC">
        <w:t xml:space="preserve"> until recently</w:t>
      </w:r>
      <w:r w:rsidR="004F3DE0">
        <w:t>,</w:t>
      </w:r>
      <w:r>
        <w:t xml:space="preserve"> developed by </w:t>
      </w:r>
      <w:r w:rsidR="001E4B1C">
        <w:t xml:space="preserve">industry skills councils </w:t>
      </w:r>
      <w:r>
        <w:t xml:space="preserve">(ISC). </w:t>
      </w:r>
      <w:r w:rsidR="00403C6C">
        <w:t>T</w:t>
      </w:r>
      <w:r>
        <w:t xml:space="preserve">raining packages are revised and updated periodically to reflect any changes in industry skills demand. </w:t>
      </w:r>
      <w:r w:rsidR="007347ED">
        <w:t xml:space="preserve">From January 2016, </w:t>
      </w:r>
      <w:r w:rsidR="00A14B41">
        <w:t>this role is now performed</w:t>
      </w:r>
      <w:r w:rsidR="007347ED">
        <w:t xml:space="preserve"> by Service Skills Organisations under the direction of Industry Reference Committees. </w:t>
      </w:r>
    </w:p>
    <w:p w:rsidR="004F0FD5" w:rsidRDefault="004F0FD5" w:rsidP="004F0FD5">
      <w:pPr>
        <w:pStyle w:val="Text"/>
      </w:pPr>
      <w:r>
        <w:rPr>
          <w:rFonts w:eastAsia="Trebuchet MS" w:cs="Trebuchet MS"/>
          <w:szCs w:val="19"/>
        </w:rPr>
        <w:t xml:space="preserve">Under the AQF there are </w:t>
      </w:r>
      <w:r w:rsidR="002C511D">
        <w:rPr>
          <w:rFonts w:eastAsia="Trebuchet MS" w:cs="Trebuchet MS"/>
          <w:szCs w:val="19"/>
        </w:rPr>
        <w:t xml:space="preserve">ten </w:t>
      </w:r>
      <w:r>
        <w:rPr>
          <w:rFonts w:eastAsia="Trebuchet MS" w:cs="Trebuchet MS"/>
          <w:szCs w:val="19"/>
        </w:rPr>
        <w:t>qual</w:t>
      </w:r>
      <w:r w:rsidR="001E4B1C">
        <w:rPr>
          <w:rFonts w:eastAsia="Trebuchet MS" w:cs="Trebuchet MS"/>
          <w:szCs w:val="19"/>
        </w:rPr>
        <w:t>ification levels, ranging from c</w:t>
      </w:r>
      <w:r>
        <w:rPr>
          <w:rFonts w:eastAsia="Trebuchet MS" w:cs="Trebuchet MS"/>
          <w:szCs w:val="19"/>
        </w:rPr>
        <w:t xml:space="preserve">ertificates to </w:t>
      </w:r>
      <w:r w:rsidR="002C511D">
        <w:rPr>
          <w:rFonts w:eastAsia="Trebuchet MS" w:cs="Trebuchet MS"/>
          <w:szCs w:val="19"/>
        </w:rPr>
        <w:t>higher education degrees</w:t>
      </w:r>
      <w:r>
        <w:rPr>
          <w:rFonts w:eastAsia="Trebuchet MS" w:cs="Trebuchet MS"/>
          <w:szCs w:val="19"/>
        </w:rPr>
        <w:t>. The specifi</w:t>
      </w:r>
      <w:r w:rsidR="001E4B1C">
        <w:rPr>
          <w:rFonts w:eastAsia="Trebuchet MS" w:cs="Trebuchet MS"/>
          <w:szCs w:val="19"/>
        </w:rPr>
        <w:t>ed outcomes for the first four c</w:t>
      </w:r>
      <w:r>
        <w:rPr>
          <w:rFonts w:eastAsia="Trebuchet MS" w:cs="Trebuchet MS"/>
          <w:szCs w:val="19"/>
        </w:rPr>
        <w:t>ertificate levels, which take the worker up to supervisory status, are as follows:</w:t>
      </w:r>
    </w:p>
    <w:p w:rsidR="004F0FD5" w:rsidRDefault="001E4B1C" w:rsidP="00856034">
      <w:pPr>
        <w:pStyle w:val="Dotpoint1"/>
        <w:tabs>
          <w:tab w:val="clear" w:pos="284"/>
        </w:tabs>
        <w:spacing w:before="80"/>
      </w:pPr>
      <w:r w:rsidRPr="001E4B1C">
        <w:rPr>
          <w:rFonts w:eastAsia="Trebuchet MS"/>
          <w:i/>
        </w:rPr>
        <w:t>C</w:t>
      </w:r>
      <w:r w:rsidR="004F0FD5" w:rsidRPr="001E4B1C">
        <w:rPr>
          <w:rFonts w:eastAsia="Trebuchet MS"/>
          <w:i/>
        </w:rPr>
        <w:t>ertificate I</w:t>
      </w:r>
      <w:r w:rsidRPr="001E4B1C">
        <w:rPr>
          <w:rFonts w:eastAsia="Trebuchet MS"/>
        </w:rPr>
        <w:t>:</w:t>
      </w:r>
      <w:r w:rsidR="004F0FD5">
        <w:rPr>
          <w:rFonts w:eastAsia="Trebuchet MS"/>
        </w:rPr>
        <w:t xml:space="preserve"> the learner demonstrates a breadth, depth and complexity of knowledge and skills to perform a defined range of routine and predictable activities.</w:t>
      </w:r>
    </w:p>
    <w:p w:rsidR="004F0FD5" w:rsidRDefault="001E4B1C" w:rsidP="00856034">
      <w:pPr>
        <w:pStyle w:val="Dotpoint1"/>
        <w:tabs>
          <w:tab w:val="clear" w:pos="284"/>
        </w:tabs>
        <w:spacing w:before="80"/>
      </w:pPr>
      <w:r>
        <w:rPr>
          <w:rFonts w:eastAsia="Trebuchet MS"/>
          <w:i/>
        </w:rPr>
        <w:t>C</w:t>
      </w:r>
      <w:r w:rsidR="004F0FD5" w:rsidRPr="001E4B1C">
        <w:rPr>
          <w:rFonts w:eastAsia="Trebuchet MS"/>
          <w:i/>
        </w:rPr>
        <w:t>ertificate II</w:t>
      </w:r>
      <w:r w:rsidRPr="001E4B1C">
        <w:rPr>
          <w:rFonts w:eastAsia="Trebuchet MS"/>
        </w:rPr>
        <w:t>:</w:t>
      </w:r>
      <w:r w:rsidR="004F0FD5">
        <w:rPr>
          <w:rFonts w:eastAsia="Trebuchet MS"/>
        </w:rPr>
        <w:t xml:space="preserve"> </w:t>
      </w:r>
      <w:r>
        <w:rPr>
          <w:rFonts w:eastAsia="Trebuchet MS"/>
        </w:rPr>
        <w:t xml:space="preserve">this level </w:t>
      </w:r>
      <w:r w:rsidR="004F0FD5">
        <w:rPr>
          <w:rFonts w:eastAsia="Trebuchet MS"/>
        </w:rPr>
        <w:t>expands on th</w:t>
      </w:r>
      <w:r>
        <w:rPr>
          <w:rFonts w:eastAsia="Trebuchet MS"/>
        </w:rPr>
        <w:t>e previous level</w:t>
      </w:r>
      <w:r w:rsidR="004F0FD5">
        <w:rPr>
          <w:rFonts w:eastAsia="Trebuchet MS"/>
        </w:rPr>
        <w:t>.</w:t>
      </w:r>
    </w:p>
    <w:p w:rsidR="004F0FD5" w:rsidRDefault="001E4B1C" w:rsidP="00856034">
      <w:pPr>
        <w:pStyle w:val="Dotpoint1"/>
        <w:tabs>
          <w:tab w:val="clear" w:pos="284"/>
        </w:tabs>
        <w:spacing w:before="80"/>
        <w:ind w:left="357" w:hanging="357"/>
      </w:pPr>
      <w:r>
        <w:rPr>
          <w:rFonts w:eastAsia="Trebuchet MS"/>
          <w:i/>
        </w:rPr>
        <w:t>C</w:t>
      </w:r>
      <w:r w:rsidR="004F0FD5" w:rsidRPr="001E4B1C">
        <w:rPr>
          <w:rFonts w:eastAsia="Trebuchet MS"/>
          <w:i/>
        </w:rPr>
        <w:t>ertificate III</w:t>
      </w:r>
      <w:r w:rsidRPr="001E4B1C">
        <w:rPr>
          <w:rFonts w:eastAsia="Trebuchet MS"/>
        </w:rPr>
        <w:t>:</w:t>
      </w:r>
      <w:r w:rsidR="004F0FD5">
        <w:rPr>
          <w:rFonts w:eastAsia="Trebuchet MS"/>
        </w:rPr>
        <w:t xml:space="preserve"> </w:t>
      </w:r>
      <w:r>
        <w:rPr>
          <w:rFonts w:eastAsia="Trebuchet MS"/>
        </w:rPr>
        <w:t xml:space="preserve">this level </w:t>
      </w:r>
      <w:r w:rsidR="004F0FD5">
        <w:rPr>
          <w:rFonts w:eastAsia="Trebuchet MS"/>
        </w:rPr>
        <w:t>extends the skills and knowledge to new environments and provides technical advice and some leadership.</w:t>
      </w:r>
    </w:p>
    <w:p w:rsidR="004F0FD5" w:rsidRDefault="001E4B1C" w:rsidP="00856034">
      <w:pPr>
        <w:pStyle w:val="Dotpoint1"/>
        <w:tabs>
          <w:tab w:val="clear" w:pos="284"/>
        </w:tabs>
        <w:spacing w:before="80"/>
        <w:ind w:left="357" w:hanging="357"/>
      </w:pPr>
      <w:r>
        <w:rPr>
          <w:rFonts w:eastAsia="Trebuchet MS"/>
          <w:i/>
        </w:rPr>
        <w:t>C</w:t>
      </w:r>
      <w:r w:rsidR="004F0FD5" w:rsidRPr="001E4B1C">
        <w:rPr>
          <w:rFonts w:eastAsia="Trebuchet MS"/>
          <w:i/>
        </w:rPr>
        <w:t>ertificate IV</w:t>
      </w:r>
      <w:r>
        <w:rPr>
          <w:rFonts w:eastAsia="Trebuchet MS"/>
        </w:rPr>
        <w:t>:</w:t>
      </w:r>
      <w:r w:rsidR="00EE6D72">
        <w:rPr>
          <w:rFonts w:eastAsia="Trebuchet MS"/>
        </w:rPr>
        <w:t xml:space="preserve"> </w:t>
      </w:r>
      <w:r>
        <w:rPr>
          <w:rFonts w:eastAsia="Trebuchet MS"/>
        </w:rPr>
        <w:t>in this level</w:t>
      </w:r>
      <w:r w:rsidR="004F0FD5">
        <w:rPr>
          <w:rFonts w:eastAsia="Trebuchet MS"/>
        </w:rPr>
        <w:t xml:space="preserve"> a variety of contexts </w:t>
      </w:r>
      <w:r w:rsidR="00481A18">
        <w:rPr>
          <w:rFonts w:eastAsia="Trebuchet MS"/>
        </w:rPr>
        <w:t>is</w:t>
      </w:r>
      <w:r>
        <w:rPr>
          <w:rFonts w:eastAsia="Trebuchet MS"/>
        </w:rPr>
        <w:t xml:space="preserve"> introduced </w:t>
      </w:r>
      <w:r w:rsidR="004F0FD5">
        <w:rPr>
          <w:rFonts w:eastAsia="Trebuchet MS"/>
        </w:rPr>
        <w:t xml:space="preserve">that are complex and non-routine and require some leadership and guidance </w:t>
      </w:r>
      <w:r w:rsidR="00FB390A">
        <w:rPr>
          <w:rFonts w:eastAsia="Trebuchet MS"/>
        </w:rPr>
        <w:t>from</w:t>
      </w:r>
      <w:r w:rsidR="00481A18">
        <w:rPr>
          <w:rFonts w:eastAsia="Trebuchet MS"/>
        </w:rPr>
        <w:t xml:space="preserve"> others;</w:t>
      </w:r>
      <w:r w:rsidR="004F0FD5">
        <w:rPr>
          <w:rFonts w:eastAsia="Trebuchet MS"/>
        </w:rPr>
        <w:t xml:space="preserve"> often regarded as </w:t>
      </w:r>
      <w:r w:rsidR="00481A18">
        <w:rPr>
          <w:rFonts w:eastAsia="Trebuchet MS"/>
        </w:rPr>
        <w:t xml:space="preserve">a </w:t>
      </w:r>
      <w:r w:rsidR="004F0FD5">
        <w:rPr>
          <w:rFonts w:eastAsia="Trebuchet MS"/>
        </w:rPr>
        <w:t>supervisory</w:t>
      </w:r>
      <w:r w:rsidR="00481A18">
        <w:rPr>
          <w:rFonts w:eastAsia="Trebuchet MS"/>
        </w:rPr>
        <w:t xml:space="preserve"> level</w:t>
      </w:r>
      <w:r w:rsidR="004F0FD5">
        <w:rPr>
          <w:rFonts w:eastAsia="Trebuchet MS"/>
        </w:rPr>
        <w:t>.</w:t>
      </w:r>
    </w:p>
    <w:p w:rsidR="004F0FD5" w:rsidRDefault="003C3121" w:rsidP="004F0FD5">
      <w:pPr>
        <w:pStyle w:val="Text"/>
      </w:pPr>
      <w:r>
        <w:t>T</w:t>
      </w:r>
      <w:r w:rsidR="004F0FD5">
        <w:t>raining packages are fully modularised to allow for considerable flexibility and customisation for employers, training providers and their trainers</w:t>
      </w:r>
      <w:r w:rsidR="00E24A3B">
        <w:t>,</w:t>
      </w:r>
      <w:r w:rsidR="004F0FD5">
        <w:t xml:space="preserve"> as well as trainees. </w:t>
      </w:r>
      <w:r w:rsidR="00403C6C">
        <w:t>The</w:t>
      </w:r>
      <w:r w:rsidR="004F0FD5">
        <w:t xml:space="preserve"> VET system </w:t>
      </w:r>
      <w:r w:rsidR="00221180">
        <w:t xml:space="preserve">also </w:t>
      </w:r>
      <w:r w:rsidR="004F0FD5">
        <w:t xml:space="preserve">allows students to obtain </w:t>
      </w:r>
      <w:r w:rsidR="001E4B1C">
        <w:t>skill sets,</w:t>
      </w:r>
      <w:r w:rsidR="001E4B1C">
        <w:rPr>
          <w:noProof/>
        </w:rPr>
        <w:t xml:space="preserve"> </w:t>
      </w:r>
      <w:r>
        <w:rPr>
          <w:noProof/>
        </w:rPr>
        <w:t>which may be</w:t>
      </w:r>
      <w:r w:rsidR="004F0FD5" w:rsidRPr="00CD4EEA">
        <w:rPr>
          <w:noProof/>
        </w:rPr>
        <w:t xml:space="preserve"> required by a stud</w:t>
      </w:r>
      <w:r w:rsidR="00C20869">
        <w:rPr>
          <w:noProof/>
        </w:rPr>
        <w:t xml:space="preserve">ent to meet industry needs or </w:t>
      </w:r>
      <w:r w:rsidR="004F0FD5" w:rsidRPr="00CD4EEA">
        <w:rPr>
          <w:noProof/>
        </w:rPr>
        <w:t>licensing or regulatory requirement</w:t>
      </w:r>
      <w:r w:rsidR="00C20869">
        <w:rPr>
          <w:noProof/>
        </w:rPr>
        <w:t>s</w:t>
      </w:r>
      <w:r w:rsidR="004F0FD5" w:rsidRPr="00CD4EEA">
        <w:rPr>
          <w:noProof/>
        </w:rPr>
        <w:t xml:space="preserve"> (</w:t>
      </w:r>
      <w:r w:rsidR="00E37D9A" w:rsidRPr="00CD4EEA">
        <w:rPr>
          <w:noProof/>
        </w:rPr>
        <w:t>Department of Education, Science and Training 2005</w:t>
      </w:r>
      <w:r w:rsidR="00911015">
        <w:rPr>
          <w:noProof/>
        </w:rPr>
        <w:t>);</w:t>
      </w:r>
      <w:r>
        <w:rPr>
          <w:noProof/>
        </w:rPr>
        <w:t xml:space="preserve"> however</w:t>
      </w:r>
      <w:r w:rsidR="004F0FD5">
        <w:t xml:space="preserve">, </w:t>
      </w:r>
      <w:r w:rsidR="00283714">
        <w:t xml:space="preserve">skill sets </w:t>
      </w:r>
      <w:r w:rsidR="004F0FD5">
        <w:t xml:space="preserve">are not </w:t>
      </w:r>
      <w:r>
        <w:t xml:space="preserve">formal </w:t>
      </w:r>
      <w:r w:rsidR="004F0FD5">
        <w:t xml:space="preserve">qualifications. </w:t>
      </w:r>
      <w:r w:rsidR="004F0FD5" w:rsidRPr="00CD4EEA">
        <w:rPr>
          <w:noProof/>
        </w:rPr>
        <w:t>This presents</w:t>
      </w:r>
      <w:r w:rsidR="004F0FD5">
        <w:t xml:space="preserve"> concerns for occupational mobility</w:t>
      </w:r>
      <w:r w:rsidR="00283714">
        <w:t>,</w:t>
      </w:r>
      <w:r w:rsidR="004F0FD5">
        <w:t xml:space="preserve"> given that </w:t>
      </w:r>
      <w:r w:rsidR="00283714">
        <w:t xml:space="preserve">skill sets </w:t>
      </w:r>
      <w:r w:rsidR="004F0FD5">
        <w:t xml:space="preserve">obtained in one industry may not </w:t>
      </w:r>
      <w:r w:rsidR="004F0FD5" w:rsidRPr="00CD4EEA">
        <w:rPr>
          <w:noProof/>
        </w:rPr>
        <w:t>be formally recognised</w:t>
      </w:r>
      <w:r w:rsidR="00283714">
        <w:t xml:space="preserve"> </w:t>
      </w:r>
      <w:r w:rsidR="004F0FD5">
        <w:t xml:space="preserve">in another. It is for this reason that we focus on qualifications as the unit of analysis, rather than </w:t>
      </w:r>
      <w:r w:rsidR="00283714">
        <w:t>skill sets</w:t>
      </w:r>
      <w:r w:rsidR="004F0FD5">
        <w:t xml:space="preserve">. That said, the system is designed to enable a degree of skills transferability, with the intention of creating a flexible workforce capable of productive employment across a </w:t>
      </w:r>
      <w:r w:rsidR="004F0FD5" w:rsidRPr="00CD4EEA">
        <w:rPr>
          <w:noProof/>
        </w:rPr>
        <w:t>wide</w:t>
      </w:r>
      <w:r w:rsidR="004F0FD5">
        <w:t xml:space="preserve"> range of occupations</w:t>
      </w:r>
      <w:r w:rsidR="00FB390A">
        <w:t>,</w:t>
      </w:r>
      <w:r w:rsidR="00420EEF">
        <w:t xml:space="preserve"> </w:t>
      </w:r>
      <w:r w:rsidR="004F0FD5">
        <w:t>achieved through a set of ‘employability skills’</w:t>
      </w:r>
      <w:r w:rsidR="00481A18">
        <w:t>,</w:t>
      </w:r>
      <w:r w:rsidR="004F0FD5">
        <w:t xml:space="preserve"> commonly built into every training qualification.</w:t>
      </w:r>
    </w:p>
    <w:p w:rsidR="004F0FD5" w:rsidRPr="0043011B" w:rsidRDefault="004F0FD5" w:rsidP="004F0FD5">
      <w:pPr>
        <w:pStyle w:val="Heading3"/>
      </w:pPr>
      <w:bookmarkStart w:id="40" w:name="h.49x2ik5" w:colFirst="0" w:colLast="0"/>
      <w:bookmarkEnd w:id="40"/>
      <w:r w:rsidRPr="0043011B">
        <w:t>Employability skills</w:t>
      </w:r>
    </w:p>
    <w:p w:rsidR="004F0FD5" w:rsidRDefault="004F0FD5" w:rsidP="004F0FD5">
      <w:pPr>
        <w:pStyle w:val="Text"/>
      </w:pPr>
      <w:r w:rsidRPr="0043011B">
        <w:rPr>
          <w:noProof/>
        </w:rPr>
        <w:t>Employability skills</w:t>
      </w:r>
      <w:r w:rsidR="00283714">
        <w:rPr>
          <w:noProof/>
        </w:rPr>
        <w:t xml:space="preserve"> </w:t>
      </w:r>
      <w:r w:rsidRPr="0043011B">
        <w:rPr>
          <w:noProof/>
        </w:rPr>
        <w:t>in</w:t>
      </w:r>
      <w:r w:rsidRPr="00CD4EEA">
        <w:rPr>
          <w:noProof/>
        </w:rPr>
        <w:t xml:space="preserve"> the Australian training context began in the form of key competencies, which were introduced into the training system through the Finn </w:t>
      </w:r>
      <w:r w:rsidR="00FB390A">
        <w:rPr>
          <w:noProof/>
        </w:rPr>
        <w:t>R</w:t>
      </w:r>
      <w:r w:rsidR="003B77B6" w:rsidRPr="00CD4EEA">
        <w:rPr>
          <w:noProof/>
        </w:rPr>
        <w:t>eview of post-compulsory education and training</w:t>
      </w:r>
      <w:r w:rsidRPr="00CD4EEA">
        <w:rPr>
          <w:noProof/>
        </w:rPr>
        <w:t xml:space="preserve"> (1991)</w:t>
      </w:r>
      <w:r w:rsidR="00E24A3B" w:rsidRPr="00CD4EEA">
        <w:rPr>
          <w:noProof/>
        </w:rPr>
        <w:t>,</w:t>
      </w:r>
      <w:r w:rsidRPr="00CD4EEA">
        <w:rPr>
          <w:noProof/>
        </w:rPr>
        <w:t xml:space="preserve"> and further refined by the Mayer Committee (</w:t>
      </w:r>
      <w:r w:rsidR="00283714">
        <w:rPr>
          <w:noProof/>
        </w:rPr>
        <w:t xml:space="preserve">Mayer </w:t>
      </w:r>
      <w:r w:rsidRPr="00CD4EEA">
        <w:rPr>
          <w:noProof/>
        </w:rPr>
        <w:t>1992).</w:t>
      </w:r>
      <w:r>
        <w:t xml:space="preserve"> They </w:t>
      </w:r>
      <w:r w:rsidRPr="00CD4EEA">
        <w:rPr>
          <w:noProof/>
        </w:rPr>
        <w:t>were designated</w:t>
      </w:r>
      <w:r>
        <w:t xml:space="preserve"> as essential preparation for </w:t>
      </w:r>
      <w:r w:rsidRPr="00CD4EEA">
        <w:rPr>
          <w:noProof/>
        </w:rPr>
        <w:t>employment</w:t>
      </w:r>
      <w:r>
        <w:t xml:space="preserve"> and were thus designed to be more generic to work</w:t>
      </w:r>
      <w:r w:rsidR="00E24A3B">
        <w:t>,</w:t>
      </w:r>
      <w:r>
        <w:t xml:space="preserve"> rather than </w:t>
      </w:r>
      <w:r w:rsidRPr="00CD4EEA">
        <w:rPr>
          <w:noProof/>
        </w:rPr>
        <w:t>specific</w:t>
      </w:r>
      <w:r>
        <w:t xml:space="preserve"> to any industry or occupation.</w:t>
      </w:r>
      <w:r w:rsidR="003A22D7">
        <w:t xml:space="preserve"> </w:t>
      </w:r>
      <w:r>
        <w:t xml:space="preserve">Following the endorsement of the </w:t>
      </w:r>
      <w:r w:rsidR="00FB390A" w:rsidRPr="00CD4EEA">
        <w:rPr>
          <w:noProof/>
        </w:rPr>
        <w:t xml:space="preserve">Employability Skills </w:t>
      </w:r>
      <w:r w:rsidR="00FB390A">
        <w:t xml:space="preserve">Framework </w:t>
      </w:r>
      <w:r>
        <w:t xml:space="preserve">in 2005, </w:t>
      </w:r>
      <w:r w:rsidR="00FB390A">
        <w:t xml:space="preserve">the key competencies have now been replaced by </w:t>
      </w:r>
      <w:r>
        <w:t>the identified employability skills (</w:t>
      </w:r>
      <w:r w:rsidR="005F3A21">
        <w:t>Australian Chamber of Commerce and Industry &amp; Business Council of Australia 2002, p.7</w:t>
      </w:r>
      <w:r w:rsidR="00CD3049">
        <w:rPr>
          <w:rStyle w:val="CommentReference"/>
          <w:rFonts w:ascii="Times New Roman" w:hAnsi="Times New Roman"/>
          <w:lang w:eastAsia="en-AU"/>
        </w:rPr>
        <w:t>)</w:t>
      </w:r>
      <w:r>
        <w:t xml:space="preserve">. </w:t>
      </w:r>
      <w:r w:rsidR="00FB390A">
        <w:rPr>
          <w:noProof/>
        </w:rPr>
        <w:t>Employability skills are e</w:t>
      </w:r>
      <w:r w:rsidR="00DF225A" w:rsidRPr="00CD4EEA">
        <w:rPr>
          <w:noProof/>
        </w:rPr>
        <w:t>mbedded</w:t>
      </w:r>
      <w:r w:rsidR="00DF225A">
        <w:t xml:space="preserve"> into training packages in such a way that they form an essential part of VET tr</w:t>
      </w:r>
      <w:r w:rsidR="00FB390A">
        <w:t>aining performance requirements.</w:t>
      </w:r>
      <w:r w:rsidR="00DF225A">
        <w:t xml:space="preserve"> </w:t>
      </w:r>
      <w:r w:rsidR="00FB390A">
        <w:t>T</w:t>
      </w:r>
      <w:r w:rsidR="00DF225A">
        <w:t>here are eight skills in all</w:t>
      </w:r>
      <w:r>
        <w:t>:</w:t>
      </w:r>
    </w:p>
    <w:p w:rsidR="004F0FD5" w:rsidRDefault="005F3A21" w:rsidP="00856034">
      <w:pPr>
        <w:pStyle w:val="Dotpoint1"/>
        <w:spacing w:before="80"/>
        <w:ind w:left="357" w:hanging="357"/>
      </w:pPr>
      <w:r>
        <w:rPr>
          <w:rFonts w:eastAsia="Trebuchet MS"/>
        </w:rPr>
        <w:t>communication</w:t>
      </w:r>
    </w:p>
    <w:p w:rsidR="004F0FD5" w:rsidRDefault="005F3A21" w:rsidP="00856034">
      <w:pPr>
        <w:pStyle w:val="Dotpoint1"/>
        <w:spacing w:before="80"/>
        <w:ind w:left="357" w:hanging="357"/>
      </w:pPr>
      <w:r>
        <w:rPr>
          <w:rFonts w:eastAsia="Trebuchet MS"/>
        </w:rPr>
        <w:t>teamwork</w:t>
      </w:r>
    </w:p>
    <w:p w:rsidR="004F0FD5" w:rsidRDefault="00FB390A" w:rsidP="00856034">
      <w:pPr>
        <w:pStyle w:val="Dotpoint1"/>
        <w:spacing w:before="80"/>
        <w:ind w:left="357" w:hanging="357"/>
      </w:pPr>
      <w:r>
        <w:rPr>
          <w:rFonts w:eastAsia="Trebuchet MS"/>
        </w:rPr>
        <w:t>problem-</w:t>
      </w:r>
      <w:r w:rsidR="005F3A21">
        <w:rPr>
          <w:rFonts w:eastAsia="Trebuchet MS"/>
        </w:rPr>
        <w:t>solving</w:t>
      </w:r>
    </w:p>
    <w:p w:rsidR="004F0FD5" w:rsidRDefault="005F3A21" w:rsidP="00856034">
      <w:pPr>
        <w:pStyle w:val="Dotpoint1"/>
        <w:spacing w:before="80"/>
        <w:ind w:left="357" w:hanging="357"/>
      </w:pPr>
      <w:r>
        <w:rPr>
          <w:rFonts w:eastAsia="Trebuchet MS"/>
        </w:rPr>
        <w:t>initiative and enterprise</w:t>
      </w:r>
    </w:p>
    <w:p w:rsidR="004F0FD5" w:rsidRDefault="005F3A21" w:rsidP="00856034">
      <w:pPr>
        <w:pStyle w:val="Dotpoint1"/>
        <w:spacing w:before="80"/>
        <w:ind w:left="357" w:hanging="357"/>
      </w:pPr>
      <w:r>
        <w:rPr>
          <w:rFonts w:eastAsia="Trebuchet MS"/>
        </w:rPr>
        <w:t>planning and organising</w:t>
      </w:r>
    </w:p>
    <w:p w:rsidR="004F0FD5" w:rsidRDefault="005F3A21" w:rsidP="00856034">
      <w:pPr>
        <w:pStyle w:val="Dotpoint1"/>
        <w:spacing w:before="80"/>
        <w:ind w:left="357" w:hanging="357"/>
      </w:pPr>
      <w:r>
        <w:rPr>
          <w:rFonts w:eastAsia="Trebuchet MS"/>
        </w:rPr>
        <w:t>self-management</w:t>
      </w:r>
    </w:p>
    <w:p w:rsidR="004F0FD5" w:rsidRDefault="005F3A21" w:rsidP="00856034">
      <w:pPr>
        <w:pStyle w:val="Dotpoint1"/>
        <w:spacing w:before="80"/>
        <w:ind w:left="357" w:hanging="357"/>
      </w:pPr>
      <w:r>
        <w:rPr>
          <w:rFonts w:eastAsia="Trebuchet MS"/>
        </w:rPr>
        <w:t>learning</w:t>
      </w:r>
    </w:p>
    <w:p w:rsidR="004F0FD5" w:rsidRDefault="005F3A21" w:rsidP="00856034">
      <w:pPr>
        <w:pStyle w:val="Dotpoint1"/>
        <w:spacing w:before="80"/>
        <w:ind w:left="357" w:hanging="357"/>
      </w:pPr>
      <w:r>
        <w:rPr>
          <w:rFonts w:eastAsia="Trebuchet MS"/>
        </w:rPr>
        <w:t>technology.</w:t>
      </w:r>
    </w:p>
    <w:p w:rsidR="00FB390A" w:rsidRDefault="004F0FD5" w:rsidP="004F0FD5">
      <w:pPr>
        <w:pStyle w:val="Text"/>
      </w:pPr>
      <w:r>
        <w:t>To facilitate a degree o</w:t>
      </w:r>
      <w:r w:rsidR="007312B7">
        <w:t>f occupational specificity, the skills</w:t>
      </w:r>
      <w:r>
        <w:t xml:space="preserve"> allow for customisation to specific indus</w:t>
      </w:r>
      <w:r w:rsidR="00FB390A">
        <w:t>try skill requirements, meaning that</w:t>
      </w:r>
      <w:r>
        <w:t xml:space="preserve"> the various </w:t>
      </w:r>
      <w:r w:rsidR="005F3A21">
        <w:t xml:space="preserve">industry skills councils </w:t>
      </w:r>
      <w:r>
        <w:t>have the ability to interpret the skills in their training packages differently.</w:t>
      </w:r>
      <w:r w:rsidR="00FB390A">
        <w:t xml:space="preserve"> T</w:t>
      </w:r>
      <w:r>
        <w:t>he current VET system</w:t>
      </w:r>
      <w:r w:rsidR="00FB390A">
        <w:t xml:space="preserve"> is</w:t>
      </w:r>
      <w:r>
        <w:t xml:space="preserve"> characterised by strong industry </w:t>
      </w:r>
      <w:r w:rsidR="007312B7">
        <w:t>input into</w:t>
      </w:r>
      <w:r w:rsidR="00FB390A">
        <w:t xml:space="preserve"> the nature of </w:t>
      </w:r>
      <w:r w:rsidR="0046607C">
        <w:t xml:space="preserve">the </w:t>
      </w:r>
      <w:r w:rsidR="00FB390A">
        <w:t>skills produced</w:t>
      </w:r>
      <w:r w:rsidR="007312B7">
        <w:t xml:space="preserve"> and supports</w:t>
      </w:r>
      <w:r>
        <w:t xml:space="preserve"> clearly demarcated training territories</w:t>
      </w:r>
      <w:r w:rsidR="005F3A21">
        <w:t xml:space="preserve">, </w:t>
      </w:r>
      <w:r w:rsidR="00FB390A">
        <w:t xml:space="preserve">which are </w:t>
      </w:r>
      <w:r w:rsidR="005F3A21">
        <w:t>overseen by industry-</w:t>
      </w:r>
      <w:r>
        <w:t xml:space="preserve">dominated </w:t>
      </w:r>
      <w:r w:rsidR="005F3A21">
        <w:t>skills councils</w:t>
      </w:r>
      <w:r w:rsidR="00FB390A">
        <w:t xml:space="preserve">. </w:t>
      </w:r>
      <w:r w:rsidR="0046607C">
        <w:t>The claim t</w:t>
      </w:r>
      <w:r w:rsidR="007312B7">
        <w:t>hat</w:t>
      </w:r>
      <w:r w:rsidR="00FB390A">
        <w:t xml:space="preserve"> </w:t>
      </w:r>
      <w:r>
        <w:t>employability skil</w:t>
      </w:r>
      <w:r w:rsidR="007312B7">
        <w:t>ls are</w:t>
      </w:r>
      <w:r>
        <w:t xml:space="preserve"> truly generic is </w:t>
      </w:r>
      <w:r w:rsidR="00FB390A">
        <w:t xml:space="preserve">therefore </w:t>
      </w:r>
      <w:r>
        <w:t>debatable. In line with recent research into the failures of the Employability Skills Framework (Hutchinson 2012</w:t>
      </w:r>
      <w:r w:rsidR="00FC5A45">
        <w:t>; Department of Industry, Innovation, Climate Change, Science, Research and Tertiary Education 2013</w:t>
      </w:r>
      <w:r>
        <w:t>), the fi</w:t>
      </w:r>
      <w:r w:rsidR="005F3A21">
        <w:t>ndings from this study indicate</w:t>
      </w:r>
      <w:r>
        <w:t xml:space="preserve"> that the situation </w:t>
      </w:r>
      <w:r w:rsidR="005F3A21">
        <w:t>is far more complex and context-</w:t>
      </w:r>
      <w:r>
        <w:t>dependent, pointing to the possible need for employability</w:t>
      </w:r>
      <w:r w:rsidR="00FB390A">
        <w:t xml:space="preserve"> skills to be reconceptualised.</w:t>
      </w:r>
    </w:p>
    <w:p w:rsidR="004F0FD5" w:rsidRDefault="004F0FD5" w:rsidP="004F0FD5">
      <w:pPr>
        <w:pStyle w:val="Text"/>
      </w:pPr>
      <w:r>
        <w:t>Hutchinson (2012) provides an alternative in the Core Skills</w:t>
      </w:r>
      <w:r w:rsidR="005F3A21">
        <w:t xml:space="preserve"> for Work framework, which was ‘</w:t>
      </w:r>
      <w:r>
        <w:t xml:space="preserve">designed to make more </w:t>
      </w:r>
      <w:r w:rsidRPr="0006449D">
        <w:t>clear and explicit a set of non-technical skills and knowledge that underpin successful participation</w:t>
      </w:r>
      <w:r w:rsidR="005F3A21">
        <w:t xml:space="preserve"> in work’</w:t>
      </w:r>
      <w:r w:rsidR="00C25B0A">
        <w:t xml:space="preserve"> (p.6)</w:t>
      </w:r>
      <w:r w:rsidR="00FB390A">
        <w:t>. T</w:t>
      </w:r>
      <w:r>
        <w:t xml:space="preserve">hese skills </w:t>
      </w:r>
      <w:r w:rsidR="00FB390A">
        <w:t>are organised into three clusters</w:t>
      </w:r>
      <w:r>
        <w:t xml:space="preserve">: </w:t>
      </w:r>
      <w:r w:rsidR="005F3A21">
        <w:t>n</w:t>
      </w:r>
      <w:r>
        <w:t>avigat</w:t>
      </w:r>
      <w:r w:rsidR="003B77B6">
        <w:t>i</w:t>
      </w:r>
      <w:r w:rsidR="005F3A21">
        <w:t>ng the world of work;</w:t>
      </w:r>
      <w:r>
        <w:t xml:space="preserve"> </w:t>
      </w:r>
      <w:r w:rsidR="005F3A21">
        <w:t>interacting with others; and g</w:t>
      </w:r>
      <w:r>
        <w:t>ett</w:t>
      </w:r>
      <w:r w:rsidR="003B77B6">
        <w:t>ing</w:t>
      </w:r>
      <w:r>
        <w:t xml:space="preserve"> the work done (</w:t>
      </w:r>
      <w:r w:rsidR="003B77B6">
        <w:t>Hutchinson 2012, pp.</w:t>
      </w:r>
      <w:r w:rsidR="005F3A21">
        <w:t>3—</w:t>
      </w:r>
      <w:r>
        <w:t xml:space="preserve">6). The </w:t>
      </w:r>
      <w:r w:rsidR="00FB390A">
        <w:t xml:space="preserve">Australian </w:t>
      </w:r>
      <w:r>
        <w:t xml:space="preserve">situation is further </w:t>
      </w:r>
      <w:r w:rsidR="00854EAC">
        <w:rPr>
          <w:noProof/>
          <w:lang w:eastAsia="en-AU"/>
        </w:rPr>
        <mc:AlternateContent>
          <mc:Choice Requires="wps">
            <w:drawing>
              <wp:anchor distT="0" distB="0" distL="114300" distR="114300" simplePos="0" relativeHeight="252058624" behindDoc="0" locked="1" layoutInCell="1" allowOverlap="1" wp14:anchorId="6FAC81B2" wp14:editId="47F87F14">
                <wp:simplePos x="0" y="0"/>
                <wp:positionH relativeFrom="outsideMargin">
                  <wp:posOffset>315595</wp:posOffset>
                </wp:positionH>
                <wp:positionV relativeFrom="page">
                  <wp:posOffset>823595</wp:posOffset>
                </wp:positionV>
                <wp:extent cx="1320800" cy="2663825"/>
                <wp:effectExtent l="0" t="0" r="0" b="317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663825"/>
                        </a:xfrm>
                        <a:prstGeom prst="rect">
                          <a:avLst/>
                        </a:prstGeom>
                        <a:noFill/>
                        <a:ln w="6350">
                          <a:noFill/>
                        </a:ln>
                        <a:effectLst>
                          <a:outerShdw blurRad="152400" dist="317500" dir="5400000" sx="90000" sy="-19000" rotWithShape="0">
                            <a:prstClr val="black">
                              <a:alpha val="15000"/>
                            </a:prstClr>
                          </a:outerShdw>
                        </a:effectLst>
                      </wps:spPr>
                      <wps:txbx>
                        <w:txbxContent>
                          <w:p w:rsidR="00396053" w:rsidRPr="00543BFF" w:rsidRDefault="00396053" w:rsidP="0005058D">
                            <w:pPr>
                              <w:pStyle w:val="PullQuote"/>
                            </w:pPr>
                            <w:r>
                              <w:t>The ability of qualification holders to apply their [skills] in different work contexts across industries and occupations should not be taken for granted.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7" type="#_x0000_t202" style="position:absolute;margin-left:24.85pt;margin-top:64.85pt;width:104pt;height:209.75pt;z-index:25205862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" filled="f" stroked="f" strokeweight=".5pt">
                <v:shadow on="t" type="perspective" color="black" opacity="9830f" origin=",.5" offset="0,25pt" matrix="58982f,,,-12452f"/>
                <v:path arrowok="t"/>
                <v:textbox inset="10mm">
                  <w:txbxContent>
                    <w:p w:rsidR="00396053" w:rsidRPr="00543BFF" w:rsidRDefault="00396053" w:rsidP="0005058D">
                      <w:pPr>
                        <w:pStyle w:val="PullQuote"/>
                      </w:pPr>
                      <w:r>
                        <w:t>The ability of qualification holders to apply their [skills] in different work contexts across industries and occupations should not be taken for granted.</w:t>
                      </w:r>
                    </w:p>
                  </w:txbxContent>
                </v:textbox>
                <w10:wrap anchorx="margin" anchory="page"/>
                <w10:anchorlock/>
              </v:shape>
            </w:pict>
          </mc:Fallback>
        </mc:AlternateContent>
      </w:r>
      <w:r>
        <w:t>complicated by an i</w:t>
      </w:r>
      <w:r w:rsidR="005F3A21">
        <w:t xml:space="preserve">ncreasingly market-driven ‘user </w:t>
      </w:r>
      <w:r>
        <w:t>choice’ training system</w:t>
      </w:r>
      <w:r w:rsidR="00FB390A">
        <w:t>,</w:t>
      </w:r>
      <w:r>
        <w:t xml:space="preserve"> comprising many privately owned </w:t>
      </w:r>
      <w:r w:rsidR="005F3A21">
        <w:t>registered training organisations (RTOs) and employer-</w:t>
      </w:r>
      <w:r>
        <w:t xml:space="preserve">operated </w:t>
      </w:r>
      <w:r w:rsidR="005F3A21">
        <w:t xml:space="preserve">enterprise training organisations </w:t>
      </w:r>
      <w:r>
        <w:t xml:space="preserve">(ETOs), with wide discretion on whether and how to apply training packages. Through these institutions, employers have increasingly sought to develop narrowly defined </w:t>
      </w:r>
      <w:r w:rsidR="00664812">
        <w:t>skill sets</w:t>
      </w:r>
      <w:r w:rsidR="00FB390A">
        <w:t>.</w:t>
      </w:r>
      <w:r w:rsidR="00664812">
        <w:t xml:space="preserve"> </w:t>
      </w:r>
      <w:r w:rsidR="00FB390A">
        <w:t>(S</w:t>
      </w:r>
      <w:r>
        <w:t>ee Gekara</w:t>
      </w:r>
      <w:r w:rsidR="00664812">
        <w:t xml:space="preserve"> et al.</w:t>
      </w:r>
      <w:r>
        <w:t xml:space="preserve"> 2014 for a discussion on the skills quality i</w:t>
      </w:r>
      <w:r w:rsidR="00FB390A">
        <w:t>mplications of these practices.)</w:t>
      </w:r>
      <w:r>
        <w:t xml:space="preserve"> </w:t>
      </w:r>
    </w:p>
    <w:p w:rsidR="004F0FD5" w:rsidRDefault="004F0FD5" w:rsidP="004F0FD5">
      <w:pPr>
        <w:pStyle w:val="Text"/>
      </w:pPr>
      <w:r>
        <w:t xml:space="preserve">The construction of employability skills has changed over the years since the Mayer </w:t>
      </w:r>
      <w:r w:rsidR="00664812">
        <w:t xml:space="preserve">(1992) </w:t>
      </w:r>
      <w:r>
        <w:t>report because of this wide discretion. From a situation where they were explicitly written into the qualification training structures as key competencies/units, they are now mostly implicitly constructed and mostly assessed as training outcomes</w:t>
      </w:r>
      <w:r w:rsidR="009F5B09">
        <w:t>,</w:t>
      </w:r>
      <w:r>
        <w:t xml:space="preserve"> as opposed to explicit process inputs. Invariably</w:t>
      </w:r>
      <w:r w:rsidR="00FB390A">
        <w:t>,</w:t>
      </w:r>
      <w:r>
        <w:t xml:space="preserve"> training providers are only required to produce an assessment matrix showing coverage of all employability skills. Thus, </w:t>
      </w:r>
      <w:r w:rsidR="0032329F">
        <w:t xml:space="preserve">irrespective of </w:t>
      </w:r>
      <w:r>
        <w:t xml:space="preserve">whether or not trainees have actually been </w:t>
      </w:r>
      <w:r w:rsidR="009F5B09">
        <w:t>trained i</w:t>
      </w:r>
      <w:r>
        <w:t xml:space="preserve">n these skills, </w:t>
      </w:r>
      <w:r w:rsidR="0032329F">
        <w:t>the assumption is that</w:t>
      </w:r>
      <w:r>
        <w:t xml:space="preserve"> </w:t>
      </w:r>
      <w:r w:rsidR="0032329F">
        <w:t>they</w:t>
      </w:r>
      <w:r>
        <w:t xml:space="preserve"> </w:t>
      </w:r>
      <w:r w:rsidR="004F3DE0">
        <w:t>are</w:t>
      </w:r>
      <w:r>
        <w:t xml:space="preserve"> covered by</w:t>
      </w:r>
      <w:r w:rsidR="00664812">
        <w:t xml:space="preserve"> virtue of their certification. </w:t>
      </w:r>
      <w:r>
        <w:t xml:space="preserve">Therefore, although transferability of these employability skills is a core intention of the system, </w:t>
      </w:r>
      <w:r w:rsidR="0032329F">
        <w:t xml:space="preserve">the </w:t>
      </w:r>
      <w:r w:rsidR="004F3DE0">
        <w:t>ability</w:t>
      </w:r>
      <w:r w:rsidR="0032329F">
        <w:t xml:space="preserve"> of</w:t>
      </w:r>
      <w:r>
        <w:t xml:space="preserve"> qualification holders </w:t>
      </w:r>
      <w:r w:rsidR="0032329F">
        <w:t>to</w:t>
      </w:r>
      <w:r>
        <w:t xml:space="preserve"> apply them in different work contexts ac</w:t>
      </w:r>
      <w:r w:rsidR="0032329F">
        <w:t>ross industries and occupations</w:t>
      </w:r>
      <w:r>
        <w:t xml:space="preserve"> should not be taken for granted.</w:t>
      </w:r>
    </w:p>
    <w:p w:rsidR="004F0FD5" w:rsidRDefault="004F0FD5" w:rsidP="004F0FD5">
      <w:pPr>
        <w:pStyle w:val="Heading3"/>
      </w:pPr>
      <w:r>
        <w:rPr>
          <w:rFonts w:eastAsia="Arial"/>
        </w:rPr>
        <w:t xml:space="preserve">Assessing transferable skills development within the Australian VET system </w:t>
      </w:r>
    </w:p>
    <w:p w:rsidR="004F0FD5" w:rsidRPr="00C038F7" w:rsidRDefault="004F0FD5" w:rsidP="00843A3D">
      <w:pPr>
        <w:pStyle w:val="References"/>
        <w:spacing w:before="160" w:line="300" w:lineRule="exact"/>
        <w:ind w:left="0" w:right="0" w:firstLine="0"/>
        <w:rPr>
          <w:szCs w:val="19"/>
        </w:rPr>
      </w:pPr>
      <w:bookmarkStart w:id="41" w:name="h.6z47zfu05xg" w:colFirst="0" w:colLast="0"/>
      <w:bookmarkEnd w:id="41"/>
      <w:r w:rsidRPr="00856034">
        <w:rPr>
          <w:sz w:val="19"/>
          <w:szCs w:val="19"/>
        </w:rPr>
        <w:t>In assessing tran</w:t>
      </w:r>
      <w:r w:rsidR="00664812">
        <w:rPr>
          <w:sz w:val="19"/>
          <w:szCs w:val="19"/>
        </w:rPr>
        <w:t xml:space="preserve">sferable skills development </w:t>
      </w:r>
      <w:r w:rsidRPr="00856034">
        <w:rPr>
          <w:sz w:val="19"/>
          <w:szCs w:val="19"/>
        </w:rPr>
        <w:t xml:space="preserve">in the Australian VET </w:t>
      </w:r>
      <w:r w:rsidR="00664812">
        <w:rPr>
          <w:sz w:val="19"/>
          <w:szCs w:val="19"/>
        </w:rPr>
        <w:t xml:space="preserve">system, we have set aside </w:t>
      </w:r>
      <w:r w:rsidR="0032329F">
        <w:rPr>
          <w:sz w:val="19"/>
          <w:szCs w:val="19"/>
        </w:rPr>
        <w:t xml:space="preserve">the issues of </w:t>
      </w:r>
      <w:r w:rsidR="00664812">
        <w:rPr>
          <w:sz w:val="19"/>
          <w:szCs w:val="19"/>
        </w:rPr>
        <w:t xml:space="preserve">user choice and training </w:t>
      </w:r>
      <w:r w:rsidRPr="00856034">
        <w:rPr>
          <w:sz w:val="19"/>
          <w:szCs w:val="19"/>
        </w:rPr>
        <w:t>f</w:t>
      </w:r>
      <w:r w:rsidR="00664812">
        <w:rPr>
          <w:sz w:val="19"/>
          <w:szCs w:val="19"/>
        </w:rPr>
        <w:t>lexibility,</w:t>
      </w:r>
      <w:r w:rsidRPr="00856034">
        <w:rPr>
          <w:sz w:val="19"/>
          <w:szCs w:val="19"/>
        </w:rPr>
        <w:t xml:space="preserve"> which are built into the Australian training system and</w:t>
      </w:r>
      <w:r w:rsidR="009F5B09" w:rsidRPr="00856034">
        <w:rPr>
          <w:sz w:val="19"/>
          <w:szCs w:val="19"/>
        </w:rPr>
        <w:t xml:space="preserve"> which</w:t>
      </w:r>
      <w:r w:rsidRPr="00856034">
        <w:rPr>
          <w:sz w:val="19"/>
          <w:szCs w:val="19"/>
        </w:rPr>
        <w:t xml:space="preserve">, as </w:t>
      </w:r>
      <w:r w:rsidR="0046607C">
        <w:rPr>
          <w:sz w:val="19"/>
          <w:szCs w:val="19"/>
        </w:rPr>
        <w:t>indicated</w:t>
      </w:r>
      <w:r w:rsidRPr="00856034">
        <w:rPr>
          <w:sz w:val="19"/>
          <w:szCs w:val="19"/>
        </w:rPr>
        <w:t xml:space="preserve"> above, have implications for how transferable skills are developed in practice. Instead, we focus on how the</w:t>
      </w:r>
      <w:r w:rsidR="0046607C">
        <w:rPr>
          <w:sz w:val="19"/>
          <w:szCs w:val="19"/>
        </w:rPr>
        <w:t xml:space="preserve"> training content contained </w:t>
      </w:r>
      <w:r w:rsidRPr="00856034">
        <w:rPr>
          <w:sz w:val="19"/>
          <w:szCs w:val="19"/>
        </w:rPr>
        <w:t xml:space="preserve">in different qualifications facilitates or impedes </w:t>
      </w:r>
      <w:r w:rsidR="0032329F">
        <w:rPr>
          <w:sz w:val="19"/>
          <w:szCs w:val="19"/>
        </w:rPr>
        <w:t xml:space="preserve">the </w:t>
      </w:r>
      <w:r w:rsidR="0032329F" w:rsidRPr="00856034">
        <w:rPr>
          <w:sz w:val="19"/>
          <w:szCs w:val="19"/>
        </w:rPr>
        <w:t>development</w:t>
      </w:r>
      <w:r w:rsidR="0032329F">
        <w:rPr>
          <w:sz w:val="19"/>
          <w:szCs w:val="19"/>
        </w:rPr>
        <w:t xml:space="preserve"> of</w:t>
      </w:r>
      <w:r w:rsidR="0032329F" w:rsidRPr="00856034">
        <w:rPr>
          <w:sz w:val="19"/>
          <w:szCs w:val="19"/>
        </w:rPr>
        <w:t xml:space="preserve"> </w:t>
      </w:r>
      <w:r w:rsidRPr="00856034">
        <w:rPr>
          <w:sz w:val="19"/>
          <w:szCs w:val="19"/>
        </w:rPr>
        <w:t>transferable skills and occupational mobility. The qualifications chosen for this exercise corresponded to selected pairs of growing and declining occupations at skill levels 3 to 5</w:t>
      </w:r>
      <w:r w:rsidR="004F3DE0">
        <w:rPr>
          <w:sz w:val="19"/>
          <w:szCs w:val="19"/>
        </w:rPr>
        <w:t>, as identified in the ABS C</w:t>
      </w:r>
      <w:r w:rsidRPr="00856034">
        <w:rPr>
          <w:sz w:val="19"/>
          <w:szCs w:val="19"/>
        </w:rPr>
        <w:t xml:space="preserve">ensus data. The assessment was subject to two levels of analysis. The first </w:t>
      </w:r>
      <w:r w:rsidR="00664812">
        <w:rPr>
          <w:sz w:val="19"/>
          <w:szCs w:val="19"/>
        </w:rPr>
        <w:t>took a skill-level approach, whereby</w:t>
      </w:r>
      <w:r w:rsidRPr="00856034">
        <w:rPr>
          <w:sz w:val="19"/>
          <w:szCs w:val="19"/>
        </w:rPr>
        <w:t xml:space="preserve"> the skills content of qualifications </w:t>
      </w:r>
      <w:r w:rsidR="00664812">
        <w:rPr>
          <w:sz w:val="19"/>
          <w:szCs w:val="19"/>
        </w:rPr>
        <w:t xml:space="preserve">was </w:t>
      </w:r>
      <w:r w:rsidR="0032329F">
        <w:rPr>
          <w:sz w:val="19"/>
          <w:szCs w:val="19"/>
        </w:rPr>
        <w:t>examined, dra</w:t>
      </w:r>
      <w:r w:rsidRPr="00856034">
        <w:rPr>
          <w:sz w:val="19"/>
          <w:szCs w:val="19"/>
        </w:rPr>
        <w:t>w</w:t>
      </w:r>
      <w:r w:rsidR="0032329F">
        <w:rPr>
          <w:sz w:val="19"/>
          <w:szCs w:val="19"/>
        </w:rPr>
        <w:t>ing</w:t>
      </w:r>
      <w:r w:rsidRPr="00856034">
        <w:rPr>
          <w:sz w:val="19"/>
          <w:szCs w:val="19"/>
        </w:rPr>
        <w:t xml:space="preserve"> upon the European Commission’s (EC) transferable skills framework. The second approach adopted an occupational cluster analysis and focused on the units of competency contained within qualifications and the transferability of these units of competency within and between occupational clusters and other qualifications. The details of these two approaches and their research findings are discussed in the following sections</w:t>
      </w:r>
      <w:r w:rsidR="0046607C">
        <w:rPr>
          <w:sz w:val="19"/>
          <w:szCs w:val="19"/>
        </w:rPr>
        <w:t>.</w:t>
      </w:r>
      <w:r w:rsidRPr="00856034">
        <w:rPr>
          <w:sz w:val="19"/>
          <w:szCs w:val="19"/>
        </w:rPr>
        <w:t xml:space="preserve"> (</w:t>
      </w:r>
      <w:r w:rsidR="0046607C">
        <w:rPr>
          <w:sz w:val="19"/>
          <w:szCs w:val="19"/>
        </w:rPr>
        <w:t>S</w:t>
      </w:r>
      <w:r w:rsidR="00464D62" w:rsidRPr="00856034">
        <w:rPr>
          <w:sz w:val="19"/>
          <w:szCs w:val="19"/>
        </w:rPr>
        <w:t xml:space="preserve">ee </w:t>
      </w:r>
      <w:r w:rsidR="00464D62">
        <w:rPr>
          <w:sz w:val="19"/>
          <w:szCs w:val="19"/>
        </w:rPr>
        <w:t>support</w:t>
      </w:r>
      <w:r w:rsidR="00983469">
        <w:rPr>
          <w:sz w:val="19"/>
          <w:szCs w:val="19"/>
        </w:rPr>
        <w:t xml:space="preserve"> </w:t>
      </w:r>
      <w:r w:rsidR="00983469" w:rsidRPr="00983469">
        <w:rPr>
          <w:sz w:val="19"/>
          <w:szCs w:val="19"/>
        </w:rPr>
        <w:t>document</w:t>
      </w:r>
      <w:r w:rsidR="00095EBD">
        <w:rPr>
          <w:sz w:val="19"/>
          <w:szCs w:val="19"/>
        </w:rPr>
        <w:t xml:space="preserve"> 2</w:t>
      </w:r>
      <w:r w:rsidR="00C05FF3" w:rsidRPr="00983469">
        <w:rPr>
          <w:sz w:val="19"/>
          <w:szCs w:val="19"/>
        </w:rPr>
        <w:t xml:space="preserve"> </w:t>
      </w:r>
      <w:r w:rsidRPr="00856034">
        <w:rPr>
          <w:sz w:val="19"/>
          <w:szCs w:val="19"/>
        </w:rPr>
        <w:t>for full discussion</w:t>
      </w:r>
      <w:r w:rsidR="0046607C">
        <w:rPr>
          <w:sz w:val="19"/>
          <w:szCs w:val="19"/>
        </w:rPr>
        <w:t>.)</w:t>
      </w:r>
      <w:r w:rsidR="00F73463" w:rsidRPr="00856034">
        <w:rPr>
          <w:sz w:val="19"/>
          <w:szCs w:val="19"/>
        </w:rPr>
        <w:t xml:space="preserve"> </w:t>
      </w:r>
    </w:p>
    <w:p w:rsidR="004F0FD5" w:rsidRDefault="004F0FD5" w:rsidP="004F0FD5">
      <w:pPr>
        <w:pStyle w:val="Heading4"/>
      </w:pPr>
      <w:bookmarkStart w:id="42" w:name="h.t28lc4jv0raz" w:colFirst="0" w:colLast="0"/>
      <w:bookmarkEnd w:id="42"/>
      <w:r>
        <w:rPr>
          <w:rFonts w:eastAsia="Arial"/>
        </w:rPr>
        <w:t>Skill level analysis</w:t>
      </w:r>
    </w:p>
    <w:p w:rsidR="004F0FD5" w:rsidRPr="0006449D" w:rsidRDefault="004F0FD5" w:rsidP="004F0FD5">
      <w:pPr>
        <w:pStyle w:val="Text"/>
      </w:pPr>
      <w:bookmarkStart w:id="43" w:name="h.9a3yfnoziloa" w:colFirst="0" w:colLast="0"/>
      <w:bookmarkEnd w:id="43"/>
      <w:r>
        <w:t xml:space="preserve">Skills are </w:t>
      </w:r>
      <w:r w:rsidRPr="0006449D">
        <w:t>commonly characterised as either technical or non-technical</w:t>
      </w:r>
      <w:r w:rsidR="004C2281" w:rsidRPr="0006449D">
        <w:t>,</w:t>
      </w:r>
      <w:r w:rsidRPr="0006449D">
        <w:t xml:space="preserve"> or similarly</w:t>
      </w:r>
      <w:r w:rsidR="004C2281" w:rsidRPr="0006449D">
        <w:t>,</w:t>
      </w:r>
      <w:r w:rsidRPr="0006449D">
        <w:t xml:space="preserve"> soft or hard in nature. Non-technical/soft skills are considered relatively transferable</w:t>
      </w:r>
      <w:r w:rsidR="00664812">
        <w:t>,</w:t>
      </w:r>
      <w:r w:rsidRPr="0006449D">
        <w:t xml:space="preserve"> while techn</w:t>
      </w:r>
      <w:r w:rsidR="00664812">
        <w:t>ical/hard skills are occupation-</w:t>
      </w:r>
      <w:r w:rsidR="0084070D">
        <w:t xml:space="preserve">specific </w:t>
      </w:r>
      <w:r w:rsidRPr="0006449D">
        <w:t>and non-transferable. In a major study condu</w:t>
      </w:r>
      <w:r w:rsidR="00664812">
        <w:t>cted by the European Commission</w:t>
      </w:r>
      <w:r w:rsidR="004C2281" w:rsidRPr="0006449D">
        <w:t xml:space="preserve"> </w:t>
      </w:r>
      <w:r w:rsidRPr="0006449D">
        <w:t>in 2013 this categorisation of skills was expanded to include three categories of skills</w:t>
      </w:r>
      <w:r w:rsidR="0046607C">
        <w:t xml:space="preserve"> (p.22)</w:t>
      </w:r>
      <w:r w:rsidRPr="0006449D">
        <w:t xml:space="preserve">: </w:t>
      </w:r>
    </w:p>
    <w:p w:rsidR="004F0FD5" w:rsidRPr="0006449D" w:rsidRDefault="004F0FD5" w:rsidP="0084070D">
      <w:pPr>
        <w:pStyle w:val="Dotpoint1"/>
        <w:tabs>
          <w:tab w:val="clear" w:pos="284"/>
        </w:tabs>
        <w:spacing w:before="80"/>
        <w:ind w:left="284" w:hanging="357"/>
      </w:pPr>
      <w:r w:rsidRPr="00664812">
        <w:rPr>
          <w:rFonts w:eastAsia="Trebuchet MS" w:cs="Trebuchet MS"/>
          <w:i/>
          <w:szCs w:val="19"/>
        </w:rPr>
        <w:t>Soft skills</w:t>
      </w:r>
      <w:r w:rsidRPr="00664812">
        <w:rPr>
          <w:rFonts w:eastAsia="Trebuchet MS" w:cs="Trebuchet MS"/>
          <w:szCs w:val="19"/>
        </w:rPr>
        <w:t>:</w:t>
      </w:r>
      <w:r w:rsidRPr="0006449D">
        <w:rPr>
          <w:rFonts w:eastAsia="Trebuchet MS" w:cs="Trebuchet MS"/>
          <w:szCs w:val="19"/>
        </w:rPr>
        <w:t xml:space="preserve"> </w:t>
      </w:r>
      <w:r w:rsidR="0046607C">
        <w:t>non-job-</w:t>
      </w:r>
      <w:r w:rsidRPr="0006449D">
        <w:t>specific skills that relate to an individual</w:t>
      </w:r>
      <w:r w:rsidR="004C2281" w:rsidRPr="0006449D">
        <w:t>’</w:t>
      </w:r>
      <w:r w:rsidRPr="0006449D">
        <w:t xml:space="preserve">s ability to operate effectively in the workplace. These skills are usually described as perfectly transferable. The </w:t>
      </w:r>
      <w:r w:rsidR="004C2281" w:rsidRPr="0006449D">
        <w:t xml:space="preserve">five </w:t>
      </w:r>
      <w:r w:rsidRPr="0006449D">
        <w:t>clusters o</w:t>
      </w:r>
      <w:r w:rsidR="006804EE">
        <w:t>f soft skills identified were: p</w:t>
      </w:r>
      <w:r w:rsidRPr="0006449D">
        <w:t xml:space="preserve">ersonal effectiveness skills; </w:t>
      </w:r>
      <w:r w:rsidR="006804EE" w:rsidRPr="0006449D">
        <w:t>relationship and service skills; impact and influence skills; achievement skills; and cognitive skills</w:t>
      </w:r>
      <w:r w:rsidRPr="0006449D">
        <w:t xml:space="preserve">. </w:t>
      </w:r>
    </w:p>
    <w:p w:rsidR="004F0FD5" w:rsidRPr="0006449D" w:rsidRDefault="004F0FD5" w:rsidP="0084070D">
      <w:pPr>
        <w:pStyle w:val="Dotpoint1"/>
        <w:ind w:left="284"/>
      </w:pPr>
      <w:r w:rsidRPr="00664812">
        <w:rPr>
          <w:rFonts w:eastAsia="Trebuchet MS" w:cs="Trebuchet MS"/>
          <w:i/>
          <w:szCs w:val="19"/>
        </w:rPr>
        <w:t>Generic hard skills</w:t>
      </w:r>
      <w:r w:rsidRPr="00664812">
        <w:rPr>
          <w:rFonts w:eastAsia="Trebuchet MS" w:cs="Trebuchet MS"/>
          <w:szCs w:val="19"/>
        </w:rPr>
        <w:t>:</w:t>
      </w:r>
      <w:r w:rsidRPr="0006449D">
        <w:rPr>
          <w:rFonts w:eastAsia="Trebuchet MS" w:cs="Trebuchet MS"/>
          <w:szCs w:val="19"/>
        </w:rPr>
        <w:t xml:space="preserve"> </w:t>
      </w:r>
      <w:r w:rsidRPr="0006449D">
        <w:t>these are technical and job-specific abilities that can be applied effectively in almost all jobs in a majority of companies, occupations and sectors</w:t>
      </w:r>
      <w:r w:rsidR="004C2281" w:rsidRPr="0006449D">
        <w:t>,</w:t>
      </w:r>
      <w:r w:rsidRPr="0006449D">
        <w:t xml:space="preserve"> and personal life. They are thus perceived as highly transferable. Six generic hard skills were defined: </w:t>
      </w:r>
      <w:r w:rsidR="006804EE" w:rsidRPr="0006449D">
        <w:t xml:space="preserve">legislative and regulatory awareness; economic awareness; basic skills in science and technology; environmental awareness; </w:t>
      </w:r>
      <w:r w:rsidR="00F259A4">
        <w:t>i</w:t>
      </w:r>
      <w:r w:rsidR="004F3DE0" w:rsidRPr="004F3DE0">
        <w:t xml:space="preserve">nformation and communications technology </w:t>
      </w:r>
      <w:r w:rsidR="006804EE" w:rsidRPr="0006449D">
        <w:t xml:space="preserve">skills/e-skills; and communication in foreign </w:t>
      </w:r>
      <w:r w:rsidRPr="0006449D">
        <w:t xml:space="preserve">languages. </w:t>
      </w:r>
    </w:p>
    <w:p w:rsidR="004F0FD5" w:rsidRDefault="004F0FD5" w:rsidP="0084070D">
      <w:pPr>
        <w:pStyle w:val="Dotpoint1"/>
        <w:tabs>
          <w:tab w:val="clear" w:pos="284"/>
        </w:tabs>
        <w:spacing w:before="80"/>
        <w:ind w:left="284" w:hanging="357"/>
      </w:pPr>
      <w:r w:rsidRPr="006804EE">
        <w:rPr>
          <w:rFonts w:eastAsia="Trebuchet MS" w:cs="Trebuchet MS"/>
          <w:i/>
          <w:szCs w:val="19"/>
        </w:rPr>
        <w:t>Specific hard skills</w:t>
      </w:r>
      <w:r w:rsidRPr="006804EE">
        <w:rPr>
          <w:rFonts w:eastAsia="Trebuchet MS" w:cs="Trebuchet MS"/>
          <w:szCs w:val="19"/>
        </w:rPr>
        <w:t>:</w:t>
      </w:r>
      <w:r w:rsidRPr="0006449D">
        <w:rPr>
          <w:rFonts w:eastAsia="Trebuchet MS" w:cs="Trebuchet MS"/>
          <w:szCs w:val="19"/>
        </w:rPr>
        <w:t xml:space="preserve"> </w:t>
      </w:r>
      <w:r w:rsidRPr="0006449D">
        <w:t>these are technical and job-specific abilities that are applicable to a small number of companies, occupations and sector</w:t>
      </w:r>
      <w:r>
        <w:t>s. They describe special attributes for perfor</w:t>
      </w:r>
      <w:r w:rsidR="0046607C">
        <w:t>ming an occupation in practice</w:t>
      </w:r>
      <w:r w:rsidR="008A16C1">
        <w:t xml:space="preserve">. </w:t>
      </w:r>
    </w:p>
    <w:p w:rsidR="004F0FD5" w:rsidRDefault="006804EE" w:rsidP="004F0FD5">
      <w:pPr>
        <w:pStyle w:val="Text"/>
      </w:pPr>
      <w:r>
        <w:t>It is maintained that ‘</w:t>
      </w:r>
      <w:r w:rsidR="004F0FD5">
        <w:t>specific hard skills are characterised by their lower level of transferability, whereas soft skills and generic hard skills are skills with high transferability</w:t>
      </w:r>
      <w:r>
        <w:t xml:space="preserve"> across sectors and occupations’</w:t>
      </w:r>
      <w:r w:rsidR="004F0FD5">
        <w:t xml:space="preserve"> (</w:t>
      </w:r>
      <w:r w:rsidR="00BC2FE0">
        <w:t>European Commission 2013</w:t>
      </w:r>
      <w:r w:rsidR="008A16C1">
        <w:t>, p.</w:t>
      </w:r>
      <w:r>
        <w:t>9). Figure 1</w:t>
      </w:r>
      <w:r w:rsidR="004F0FD5">
        <w:t xml:space="preserve"> illustrates the transferability potential of the </w:t>
      </w:r>
      <w:r>
        <w:t>European Commission</w:t>
      </w:r>
      <w:r w:rsidR="004F0FD5">
        <w:t>’s skills categories. It shows that both soft and generic hard skills cut across all three occupations. The difference between the two, however,</w:t>
      </w:r>
      <w:r w:rsidR="0032329F">
        <w:t xml:space="preserve"> is that the former are non-job-</w:t>
      </w:r>
      <w:r w:rsidR="004F0FD5">
        <w:t>specific</w:t>
      </w:r>
      <w:r>
        <w:t>,</w:t>
      </w:r>
      <w:r w:rsidR="004F0FD5">
        <w:t xml:space="preserve"> whereas the latter are job-specific. Specific hard skills, on the other hand, are more exclusive to one occupation. </w:t>
      </w:r>
    </w:p>
    <w:p w:rsidR="004F0FD5" w:rsidRDefault="004F0FD5" w:rsidP="004F0FD5">
      <w:pPr>
        <w:pStyle w:val="Text"/>
      </w:pPr>
      <w:r>
        <w:t xml:space="preserve">According to the </w:t>
      </w:r>
      <w:r w:rsidR="0032329F">
        <w:t>European Commission’s</w:t>
      </w:r>
      <w:r>
        <w:t xml:space="preserve"> skills transferability framework</w:t>
      </w:r>
      <w:r w:rsidR="0032329F">
        <w:t>,</w:t>
      </w:r>
      <w:r>
        <w:t xml:space="preserve"> </w:t>
      </w:r>
      <w:r w:rsidR="006804EE">
        <w:t>‘</w:t>
      </w:r>
      <w:r>
        <w:t xml:space="preserve">skills which are </w:t>
      </w:r>
      <w:r w:rsidR="006804EE">
        <w:t>t</w:t>
      </w:r>
      <w:r w:rsidR="0032329F">
        <w:t>ransferable across the economy’,</w:t>
      </w:r>
      <w:r>
        <w:t xml:space="preserve"> </w:t>
      </w:r>
      <w:r w:rsidR="00376568">
        <w:t>that is,</w:t>
      </w:r>
      <w:r>
        <w:t xml:space="preserve"> skills applicable to different occupations in different sectors, can be classified most accurately under </w:t>
      </w:r>
      <w:r w:rsidR="0032329F">
        <w:t>a</w:t>
      </w:r>
      <w:r>
        <w:t xml:space="preserve"> </w:t>
      </w:r>
      <w:r w:rsidR="006804EE">
        <w:t>‘transversal skills’</w:t>
      </w:r>
      <w:r>
        <w:t xml:space="preserve"> heading. According to the </w:t>
      </w:r>
      <w:r w:rsidR="0032329F">
        <w:t>European Union</w:t>
      </w:r>
      <w:r>
        <w:t xml:space="preserve">, transversal, rather than transferable skills, should be used as a </w:t>
      </w:r>
      <w:r w:rsidR="006804EE">
        <w:t>‘</w:t>
      </w:r>
      <w:r>
        <w:t>higher category term which designates and groups together soft skills and generic hard skills</w:t>
      </w:r>
      <w:r w:rsidR="0046607C">
        <w:t>,</w:t>
      </w:r>
      <w:r>
        <w:t xml:space="preserve"> which are, by nature, transferable across all sectors and occupations and have an important impact on success in </w:t>
      </w:r>
      <w:r w:rsidR="006804EE">
        <w:t>life’</w:t>
      </w:r>
      <w:r w:rsidR="00A613DB">
        <w:t xml:space="preserve"> (European Commission 2013, p.</w:t>
      </w:r>
      <w:r>
        <w:t xml:space="preserve">14). In the Australian VET context, the equivalent of the </w:t>
      </w:r>
      <w:r w:rsidR="006804EE">
        <w:t>European Commission’s</w:t>
      </w:r>
      <w:r>
        <w:t xml:space="preserve"> </w:t>
      </w:r>
      <w:r w:rsidR="0032329F">
        <w:t xml:space="preserve">category of </w:t>
      </w:r>
      <w:r>
        <w:t xml:space="preserve">transversal skills is a combination of foundation skills, </w:t>
      </w:r>
      <w:r w:rsidR="00376568">
        <w:t>that is,</w:t>
      </w:r>
      <w:r>
        <w:t xml:space="preserve"> learning, numeracy, oral communication, reading and writing skills, and the eight key employability skills. </w:t>
      </w:r>
    </w:p>
    <w:p w:rsidR="004F0FD5" w:rsidRDefault="0032329F" w:rsidP="004F0FD5">
      <w:pPr>
        <w:pStyle w:val="Text"/>
      </w:pPr>
      <w:r>
        <w:t>Using</w:t>
      </w:r>
      <w:r w:rsidR="004F0FD5">
        <w:t xml:space="preserve"> the </w:t>
      </w:r>
      <w:r w:rsidR="006804EE">
        <w:t>European Commission</w:t>
      </w:r>
      <w:r w:rsidR="004F0FD5">
        <w:t xml:space="preserve"> framework to designate the skills developed through qualifications on a scal</w:t>
      </w:r>
      <w:r>
        <w:t>e of least-to-most transferable</w:t>
      </w:r>
      <w:r w:rsidR="004F0FD5">
        <w:t xml:space="preserve"> and </w:t>
      </w:r>
      <w:r>
        <w:t xml:space="preserve">to </w:t>
      </w:r>
      <w:r w:rsidR="004F0FD5">
        <w:t>make a judgment about their transferability potential</w:t>
      </w:r>
      <w:r>
        <w:t xml:space="preserve"> would make an interesting and worthwhile exercise. However,</w:t>
      </w:r>
      <w:r w:rsidR="004F0FD5">
        <w:t xml:space="preserve"> the examination of where displaced workers in declining occupations in Australia could use their skills in growing occupation</w:t>
      </w:r>
      <w:r>
        <w:t>s was a key aim of this project, necessitating</w:t>
      </w:r>
      <w:r w:rsidR="004F0FD5">
        <w:t xml:space="preserve"> </w:t>
      </w:r>
      <w:r w:rsidR="006804EE">
        <w:t>a cross-</w:t>
      </w:r>
      <w:r w:rsidR="004F0FD5">
        <w:t>occupation comparative analysis of skills profiles. Thus, we compared six pairs of occupations (three declining and three growing)</w:t>
      </w:r>
      <w:r w:rsidR="006804EE">
        <w:t xml:space="preserve">, </w:t>
      </w:r>
      <w:r w:rsidR="004F0FD5">
        <w:t xml:space="preserve">identified through the analysis of ABS census data. In this analysis, the </w:t>
      </w:r>
      <w:r w:rsidR="006804EE">
        <w:t xml:space="preserve">European Commission </w:t>
      </w:r>
      <w:r w:rsidR="004F0FD5">
        <w:t>framework provides the foundation for our</w:t>
      </w:r>
      <w:r w:rsidR="006804EE">
        <w:t xml:space="preserve"> initial understanding of skill </w:t>
      </w:r>
      <w:r w:rsidR="004F0FD5">
        <w:t xml:space="preserve">types and their prima facie transferability potential. </w:t>
      </w:r>
    </w:p>
    <w:p w:rsidR="004F0FD5" w:rsidRDefault="004F0FD5" w:rsidP="00FD7DCE">
      <w:pPr>
        <w:pStyle w:val="Figuretitle"/>
      </w:pPr>
      <w:bookmarkStart w:id="44" w:name="h.147n2zr" w:colFirst="0" w:colLast="0"/>
      <w:bookmarkStart w:id="45" w:name="_Toc432142530"/>
      <w:bookmarkEnd w:id="44"/>
      <w:r>
        <w:rPr>
          <w:rFonts w:eastAsia="Tahoma"/>
        </w:rPr>
        <w:t xml:space="preserve">Figure 1 </w:t>
      </w:r>
      <w:r w:rsidR="00F259A4">
        <w:rPr>
          <w:rFonts w:eastAsia="Tahoma"/>
        </w:rPr>
        <w:tab/>
      </w:r>
      <w:r>
        <w:rPr>
          <w:rFonts w:eastAsia="Tahoma"/>
        </w:rPr>
        <w:t>Disposition of soft, generic hard and specific hard skills in occupations</w:t>
      </w:r>
      <w:bookmarkEnd w:id="45"/>
    </w:p>
    <w:p w:rsidR="004F0FD5" w:rsidRDefault="00CE4309" w:rsidP="004F0FD5">
      <w:r>
        <w:rPr>
          <w:noProof/>
          <w:lang w:eastAsia="en-AU"/>
        </w:rPr>
        <w:drawing>
          <wp:anchor distT="0" distB="0" distL="114300" distR="114300" simplePos="0" relativeHeight="251999232" behindDoc="0" locked="0" layoutInCell="1" allowOverlap="1" wp14:anchorId="103AE66F" wp14:editId="3EA6EED1">
            <wp:simplePos x="0" y="0"/>
            <wp:positionH relativeFrom="column">
              <wp:posOffset>99060</wp:posOffset>
            </wp:positionH>
            <wp:positionV relativeFrom="paragraph">
              <wp:posOffset>43815</wp:posOffset>
            </wp:positionV>
            <wp:extent cx="4067175" cy="3520263"/>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67175" cy="3520263"/>
                    </a:xfrm>
                    <a:prstGeom prst="rect">
                      <a:avLst/>
                    </a:prstGeom>
                    <a:noFill/>
                    <a:ln>
                      <a:noFill/>
                    </a:ln>
                  </pic:spPr>
                </pic:pic>
              </a:graphicData>
            </a:graphic>
          </wp:anchor>
        </w:drawing>
      </w:r>
    </w:p>
    <w:p w:rsidR="004F0FD5" w:rsidRDefault="004F0FD5" w:rsidP="004F0FD5"/>
    <w:p w:rsidR="004F0FD5" w:rsidRDefault="004F0FD5" w:rsidP="004F0FD5"/>
    <w:p w:rsidR="004F0FD5" w:rsidRDefault="004F0FD5" w:rsidP="004F0FD5"/>
    <w:p w:rsidR="004F0FD5" w:rsidRDefault="004F0FD5" w:rsidP="004F0FD5"/>
    <w:p w:rsidR="004F0FD5" w:rsidRDefault="004F0FD5" w:rsidP="004F0FD5"/>
    <w:p w:rsidR="004F0FD5" w:rsidRDefault="004F0FD5" w:rsidP="004F0FD5"/>
    <w:p w:rsidR="004F0FD5" w:rsidRDefault="004F0FD5" w:rsidP="004F0FD5"/>
    <w:p w:rsidR="004F0FD5" w:rsidRDefault="004F0FD5" w:rsidP="004F0FD5"/>
    <w:p w:rsidR="004F0FD5" w:rsidRDefault="004F0FD5" w:rsidP="004F0FD5"/>
    <w:p w:rsidR="00A30502" w:rsidRDefault="00A30502" w:rsidP="004F0FD5">
      <w:pPr>
        <w:pStyle w:val="Text"/>
      </w:pPr>
    </w:p>
    <w:p w:rsidR="00A30502" w:rsidRDefault="00A30502" w:rsidP="004F0FD5">
      <w:pPr>
        <w:pStyle w:val="Text"/>
      </w:pPr>
    </w:p>
    <w:p w:rsidR="00A30502" w:rsidRDefault="00A30502" w:rsidP="004F0FD5">
      <w:pPr>
        <w:pStyle w:val="Text"/>
      </w:pPr>
    </w:p>
    <w:p w:rsidR="00F259A4" w:rsidRDefault="004F0FD5" w:rsidP="004F0FD5">
      <w:pPr>
        <w:pStyle w:val="Text"/>
      </w:pPr>
      <w:r>
        <w:t xml:space="preserve">The analysis considered three different sets of occupations, with each set containing an identified growing and declining occupation, and different degrees of variance in the types of job roles and task composition between the two chosen occupations. The first set of </w:t>
      </w:r>
      <w:r w:rsidR="002F737D">
        <w:t xml:space="preserve">compared </w:t>
      </w:r>
      <w:r>
        <w:t xml:space="preserve">occupations </w:t>
      </w:r>
      <w:r w:rsidR="006804EE">
        <w:t>share a great commonality: s</w:t>
      </w:r>
      <w:r>
        <w:t xml:space="preserve">ecretaries (identified as a declining occupation) and </w:t>
      </w:r>
      <w:r w:rsidR="006804EE">
        <w:t xml:space="preserve">personal assistants </w:t>
      </w:r>
      <w:r>
        <w:t>(identified as a</w:t>
      </w:r>
      <w:r w:rsidR="00F73463">
        <w:t xml:space="preserve"> </w:t>
      </w:r>
      <w:r>
        <w:t>growing occupation). These two occupations utilise the same training package and qualification: Certificate III/IV in Business Administration. From a training package perspective, the variation in the skills profile of the two occupations is solely on the basis of elective selection</w:t>
      </w:r>
      <w:r w:rsidR="006804EE">
        <w:t xml:space="preserve"> </w:t>
      </w:r>
      <w:r>
        <w:t>—</w:t>
      </w:r>
      <w:r w:rsidR="006804EE">
        <w:t xml:space="preserve"> </w:t>
      </w:r>
      <w:r>
        <w:t xml:space="preserve">11 of the 13 units </w:t>
      </w:r>
      <w:r w:rsidR="0032329F">
        <w:t>of competency contained in the c</w:t>
      </w:r>
      <w:r>
        <w:t>ertificate III are electives</w:t>
      </w:r>
      <w:r w:rsidR="006804EE">
        <w:t xml:space="preserve"> </w:t>
      </w:r>
      <w:r>
        <w:t>—</w:t>
      </w:r>
      <w:r w:rsidR="006804EE">
        <w:t xml:space="preserve"> </w:t>
      </w:r>
      <w:r>
        <w:t xml:space="preserve">or whether an </w:t>
      </w:r>
      <w:r w:rsidR="006804EE">
        <w:t>employee is expected to have a certificate IV as opposed to a c</w:t>
      </w:r>
      <w:r>
        <w:t>ertificate III. Given that these two occupations perform very similar tasks, employ m</w:t>
      </w:r>
      <w:r w:rsidR="006804EE">
        <w:t xml:space="preserve">any </w:t>
      </w:r>
      <w:r>
        <w:t xml:space="preserve">of the same skills, and have the same corresponding qualifications, </w:t>
      </w:r>
      <w:r w:rsidR="0032329F">
        <w:t xml:space="preserve">the </w:t>
      </w:r>
      <w:r>
        <w:t>skills transferability and occupational mobility between them is likely to be very high.</w:t>
      </w:r>
      <w:r w:rsidR="006804EE">
        <w:t xml:space="preserve"> This comparison suggests that s</w:t>
      </w:r>
      <w:r>
        <w:t xml:space="preserve">ecretaries should be able to fit easily into the role of a </w:t>
      </w:r>
      <w:r w:rsidR="006804EE">
        <w:t xml:space="preserve">personal assistant </w:t>
      </w:r>
      <w:r>
        <w:t xml:space="preserve">and vice versa, although some on-the-job training might be necessary for the purpose of workplace familiarity. </w:t>
      </w:r>
    </w:p>
    <w:p w:rsidR="004F0FD5" w:rsidRDefault="004F0FD5" w:rsidP="004F0FD5">
      <w:pPr>
        <w:pStyle w:val="Text"/>
      </w:pPr>
      <w:r>
        <w:t>Drawing on our skills diagram (</w:t>
      </w:r>
      <w:r w:rsidR="006804EE">
        <w:t>f</w:t>
      </w:r>
      <w:r>
        <w:t xml:space="preserve">igure 1), the number of generic and specific hard skills shared between these two occupations would be high. It is likely that one of the defining differences between the two occupations is that </w:t>
      </w:r>
      <w:r w:rsidR="006804EE">
        <w:t xml:space="preserve">personal assistants </w:t>
      </w:r>
      <w:r>
        <w:t>would be expected to have additional specific hard skills related to perform</w:t>
      </w:r>
      <w:r w:rsidR="0032329F">
        <w:t>ing</w:t>
      </w:r>
      <w:r w:rsidR="006804EE">
        <w:t xml:space="preserve"> </w:t>
      </w:r>
      <w:r w:rsidR="0032329F">
        <w:t xml:space="preserve">the roles </w:t>
      </w:r>
      <w:r w:rsidR="006804EE">
        <w:t>of</w:t>
      </w:r>
      <w:r>
        <w:t xml:space="preserve"> planning, leadership and mentoring. Thus, their jobs would contain a few differentiating specific hard skills.</w:t>
      </w:r>
    </w:p>
    <w:p w:rsidR="004F0FD5" w:rsidRDefault="004F0FD5" w:rsidP="004F0FD5">
      <w:pPr>
        <w:pStyle w:val="Text"/>
      </w:pPr>
      <w:r>
        <w:t>The second set of occupations examined included two</w:t>
      </w:r>
      <w:r w:rsidR="00D035F2">
        <w:t xml:space="preserve"> slightly different occupations: wood m</w:t>
      </w:r>
      <w:r>
        <w:t xml:space="preserve">achinists (identified </w:t>
      </w:r>
      <w:r w:rsidR="00D035F2">
        <w:t>as a declining occupation) and j</w:t>
      </w:r>
      <w:r>
        <w:t>oiners (identified as a growing occupation). These two occupations were chosen for analysis due to their s</w:t>
      </w:r>
      <w:r w:rsidR="0032329F">
        <w:t>imilarity in job role and tasks</w:t>
      </w:r>
      <w:r>
        <w:t xml:space="preserve"> and </w:t>
      </w:r>
      <w:r w:rsidR="002F737D">
        <w:t>because the consequent qualifications differed</w:t>
      </w:r>
      <w:r>
        <w:t xml:space="preserve">. The most common qualification for </w:t>
      </w:r>
      <w:r w:rsidR="00D035F2">
        <w:t xml:space="preserve">wood machinists </w:t>
      </w:r>
      <w:r>
        <w:t>is the Certificate III in Timber and Composites Machining</w:t>
      </w:r>
      <w:r w:rsidR="00D035F2">
        <w:t>,</w:t>
      </w:r>
      <w:r>
        <w:t xml:space="preserve"> while the Certificat</w:t>
      </w:r>
      <w:r w:rsidR="00D035F2">
        <w:t>e III in Joinery is common for j</w:t>
      </w:r>
      <w:r>
        <w:t>oiners. Similar soft and generi</w:t>
      </w:r>
      <w:r w:rsidR="00D035F2">
        <w:t xml:space="preserve">c hard skills are found </w:t>
      </w:r>
      <w:r>
        <w:t>in these two qualifications</w:t>
      </w:r>
      <w:r w:rsidRPr="0006449D">
        <w:t>. For example, both qualifications emphasise the importance of generic hard skills related to working with technology safely and a</w:t>
      </w:r>
      <w:r w:rsidR="002F737D">
        <w:t>ccording to workplace standards;</w:t>
      </w:r>
      <w:r w:rsidRPr="0006449D">
        <w:t xml:space="preserve"> ide</w:t>
      </w:r>
      <w:r w:rsidR="002F737D">
        <w:t>ntifying and reporting problems;</w:t>
      </w:r>
      <w:r>
        <w:t xml:space="preserve"> and completing written documents, forms and timesheets. Even among the spe</w:t>
      </w:r>
      <w:r w:rsidR="00D035F2">
        <w:t xml:space="preserve">cific hard skills contained </w:t>
      </w:r>
      <w:r>
        <w:t>in these two qualifications there are similar skill expectations</w:t>
      </w:r>
      <w:r w:rsidR="008E7AA0">
        <w:t>:</w:t>
      </w:r>
      <w:r>
        <w:t xml:space="preserve"> the ability to use similar hand tools and the measurement, cutting and construction of materials. What this comparative analysis indicates is that there is a high degree of transferability between these two occupations but not as high as that of </w:t>
      </w:r>
      <w:r w:rsidR="00D035F2">
        <w:t>secretaries and personal assistants</w:t>
      </w:r>
      <w:r>
        <w:t xml:space="preserve">. We can therefore also infer that a displaced </w:t>
      </w:r>
      <w:r w:rsidR="00D035F2">
        <w:t xml:space="preserve">wood machinist </w:t>
      </w:r>
      <w:r>
        <w:t>may find</w:t>
      </w:r>
      <w:r w:rsidR="00D035F2">
        <w:t xml:space="preserve"> it relatively easy to perform j</w:t>
      </w:r>
      <w:r>
        <w:t xml:space="preserve">oinery work with some additional training. </w:t>
      </w:r>
    </w:p>
    <w:p w:rsidR="004F0FD5" w:rsidRDefault="004F0FD5" w:rsidP="004F0FD5">
      <w:pPr>
        <w:pStyle w:val="Text"/>
      </w:pPr>
      <w:r>
        <w:t>The third set of occupations included</w:t>
      </w:r>
      <w:r w:rsidR="00D035F2">
        <w:t xml:space="preserve"> two very different occupations:</w:t>
      </w:r>
      <w:r w:rsidR="00F73463">
        <w:t xml:space="preserve"> </w:t>
      </w:r>
      <w:r w:rsidR="00D035F2">
        <w:t>s</w:t>
      </w:r>
      <w:r>
        <w:t xml:space="preserve">hearers (identified </w:t>
      </w:r>
      <w:r w:rsidR="00D035F2">
        <w:t>as a declining occupation) and c</w:t>
      </w:r>
      <w:r>
        <w:t>hefs (identified as a growing occupation). Workers employed in these two occupations are located in very different workplaces and are expected to perform very different tasks and job roles. The qualifications most commonly associated with each of these occupations are also from two very different training packages. Shearers are expected to have a Certificate IV in Shearing</w:t>
      </w:r>
      <w:r w:rsidR="00D035F2">
        <w:t>, while c</w:t>
      </w:r>
      <w:r>
        <w:t>hefs require a Certificate IV in Commercial Cookery. To establish whether the skills d</w:t>
      </w:r>
      <w:r w:rsidR="00D035F2">
        <w:t>eveloped in the training for a s</w:t>
      </w:r>
      <w:r>
        <w:t xml:space="preserve">hearer may assist the worker in finding a job as </w:t>
      </w:r>
      <w:r w:rsidR="00D035F2">
        <w:t>a c</w:t>
      </w:r>
      <w:r>
        <w:t>hef, we again considered the similarities and differences between the soft, generic hard and spe</w:t>
      </w:r>
      <w:r w:rsidR="00D035F2">
        <w:t xml:space="preserve">cific hard skills contained </w:t>
      </w:r>
      <w:r>
        <w:t>in these two qualifications. As expected, there was a significant similarity at the level of soft and generic hard skills relat</w:t>
      </w:r>
      <w:r w:rsidR="00D035F2">
        <w:t>ed to working in teams, problem-</w:t>
      </w:r>
      <w:r>
        <w:t>solving and applying numeracy skills</w:t>
      </w:r>
      <w:r w:rsidR="00D035F2">
        <w:t>,</w:t>
      </w:r>
      <w:r>
        <w:t xml:space="preserve"> but very little overlap between the specific hard skills developed in the two qualifications. This indicates that there would be little chance for worker mobility between the two occupations without significant retraining.</w:t>
      </w:r>
    </w:p>
    <w:p w:rsidR="004F0FD5" w:rsidRDefault="004F0FD5" w:rsidP="004F0FD5">
      <w:pPr>
        <w:pStyle w:val="Text"/>
      </w:pPr>
      <w:r>
        <w:t>An important finding of this analysis is that</w:t>
      </w:r>
      <w:r w:rsidR="008E7AA0">
        <w:t>,</w:t>
      </w:r>
      <w:r>
        <w:t xml:space="preserve"> in reference to the employability skills noted in </w:t>
      </w:r>
      <w:r w:rsidR="00D035F2">
        <w:t xml:space="preserve">the </w:t>
      </w:r>
      <w:r>
        <w:t xml:space="preserve">Certificate IV in Commercial Cookery, it is clear they in fact cut across both the generic hard and specific hard skills </w:t>
      </w:r>
      <w:r w:rsidR="00D035F2">
        <w:t>categories. Drawing upon the c</w:t>
      </w:r>
      <w:r>
        <w:t>ommunication emp</w:t>
      </w:r>
      <w:r w:rsidR="00D035F2">
        <w:t>loyability skill, for example, c</w:t>
      </w:r>
      <w:r>
        <w:t xml:space="preserve">hefs are expected to hold specific hard skills that enable them to </w:t>
      </w:r>
      <w:r w:rsidR="006804EE">
        <w:t>‘</w:t>
      </w:r>
      <w:r w:rsidR="007A6FDA">
        <w:t>i</w:t>
      </w:r>
      <w:r>
        <w:t xml:space="preserve">nstruct kitchen staff to adjust food items to meet quality requirements and organisational </w:t>
      </w:r>
      <w:r w:rsidR="00D035F2">
        <w:t>standards’</w:t>
      </w:r>
      <w:r w:rsidR="00F755EB">
        <w:t xml:space="preserve"> (Department of Education and Training 2015).</w:t>
      </w:r>
      <w:r>
        <w:t xml:space="preserve"> This means that</w:t>
      </w:r>
      <w:r w:rsidR="00D035F2">
        <w:t>,</w:t>
      </w:r>
      <w:r>
        <w:t xml:space="preserve"> although employability sk</w:t>
      </w:r>
      <w:r w:rsidR="008E7AA0">
        <w:t>ills are commonly perceived as soft skills and</w:t>
      </w:r>
      <w:r>
        <w:t xml:space="preserve"> can be applied to most occupations, here they have been developed in a very specific way, </w:t>
      </w:r>
      <w:r w:rsidR="008E7AA0">
        <w:t>which</w:t>
      </w:r>
      <w:r w:rsidR="002F737D">
        <w:t xml:space="preserve"> </w:t>
      </w:r>
      <w:r>
        <w:t xml:space="preserve">has rendered them transferable only between a very </w:t>
      </w:r>
      <w:r w:rsidR="00175C3A">
        <w:t xml:space="preserve">small </w:t>
      </w:r>
      <w:r>
        <w:t>number of closely related occupations. Therefore, the data indicate that</w:t>
      </w:r>
      <w:r w:rsidR="00D035F2">
        <w:t>,</w:t>
      </w:r>
      <w:r>
        <w:t xml:space="preserve"> while skills transferability is predicated on employability skills, they are not infinitely transferable</w:t>
      </w:r>
      <w:r w:rsidR="008E7AA0">
        <w:t>,</w:t>
      </w:r>
      <w:r>
        <w:t xml:space="preserve"> as commonly presented. </w:t>
      </w:r>
    </w:p>
    <w:p w:rsidR="004F0FD5" w:rsidRDefault="004F0FD5" w:rsidP="004F0FD5">
      <w:pPr>
        <w:pStyle w:val="Text"/>
      </w:pPr>
      <w:r>
        <w:t>The comparison of three sets of occup</w:t>
      </w:r>
      <w:r w:rsidR="0068040E">
        <w:rPr>
          <w:noProof/>
          <w:lang w:eastAsia="en-AU"/>
        </w:rPr>
        <mc:AlternateContent>
          <mc:Choice Requires="wps">
            <w:drawing>
              <wp:anchor distT="0" distB="0" distL="114300" distR="114300" simplePos="0" relativeHeight="252128256" behindDoc="0" locked="1" layoutInCell="1" allowOverlap="1" wp14:anchorId="7B6ED47F" wp14:editId="65DAFFE6">
                <wp:simplePos x="0" y="0"/>
                <wp:positionH relativeFrom="outsideMargin">
                  <wp:posOffset>260985</wp:posOffset>
                </wp:positionH>
                <wp:positionV relativeFrom="page">
                  <wp:posOffset>800100</wp:posOffset>
                </wp:positionV>
                <wp:extent cx="1320800" cy="156210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562100"/>
                        </a:xfrm>
                        <a:prstGeom prst="rect">
                          <a:avLst/>
                        </a:prstGeom>
                        <a:noFill/>
                        <a:ln w="6350">
                          <a:noFill/>
                        </a:ln>
                        <a:effectLst>
                          <a:outerShdw blurRad="152400" dist="317500" dir="5400000" sx="90000" sy="-19000" rotWithShape="0">
                            <a:prstClr val="black">
                              <a:alpha val="15000"/>
                            </a:prstClr>
                          </a:outerShdw>
                        </a:effectLst>
                      </wps:spPr>
                      <wps:txbx>
                        <w:txbxContent>
                          <w:p w:rsidR="00396053" w:rsidRPr="00543BFF" w:rsidRDefault="00396053" w:rsidP="0068040E">
                            <w:pPr>
                              <w:pStyle w:val="PullQuote"/>
                            </w:pPr>
                            <w:r>
                              <w:t>The data indicate</w:t>
                            </w:r>
                            <w:r w:rsidRPr="007A6FDA">
                              <w:t xml:space="preserve"> that</w:t>
                            </w:r>
                            <w:r>
                              <w:t>,</w:t>
                            </w:r>
                            <w:r w:rsidRPr="007A6FDA">
                              <w:t xml:space="preserve"> </w:t>
                            </w:r>
                            <w:r>
                              <w:t>w</w:t>
                            </w:r>
                            <w:r w:rsidRPr="007A6FDA">
                              <w:t>hile skills transferability is predicated on employability skills, they are not infinitely transferable</w:t>
                            </w:r>
                            <w:r>
                              <w:t>,</w:t>
                            </w:r>
                            <w:r w:rsidRPr="007A6FDA">
                              <w:t xml:space="preserve"> as commonly presented.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38" type="#_x0000_t202" style="position:absolute;margin-left:20.55pt;margin-top:63pt;width:104pt;height:123pt;z-index:25212825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" filled="f" stroked="f" strokeweight=".5pt">
                <v:shadow on="t" type="perspective" color="black" opacity="9830f" origin=",.5" offset="0,25pt" matrix="58982f,,,-12452f"/>
                <v:path arrowok="t"/>
                <v:textbox inset="10mm">
                  <w:txbxContent>
                    <w:p w:rsidR="00396053" w:rsidRPr="00543BFF" w:rsidRDefault="00396053" w:rsidP="0068040E">
                      <w:pPr>
                        <w:pStyle w:val="PullQuote"/>
                      </w:pPr>
                      <w:r>
                        <w:t>The data indicate</w:t>
                      </w:r>
                      <w:r w:rsidRPr="007A6FDA">
                        <w:t xml:space="preserve"> that</w:t>
                      </w:r>
                      <w:r>
                        <w:t>,</w:t>
                      </w:r>
                      <w:r w:rsidRPr="007A6FDA">
                        <w:t xml:space="preserve"> </w:t>
                      </w:r>
                      <w:r>
                        <w:t>w</w:t>
                      </w:r>
                      <w:r w:rsidRPr="007A6FDA">
                        <w:t>hile skills transferability is predicated on employability skills, they are not infinitely transferable</w:t>
                      </w:r>
                      <w:r>
                        <w:t>,</w:t>
                      </w:r>
                      <w:r w:rsidRPr="007A6FDA">
                        <w:t xml:space="preserve"> as commonly presented.</w:t>
                      </w:r>
                    </w:p>
                  </w:txbxContent>
                </v:textbox>
                <w10:wrap anchorx="margin" anchory="page"/>
                <w10:anchorlock/>
              </v:shape>
            </w:pict>
          </mc:Fallback>
        </mc:AlternateContent>
      </w:r>
      <w:r>
        <w:t xml:space="preserve">ations using the </w:t>
      </w:r>
      <w:r w:rsidR="00D035F2">
        <w:t>European Commission</w:t>
      </w:r>
      <w:r>
        <w:t xml:space="preserve"> framework showed that the </w:t>
      </w:r>
      <w:r w:rsidR="008E7AA0">
        <w:rPr>
          <w:noProof/>
          <w:lang w:eastAsia="en-AU"/>
        </w:rPr>
        <w:t>more distant the</w:t>
      </w:r>
      <w:r>
        <w:t xml:space="preserve"> two occupations are from each other in terms of job role, tasks and training package used, the less likely </w:t>
      </w:r>
      <w:r w:rsidR="008E7AA0">
        <w:t xml:space="preserve">it is </w:t>
      </w:r>
      <w:r>
        <w:t xml:space="preserve">that these occupations will maintain shared skills at the level of generic hard and specific hard skills. Skills transferability and occupational mobility, therefore, should be considered in relation to families or clusters of </w:t>
      </w:r>
      <w:r w:rsidR="002E2F48">
        <w:t>occupations,</w:t>
      </w:r>
      <w:r w:rsidR="00D035F2">
        <w:t xml:space="preserve"> which</w:t>
      </w:r>
      <w:r>
        <w:t xml:space="preserve"> draw upon similar skills and knowledge. This finding informed the second approach to asses</w:t>
      </w:r>
      <w:r w:rsidR="00D035F2">
        <w:t xml:space="preserve">sing skills transferability </w:t>
      </w:r>
      <w:r>
        <w:t>in the Australian training system.</w:t>
      </w:r>
      <w:r w:rsidR="00420EEF">
        <w:t xml:space="preserve"> </w:t>
      </w:r>
    </w:p>
    <w:p w:rsidR="004F0FD5" w:rsidRDefault="004F0FD5" w:rsidP="004F0FD5">
      <w:pPr>
        <w:pStyle w:val="Heading4"/>
      </w:pPr>
      <w:r>
        <w:rPr>
          <w:rFonts w:eastAsia="Tahoma"/>
        </w:rPr>
        <w:t xml:space="preserve">Occupational cluster and unit of competency-based analysis </w:t>
      </w:r>
    </w:p>
    <w:p w:rsidR="00F259A4" w:rsidRDefault="004F0FD5" w:rsidP="004F0FD5">
      <w:pPr>
        <w:pStyle w:val="Text"/>
      </w:pPr>
      <w:r>
        <w:t>The second approach utilised an occupational cluster and unit of competency analysis to examine the skills trans</w:t>
      </w:r>
      <w:r w:rsidR="00D035F2">
        <w:t xml:space="preserve">ferability potential </w:t>
      </w:r>
      <w:r>
        <w:t xml:space="preserve">in the </w:t>
      </w:r>
      <w:r w:rsidR="00D035F2">
        <w:t>Australian training system. I</w:t>
      </w:r>
      <w:r>
        <w:t>n the Australian context, the tendency has been to associate and understand occupations in relation to industries.</w:t>
      </w:r>
      <w:r w:rsidR="00BD1592">
        <w:t xml:space="preserve"> T</w:t>
      </w:r>
      <w:r>
        <w:t xml:space="preserve">his </w:t>
      </w:r>
      <w:r w:rsidR="00BD1592">
        <w:t xml:space="preserve">partially </w:t>
      </w:r>
      <w:r>
        <w:t>reflects Australia’s institutional history</w:t>
      </w:r>
      <w:r w:rsidR="00D035F2">
        <w:t>,</w:t>
      </w:r>
      <w:r>
        <w:t xml:space="preserve"> in which skills assessment and training for particular occupations w</w:t>
      </w:r>
      <w:r w:rsidR="00D035F2">
        <w:t>as</w:t>
      </w:r>
      <w:r>
        <w:t xml:space="preserve"> developed by industry-based </w:t>
      </w:r>
      <w:r w:rsidR="00D035F2">
        <w:t>skills councils</w:t>
      </w:r>
      <w:r>
        <w:t>. In many cases, however, occupat</w:t>
      </w:r>
      <w:r w:rsidR="00D035F2">
        <w:t xml:space="preserve">ions are not easily located </w:t>
      </w:r>
      <w:r>
        <w:t>in specific industries and are often found in multiple industries (</w:t>
      </w:r>
      <w:r w:rsidR="001C6537">
        <w:t>for example,</w:t>
      </w:r>
      <w:r>
        <w:t xml:space="preserve"> management an</w:t>
      </w:r>
      <w:r w:rsidR="00D035F2">
        <w:t>d clerical-</w:t>
      </w:r>
      <w:r>
        <w:t>related occupations).</w:t>
      </w:r>
    </w:p>
    <w:p w:rsidR="004F0FD5" w:rsidRDefault="004F0FD5" w:rsidP="004F0FD5">
      <w:pPr>
        <w:pStyle w:val="Text"/>
      </w:pPr>
      <w:r>
        <w:t xml:space="preserve">Industry-based approaches to understanding occupations also tend to limit how occupations are </w:t>
      </w:r>
      <w:r w:rsidR="00D035F2">
        <w:t>conceptualised</w:t>
      </w:r>
      <w:r>
        <w:t xml:space="preserve"> in relation to other types of occupations. In recognition of these limitations, it is relatively common in countries like the United States </w:t>
      </w:r>
      <w:r w:rsidR="00175C3A">
        <w:t xml:space="preserve">(US) </w:t>
      </w:r>
      <w:r>
        <w:t xml:space="preserve">to </w:t>
      </w:r>
      <w:r w:rsidR="00D70171">
        <w:t>consider</w:t>
      </w:r>
      <w:r>
        <w:t xml:space="preserve"> occupations as belonging to ‘families’ or ‘clusters’ located across industries. These occupational clusters contain certain elements (</w:t>
      </w:r>
      <w:r w:rsidR="001C6537">
        <w:t>for example,</w:t>
      </w:r>
      <w:r>
        <w:t xml:space="preserve"> skills, knowledge, tasks, activities, desirable employee attributes) which are common to ‘groups’ of occupations (Venn 1969; Frantz 1973).</w:t>
      </w:r>
      <w:r w:rsidR="00420EEF">
        <w:t xml:space="preserve"> </w:t>
      </w:r>
    </w:p>
    <w:p w:rsidR="00F259A4" w:rsidRDefault="004F0FD5" w:rsidP="004F0FD5">
      <w:pPr>
        <w:pStyle w:val="Text"/>
      </w:pPr>
      <w:r>
        <w:t xml:space="preserve">Since the 1960s the alignment of training programs to occupational clusters has become a feature of the US vocational training system (Hamilton 2012). Currently, a ‘career cluster’ training framework is used </w:t>
      </w:r>
      <w:r w:rsidR="002E2F48">
        <w:t xml:space="preserve">across the US to assist workers’ </w:t>
      </w:r>
      <w:r>
        <w:t>occupational mobil</w:t>
      </w:r>
      <w:r w:rsidR="002E2F48">
        <w:t>ity across groups of occupations</w:t>
      </w:r>
      <w:r>
        <w:t xml:space="preserve"> and </w:t>
      </w:r>
      <w:r w:rsidR="00175C3A">
        <w:t xml:space="preserve">in </w:t>
      </w:r>
      <w:r>
        <w:t xml:space="preserve">aligning vocational education and training with local economic and workforce development priorities (see Miller 2008; Janowski </w:t>
      </w:r>
      <w:r w:rsidR="00C25B0A">
        <w:t xml:space="preserve">et al. </w:t>
      </w:r>
      <w:r>
        <w:t>2009). Within this framework, there are 16 nationally recognised career clusters identified as having a common leve</w:t>
      </w:r>
      <w:r w:rsidR="00D035F2">
        <w:t>l of knowledge and skills (see f</w:t>
      </w:r>
      <w:r>
        <w:t>igure 2).</w:t>
      </w:r>
    </w:p>
    <w:p w:rsidR="004F0FD5" w:rsidRPr="00870BA3" w:rsidRDefault="004F0FD5" w:rsidP="00856034">
      <w:pPr>
        <w:pStyle w:val="Figuretitle"/>
        <w:spacing w:before="240"/>
      </w:pPr>
      <w:bookmarkStart w:id="46" w:name="_Toc432142531"/>
      <w:r w:rsidRPr="00870BA3">
        <w:t>Figure 2</w:t>
      </w:r>
      <w:r w:rsidRPr="00870BA3">
        <w:tab/>
        <w:t>Occupational clusters</w:t>
      </w:r>
      <w:bookmarkEnd w:id="46"/>
      <w:r w:rsidR="00DB5071" w:rsidRPr="00DB5071">
        <w:rPr>
          <w:noProof/>
          <w:lang w:eastAsia="en-AU"/>
        </w:rPr>
        <w:t xml:space="preserve"> </w:t>
      </w:r>
      <w:r w:rsidR="00DB5071">
        <w:rPr>
          <w:noProof/>
          <w:lang w:eastAsia="en-AU"/>
        </w:rPr>
        <mc:AlternateContent>
          <mc:Choice Requires="wps">
            <w:drawing>
              <wp:anchor distT="0" distB="0" distL="114300" distR="114300" simplePos="0" relativeHeight="252093440" behindDoc="0" locked="1" layoutInCell="1" allowOverlap="1" wp14:anchorId="36CCECCE" wp14:editId="6EA56769">
                <wp:simplePos x="0" y="0"/>
                <wp:positionH relativeFrom="outsideMargin">
                  <wp:posOffset>193675</wp:posOffset>
                </wp:positionH>
                <wp:positionV relativeFrom="page">
                  <wp:posOffset>778510</wp:posOffset>
                </wp:positionV>
                <wp:extent cx="1320800" cy="1805940"/>
                <wp:effectExtent l="0" t="0" r="0" b="381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805940"/>
                        </a:xfrm>
                        <a:prstGeom prst="rect">
                          <a:avLst/>
                        </a:prstGeom>
                        <a:noFill/>
                        <a:ln w="6350">
                          <a:noFill/>
                        </a:ln>
                        <a:effectLst>
                          <a:outerShdw blurRad="152400" dist="317500" dir="5400000" sx="90000" sy="-19000" rotWithShape="0">
                            <a:prstClr val="black">
                              <a:alpha val="15000"/>
                            </a:prstClr>
                          </a:outerShdw>
                        </a:effectLst>
                      </wps:spPr>
                      <wps:txbx>
                        <w:txbxContent>
                          <w:p w:rsidR="00396053" w:rsidRPr="00543BFF" w:rsidRDefault="00396053" w:rsidP="00DB5071">
                            <w:pPr>
                              <w:pStyle w:val="PullQuote"/>
                              <w:pBdr>
                                <w:top w:val="single" w:sz="8" w:space="2" w:color="auto"/>
                              </w:pBdr>
                            </w:pPr>
                            <w:r>
                              <w:t>Workers with the skills, knowledge and competencies common to a particular cluster will find it easier to transition into other occupations located within this cluster.</w:t>
                            </w:r>
                          </w:p>
                          <w:p w:rsidR="00396053" w:rsidRPr="00543BFF" w:rsidRDefault="00396053" w:rsidP="00DB5071">
                            <w:pPr>
                              <w:pStyle w:val="PullQuote"/>
                              <w:pBdr>
                                <w:top w:val="single" w:sz="8" w:space="2" w:color="auto"/>
                              </w:pBdr>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9" type="#_x0000_t202" style="position:absolute;left:0;text-align:left;margin-left:15.25pt;margin-top:61.3pt;width:104pt;height:142.2pt;z-index:25209344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" filled="f" stroked="f" strokeweight=".5pt">
                <v:shadow on="t" type="perspective" color="black" opacity="9830f" origin=",.5" offset="0,25pt" matrix="58982f,,,-12452f"/>
                <v:path arrowok="t"/>
                <v:textbox inset="10mm">
                  <w:txbxContent>
                    <w:p w:rsidR="00396053" w:rsidRPr="00543BFF" w:rsidRDefault="00396053" w:rsidP="00DB5071">
                      <w:pPr>
                        <w:pStyle w:val="PullQuote"/>
                        <w:pBdr>
                          <w:top w:val="single" w:sz="8" w:space="2" w:color="auto"/>
                        </w:pBdr>
                      </w:pPr>
                      <w:r>
                        <w:t>Workers with the skills, knowledge and competencies common to a particular cluster will find it easier to transition into other occupations located within this cluster.</w:t>
                      </w:r>
                    </w:p>
                    <w:p w:rsidR="00396053" w:rsidRPr="00543BFF" w:rsidRDefault="00396053" w:rsidP="00DB5071">
                      <w:pPr>
                        <w:pStyle w:val="PullQuote"/>
                        <w:pBdr>
                          <w:top w:val="single" w:sz="8" w:space="2" w:color="auto"/>
                        </w:pBdr>
                      </w:pPr>
                    </w:p>
                  </w:txbxContent>
                </v:textbox>
                <w10:wrap anchorx="margin" anchory="page"/>
                <w10:anchorlock/>
              </v:shape>
            </w:pict>
          </mc:Fallback>
        </mc:AlternateContent>
      </w:r>
    </w:p>
    <w:p w:rsidR="004F0FD5" w:rsidRDefault="00F259A4" w:rsidP="004F0FD5">
      <w:pPr>
        <w:pStyle w:val="Text"/>
      </w:pPr>
      <w:r>
        <w:rPr>
          <w:noProof/>
          <w:lang w:eastAsia="en-AU"/>
        </w:rPr>
        <w:drawing>
          <wp:anchor distT="0" distB="0" distL="114300" distR="114300" simplePos="0" relativeHeight="251764735" behindDoc="0" locked="0" layoutInCell="1" allowOverlap="1" wp14:anchorId="7710D96C" wp14:editId="5C71F513">
            <wp:simplePos x="0" y="0"/>
            <wp:positionH relativeFrom="column">
              <wp:posOffset>-25561</wp:posOffset>
            </wp:positionH>
            <wp:positionV relativeFrom="paragraph">
              <wp:posOffset>38100</wp:posOffset>
            </wp:positionV>
            <wp:extent cx="4589810" cy="3960267"/>
            <wp:effectExtent l="0" t="0" r="127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589810" cy="39602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0FD5" w:rsidRDefault="004F0FD5" w:rsidP="004F0FD5">
      <w:pPr>
        <w:pStyle w:val="Text"/>
      </w:pPr>
    </w:p>
    <w:p w:rsidR="004F0FD5" w:rsidRDefault="004F0FD5" w:rsidP="004F0FD5">
      <w:pPr>
        <w:pStyle w:val="Text"/>
      </w:pPr>
    </w:p>
    <w:p w:rsidR="004F0FD5" w:rsidRDefault="004F0FD5" w:rsidP="004F0FD5">
      <w:pPr>
        <w:pStyle w:val="Text"/>
      </w:pPr>
    </w:p>
    <w:p w:rsidR="004F0FD5" w:rsidRDefault="004F0FD5" w:rsidP="004F0FD5">
      <w:pPr>
        <w:pStyle w:val="Text"/>
      </w:pPr>
    </w:p>
    <w:p w:rsidR="004F0FD5" w:rsidRDefault="004F0FD5" w:rsidP="004F0FD5">
      <w:pPr>
        <w:pStyle w:val="Text"/>
      </w:pPr>
    </w:p>
    <w:p w:rsidR="004F0FD5" w:rsidRDefault="004F0FD5" w:rsidP="004F0FD5">
      <w:pPr>
        <w:pStyle w:val="Text"/>
      </w:pPr>
    </w:p>
    <w:p w:rsidR="004F0FD5" w:rsidRDefault="004F0FD5" w:rsidP="004F0FD5">
      <w:pPr>
        <w:pStyle w:val="Text"/>
      </w:pPr>
    </w:p>
    <w:p w:rsidR="004F0FD5" w:rsidRDefault="004F0FD5" w:rsidP="004F0FD5">
      <w:pPr>
        <w:pStyle w:val="Text"/>
      </w:pPr>
    </w:p>
    <w:p w:rsidR="004F0FD5" w:rsidRDefault="004F0FD5" w:rsidP="004F0FD5">
      <w:pPr>
        <w:pStyle w:val="Text"/>
      </w:pPr>
    </w:p>
    <w:p w:rsidR="004F0FD5" w:rsidRDefault="004F0FD5" w:rsidP="004F0FD5">
      <w:pPr>
        <w:pStyle w:val="Text"/>
      </w:pPr>
    </w:p>
    <w:p w:rsidR="004F0FD5" w:rsidRDefault="004F0FD5" w:rsidP="004F0FD5">
      <w:pPr>
        <w:pStyle w:val="Text"/>
      </w:pPr>
    </w:p>
    <w:p w:rsidR="004F0FD5" w:rsidRDefault="004F0FD5" w:rsidP="004F0FD5">
      <w:pPr>
        <w:pStyle w:val="Text"/>
      </w:pPr>
    </w:p>
    <w:p w:rsidR="00F259A4" w:rsidRDefault="00F259A4" w:rsidP="004F0FD5">
      <w:pPr>
        <w:pStyle w:val="Source"/>
      </w:pPr>
    </w:p>
    <w:p w:rsidR="00F259A4" w:rsidRDefault="00F259A4" w:rsidP="004F0FD5">
      <w:pPr>
        <w:pStyle w:val="Source"/>
      </w:pPr>
    </w:p>
    <w:p w:rsidR="004F0FD5" w:rsidRDefault="004F0FD5" w:rsidP="004F0FD5">
      <w:pPr>
        <w:pStyle w:val="Source"/>
      </w:pPr>
      <w:r>
        <w:t xml:space="preserve">Source: </w:t>
      </w:r>
      <w:r w:rsidR="00D9549F">
        <w:t xml:space="preserve">Jared </w:t>
      </w:r>
      <w:r w:rsidR="00EB2C25">
        <w:t>(</w:t>
      </w:r>
      <w:r w:rsidR="00D9549F">
        <w:t>2008</w:t>
      </w:r>
      <w:r w:rsidR="00EB2C25">
        <w:t>)</w:t>
      </w:r>
      <w:r w:rsidR="00D9549F">
        <w:t xml:space="preserve">; </w:t>
      </w:r>
      <w:r>
        <w:rPr>
          <w:rFonts w:ascii="Trebuchet MS" w:hAnsi="Trebuchet MS"/>
        </w:rPr>
        <w:t>O*Net</w:t>
      </w:r>
      <w:r w:rsidR="00EB2C25">
        <w:rPr>
          <w:rFonts w:ascii="Trebuchet MS" w:hAnsi="Trebuchet MS"/>
        </w:rPr>
        <w:t xml:space="preserve"> website.</w:t>
      </w:r>
    </w:p>
    <w:p w:rsidR="004F0FD5" w:rsidRPr="007D4C4A" w:rsidRDefault="004F0FD5" w:rsidP="004F0FD5">
      <w:pPr>
        <w:pStyle w:val="Text"/>
      </w:pPr>
      <w:r>
        <w:t>While all occupations require certain essential knowledge and skills (</w:t>
      </w:r>
      <w:r w:rsidR="00376568">
        <w:t>that is,</w:t>
      </w:r>
      <w:r w:rsidR="00D035F2">
        <w:t xml:space="preserve"> core skills), the cluster-</w:t>
      </w:r>
      <w:r>
        <w:t>level knowledge and skills set</w:t>
      </w:r>
      <w:r w:rsidR="00D132BE">
        <w:t xml:space="preserve"> is built on a common core</w:t>
      </w:r>
      <w:r>
        <w:t xml:space="preserve"> </w:t>
      </w:r>
      <w:r w:rsidR="00D70171">
        <w:t>required for career success within a group of similar occupations</w:t>
      </w:r>
      <w:r w:rsidR="00E50651">
        <w:t>. T</w:t>
      </w:r>
      <w:r w:rsidR="00856066">
        <w:t xml:space="preserve">he </w:t>
      </w:r>
      <w:r w:rsidR="008E7AA0">
        <w:t xml:space="preserve">more distant </w:t>
      </w:r>
      <w:r w:rsidR="006A0A1E">
        <w:t>two occupations are from each</w:t>
      </w:r>
      <w:r w:rsidR="00DB5071">
        <w:t xml:space="preserve"> </w:t>
      </w:r>
      <w:r w:rsidR="006A0A1E">
        <w:t>other in terms of job role, tasks and training</w:t>
      </w:r>
      <w:r w:rsidR="00D70171">
        <w:t xml:space="preserve"> package used, the less likely it is that </w:t>
      </w:r>
      <w:r w:rsidR="006A0A1E">
        <w:t xml:space="preserve">these occupations </w:t>
      </w:r>
      <w:r w:rsidR="00D70171">
        <w:t>will</w:t>
      </w:r>
      <w:r w:rsidR="00856066">
        <w:t xml:space="preserve"> have</w:t>
      </w:r>
      <w:r w:rsidR="006A0A1E">
        <w:t xml:space="preserve"> shared skills</w:t>
      </w:r>
      <w:r w:rsidR="00E50651">
        <w:t>.</w:t>
      </w:r>
      <w:r>
        <w:t xml:space="preserve"> This shared core consists of various elements and core competencies including: academic foun</w:t>
      </w:r>
      <w:r w:rsidR="00856066">
        <w:t>dations; communication; problem-</w:t>
      </w:r>
      <w:r>
        <w:t>solving and critical thinking; information technology capabilities; health and safety and environmental awareness; teamwork and leadership; ethics and legal responsibilities; employability and career development attributes; and technical (</w:t>
      </w:r>
      <w:r w:rsidR="00376568">
        <w:t>that is,</w:t>
      </w:r>
      <w:r>
        <w:t xml:space="preserve"> specific hard) skills (</w:t>
      </w:r>
      <w:r w:rsidR="008E7AA0">
        <w:t>Hamilton 2012). The implication</w:t>
      </w:r>
      <w:r>
        <w:t xml:space="preserve"> for occupational mobility is that workers with </w:t>
      </w:r>
      <w:r w:rsidR="0043301B">
        <w:t xml:space="preserve">the </w:t>
      </w:r>
      <w:r>
        <w:t xml:space="preserve">skills, knowledge and competencies common to a particular cluster will find it much easier to transition into other occupations located </w:t>
      </w:r>
      <w:r w:rsidRPr="007D4C4A">
        <w:t>within this cluster than into occupations located outside the cluster</w:t>
      </w:r>
      <w:r w:rsidR="008E7AA0">
        <w:t>.</w:t>
      </w:r>
      <w:r w:rsidR="00F77066" w:rsidRPr="007D4C4A">
        <w:t xml:space="preserve"> </w:t>
      </w:r>
      <w:r w:rsidR="008E7AA0">
        <w:t>(F</w:t>
      </w:r>
      <w:r w:rsidR="00F77066" w:rsidRPr="007D4C4A">
        <w:t xml:space="preserve">or further discussion of the transferability of </w:t>
      </w:r>
      <w:r w:rsidR="00F77066" w:rsidRPr="00856034">
        <w:t xml:space="preserve">technical skills </w:t>
      </w:r>
      <w:r w:rsidR="007D4C4A" w:rsidRPr="00856034">
        <w:t>between</w:t>
      </w:r>
      <w:r w:rsidR="00F77066" w:rsidRPr="00856034">
        <w:t xml:space="preserve"> occupations </w:t>
      </w:r>
      <w:r w:rsidR="007D4C4A" w:rsidRPr="00856034">
        <w:t xml:space="preserve">which </w:t>
      </w:r>
      <w:r w:rsidR="00F77066" w:rsidRPr="00856034">
        <w:t>sh</w:t>
      </w:r>
      <w:r w:rsidR="00856066">
        <w:t>are an affinity to one another;</w:t>
      </w:r>
      <w:r w:rsidR="007D4C4A">
        <w:t xml:space="preserve"> </w:t>
      </w:r>
      <w:r w:rsidR="00376568">
        <w:t>that is,</w:t>
      </w:r>
      <w:r w:rsidR="00F77066" w:rsidRPr="00856034">
        <w:t xml:space="preserve"> they are </w:t>
      </w:r>
      <w:r w:rsidR="008E7AA0">
        <w:t>located within the same cluster,</w:t>
      </w:r>
      <w:r w:rsidR="00F77066" w:rsidRPr="00856034">
        <w:t xml:space="preserve"> </w:t>
      </w:r>
      <w:r w:rsidR="007D4C4A" w:rsidRPr="00856034">
        <w:t>s</w:t>
      </w:r>
      <w:r w:rsidR="00C038F7">
        <w:t>ee support document</w:t>
      </w:r>
      <w:r w:rsidR="00BC0C15">
        <w:t xml:space="preserve"> 2</w:t>
      </w:r>
      <w:r w:rsidR="008E7AA0">
        <w:t>.</w:t>
      </w:r>
      <w:r w:rsidR="007D4C4A">
        <w:t>)</w:t>
      </w:r>
      <w:r w:rsidR="00420EEF">
        <w:t xml:space="preserve">  </w:t>
      </w:r>
    </w:p>
    <w:p w:rsidR="004F0FD5" w:rsidRDefault="004F0FD5" w:rsidP="004F0FD5">
      <w:pPr>
        <w:pStyle w:val="Text"/>
      </w:pPr>
      <w:r w:rsidRPr="007D4C4A">
        <w:t>Drawing on this knowledge, we examined the transferability potential of competencies</w:t>
      </w:r>
      <w:r>
        <w:t xml:space="preserve"> develop</w:t>
      </w:r>
      <w:r w:rsidR="00D70171">
        <w:t>ed in the Australian VET system</w:t>
      </w:r>
      <w:r>
        <w:t>.</w:t>
      </w:r>
      <w:r w:rsidR="00F73463">
        <w:t xml:space="preserve"> </w:t>
      </w:r>
      <w:r>
        <w:t xml:space="preserve">The procedure involved locating selected growing and declining occupations for skill levels 3 to 5 within occupational clusters </w:t>
      </w:r>
      <w:r w:rsidR="00D70171">
        <w:t xml:space="preserve">and </w:t>
      </w:r>
      <w:r>
        <w:t xml:space="preserve">utilising </w:t>
      </w:r>
      <w:r w:rsidR="00D70171">
        <w:t xml:space="preserve">the occupational cluster framework of </w:t>
      </w:r>
      <w:r>
        <w:t xml:space="preserve">the O*Net database. O*Net was developed </w:t>
      </w:r>
      <w:r w:rsidR="00D70171">
        <w:t>through</w:t>
      </w:r>
      <w:r>
        <w:t xml:space="preserve"> the </w:t>
      </w:r>
      <w:r w:rsidR="008E7AA0">
        <w:t>auspices</w:t>
      </w:r>
      <w:r>
        <w:t xml:space="preserve"> of the US Department of Labor/Employment and Training Administration and is the primary source of occupational information for identifying the location of all occupations within the 16 career clusters</w:t>
      </w:r>
      <w:r w:rsidR="00D01249">
        <w:t xml:space="preserve"> (O*Net 2015)</w:t>
      </w:r>
      <w:r>
        <w:t>. While the research team acknowledge</w:t>
      </w:r>
      <w:r w:rsidR="00856066">
        <w:t>s</w:t>
      </w:r>
      <w:r>
        <w:t xml:space="preserve"> that there are going to be knowledge and skills variations between Australian and US occupations, these differences are unlikely to be extensive and will relate primarily to differences in occupational health and safety and licensing requirements. The ‘cluster’ categorisation system and the extensive research that underpins this system are therefore considered appropriate for </w:t>
      </w:r>
      <w:r w:rsidR="00856066">
        <w:t>the</w:t>
      </w:r>
      <w:r>
        <w:t xml:space="preserve"> purposes of identifying occupational clusters in the Australian context.</w:t>
      </w:r>
    </w:p>
    <w:p w:rsidR="004F0FD5" w:rsidRDefault="004F0FD5" w:rsidP="004F0FD5">
      <w:pPr>
        <w:pStyle w:val="Text"/>
      </w:pPr>
      <w:r>
        <w:t xml:space="preserve">Following the identification of clusters </w:t>
      </w:r>
      <w:r w:rsidR="003149FA">
        <w:t>for</w:t>
      </w:r>
      <w:r>
        <w:t xml:space="preserve"> our selected growing and declining occupations, </w:t>
      </w:r>
      <w:r w:rsidR="008E7AA0">
        <w:t xml:space="preserve">the </w:t>
      </w:r>
      <w:r>
        <w:t>qualifications</w:t>
      </w:r>
      <w:r w:rsidR="003149FA">
        <w:t xml:space="preserve"> associated with them</w:t>
      </w:r>
      <w:r>
        <w:t xml:space="preserve"> and their core competencies were documented and examined.</w:t>
      </w:r>
      <w:r w:rsidR="00F73463">
        <w:t xml:space="preserve"> </w:t>
      </w:r>
      <w:r>
        <w:t>This examination involved considering the degree to which core units of competency for each qualification were</w:t>
      </w:r>
      <w:r w:rsidR="00856066">
        <w:t xml:space="preserve"> shared by other qualifications</w:t>
      </w:r>
      <w:r>
        <w:t xml:space="preserve"> and identifying the types of occupations and occupational clusters associated with these various qualifications. If it was established that many qualifications used the same unit of competency, the research team considered that unit to be developing skills that were more transferable than a unit that no other qualifications shared. Thus, through the examination of core units and the number of qualifications that used them, a clearer picture of the level of transferability of the qualification as a whole could be established</w:t>
      </w:r>
      <w:r w:rsidR="003149FA">
        <w:t>;</w:t>
      </w:r>
      <w:r>
        <w:t xml:space="preserve"> </w:t>
      </w:r>
      <w:r w:rsidR="00AE7FF9">
        <w:t xml:space="preserve">the </w:t>
      </w:r>
      <w:r>
        <w:t xml:space="preserve">types of occupations </w:t>
      </w:r>
      <w:r w:rsidR="00AE7FF9">
        <w:t xml:space="preserve">where </w:t>
      </w:r>
      <w:r>
        <w:t>the potential for employment mobility would be most feasible</w:t>
      </w:r>
      <w:r w:rsidR="003F2599">
        <w:t xml:space="preserve"> could also be identified</w:t>
      </w:r>
      <w:r>
        <w:t>.</w:t>
      </w:r>
    </w:p>
    <w:p w:rsidR="008E7AA0" w:rsidRDefault="004F0FD5" w:rsidP="004F0FD5">
      <w:pPr>
        <w:pStyle w:val="Text"/>
      </w:pPr>
      <w:r w:rsidRPr="00770F62">
        <w:t>Three key findings emerged from this occupational cluster and unit of competency analysis</w:t>
      </w:r>
      <w:r w:rsidR="008E7AA0">
        <w:t>. (S</w:t>
      </w:r>
      <w:r w:rsidRPr="00770F62">
        <w:t>ee</w:t>
      </w:r>
      <w:r w:rsidR="00D01249" w:rsidRPr="00770F62">
        <w:t xml:space="preserve"> </w:t>
      </w:r>
      <w:r w:rsidR="00C05FF3" w:rsidRPr="006C3B6C">
        <w:rPr>
          <w:szCs w:val="19"/>
        </w:rPr>
        <w:t>support document</w:t>
      </w:r>
      <w:r w:rsidR="00095EBD">
        <w:rPr>
          <w:szCs w:val="19"/>
        </w:rPr>
        <w:t xml:space="preserve"> 2</w:t>
      </w:r>
      <w:r w:rsidR="00C05FF3" w:rsidRPr="006C3B6C">
        <w:rPr>
          <w:szCs w:val="19"/>
        </w:rPr>
        <w:t xml:space="preserve"> </w:t>
      </w:r>
      <w:r w:rsidRPr="00770F62">
        <w:t>for additional findings</w:t>
      </w:r>
      <w:r w:rsidR="00095EBD">
        <w:t>.</w:t>
      </w:r>
      <w:r w:rsidR="008E7AA0">
        <w:t>)</w:t>
      </w:r>
      <w:r w:rsidRPr="00770F62">
        <w:t xml:space="preserve"> First, the assessment highlighted significant differences in the sharing of units of competencies among qualifications</w:t>
      </w:r>
      <w:r w:rsidR="007360F0" w:rsidRPr="00770F62">
        <w:t>,</w:t>
      </w:r>
      <w:r w:rsidRPr="00770F62">
        <w:t xml:space="preserve"> suggesting that some certificates provided a higher potential for occupational mobility than others. For example, the core units contained in the Certificate III in Engineering were shared on average by 45 other qualifications</w:t>
      </w:r>
      <w:r w:rsidR="007360F0" w:rsidRPr="00770F62">
        <w:t>,</w:t>
      </w:r>
      <w:r w:rsidRPr="00770F62">
        <w:t xml:space="preserve"> whereas the Certificate IV in Credit Management averaged o</w:t>
      </w:r>
      <w:r w:rsidR="008E7AA0">
        <w:t>nly seven other qualifications.</w:t>
      </w:r>
    </w:p>
    <w:p w:rsidR="004F0FD5" w:rsidRPr="00770F62" w:rsidRDefault="004F0FD5" w:rsidP="004F0FD5">
      <w:pPr>
        <w:pStyle w:val="Text"/>
      </w:pPr>
      <w:r w:rsidRPr="00770F62">
        <w:t>Second, the analysis showed that qualifications tended to share units of competen</w:t>
      </w:r>
      <w:r w:rsidR="003F2599">
        <w:t xml:space="preserve">cy with similar occupations </w:t>
      </w:r>
      <w:r w:rsidRPr="00770F62">
        <w:t xml:space="preserve">in the same occupational cluster. It was not uncommon, however, for units of competency to be shared between quite dissimilar occupations in different occupational clusters. For example, core units of competency for the Certificate III in Engineering were shared with the </w:t>
      </w:r>
      <w:r w:rsidR="003F2599" w:rsidRPr="00770F62">
        <w:t xml:space="preserve">medical technician </w:t>
      </w:r>
      <w:r w:rsidRPr="00770F62">
        <w:t xml:space="preserve">occupations from the </w:t>
      </w:r>
      <w:r w:rsidR="003F2599" w:rsidRPr="00770F62">
        <w:t xml:space="preserve">health science cluster and </w:t>
      </w:r>
      <w:r w:rsidR="008E7AA0">
        <w:t xml:space="preserve">the </w:t>
      </w:r>
      <w:r w:rsidR="003F2599" w:rsidRPr="00770F62">
        <w:t>organisation and methods analysts occupation from the business, management and administration cluster</w:t>
      </w:r>
      <w:r w:rsidRPr="00770F62">
        <w:t xml:space="preserve">. The Certificate IV in Retail Nursery shared its core units with six </w:t>
      </w:r>
      <w:r w:rsidR="003149FA">
        <w:t>other occupational clusters,</w:t>
      </w:r>
      <w:r w:rsidR="008E7AA0">
        <w:t xml:space="preserve"> illustrating</w:t>
      </w:r>
      <w:r w:rsidRPr="00770F62">
        <w:t xml:space="preserve"> skills transferability across a diverse rang</w:t>
      </w:r>
      <w:r w:rsidR="008E7AA0">
        <w:t>e of occupations</w:t>
      </w:r>
      <w:r w:rsidRPr="00770F62">
        <w:t>.</w:t>
      </w:r>
    </w:p>
    <w:p w:rsidR="004F0FD5" w:rsidRDefault="004F0FD5" w:rsidP="004F0FD5">
      <w:pPr>
        <w:pStyle w:val="Text"/>
      </w:pPr>
      <w:r w:rsidRPr="00770F62">
        <w:t>Third, the findings indicate that</w:t>
      </w:r>
      <w:r w:rsidR="00C25B0A">
        <w:t xml:space="preserve"> in many cases units of competency that clearly dev</w:t>
      </w:r>
      <w:r w:rsidR="000041A4">
        <w:t>eloped generic hard skills, therefore having</w:t>
      </w:r>
      <w:r w:rsidR="00C25B0A">
        <w:t xml:space="preserve"> the potential to be highly transferable, were not spread across a large number of qualifications</w:t>
      </w:r>
      <w:r w:rsidR="004004D7">
        <w:t xml:space="preserve"> </w:t>
      </w:r>
      <w:r w:rsidRPr="00770F62">
        <w:t>(</w:t>
      </w:r>
      <w:r w:rsidR="001C6537">
        <w:t>for example,</w:t>
      </w:r>
      <w:r w:rsidRPr="00770F62">
        <w:t xml:space="preserve"> ‘Plan and organising work’, and ‘Conduct workplace communication</w:t>
      </w:r>
      <w:r w:rsidR="003F2599">
        <w:t>’ in Certificate III in Joinery;</w:t>
      </w:r>
      <w:r w:rsidRPr="00770F62">
        <w:t xml:space="preserve"> ‘Plan a complete activity’ and ‘Plan to undertake a routine task’ in</w:t>
      </w:r>
      <w:r w:rsidR="003F2599">
        <w:t xml:space="preserve"> Certificate III in Engineering;</w:t>
      </w:r>
      <w:r w:rsidRPr="00770F62">
        <w:t xml:space="preserve"> and ‘Work safely’, ‘Communicate in the Workplace’, and ‘Work in a team’ in Certificate III in Timber Composites Machining).</w:t>
      </w:r>
      <w:r w:rsidR="000041A4">
        <w:t xml:space="preserve"> </w:t>
      </w:r>
      <w:r w:rsidRPr="00770F62">
        <w:t>Since countless qualif</w:t>
      </w:r>
      <w:r w:rsidR="0043301B">
        <w:t xml:space="preserve">ications and occupations rely </w:t>
      </w:r>
      <w:r w:rsidRPr="00770F62">
        <w:t>on skills associated with communication, planning and organising work, and working safely, it is</w:t>
      </w:r>
      <w:r>
        <w:t xml:space="preserve"> somewhat surprising that they have not been developed in a more transferable way. These findings suggest that the VET </w:t>
      </w:r>
      <w:r w:rsidR="006F36BC">
        <w:t>system</w:t>
      </w:r>
      <w:r w:rsidR="00DA3278">
        <w:t xml:space="preserve"> and the current design of training packages</w:t>
      </w:r>
      <w:r>
        <w:t xml:space="preserve"> may not be </w:t>
      </w:r>
      <w:r w:rsidR="00E94A88">
        <w:t>facilitating</w:t>
      </w:r>
      <w:r>
        <w:t xml:space="preserve"> transferability at the level of competency to its full potential and in ways </w:t>
      </w:r>
      <w:r w:rsidR="00854EAC">
        <w:rPr>
          <w:noProof/>
          <w:lang w:eastAsia="en-AU"/>
        </w:rPr>
        <mc:AlternateContent>
          <mc:Choice Requires="wps">
            <w:drawing>
              <wp:anchor distT="0" distB="0" distL="114300" distR="114300" simplePos="0" relativeHeight="252062720" behindDoc="0" locked="1" layoutInCell="1" allowOverlap="1" wp14:anchorId="6809989E" wp14:editId="5330C78E">
                <wp:simplePos x="0" y="0"/>
                <wp:positionH relativeFrom="outsideMargin">
                  <wp:posOffset>246380</wp:posOffset>
                </wp:positionH>
                <wp:positionV relativeFrom="page">
                  <wp:posOffset>768985</wp:posOffset>
                </wp:positionV>
                <wp:extent cx="1320800" cy="2110740"/>
                <wp:effectExtent l="0" t="0" r="0" b="381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110740"/>
                        </a:xfrm>
                        <a:prstGeom prst="rect">
                          <a:avLst/>
                        </a:prstGeom>
                        <a:noFill/>
                        <a:ln w="6350">
                          <a:noFill/>
                        </a:ln>
                        <a:effectLst>
                          <a:outerShdw blurRad="152400" dist="317500" dir="5400000" sx="90000" sy="-19000" rotWithShape="0">
                            <a:prstClr val="black">
                              <a:alpha val="15000"/>
                            </a:prstClr>
                          </a:outerShdw>
                        </a:effectLst>
                      </wps:spPr>
                      <wps:txbx>
                        <w:txbxContent>
                          <w:p w:rsidR="00396053" w:rsidRPr="00543BFF" w:rsidRDefault="00396053" w:rsidP="006F36BC">
                            <w:pPr>
                              <w:pStyle w:val="PullQuote"/>
                            </w:pPr>
                            <w:r>
                              <w:t>T</w:t>
                            </w:r>
                            <w:r w:rsidRPr="00770F62">
                              <w:t>he VET system</w:t>
                            </w:r>
                            <w:r>
                              <w:t xml:space="preserve"> and the current design of training packages </w:t>
                            </w:r>
                            <w:r w:rsidRPr="00770F62">
                              <w:t xml:space="preserve">may not be </w:t>
                            </w:r>
                            <w:r>
                              <w:t xml:space="preserve">facilitating </w:t>
                            </w:r>
                            <w:r w:rsidRPr="00770F62">
                              <w:t xml:space="preserve">transferability </w:t>
                            </w:r>
                            <w:r>
                              <w:t>to its full potential</w:t>
                            </w:r>
                            <w:r w:rsidRPr="00770F62">
                              <w:t xml:space="preserve"> in ways that </w:t>
                            </w:r>
                            <w:r>
                              <w:t>develop</w:t>
                            </w:r>
                            <w:r w:rsidRPr="00770F62">
                              <w:t xml:space="preserve"> generic competencies that can be used across any occupation.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0" type="#_x0000_t202" style="position:absolute;margin-left:19.4pt;margin-top:60.55pt;width:104pt;height:166.2pt;z-index:25206272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" filled="f" stroked="f" strokeweight=".5pt">
                <v:shadow on="t" type="perspective" color="black" opacity="9830f" origin=",.5" offset="0,25pt" matrix="58982f,,,-12452f"/>
                <v:path arrowok="t"/>
                <v:textbox inset="10mm">
                  <w:txbxContent>
                    <w:p w:rsidR="00396053" w:rsidRPr="00543BFF" w:rsidRDefault="00396053" w:rsidP="006F36BC">
                      <w:pPr>
                        <w:pStyle w:val="PullQuote"/>
                      </w:pPr>
                      <w:r>
                        <w:t>T</w:t>
                      </w:r>
                      <w:r w:rsidRPr="00770F62">
                        <w:t>he VET system</w:t>
                      </w:r>
                      <w:r>
                        <w:t xml:space="preserve"> and the current design of training packages </w:t>
                      </w:r>
                      <w:r w:rsidRPr="00770F62">
                        <w:t xml:space="preserve">may not be </w:t>
                      </w:r>
                      <w:r>
                        <w:t xml:space="preserve">facilitating </w:t>
                      </w:r>
                      <w:r w:rsidRPr="00770F62">
                        <w:t xml:space="preserve">transferability </w:t>
                      </w:r>
                      <w:r>
                        <w:t>to its full potential</w:t>
                      </w:r>
                      <w:r w:rsidRPr="00770F62">
                        <w:t xml:space="preserve"> in ways that </w:t>
                      </w:r>
                      <w:r>
                        <w:t>develop</w:t>
                      </w:r>
                      <w:r w:rsidRPr="00770F62">
                        <w:t xml:space="preserve"> generic competencies that can be used across any occupation.</w:t>
                      </w:r>
                    </w:p>
                  </w:txbxContent>
                </v:textbox>
                <w10:wrap anchorx="margin" anchory="page"/>
                <w10:anchorlock/>
              </v:shape>
            </w:pict>
          </mc:Fallback>
        </mc:AlternateContent>
      </w:r>
      <w:r>
        <w:t xml:space="preserve">that contribute to </w:t>
      </w:r>
      <w:r w:rsidR="00E94A88">
        <w:t xml:space="preserve">the </w:t>
      </w:r>
      <w:r>
        <w:t>develop</w:t>
      </w:r>
      <w:r w:rsidR="00E94A88">
        <w:t>men</w:t>
      </w:r>
      <w:r w:rsidR="0043301B">
        <w:t>t of generic competencies that</w:t>
      </w:r>
      <w:r>
        <w:t xml:space="preserve"> can be used not only within an occupational cluster but across any occupation. </w:t>
      </w:r>
    </w:p>
    <w:p w:rsidR="004F0FD5" w:rsidRDefault="004F0FD5" w:rsidP="004F0FD5">
      <w:pPr>
        <w:pStyle w:val="Text"/>
      </w:pPr>
      <w:r>
        <w:t xml:space="preserve">The analysis provided further evidence that there are opportunities for workers located in declining occupations to take </w:t>
      </w:r>
      <w:r w:rsidR="00C533F1">
        <w:t xml:space="preserve">up employment opportunities </w:t>
      </w:r>
      <w:r w:rsidR="00E94A88">
        <w:t>in growing occupations</w:t>
      </w:r>
      <w:r>
        <w:t xml:space="preserve"> and </w:t>
      </w:r>
      <w:r w:rsidR="00E94A88">
        <w:t xml:space="preserve">that </w:t>
      </w:r>
      <w:r>
        <w:t>the Australian training system is designed in ways that facilitates this process</w:t>
      </w:r>
      <w:r w:rsidR="00C533F1">
        <w:t>,</w:t>
      </w:r>
      <w:r>
        <w:t xml:space="preserve"> albeit not perfectly. Opportunities for occupational mobility are going to be the least challenging if the transfer is sought from occupations within the same occupational cluster and same skill level. The findings suggest, however, it </w:t>
      </w:r>
      <w:r w:rsidR="00C533F1">
        <w:t>would be</w:t>
      </w:r>
      <w:r>
        <w:t xml:space="preserve"> highly unusual </w:t>
      </w:r>
      <w:r w:rsidR="00C533F1">
        <w:t>for</w:t>
      </w:r>
      <w:r>
        <w:t xml:space="preserve"> some additional training or upskilling not </w:t>
      </w:r>
      <w:r w:rsidR="00C533F1">
        <w:t xml:space="preserve">to </w:t>
      </w:r>
      <w:r>
        <w:t xml:space="preserve">be required. We could only find a few cases among the identified declining and growing occupations where little or no additional training would be required for occupational mobility. This was between: </w:t>
      </w:r>
      <w:r w:rsidR="00C533F1">
        <w:t>keyboard operators, secretaries and personal assistant</w:t>
      </w:r>
      <w:r>
        <w:t xml:space="preserve">s who reside in the same occupational cluster and perform very similar types of work; </w:t>
      </w:r>
      <w:r w:rsidR="00C533F1">
        <w:t xml:space="preserve">tool makers, fitters and metal fabricators who share part of the same qualification within the same occupational cluster; joiners and carpenters who have similar job roles but different qualifications; and nursery persons and gardeners </w:t>
      </w:r>
      <w:r>
        <w:t xml:space="preserve">who are in similar lines of work </w:t>
      </w:r>
      <w:r w:rsidR="00C55C91">
        <w:rPr>
          <w:noProof/>
          <w:lang w:eastAsia="en-AU"/>
        </w:rPr>
        <mc:AlternateContent>
          <mc:Choice Requires="wps">
            <w:drawing>
              <wp:anchor distT="0" distB="0" distL="114300" distR="114300" simplePos="0" relativeHeight="252113920" behindDoc="0" locked="1" layoutInCell="1" allowOverlap="1" wp14:anchorId="36AC0742" wp14:editId="009F5016">
                <wp:simplePos x="0" y="0"/>
                <wp:positionH relativeFrom="outsideMargin">
                  <wp:posOffset>267970</wp:posOffset>
                </wp:positionH>
                <wp:positionV relativeFrom="page">
                  <wp:posOffset>771525</wp:posOffset>
                </wp:positionV>
                <wp:extent cx="1320800" cy="2042795"/>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042795"/>
                        </a:xfrm>
                        <a:prstGeom prst="rect">
                          <a:avLst/>
                        </a:prstGeom>
                        <a:noFill/>
                        <a:ln w="6350">
                          <a:noFill/>
                        </a:ln>
                        <a:effectLst>
                          <a:outerShdw blurRad="152400" dist="317500" dir="5400000" sx="90000" sy="-19000" rotWithShape="0">
                            <a:prstClr val="black">
                              <a:alpha val="15000"/>
                            </a:prstClr>
                          </a:outerShdw>
                        </a:effectLst>
                      </wps:spPr>
                      <wps:txbx>
                        <w:txbxContent>
                          <w:p w:rsidR="00396053" w:rsidRPr="008E4288" w:rsidRDefault="00396053" w:rsidP="00C55C91">
                            <w:pPr>
                              <w:pStyle w:val="PullQuote"/>
                            </w:pPr>
                            <w:r>
                              <w:t>Opportunities for occupational mobility are going to be the least challenging if the transfer is sought from occupations within the same occupational cluster and same skill level.</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41" type="#_x0000_t202" style="position:absolute;margin-left:21.1pt;margin-top:60.75pt;width:104pt;height:160.85pt;z-index:25211392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" filled="f" stroked="f" strokeweight=".5pt">
                <v:shadow on="t" type="perspective" color="black" opacity="9830f" origin=",.5" offset="0,25pt" matrix="58982f,,,-12452f"/>
                <v:path arrowok="t"/>
                <v:textbox inset="10mm">
                  <w:txbxContent>
                    <w:p w:rsidR="00396053" w:rsidRPr="008E4288" w:rsidRDefault="00396053" w:rsidP="00C55C91">
                      <w:pPr>
                        <w:pStyle w:val="PullQuote"/>
                      </w:pPr>
                      <w:r>
                        <w:t>Opportunities for occupational mobility are going to be the least challenging if the transfer is sought from occupations within the same occupational cluster and same skill level.</w:t>
                      </w:r>
                    </w:p>
                  </w:txbxContent>
                </v:textbox>
                <w10:wrap anchorx="margin" anchory="page"/>
                <w10:anchorlock/>
              </v:shape>
            </w:pict>
          </mc:Fallback>
        </mc:AlternateContent>
      </w:r>
      <w:r>
        <w:t>in the same occupational cluster. The results of the analysis, however, also indica</w:t>
      </w:r>
      <w:r w:rsidR="00E94A88">
        <w:t xml:space="preserve">ted that there are barriers </w:t>
      </w:r>
      <w:r>
        <w:t>in the design of the training system</w:t>
      </w:r>
      <w:r w:rsidR="00C533F1">
        <w:t xml:space="preserve"> </w:t>
      </w:r>
      <w:r>
        <w:t>—</w:t>
      </w:r>
      <w:r w:rsidR="00C533F1">
        <w:t xml:space="preserve"> </w:t>
      </w:r>
      <w:r>
        <w:t>including its industry-based orientation</w:t>
      </w:r>
      <w:r w:rsidR="00C533F1">
        <w:t xml:space="preserve"> </w:t>
      </w:r>
      <w:r>
        <w:t>—</w:t>
      </w:r>
      <w:r w:rsidR="00C533F1">
        <w:t xml:space="preserve"> </w:t>
      </w:r>
      <w:r>
        <w:t>which are limiting the capacity for effective skills transferability and occupational mobility.</w:t>
      </w:r>
      <w:r w:rsidR="00F73463">
        <w:t xml:space="preserve"> </w:t>
      </w:r>
    </w:p>
    <w:p w:rsidR="004F0FD5" w:rsidRPr="00AE7FF9" w:rsidRDefault="004F0FD5" w:rsidP="00856034">
      <w:pPr>
        <w:pStyle w:val="Heading2"/>
        <w:ind w:right="0"/>
      </w:pPr>
      <w:bookmarkStart w:id="47" w:name="_Toc449707287"/>
      <w:r w:rsidRPr="00AE7FF9">
        <w:rPr>
          <w:rFonts w:eastAsia="Arial"/>
        </w:rPr>
        <w:t>Transferable skills among retrenched and vulnerable workers</w:t>
      </w:r>
      <w:bookmarkEnd w:id="47"/>
    </w:p>
    <w:p w:rsidR="004F0FD5" w:rsidRDefault="004F0FD5" w:rsidP="004F0FD5">
      <w:pPr>
        <w:pStyle w:val="Text"/>
      </w:pPr>
      <w:r w:rsidRPr="00AE7FF9">
        <w:t xml:space="preserve">The </w:t>
      </w:r>
      <w:r w:rsidRPr="00D8485D">
        <w:t>process of identifying and utilising transferable skills in the context of company</w:t>
      </w:r>
      <w:r>
        <w:t xml:space="preserve"> closure and worker </w:t>
      </w:r>
      <w:r w:rsidR="00A0462C">
        <w:t>retrenchment</w:t>
      </w:r>
      <w:r>
        <w:t xml:space="preserve"> is examined in the context of the oc</w:t>
      </w:r>
      <w:r w:rsidR="00637798">
        <w:t xml:space="preserve">cupational changes </w:t>
      </w:r>
      <w:r w:rsidR="00E94A88">
        <w:t>described</w:t>
      </w:r>
      <w:r w:rsidR="00637798">
        <w:t xml:space="preserve"> above</w:t>
      </w:r>
      <w:r>
        <w:t>. As explained earlier, occ</w:t>
      </w:r>
      <w:r w:rsidR="00C533F1">
        <w:t>upations located in the service-</w:t>
      </w:r>
      <w:r>
        <w:t xml:space="preserve">oriented sectors, including </w:t>
      </w:r>
      <w:r w:rsidR="00C533F1">
        <w:t>hospitality, health</w:t>
      </w:r>
      <w:r w:rsidR="0043301B">
        <w:t xml:space="preserve"> </w:t>
      </w:r>
      <w:r w:rsidR="00C533F1">
        <w:t>care, retail and education and training</w:t>
      </w:r>
      <w:r w:rsidR="00AE7FF9">
        <w:t>,</w:t>
      </w:r>
      <w:r>
        <w:t xml:space="preserve"> have grown</w:t>
      </w:r>
      <w:r w:rsidR="00C533F1">
        <w:t xml:space="preserve"> while those in m</w:t>
      </w:r>
      <w:r>
        <w:t xml:space="preserve">anufacturing have declined. The question then is: what happens to the retrenched workers and do they have skills that can help them </w:t>
      </w:r>
      <w:r w:rsidR="00E94A88">
        <w:t xml:space="preserve">to </w:t>
      </w:r>
      <w:r>
        <w:t>obtain work in these new workplaces? We address this question using interview data collected as part of the case studies at Geelong</w:t>
      </w:r>
      <w:r w:rsidR="00AF100C">
        <w:t xml:space="preserve"> </w:t>
      </w:r>
      <w:r>
        <w:t>and Latrobe Valley. A number of companies were utilised in the case studies</w:t>
      </w:r>
      <w:r w:rsidR="00C533F1">
        <w:t>,</w:t>
      </w:r>
      <w:r>
        <w:t xml:space="preserve"> including Ford Motor Compa</w:t>
      </w:r>
      <w:r w:rsidR="00C533F1">
        <w:t>ny and Alcoa Alumina in Geelong</w:t>
      </w:r>
      <w:r>
        <w:t xml:space="preserve"> and power stations across the Latrobe Valley, including Energy Brix, Yallourn and Hazelwood Power Stations. The intervie</w:t>
      </w:r>
      <w:r w:rsidR="00C533F1">
        <w:t>ws involved retrenched and soon-to-</w:t>
      </w:r>
      <w:r>
        <w:t>be retrenched workers from these companies</w:t>
      </w:r>
      <w:r w:rsidR="00AE7FF9">
        <w:t>,</w:t>
      </w:r>
      <w:r>
        <w:t xml:space="preserve"> as well as representatives from a wide range of </w:t>
      </w:r>
      <w:r w:rsidR="00E94A88">
        <w:t>participants</w:t>
      </w:r>
      <w:r>
        <w:t xml:space="preserve"> in the transition process, including employers, unions, training providers, job support agencies </w:t>
      </w:r>
      <w:r w:rsidR="00C870A3">
        <w:t>and</w:t>
      </w:r>
      <w:r>
        <w:t xml:space="preserve"> state government officials</w:t>
      </w:r>
      <w:r w:rsidR="00E94A88">
        <w:t>. (F</w:t>
      </w:r>
      <w:r>
        <w:t xml:space="preserve">or more details on the case studies refer to </w:t>
      </w:r>
      <w:r w:rsidR="00C533F1">
        <w:rPr>
          <w:szCs w:val="19"/>
        </w:rPr>
        <w:t>support document</w:t>
      </w:r>
      <w:r w:rsidR="00095EBD">
        <w:rPr>
          <w:szCs w:val="19"/>
        </w:rPr>
        <w:t xml:space="preserve"> 3</w:t>
      </w:r>
      <w:r w:rsidR="0043301B">
        <w:rPr>
          <w:szCs w:val="19"/>
        </w:rPr>
        <w:t>.</w:t>
      </w:r>
      <w:r w:rsidR="0043301B">
        <w:t>)</w:t>
      </w:r>
    </w:p>
    <w:p w:rsidR="00DB5071" w:rsidRDefault="00863ED4" w:rsidP="004F0FD5">
      <w:pPr>
        <w:pStyle w:val="Text"/>
      </w:pPr>
      <w:r>
        <w:t xml:space="preserve">The argument pursued here is that the concept of skills transferability must be understood by all these key players, especially the affected workers, their current employers, future employers and training providers, as well as job support agencies, whose role it is to ensure </w:t>
      </w:r>
      <w:r w:rsidR="00C533F1">
        <w:t xml:space="preserve">that </w:t>
      </w:r>
      <w:r>
        <w:t xml:space="preserve">retrenched workers are appropriately transitioned to new jobs. Such understanding will ensure that the different players can undertake </w:t>
      </w:r>
      <w:r w:rsidR="00C533F1">
        <w:t>their roles, as illustrated in f</w:t>
      </w:r>
      <w:r>
        <w:t>igu</w:t>
      </w:r>
      <w:r w:rsidR="00E94A88">
        <w:t>re 3, to the greater benefit of not only the workers</w:t>
      </w:r>
      <w:r>
        <w:t xml:space="preserve"> but the economy at large.</w:t>
      </w:r>
    </w:p>
    <w:p w:rsidR="00DB5071" w:rsidRDefault="00DB5071">
      <w:pPr>
        <w:spacing w:before="0" w:line="240" w:lineRule="auto"/>
      </w:pPr>
      <w:r>
        <w:br w:type="page"/>
      </w:r>
    </w:p>
    <w:bookmarkStart w:id="48" w:name="_Toc432142532"/>
    <w:p w:rsidR="004F0FD5" w:rsidRDefault="00DB5071" w:rsidP="00856034">
      <w:pPr>
        <w:pStyle w:val="Figuretitle"/>
        <w:spacing w:before="240"/>
      </w:pPr>
      <w:r>
        <w:rPr>
          <w:noProof/>
          <w:lang w:eastAsia="en-AU"/>
        </w:rPr>
        <mc:AlternateContent>
          <mc:Choice Requires="wps">
            <w:drawing>
              <wp:anchor distT="0" distB="0" distL="114300" distR="114300" simplePos="0" relativeHeight="252095488" behindDoc="0" locked="1" layoutInCell="1" allowOverlap="1" wp14:anchorId="06E5E96E" wp14:editId="3D38E479">
                <wp:simplePos x="0" y="0"/>
                <wp:positionH relativeFrom="outsideMargin">
                  <wp:posOffset>276860</wp:posOffset>
                </wp:positionH>
                <wp:positionV relativeFrom="page">
                  <wp:posOffset>774065</wp:posOffset>
                </wp:positionV>
                <wp:extent cx="1320800" cy="175260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752600"/>
                        </a:xfrm>
                        <a:prstGeom prst="rect">
                          <a:avLst/>
                        </a:prstGeom>
                        <a:noFill/>
                        <a:ln w="6350">
                          <a:noFill/>
                        </a:ln>
                        <a:effectLst>
                          <a:outerShdw blurRad="152400" dist="317500" dir="5400000" sx="90000" sy="-19000" rotWithShape="0">
                            <a:prstClr val="black">
                              <a:alpha val="15000"/>
                            </a:prstClr>
                          </a:outerShdw>
                        </a:effectLst>
                      </wps:spPr>
                      <wps:txbx>
                        <w:txbxContent>
                          <w:p w:rsidR="00396053" w:rsidRPr="00543BFF" w:rsidRDefault="00396053" w:rsidP="00DB5071">
                            <w:pPr>
                              <w:pStyle w:val="PullQuote"/>
                            </w:pPr>
                            <w:r w:rsidRPr="002C5F43">
                              <w:t>Workers’ understanding of their skills is informed by the nature of their employment and the amount of accredited training they have undertaken.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2" type="#_x0000_t202" style="position:absolute;left:0;text-align:left;margin-left:21.8pt;margin-top:60.95pt;width:104pt;height:138pt;z-index:25209548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" filled="f" stroked="f" strokeweight=".5pt">
                <v:shadow on="t" type="perspective" color="black" opacity="9830f" origin=",.5" offset="0,25pt" matrix="58982f,,,-12452f"/>
                <v:path arrowok="t"/>
                <v:textbox inset="10mm">
                  <w:txbxContent>
                    <w:p w:rsidR="00396053" w:rsidRPr="00543BFF" w:rsidRDefault="00396053" w:rsidP="00DB5071">
                      <w:pPr>
                        <w:pStyle w:val="PullQuote"/>
                      </w:pPr>
                      <w:r w:rsidRPr="002C5F43">
                        <w:t>Workers’ understanding of their skills is informed by the nature of their employment and the amount of accredited training they have undertaken.</w:t>
                      </w:r>
                    </w:p>
                  </w:txbxContent>
                </v:textbox>
                <w10:wrap anchorx="margin" anchory="page"/>
                <w10:anchorlock/>
              </v:shape>
            </w:pict>
          </mc:Fallback>
        </mc:AlternateContent>
      </w:r>
      <w:r>
        <w:rPr>
          <w:rFonts w:eastAsia="Tahoma"/>
        </w:rPr>
        <w:t xml:space="preserve"> </w:t>
      </w:r>
      <w:r w:rsidR="004F0FD5">
        <w:rPr>
          <w:rFonts w:eastAsia="Tahoma"/>
        </w:rPr>
        <w:t>Figure 3      Redundancy and the actors involved in employment transition</w:t>
      </w:r>
      <w:bookmarkEnd w:id="48"/>
      <w:r w:rsidR="004F0FD5">
        <w:rPr>
          <w:rFonts w:eastAsia="Tahoma"/>
        </w:rPr>
        <w:t xml:space="preserve"> </w:t>
      </w:r>
    </w:p>
    <w:p w:rsidR="004F0FD5" w:rsidRDefault="00DB5071" w:rsidP="004F0FD5">
      <w:r>
        <w:rPr>
          <w:noProof/>
          <w:lang w:eastAsia="en-AU"/>
        </w:rPr>
        <w:drawing>
          <wp:anchor distT="0" distB="0" distL="114300" distR="114300" simplePos="0" relativeHeight="252071936" behindDoc="0" locked="0" layoutInCell="1" allowOverlap="1" wp14:anchorId="087B1418" wp14:editId="74BE9ECD">
            <wp:simplePos x="0" y="0"/>
            <wp:positionH relativeFrom="column">
              <wp:posOffset>-27940</wp:posOffset>
            </wp:positionH>
            <wp:positionV relativeFrom="paragraph">
              <wp:posOffset>105410</wp:posOffset>
            </wp:positionV>
            <wp:extent cx="5041265" cy="6177915"/>
            <wp:effectExtent l="0" t="0" r="698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1265" cy="6177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FD5" w:rsidRDefault="00970141" w:rsidP="004F0FD5">
      <w:pPr>
        <w:pStyle w:val="Heading2"/>
      </w:pPr>
      <w:bookmarkStart w:id="49" w:name="_Toc449707288"/>
      <w:r>
        <w:rPr>
          <w:rFonts w:eastAsia="Arial"/>
        </w:rPr>
        <w:t>Workers’ understanding of their s</w:t>
      </w:r>
      <w:r w:rsidR="004F0FD5">
        <w:rPr>
          <w:rFonts w:eastAsia="Arial"/>
        </w:rPr>
        <w:t>kills</w:t>
      </w:r>
      <w:bookmarkEnd w:id="49"/>
    </w:p>
    <w:p w:rsidR="004F0FD5" w:rsidRDefault="004F0FD5" w:rsidP="004F0FD5">
      <w:pPr>
        <w:pStyle w:val="Text"/>
      </w:pPr>
      <w:r w:rsidRPr="002C5F43">
        <w:t>Workers’ underst</w:t>
      </w:r>
      <w:r w:rsidR="00E94A88">
        <w:t>anding of their skills and the</w:t>
      </w:r>
      <w:r w:rsidRPr="002C5F43">
        <w:t xml:space="preserve"> </w:t>
      </w:r>
      <w:r w:rsidR="00E94A88" w:rsidRPr="002C5F43">
        <w:t xml:space="preserve">potential </w:t>
      </w:r>
      <w:r w:rsidR="00E94A88">
        <w:t xml:space="preserve">for their </w:t>
      </w:r>
      <w:r w:rsidRPr="002C5F43">
        <w:t xml:space="preserve">transferability </w:t>
      </w:r>
      <w:r w:rsidR="00C533F1">
        <w:t>would appear</w:t>
      </w:r>
      <w:r w:rsidRPr="002C5F43">
        <w:t xml:space="preserve"> to be informed by the nature of their employment and the amount of accredited training</w:t>
      </w:r>
      <w:r w:rsidR="00C870A3" w:rsidRPr="002C5F43">
        <w:t xml:space="preserve"> they have </w:t>
      </w:r>
      <w:r w:rsidR="00E94A88">
        <w:t>undertaken</w:t>
      </w:r>
      <w:r w:rsidRPr="002C5F43">
        <w:t>.</w:t>
      </w:r>
      <w:r>
        <w:t xml:space="preserve"> The study identified three different categories of workers, each possessing </w:t>
      </w:r>
      <w:r w:rsidR="00E94A88">
        <w:t>distinctive</w:t>
      </w:r>
      <w:r>
        <w:t xml:space="preserve"> skills, qualifications, and labour market experiences that ultimately impacted </w:t>
      </w:r>
      <w:r w:rsidR="00C533F1">
        <w:t xml:space="preserve">on </w:t>
      </w:r>
      <w:r>
        <w:t>their skills transferability and occup</w:t>
      </w:r>
      <w:r w:rsidR="00E94A88">
        <w:t>ational mobility potential. These categories are</w:t>
      </w:r>
      <w:r>
        <w:t xml:space="preserve"> direct company employees, indirect contractor employees and company casual employees.</w:t>
      </w:r>
    </w:p>
    <w:p w:rsidR="004F0FD5" w:rsidRDefault="004F0FD5" w:rsidP="004F0FD5">
      <w:pPr>
        <w:pStyle w:val="Text"/>
      </w:pPr>
      <w:r>
        <w:t xml:space="preserve">Those in the first category invariably held the most secure and best remunerated positions. They had also generally only worked in the same industry and for </w:t>
      </w:r>
      <w:r w:rsidR="00E94A88">
        <w:t>a</w:t>
      </w:r>
      <w:r>
        <w:t xml:space="preserve"> single employer for many years, in many cases, all of their working lives. As a result, they tended to be </w:t>
      </w:r>
      <w:r w:rsidR="00854EAC">
        <w:rPr>
          <w:noProof/>
          <w:lang w:eastAsia="en-AU"/>
        </w:rPr>
        <mc:AlternateContent>
          <mc:Choice Requires="wps">
            <w:drawing>
              <wp:anchor distT="0" distB="0" distL="114300" distR="114300" simplePos="0" relativeHeight="252034048" behindDoc="0" locked="1" layoutInCell="1" allowOverlap="1" wp14:anchorId="273FAAE0" wp14:editId="508B2559">
                <wp:simplePos x="0" y="0"/>
                <wp:positionH relativeFrom="outsideMargin">
                  <wp:posOffset>210820</wp:posOffset>
                </wp:positionH>
                <wp:positionV relativeFrom="page">
                  <wp:posOffset>762000</wp:posOffset>
                </wp:positionV>
                <wp:extent cx="1320800" cy="204279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042795"/>
                        </a:xfrm>
                        <a:prstGeom prst="rect">
                          <a:avLst/>
                        </a:prstGeom>
                        <a:noFill/>
                        <a:ln w="6350">
                          <a:noFill/>
                        </a:ln>
                        <a:effectLst>
                          <a:outerShdw blurRad="152400" dist="317500" dir="5400000" sx="90000" sy="-19000" rotWithShape="0">
                            <a:prstClr val="black">
                              <a:alpha val="15000"/>
                            </a:prstClr>
                          </a:outerShdw>
                        </a:effectLst>
                      </wps:spPr>
                      <wps:txbx>
                        <w:txbxContent>
                          <w:p w:rsidR="00396053" w:rsidRPr="008E4288" w:rsidRDefault="00396053" w:rsidP="001B2302">
                            <w:pPr>
                              <w:pStyle w:val="PullQuote"/>
                            </w:pPr>
                            <w:r w:rsidRPr="00856034">
                              <w:t>For direct company employees</w:t>
                            </w:r>
                            <w:r>
                              <w:t>,</w:t>
                            </w:r>
                            <w:r w:rsidRPr="00856034">
                              <w:t xml:space="preserve"> </w:t>
                            </w:r>
                            <w:r w:rsidRPr="00C662AE">
                              <w:t xml:space="preserve">the concept of transferability of skills had never </w:t>
                            </w:r>
                            <w:r>
                              <w:t>been an issue</w:t>
                            </w:r>
                            <w:r w:rsidRPr="00C662AE">
                              <w:t xml:space="preserve"> because they had never considered </w:t>
                            </w:r>
                            <w:r>
                              <w:t>the possibility of</w:t>
                            </w:r>
                            <w:r w:rsidRPr="00C662AE">
                              <w:t xml:space="preserve"> changes to their employment status.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margin-left:16.6pt;margin-top:60pt;width:104pt;height:160.85pt;z-index:25203404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" filled="f" stroked="f" strokeweight=".5pt">
                <v:shadow on="t" type="perspective" color="black" opacity="9830f" origin=",.5" offset="0,25pt" matrix="58982f,,,-12452f"/>
                <v:path arrowok="t"/>
                <v:textbox inset="10mm">
                  <w:txbxContent>
                    <w:p w:rsidR="00396053" w:rsidRPr="008E4288" w:rsidRDefault="00396053" w:rsidP="001B2302">
                      <w:pPr>
                        <w:pStyle w:val="PullQuote"/>
                      </w:pPr>
                      <w:r w:rsidRPr="00856034">
                        <w:t>For direct company employees</w:t>
                      </w:r>
                      <w:r>
                        <w:t>,</w:t>
                      </w:r>
                      <w:r w:rsidRPr="00856034">
                        <w:t xml:space="preserve"> </w:t>
                      </w:r>
                      <w:r w:rsidRPr="00C662AE">
                        <w:t xml:space="preserve">the concept of transferability of skills had never </w:t>
                      </w:r>
                      <w:r>
                        <w:t>been an issue</w:t>
                      </w:r>
                      <w:r w:rsidRPr="00C662AE">
                        <w:t xml:space="preserve"> because they had never considered </w:t>
                      </w:r>
                      <w:r>
                        <w:t>the possibility of</w:t>
                      </w:r>
                      <w:r w:rsidRPr="00C662AE">
                        <w:t xml:space="preserve"> changes to their employment status.</w:t>
                      </w:r>
                    </w:p>
                  </w:txbxContent>
                </v:textbox>
                <w10:wrap anchorx="margin" anchory="page"/>
                <w10:anchorlock/>
              </v:shape>
            </w:pict>
          </mc:Fallback>
        </mc:AlternateContent>
      </w:r>
      <w:r>
        <w:t xml:space="preserve">unskilled or semi-skilled and often had no formally recognised qualifications. </w:t>
      </w:r>
      <w:r w:rsidR="00DB5071">
        <w:t>On the other hand, t</w:t>
      </w:r>
      <w:r>
        <w:t>hose in the</w:t>
      </w:r>
      <w:r w:rsidR="00AF100C">
        <w:t xml:space="preserve"> </w:t>
      </w:r>
      <w:r>
        <w:t xml:space="preserve">second category, employed by contractors, tended to have nationally recognised certificates and trade qualifications and had generally worked for many employers across several industries. Their jobs tended to be less secure, as they typically only lasted for the duration of the firm’s contract with the parent company. The third category of workers, </w:t>
      </w:r>
      <w:r w:rsidR="00376568">
        <w:t>that is,</w:t>
      </w:r>
      <w:r>
        <w:t xml:space="preserve"> casual employees, typically performed specialised work for either the contract firms or the parent company mostly on a needs basis. The remuneration for this casual work is significant, but the work is short lived. Casual employees would also have experienced multiple employers across different industries. These categories were much more defined in the Latrobe Valley power plants than at Ford in Geelong, which tended to employ direct and permanent employees.</w:t>
      </w:r>
    </w:p>
    <w:p w:rsidR="004F0FD5" w:rsidRPr="008E4288" w:rsidRDefault="004F0FD5" w:rsidP="004F0FD5">
      <w:pPr>
        <w:pStyle w:val="Text"/>
      </w:pPr>
      <w:r>
        <w:t xml:space="preserve">We found that those in the first </w:t>
      </w:r>
      <w:r w:rsidRPr="008E4288">
        <w:t xml:space="preserve">category struggled most with articulating the full extent of their skills and their transferability. Because of the relative stability of their employment over a long period of time and the perception of long-term employment security, these workers had never consciously considered the significance of any </w:t>
      </w:r>
      <w:r w:rsidR="00E94A88">
        <w:t xml:space="preserve">of their </w:t>
      </w:r>
      <w:r w:rsidRPr="008E4288">
        <w:t xml:space="preserve">skills beyond the immediate workplace requirements. For this reason, few had ever bothered to acquire formally accredited training and </w:t>
      </w:r>
      <w:r w:rsidR="00C870A3" w:rsidRPr="008E4288">
        <w:t xml:space="preserve">so </w:t>
      </w:r>
      <w:r w:rsidRPr="008E4288">
        <w:t>held no qualifications. Most of the training they</w:t>
      </w:r>
      <w:r w:rsidR="00C533F1">
        <w:t xml:space="preserve"> </w:t>
      </w:r>
      <w:r w:rsidR="00E94A88">
        <w:t>had undertaken</w:t>
      </w:r>
      <w:r w:rsidR="00C533F1">
        <w:t xml:space="preserve"> had </w:t>
      </w:r>
      <w:r w:rsidR="00E94A88">
        <w:t>occurred</w:t>
      </w:r>
      <w:r w:rsidR="00C533F1">
        <w:t xml:space="preserve"> on the </w:t>
      </w:r>
      <w:r w:rsidRPr="008E4288">
        <w:t xml:space="preserve">job and </w:t>
      </w:r>
      <w:r w:rsidR="00C533F1">
        <w:t xml:space="preserve">was </w:t>
      </w:r>
      <w:r w:rsidRPr="008E4288">
        <w:t xml:space="preserve">mainly geared towards facilitating execution of their immediate manufacturing tasks. This does not, however, mean that they did not have any transferable </w:t>
      </w:r>
      <w:r w:rsidR="00FD7DCE" w:rsidRPr="008E4288">
        <w:t>skills;</w:t>
      </w:r>
      <w:r w:rsidRPr="008E4288">
        <w:t xml:space="preserve"> rather, it means that the concept of </w:t>
      </w:r>
      <w:r w:rsidR="0043301B">
        <w:t xml:space="preserve">the </w:t>
      </w:r>
      <w:r w:rsidRPr="008E4288">
        <w:t xml:space="preserve">transferability of skills had never </w:t>
      </w:r>
      <w:r w:rsidR="00BE4910">
        <w:t>been an issue</w:t>
      </w:r>
      <w:r w:rsidRPr="008E4288">
        <w:t xml:space="preserve"> because they had never considered </w:t>
      </w:r>
      <w:r w:rsidR="00E94A88">
        <w:t>the possibility of</w:t>
      </w:r>
      <w:r w:rsidRPr="008E4288">
        <w:t xml:space="preserve"> changes to their employment status. Furthermore, </w:t>
      </w:r>
      <w:r w:rsidR="00E94A88">
        <w:t>the</w:t>
      </w:r>
      <w:r w:rsidRPr="008E4288">
        <w:t xml:space="preserve"> transferable skills </w:t>
      </w:r>
      <w:r w:rsidR="00E94A88">
        <w:t xml:space="preserve">that </w:t>
      </w:r>
      <w:r w:rsidRPr="008E4288">
        <w:t xml:space="preserve">some possessed </w:t>
      </w:r>
      <w:r w:rsidR="00E94A88">
        <w:t>had</w:t>
      </w:r>
      <w:r w:rsidRPr="008E4288">
        <w:t xml:space="preserve"> never </w:t>
      </w:r>
      <w:r w:rsidR="00E94A88">
        <w:t xml:space="preserve">been </w:t>
      </w:r>
      <w:r w:rsidRPr="008E4288">
        <w:t xml:space="preserve">formally accredited. Our analysis indicates that </w:t>
      </w:r>
      <w:r w:rsidR="00C870A3" w:rsidRPr="008E4288">
        <w:t xml:space="preserve">many </w:t>
      </w:r>
      <w:r w:rsidRPr="008E4288">
        <w:t xml:space="preserve">of the skills </w:t>
      </w:r>
      <w:r w:rsidR="00BE4910">
        <w:t>held</w:t>
      </w:r>
      <w:r w:rsidRPr="008E4288">
        <w:t xml:space="preserve"> are transferable, including those related to occupational health and safety, workplace training coordination, general employability skills </w:t>
      </w:r>
      <w:r w:rsidR="00E94A88">
        <w:t>such as</w:t>
      </w:r>
      <w:r w:rsidRPr="008E4288">
        <w:t xml:space="preserve"> teamwork and communications, and those related to work ethics and attitudes. These workers, however, think of their skills from the restricted viewpoint of technical manufacturing skills and, considering </w:t>
      </w:r>
      <w:r w:rsidR="00BE4910">
        <w:t xml:space="preserve">that </w:t>
      </w:r>
      <w:r w:rsidRPr="008E4288">
        <w:t xml:space="preserve">manufacturing occupations are generally in decline, they see no possibility of occupational transfer. </w:t>
      </w:r>
    </w:p>
    <w:p w:rsidR="004F0FD5" w:rsidRDefault="004F0FD5" w:rsidP="004F0FD5">
      <w:pPr>
        <w:pStyle w:val="Text"/>
      </w:pPr>
      <w:r w:rsidRPr="008E4288">
        <w:t>Another important characteristic of this category of workers is that they lack an</w:t>
      </w:r>
      <w:r>
        <w:t xml:space="preserve"> understanding of the current labour market. Since they have never </w:t>
      </w:r>
      <w:r w:rsidR="00E94A88">
        <w:t>needed</w:t>
      </w:r>
      <w:r>
        <w:t xml:space="preserve"> to look for work, they possess </w:t>
      </w:r>
      <w:r w:rsidR="00161061">
        <w:t>few</w:t>
      </w:r>
      <w:r>
        <w:t xml:space="preserve">, if any, labour market navigation skills, including the basics of job search, job application and job interviews. As described by transition managers and some of the workers, many of them </w:t>
      </w:r>
      <w:r w:rsidR="00C533F1">
        <w:t>feel overwhelmed</w:t>
      </w:r>
      <w:r>
        <w:t xml:space="preserve"> and do not know where and how to begin looking for work. Although </w:t>
      </w:r>
      <w:r w:rsidR="00E94A88">
        <w:t xml:space="preserve">this description applied to </w:t>
      </w:r>
      <w:r>
        <w:t>the majority of the workers in this category, there was a small number who were clearly different</w:t>
      </w:r>
      <w:r w:rsidR="00BE4910">
        <w:t>,</w:t>
      </w:r>
      <w:r>
        <w:t xml:space="preserve"> in the sense that they were able to articulate the full extent of their skills</w:t>
      </w:r>
      <w:r w:rsidR="00D74341">
        <w:t>;</w:t>
      </w:r>
      <w:r>
        <w:t xml:space="preserve"> they recognised the transferability value in them and possessed formal qualifications for the training they had received over the years. These belonged to a sub-category primarily distinguished by their level of skills. Wh</w:t>
      </w:r>
      <w:r w:rsidR="00D74341">
        <w:t>ile</w:t>
      </w:r>
      <w:r>
        <w:t xml:space="preserve"> the main category comprised unskilled or semi-skilled workers, this sub-category comprised those employed in </w:t>
      </w:r>
      <w:r w:rsidR="00E94A88">
        <w:t>occupations requiring</w:t>
      </w:r>
      <w:r>
        <w:t xml:space="preserve"> higher skill level</w:t>
      </w:r>
      <w:r w:rsidR="00E94A88">
        <w:t>s</w:t>
      </w:r>
      <w:r>
        <w:t xml:space="preserve">, </w:t>
      </w:r>
      <w:r w:rsidR="00376568">
        <w:t>that is,</w:t>
      </w:r>
      <w:r>
        <w:t xml:space="preserve"> from junior management upwards.</w:t>
      </w:r>
    </w:p>
    <w:p w:rsidR="004F0FD5" w:rsidRDefault="004F0FD5" w:rsidP="004F0FD5">
      <w:pPr>
        <w:pStyle w:val="Text"/>
      </w:pPr>
      <w:r>
        <w:t xml:space="preserve">Category two workers, </w:t>
      </w:r>
      <w:r w:rsidR="00376568">
        <w:t>that is,</w:t>
      </w:r>
      <w:r>
        <w:t xml:space="preserve"> those who worked for contract firms, possessed a very clear understanding of their skills and were able to articulate their transferability value clearly. This is largely because the nature of their employment meant that they were always on the lookout for the next job. Furthermore, they were mostly equipped with qualifications that enabled them to work across sectors and occupations. As a result, these workers tended to be highly skilled in navigating the job market. The third category </w:t>
      </w:r>
      <w:r w:rsidR="00C533F1">
        <w:t xml:space="preserve">of </w:t>
      </w:r>
      <w:r>
        <w:t>workers bear similarities to the second</w:t>
      </w:r>
      <w:r w:rsidR="00D74341">
        <w:t>,</w:t>
      </w:r>
      <w:r>
        <w:t xml:space="preserve"> but only in as far as their jobs are not as secure, and they </w:t>
      </w:r>
      <w:r w:rsidR="00854EAC">
        <w:rPr>
          <w:noProof/>
          <w:lang w:eastAsia="en-AU"/>
        </w:rPr>
        <mc:AlternateContent>
          <mc:Choice Requires="wps">
            <w:drawing>
              <wp:anchor distT="0" distB="0" distL="114300" distR="114300" simplePos="0" relativeHeight="252038144" behindDoc="0" locked="1" layoutInCell="1" allowOverlap="1" wp14:anchorId="22403063" wp14:editId="138D03DC">
                <wp:simplePos x="0" y="0"/>
                <wp:positionH relativeFrom="outsideMargin">
                  <wp:posOffset>158115</wp:posOffset>
                </wp:positionH>
                <wp:positionV relativeFrom="page">
                  <wp:posOffset>819150</wp:posOffset>
                </wp:positionV>
                <wp:extent cx="1320800" cy="158115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581150"/>
                        </a:xfrm>
                        <a:prstGeom prst="rect">
                          <a:avLst/>
                        </a:prstGeom>
                        <a:noFill/>
                        <a:ln w="6350">
                          <a:noFill/>
                        </a:ln>
                        <a:effectLst>
                          <a:outerShdw blurRad="152400" dist="317500" dir="5400000" sx="90000" sy="-19000" rotWithShape="0">
                            <a:prstClr val="black">
                              <a:alpha val="15000"/>
                            </a:prstClr>
                          </a:outerShdw>
                        </a:effectLst>
                      </wps:spPr>
                      <wps:txbx>
                        <w:txbxContent>
                          <w:p w:rsidR="00396053" w:rsidRPr="00543BFF" w:rsidRDefault="00396053" w:rsidP="002D28F5">
                            <w:pPr>
                              <w:pStyle w:val="PullQuote"/>
                            </w:pPr>
                            <w:r>
                              <w:t>Successful transition processes require an in-depth understanding of the skills that the retrenched workers have in relation to the job market.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4" type="#_x0000_t202" style="position:absolute;margin-left:12.45pt;margin-top:64.5pt;width:104pt;height:124.5pt;z-index:25203814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" filled="f" stroked="f" strokeweight=".5pt">
                <v:shadow on="t" type="perspective" color="black" opacity="9830f" origin=",.5" offset="0,25pt" matrix="58982f,,,-12452f"/>
                <v:path arrowok="t"/>
                <v:textbox inset="10mm">
                  <w:txbxContent>
                    <w:p w:rsidR="00396053" w:rsidRPr="00543BFF" w:rsidRDefault="00396053" w:rsidP="002D28F5">
                      <w:pPr>
                        <w:pStyle w:val="PullQuote"/>
                      </w:pPr>
                      <w:r>
                        <w:t>Successful transition processes require an in-depth understanding of the skills that the retrenched workers have in relation to the job market.</w:t>
                      </w:r>
                    </w:p>
                  </w:txbxContent>
                </v:textbox>
                <w10:wrap anchorx="margin" anchory="page"/>
                <w10:anchorlock/>
              </v:shape>
            </w:pict>
          </mc:Fallback>
        </mc:AlternateContent>
      </w:r>
      <w:r>
        <w:t>have some experience in changing jobs frequently. The key difference, however, is that</w:t>
      </w:r>
      <w:r w:rsidR="00D74341">
        <w:t xml:space="preserve"> while</w:t>
      </w:r>
      <w:r>
        <w:t xml:space="preserve"> the former have highly specialised skill</w:t>
      </w:r>
      <w:r w:rsidR="00C92703">
        <w:t>s</w:t>
      </w:r>
      <w:r w:rsidR="00D74341">
        <w:t xml:space="preserve"> (</w:t>
      </w:r>
      <w:r>
        <w:t>mostly trade</w:t>
      </w:r>
      <w:r w:rsidR="00D74341">
        <w:t>)</w:t>
      </w:r>
      <w:r>
        <w:t xml:space="preserve"> and tend to be highly trained, the latter are more unskilled or semi-skilled and lack formal qualifications. They tended to stay with the same employer as casuals for long periods </w:t>
      </w:r>
      <w:r w:rsidR="00C533F1">
        <w:t>in</w:t>
      </w:r>
      <w:r>
        <w:t xml:space="preserve"> the hope of ascending to a permanent position. Like those in category one</w:t>
      </w:r>
      <w:r w:rsidR="00D74341">
        <w:t xml:space="preserve"> </w:t>
      </w:r>
      <w:r>
        <w:t xml:space="preserve">their understanding of their skills was restricted to those in </w:t>
      </w:r>
      <w:r w:rsidR="00C92703">
        <w:t xml:space="preserve">their specific job, in this instance, </w:t>
      </w:r>
      <w:r>
        <w:t xml:space="preserve">manufacturing.  </w:t>
      </w:r>
    </w:p>
    <w:p w:rsidR="004F0FD5" w:rsidRDefault="004F0FD5" w:rsidP="004F0FD5">
      <w:pPr>
        <w:pStyle w:val="Text"/>
      </w:pPr>
      <w:r>
        <w:t xml:space="preserve">This </w:t>
      </w:r>
      <w:r w:rsidR="00BE4910">
        <w:t>method for categorising workers,</w:t>
      </w:r>
      <w:r w:rsidR="00C92703">
        <w:t xml:space="preserve"> which </w:t>
      </w:r>
      <w:r w:rsidR="00BE4910">
        <w:t xml:space="preserve">also </w:t>
      </w:r>
      <w:r w:rsidR="00C92703">
        <w:t>recognises how</w:t>
      </w:r>
      <w:r>
        <w:t xml:space="preserve"> the</w:t>
      </w:r>
      <w:r w:rsidR="00C92703">
        <w:t>y</w:t>
      </w:r>
      <w:r>
        <w:t xml:space="preserve"> perc</w:t>
      </w:r>
      <w:r w:rsidR="00C92703">
        <w:t>eive</w:t>
      </w:r>
      <w:r>
        <w:t xml:space="preserve"> their own skills</w:t>
      </w:r>
      <w:r w:rsidR="00C92703">
        <w:t>,</w:t>
      </w:r>
      <w:r>
        <w:t xml:space="preserve"> becomes an important </w:t>
      </w:r>
      <w:r w:rsidR="00C92703">
        <w:t xml:space="preserve">tool </w:t>
      </w:r>
      <w:r>
        <w:t xml:space="preserve">for those assisting </w:t>
      </w:r>
      <w:r w:rsidR="00C92703">
        <w:t>workers</w:t>
      </w:r>
      <w:r>
        <w:t xml:space="preserve"> to obtain new jobs after </w:t>
      </w:r>
      <w:r w:rsidR="00BE4910">
        <w:t xml:space="preserve">their </w:t>
      </w:r>
      <w:r>
        <w:t xml:space="preserve">retrenchment. </w:t>
      </w:r>
    </w:p>
    <w:p w:rsidR="004F0FD5" w:rsidRPr="004F0FD5" w:rsidRDefault="004F0FD5" w:rsidP="00FD7DCE">
      <w:pPr>
        <w:pStyle w:val="Heading2"/>
        <w:ind w:right="0"/>
      </w:pPr>
      <w:bookmarkStart w:id="50" w:name="h.2rir6m51cz50" w:colFirst="0" w:colLast="0"/>
      <w:bookmarkStart w:id="51" w:name="_Toc449707289"/>
      <w:bookmarkEnd w:id="50"/>
      <w:r w:rsidRPr="004F0FD5">
        <w:t>How training and employment support actor</w:t>
      </w:r>
      <w:r w:rsidR="00C533F1">
        <w:t>s understand and utilise worker</w:t>
      </w:r>
      <w:r w:rsidRPr="004F0FD5">
        <w:t>s</w:t>
      </w:r>
      <w:r w:rsidR="00C533F1">
        <w:t>’</w:t>
      </w:r>
      <w:r w:rsidRPr="004F0FD5">
        <w:t xml:space="preserve"> existing skills in the transition process</w:t>
      </w:r>
      <w:bookmarkEnd w:id="51"/>
      <w:r w:rsidRPr="004F0FD5">
        <w:t xml:space="preserve"> </w:t>
      </w:r>
    </w:p>
    <w:p w:rsidR="004F0FD5" w:rsidRDefault="004F0FD5" w:rsidP="004F0FD5">
      <w:pPr>
        <w:pStyle w:val="Text"/>
      </w:pPr>
      <w:r>
        <w:t xml:space="preserve">The study finds that a wide range of actors are involved in the efforts </w:t>
      </w:r>
      <w:r w:rsidR="00C92703">
        <w:t>to transition</w:t>
      </w:r>
      <w:r>
        <w:t xml:space="preserve"> retrenched workers into new jobs and, as earlier explained, successful transition processes require that these </w:t>
      </w:r>
      <w:r w:rsidR="00014EC8">
        <w:t>player</w:t>
      </w:r>
      <w:r>
        <w:t xml:space="preserve">s possess an in-depth understanding of the skills that the retrenched workers </w:t>
      </w:r>
      <w:r w:rsidR="00C533F1">
        <w:t>possess</w:t>
      </w:r>
      <w:r>
        <w:t xml:space="preserve"> in relation to the</w:t>
      </w:r>
      <w:r w:rsidR="00BE4910">
        <w:t xml:space="preserve"> job market. This understanding inevitably</w:t>
      </w:r>
      <w:r>
        <w:t xml:space="preserve"> involves an appreciation of the transferability value of the skills possessed at the point of retrenchment. A significant amount of time and money is therefore required to conduct a thorough and extensive skills and job market analysis before any definitive advice is given </w:t>
      </w:r>
      <w:r w:rsidR="00C533F1">
        <w:t>about</w:t>
      </w:r>
      <w:r>
        <w:t xml:space="preserve"> the availabilit</w:t>
      </w:r>
      <w:r w:rsidR="00BF7FA7">
        <w:t>y</w:t>
      </w:r>
      <w:r>
        <w:t xml:space="preserve"> of appropriate job opportunities, extra training required, and what </w:t>
      </w:r>
      <w:r w:rsidR="00C533F1">
        <w:t xml:space="preserve">recognition of prior learning </w:t>
      </w:r>
      <w:r>
        <w:t>(RPL) should be implemented</w:t>
      </w:r>
      <w:r w:rsidR="00BF7FA7">
        <w:t>. This</w:t>
      </w:r>
      <w:r>
        <w:t xml:space="preserve"> should be informed by a thorough analysis of </w:t>
      </w:r>
      <w:r w:rsidR="00BE4910">
        <w:t xml:space="preserve">the worker’s </w:t>
      </w:r>
      <w:r>
        <w:t>existing skills.</w:t>
      </w:r>
    </w:p>
    <w:p w:rsidR="004F0FD5" w:rsidRDefault="004F0FD5" w:rsidP="004F0FD5">
      <w:pPr>
        <w:pStyle w:val="Text"/>
      </w:pPr>
      <w:r>
        <w:t>T</w:t>
      </w:r>
      <w:r w:rsidR="004146C3">
        <w:t>he t</w:t>
      </w:r>
      <w:r>
        <w:t>ransition outcomes in the cases analysed vary significantly. The analysis suggests that the main reason for this variance is not a lack of financial resources</w:t>
      </w:r>
      <w:r w:rsidR="00BF7FA7">
        <w:t>,</w:t>
      </w:r>
      <w:r>
        <w:t xml:space="preserve"> but rather the </w:t>
      </w:r>
      <w:r w:rsidR="00C92703">
        <w:t xml:space="preserve">limited </w:t>
      </w:r>
      <w:r>
        <w:t xml:space="preserve">amount of time spent on skills and job market analysis and, perhaps, a lack of </w:t>
      </w:r>
      <w:r w:rsidR="00C92703">
        <w:t xml:space="preserve">a </w:t>
      </w:r>
      <w:r>
        <w:t xml:space="preserve">clear understanding of the concept and practice of skills transferability on the part of many transition facilitators. Unfortunately, </w:t>
      </w:r>
      <w:r w:rsidR="004146C3">
        <w:t>in only one of these companies —</w:t>
      </w:r>
      <w:r>
        <w:t xml:space="preserve"> For</w:t>
      </w:r>
      <w:r w:rsidR="004146C3">
        <w:t>d Motor Company —</w:t>
      </w:r>
      <w:r w:rsidR="00D74341">
        <w:t xml:space="preserve"> was </w:t>
      </w:r>
      <w:r>
        <w:t xml:space="preserve">the transition allocated sufficient time and a comprehensive process put in place. In the </w:t>
      </w:r>
      <w:r w:rsidR="004146C3">
        <w:t>remainder of</w:t>
      </w:r>
      <w:r>
        <w:t xml:space="preserve"> cases, the process was largely haphazard</w:t>
      </w:r>
      <w:r w:rsidR="00BF7FA7">
        <w:t>,</w:t>
      </w:r>
      <w:r>
        <w:t xml:space="preserve"> resulting in workers receiving support and training advice which contradicted the job situation in the region.</w:t>
      </w:r>
    </w:p>
    <w:p w:rsidR="00D74341" w:rsidRDefault="004F0FD5" w:rsidP="004F0FD5">
      <w:pPr>
        <w:pStyle w:val="Text"/>
      </w:pPr>
      <w:r>
        <w:t>To begin with</w:t>
      </w:r>
      <w:r w:rsidR="00BF7FA7">
        <w:t>,</w:t>
      </w:r>
      <w:r>
        <w:t xml:space="preserve"> </w:t>
      </w:r>
      <w:r w:rsidR="004146C3">
        <w:t xml:space="preserve">at Ford </w:t>
      </w:r>
      <w:r>
        <w:t>the transition process was allo</w:t>
      </w:r>
      <w:r w:rsidR="004146C3">
        <w:t>cated</w:t>
      </w:r>
      <w:r>
        <w:t xml:space="preserve"> three years</w:t>
      </w:r>
      <w:r w:rsidR="004146C3">
        <w:t>,</w:t>
      </w:r>
      <w:r>
        <w:t xml:space="preserve"> </w:t>
      </w:r>
      <w:r w:rsidR="004146C3">
        <w:t>during</w:t>
      </w:r>
      <w:r>
        <w:t xml:space="preserve"> which an elaborate consultative process was installed to evaluate workers’ skills and where they might find new jobs. In cases where the skills were not sufficiently transferable, based on regional skills demand, further training was recommended. The outcome of this evaluation formed the basis for all advice on where the workers should target their job search. The result was a heightened atmosphere of optimism </w:t>
      </w:r>
      <w:r w:rsidR="004146C3">
        <w:t>about</w:t>
      </w:r>
      <w:r>
        <w:t xml:space="preserve"> employment opportunities post-retrenchment. </w:t>
      </w:r>
    </w:p>
    <w:p w:rsidR="004F0FD5" w:rsidRDefault="004F0FD5" w:rsidP="004F0FD5">
      <w:pPr>
        <w:pStyle w:val="Text"/>
      </w:pPr>
      <w:r>
        <w:t xml:space="preserve">This transition process </w:t>
      </w:r>
      <w:r w:rsidR="004146C3">
        <w:t xml:space="preserve">stands in </w:t>
      </w:r>
      <w:r>
        <w:t xml:space="preserve">contrast </w:t>
      </w:r>
      <w:r w:rsidR="00BF7FA7">
        <w:t xml:space="preserve">with </w:t>
      </w:r>
      <w:r>
        <w:t xml:space="preserve">the situation in all </w:t>
      </w:r>
      <w:r w:rsidR="008E2301">
        <w:t xml:space="preserve">of </w:t>
      </w:r>
      <w:r>
        <w:t xml:space="preserve">the other cases. Even within the same region, Geelong, the Alcoa </w:t>
      </w:r>
      <w:r w:rsidR="004146C3">
        <w:t>transition was poorly organised and</w:t>
      </w:r>
      <w:r>
        <w:t xml:space="preserve"> hurriedly executed with </w:t>
      </w:r>
      <w:r w:rsidR="00C92703">
        <w:t>unsatisfactory</w:t>
      </w:r>
      <w:r>
        <w:t xml:space="preserve"> results. In the first instance, the entire exercise was allocated approximately six months, which did not </w:t>
      </w:r>
      <w:r w:rsidR="004146C3">
        <w:t>enable</w:t>
      </w:r>
      <w:r>
        <w:t xml:space="preserve"> any meaningf</w:t>
      </w:r>
      <w:r w:rsidR="004146C3">
        <w:t>ul skills and job market analyse</w:t>
      </w:r>
      <w:r>
        <w:t xml:space="preserve">s, </w:t>
      </w:r>
      <w:r w:rsidR="00BF7FA7">
        <w:t xml:space="preserve">and </w:t>
      </w:r>
      <w:r>
        <w:t>led to workers being forced into training courses for qualifications (Construction white cards) for jobs that did not exist. The outcome, as recounted by workers and union representatives, was great trauma for the workers, many of whom never managed to secure good</w:t>
      </w:r>
      <w:r w:rsidR="00BF7FA7">
        <w:t>,</w:t>
      </w:r>
      <w:r>
        <w:t xml:space="preserve"> or any</w:t>
      </w:r>
      <w:r w:rsidR="00BF7FA7">
        <w:t>,</w:t>
      </w:r>
      <w:r>
        <w:t xml:space="preserve"> jobs.   </w:t>
      </w:r>
    </w:p>
    <w:p w:rsidR="004F0FD5" w:rsidRDefault="00854EAC" w:rsidP="004F0FD5">
      <w:pPr>
        <w:pStyle w:val="Text"/>
      </w:pPr>
      <w:r>
        <w:rPr>
          <w:noProof/>
          <w:lang w:eastAsia="en-AU"/>
        </w:rPr>
        <mc:AlternateContent>
          <mc:Choice Requires="wps">
            <w:drawing>
              <wp:anchor distT="0" distB="0" distL="114300" distR="114300" simplePos="0" relativeHeight="252040192" behindDoc="0" locked="1" layoutInCell="1" allowOverlap="1" wp14:anchorId="23D9C3C0" wp14:editId="74375265">
                <wp:simplePos x="0" y="0"/>
                <wp:positionH relativeFrom="outsideMargin">
                  <wp:posOffset>270510</wp:posOffset>
                </wp:positionH>
                <wp:positionV relativeFrom="page">
                  <wp:posOffset>812800</wp:posOffset>
                </wp:positionV>
                <wp:extent cx="1320800" cy="2032000"/>
                <wp:effectExtent l="0" t="0" r="0" b="635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032000"/>
                        </a:xfrm>
                        <a:prstGeom prst="rect">
                          <a:avLst/>
                        </a:prstGeom>
                        <a:noFill/>
                        <a:ln w="6350">
                          <a:noFill/>
                        </a:ln>
                        <a:effectLst>
                          <a:outerShdw blurRad="152400" dist="317500" dir="5400000" sx="90000" sy="-19000" rotWithShape="0">
                            <a:prstClr val="black">
                              <a:alpha val="15000"/>
                            </a:prstClr>
                          </a:outerShdw>
                        </a:effectLst>
                      </wps:spPr>
                      <wps:txbx>
                        <w:txbxContent>
                          <w:p w:rsidR="00396053" w:rsidRPr="00543BFF" w:rsidRDefault="00396053" w:rsidP="008F398C">
                            <w:pPr>
                              <w:pStyle w:val="PullQuote"/>
                            </w:pPr>
                            <w:r>
                              <w:t xml:space="preserve">The transferability value of the skills that disadvantaged workers possess is often overlooked by employment facilitators, who view them from </w:t>
                            </w:r>
                            <w:r w:rsidRPr="000B27B1">
                              <w:t>a predominantly technical perspective</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5" type="#_x0000_t202" style="position:absolute;margin-left:21.3pt;margin-top:64pt;width:104pt;height:160pt;z-index:2520401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" filled="f" stroked="f" strokeweight=".5pt">
                <v:shadow on="t" type="perspective" color="black" opacity="9830f" origin=",.5" offset="0,25pt" matrix="58982f,,,-12452f"/>
                <v:path arrowok="t"/>
                <v:textbox inset="10mm">
                  <w:txbxContent>
                    <w:p w:rsidR="00396053" w:rsidRPr="00543BFF" w:rsidRDefault="00396053" w:rsidP="008F398C">
                      <w:pPr>
                        <w:pStyle w:val="PullQuote"/>
                      </w:pPr>
                      <w:r>
                        <w:t xml:space="preserve">The transferability value of the skills that disadvantaged workers possess is often overlooked by employment facilitators, who view them from </w:t>
                      </w:r>
                      <w:r w:rsidRPr="000B27B1">
                        <w:t>a predominantly technical perspective</w:t>
                      </w:r>
                      <w:r>
                        <w:t>.</w:t>
                      </w:r>
                    </w:p>
                  </w:txbxContent>
                </v:textbox>
                <w10:wrap anchorx="margin" anchory="page"/>
                <w10:anchorlock/>
              </v:shape>
            </w:pict>
          </mc:Fallback>
        </mc:AlternateContent>
      </w:r>
      <w:r w:rsidR="004F0FD5">
        <w:t xml:space="preserve">In the case of the Latrobe Valley, retrenched workers </w:t>
      </w:r>
      <w:r w:rsidR="00C92703">
        <w:t xml:space="preserve">across the different companies studied </w:t>
      </w:r>
      <w:r w:rsidR="004F0FD5">
        <w:t xml:space="preserve">faced situations not dissimilar to those at Alcoa. However, they suffered the </w:t>
      </w:r>
      <w:r w:rsidR="008E2301">
        <w:t>additional</w:t>
      </w:r>
      <w:r w:rsidR="004F0FD5">
        <w:t xml:space="preserve"> disadvantage of having neither the time nor adequate funding set aside to assist them in their transition. For reasons interpreted by unions as </w:t>
      </w:r>
      <w:r w:rsidR="002672C7">
        <w:t>indifference on the part of</w:t>
      </w:r>
      <w:r w:rsidR="004F0FD5">
        <w:t xml:space="preserve"> industry and government, these workers seem to have been mostly left to their own devices. </w:t>
      </w:r>
      <w:r w:rsidR="00C92703">
        <w:t>The</w:t>
      </w:r>
      <w:r w:rsidR="004F0FD5">
        <w:t xml:space="preserve"> little assistance provided under the </w:t>
      </w:r>
      <w:r w:rsidR="00A1282F">
        <w:t xml:space="preserve">Victorian Government’s </w:t>
      </w:r>
      <w:r w:rsidR="004F0FD5">
        <w:t>‘</w:t>
      </w:r>
      <w:r w:rsidR="00C222F3" w:rsidRPr="00E36C6C">
        <w:t>Workers in Transition Program’ (WITP</w:t>
      </w:r>
      <w:r w:rsidR="00EA6C42" w:rsidRPr="00E36C6C">
        <w:t>)</w:t>
      </w:r>
      <w:r w:rsidR="004F0FD5">
        <w:t xml:space="preserve"> lacked the rigour evident in the Ford transition. Furthermore, as newly retrenched workers</w:t>
      </w:r>
      <w:r w:rsidR="004146C3">
        <w:t>,</w:t>
      </w:r>
      <w:r w:rsidR="004F0FD5">
        <w:t xml:space="preserve"> </w:t>
      </w:r>
      <w:r w:rsidR="004146C3">
        <w:t>the workers</w:t>
      </w:r>
      <w:r w:rsidR="004F0FD5">
        <w:t xml:space="preserve"> </w:t>
      </w:r>
      <w:r w:rsidR="00BC0C15">
        <w:t>were</w:t>
      </w:r>
      <w:r w:rsidR="004F0FD5">
        <w:t xml:space="preserve"> given little, if any, attention because of the last-in-least-supported approach adopted by</w:t>
      </w:r>
      <w:r w:rsidR="00A1282F">
        <w:t xml:space="preserve"> </w:t>
      </w:r>
      <w:r w:rsidR="004F0FD5">
        <w:t>J</w:t>
      </w:r>
      <w:r w:rsidR="00FD6F60">
        <w:t>ob</w:t>
      </w:r>
      <w:r w:rsidR="00A1282F">
        <w:t>active providers</w:t>
      </w:r>
      <w:r w:rsidR="00350087">
        <w:t>,</w:t>
      </w:r>
      <w:r w:rsidR="004F0FD5">
        <w:t xml:space="preserve"> based on the prevailing </w:t>
      </w:r>
      <w:r w:rsidR="004146C3">
        <w:t>f</w:t>
      </w:r>
      <w:r w:rsidR="00A1282F">
        <w:t xml:space="preserve">ederal government </w:t>
      </w:r>
      <w:r w:rsidR="004F0FD5">
        <w:t xml:space="preserve">job support funding arrangements. While they were provided </w:t>
      </w:r>
      <w:r w:rsidR="004146C3">
        <w:t xml:space="preserve">with </w:t>
      </w:r>
      <w:r w:rsidR="004F0FD5">
        <w:t>some opportunity to undertake RPL and attend information sessions prior to being retrenched, there was limited post-retrenchment support for these workers. In contrast, a Workforce Development Centre had been established in Geelong to provide supplementa</w:t>
      </w:r>
      <w:r w:rsidR="004146C3">
        <w:t>ry</w:t>
      </w:r>
      <w:r w:rsidR="004F0FD5">
        <w:t xml:space="preserve"> assistance for stream one job seekers</w:t>
      </w:r>
      <w:r w:rsidR="004F0FD5">
        <w:rPr>
          <w:vertAlign w:val="superscript"/>
        </w:rPr>
        <w:footnoteReference w:id="2"/>
      </w:r>
      <w:r w:rsidR="008E2301">
        <w:t xml:space="preserve"> —</w:t>
      </w:r>
      <w:r w:rsidR="004F0FD5">
        <w:t xml:space="preserve"> </w:t>
      </w:r>
      <w:r w:rsidR="008E2301">
        <w:t>as were</w:t>
      </w:r>
      <w:r w:rsidR="004F0FD5">
        <w:t xml:space="preserve"> the</w:t>
      </w:r>
      <w:r w:rsidR="008E2301">
        <w:t xml:space="preserve"> retrenched Alcoa workers —</w:t>
      </w:r>
      <w:r w:rsidR="004F0FD5">
        <w:t xml:space="preserve"> which provided assistance in areas related to resume writing, career advice and counselling</w:t>
      </w:r>
      <w:r w:rsidR="00350087">
        <w:t>,</w:t>
      </w:r>
      <w:r w:rsidR="004F0FD5">
        <w:t xml:space="preserve"> as well as information on regional employment opportunities. No equivalent operated in the Latrobe Valley.</w:t>
      </w:r>
    </w:p>
    <w:p w:rsidR="00242E2C" w:rsidRPr="000B27B1" w:rsidRDefault="004F0FD5" w:rsidP="004F0FD5">
      <w:pPr>
        <w:pStyle w:val="Text"/>
      </w:pPr>
      <w:r>
        <w:t xml:space="preserve">Another important finding relates to how these transition actors perceived the workers’ existing skills and whether they utilised them in finding them new jobs. Once again, in this respect, the Ford transition team differs significantly from the rest. Most of the transition </w:t>
      </w:r>
      <w:r w:rsidR="00014EC8">
        <w:t>player</w:t>
      </w:r>
      <w:r>
        <w:t xml:space="preserve">s at Alcoa and the companies in the Latrobe Valley </w:t>
      </w:r>
      <w:r w:rsidR="004146C3">
        <w:t>recognised little</w:t>
      </w:r>
      <w:r w:rsidRPr="000B27B1">
        <w:t xml:space="preserve"> transferability value in any of the skills possessed by the workers. This seems to be a result of the way they viewed skills, which appears to be from a predominantly technical perspective. When </w:t>
      </w:r>
      <w:r w:rsidR="00C92703">
        <w:t xml:space="preserve">looking for other applications for </w:t>
      </w:r>
      <w:r w:rsidR="008E2301">
        <w:t xml:space="preserve">the </w:t>
      </w:r>
      <w:r w:rsidR="00C92703">
        <w:t>workers’ existing skills,</w:t>
      </w:r>
      <w:r w:rsidRPr="000B27B1">
        <w:t xml:space="preserve"> many only considered their technical manufacturing or power plant skills and saw no possibility for transferability. The most common advice disseminated was therefore for wholesale retraining and, in most cases, with</w:t>
      </w:r>
      <w:r w:rsidR="004146C3">
        <w:t xml:space="preserve"> little </w:t>
      </w:r>
      <w:r w:rsidRPr="000B27B1">
        <w:t xml:space="preserve">regard for </w:t>
      </w:r>
      <w:r w:rsidR="00CD3049">
        <w:t xml:space="preserve">job type </w:t>
      </w:r>
      <w:r w:rsidRPr="000B27B1">
        <w:t xml:space="preserve">and where </w:t>
      </w:r>
      <w:r w:rsidR="008E2301">
        <w:t>they</w:t>
      </w:r>
      <w:r w:rsidRPr="000B27B1">
        <w:t xml:space="preserve"> were available. In some cases RPL was offered for manufacturing and power plant skills, whose currency was in decline.</w:t>
      </w:r>
    </w:p>
    <w:p w:rsidR="004F0FD5" w:rsidRPr="000B27B1" w:rsidRDefault="004F0FD5" w:rsidP="004F0FD5">
      <w:pPr>
        <w:pStyle w:val="Text"/>
      </w:pPr>
      <w:r w:rsidRPr="000B27B1">
        <w:t xml:space="preserve">In the Ford case, however, the process seems to have focused </w:t>
      </w:r>
      <w:r w:rsidR="00350087" w:rsidRPr="000B27B1">
        <w:t>very much</w:t>
      </w:r>
      <w:r w:rsidRPr="000B27B1">
        <w:t xml:space="preserve"> on the ‘other skills’</w:t>
      </w:r>
      <w:r w:rsidR="002E45A3">
        <w:t xml:space="preserve"> possessed by</w:t>
      </w:r>
      <w:r w:rsidRPr="000B27B1">
        <w:t xml:space="preserve"> workers </w:t>
      </w:r>
      <w:r w:rsidR="002E45A3">
        <w:t>and</w:t>
      </w:r>
      <w:r w:rsidRPr="000B27B1">
        <w:t xml:space="preserve"> which could be used to find new work. As opposed to prescribing training courses</w:t>
      </w:r>
      <w:r w:rsidR="00350087" w:rsidRPr="000B27B1">
        <w:t>,</w:t>
      </w:r>
      <w:r w:rsidRPr="000B27B1">
        <w:t xml:space="preserve"> case managers took the workers through a one-on-one process of self-discovery of the full range of skills possessed. As a result, the workers interviewed were able to identify future job opportuniti</w:t>
      </w:r>
      <w:r w:rsidR="00C92703">
        <w:t>es in new and non-manufacturing-</w:t>
      </w:r>
      <w:r w:rsidRPr="000B27B1">
        <w:t>related occupations</w:t>
      </w:r>
      <w:r w:rsidR="00350087" w:rsidRPr="000B27B1">
        <w:t>,</w:t>
      </w:r>
      <w:r w:rsidRPr="000B27B1">
        <w:t xml:space="preserve"> such as </w:t>
      </w:r>
      <w:r w:rsidR="00E94A88">
        <w:t>health care</w:t>
      </w:r>
      <w:r w:rsidR="002E45A3" w:rsidRPr="000B27B1">
        <w:t>, training and hospitality</w:t>
      </w:r>
      <w:r w:rsidRPr="000B27B1">
        <w:t>. Some considered entrepreneurship. Most were able to articulate a range of skills</w:t>
      </w:r>
      <w:r w:rsidR="008E2301">
        <w:t>, which</w:t>
      </w:r>
      <w:r w:rsidRPr="000B27B1">
        <w:t xml:space="preserve"> includ</w:t>
      </w:r>
      <w:r w:rsidR="002E45A3">
        <w:t>ed</w:t>
      </w:r>
      <w:r w:rsidRPr="000B27B1">
        <w:t xml:space="preserve"> hard technical and the more generic employability skills. </w:t>
      </w:r>
      <w:r w:rsidR="002E45A3">
        <w:t>By</w:t>
      </w:r>
      <w:r w:rsidRPr="000B27B1">
        <w:t xml:space="preserve"> comparison, at Alcoa and the power plants in the Latrobe Valley, workers and some of the J</w:t>
      </w:r>
      <w:r w:rsidR="00A46BE7">
        <w:t>obactive providers</w:t>
      </w:r>
      <w:r w:rsidRPr="000B27B1">
        <w:t xml:space="preserve"> saw no transferability in their skills.</w:t>
      </w:r>
    </w:p>
    <w:p w:rsidR="004F0FD5" w:rsidRDefault="004F0FD5" w:rsidP="004F0FD5">
      <w:pPr>
        <w:pStyle w:val="Text"/>
      </w:pPr>
      <w:r w:rsidRPr="000B27B1">
        <w:t xml:space="preserve">Interviews with employers in the region, some of whom had participated in the information </w:t>
      </w:r>
      <w:r w:rsidR="00854EAC">
        <w:rPr>
          <w:noProof/>
          <w:lang w:eastAsia="en-AU"/>
        </w:rPr>
        <mc:AlternateContent>
          <mc:Choice Requires="wps">
            <w:drawing>
              <wp:anchor distT="0" distB="0" distL="114300" distR="114300" simplePos="0" relativeHeight="252044288" behindDoc="0" locked="1" layoutInCell="1" allowOverlap="1" wp14:anchorId="0965127D" wp14:editId="0582F3A5">
                <wp:simplePos x="0" y="0"/>
                <wp:positionH relativeFrom="outsideMargin">
                  <wp:posOffset>201930</wp:posOffset>
                </wp:positionH>
                <wp:positionV relativeFrom="page">
                  <wp:posOffset>809625</wp:posOffset>
                </wp:positionV>
                <wp:extent cx="1320800" cy="10287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028700"/>
                        </a:xfrm>
                        <a:prstGeom prst="rect">
                          <a:avLst/>
                        </a:prstGeom>
                        <a:noFill/>
                        <a:ln w="6350">
                          <a:noFill/>
                        </a:ln>
                        <a:effectLst>
                          <a:outerShdw blurRad="152400" dist="317500" dir="5400000" sx="90000" sy="-19000" rotWithShape="0">
                            <a:prstClr val="black">
                              <a:alpha val="15000"/>
                            </a:prstClr>
                          </a:outerShdw>
                        </a:effectLst>
                      </wps:spPr>
                      <wps:txbx>
                        <w:txbxContent>
                          <w:p w:rsidR="00396053" w:rsidRPr="00543BFF" w:rsidRDefault="00396053" w:rsidP="008F398C">
                            <w:pPr>
                              <w:pStyle w:val="PullQuote"/>
                            </w:pPr>
                            <w:r>
                              <w:t>Employers confirm that generic non-technical skills are the key to employment mobility.</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6" type="#_x0000_t202" style="position:absolute;margin-left:15.9pt;margin-top:63.75pt;width:104pt;height:81pt;z-index:25204428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" filled="f" stroked="f" strokeweight=".5pt">
                <v:shadow on="t" type="perspective" color="black" opacity="9830f" origin=",.5" offset="0,25pt" matrix="58982f,,,-12452f"/>
                <v:path arrowok="t"/>
                <v:textbox inset="10mm">
                  <w:txbxContent>
                    <w:p w:rsidR="00396053" w:rsidRPr="00543BFF" w:rsidRDefault="00396053" w:rsidP="008F398C">
                      <w:pPr>
                        <w:pStyle w:val="PullQuote"/>
                      </w:pPr>
                      <w:r>
                        <w:t>Employers confirm that generic non-technical skills are the key to employment mobility.</w:t>
                      </w:r>
                    </w:p>
                  </w:txbxContent>
                </v:textbox>
                <w10:wrap anchorx="margin" anchory="page"/>
                <w10:anchorlock/>
              </v:shape>
            </w:pict>
          </mc:Fallback>
        </mc:AlternateContent>
      </w:r>
      <w:r w:rsidRPr="000B27B1">
        <w:t>sessions as part of the transition assistance process, confirmed that</w:t>
      </w:r>
      <w:r w:rsidR="008E2301">
        <w:t xml:space="preserve"> generic</w:t>
      </w:r>
      <w:r>
        <w:t xml:space="preserve"> non-technical skills are</w:t>
      </w:r>
      <w:r w:rsidR="008F398C">
        <w:t xml:space="preserve"> the</w:t>
      </w:r>
      <w:r>
        <w:t xml:space="preserve"> key to employment mobility. This view confirms the findings in the literature related to occ</w:t>
      </w:r>
      <w:r w:rsidR="002E45A3">
        <w:t>upational cluster mobility:</w:t>
      </w:r>
      <w:r>
        <w:t xml:space="preserve"> hard specific skills can be transported across a limited family of related occupations, </w:t>
      </w:r>
      <w:r w:rsidR="00C92703">
        <w:t xml:space="preserve">but </w:t>
      </w:r>
      <w:r>
        <w:t>soft and generic skills are capable of much broader transferability. Furthe</w:t>
      </w:r>
      <w:r w:rsidR="002E45A3">
        <w:t xml:space="preserve">rmore, employers explained that </w:t>
      </w:r>
      <w:r>
        <w:t>personal skills</w:t>
      </w:r>
      <w:r w:rsidR="002E45A3">
        <w:t>, those</w:t>
      </w:r>
      <w:r>
        <w:t xml:space="preserve"> associated with work ethics and attitude</w:t>
      </w:r>
      <w:r w:rsidR="008E2301">
        <w:t>s</w:t>
      </w:r>
      <w:r>
        <w:t xml:space="preserve"> towards workers</w:t>
      </w:r>
      <w:r w:rsidR="00350087">
        <w:t>,</w:t>
      </w:r>
      <w:r>
        <w:t xml:space="preserve"> were becoming a major consideration </w:t>
      </w:r>
      <w:r w:rsidR="00921BBE">
        <w:t>when</w:t>
      </w:r>
      <w:r w:rsidR="008E2301">
        <w:t xml:space="preserve"> </w:t>
      </w:r>
      <w:r>
        <w:t xml:space="preserve">recruiting new workers. </w:t>
      </w:r>
    </w:p>
    <w:p w:rsidR="00242E2C" w:rsidRDefault="00242E2C">
      <w:pPr>
        <w:spacing w:before="0" w:line="240" w:lineRule="auto"/>
        <w:rPr>
          <w:rFonts w:ascii="Arial" w:hAnsi="Arial" w:cs="Tahoma"/>
          <w:color w:val="000000"/>
          <w:kern w:val="28"/>
          <w:sz w:val="48"/>
          <w:szCs w:val="56"/>
        </w:rPr>
      </w:pPr>
      <w:r>
        <w:br w:type="page"/>
      </w:r>
    </w:p>
    <w:p w:rsidR="00A10A13" w:rsidRPr="00E36C6C" w:rsidRDefault="00D64F80" w:rsidP="00863ED4">
      <w:pPr>
        <w:pStyle w:val="Heading1"/>
      </w:pPr>
      <w:bookmarkStart w:id="52" w:name="_Toc449707290"/>
      <w:r w:rsidRPr="00AF100C">
        <w:rPr>
          <w:noProof/>
          <w:lang w:eastAsia="en-AU"/>
        </w:rPr>
        <w:drawing>
          <wp:anchor distT="0" distB="0" distL="114300" distR="114300" simplePos="0" relativeHeight="252122112" behindDoc="1" locked="0" layoutInCell="1" allowOverlap="1" wp14:anchorId="64C58AB5" wp14:editId="09671FCB">
            <wp:simplePos x="0" y="0"/>
            <wp:positionH relativeFrom="column">
              <wp:posOffset>-19050</wp:posOffset>
            </wp:positionH>
            <wp:positionV relativeFrom="paragraph">
              <wp:posOffset>-29210</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TargetWithArrowFindings_CorpBlue.emf"/>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3DB">
        <w:rPr>
          <w:rFonts w:eastAsia="Arial"/>
        </w:rPr>
        <w:t>Implications and c</w:t>
      </w:r>
      <w:r w:rsidR="00A10A13" w:rsidRPr="00E36C6C">
        <w:rPr>
          <w:rFonts w:eastAsia="Arial"/>
        </w:rPr>
        <w:t>onsiderations</w:t>
      </w:r>
      <w:bookmarkEnd w:id="52"/>
    </w:p>
    <w:p w:rsidR="002E45A3" w:rsidRDefault="00A10A13" w:rsidP="00870BA3">
      <w:pPr>
        <w:pStyle w:val="Text"/>
      </w:pPr>
      <w:r w:rsidRPr="00E36C6C">
        <w:t xml:space="preserve">Findings from this report lend further support to the view </w:t>
      </w:r>
      <w:r w:rsidRPr="00920484">
        <w:t>that transferable skills perform an invaluable role in an employee’s cross-occupational mobility (</w:t>
      </w:r>
      <w:r w:rsidR="002672C7">
        <w:t xml:space="preserve">Partridge, K, </w:t>
      </w:r>
      <w:r w:rsidRPr="00920484">
        <w:t xml:space="preserve">Chapman </w:t>
      </w:r>
      <w:r w:rsidR="00350087" w:rsidRPr="00920484">
        <w:t xml:space="preserve">&amp; </w:t>
      </w:r>
      <w:r w:rsidRPr="00920484">
        <w:t>O’Neil 2009; European Commission 2013; Mayer 1992; Misko 1998; National Quality Council 2010; Skills for Jobs 2013; Sweet 2009).</w:t>
      </w:r>
      <w:r w:rsidR="0096744F" w:rsidRPr="00920484">
        <w:t xml:space="preserve"> </w:t>
      </w:r>
      <w:r w:rsidRPr="00920484">
        <w:t xml:space="preserve">The research has demonstrated that a number of factors must be taken into consideration when understanding skills transferability and occupational mobility. First, the development of transferable skills </w:t>
      </w:r>
      <w:r w:rsidR="0096744F" w:rsidRPr="00920484">
        <w:t xml:space="preserve">is </w:t>
      </w:r>
      <w:r w:rsidR="00921BBE">
        <w:t>determined</w:t>
      </w:r>
      <w:r w:rsidRPr="00920484">
        <w:t xml:space="preserve"> by both the training system and the manner in which workers and employers </w:t>
      </w:r>
      <w:r w:rsidRPr="00E36C6C">
        <w:t xml:space="preserve">engage with this training system. An employee </w:t>
      </w:r>
      <w:r w:rsidR="008D6151">
        <w:t>who</w:t>
      </w:r>
      <w:r w:rsidRPr="00E36C6C">
        <w:t xml:space="preserve"> acquires </w:t>
      </w:r>
      <w:r w:rsidR="00921BBE" w:rsidRPr="00E36C6C">
        <w:t xml:space="preserve">only </w:t>
      </w:r>
      <w:r w:rsidRPr="00E36C6C">
        <w:t xml:space="preserve">skills sets, for example, </w:t>
      </w:r>
      <w:r w:rsidR="002E45A3">
        <w:t>will be unable</w:t>
      </w:r>
      <w:r w:rsidRPr="00E36C6C">
        <w:t xml:space="preserve"> to develop transferable skills in a similar way </w:t>
      </w:r>
      <w:r w:rsidR="002E45A3">
        <w:t>to</w:t>
      </w:r>
      <w:r w:rsidRPr="00E36C6C">
        <w:t xml:space="preserve"> those who receive full qualifications.</w:t>
      </w:r>
    </w:p>
    <w:p w:rsidR="002E45A3" w:rsidRDefault="00A10A13" w:rsidP="00870BA3">
      <w:pPr>
        <w:pStyle w:val="Text"/>
      </w:pPr>
      <w:r w:rsidRPr="00E36C6C">
        <w:t xml:space="preserve">Second, transferable skills tend to be </w:t>
      </w:r>
      <w:r w:rsidR="002E45A3">
        <w:t xml:space="preserve">either </w:t>
      </w:r>
      <w:r w:rsidRPr="00E36C6C">
        <w:t xml:space="preserve">soft </w:t>
      </w:r>
      <w:r w:rsidR="002E45A3">
        <w:t xml:space="preserve">skills or generic hard skills </w:t>
      </w:r>
      <w:r w:rsidR="00921BBE">
        <w:t>and</w:t>
      </w:r>
      <w:r w:rsidRPr="00E36C6C">
        <w:t xml:space="preserve"> are applicable to a range of occupational contexts.</w:t>
      </w:r>
      <w:r w:rsidR="0096744F">
        <w:t xml:space="preserve"> </w:t>
      </w:r>
      <w:r w:rsidRPr="00E36C6C">
        <w:t xml:space="preserve">However, differences </w:t>
      </w:r>
      <w:r w:rsidR="002E45A3">
        <w:t>in relation</w:t>
      </w:r>
      <w:r w:rsidRPr="00E36C6C">
        <w:t xml:space="preserve"> to the particular skills and knowledge required to perform different tasks assoc</w:t>
      </w:r>
      <w:r w:rsidR="002E45A3">
        <w:t>iated with specific occupations mean</w:t>
      </w:r>
      <w:r w:rsidRPr="00E36C6C">
        <w:t xml:space="preserve"> that some skills are more transferable to some occupational contexts than </w:t>
      </w:r>
      <w:r w:rsidR="0096744F">
        <w:t xml:space="preserve">to </w:t>
      </w:r>
      <w:r w:rsidR="00921BBE">
        <w:t>others:</w:t>
      </w:r>
      <w:r w:rsidR="0096744F">
        <w:t xml:space="preserve"> </w:t>
      </w:r>
      <w:r w:rsidR="002E45A3" w:rsidRPr="00E36C6C">
        <w:t>a wood machinist is going to find it much easier to become a carpenter and joiner than to become a chef</w:t>
      </w:r>
      <w:r w:rsidRPr="00E36C6C">
        <w:t>.</w:t>
      </w:r>
    </w:p>
    <w:p w:rsidR="00C9380D" w:rsidRDefault="00A10A13" w:rsidP="00870BA3">
      <w:pPr>
        <w:pStyle w:val="Text"/>
      </w:pPr>
      <w:r w:rsidRPr="00E36C6C">
        <w:t xml:space="preserve">Third, local labour market demands for particular skills and types of occupations have significant implications for a worker’s prospects in applying the skills they developed in one occupational context to another occupational context. If </w:t>
      </w:r>
      <w:r w:rsidR="0096744F">
        <w:t>a worker</w:t>
      </w:r>
      <w:r w:rsidR="0096744F" w:rsidRPr="00E36C6C">
        <w:t xml:space="preserve">’s </w:t>
      </w:r>
      <w:r w:rsidRPr="00E36C6C">
        <w:t>transferable skills are aligned with growing occupations in similar occupational clusters</w:t>
      </w:r>
      <w:r w:rsidR="008D6151">
        <w:t>,</w:t>
      </w:r>
      <w:r w:rsidR="00E86F02">
        <w:t xml:space="preserve"> in which</w:t>
      </w:r>
      <w:r w:rsidRPr="00E36C6C">
        <w:t xml:space="preserve"> </w:t>
      </w:r>
      <w:r w:rsidR="00921BBE" w:rsidRPr="00920484">
        <w:t>many of their existing skills</w:t>
      </w:r>
      <w:r w:rsidR="00921BBE" w:rsidRPr="00E36C6C">
        <w:t xml:space="preserve"> </w:t>
      </w:r>
      <w:r w:rsidR="00E86F02">
        <w:t>could be</w:t>
      </w:r>
      <w:r w:rsidR="00921BBE">
        <w:t xml:space="preserve"> used</w:t>
      </w:r>
      <w:r w:rsidR="0096744F" w:rsidRPr="00920484">
        <w:t>,</w:t>
      </w:r>
      <w:r w:rsidRPr="00920484">
        <w:t xml:space="preserve"> they are going to be in a much</w:t>
      </w:r>
      <w:r w:rsidR="00C9380D">
        <w:t xml:space="preserve"> better labour market position.</w:t>
      </w:r>
    </w:p>
    <w:p w:rsidR="00A10A13" w:rsidRPr="00E36C6C" w:rsidRDefault="00A10A13" w:rsidP="00870BA3">
      <w:pPr>
        <w:pStyle w:val="Text"/>
      </w:pPr>
      <w:r w:rsidRPr="00920484">
        <w:t>Fourth, the ability to make use of transferable skills for cross-occupational mobility is highly dependent on how well the</w:t>
      </w:r>
      <w:r w:rsidR="00F32CF7" w:rsidRPr="00920484">
        <w:t xml:space="preserve"> worker</w:t>
      </w:r>
      <w:r w:rsidR="00C9380D">
        <w:t xml:space="preserve"> </w:t>
      </w:r>
      <w:r w:rsidRPr="00920484">
        <w:t>—</w:t>
      </w:r>
      <w:r w:rsidR="00C9380D">
        <w:t xml:space="preserve"> </w:t>
      </w:r>
      <w:r w:rsidRPr="00920484">
        <w:t>and those who assist them to find employment</w:t>
      </w:r>
      <w:r w:rsidR="00C9380D">
        <w:t xml:space="preserve"> </w:t>
      </w:r>
      <w:r w:rsidRPr="00920484">
        <w:t>—</w:t>
      </w:r>
      <w:r w:rsidR="00C9380D">
        <w:t xml:space="preserve"> </w:t>
      </w:r>
      <w:r w:rsidRPr="00920484">
        <w:t>understand</w:t>
      </w:r>
      <w:r w:rsidR="008D6151">
        <w:t>s</w:t>
      </w:r>
      <w:r w:rsidRPr="00920484">
        <w:t xml:space="preserve"> these skills and the role they perform in cross-occupational mobility.</w:t>
      </w:r>
      <w:r w:rsidR="0096744F" w:rsidRPr="00920484">
        <w:t xml:space="preserve"> </w:t>
      </w:r>
      <w:r w:rsidRPr="00920484">
        <w:t xml:space="preserve">The implications </w:t>
      </w:r>
      <w:r w:rsidRPr="00E36C6C">
        <w:t xml:space="preserve">of these broad research findings lead to the following policy considerations. </w:t>
      </w:r>
    </w:p>
    <w:p w:rsidR="00A10A13" w:rsidRPr="00E36C6C" w:rsidRDefault="00A613DB" w:rsidP="00870BA3">
      <w:pPr>
        <w:pStyle w:val="Heading2"/>
      </w:pPr>
      <w:bookmarkStart w:id="53" w:name="_Toc449707291"/>
      <w:r>
        <w:rPr>
          <w:rFonts w:eastAsia="Arial"/>
        </w:rPr>
        <w:t>Greater recognition and promotion of transferable s</w:t>
      </w:r>
      <w:r w:rsidR="00A10A13" w:rsidRPr="00E36C6C">
        <w:rPr>
          <w:rFonts w:eastAsia="Arial"/>
        </w:rPr>
        <w:t>kills</w:t>
      </w:r>
      <w:bookmarkEnd w:id="53"/>
    </w:p>
    <w:p w:rsidR="008D6151" w:rsidRDefault="00C9380D">
      <w:pPr>
        <w:pStyle w:val="Text"/>
      </w:pPr>
      <w:r>
        <w:t>Both s</w:t>
      </w:r>
      <w:r w:rsidR="00A10A13" w:rsidRPr="00E36C6C">
        <w:t xml:space="preserve">oft </w:t>
      </w:r>
      <w:r w:rsidR="00364028">
        <w:t>and</w:t>
      </w:r>
      <w:r w:rsidR="00A10A13" w:rsidRPr="00E36C6C">
        <w:t xml:space="preserve"> generic hard skills perform an important role in cross-occupational mobility.</w:t>
      </w:r>
      <w:r w:rsidR="0096744F">
        <w:t xml:space="preserve"> </w:t>
      </w:r>
      <w:r w:rsidR="00A10A13" w:rsidRPr="00E36C6C">
        <w:t>Employers are interested in</w:t>
      </w:r>
      <w:r w:rsidR="005C41EA">
        <w:t>:</w:t>
      </w:r>
      <w:r w:rsidR="00A10A13" w:rsidRPr="00E36C6C">
        <w:t xml:space="preserve"> people with communication, team worki</w:t>
      </w:r>
      <w:r w:rsidR="008D6151">
        <w:t>ng and critical thinking skills;</w:t>
      </w:r>
      <w:r w:rsidR="00A10A13" w:rsidRPr="00E36C6C">
        <w:t xml:space="preserve"> </w:t>
      </w:r>
      <w:r w:rsidR="008D6151">
        <w:t xml:space="preserve">who have </w:t>
      </w:r>
      <w:r w:rsidR="00A10A13" w:rsidRPr="00E36C6C">
        <w:t>the capacity to learn and adapt quickly to new employment settings</w:t>
      </w:r>
      <w:r w:rsidR="008D6151">
        <w:t>;</w:t>
      </w:r>
      <w:r w:rsidR="00A10A13" w:rsidRPr="00E36C6C">
        <w:t xml:space="preserve"> and </w:t>
      </w:r>
      <w:r w:rsidR="008D6151">
        <w:t xml:space="preserve">who possess </w:t>
      </w:r>
      <w:r w:rsidR="00A10A13" w:rsidRPr="00E36C6C">
        <w:t>other employability attributes, such as attitude</w:t>
      </w:r>
      <w:r w:rsidR="00E86F02">
        <w:t>s</w:t>
      </w:r>
      <w:r w:rsidR="00A10A13" w:rsidRPr="00E36C6C">
        <w:t xml:space="preserve"> towards </w:t>
      </w:r>
      <w:r w:rsidR="00C222F3">
        <w:t xml:space="preserve">work and others. Making use of </w:t>
      </w:r>
      <w:r w:rsidR="00A10A13" w:rsidRPr="00E36C6C">
        <w:t xml:space="preserve">transferable skills for the purposes of employment mobility, however, requires a level of understanding about these skills </w:t>
      </w:r>
      <w:r>
        <w:t>by</w:t>
      </w:r>
      <w:r w:rsidR="00A10A13" w:rsidRPr="00E36C6C">
        <w:t xml:space="preserve"> the workers themselves and </w:t>
      </w:r>
      <w:r>
        <w:t>by</w:t>
      </w:r>
      <w:r w:rsidR="00A10A13" w:rsidRPr="00E36C6C">
        <w:t xml:space="preserve"> those seeking to assist them in finding alternative employment and making decisions about career options. Our case study research suggests that many workers do not understand the role and importance of transferable skills in cross-occupational mobility.</w:t>
      </w:r>
    </w:p>
    <w:p w:rsidR="00863ED4" w:rsidRPr="00E36C6C" w:rsidRDefault="00A10A13">
      <w:pPr>
        <w:pStyle w:val="Text"/>
      </w:pPr>
      <w:r w:rsidRPr="00E36C6C">
        <w:t>While training providers and employment facilitators generally understand the importance of soft and employability skills for workers in contemporary labour markets</w:t>
      </w:r>
      <w:r w:rsidR="00F32CF7">
        <w:t>,</w:t>
      </w:r>
      <w:r w:rsidR="00D64F80">
        <w:t xml:space="preserve"> </w:t>
      </w:r>
      <w:r w:rsidRPr="00E36C6C">
        <w:t>it appear</w:t>
      </w:r>
      <w:r w:rsidR="00E86F02">
        <w:t>s</w:t>
      </w:r>
      <w:r w:rsidRPr="00E36C6C">
        <w:t xml:space="preserve"> that this information is often </w:t>
      </w:r>
      <w:r w:rsidR="00E86F02">
        <w:t xml:space="preserve">not </w:t>
      </w:r>
      <w:r w:rsidRPr="00E36C6C">
        <w:t>well explained to the workers and job seekers they are assisting to make employment and training choices.</w:t>
      </w:r>
      <w:r w:rsidR="0096744F">
        <w:t xml:space="preserve"> </w:t>
      </w:r>
      <w:r w:rsidRPr="00E36C6C">
        <w:t xml:space="preserve">There appears to be ample opportunity for </w:t>
      </w:r>
      <w:r w:rsidR="00C9380D">
        <w:t xml:space="preserve">those involved in the </w:t>
      </w:r>
      <w:r w:rsidRPr="00E36C6C">
        <w:t>training system and</w:t>
      </w:r>
      <w:r w:rsidR="00C9380D">
        <w:t xml:space="preserve"> in</w:t>
      </w:r>
      <w:r w:rsidRPr="00E36C6C">
        <w:t xml:space="preserve"> employment facilitation to perform a much more educational role in assisting workers to understand the importance of generic hard and soft skills in occupational mobility</w:t>
      </w:r>
      <w:r w:rsidR="00F32CF7">
        <w:t>,</w:t>
      </w:r>
      <w:r w:rsidRPr="00E36C6C">
        <w:t xml:space="preserve"> </w:t>
      </w:r>
      <w:r w:rsidR="00C9380D">
        <w:t>along with</w:t>
      </w:r>
      <w:r w:rsidRPr="00E36C6C">
        <w:t xml:space="preserve"> the </w:t>
      </w:r>
      <w:r w:rsidR="00C9380D">
        <w:t xml:space="preserve">available </w:t>
      </w:r>
      <w:r w:rsidRPr="00E36C6C">
        <w:t xml:space="preserve">broader employment opportunities beyond </w:t>
      </w:r>
      <w:r w:rsidRPr="002B691A">
        <w:t>those constrained by technical hard skills. Some of the most successful worker</w:t>
      </w:r>
      <w:r w:rsidR="00F32CF7" w:rsidRPr="002B691A">
        <w:t>-</w:t>
      </w:r>
      <w:r w:rsidRPr="002B691A">
        <w:t>in</w:t>
      </w:r>
      <w:r w:rsidR="00F32CF7" w:rsidRPr="002B691A">
        <w:t>-</w:t>
      </w:r>
      <w:r w:rsidRPr="002B691A">
        <w:t>transition programs are those that assist workers to</w:t>
      </w:r>
      <w:r w:rsidR="00E86F02">
        <w:t>:</w:t>
      </w:r>
      <w:r w:rsidRPr="002B691A">
        <w:t xml:space="preserve"> recog</w:t>
      </w:r>
      <w:r w:rsidR="00C9380D">
        <w:t>nise these non-technical skills;</w:t>
      </w:r>
      <w:r w:rsidRPr="002B691A">
        <w:t xml:space="preserve"> </w:t>
      </w:r>
      <w:r w:rsidR="00E86F02">
        <w:t xml:space="preserve">understand </w:t>
      </w:r>
      <w:r w:rsidRPr="002B691A">
        <w:t xml:space="preserve">how they have </w:t>
      </w:r>
      <w:r w:rsidR="00E86F02">
        <w:t xml:space="preserve">been </w:t>
      </w:r>
      <w:r w:rsidRPr="002B691A">
        <w:t>developed in the workp</w:t>
      </w:r>
      <w:r w:rsidR="00C9380D">
        <w:t>lace and non-workplace settings;</w:t>
      </w:r>
      <w:r w:rsidRPr="002B691A">
        <w:t xml:space="preserve"> and </w:t>
      </w:r>
      <w:r w:rsidR="00E86F02">
        <w:t xml:space="preserve">recognise </w:t>
      </w:r>
      <w:r w:rsidRPr="002B691A">
        <w:t>the value of these skills in improving thei</w:t>
      </w:r>
      <w:r w:rsidRPr="00E36C6C">
        <w:t xml:space="preserve">r chances of transitioning to other areas of employment. It is </w:t>
      </w:r>
      <w:r w:rsidR="006B53BE">
        <w:t>suggested</w:t>
      </w:r>
      <w:r w:rsidR="006B53BE" w:rsidRPr="00E36C6C">
        <w:t xml:space="preserve"> </w:t>
      </w:r>
      <w:r w:rsidRPr="00E36C6C">
        <w:t>that workplaces considering workforce downsizing and retrenchments should include such adv</w:t>
      </w:r>
      <w:r w:rsidR="00E86F02">
        <w:t>ice and support in their worker-</w:t>
      </w:r>
      <w:r w:rsidRPr="00E36C6C">
        <w:t>transition programs.</w:t>
      </w:r>
      <w:r w:rsidR="0096744F">
        <w:t xml:space="preserve"> </w:t>
      </w:r>
      <w:r w:rsidR="0068040E">
        <w:rPr>
          <w:noProof/>
          <w:lang w:eastAsia="en-AU"/>
        </w:rPr>
        <mc:AlternateContent>
          <mc:Choice Requires="wps">
            <w:drawing>
              <wp:anchor distT="0" distB="0" distL="114300" distR="114300" simplePos="0" relativeHeight="252130304" behindDoc="0" locked="1" layoutInCell="1" allowOverlap="1" wp14:anchorId="7CE02B36" wp14:editId="3EE6B1E0">
                <wp:simplePos x="0" y="0"/>
                <wp:positionH relativeFrom="outsideMargin">
                  <wp:posOffset>315595</wp:posOffset>
                </wp:positionH>
                <wp:positionV relativeFrom="page">
                  <wp:posOffset>787400</wp:posOffset>
                </wp:positionV>
                <wp:extent cx="1320800" cy="1400175"/>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400175"/>
                        </a:xfrm>
                        <a:prstGeom prst="rect">
                          <a:avLst/>
                        </a:prstGeom>
                        <a:noFill/>
                        <a:ln w="6350">
                          <a:noFill/>
                        </a:ln>
                        <a:effectLst>
                          <a:outerShdw blurRad="152400" dist="317500" dir="5400000" sx="90000" sy="-19000" rotWithShape="0">
                            <a:prstClr val="black">
                              <a:alpha val="15000"/>
                            </a:prstClr>
                          </a:outerShdw>
                        </a:effectLst>
                      </wps:spPr>
                      <wps:txbx>
                        <w:txbxContent>
                          <w:p w:rsidR="00396053" w:rsidRPr="00543BFF" w:rsidRDefault="00396053" w:rsidP="0068040E">
                            <w:pPr>
                              <w:pStyle w:val="PullQuote"/>
                            </w:pPr>
                            <w:r w:rsidRPr="00215E3C">
                              <w:t>Some of the most successful worker-in-transition programs are those that assist workers to recognise the</w:t>
                            </w:r>
                            <w:r>
                              <w:t>ir</w:t>
                            </w:r>
                            <w:r w:rsidRPr="00215E3C">
                              <w:t xml:space="preserve"> non-technical skills</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47" type="#_x0000_t202" style="position:absolute;margin-left:24.85pt;margin-top:62pt;width:104pt;height:110.25pt;z-index:25213030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" filled="f" stroked="f" strokeweight=".5pt">
                <v:shadow on="t" type="perspective" color="black" opacity="9830f" origin=",.5" offset="0,25pt" matrix="58982f,,,-12452f"/>
                <v:path arrowok="t"/>
                <v:textbox inset="10mm">
                  <w:txbxContent>
                    <w:p w:rsidR="00396053" w:rsidRPr="00543BFF" w:rsidRDefault="00396053" w:rsidP="0068040E">
                      <w:pPr>
                        <w:pStyle w:val="PullQuote"/>
                      </w:pPr>
                      <w:r w:rsidRPr="00215E3C">
                        <w:t>Some of the most successful worker-in-transition programs are those that assist workers to recognise the</w:t>
                      </w:r>
                      <w:r>
                        <w:t>ir</w:t>
                      </w:r>
                      <w:r w:rsidRPr="00215E3C">
                        <w:t xml:space="preserve"> non-technical skills</w:t>
                      </w:r>
                      <w:r>
                        <w:t>.</w:t>
                      </w:r>
                    </w:p>
                  </w:txbxContent>
                </v:textbox>
                <w10:wrap anchorx="margin" anchory="page"/>
                <w10:anchorlock/>
              </v:shape>
            </w:pict>
          </mc:Fallback>
        </mc:AlternateContent>
      </w:r>
    </w:p>
    <w:p w:rsidR="00A10A13" w:rsidRPr="00E36C6C" w:rsidRDefault="00A10A13" w:rsidP="00870BA3">
      <w:pPr>
        <w:pStyle w:val="Heading2"/>
      </w:pPr>
      <w:bookmarkStart w:id="54" w:name="_Toc449707292"/>
      <w:r w:rsidRPr="00E36C6C">
        <w:rPr>
          <w:rFonts w:eastAsia="Arial"/>
        </w:rPr>
        <w:t>Promoting accreditation of skills</w:t>
      </w:r>
      <w:bookmarkEnd w:id="54"/>
    </w:p>
    <w:p w:rsidR="00A10A13" w:rsidRPr="00E36C6C" w:rsidRDefault="00A10A13" w:rsidP="00870BA3">
      <w:pPr>
        <w:pStyle w:val="Text"/>
      </w:pPr>
      <w:r w:rsidRPr="00E36C6C">
        <w:t xml:space="preserve">Transferable skills are developed through formal and informal training and </w:t>
      </w:r>
      <w:r w:rsidR="00C9380D">
        <w:t xml:space="preserve">through </w:t>
      </w:r>
      <w:r w:rsidRPr="00E36C6C">
        <w:t xml:space="preserve">learning to perform </w:t>
      </w:r>
      <w:r w:rsidR="00E86F02">
        <w:t xml:space="preserve">the </w:t>
      </w:r>
      <w:r w:rsidRPr="00E36C6C">
        <w:t>tasks associated with a particular occupation. The ability to formally identify transferable skills is made much easier when skills and competencies are fully accredited. Workers without qualifications are not only disadvantaged in a labour market where credentials perform a greater role</w:t>
      </w:r>
      <w:r w:rsidR="00F32CF7">
        <w:t>,</w:t>
      </w:r>
      <w:r w:rsidRPr="00E36C6C">
        <w:t xml:space="preserve"> but they are also less able to articulate the full depth and breadth of their skills to other employers and </w:t>
      </w:r>
      <w:r w:rsidR="00C9380D">
        <w:t xml:space="preserve">the individuals associated with </w:t>
      </w:r>
      <w:r w:rsidRPr="00E36C6C">
        <w:t xml:space="preserve">employment facilitation and </w:t>
      </w:r>
      <w:r w:rsidR="00C9380D">
        <w:t>the training sector</w:t>
      </w:r>
      <w:r w:rsidRPr="00E36C6C">
        <w:t>. The appropriate accreditation of skills through RPL or other forms of assessment prior to</w:t>
      </w:r>
      <w:r w:rsidR="00F32CF7">
        <w:t>,</w:t>
      </w:r>
      <w:r w:rsidRPr="00E36C6C">
        <w:t xml:space="preserve"> or soon after</w:t>
      </w:r>
      <w:r w:rsidR="00F32CF7">
        <w:t>,</w:t>
      </w:r>
      <w:r w:rsidRPr="00E36C6C">
        <w:t xml:space="preserve"> retrenchment</w:t>
      </w:r>
      <w:r w:rsidR="00F32CF7">
        <w:t>,</w:t>
      </w:r>
      <w:r w:rsidRPr="00E36C6C">
        <w:t xml:space="preserve"> is certainly an important step to overcoming some of the challenges that retrenched workers in this category are likely to confront when searching for new job opportunities. Employers should therefore constantly encourage and support their workers to develop these skills through formal accredited training</w:t>
      </w:r>
      <w:r w:rsidR="00F32CF7">
        <w:t>,</w:t>
      </w:r>
      <w:r w:rsidRPr="00E36C6C">
        <w:t xml:space="preserve"> in order to prepare them for easier transition to the next job.</w:t>
      </w:r>
    </w:p>
    <w:p w:rsidR="00A10A13" w:rsidRPr="00E36C6C" w:rsidRDefault="00970141" w:rsidP="00870BA3">
      <w:pPr>
        <w:pStyle w:val="Heading2"/>
      </w:pPr>
      <w:bookmarkStart w:id="55" w:name="_Toc449707293"/>
      <w:r>
        <w:rPr>
          <w:rFonts w:eastAsia="Arial"/>
        </w:rPr>
        <w:t xml:space="preserve">Improvements to </w:t>
      </w:r>
      <w:r w:rsidR="00061F13">
        <w:rPr>
          <w:rFonts w:eastAsia="Arial"/>
        </w:rPr>
        <w:t xml:space="preserve">training packages and </w:t>
      </w:r>
      <w:r>
        <w:rPr>
          <w:rFonts w:eastAsia="Arial"/>
        </w:rPr>
        <w:t>the training s</w:t>
      </w:r>
      <w:r w:rsidR="00A10A13" w:rsidRPr="00E36C6C">
        <w:rPr>
          <w:rFonts w:eastAsia="Arial"/>
        </w:rPr>
        <w:t>ystem</w:t>
      </w:r>
      <w:bookmarkEnd w:id="55"/>
      <w:r w:rsidR="00061F13">
        <w:rPr>
          <w:rFonts w:eastAsia="Arial"/>
        </w:rPr>
        <w:t xml:space="preserve"> </w:t>
      </w:r>
    </w:p>
    <w:p w:rsidR="005C41EA" w:rsidRDefault="00A10A13" w:rsidP="00D64F80">
      <w:pPr>
        <w:pStyle w:val="Text"/>
      </w:pPr>
      <w:r w:rsidRPr="00E36C6C">
        <w:t>The design of the Australian VET system</w:t>
      </w:r>
      <w:r w:rsidR="00061F13">
        <w:t xml:space="preserve">, more specifically training packages, </w:t>
      </w:r>
      <w:r w:rsidRPr="00E36C6C">
        <w:t>has ramifications for the development of cross-occupational transferability potential. Employability skills sought to formally articulate the transferable skills</w:t>
      </w:r>
      <w:r w:rsidR="005C41EA">
        <w:t xml:space="preserve"> are</w:t>
      </w:r>
      <w:r w:rsidRPr="00E36C6C">
        <w:t xml:space="preserve"> being de</w:t>
      </w:r>
      <w:r w:rsidR="00C9380D">
        <w:t>veloped within qualifications. The f</w:t>
      </w:r>
      <w:r w:rsidRPr="00E36C6C">
        <w:t>indings from this study suggest that</w:t>
      </w:r>
      <w:r w:rsidR="00C9380D">
        <w:t>,</w:t>
      </w:r>
      <w:r w:rsidRPr="00E36C6C">
        <w:t xml:space="preserve"> while qualifications developed employability skills</w:t>
      </w:r>
      <w:r w:rsidR="00F32CF7">
        <w:t>,</w:t>
      </w:r>
      <w:r w:rsidRPr="00E36C6C">
        <w:t xml:space="preserve"> the</w:t>
      </w:r>
      <w:r w:rsidR="00C9380D">
        <w:t>y often did so in occupation</w:t>
      </w:r>
      <w:r w:rsidRPr="00E36C6C">
        <w:t>-specific ways</w:t>
      </w:r>
      <w:r w:rsidR="00C9380D">
        <w:t>,</w:t>
      </w:r>
      <w:r w:rsidRPr="00E36C6C">
        <w:t xml:space="preserve"> which limited their transferable potential.</w:t>
      </w:r>
      <w:r w:rsidR="0096744F">
        <w:t xml:space="preserve"> </w:t>
      </w:r>
      <w:r w:rsidRPr="00E36C6C">
        <w:t>In addition, units of competency</w:t>
      </w:r>
      <w:r w:rsidR="00E86F02">
        <w:t xml:space="preserve"> that</w:t>
      </w:r>
      <w:r w:rsidRPr="00E36C6C">
        <w:t xml:space="preserve"> sought to develop soft and generic hard skills applicable to a wide range of occupations were not as widely shared between qualifications as one might expect.</w:t>
      </w:r>
      <w:r w:rsidR="0096744F">
        <w:t xml:space="preserve"> </w:t>
      </w:r>
      <w:r w:rsidRPr="00E36C6C">
        <w:t>Instead, these units of competency were often duplicated between training packages and qualifications</w:t>
      </w:r>
      <w:r w:rsidR="00F32CF7">
        <w:t>,</w:t>
      </w:r>
      <w:r w:rsidRPr="00E36C6C">
        <w:t xml:space="preserve"> contributing to unnecessary complexity. </w:t>
      </w:r>
      <w:r w:rsidR="006B53BE">
        <w:t>The evidence indicates</w:t>
      </w:r>
      <w:r w:rsidRPr="00E36C6C">
        <w:t xml:space="preserve"> that employability skills should be made more applicable to all workplace contexts, and that </w:t>
      </w:r>
      <w:r w:rsidR="00E86F02">
        <w:t xml:space="preserve">the </w:t>
      </w:r>
      <w:r w:rsidRPr="00E36C6C">
        <w:t>units of competency that aim to develop the same set of soft and generic hard skills should be rationalised as a way to improve the manner in which transf</w:t>
      </w:r>
      <w:r w:rsidR="00C9380D">
        <w:t xml:space="preserve">erable skills are developed </w:t>
      </w:r>
      <w:r w:rsidRPr="00E36C6C">
        <w:t>in the VET system.</w:t>
      </w:r>
      <w:r w:rsidR="0096744F">
        <w:t xml:space="preserve"> </w:t>
      </w:r>
      <w:r w:rsidRPr="00E36C6C">
        <w:t>Furthermore, the establishment of a common language to describe competencies, skills and knowledge will render the contents of qualifications and training packages easier to understand across industry boundaries, educational institutions and training bodies, and among policy</w:t>
      </w:r>
      <w:r w:rsidR="00C9380D">
        <w:t>-</w:t>
      </w:r>
      <w:r w:rsidRPr="00E36C6C">
        <w:t xml:space="preserve">makers and employers. </w:t>
      </w:r>
      <w:r w:rsidR="00E86F02">
        <w:t>Given that</w:t>
      </w:r>
      <w:r w:rsidRPr="00E36C6C">
        <w:t xml:space="preserve"> the current Australian training system is being redesigned, </w:t>
      </w:r>
      <w:r w:rsidR="00E86F02">
        <w:t xml:space="preserve">including </w:t>
      </w:r>
      <w:r w:rsidRPr="00E36C6C">
        <w:t xml:space="preserve">the </w:t>
      </w:r>
      <w:r w:rsidR="00E86F02">
        <w:t>removal of</w:t>
      </w:r>
      <w:r w:rsidRPr="00E36C6C">
        <w:t xml:space="preserve"> explicit reference to employability skills, these insights should be given considerable consideration.</w:t>
      </w:r>
      <w:r w:rsidR="0096744F">
        <w:t xml:space="preserve"> </w:t>
      </w:r>
    </w:p>
    <w:p w:rsidR="00A10A13" w:rsidRPr="00E36C6C" w:rsidRDefault="00A10A13" w:rsidP="00870BA3">
      <w:pPr>
        <w:pStyle w:val="Heading2"/>
      </w:pPr>
      <w:bookmarkStart w:id="56" w:name="_Toc449707294"/>
      <w:r w:rsidRPr="00E36C6C">
        <w:rPr>
          <w:rFonts w:eastAsia="Arial"/>
        </w:rPr>
        <w:t>Increased awareness and understanding of occupational clusters</w:t>
      </w:r>
      <w:bookmarkEnd w:id="56"/>
    </w:p>
    <w:p w:rsidR="00E86F02" w:rsidRDefault="00A10A13" w:rsidP="00870BA3">
      <w:pPr>
        <w:pStyle w:val="Text"/>
      </w:pPr>
      <w:r w:rsidRPr="00E36C6C">
        <w:t>Skills transferability and occupational mobility var</w:t>
      </w:r>
      <w:r w:rsidR="00C9380D">
        <w:t>y</w:t>
      </w:r>
      <w:r w:rsidRPr="00E36C6C">
        <w:t xml:space="preserve"> between categories or families of occupations</w:t>
      </w:r>
      <w:r w:rsidR="00C9380D">
        <w:t>,</w:t>
      </w:r>
      <w:r w:rsidRPr="00E36C6C">
        <w:t xml:space="preserve"> which often extend beyond industry classifications. Better tools need to be developed to improve our understanding of the skill and knowledge associations between different types of occupations.</w:t>
      </w:r>
      <w:r w:rsidR="0096744F">
        <w:t xml:space="preserve"> </w:t>
      </w:r>
      <w:r w:rsidR="008D6151">
        <w:t>The e</w:t>
      </w:r>
      <w:r w:rsidR="006B53BE">
        <w:t>vidence suggests</w:t>
      </w:r>
      <w:r w:rsidR="006B53BE" w:rsidRPr="00E36C6C">
        <w:t xml:space="preserve"> </w:t>
      </w:r>
      <w:r w:rsidRPr="00E36C6C">
        <w:t>that an occupational cluster framework, similar to the US’s Career Cluster model</w:t>
      </w:r>
      <w:r w:rsidR="00FD6F60">
        <w:t xml:space="preserve"> (O*Net 2015)</w:t>
      </w:r>
      <w:r w:rsidRPr="00E36C6C">
        <w:t xml:space="preserve">, </w:t>
      </w:r>
      <w:r w:rsidR="006B53BE">
        <w:t xml:space="preserve">could </w:t>
      </w:r>
      <w:r w:rsidRPr="00E36C6C">
        <w:t xml:space="preserve">be </w:t>
      </w:r>
      <w:r w:rsidR="00E86F02">
        <w:t xml:space="preserve">usefully </w:t>
      </w:r>
      <w:r w:rsidRPr="00E36C6C">
        <w:t>developed for the Australian context.</w:t>
      </w:r>
      <w:r w:rsidR="0096744F">
        <w:t xml:space="preserve"> </w:t>
      </w:r>
      <w:r w:rsidRPr="00E36C6C">
        <w:t xml:space="preserve">An occupational cluster framework enables employees to compare their skills </w:t>
      </w:r>
      <w:r w:rsidR="00C9380D">
        <w:t>with</w:t>
      </w:r>
      <w:r w:rsidRPr="00E36C6C">
        <w:t xml:space="preserve"> an occupation outside their industry, effectively expanding their ability to assess all of their </w:t>
      </w:r>
      <w:r w:rsidR="00854EAC">
        <w:rPr>
          <w:noProof/>
          <w:lang w:eastAsia="en-AU"/>
        </w:rPr>
        <mc:AlternateContent>
          <mc:Choice Requires="wps">
            <w:drawing>
              <wp:anchor distT="0" distB="0" distL="114300" distR="114300" simplePos="0" relativeHeight="252050432" behindDoc="0" locked="1" layoutInCell="1" allowOverlap="1" wp14:anchorId="7EB35C68" wp14:editId="41ECFD57">
                <wp:simplePos x="0" y="0"/>
                <wp:positionH relativeFrom="outsideMargin">
                  <wp:posOffset>257175</wp:posOffset>
                </wp:positionH>
                <wp:positionV relativeFrom="page">
                  <wp:posOffset>808355</wp:posOffset>
                </wp:positionV>
                <wp:extent cx="1320800" cy="16383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638300"/>
                        </a:xfrm>
                        <a:prstGeom prst="rect">
                          <a:avLst/>
                        </a:prstGeom>
                        <a:noFill/>
                        <a:ln w="6350">
                          <a:noFill/>
                        </a:ln>
                        <a:effectLst>
                          <a:outerShdw blurRad="152400" dist="317500" dir="5400000" sx="90000" sy="-19000" rotWithShape="0">
                            <a:prstClr val="black">
                              <a:alpha val="15000"/>
                            </a:prstClr>
                          </a:outerShdw>
                        </a:effectLst>
                      </wps:spPr>
                      <wps:txbx>
                        <w:txbxContent>
                          <w:p w:rsidR="00396053" w:rsidRPr="00543BFF" w:rsidRDefault="00396053" w:rsidP="00983469">
                            <w:pPr>
                              <w:pStyle w:val="PullQuote"/>
                            </w:pPr>
                            <w:r w:rsidRPr="00E36C6C">
                              <w:t>Better tools need to be developed to improve our understanding of the skill and knowledge associations between</w:t>
                            </w:r>
                            <w:r>
                              <w:t xml:space="preserve"> different types of occupations.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8" type="#_x0000_t202" style="position:absolute;margin-left:20.25pt;margin-top:63.65pt;width:104pt;height:129pt;z-index:25205043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" filled="f" stroked="f" strokeweight=".5pt">
                <v:shadow on="t" type="perspective" color="black" opacity="9830f" origin=",.5" offset="0,25pt" matrix="58982f,,,-12452f"/>
                <v:path arrowok="t"/>
                <v:textbox inset="10mm">
                  <w:txbxContent>
                    <w:p w:rsidR="00396053" w:rsidRPr="00543BFF" w:rsidRDefault="00396053" w:rsidP="00983469">
                      <w:pPr>
                        <w:pStyle w:val="PullQuote"/>
                      </w:pPr>
                      <w:r w:rsidRPr="00E36C6C">
                        <w:t>Better tools need to be developed to improve our understanding of the skill and knowledge associations between</w:t>
                      </w:r>
                      <w:r>
                        <w:t xml:space="preserve"> different types of occupations.</w:t>
                      </w:r>
                    </w:p>
                  </w:txbxContent>
                </v:textbox>
                <w10:wrap anchorx="margin" anchory="page"/>
                <w10:anchorlock/>
              </v:shape>
            </w:pict>
          </mc:Fallback>
        </mc:AlternateContent>
      </w:r>
      <w:r w:rsidR="00E86F02">
        <w:t>job opportunities</w:t>
      </w:r>
      <w:r w:rsidRPr="00E36C6C">
        <w:t xml:space="preserve"> and </w:t>
      </w:r>
      <w:r w:rsidR="00E86F02">
        <w:t xml:space="preserve">signalling </w:t>
      </w:r>
      <w:r w:rsidRPr="00E36C6C">
        <w:t>where most of their existing skills</w:t>
      </w:r>
      <w:r w:rsidR="00E86F02">
        <w:t xml:space="preserve"> could be applied. </w:t>
      </w:r>
      <w:r w:rsidR="006E2437">
        <w:t xml:space="preserve">The utilisation of such a framework has the potential to minimise the need for training new employees, thereby reducing cost and </w:t>
      </w:r>
      <w:r w:rsidR="009D7E89">
        <w:t xml:space="preserve">the squandering of </w:t>
      </w:r>
      <w:r w:rsidR="00774F63">
        <w:t xml:space="preserve">existing skills and </w:t>
      </w:r>
      <w:r w:rsidR="009D7E89">
        <w:t>qualifications.</w:t>
      </w:r>
      <w:r w:rsidR="006E2437">
        <w:t xml:space="preserve"> </w:t>
      </w:r>
      <w:r w:rsidR="00D0736D">
        <w:t>The development of a</w:t>
      </w:r>
      <w:r w:rsidRPr="00E36C6C">
        <w:t xml:space="preserve"> database </w:t>
      </w:r>
      <w:r w:rsidR="00D0736D">
        <w:t>that comprehensively</w:t>
      </w:r>
      <w:r w:rsidRPr="00E36C6C">
        <w:t xml:space="preserve"> maps the skills of each occupation within their corresponding cluster would provide an invaluable profiling tool for those advising trainees on suitable training programs and those assisting workers to find employment. This type of occupational comparison is currently not well understood in Australia</w:t>
      </w:r>
      <w:r w:rsidR="00006608">
        <w:t>,</w:t>
      </w:r>
      <w:r w:rsidRPr="00E36C6C">
        <w:t xml:space="preserve"> </w:t>
      </w:r>
      <w:r w:rsidR="00E86F02">
        <w:t>although</w:t>
      </w:r>
      <w:r w:rsidRPr="00E36C6C">
        <w:t xml:space="preserve"> the adoption of such a framework could be of some benefit not only </w:t>
      </w:r>
      <w:r w:rsidR="001F026B">
        <w:t xml:space="preserve">to </w:t>
      </w:r>
      <w:r w:rsidRPr="00E36C6C">
        <w:t>young people and displaced workers but also</w:t>
      </w:r>
      <w:r w:rsidR="00D0736D">
        <w:t xml:space="preserve"> to</w:t>
      </w:r>
      <w:r w:rsidRPr="00E36C6C">
        <w:t xml:space="preserve"> </w:t>
      </w:r>
      <w:r w:rsidR="00E86F02">
        <w:t>schools, business and industry.</w:t>
      </w:r>
    </w:p>
    <w:p w:rsidR="00A10A13" w:rsidRPr="00E36C6C" w:rsidRDefault="00A10A13" w:rsidP="00870BA3">
      <w:pPr>
        <w:pStyle w:val="Text"/>
      </w:pPr>
      <w:r w:rsidRPr="00E36C6C">
        <w:t xml:space="preserve">The career cluster approach could also be adopted in the development of training and qualifications to facilitate the understanding of the relationship between families of occupations and their common skills and knowledge, as well as </w:t>
      </w:r>
      <w:r w:rsidR="00006608">
        <w:t xml:space="preserve">to </w:t>
      </w:r>
      <w:r w:rsidRPr="00E36C6C">
        <w:t>increase the transferability of skills within clusters. The career cluster framework, therefore, is a useful way to align curriculum and creat</w:t>
      </w:r>
      <w:r w:rsidR="00826400">
        <w:t>e school-to-work pathways that</w:t>
      </w:r>
      <w:r w:rsidRPr="00E36C6C">
        <w:t xml:space="preserve"> lead to employment in related pathway occupations in similar ways as the recently proposed ‘vocational streams’ (see Yu, Bretherton </w:t>
      </w:r>
      <w:r w:rsidR="00006608">
        <w:t>&amp;</w:t>
      </w:r>
      <w:r w:rsidR="00006608" w:rsidRPr="00E36C6C">
        <w:t xml:space="preserve"> </w:t>
      </w:r>
      <w:r w:rsidR="004F0E95">
        <w:t>Buchanan</w:t>
      </w:r>
      <w:r w:rsidRPr="00E36C6C">
        <w:t xml:space="preserve"> 2013). </w:t>
      </w:r>
    </w:p>
    <w:p w:rsidR="00A10A13" w:rsidRPr="00E36C6C" w:rsidRDefault="00A10A13" w:rsidP="00870BA3">
      <w:pPr>
        <w:pStyle w:val="Heading2"/>
      </w:pPr>
      <w:bookmarkStart w:id="57" w:name="_Toc449707295"/>
      <w:r w:rsidRPr="00E36C6C">
        <w:rPr>
          <w:rFonts w:eastAsia="Arial"/>
        </w:rPr>
        <w:t>Improved occupational and labour market analysis</w:t>
      </w:r>
      <w:bookmarkEnd w:id="57"/>
    </w:p>
    <w:p w:rsidR="00A10A13" w:rsidRPr="00E36C6C" w:rsidRDefault="00D0736D" w:rsidP="00870BA3">
      <w:pPr>
        <w:pStyle w:val="Text"/>
      </w:pPr>
      <w:r>
        <w:t>L</w:t>
      </w:r>
      <w:r w:rsidR="00A46BE7">
        <w:t>ocal labour market</w:t>
      </w:r>
      <w:r w:rsidR="00A10A13" w:rsidRPr="00E36C6C">
        <w:t xml:space="preserve"> conditions, including changing demands for types of skills and occupations, have significant implications for occupational mobility and job prospects. Australian regions tend to be highly cellular</w:t>
      </w:r>
      <w:r w:rsidR="00006608">
        <w:t>,</w:t>
      </w:r>
      <w:r w:rsidR="00A10A13" w:rsidRPr="00E36C6C">
        <w:t xml:space="preserve"> displaying different patterns of occupational growth and decline. Comprehending these regional labour market particularities is thus critical to assisting workers in occupational transition. Comprehensive regional labour market assessments should be conducted regularly to </w:t>
      </w:r>
      <w:r w:rsidR="00826400">
        <w:t>highlight</w:t>
      </w:r>
      <w:r w:rsidR="00A10A13" w:rsidRPr="00E36C6C">
        <w:t xml:space="preserve"> where skills and occupations are growing. This knowledge can be used by </w:t>
      </w:r>
      <w:r w:rsidR="0066407E">
        <w:t xml:space="preserve">those involved in the </w:t>
      </w:r>
      <w:r w:rsidR="00A10A13" w:rsidRPr="00E36C6C">
        <w:t xml:space="preserve">training system and </w:t>
      </w:r>
      <w:r w:rsidR="0066407E">
        <w:t xml:space="preserve">in </w:t>
      </w:r>
      <w:r w:rsidR="00826400">
        <w:t xml:space="preserve">job </w:t>
      </w:r>
      <w:r w:rsidR="00A10A13" w:rsidRPr="00E36C6C">
        <w:t>market facilitation to assist workers to</w:t>
      </w:r>
      <w:r w:rsidR="00826400">
        <w:t>:</w:t>
      </w:r>
      <w:r w:rsidR="00A10A13" w:rsidRPr="00E36C6C">
        <w:t xml:space="preserve"> better identify viab</w:t>
      </w:r>
      <w:r w:rsidR="00826400">
        <w:t xml:space="preserve">le job and career opportunities; </w:t>
      </w:r>
      <w:r w:rsidR="00A10A13" w:rsidRPr="00E36C6C">
        <w:t>make more informed decisions about how best to approach RPL</w:t>
      </w:r>
      <w:r w:rsidR="00826400">
        <w:t>;</w:t>
      </w:r>
      <w:r w:rsidR="00A10A13" w:rsidRPr="00E36C6C">
        <w:t xml:space="preserve"> and retrain and upskill to deliver the best job outcomes. This information can also be </w:t>
      </w:r>
      <w:r w:rsidR="0066407E">
        <w:t>accessed</w:t>
      </w:r>
      <w:r w:rsidR="00A10A13" w:rsidRPr="00E36C6C">
        <w:t xml:space="preserve"> by employment facilitators to ensure </w:t>
      </w:r>
      <w:r w:rsidR="00826400">
        <w:t xml:space="preserve">that </w:t>
      </w:r>
      <w:r w:rsidR="00A10A13" w:rsidRPr="00E36C6C">
        <w:t>the best job outcomes are deli</w:t>
      </w:r>
      <w:r w:rsidR="0066407E">
        <w:t xml:space="preserve">vered to workers in transition. </w:t>
      </w:r>
      <w:r w:rsidR="00A10A13" w:rsidRPr="00E36C6C">
        <w:t xml:space="preserve">Such a process could be modelled on the transition practices executed by the Ford Transition Program (discussed earlier in the report and in more detail in </w:t>
      </w:r>
      <w:r w:rsidR="00861A9F">
        <w:t>s</w:t>
      </w:r>
      <w:r w:rsidR="009D7E89">
        <w:t xml:space="preserve">upport </w:t>
      </w:r>
      <w:r w:rsidR="00861A9F">
        <w:t>d</w:t>
      </w:r>
      <w:r w:rsidR="009D7E89">
        <w:t>ocument 3</w:t>
      </w:r>
      <w:r w:rsidR="00A10A13" w:rsidRPr="00E36C6C">
        <w:t xml:space="preserve">). </w:t>
      </w:r>
    </w:p>
    <w:p w:rsidR="00A10A13" w:rsidRPr="00E36C6C" w:rsidRDefault="00F5435B" w:rsidP="00870BA3">
      <w:pPr>
        <w:pStyle w:val="Heading2"/>
      </w:pPr>
      <w:bookmarkStart w:id="58" w:name="_Toc449707296"/>
      <w:r>
        <w:rPr>
          <w:rFonts w:cs="Arial"/>
          <w:color w:val="222222"/>
          <w:szCs w:val="28"/>
          <w:shd w:val="clear" w:color="auto" w:fill="FFFFFF"/>
        </w:rPr>
        <w:t>The development of a coordinated and collaborative worker in transition program</w:t>
      </w:r>
      <w:bookmarkEnd w:id="58"/>
    </w:p>
    <w:p w:rsidR="00D0736D" w:rsidRDefault="00A10A13" w:rsidP="00EE6D72">
      <w:pPr>
        <w:pStyle w:val="Text"/>
      </w:pPr>
      <w:r w:rsidRPr="00E36C6C">
        <w:t xml:space="preserve">The </w:t>
      </w:r>
      <w:r w:rsidR="0066407E">
        <w:t>effectiveness</w:t>
      </w:r>
      <w:r w:rsidRPr="00E36C6C">
        <w:t xml:space="preserve"> of workplace transition programs is dependent on the management of the process and the allocation of resources. An effective program is one </w:t>
      </w:r>
      <w:r w:rsidR="00482C33">
        <w:t xml:space="preserve">in </w:t>
      </w:r>
      <w:r w:rsidRPr="00E36C6C">
        <w:t>which the various actors engage in a comprehensively coordinated process to</w:t>
      </w:r>
      <w:r w:rsidR="00826400">
        <w:t>:</w:t>
      </w:r>
      <w:r w:rsidRPr="00E36C6C">
        <w:t xml:space="preserve"> identify the full extent of </w:t>
      </w:r>
      <w:r w:rsidR="0066407E">
        <w:t>worker</w:t>
      </w:r>
      <w:r w:rsidRPr="00E36C6C">
        <w:t>s</w:t>
      </w:r>
      <w:r w:rsidR="0066407E">
        <w:t>’</w:t>
      </w:r>
      <w:r w:rsidR="00826400">
        <w:t xml:space="preserve"> skills;</w:t>
      </w:r>
      <w:r w:rsidRPr="00E36C6C">
        <w:t xml:space="preserve"> provide accr</w:t>
      </w:r>
      <w:r w:rsidR="00826400">
        <w:t>editation training where needed;</w:t>
      </w:r>
      <w:r w:rsidRPr="00E36C6C">
        <w:t xml:space="preserve"> and determine where they should seek employment. A significant amount of time is required to hone workers</w:t>
      </w:r>
      <w:r w:rsidR="00FD7DCE">
        <w:t>’</w:t>
      </w:r>
      <w:r w:rsidRPr="00E36C6C">
        <w:t xml:space="preserve"> job-search skills</w:t>
      </w:r>
      <w:r w:rsidR="00482C33">
        <w:t>,</w:t>
      </w:r>
      <w:r w:rsidRPr="00E36C6C">
        <w:t xml:space="preserve"> since many employees exiting declining industries and occupations lack labour market experience. When employers attempt to perform al</w:t>
      </w:r>
      <w:r w:rsidR="00826400">
        <w:t xml:space="preserve">l of these transition tasks </w:t>
      </w:r>
      <w:r w:rsidRPr="00E36C6C">
        <w:t xml:space="preserve">in a short period of time, </w:t>
      </w:r>
      <w:r w:rsidR="0066407E">
        <w:t xml:space="preserve">the results are often ineffective </w:t>
      </w:r>
      <w:r w:rsidR="00D0736D">
        <w:t>with</w:t>
      </w:r>
      <w:r w:rsidR="0066407E">
        <w:t xml:space="preserve"> </w:t>
      </w:r>
      <w:r w:rsidRPr="00E36C6C">
        <w:t>the difficult and traumatic natu</w:t>
      </w:r>
      <w:r w:rsidR="00D0736D">
        <w:t>re of retrenchment often impacting</w:t>
      </w:r>
      <w:r w:rsidRPr="00E36C6C">
        <w:t xml:space="preserve"> </w:t>
      </w:r>
      <w:r w:rsidR="0066407E">
        <w:t xml:space="preserve">on </w:t>
      </w:r>
      <w:r w:rsidRPr="00E36C6C">
        <w:t>a worker’s ability to properly enga</w:t>
      </w:r>
      <w:r w:rsidR="00D0736D">
        <w:t>ge with the process.</w:t>
      </w:r>
    </w:p>
    <w:p w:rsidR="00A10A13" w:rsidRPr="00E36C6C" w:rsidRDefault="0066407E" w:rsidP="00EE6D72">
      <w:pPr>
        <w:pStyle w:val="Text"/>
      </w:pPr>
      <w:r>
        <w:t>Government-</w:t>
      </w:r>
      <w:r w:rsidR="00A10A13" w:rsidRPr="00E36C6C">
        <w:t>funded programs</w:t>
      </w:r>
      <w:r w:rsidR="00482C33">
        <w:t>,</w:t>
      </w:r>
      <w:r w:rsidR="00A10A13" w:rsidRPr="00E36C6C">
        <w:t xml:space="preserve"> </w:t>
      </w:r>
      <w:r>
        <w:t>such as</w:t>
      </w:r>
      <w:r w:rsidR="00A10A13" w:rsidRPr="00E36C6C">
        <w:t xml:space="preserve"> Victoria’s </w:t>
      </w:r>
      <w:r w:rsidR="00C222F3">
        <w:t>W</w:t>
      </w:r>
      <w:r w:rsidR="00A46BE7">
        <w:t>orkers in Transition Program</w:t>
      </w:r>
      <w:r>
        <w:t>,</w:t>
      </w:r>
      <w:r w:rsidR="00C222F3">
        <w:t xml:space="preserve"> </w:t>
      </w:r>
      <w:r w:rsidR="00A10A13" w:rsidRPr="00E36C6C">
        <w:t>often fail to provide such assistance, merely offer</w:t>
      </w:r>
      <w:r>
        <w:t>ing</w:t>
      </w:r>
      <w:r w:rsidR="00A10A13" w:rsidRPr="00E36C6C">
        <w:t xml:space="preserve"> soon-to-be-retrenched workers information to assist them </w:t>
      </w:r>
      <w:r>
        <w:t>to</w:t>
      </w:r>
      <w:r w:rsidR="00A10A13" w:rsidRPr="00E36C6C">
        <w:t xml:space="preserve"> navigat</w:t>
      </w:r>
      <w:r>
        <w:t>e</w:t>
      </w:r>
      <w:r w:rsidR="00A10A13" w:rsidRPr="00E36C6C">
        <w:t xml:space="preserve"> the transition process and </w:t>
      </w:r>
      <w:r w:rsidR="00826400">
        <w:t xml:space="preserve">often </w:t>
      </w:r>
      <w:r w:rsidR="00A10A13" w:rsidRPr="00E36C6C">
        <w:t xml:space="preserve">only when they are invited into the workplace. In order for </w:t>
      </w:r>
      <w:r>
        <w:t>a</w:t>
      </w:r>
      <w:r w:rsidR="00A10A13" w:rsidRPr="00E36C6C">
        <w:t xml:space="preserve"> </w:t>
      </w:r>
      <w:r w:rsidRPr="00E36C6C">
        <w:t>w</w:t>
      </w:r>
      <w:r>
        <w:t>orkers-in-transition program</w:t>
      </w:r>
      <w:r w:rsidRPr="00E36C6C">
        <w:t xml:space="preserve"> </w:t>
      </w:r>
      <w:r w:rsidR="00482C33">
        <w:t xml:space="preserve">to </w:t>
      </w:r>
      <w:r w:rsidR="00A10A13" w:rsidRPr="00E36C6C">
        <w:t xml:space="preserve">be effective, it must have </w:t>
      </w:r>
      <w:r w:rsidR="00826400">
        <w:t>adequate</w:t>
      </w:r>
      <w:r w:rsidR="00A10A13" w:rsidRPr="00E36C6C">
        <w:t xml:space="preserve"> employer and government support, and be well organised, </w:t>
      </w:r>
      <w:r w:rsidR="00482C33">
        <w:t xml:space="preserve">well </w:t>
      </w:r>
      <w:r w:rsidR="00A10A13" w:rsidRPr="00E36C6C">
        <w:t xml:space="preserve">resourced, and </w:t>
      </w:r>
      <w:r w:rsidR="00482C33">
        <w:t xml:space="preserve">well </w:t>
      </w:r>
      <w:r>
        <w:t>managed. In addition</w:t>
      </w:r>
      <w:r w:rsidR="00A10A13" w:rsidRPr="00E36C6C">
        <w:t xml:space="preserve">, it is imperative that the various </w:t>
      </w:r>
      <w:r>
        <w:t xml:space="preserve">parties involved in </w:t>
      </w:r>
      <w:r w:rsidR="00A10A13" w:rsidRPr="00E36C6C">
        <w:t xml:space="preserve">training and </w:t>
      </w:r>
      <w:r>
        <w:t xml:space="preserve">in </w:t>
      </w:r>
      <w:r w:rsidR="00A10A13" w:rsidRPr="00E36C6C">
        <w:t xml:space="preserve">employment support </w:t>
      </w:r>
      <w:r>
        <w:t>during</w:t>
      </w:r>
      <w:r w:rsidR="00A10A13" w:rsidRPr="00E36C6C">
        <w:t xml:space="preserve"> the transition process aim to </w:t>
      </w:r>
      <w:r w:rsidR="00854EAC">
        <w:rPr>
          <w:noProof/>
          <w:lang w:eastAsia="en-AU"/>
        </w:rPr>
        <mc:AlternateContent>
          <mc:Choice Requires="wps">
            <w:drawing>
              <wp:anchor distT="0" distB="0" distL="114300" distR="114300" simplePos="0" relativeHeight="252052480" behindDoc="0" locked="1" layoutInCell="1" allowOverlap="1" wp14:anchorId="5DDA22D7" wp14:editId="147778C3">
                <wp:simplePos x="0" y="0"/>
                <wp:positionH relativeFrom="outsideMargin">
                  <wp:posOffset>293370</wp:posOffset>
                </wp:positionH>
                <wp:positionV relativeFrom="page">
                  <wp:posOffset>789305</wp:posOffset>
                </wp:positionV>
                <wp:extent cx="1320800" cy="1918970"/>
                <wp:effectExtent l="0" t="0" r="0" b="508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918970"/>
                        </a:xfrm>
                        <a:prstGeom prst="rect">
                          <a:avLst/>
                        </a:prstGeom>
                        <a:noFill/>
                        <a:ln w="6350">
                          <a:noFill/>
                        </a:ln>
                        <a:effectLst>
                          <a:outerShdw blurRad="152400" dist="317500" dir="5400000" sx="90000" sy="-19000" rotWithShape="0">
                            <a:prstClr val="black">
                              <a:alpha val="15000"/>
                            </a:prstClr>
                          </a:outerShdw>
                        </a:effectLst>
                      </wps:spPr>
                      <wps:txbx>
                        <w:txbxContent>
                          <w:p w:rsidR="00396053" w:rsidRPr="00543BFF" w:rsidRDefault="00396053" w:rsidP="00983469">
                            <w:pPr>
                              <w:pStyle w:val="PullQuote"/>
                            </w:pPr>
                            <w:r w:rsidRPr="00E36C6C">
                              <w:t>A significant amount of time is required to hone workers</w:t>
                            </w:r>
                            <w:r>
                              <w:t>’</w:t>
                            </w:r>
                            <w:r w:rsidRPr="00E36C6C">
                              <w:t xml:space="preserve"> job-search skills</w:t>
                            </w:r>
                            <w:r>
                              <w:t>,</w:t>
                            </w:r>
                            <w:r w:rsidRPr="00E36C6C">
                              <w:t xml:space="preserve"> since many employees exiting declining industries and occupations lack labour market experience.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9" type="#_x0000_t202" style="position:absolute;margin-left:23.1pt;margin-top:62.15pt;width:104pt;height:151.1pt;z-index:25205248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" filled="f" stroked="f" strokeweight=".5pt">
                <v:shadow on="t" type="perspective" color="black" opacity="9830f" origin=",.5" offset="0,25pt" matrix="58982f,,,-12452f"/>
                <v:path arrowok="t"/>
                <v:textbox inset="10mm">
                  <w:txbxContent>
                    <w:p w:rsidR="00396053" w:rsidRPr="00543BFF" w:rsidRDefault="00396053" w:rsidP="00983469">
                      <w:pPr>
                        <w:pStyle w:val="PullQuote"/>
                      </w:pPr>
                      <w:r w:rsidRPr="00E36C6C">
                        <w:t>A significant amount of time is required to hone workers</w:t>
                      </w:r>
                      <w:r>
                        <w:t>’</w:t>
                      </w:r>
                      <w:r w:rsidRPr="00E36C6C">
                        <w:t xml:space="preserve"> job-search skills</w:t>
                      </w:r>
                      <w:r>
                        <w:t>,</w:t>
                      </w:r>
                      <w:r w:rsidRPr="00E36C6C">
                        <w:t xml:space="preserve"> since many employees exiting declining industries and occupations lack labour market experience. </w:t>
                      </w:r>
                    </w:p>
                  </w:txbxContent>
                </v:textbox>
                <w10:wrap anchorx="margin" anchory="page"/>
                <w10:anchorlock/>
              </v:shape>
            </w:pict>
          </mc:Fallback>
        </mc:AlternateContent>
      </w:r>
      <w:r w:rsidR="00A10A13" w:rsidRPr="00E36C6C">
        <w:t xml:space="preserve">provide appropriate advice that </w:t>
      </w:r>
      <w:r w:rsidR="00826400">
        <w:t>benefits</w:t>
      </w:r>
      <w:r w:rsidR="00A10A13" w:rsidRPr="00E36C6C">
        <w:t xml:space="preserve"> individual worker</w:t>
      </w:r>
      <w:r w:rsidR="00826400">
        <w:t>s</w:t>
      </w:r>
      <w:r w:rsidR="00A10A13" w:rsidRPr="00E36C6C">
        <w:t xml:space="preserve">. Attempts by private training providers to promote specific </w:t>
      </w:r>
      <w:r w:rsidR="00A10A13" w:rsidRPr="00EE6D72">
        <w:rPr>
          <w:rFonts w:eastAsia="Tahoma"/>
        </w:rPr>
        <w:t>programs</w:t>
      </w:r>
      <w:r w:rsidR="00A10A13" w:rsidRPr="00E36C6C">
        <w:t xml:space="preserve"> that are unsuitable for local labour markets, and the efforts of </w:t>
      </w:r>
      <w:r w:rsidR="00D0736D">
        <w:t xml:space="preserve">job </w:t>
      </w:r>
      <w:r w:rsidR="00CD3049">
        <w:t>support</w:t>
      </w:r>
      <w:r w:rsidR="00D0736D">
        <w:t xml:space="preserve"> agencies</w:t>
      </w:r>
      <w:r w:rsidR="00A10A13" w:rsidRPr="00E36C6C">
        <w:t xml:space="preserve"> to place workers in any and</w:t>
      </w:r>
      <w:r>
        <w:t xml:space="preserve"> often inappropriate employment</w:t>
      </w:r>
      <w:r w:rsidR="00A10A13" w:rsidRPr="00E36C6C">
        <w:t xml:space="preserve"> limit the effective capacity of disadvantaged workers to transition to new and meaningful employment. In this vein, the current last-in-least-supported approach which underpins Jobactive government funding arrangements may need </w:t>
      </w:r>
      <w:r>
        <w:t>to be reconsidered</w:t>
      </w:r>
      <w:r w:rsidR="00A10A13" w:rsidRPr="00E36C6C">
        <w:t xml:space="preserve">. </w:t>
      </w:r>
    </w:p>
    <w:p w:rsidR="00225424" w:rsidRDefault="00225424">
      <w:pPr>
        <w:spacing w:before="0" w:line="240" w:lineRule="auto"/>
        <w:rPr>
          <w:rFonts w:ascii="Arial" w:hAnsi="Arial" w:cs="Tahoma"/>
          <w:color w:val="000000"/>
          <w:kern w:val="28"/>
          <w:sz w:val="48"/>
          <w:szCs w:val="56"/>
        </w:rPr>
      </w:pPr>
      <w:bookmarkStart w:id="59" w:name="_Toc316371590"/>
      <w:bookmarkEnd w:id="31"/>
      <w:bookmarkEnd w:id="33"/>
      <w:r>
        <w:br w:type="page"/>
      </w:r>
    </w:p>
    <w:p w:rsidR="004F0FD5" w:rsidRDefault="00D64F80" w:rsidP="004F0FD5">
      <w:pPr>
        <w:pStyle w:val="Heading1"/>
      </w:pPr>
      <w:bookmarkStart w:id="60" w:name="_Toc449707297"/>
      <w:r w:rsidRPr="00D64F80">
        <w:rPr>
          <w:noProof/>
          <w:lang w:eastAsia="en-AU"/>
        </w:rPr>
        <w:drawing>
          <wp:anchor distT="0" distB="0" distL="114300" distR="114300" simplePos="0" relativeHeight="252124160" behindDoc="1" locked="0" layoutInCell="1" allowOverlap="1" wp14:anchorId="3D1D032C" wp14:editId="1D0F95DD">
            <wp:simplePos x="0" y="0"/>
            <wp:positionH relativeFrom="column">
              <wp:posOffset>-19050</wp:posOffset>
            </wp:positionH>
            <wp:positionV relativeFrom="paragraph">
              <wp:posOffset>-38735</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75" name="Picture 75" descr="P:\PublicationComponents\Icons\Referen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PublicationComponents\Icons\References_Green.em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FD5">
        <w:t>References</w:t>
      </w:r>
      <w:bookmarkEnd w:id="60"/>
      <w:r w:rsidR="004F0FD5">
        <w:t xml:space="preserve"> </w:t>
      </w:r>
    </w:p>
    <w:p w:rsidR="00D171B5" w:rsidRDefault="00D171B5" w:rsidP="00D72F3F">
      <w:pPr>
        <w:pStyle w:val="References"/>
      </w:pPr>
      <w:r w:rsidRPr="00D171B5">
        <w:t xml:space="preserve">Australian Bureau of Statistics 2006, </w:t>
      </w:r>
      <w:r w:rsidRPr="005C41EA">
        <w:rPr>
          <w:i/>
        </w:rPr>
        <w:t>Census of Population and Housing</w:t>
      </w:r>
      <w:r w:rsidRPr="00D171B5">
        <w:t>, Commonwealth of Australia, Canberra.</w:t>
      </w:r>
    </w:p>
    <w:p w:rsidR="00D171B5" w:rsidRDefault="00D171B5" w:rsidP="00D171B5">
      <w:pPr>
        <w:pStyle w:val="References"/>
        <w:ind w:firstLine="0"/>
      </w:pPr>
      <w:r>
        <w:t>——</w:t>
      </w:r>
      <w:r w:rsidRPr="00D171B5">
        <w:t xml:space="preserve"> </w:t>
      </w:r>
      <w:r>
        <w:t xml:space="preserve">2009, 1220.0 ANZSCO - </w:t>
      </w:r>
      <w:r w:rsidRPr="004C1FEA">
        <w:rPr>
          <w:i/>
        </w:rPr>
        <w:t>Australian and New Zealand Standard Classification of Occupations</w:t>
      </w:r>
      <w:r>
        <w:t>, First Edition, Revision 1, 2009, Canberra: ABS.</w:t>
      </w:r>
    </w:p>
    <w:p w:rsidR="00D72F3F" w:rsidRDefault="00D171B5" w:rsidP="00D171B5">
      <w:pPr>
        <w:pStyle w:val="References"/>
        <w:ind w:firstLine="0"/>
      </w:pPr>
      <w:r>
        <w:t>——</w:t>
      </w:r>
      <w:r w:rsidRPr="00D171B5">
        <w:t xml:space="preserve"> 2011, </w:t>
      </w:r>
      <w:r w:rsidRPr="005C41EA">
        <w:rPr>
          <w:i/>
        </w:rPr>
        <w:t>Census of Population and Housing</w:t>
      </w:r>
      <w:r w:rsidRPr="00D171B5">
        <w:t>, Commonwealth of Australia, Canberra.</w:t>
      </w:r>
    </w:p>
    <w:p w:rsidR="00DC5F27" w:rsidRDefault="00DC5F27" w:rsidP="00D72F3F">
      <w:pPr>
        <w:pStyle w:val="References"/>
      </w:pPr>
      <w:r>
        <w:t xml:space="preserve">Atkinson, G &amp; Hargreaves, J 2014, </w:t>
      </w:r>
      <w:r w:rsidRPr="004C1FEA">
        <w:rPr>
          <w:i/>
        </w:rPr>
        <w:t>An exploration of labour mobility in mining and construction: who moves and why</w:t>
      </w:r>
      <w:r>
        <w:t>, NCVER, Adelaide.</w:t>
      </w:r>
    </w:p>
    <w:p w:rsidR="005F3A21" w:rsidRPr="005F3A21" w:rsidRDefault="005F3A21" w:rsidP="00E7423E">
      <w:pPr>
        <w:pStyle w:val="References"/>
      </w:pPr>
      <w:r>
        <w:t xml:space="preserve">Australian Chamber of Commerce and Industry &amp; Business Council of Australia 2002, </w:t>
      </w:r>
      <w:r>
        <w:rPr>
          <w:i/>
        </w:rPr>
        <w:t xml:space="preserve">Employability </w:t>
      </w:r>
      <w:r w:rsidR="00510CBA">
        <w:rPr>
          <w:i/>
        </w:rPr>
        <w:t>skills for the future</w:t>
      </w:r>
      <w:r>
        <w:rPr>
          <w:i/>
        </w:rPr>
        <w:t xml:space="preserve">, </w:t>
      </w:r>
      <w:r>
        <w:t>Department of Education, Science and Training, Canberra.</w:t>
      </w:r>
    </w:p>
    <w:p w:rsidR="00774F63" w:rsidRDefault="00774F63" w:rsidP="00E7423E">
      <w:pPr>
        <w:pStyle w:val="References"/>
      </w:pPr>
      <w:r>
        <w:t xml:space="preserve">Beerepoot, </w:t>
      </w:r>
      <w:r w:rsidR="002F2EB5">
        <w:t>N &amp; Hendriks, M 2013,</w:t>
      </w:r>
      <w:r>
        <w:t xml:space="preserve"> </w:t>
      </w:r>
      <w:r w:rsidR="002F2EB5">
        <w:t>‘</w:t>
      </w:r>
      <w:r>
        <w:t>Employability of offshore service sector workers in the Philippines: opportunities for upward labour mobility</w:t>
      </w:r>
      <w:r w:rsidR="002F2EB5">
        <w:t>’</w:t>
      </w:r>
      <w:r>
        <w:t xml:space="preserve">, </w:t>
      </w:r>
      <w:r w:rsidRPr="004C1FEA">
        <w:rPr>
          <w:i/>
        </w:rPr>
        <w:t>Work, Employment and Soci</w:t>
      </w:r>
      <w:r>
        <w:rPr>
          <w:i/>
        </w:rPr>
        <w:t>e</w:t>
      </w:r>
      <w:r w:rsidRPr="004C1FEA">
        <w:rPr>
          <w:i/>
        </w:rPr>
        <w:t>ty</w:t>
      </w:r>
      <w:r>
        <w:rPr>
          <w:i/>
        </w:rPr>
        <w:t>,</w:t>
      </w:r>
      <w:r w:rsidR="002F2EB5">
        <w:rPr>
          <w:i/>
        </w:rPr>
        <w:t xml:space="preserve"> </w:t>
      </w:r>
      <w:r w:rsidR="002F2EB5">
        <w:t>v</w:t>
      </w:r>
      <w:r>
        <w:t>ol.27</w:t>
      </w:r>
      <w:r w:rsidR="00086995">
        <w:t xml:space="preserve">, </w:t>
      </w:r>
      <w:r w:rsidR="002F2EB5">
        <w:t>no.5, pp.</w:t>
      </w:r>
      <w:r w:rsidR="00086995">
        <w:t>823-841.</w:t>
      </w:r>
      <w:r>
        <w:t xml:space="preserve"> </w:t>
      </w:r>
    </w:p>
    <w:p w:rsidR="004F0FD5" w:rsidRDefault="004F0FD5" w:rsidP="00E7423E">
      <w:pPr>
        <w:pStyle w:val="References"/>
      </w:pPr>
      <w:r>
        <w:t>Bernhardt, A, Morr</w:t>
      </w:r>
      <w:r w:rsidR="002F2EB5">
        <w:t>is, M, Handcock, M</w:t>
      </w:r>
      <w:r w:rsidR="00510CBA">
        <w:t>S &amp; Scott, M</w:t>
      </w:r>
      <w:r>
        <w:t xml:space="preserve">A 2001, </w:t>
      </w:r>
      <w:r w:rsidRPr="00CC0612">
        <w:rPr>
          <w:i/>
        </w:rPr>
        <w:t xml:space="preserve">Divergent paths: economic mobility in the new American Labor market, </w:t>
      </w:r>
      <w:r w:rsidRPr="00CC0612">
        <w:t>New York,</w:t>
      </w:r>
      <w:r>
        <w:t xml:space="preserve"> Russell Sage Foundation.</w:t>
      </w:r>
    </w:p>
    <w:p w:rsidR="004F0FD5" w:rsidRDefault="004F0FD5" w:rsidP="00E7423E">
      <w:pPr>
        <w:pStyle w:val="References"/>
      </w:pPr>
      <w:r>
        <w:t xml:space="preserve">Curtis, D &amp; McKenzie, P 2001, </w:t>
      </w:r>
      <w:r w:rsidRPr="00CC0612">
        <w:rPr>
          <w:i/>
        </w:rPr>
        <w:t xml:space="preserve">Employability skills for Australian </w:t>
      </w:r>
      <w:r w:rsidR="00E7423E" w:rsidRPr="00CC0612">
        <w:rPr>
          <w:i/>
        </w:rPr>
        <w:t xml:space="preserve">industry: literature review and </w:t>
      </w:r>
      <w:r w:rsidRPr="00CC0612">
        <w:rPr>
          <w:i/>
        </w:rPr>
        <w:t xml:space="preserve">framework development report to business </w:t>
      </w:r>
      <w:r w:rsidR="0006235B">
        <w:rPr>
          <w:i/>
        </w:rPr>
        <w:t>council Australia,</w:t>
      </w:r>
      <w:r w:rsidR="00E7423E">
        <w:t xml:space="preserve"> </w:t>
      </w:r>
      <w:r>
        <w:t>Australian Council for Education</w:t>
      </w:r>
      <w:r w:rsidR="00510CBA">
        <w:t>al</w:t>
      </w:r>
      <w:r>
        <w:t xml:space="preserve"> Research</w:t>
      </w:r>
      <w:r w:rsidR="00510CBA">
        <w:t>, Melbourne</w:t>
      </w:r>
      <w:r>
        <w:t>.</w:t>
      </w:r>
    </w:p>
    <w:p w:rsidR="00CD3049" w:rsidRDefault="00CD3049" w:rsidP="00CD3049">
      <w:pPr>
        <w:pStyle w:val="References"/>
      </w:pPr>
      <w:r w:rsidRPr="00E37D9A">
        <w:t xml:space="preserve">Department of Education, Science and Training </w:t>
      </w:r>
      <w:r>
        <w:t xml:space="preserve">2015, </w:t>
      </w:r>
      <w:r w:rsidRPr="00CC0612">
        <w:rPr>
          <w:i/>
        </w:rPr>
        <w:t>Certificate IV in Commercial Cookery</w:t>
      </w:r>
      <w:r>
        <w:t>, viewed July 2015, &lt;</w:t>
      </w:r>
      <w:hyperlink r:id="rId43" w:history="1">
        <w:r w:rsidRPr="003337BB">
          <w:rPr>
            <w:rStyle w:val="Hyperlink"/>
            <w:sz w:val="18"/>
          </w:rPr>
          <w:t>https://training.gov.au/Training/Details/SIT40413</w:t>
        </w:r>
      </w:hyperlink>
      <w:r>
        <w:t>&gt;.</w:t>
      </w:r>
    </w:p>
    <w:p w:rsidR="00E37D9A" w:rsidRDefault="00E37D9A" w:rsidP="00E37D9A">
      <w:pPr>
        <w:pStyle w:val="References"/>
      </w:pPr>
      <w:r w:rsidRPr="00E37D9A">
        <w:t xml:space="preserve">Department of Education, Science and Training &amp; </w:t>
      </w:r>
      <w:r w:rsidRPr="00985E9A">
        <w:t xml:space="preserve">Australian Qualifications Framework Council 2013, </w:t>
      </w:r>
      <w:r w:rsidRPr="00CC0612">
        <w:rPr>
          <w:i/>
        </w:rPr>
        <w:t>Australian Qualifications Framework</w:t>
      </w:r>
      <w:r w:rsidRPr="00985E9A">
        <w:t>, 2nd edn,</w:t>
      </w:r>
      <w:r w:rsidR="00420EEF">
        <w:t xml:space="preserve"> </w:t>
      </w:r>
      <w:r w:rsidRPr="00985E9A">
        <w:t xml:space="preserve">Adelaide, viewed </w:t>
      </w:r>
      <w:r>
        <w:t>June</w:t>
      </w:r>
      <w:r w:rsidRPr="00985E9A">
        <w:t xml:space="preserve"> 2015, &lt;http://www.aqf.edu.au/wp-content/uploads/2013/05/AQF-2nd-Edition-January-2013.pdf&gt;.</w:t>
      </w:r>
    </w:p>
    <w:p w:rsidR="004F0FD5" w:rsidRPr="00F5435B" w:rsidRDefault="00FC5A45" w:rsidP="00CB33C9">
      <w:pPr>
        <w:pStyle w:val="References"/>
      </w:pPr>
      <w:r>
        <w:t xml:space="preserve">Department of Industry, Innovation, Climate Change, Science, Research and Tertiary Education &amp; Department of Education, Employment and Workplace Relations 2013, </w:t>
      </w:r>
      <w:r w:rsidRPr="00FC5A45">
        <w:rPr>
          <w:i/>
        </w:rPr>
        <w:t>Core skills for work developmental framework</w:t>
      </w:r>
      <w:r>
        <w:t>, A</w:t>
      </w:r>
      <w:r w:rsidR="00CB33C9">
        <w:t>ustralian Government, Canberra.</w:t>
      </w:r>
    </w:p>
    <w:p w:rsidR="00E7423E" w:rsidRDefault="00FC5A45" w:rsidP="00E7423E">
      <w:pPr>
        <w:pStyle w:val="References"/>
      </w:pPr>
      <w:r>
        <w:t>Econo</w:t>
      </w:r>
      <w:r w:rsidR="00E7423E">
        <w:t xml:space="preserve">mist Intelligence Unit 2015, </w:t>
      </w:r>
      <w:r w:rsidR="00E7423E" w:rsidRPr="00CC0612">
        <w:rPr>
          <w:i/>
        </w:rPr>
        <w:t xml:space="preserve">The </w:t>
      </w:r>
      <w:r w:rsidR="00E85982" w:rsidRPr="00CC0612">
        <w:rPr>
          <w:i/>
        </w:rPr>
        <w:t xml:space="preserve">Global Talent Index </w:t>
      </w:r>
      <w:r w:rsidR="00E7423E" w:rsidRPr="00CC0612">
        <w:rPr>
          <w:i/>
        </w:rPr>
        <w:t>report: the outlook to 2015</w:t>
      </w:r>
      <w:r w:rsidR="00E7423E">
        <w:t>, viewed June 2015, &lt;</w:t>
      </w:r>
      <w:r w:rsidR="00E7423E" w:rsidRPr="00E7423E">
        <w:t>http://www.economistinsights.com/sites/default/files/downloads/GTI%20FINAL%20REPORT%205.4.11.pdf</w:t>
      </w:r>
      <w:r w:rsidR="00E7423E">
        <w:t>&gt;</w:t>
      </w:r>
    </w:p>
    <w:p w:rsidR="00DB1D27" w:rsidRDefault="00DB1D27" w:rsidP="00DB1D27">
      <w:pPr>
        <w:pStyle w:val="References"/>
      </w:pPr>
      <w:r w:rsidRPr="00EB53D1">
        <w:t xml:space="preserve">European Commission 2013, </w:t>
      </w:r>
      <w:r w:rsidRPr="00CC0612">
        <w:rPr>
          <w:i/>
        </w:rPr>
        <w:t>Transferability of skills across economic sectors by European Commission</w:t>
      </w:r>
      <w:r w:rsidRPr="00EB53D1">
        <w:t xml:space="preserve">, Union Programme for Employment and Social Solidarity Progress (2007-2013). </w:t>
      </w:r>
    </w:p>
    <w:p w:rsidR="003B77B6" w:rsidRDefault="003B77B6" w:rsidP="00E7423E">
      <w:pPr>
        <w:pStyle w:val="References"/>
      </w:pPr>
      <w:r>
        <w:t xml:space="preserve">Finn, B 1991, </w:t>
      </w:r>
      <w:r w:rsidRPr="00CC0612">
        <w:rPr>
          <w:i/>
        </w:rPr>
        <w:t xml:space="preserve">Young people’s participation in post-compulsory education and training: report of the Australian Education Council Review Committee </w:t>
      </w:r>
      <w:r w:rsidR="00510CBA">
        <w:t>(Finn review)</w:t>
      </w:r>
      <w:r w:rsidRPr="00510CBA">
        <w:t xml:space="preserve">, </w:t>
      </w:r>
      <w:r w:rsidRPr="00FD6F60">
        <w:t xml:space="preserve">Australian Education Council Review Committee, </w:t>
      </w:r>
      <w:r w:rsidRPr="003B77B6">
        <w:t>Australian Government</w:t>
      </w:r>
      <w:r w:rsidR="00510CBA">
        <w:t>, Canberra</w:t>
      </w:r>
      <w:r w:rsidRPr="003B77B6">
        <w:t>.</w:t>
      </w:r>
    </w:p>
    <w:p w:rsidR="00D3274A" w:rsidRDefault="00510CBA" w:rsidP="00856034">
      <w:pPr>
        <w:pStyle w:val="References"/>
      </w:pPr>
      <w:r>
        <w:t>Frantz, N</w:t>
      </w:r>
      <w:r w:rsidR="004F0FD5">
        <w:t xml:space="preserve"> 1973, ‘Career cluster concept’, </w:t>
      </w:r>
      <w:r w:rsidR="004F0FD5" w:rsidRPr="00CC0612">
        <w:rPr>
          <w:i/>
        </w:rPr>
        <w:t>ERIC Clearinghouse on Vocational and Technical Education</w:t>
      </w:r>
      <w:r w:rsidR="004F0FD5" w:rsidRPr="00FD6F60">
        <w:t xml:space="preserve">, </w:t>
      </w:r>
      <w:r>
        <w:t>vol.78, no.1, pp.1—</w:t>
      </w:r>
      <w:r w:rsidR="004F0FD5">
        <w:t>37.</w:t>
      </w:r>
    </w:p>
    <w:p w:rsidR="00F21F91" w:rsidRDefault="002F2EB5" w:rsidP="00F21F91">
      <w:pPr>
        <w:pStyle w:val="References"/>
        <w:rPr>
          <w:szCs w:val="18"/>
        </w:rPr>
      </w:pPr>
      <w:r>
        <w:rPr>
          <w:szCs w:val="18"/>
        </w:rPr>
        <w:t>Gekara, V</w:t>
      </w:r>
      <w:r w:rsidR="00F21F91">
        <w:rPr>
          <w:szCs w:val="18"/>
        </w:rPr>
        <w:t>O, Snell, D</w:t>
      </w:r>
      <w:r w:rsidR="00F21F91" w:rsidRPr="00F21F91">
        <w:rPr>
          <w:szCs w:val="18"/>
        </w:rPr>
        <w:t>, Chhetri, P</w:t>
      </w:r>
      <w:r w:rsidR="00F21F91">
        <w:rPr>
          <w:szCs w:val="18"/>
        </w:rPr>
        <w:t xml:space="preserve"> &amp; Manzoni A 2014, </w:t>
      </w:r>
      <w:r>
        <w:rPr>
          <w:szCs w:val="18"/>
        </w:rPr>
        <w:t>‘</w:t>
      </w:r>
      <w:r w:rsidR="00F21F91" w:rsidRPr="00F21F91">
        <w:rPr>
          <w:szCs w:val="18"/>
        </w:rPr>
        <w:t>Meeting skills needs in a</w:t>
      </w:r>
      <w:r w:rsidR="00F21F91">
        <w:rPr>
          <w:szCs w:val="18"/>
        </w:rPr>
        <w:t xml:space="preserve"> </w:t>
      </w:r>
      <w:r w:rsidR="00F21F91" w:rsidRPr="00F21F91">
        <w:rPr>
          <w:szCs w:val="18"/>
        </w:rPr>
        <w:t>market-based training system: a study of employer perceptions and responses to training challenges in the Australian transport and logistics industry</w:t>
      </w:r>
      <w:r>
        <w:rPr>
          <w:szCs w:val="18"/>
        </w:rPr>
        <w:t>’</w:t>
      </w:r>
      <w:r w:rsidR="00F21F91" w:rsidRPr="00F21F91">
        <w:rPr>
          <w:szCs w:val="18"/>
        </w:rPr>
        <w:t xml:space="preserve">, </w:t>
      </w:r>
      <w:r w:rsidR="00F21F91" w:rsidRPr="004C1FEA">
        <w:rPr>
          <w:i/>
          <w:szCs w:val="18"/>
        </w:rPr>
        <w:t>Journal of Vocational Education &amp; Training</w:t>
      </w:r>
      <w:r w:rsidR="00F21F91" w:rsidRPr="00F21F91">
        <w:rPr>
          <w:szCs w:val="18"/>
        </w:rPr>
        <w:t xml:space="preserve">, </w:t>
      </w:r>
      <w:r>
        <w:rPr>
          <w:szCs w:val="18"/>
        </w:rPr>
        <w:t>v</w:t>
      </w:r>
      <w:r w:rsidR="00F21F91">
        <w:rPr>
          <w:szCs w:val="18"/>
        </w:rPr>
        <w:t>ol.</w:t>
      </w:r>
      <w:r w:rsidR="00F21F91" w:rsidRPr="00F21F91">
        <w:rPr>
          <w:szCs w:val="18"/>
        </w:rPr>
        <w:t>66</w:t>
      </w:r>
      <w:r w:rsidR="00F21F91">
        <w:rPr>
          <w:szCs w:val="18"/>
        </w:rPr>
        <w:t xml:space="preserve">, </w:t>
      </w:r>
      <w:r>
        <w:rPr>
          <w:szCs w:val="18"/>
        </w:rPr>
        <w:t>n</w:t>
      </w:r>
      <w:r w:rsidR="00F21F91">
        <w:rPr>
          <w:szCs w:val="18"/>
        </w:rPr>
        <w:t>o.</w:t>
      </w:r>
      <w:r w:rsidR="00F21F91" w:rsidRPr="00F21F91">
        <w:rPr>
          <w:szCs w:val="18"/>
        </w:rPr>
        <w:t>4</w:t>
      </w:r>
      <w:r w:rsidR="00F21F91">
        <w:rPr>
          <w:szCs w:val="18"/>
        </w:rPr>
        <w:t>, pp.491 –</w:t>
      </w:r>
      <w:r w:rsidR="00F21F91" w:rsidRPr="00F21F91">
        <w:rPr>
          <w:szCs w:val="18"/>
        </w:rPr>
        <w:t>505</w:t>
      </w:r>
      <w:r w:rsidR="00F21F91">
        <w:rPr>
          <w:szCs w:val="18"/>
        </w:rPr>
        <w:t>.</w:t>
      </w:r>
    </w:p>
    <w:p w:rsidR="00086995" w:rsidRDefault="00086995" w:rsidP="00856034">
      <w:pPr>
        <w:pStyle w:val="References"/>
        <w:rPr>
          <w:szCs w:val="18"/>
        </w:rPr>
      </w:pPr>
      <w:r>
        <w:rPr>
          <w:szCs w:val="18"/>
        </w:rPr>
        <w:t>Grugulis, I 2007</w:t>
      </w:r>
      <w:r w:rsidR="002F2EB5">
        <w:rPr>
          <w:szCs w:val="18"/>
        </w:rPr>
        <w:t xml:space="preserve">, </w:t>
      </w:r>
      <w:r w:rsidRPr="004C1FEA">
        <w:rPr>
          <w:i/>
          <w:szCs w:val="18"/>
        </w:rPr>
        <w:t>Skills, Training and Human Resource Development</w:t>
      </w:r>
      <w:r>
        <w:rPr>
          <w:szCs w:val="18"/>
        </w:rPr>
        <w:t xml:space="preserve">, </w:t>
      </w:r>
      <w:r w:rsidRPr="005374A9">
        <w:rPr>
          <w:szCs w:val="18"/>
        </w:rPr>
        <w:t>Basin</w:t>
      </w:r>
      <w:r>
        <w:rPr>
          <w:szCs w:val="18"/>
        </w:rPr>
        <w:t>gstoke, Palgrave Macmillan.</w:t>
      </w:r>
    </w:p>
    <w:p w:rsidR="00D3274A" w:rsidRPr="005374A9" w:rsidRDefault="00D3274A" w:rsidP="00856034">
      <w:pPr>
        <w:pStyle w:val="References"/>
        <w:rPr>
          <w:szCs w:val="18"/>
        </w:rPr>
      </w:pPr>
      <w:r w:rsidRPr="005374A9">
        <w:rPr>
          <w:szCs w:val="18"/>
        </w:rPr>
        <w:t xml:space="preserve">Grugulis, I </w:t>
      </w:r>
      <w:r w:rsidR="00510CBA">
        <w:rPr>
          <w:szCs w:val="18"/>
        </w:rPr>
        <w:t>&amp;</w:t>
      </w:r>
      <w:r w:rsidRPr="005374A9">
        <w:rPr>
          <w:szCs w:val="18"/>
        </w:rPr>
        <w:t xml:space="preserve"> Vincent, S 2009</w:t>
      </w:r>
      <w:r w:rsidR="002F2EB5">
        <w:rPr>
          <w:szCs w:val="18"/>
        </w:rPr>
        <w:t xml:space="preserve">, ‘Whose skill is it anyway? </w:t>
      </w:r>
      <w:r w:rsidR="00510CBA">
        <w:rPr>
          <w:szCs w:val="18"/>
        </w:rPr>
        <w:t>S</w:t>
      </w:r>
      <w:r w:rsidRPr="005374A9">
        <w:rPr>
          <w:szCs w:val="18"/>
        </w:rPr>
        <w:t>oft skills and polarization’</w:t>
      </w:r>
      <w:r w:rsidR="00510CBA">
        <w:rPr>
          <w:szCs w:val="18"/>
        </w:rPr>
        <w:t>,</w:t>
      </w:r>
      <w:r w:rsidRPr="005374A9">
        <w:rPr>
          <w:szCs w:val="18"/>
        </w:rPr>
        <w:t xml:space="preserve"> </w:t>
      </w:r>
      <w:r w:rsidRPr="00510CBA">
        <w:rPr>
          <w:i/>
          <w:szCs w:val="18"/>
        </w:rPr>
        <w:t>Work, Employment and Society</w:t>
      </w:r>
      <w:r w:rsidR="00510CBA">
        <w:rPr>
          <w:szCs w:val="18"/>
        </w:rPr>
        <w:t>, vol.2</w:t>
      </w:r>
      <w:r w:rsidR="002F2EB5">
        <w:rPr>
          <w:szCs w:val="18"/>
        </w:rPr>
        <w:t>3, no.4, pp.</w:t>
      </w:r>
      <w:r w:rsidR="00510CBA">
        <w:rPr>
          <w:szCs w:val="18"/>
        </w:rPr>
        <w:t>597—</w:t>
      </w:r>
      <w:r w:rsidRPr="005374A9">
        <w:rPr>
          <w:szCs w:val="18"/>
        </w:rPr>
        <w:t>615.</w:t>
      </w:r>
    </w:p>
    <w:p w:rsidR="00D3274A" w:rsidRDefault="00D3274A" w:rsidP="00D3274A">
      <w:pPr>
        <w:pStyle w:val="References"/>
      </w:pPr>
      <w:r>
        <w:t xml:space="preserve">Hamilton, V 2012, </w:t>
      </w:r>
      <w:r w:rsidRPr="00CC0612">
        <w:rPr>
          <w:i/>
        </w:rPr>
        <w:t>Career pathways and cluster skill development: promisin</w:t>
      </w:r>
      <w:r w:rsidR="00510CBA">
        <w:rPr>
          <w:i/>
        </w:rPr>
        <w:t>g models from the United States</w:t>
      </w:r>
      <w:r w:rsidRPr="00CC0612">
        <w:rPr>
          <w:i/>
        </w:rPr>
        <w:t xml:space="preserve">, </w:t>
      </w:r>
      <w:r>
        <w:t>OECD Local Economic and Employment Development Working Paper 2012/2014 OECD Publishing</w:t>
      </w:r>
      <w:r w:rsidR="00510CBA">
        <w:t>, Paris</w:t>
      </w:r>
      <w:r>
        <w:t>.</w:t>
      </w:r>
    </w:p>
    <w:p w:rsidR="00D3274A" w:rsidRPr="005374A9" w:rsidRDefault="00D3274A" w:rsidP="00856034">
      <w:pPr>
        <w:pStyle w:val="References"/>
        <w:rPr>
          <w:szCs w:val="18"/>
        </w:rPr>
      </w:pPr>
      <w:r w:rsidRPr="005374A9">
        <w:rPr>
          <w:szCs w:val="18"/>
        </w:rPr>
        <w:t xml:space="preserve">Hillage, J </w:t>
      </w:r>
      <w:r w:rsidR="00510CBA">
        <w:rPr>
          <w:szCs w:val="18"/>
        </w:rPr>
        <w:t>&amp;</w:t>
      </w:r>
      <w:r w:rsidRPr="005374A9">
        <w:rPr>
          <w:szCs w:val="18"/>
        </w:rPr>
        <w:t xml:space="preserve"> Pollard, E 1998</w:t>
      </w:r>
      <w:r w:rsidR="00510CBA">
        <w:rPr>
          <w:szCs w:val="18"/>
        </w:rPr>
        <w:t>,</w:t>
      </w:r>
      <w:r w:rsidRPr="005374A9">
        <w:rPr>
          <w:szCs w:val="18"/>
        </w:rPr>
        <w:t xml:space="preserve"> </w:t>
      </w:r>
      <w:r w:rsidRPr="002F2EB5">
        <w:rPr>
          <w:i/>
          <w:szCs w:val="18"/>
        </w:rPr>
        <w:t xml:space="preserve">Employability: </w:t>
      </w:r>
      <w:r w:rsidR="00510CBA" w:rsidRPr="002F2EB5">
        <w:rPr>
          <w:i/>
          <w:szCs w:val="18"/>
        </w:rPr>
        <w:t>developing a framework for policy analysis</w:t>
      </w:r>
      <w:r w:rsidR="00510CBA">
        <w:rPr>
          <w:szCs w:val="18"/>
        </w:rPr>
        <w:t>,</w:t>
      </w:r>
      <w:r w:rsidRPr="005374A9">
        <w:rPr>
          <w:szCs w:val="18"/>
        </w:rPr>
        <w:t xml:space="preserve"> DfEE </w:t>
      </w:r>
      <w:r w:rsidR="00510CBA" w:rsidRPr="005374A9">
        <w:rPr>
          <w:szCs w:val="18"/>
        </w:rPr>
        <w:t xml:space="preserve">research brief </w:t>
      </w:r>
      <w:r w:rsidRPr="005374A9">
        <w:rPr>
          <w:szCs w:val="18"/>
        </w:rPr>
        <w:t>85, Department for Educ</w:t>
      </w:r>
      <w:r w:rsidR="00510CBA">
        <w:rPr>
          <w:szCs w:val="18"/>
        </w:rPr>
        <w:t>ation and Employment, London</w:t>
      </w:r>
      <w:r w:rsidRPr="005374A9">
        <w:rPr>
          <w:szCs w:val="18"/>
        </w:rPr>
        <w:t>.</w:t>
      </w:r>
    </w:p>
    <w:p w:rsidR="00D3274A" w:rsidRDefault="00D3274A" w:rsidP="00D3274A">
      <w:pPr>
        <w:pStyle w:val="References"/>
      </w:pPr>
      <w:r>
        <w:t xml:space="preserve">Hutchinson, S 2012, </w:t>
      </w:r>
      <w:r w:rsidR="00510CBA">
        <w:t>‘</w:t>
      </w:r>
      <w:r w:rsidRPr="00CC0612">
        <w:t xml:space="preserve">The </w:t>
      </w:r>
      <w:r w:rsidR="00510CBA" w:rsidRPr="00CC0612">
        <w:t>core skills for work framework</w:t>
      </w:r>
      <w:r w:rsidR="00510CBA">
        <w:t>’</w:t>
      </w:r>
      <w:r>
        <w:t>,</w:t>
      </w:r>
      <w:r w:rsidRPr="00510CBA">
        <w:rPr>
          <w:i/>
        </w:rPr>
        <w:t xml:space="preserve"> Fine Print</w:t>
      </w:r>
      <w:r w:rsidRPr="00D9549F">
        <w:t>,</w:t>
      </w:r>
      <w:r>
        <w:t xml:space="preserve"> vol.36, no.3, pp.15.</w:t>
      </w:r>
    </w:p>
    <w:p w:rsidR="00D3274A" w:rsidRDefault="00D3274A" w:rsidP="00D3274A">
      <w:pPr>
        <w:pStyle w:val="References"/>
      </w:pPr>
      <w:r>
        <w:t>Jared, M 2008, ‘</w:t>
      </w:r>
      <w:r w:rsidRPr="00D9549F">
        <w:t xml:space="preserve">Labor </w:t>
      </w:r>
      <w:r w:rsidR="00510CBA" w:rsidRPr="00D9549F">
        <w:t>market information for career cluster initiatives</w:t>
      </w:r>
      <w:r w:rsidR="00510CBA">
        <w:t>’</w:t>
      </w:r>
      <w:r>
        <w:t xml:space="preserve">, </w:t>
      </w:r>
      <w:r w:rsidRPr="00D9549F">
        <w:rPr>
          <w:i/>
        </w:rPr>
        <w:t>Techniques</w:t>
      </w:r>
      <w:r>
        <w:t>, September, pp.</w:t>
      </w:r>
      <w:r w:rsidRPr="00D9549F">
        <w:t>26-28. </w:t>
      </w:r>
    </w:p>
    <w:p w:rsidR="00235CFC" w:rsidRDefault="0006235B" w:rsidP="00856034">
      <w:pPr>
        <w:pStyle w:val="References"/>
      </w:pPr>
      <w:r>
        <w:t>Janowski, N, Kirby, C, Brag, D, Taylor, J &amp; Oertle K</w:t>
      </w:r>
      <w:r w:rsidR="004F0FD5">
        <w:t xml:space="preserve"> 2009, </w:t>
      </w:r>
      <w:r w:rsidR="004F0FD5" w:rsidRPr="00235CFC">
        <w:rPr>
          <w:i/>
        </w:rPr>
        <w:t>‘Illino</w:t>
      </w:r>
      <w:r w:rsidR="00510CBA" w:rsidRPr="00235CFC">
        <w:rPr>
          <w:i/>
        </w:rPr>
        <w:t>is’ c</w:t>
      </w:r>
      <w:r w:rsidR="00CC0612" w:rsidRPr="00235CFC">
        <w:rPr>
          <w:i/>
        </w:rPr>
        <w:t xml:space="preserve">areer </w:t>
      </w:r>
      <w:r w:rsidR="00510CBA" w:rsidRPr="00235CFC">
        <w:rPr>
          <w:i/>
        </w:rPr>
        <w:t>cluster model</w:t>
      </w:r>
      <w:r w:rsidR="00235CFC">
        <w:t>,</w:t>
      </w:r>
      <w:r w:rsidR="00510CBA">
        <w:t xml:space="preserve"> </w:t>
      </w:r>
      <w:r w:rsidR="004F0FD5">
        <w:t>Springfield, Illinois: Illinois Community College Board.</w:t>
      </w:r>
    </w:p>
    <w:p w:rsidR="00D3274A" w:rsidRPr="005374A9" w:rsidRDefault="00D3274A" w:rsidP="00856034">
      <w:pPr>
        <w:pStyle w:val="References"/>
        <w:rPr>
          <w:szCs w:val="18"/>
        </w:rPr>
      </w:pPr>
      <w:r>
        <w:rPr>
          <w:szCs w:val="18"/>
        </w:rPr>
        <w:t>K</w:t>
      </w:r>
      <w:r w:rsidRPr="005374A9">
        <w:rPr>
          <w:szCs w:val="18"/>
        </w:rPr>
        <w:t>im, Y 2013 ‘Diverging top and converging bottom: labour flexibility and changes in career mobility in the USA’</w:t>
      </w:r>
      <w:r w:rsidR="00235CFC">
        <w:rPr>
          <w:szCs w:val="18"/>
        </w:rPr>
        <w:t>,</w:t>
      </w:r>
      <w:r w:rsidRPr="005374A9">
        <w:rPr>
          <w:szCs w:val="18"/>
        </w:rPr>
        <w:t xml:space="preserve"> </w:t>
      </w:r>
      <w:r w:rsidRPr="00235CFC">
        <w:rPr>
          <w:i/>
          <w:szCs w:val="18"/>
        </w:rPr>
        <w:t>Work, Employment and Society</w:t>
      </w:r>
      <w:r w:rsidR="00235CFC">
        <w:rPr>
          <w:szCs w:val="18"/>
        </w:rPr>
        <w:t>, vol.27, no.5, pp.860—</w:t>
      </w:r>
      <w:r w:rsidRPr="005374A9">
        <w:rPr>
          <w:szCs w:val="18"/>
        </w:rPr>
        <w:t>79.</w:t>
      </w:r>
    </w:p>
    <w:p w:rsidR="00230BDD" w:rsidRPr="005374A9" w:rsidRDefault="00D3274A" w:rsidP="00230BDD">
      <w:pPr>
        <w:pStyle w:val="References"/>
        <w:rPr>
          <w:szCs w:val="18"/>
        </w:rPr>
      </w:pPr>
      <w:r w:rsidRPr="005374A9">
        <w:rPr>
          <w:szCs w:val="18"/>
        </w:rPr>
        <w:t>Lafer, G 2004 ‘What is skill?’, in C Warhurst et al. (eds)</w:t>
      </w:r>
      <w:r w:rsidR="00235CFC">
        <w:rPr>
          <w:szCs w:val="18"/>
        </w:rPr>
        <w:t xml:space="preserve">, </w:t>
      </w:r>
      <w:r w:rsidR="00235CFC" w:rsidRPr="00235CFC">
        <w:rPr>
          <w:i/>
          <w:szCs w:val="18"/>
        </w:rPr>
        <w:t>The s</w:t>
      </w:r>
      <w:r w:rsidRPr="00235CFC">
        <w:rPr>
          <w:i/>
          <w:szCs w:val="18"/>
        </w:rPr>
        <w:t xml:space="preserve">kills </w:t>
      </w:r>
      <w:r w:rsidR="00235CFC" w:rsidRPr="00235CFC">
        <w:rPr>
          <w:i/>
          <w:szCs w:val="18"/>
        </w:rPr>
        <w:t>that matter</w:t>
      </w:r>
      <w:r w:rsidR="00235CFC">
        <w:rPr>
          <w:szCs w:val="18"/>
        </w:rPr>
        <w:t>,</w:t>
      </w:r>
      <w:r w:rsidRPr="005374A9">
        <w:rPr>
          <w:szCs w:val="18"/>
        </w:rPr>
        <w:t xml:space="preserve"> Basin</w:t>
      </w:r>
      <w:r w:rsidR="00235CFC">
        <w:rPr>
          <w:szCs w:val="18"/>
        </w:rPr>
        <w:t>gstoke, Palgrave Macmillan, pp.</w:t>
      </w:r>
      <w:r w:rsidRPr="005374A9">
        <w:rPr>
          <w:szCs w:val="18"/>
        </w:rPr>
        <w:t>109</w:t>
      </w:r>
      <w:r w:rsidR="00235CFC">
        <w:rPr>
          <w:szCs w:val="18"/>
        </w:rPr>
        <w:t>—</w:t>
      </w:r>
      <w:r w:rsidRPr="005374A9">
        <w:rPr>
          <w:szCs w:val="18"/>
        </w:rPr>
        <w:t>27.</w:t>
      </w:r>
    </w:p>
    <w:p w:rsidR="004F0FD5" w:rsidRDefault="004F0FD5" w:rsidP="00F5435B">
      <w:pPr>
        <w:pStyle w:val="References"/>
      </w:pPr>
      <w:r w:rsidRPr="00F5435B">
        <w:t xml:space="preserve">Le Deist, F &amp; Winterton, J 2005, ‘What is competence?’, </w:t>
      </w:r>
      <w:r w:rsidRPr="00235CFC">
        <w:rPr>
          <w:i/>
        </w:rPr>
        <w:t>Human Resource Development International</w:t>
      </w:r>
      <w:r w:rsidR="00235CFC">
        <w:t>, vol.8, no.1, pp.27—</w:t>
      </w:r>
      <w:r w:rsidRPr="00F5435B">
        <w:t>46.</w:t>
      </w:r>
    </w:p>
    <w:p w:rsidR="00230BDD" w:rsidRPr="00F5435B" w:rsidRDefault="00230BDD" w:rsidP="00230BDD">
      <w:pPr>
        <w:pStyle w:val="References"/>
      </w:pPr>
      <w:r>
        <w:t xml:space="preserve">Lloyd, C &amp; Payne, J 2002, ‘Developing a political economy of skill’, </w:t>
      </w:r>
      <w:r w:rsidRPr="004C1FEA">
        <w:rPr>
          <w:i/>
        </w:rPr>
        <w:t>Journal of Education and Work</w:t>
      </w:r>
      <w:r>
        <w:t xml:space="preserve">, </w:t>
      </w:r>
      <w:r w:rsidR="002F2EB5">
        <w:t>v</w:t>
      </w:r>
      <w:r>
        <w:t xml:space="preserve">ol.15, </w:t>
      </w:r>
      <w:r w:rsidR="002F2EB5">
        <w:t>n</w:t>
      </w:r>
      <w:r>
        <w:t>o.4, pp.365–390.</w:t>
      </w:r>
    </w:p>
    <w:p w:rsidR="004F0FD5" w:rsidRDefault="004F0FD5" w:rsidP="00E7423E">
      <w:pPr>
        <w:pStyle w:val="References"/>
      </w:pPr>
      <w:r>
        <w:t>Mayer</w:t>
      </w:r>
      <w:r w:rsidR="00235CFC">
        <w:t>, E</w:t>
      </w:r>
      <w:r>
        <w:t xml:space="preserve"> 1992, </w:t>
      </w:r>
      <w:r w:rsidR="00235CFC">
        <w:rPr>
          <w:i/>
        </w:rPr>
        <w:t>Key competencies:</w:t>
      </w:r>
      <w:r w:rsidRPr="00CC0612">
        <w:rPr>
          <w:i/>
        </w:rPr>
        <w:t xml:space="preserve"> report of the committee to advise the Australian Education Council and Ministers of Vocational Education,</w:t>
      </w:r>
      <w:r>
        <w:t xml:space="preserve"> </w:t>
      </w:r>
      <w:r w:rsidRPr="00235CFC">
        <w:rPr>
          <w:i/>
        </w:rPr>
        <w:t>Employment and Training on Employment Related Key Competencies for Post comp</w:t>
      </w:r>
      <w:r w:rsidR="003B77B6" w:rsidRPr="00235CFC">
        <w:rPr>
          <w:i/>
        </w:rPr>
        <w:t>ulsory Educational and Training</w:t>
      </w:r>
      <w:r w:rsidR="003B77B6">
        <w:t>,</w:t>
      </w:r>
      <w:r>
        <w:t xml:space="preserve"> </w:t>
      </w:r>
      <w:r w:rsidRPr="00FD6F60">
        <w:t>Australian Education Council and Minsters of Vocational Education</w:t>
      </w:r>
      <w:r>
        <w:t>, Employment and Training</w:t>
      </w:r>
      <w:r w:rsidR="00235CFC">
        <w:t>, Canberra</w:t>
      </w:r>
      <w:r>
        <w:t>.</w:t>
      </w:r>
    </w:p>
    <w:p w:rsidR="00D3274A" w:rsidRDefault="00D3274A" w:rsidP="00D3274A">
      <w:pPr>
        <w:pStyle w:val="References"/>
      </w:pPr>
      <w:r>
        <w:t xml:space="preserve">Miller, J 2008, ‘Labor market information for Career Cluster Initiatives’, </w:t>
      </w:r>
      <w:r w:rsidRPr="00CC0612">
        <w:rPr>
          <w:i/>
        </w:rPr>
        <w:t>Techniques</w:t>
      </w:r>
      <w:r>
        <w:rPr>
          <w:i/>
        </w:rPr>
        <w:t>,</w:t>
      </w:r>
      <w:r w:rsidR="00235CFC">
        <w:t xml:space="preserve"> September,</w:t>
      </w:r>
      <w:r>
        <w:t xml:space="preserve"> </w:t>
      </w:r>
      <w:r w:rsidR="00235CFC">
        <w:t>pp.26—</w:t>
      </w:r>
      <w:r>
        <w:t>8.</w:t>
      </w:r>
    </w:p>
    <w:p w:rsidR="003B77B6" w:rsidRDefault="004F0FD5" w:rsidP="003B77B6">
      <w:pPr>
        <w:pStyle w:val="References"/>
      </w:pPr>
      <w:r>
        <w:t xml:space="preserve">Misko, J </w:t>
      </w:r>
      <w:r w:rsidR="003B77B6">
        <w:t xml:space="preserve">1995, </w:t>
      </w:r>
      <w:r w:rsidR="003B77B6" w:rsidRPr="00CC0612">
        <w:rPr>
          <w:i/>
        </w:rPr>
        <w:t>Transfer</w:t>
      </w:r>
      <w:r w:rsidR="00CC0612">
        <w:rPr>
          <w:i/>
        </w:rPr>
        <w:t>: using learning in new context</w:t>
      </w:r>
      <w:r w:rsidR="003B77B6" w:rsidRPr="00CC0612">
        <w:rPr>
          <w:i/>
        </w:rPr>
        <w:t xml:space="preserve">, </w:t>
      </w:r>
      <w:r w:rsidR="003B77B6">
        <w:t>NCVER, Adelaide.</w:t>
      </w:r>
    </w:p>
    <w:p w:rsidR="003B77B6" w:rsidRDefault="00235CFC" w:rsidP="00E7423E">
      <w:pPr>
        <w:pStyle w:val="References"/>
      </w:pPr>
      <w:r>
        <w:t>——</w:t>
      </w:r>
      <w:r w:rsidR="003B77B6">
        <w:t xml:space="preserve">1998, </w:t>
      </w:r>
      <w:r w:rsidR="003B77B6" w:rsidRPr="00CC0612">
        <w:rPr>
          <w:i/>
        </w:rPr>
        <w:t>Do skil</w:t>
      </w:r>
      <w:r w:rsidR="00CC0612">
        <w:rPr>
          <w:i/>
        </w:rPr>
        <w:t xml:space="preserve">ls transfer? </w:t>
      </w:r>
      <w:proofErr w:type="gramStart"/>
      <w:r w:rsidR="00CC0612">
        <w:rPr>
          <w:i/>
        </w:rPr>
        <w:t>An empirical study</w:t>
      </w:r>
      <w:r>
        <w:t>, NCVER, Adelaide</w:t>
      </w:r>
      <w:r w:rsidR="003B77B6">
        <w:t>.</w:t>
      </w:r>
      <w:proofErr w:type="gramEnd"/>
    </w:p>
    <w:p w:rsidR="00D72F3F" w:rsidRDefault="00235CFC" w:rsidP="00D72F3F">
      <w:pPr>
        <w:pStyle w:val="References"/>
      </w:pPr>
      <w:r>
        <w:t>——</w:t>
      </w:r>
      <w:r w:rsidR="004F0FD5">
        <w:t xml:space="preserve">1999, </w:t>
      </w:r>
      <w:r w:rsidR="004F0FD5" w:rsidRPr="00CC0612">
        <w:rPr>
          <w:i/>
        </w:rPr>
        <w:t>The transfer of knowledge and skill to different contexts: an empirical perspective</w:t>
      </w:r>
      <w:r w:rsidR="004F0FD5">
        <w:t xml:space="preserve">, NCVER, </w:t>
      </w:r>
      <w:r>
        <w:t>Adelaide</w:t>
      </w:r>
      <w:r w:rsidR="004F0FD5">
        <w:t>.</w:t>
      </w:r>
    </w:p>
    <w:p w:rsidR="00D72F3F" w:rsidRDefault="00F21F91" w:rsidP="00D72F3F">
      <w:pPr>
        <w:pStyle w:val="References"/>
      </w:pPr>
      <w:r>
        <w:t>——</w:t>
      </w:r>
      <w:r w:rsidR="00D72F3F">
        <w:t xml:space="preserve">2010, </w:t>
      </w:r>
      <w:r w:rsidR="00D72F3F" w:rsidRPr="004C1FEA">
        <w:rPr>
          <w:i/>
        </w:rPr>
        <w:t>Responding to changing skill demands: training packages and accredited courses</w:t>
      </w:r>
      <w:r w:rsidR="00D72F3F">
        <w:t xml:space="preserve">, </w:t>
      </w:r>
      <w:r>
        <w:t>NCVER, Adelaide.</w:t>
      </w:r>
    </w:p>
    <w:p w:rsidR="00D3274A" w:rsidRPr="005374A9" w:rsidRDefault="00D3274A" w:rsidP="00856034">
      <w:pPr>
        <w:pStyle w:val="References"/>
        <w:rPr>
          <w:szCs w:val="18"/>
        </w:rPr>
      </w:pPr>
      <w:r w:rsidRPr="005374A9">
        <w:rPr>
          <w:szCs w:val="18"/>
        </w:rPr>
        <w:t>Moss</w:t>
      </w:r>
      <w:r w:rsidR="00235CFC">
        <w:rPr>
          <w:szCs w:val="18"/>
        </w:rPr>
        <w:t>,</w:t>
      </w:r>
      <w:r w:rsidRPr="005374A9">
        <w:rPr>
          <w:szCs w:val="18"/>
        </w:rPr>
        <w:t xml:space="preserve"> P </w:t>
      </w:r>
      <w:r w:rsidR="00235CFC">
        <w:rPr>
          <w:szCs w:val="18"/>
        </w:rPr>
        <w:t>&amp;</w:t>
      </w:r>
      <w:r w:rsidRPr="005374A9">
        <w:rPr>
          <w:szCs w:val="18"/>
        </w:rPr>
        <w:t xml:space="preserve"> Tilly</w:t>
      </w:r>
      <w:r w:rsidR="00235CFC">
        <w:rPr>
          <w:szCs w:val="18"/>
        </w:rPr>
        <w:t>,</w:t>
      </w:r>
      <w:r w:rsidRPr="005374A9">
        <w:rPr>
          <w:szCs w:val="18"/>
        </w:rPr>
        <w:t xml:space="preserve"> C 2001</w:t>
      </w:r>
      <w:r w:rsidR="00235CFC">
        <w:rPr>
          <w:szCs w:val="18"/>
        </w:rPr>
        <w:t>,</w:t>
      </w:r>
      <w:r w:rsidRPr="005374A9">
        <w:rPr>
          <w:szCs w:val="18"/>
        </w:rPr>
        <w:t xml:space="preserve"> </w:t>
      </w:r>
      <w:r w:rsidRPr="005374A9">
        <w:rPr>
          <w:i/>
          <w:szCs w:val="18"/>
        </w:rPr>
        <w:t xml:space="preserve">Stories </w:t>
      </w:r>
      <w:r w:rsidR="00235CFC" w:rsidRPr="005374A9">
        <w:rPr>
          <w:i/>
          <w:szCs w:val="18"/>
        </w:rPr>
        <w:t xml:space="preserve">employers tell: race, skill and hiring </w:t>
      </w:r>
      <w:r w:rsidRPr="005374A9">
        <w:rPr>
          <w:i/>
          <w:szCs w:val="18"/>
        </w:rPr>
        <w:t>in America</w:t>
      </w:r>
      <w:r w:rsidR="00235CFC">
        <w:rPr>
          <w:szCs w:val="18"/>
        </w:rPr>
        <w:t>,</w:t>
      </w:r>
      <w:r w:rsidRPr="005374A9">
        <w:rPr>
          <w:szCs w:val="18"/>
        </w:rPr>
        <w:t xml:space="preserve"> </w:t>
      </w:r>
      <w:r w:rsidR="00235CFC" w:rsidRPr="005374A9">
        <w:rPr>
          <w:szCs w:val="18"/>
        </w:rPr>
        <w:t>Russell Sage Foundation</w:t>
      </w:r>
      <w:r w:rsidR="002F2EB5">
        <w:rPr>
          <w:szCs w:val="18"/>
        </w:rPr>
        <w:t>,</w:t>
      </w:r>
      <w:r w:rsidR="00235CFC" w:rsidRPr="005374A9">
        <w:rPr>
          <w:szCs w:val="18"/>
        </w:rPr>
        <w:t xml:space="preserve"> </w:t>
      </w:r>
      <w:r w:rsidR="00235CFC">
        <w:rPr>
          <w:szCs w:val="18"/>
        </w:rPr>
        <w:t>New York</w:t>
      </w:r>
      <w:r w:rsidRPr="005374A9">
        <w:rPr>
          <w:szCs w:val="18"/>
        </w:rPr>
        <w:t>.</w:t>
      </w:r>
    </w:p>
    <w:p w:rsidR="004F0FD5" w:rsidRPr="00DB1D27" w:rsidRDefault="004F0FD5" w:rsidP="00E7423E">
      <w:pPr>
        <w:pStyle w:val="References"/>
      </w:pPr>
      <w:r>
        <w:t xml:space="preserve">National Quality Council 2010, </w:t>
      </w:r>
      <w:r w:rsidRPr="00CC0612">
        <w:rPr>
          <w:i/>
        </w:rPr>
        <w:t>Foundation skills in VET products for the 21st century</w:t>
      </w:r>
      <w:r>
        <w:t xml:space="preserve">, Published by </w:t>
      </w:r>
      <w:r w:rsidRPr="00DB1D27">
        <w:t>National Quality Council.</w:t>
      </w:r>
    </w:p>
    <w:p w:rsidR="00830F8D" w:rsidRPr="002F2EB5" w:rsidRDefault="00830F8D" w:rsidP="00E7423E">
      <w:pPr>
        <w:pStyle w:val="References"/>
        <w:rPr>
          <w:spacing w:val="-5"/>
        </w:rPr>
      </w:pPr>
      <w:r>
        <w:t xml:space="preserve">O*Net Online 2015, </w:t>
      </w:r>
      <w:r w:rsidRPr="00CC0612">
        <w:rPr>
          <w:i/>
        </w:rPr>
        <w:t>Career clusters</w:t>
      </w:r>
      <w:r w:rsidR="002F2EB5">
        <w:t xml:space="preserve">, viewed August 2015, </w:t>
      </w:r>
      <w:r w:rsidR="002F2EB5" w:rsidRPr="002F2EB5">
        <w:rPr>
          <w:spacing w:val="-5"/>
        </w:rPr>
        <w:t>&lt;</w:t>
      </w:r>
      <w:r w:rsidRPr="002F2EB5">
        <w:rPr>
          <w:spacing w:val="-5"/>
        </w:rPr>
        <w:t>http://www.onetonline.org/find/career?c=0</w:t>
      </w:r>
      <w:r w:rsidR="002F2EB5" w:rsidRPr="002F2EB5">
        <w:rPr>
          <w:spacing w:val="-5"/>
        </w:rPr>
        <w:t>&gt;</w:t>
      </w:r>
    </w:p>
    <w:p w:rsidR="004F0FD5" w:rsidRDefault="004F0FD5" w:rsidP="00E7423E">
      <w:pPr>
        <w:pStyle w:val="References"/>
      </w:pPr>
      <w:proofErr w:type="gramStart"/>
      <w:r>
        <w:t>Pa</w:t>
      </w:r>
      <w:r w:rsidR="00792255">
        <w:t>r</w:t>
      </w:r>
      <w:r>
        <w:t xml:space="preserve">tridge, K, Chapman, A &amp; O’Neil, M 2009, </w:t>
      </w:r>
      <w:r w:rsidR="00792255">
        <w:t>‘</w:t>
      </w:r>
      <w:r>
        <w:t>Transference of skills in a post-compulsory vocational teacher education course in Western Australia</w:t>
      </w:r>
      <w:r w:rsidR="00792255">
        <w:t>’</w:t>
      </w:r>
      <w:r>
        <w:t xml:space="preserve">, </w:t>
      </w:r>
      <w:r w:rsidRPr="00F5435B">
        <w:rPr>
          <w:i/>
        </w:rPr>
        <w:t>Research in Post-Compulsory Education</w:t>
      </w:r>
      <w:r w:rsidR="00792255">
        <w:t>, vol.14, no.2, pp.105—</w:t>
      </w:r>
      <w:r>
        <w:t>17.</w:t>
      </w:r>
      <w:proofErr w:type="gramEnd"/>
    </w:p>
    <w:p w:rsidR="004F0FD5" w:rsidRDefault="00792255" w:rsidP="00830F8D">
      <w:pPr>
        <w:pStyle w:val="References"/>
      </w:pPr>
      <w:r>
        <w:t>Perkins, D</w:t>
      </w:r>
      <w:r w:rsidR="004F0FD5">
        <w:t xml:space="preserve">N &amp; Salmon, G 1988, </w:t>
      </w:r>
      <w:r>
        <w:t>‘</w:t>
      </w:r>
      <w:r w:rsidR="004F0FD5">
        <w:t>Teaching for transfer</w:t>
      </w:r>
      <w:r>
        <w:t>’</w:t>
      </w:r>
      <w:r w:rsidR="004F0FD5">
        <w:t xml:space="preserve">, </w:t>
      </w:r>
      <w:r w:rsidR="004F0FD5" w:rsidRPr="00F5435B">
        <w:rPr>
          <w:i/>
        </w:rPr>
        <w:t>Education Leadership</w:t>
      </w:r>
      <w:r w:rsidR="004F0FD5">
        <w:t xml:space="preserve">, vol.46, </w:t>
      </w:r>
      <w:r w:rsidR="00830F8D">
        <w:t xml:space="preserve">no.1, </w:t>
      </w:r>
      <w:r>
        <w:t>pp.22—</w:t>
      </w:r>
      <w:r w:rsidR="004F0FD5">
        <w:t>3.</w:t>
      </w:r>
    </w:p>
    <w:p w:rsidR="00CB4DF8" w:rsidRDefault="00CB4DF8" w:rsidP="00CB4DF8">
      <w:pPr>
        <w:pStyle w:val="References"/>
      </w:pPr>
      <w:proofErr w:type="gramStart"/>
      <w:r>
        <w:t xml:space="preserve">Productivity Commission 2014, </w:t>
      </w:r>
      <w:r w:rsidRPr="00CB4DF8">
        <w:rPr>
          <w:i/>
        </w:rPr>
        <w:t xml:space="preserve">Geographic </w:t>
      </w:r>
      <w:r w:rsidR="00792255" w:rsidRPr="00CB4DF8">
        <w:rPr>
          <w:i/>
        </w:rPr>
        <w:t>labour mobility</w:t>
      </w:r>
      <w:r>
        <w:t>, Canberra</w:t>
      </w:r>
      <w:r w:rsidR="00152897">
        <w:t>.</w:t>
      </w:r>
      <w:proofErr w:type="gramEnd"/>
    </w:p>
    <w:p w:rsidR="00F21F91" w:rsidRDefault="00F21F91" w:rsidP="00F21F91">
      <w:pPr>
        <w:pStyle w:val="References"/>
      </w:pPr>
      <w:r>
        <w:t>Quintini, G &amp; Venn, D 2013</w:t>
      </w:r>
      <w:r w:rsidRPr="004C1FEA">
        <w:rPr>
          <w:i/>
        </w:rPr>
        <w:t>, Back to work: re-employment, earnings and skill use after job displacement</w:t>
      </w:r>
      <w:r>
        <w:t>, Employment Analysis and Policy Division, OECD.</w:t>
      </w:r>
    </w:p>
    <w:p w:rsidR="004F0FD5" w:rsidRDefault="00CB4DF8" w:rsidP="00CB4DF8">
      <w:pPr>
        <w:pStyle w:val="References"/>
      </w:pPr>
      <w:r>
        <w:rPr>
          <w:rFonts w:ascii="Arial" w:hAnsi="Arial" w:cs="Arial"/>
        </w:rPr>
        <w:t>​</w:t>
      </w:r>
      <w:r w:rsidR="004F0FD5">
        <w:t xml:space="preserve">Sabirianova, K Z 2002, ‘The great human capital reallocation: a study of occupational mobility in transitional Russia’, </w:t>
      </w:r>
      <w:r w:rsidR="004F0FD5" w:rsidRPr="00F5435B">
        <w:rPr>
          <w:i/>
        </w:rPr>
        <w:t>Journal of Comparative Economics</w:t>
      </w:r>
      <w:r w:rsidR="00792255">
        <w:t>, vol.30, no.1, pp.191—</w:t>
      </w:r>
      <w:r w:rsidR="004F0FD5">
        <w:t>217.</w:t>
      </w:r>
    </w:p>
    <w:p w:rsidR="004F0FD5" w:rsidRDefault="004F0FD5" w:rsidP="00E7423E">
      <w:pPr>
        <w:pStyle w:val="References"/>
      </w:pPr>
      <w:r>
        <w:t xml:space="preserve">Skills for Jobs 2013, </w:t>
      </w:r>
      <w:r w:rsidRPr="00F5435B">
        <w:rPr>
          <w:i/>
        </w:rPr>
        <w:t>The Training and Skills Commission five-year workforce development plan</w:t>
      </w:r>
      <w:r>
        <w:t>, Better Skills, Better Work and Better State, Government of South Australia</w:t>
      </w:r>
      <w:r w:rsidR="00792255">
        <w:t>, Adelaide</w:t>
      </w:r>
      <w:r>
        <w:t>.</w:t>
      </w:r>
    </w:p>
    <w:p w:rsidR="00086995" w:rsidRPr="005374A9" w:rsidRDefault="00D3274A" w:rsidP="00D72F3F">
      <w:pPr>
        <w:pStyle w:val="References"/>
        <w:spacing w:after="80"/>
        <w:rPr>
          <w:szCs w:val="18"/>
        </w:rPr>
      </w:pPr>
      <w:r w:rsidRPr="005374A9">
        <w:rPr>
          <w:szCs w:val="18"/>
        </w:rPr>
        <w:t>Shan, H 2013</w:t>
      </w:r>
      <w:r w:rsidR="00792255">
        <w:rPr>
          <w:szCs w:val="18"/>
        </w:rPr>
        <w:t>,</w:t>
      </w:r>
      <w:r w:rsidRPr="005374A9">
        <w:rPr>
          <w:szCs w:val="18"/>
        </w:rPr>
        <w:t xml:space="preserve"> ‘Skill as a relational construct: hiring practices from the standpoint of Chinese immigrant engineers in Canada’</w:t>
      </w:r>
      <w:r w:rsidR="00792255">
        <w:rPr>
          <w:szCs w:val="18"/>
        </w:rPr>
        <w:t>,</w:t>
      </w:r>
      <w:r w:rsidRPr="005374A9">
        <w:rPr>
          <w:szCs w:val="18"/>
        </w:rPr>
        <w:t xml:space="preserve"> </w:t>
      </w:r>
      <w:r w:rsidRPr="00792255">
        <w:rPr>
          <w:i/>
          <w:szCs w:val="18"/>
        </w:rPr>
        <w:t>Work, Employment and Society</w:t>
      </w:r>
      <w:r w:rsidR="00792255">
        <w:rPr>
          <w:szCs w:val="18"/>
        </w:rPr>
        <w:t xml:space="preserve">, </w:t>
      </w:r>
      <w:r w:rsidRPr="005374A9">
        <w:rPr>
          <w:szCs w:val="18"/>
        </w:rPr>
        <w:t>vol.</w:t>
      </w:r>
      <w:r w:rsidR="00792255">
        <w:rPr>
          <w:szCs w:val="18"/>
        </w:rPr>
        <w:t>27, no.6, pp.915—</w:t>
      </w:r>
      <w:r w:rsidRPr="005374A9">
        <w:rPr>
          <w:szCs w:val="18"/>
        </w:rPr>
        <w:t>31.</w:t>
      </w:r>
    </w:p>
    <w:p w:rsidR="004C1FEA" w:rsidRPr="005374A9" w:rsidRDefault="00AB7F64" w:rsidP="00D72F3F">
      <w:pPr>
        <w:pStyle w:val="References"/>
        <w:spacing w:after="80"/>
        <w:rPr>
          <w:szCs w:val="18"/>
        </w:rPr>
      </w:pPr>
      <w:proofErr w:type="gramStart"/>
      <w:r>
        <w:rPr>
          <w:szCs w:val="18"/>
        </w:rPr>
        <w:t>Shaw, K 1987,</w:t>
      </w:r>
      <w:r w:rsidR="00D72F3F" w:rsidRPr="00D72F3F">
        <w:rPr>
          <w:szCs w:val="18"/>
        </w:rPr>
        <w:t xml:space="preserve"> ‘Occupational Change, Employer Change and the Transferabilit</w:t>
      </w:r>
      <w:r w:rsidR="00D72F3F">
        <w:rPr>
          <w:szCs w:val="18"/>
        </w:rPr>
        <w:t xml:space="preserve">y of Skills’, </w:t>
      </w:r>
      <w:r w:rsidR="00D72F3F" w:rsidRPr="000C31EC">
        <w:rPr>
          <w:i/>
          <w:szCs w:val="18"/>
        </w:rPr>
        <w:t>Southern Economic Journal</w:t>
      </w:r>
      <w:r w:rsidR="00D72F3F">
        <w:rPr>
          <w:szCs w:val="18"/>
        </w:rPr>
        <w:t>, vol.53, pp.</w:t>
      </w:r>
      <w:r w:rsidR="00D72F3F" w:rsidRPr="00D72F3F">
        <w:rPr>
          <w:szCs w:val="18"/>
        </w:rPr>
        <w:t>702-720.</w:t>
      </w:r>
      <w:proofErr w:type="gramEnd"/>
    </w:p>
    <w:p w:rsidR="00D3274A" w:rsidRPr="005374A9" w:rsidRDefault="00D3274A" w:rsidP="00D3274A">
      <w:pPr>
        <w:pStyle w:val="References"/>
        <w:spacing w:after="80"/>
        <w:rPr>
          <w:szCs w:val="18"/>
        </w:rPr>
      </w:pPr>
      <w:proofErr w:type="spellStart"/>
      <w:proofErr w:type="gramStart"/>
      <w:r w:rsidRPr="005374A9">
        <w:rPr>
          <w:szCs w:val="18"/>
        </w:rPr>
        <w:t>Subedi</w:t>
      </w:r>
      <w:proofErr w:type="spellEnd"/>
      <w:r w:rsidRPr="005374A9">
        <w:rPr>
          <w:szCs w:val="18"/>
        </w:rPr>
        <w:t xml:space="preserve">, S B 2004, ‘Emerging trends of research on transfer of learning’, </w:t>
      </w:r>
      <w:r w:rsidRPr="00792255">
        <w:rPr>
          <w:i/>
          <w:szCs w:val="18"/>
        </w:rPr>
        <w:t>International Education Journal</w:t>
      </w:r>
      <w:r w:rsidR="00792255">
        <w:rPr>
          <w:szCs w:val="18"/>
        </w:rPr>
        <w:t>, vol.5, no.4, pp.591—</w:t>
      </w:r>
      <w:r w:rsidRPr="005374A9">
        <w:rPr>
          <w:szCs w:val="18"/>
        </w:rPr>
        <w:t>9.</w:t>
      </w:r>
      <w:proofErr w:type="gramEnd"/>
    </w:p>
    <w:p w:rsidR="004F0FD5" w:rsidRDefault="0090254E" w:rsidP="00E7423E">
      <w:pPr>
        <w:pStyle w:val="References"/>
      </w:pPr>
      <w:r>
        <w:t>Sweet, R</w:t>
      </w:r>
      <w:r w:rsidR="004F0FD5">
        <w:t xml:space="preserve"> </w:t>
      </w:r>
      <w:r>
        <w:t xml:space="preserve">2009, </w:t>
      </w:r>
      <w:proofErr w:type="gramStart"/>
      <w:r w:rsidRPr="00F5435B">
        <w:rPr>
          <w:i/>
        </w:rPr>
        <w:t>A</w:t>
      </w:r>
      <w:proofErr w:type="gramEnd"/>
      <w:r w:rsidRPr="00F5435B">
        <w:rPr>
          <w:i/>
        </w:rPr>
        <w:t xml:space="preserve"> competent recovery? </w:t>
      </w:r>
      <w:proofErr w:type="gramStart"/>
      <w:r w:rsidRPr="00F5435B">
        <w:rPr>
          <w:i/>
        </w:rPr>
        <w:t>Economic downturn and Australia’s vocational education training system</w:t>
      </w:r>
      <w:r>
        <w:t>, NCVER, Adelaide.</w:t>
      </w:r>
      <w:proofErr w:type="gramEnd"/>
    </w:p>
    <w:p w:rsidR="004F0FD5" w:rsidRDefault="00792255" w:rsidP="00E7423E">
      <w:pPr>
        <w:pStyle w:val="References"/>
      </w:pPr>
      <w:r>
        <w:t>——</w:t>
      </w:r>
      <w:r w:rsidR="0090254E" w:rsidRPr="0090254E">
        <w:rPr>
          <w:i/>
        </w:rPr>
        <w:t xml:space="preserve"> </w:t>
      </w:r>
      <w:r w:rsidR="0090254E">
        <w:t xml:space="preserve">2011, </w:t>
      </w:r>
      <w:r w:rsidR="0090254E" w:rsidRPr="00F5435B">
        <w:rPr>
          <w:i/>
        </w:rPr>
        <w:t>The mobile worker: concepts, issues, implications</w:t>
      </w:r>
      <w:r w:rsidR="0090254E">
        <w:t xml:space="preserve">, NCVER, Adelaide. </w:t>
      </w:r>
    </w:p>
    <w:p w:rsidR="004F0FD5" w:rsidRDefault="00792255" w:rsidP="00E7423E">
      <w:pPr>
        <w:pStyle w:val="References"/>
      </w:pPr>
      <w:proofErr w:type="gramStart"/>
      <w:r>
        <w:t>Venn, G</w:t>
      </w:r>
      <w:r w:rsidR="004F0FD5">
        <w:t xml:space="preserve"> 1969, ‘Vocational education in a dynamic labor market’, </w:t>
      </w:r>
      <w:r w:rsidR="004F0FD5" w:rsidRPr="00F5435B">
        <w:rPr>
          <w:i/>
        </w:rPr>
        <w:t>Manpower</w:t>
      </w:r>
      <w:r w:rsidR="00F5435B">
        <w:t>, vol.</w:t>
      </w:r>
      <w:r w:rsidR="004F0FD5">
        <w:t>1</w:t>
      </w:r>
      <w:r w:rsidR="00F5435B">
        <w:t>, no.</w:t>
      </w:r>
      <w:r w:rsidR="004F0FD5">
        <w:t>9</w:t>
      </w:r>
      <w:r w:rsidR="00F5435B">
        <w:t>, pp.</w:t>
      </w:r>
      <w:r>
        <w:t>25—</w:t>
      </w:r>
      <w:r w:rsidR="004F0FD5">
        <w:t>7.</w:t>
      </w:r>
      <w:proofErr w:type="gramEnd"/>
    </w:p>
    <w:p w:rsidR="004F0FD5" w:rsidRDefault="004F0FD5" w:rsidP="00E7423E">
      <w:pPr>
        <w:pStyle w:val="References"/>
      </w:pPr>
      <w:r>
        <w:t>Warhurst, C,</w:t>
      </w:r>
      <w:r w:rsidR="0096744F">
        <w:t xml:space="preserve"> </w:t>
      </w:r>
      <w:r>
        <w:t>Grugulis, I &amp; Keep, E (</w:t>
      </w:r>
      <w:proofErr w:type="gramStart"/>
      <w:r>
        <w:t>eds</w:t>
      </w:r>
      <w:proofErr w:type="gramEnd"/>
      <w:r>
        <w:t xml:space="preserve">) 2004, </w:t>
      </w:r>
      <w:r w:rsidRPr="00F5435B">
        <w:rPr>
          <w:i/>
        </w:rPr>
        <w:t>The skills that matter</w:t>
      </w:r>
      <w:r w:rsidR="00792255">
        <w:t>,</w:t>
      </w:r>
      <w:r>
        <w:t xml:space="preserve"> Palgrave Macmillan</w:t>
      </w:r>
      <w:r w:rsidR="00CD3049">
        <w:t>,</w:t>
      </w:r>
      <w:r w:rsidR="00792255" w:rsidRPr="00792255">
        <w:t xml:space="preserve"> </w:t>
      </w:r>
      <w:r w:rsidR="00792255">
        <w:t>New York</w:t>
      </w:r>
      <w:r>
        <w:t>.</w:t>
      </w:r>
    </w:p>
    <w:p w:rsidR="00D3274A" w:rsidRDefault="00D3274A" w:rsidP="00E7423E">
      <w:pPr>
        <w:pStyle w:val="References"/>
        <w:rPr>
          <w:szCs w:val="18"/>
        </w:rPr>
      </w:pPr>
      <w:r w:rsidRPr="005374A9">
        <w:rPr>
          <w:szCs w:val="18"/>
        </w:rPr>
        <w:t xml:space="preserve">Weeden, K 2001 ‘Why do some occupations pay more than others? </w:t>
      </w:r>
      <w:proofErr w:type="gramStart"/>
      <w:r w:rsidRPr="005374A9">
        <w:rPr>
          <w:szCs w:val="18"/>
        </w:rPr>
        <w:t xml:space="preserve">Social closure and earnings inequality in the United </w:t>
      </w:r>
      <w:r w:rsidRPr="005374A9">
        <w:rPr>
          <w:i/>
          <w:szCs w:val="18"/>
        </w:rPr>
        <w:t>States’</w:t>
      </w:r>
      <w:r w:rsidR="00420EEF">
        <w:rPr>
          <w:i/>
          <w:szCs w:val="18"/>
        </w:rPr>
        <w:t xml:space="preserve"> </w:t>
      </w:r>
      <w:r w:rsidRPr="005374A9">
        <w:rPr>
          <w:i/>
          <w:szCs w:val="18"/>
        </w:rPr>
        <w:t>American Journal of Sociology</w:t>
      </w:r>
      <w:r w:rsidR="00792255">
        <w:rPr>
          <w:szCs w:val="18"/>
        </w:rPr>
        <w:t>, vol.108, pp.55—</w:t>
      </w:r>
      <w:r w:rsidRPr="005374A9">
        <w:rPr>
          <w:szCs w:val="18"/>
        </w:rPr>
        <w:t>101</w:t>
      </w:r>
      <w:r w:rsidR="00792255">
        <w:rPr>
          <w:szCs w:val="18"/>
        </w:rPr>
        <w:t>.</w:t>
      </w:r>
      <w:proofErr w:type="gramEnd"/>
    </w:p>
    <w:p w:rsidR="004F0FD5" w:rsidRDefault="004F0FD5" w:rsidP="00E7423E">
      <w:pPr>
        <w:pStyle w:val="References"/>
      </w:pPr>
      <w:proofErr w:type="gramStart"/>
      <w:r>
        <w:t xml:space="preserve">Wheelahan, L, Buchanan, J &amp; Yu, S 2015, </w:t>
      </w:r>
      <w:r w:rsidRPr="00F5435B">
        <w:rPr>
          <w:i/>
        </w:rPr>
        <w:t>Linking qualifications and the labour market through capabilities and vocational streams</w:t>
      </w:r>
      <w:r>
        <w:t>, NCVER, Adelaide.</w:t>
      </w:r>
      <w:proofErr w:type="gramEnd"/>
    </w:p>
    <w:p w:rsidR="00D530B9" w:rsidRDefault="004F0FD5" w:rsidP="00D530B9">
      <w:pPr>
        <w:pStyle w:val="References"/>
      </w:pPr>
      <w:r>
        <w:t>Winterton, J &amp; Haworth, N 2013, ‘Employability’ in J</w:t>
      </w:r>
      <w:r w:rsidR="00152897">
        <w:t xml:space="preserve"> </w:t>
      </w:r>
      <w:proofErr w:type="spellStart"/>
      <w:r w:rsidR="00152897">
        <w:t>Arrowsmith</w:t>
      </w:r>
      <w:proofErr w:type="spellEnd"/>
      <w:r w:rsidR="00152897">
        <w:t xml:space="preserve"> and V</w:t>
      </w:r>
      <w:r w:rsidR="00792255">
        <w:t xml:space="preserve"> </w:t>
      </w:r>
      <w:proofErr w:type="spellStart"/>
      <w:r w:rsidR="00792255">
        <w:t>Pulignano</w:t>
      </w:r>
      <w:proofErr w:type="spellEnd"/>
      <w:r w:rsidR="00792255">
        <w:t xml:space="preserve"> (</w:t>
      </w:r>
      <w:proofErr w:type="spellStart"/>
      <w:r w:rsidR="00792255">
        <w:t>e</w:t>
      </w:r>
      <w:r>
        <w:t>ds</w:t>
      </w:r>
      <w:proofErr w:type="spellEnd"/>
      <w:r>
        <w:t>)</w:t>
      </w:r>
      <w:r w:rsidR="00792255">
        <w:t>,</w:t>
      </w:r>
      <w:r>
        <w:t xml:space="preserve"> </w:t>
      </w:r>
      <w:r w:rsidRPr="00F5435B">
        <w:rPr>
          <w:i/>
        </w:rPr>
        <w:t>The transformation of employment relations in Europe</w:t>
      </w:r>
      <w:r>
        <w:t xml:space="preserve">, Routledge, </w:t>
      </w:r>
      <w:r w:rsidR="00792255">
        <w:t>London, pp.166—</w:t>
      </w:r>
      <w:r>
        <w:t>83.</w:t>
      </w:r>
    </w:p>
    <w:p w:rsidR="00D530B9" w:rsidRDefault="00D530B9" w:rsidP="00D530B9">
      <w:pPr>
        <w:pStyle w:val="References"/>
      </w:pPr>
      <w:r w:rsidRPr="00E36C6C">
        <w:t>Yu,</w:t>
      </w:r>
      <w:r>
        <w:t xml:space="preserve"> S,</w:t>
      </w:r>
      <w:r w:rsidRPr="00E36C6C">
        <w:t xml:space="preserve"> Bretherton</w:t>
      </w:r>
      <w:r>
        <w:t>, T</w:t>
      </w:r>
      <w:r w:rsidRPr="00E36C6C">
        <w:t xml:space="preserve"> </w:t>
      </w:r>
      <w:r>
        <w:t>&amp;</w:t>
      </w:r>
      <w:r w:rsidRPr="00E36C6C">
        <w:t xml:space="preserve"> </w:t>
      </w:r>
      <w:r>
        <w:t>Buchanan J</w:t>
      </w:r>
      <w:r w:rsidRPr="00E36C6C">
        <w:t xml:space="preserve"> 2013</w:t>
      </w:r>
      <w:r>
        <w:t xml:space="preserve">, </w:t>
      </w:r>
      <w:r w:rsidRPr="00D530B9">
        <w:rPr>
          <w:i/>
        </w:rPr>
        <w:t>Defining vocational streams: insights from the engineering, finance, agriculture and care sectors</w:t>
      </w:r>
      <w:r w:rsidRPr="00D530B9">
        <w:t xml:space="preserve">, NCVER, Adelaide, viewed </w:t>
      </w:r>
      <w:r>
        <w:t xml:space="preserve">October </w:t>
      </w:r>
      <w:r w:rsidRPr="00D530B9">
        <w:t>2015, &lt;http://www.ncver.edu.au/publications/2667.html&gt;.</w:t>
      </w:r>
    </w:p>
    <w:p w:rsidR="00B119E3" w:rsidRDefault="00B119E3">
      <w:pPr>
        <w:spacing w:before="0" w:line="240" w:lineRule="auto"/>
        <w:rPr>
          <w:sz w:val="18"/>
        </w:rPr>
      </w:pPr>
      <w:r>
        <w:br w:type="page"/>
      </w:r>
    </w:p>
    <w:p w:rsidR="00ED0C08" w:rsidRDefault="00D64F80" w:rsidP="004F0FD5">
      <w:pPr>
        <w:pStyle w:val="Heading1"/>
      </w:pPr>
      <w:bookmarkStart w:id="61" w:name="_Toc449707298"/>
      <w:r w:rsidRPr="00D64F80">
        <w:rPr>
          <w:noProof/>
          <w:lang w:eastAsia="en-AU"/>
        </w:rPr>
        <w:drawing>
          <wp:anchor distT="0" distB="0" distL="114300" distR="114300" simplePos="0" relativeHeight="252126208" behindDoc="1" locked="0" layoutInCell="1" allowOverlap="1" wp14:anchorId="46274CDA" wp14:editId="6CBC2694">
            <wp:simplePos x="0" y="0"/>
            <wp:positionH relativeFrom="column">
              <wp:posOffset>0</wp:posOffset>
            </wp:positionH>
            <wp:positionV relativeFrom="paragraph">
              <wp:posOffset>-38735</wp:posOffset>
            </wp:positionV>
            <wp:extent cx="417195" cy="428625"/>
            <wp:effectExtent l="0" t="0" r="1905" b="9525"/>
            <wp:wrapTight wrapText="bothSides">
              <wp:wrapPolygon edited="0">
                <wp:start x="4932" y="0"/>
                <wp:lineTo x="0" y="5760"/>
                <wp:lineTo x="0" y="12480"/>
                <wp:lineTo x="986" y="16320"/>
                <wp:lineTo x="5918" y="21120"/>
                <wp:lineTo x="14795" y="21120"/>
                <wp:lineTo x="15781" y="20160"/>
                <wp:lineTo x="20712" y="16320"/>
                <wp:lineTo x="20712" y="5760"/>
                <wp:lineTo x="15781" y="0"/>
                <wp:lineTo x="4932"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PublicationComponents\Icons\DollarSignFunding_LightBlue.emf"/>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1719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C08">
        <w:t>NVETR Program funding</w:t>
      </w:r>
      <w:bookmarkEnd w:id="59"/>
      <w:bookmarkEnd w:id="61"/>
      <w:r w:rsidR="00ED0C08">
        <w:t xml:space="preserve"> </w:t>
      </w:r>
    </w:p>
    <w:p w:rsidR="00ED0C08" w:rsidRDefault="00ED0C08" w:rsidP="00ED0C08">
      <w:pPr>
        <w:pStyle w:val="Text"/>
      </w:pPr>
      <w:r>
        <w:t>The National Vocational Education and Training Research (NVETR) Program is coordinated and managed by NCVER on behalf of the Australian Government and state and territory governments. Funding is provided through the Department of Education and Training.</w:t>
      </w:r>
    </w:p>
    <w:p w:rsidR="00ED0C08" w:rsidRDefault="00ED0C08" w:rsidP="00ED0C08">
      <w:pPr>
        <w:pStyle w:val="Text"/>
      </w:pPr>
      <w:r>
        <w:t>The NVETR Program is based on national research priorities and aims to improve policy and practice in the VET sector. The research effort itself is collaborative and requires strong relationships with the research community in Australia’s universities and beyond. NCVER may also involve various stakeholders, including state and territory governments, industry and practitioners, to inform the commissioned research, and use a variety of mechanisms such as project roundtables and forums.</w:t>
      </w:r>
    </w:p>
    <w:p w:rsidR="00ED0C08" w:rsidRDefault="00ED0C08" w:rsidP="00ED0C08">
      <w:pPr>
        <w:pStyle w:val="Text"/>
      </w:pPr>
      <w:r>
        <w:t>Research grants are awarded to organisations through a competitive process, in which NCVER does not participate. To ensure the quality and relevance of the research, projects are selected using an independent and transparent process and research reports are peer-reviewed.</w:t>
      </w:r>
    </w:p>
    <w:p w:rsidR="00ED0C08" w:rsidRDefault="00ED0C08" w:rsidP="00ED0C08">
      <w:pPr>
        <w:pStyle w:val="Text"/>
      </w:pPr>
      <w:r>
        <w:t>From 2012 some of the NVETR Program funding was made available for research and policy advice to National Senior Officials of the then Standing Council for Tertiary Education, Skills and Employment (SCOTESE) Principal Committees. They were responsible for determining suitable and relevant research projects aligned to the immediate priority needs in support of the national VET reform agenda.</w:t>
      </w:r>
    </w:p>
    <w:p w:rsidR="00ED0C08" w:rsidRDefault="00ED0C08" w:rsidP="00ED0C08">
      <w:pPr>
        <w:pStyle w:val="Text"/>
      </w:pPr>
      <w:proofErr w:type="gramStart"/>
      <w:r w:rsidRPr="00157690">
        <w:t xml:space="preserve">For further information about the program go to the NCVER </w:t>
      </w:r>
      <w:r>
        <w:t>Portal</w:t>
      </w:r>
      <w:r w:rsidRPr="00157690">
        <w:t xml:space="preserve"> &lt;</w:t>
      </w:r>
      <w:r>
        <w:t>http://</w:t>
      </w:r>
      <w:r w:rsidRPr="00157690">
        <w:t>www.ncver.edu.au&gt;.</w:t>
      </w:r>
      <w:proofErr w:type="gramEnd"/>
    </w:p>
    <w:p w:rsidR="00ED0C08" w:rsidRPr="00615010" w:rsidRDefault="00ED0C08" w:rsidP="00856034">
      <w:pPr>
        <w:pStyle w:val="Text"/>
        <w:spacing w:before="0"/>
        <w:rPr>
          <w:szCs w:val="19"/>
        </w:rPr>
      </w:pPr>
    </w:p>
    <w:p w:rsidR="00AA0B11" w:rsidRDefault="00AA0B11" w:rsidP="00A93A9F">
      <w:pPr>
        <w:spacing w:before="0" w:line="240" w:lineRule="auto"/>
        <w:rPr>
          <w:noProof/>
        </w:rPr>
      </w:pPr>
    </w:p>
    <w:p w:rsidR="00AA0B11" w:rsidRDefault="00095592" w:rsidP="00A93A9F">
      <w:pPr>
        <w:spacing w:before="0" w:line="240" w:lineRule="auto"/>
        <w:rPr>
          <w:noProof/>
        </w:rPr>
        <w:sectPr w:rsidR="00AA0B11" w:rsidSect="00D64F80">
          <w:headerReference w:type="default" r:id="rId44"/>
          <w:footerReference w:type="even" r:id="rId45"/>
          <w:footerReference w:type="default" r:id="rId46"/>
          <w:pgSz w:w="11907" w:h="16840" w:code="9"/>
          <w:pgMar w:top="1276" w:right="2835" w:bottom="992" w:left="1418" w:header="709" w:footer="556" w:gutter="0"/>
          <w:cols w:space="708"/>
          <w:docGrid w:linePitch="360"/>
        </w:sectPr>
      </w:pPr>
      <w:r>
        <w:rPr>
          <w:noProof/>
        </w:rPr>
        <w:br w:type="page"/>
      </w:r>
    </w:p>
    <w:p w:rsidR="00606061" w:rsidRPr="009F3844" w:rsidRDefault="00D64F80" w:rsidP="00A93A9F">
      <w:pPr>
        <w:spacing w:before="0" w:line="240" w:lineRule="auto"/>
        <w:rPr>
          <w:noProof/>
        </w:rPr>
      </w:pPr>
      <w:r w:rsidRPr="00246BBF">
        <w:rPr>
          <w:noProof/>
          <w:lang w:eastAsia="en-AU"/>
        </w:rPr>
        <w:drawing>
          <wp:anchor distT="0" distB="0" distL="114300" distR="114300" simplePos="0" relativeHeight="251907072" behindDoc="0" locked="0" layoutInCell="1" allowOverlap="1" wp14:anchorId="16D50982" wp14:editId="05DA71C2">
            <wp:simplePos x="0" y="0"/>
            <wp:positionH relativeFrom="column">
              <wp:posOffset>4330700</wp:posOffset>
            </wp:positionH>
            <wp:positionV relativeFrom="paragraph">
              <wp:posOffset>8945880</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22"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905024" behindDoc="0" locked="0" layoutInCell="1" allowOverlap="1" wp14:anchorId="2235882C" wp14:editId="7AB5C5F7">
            <wp:simplePos x="0" y="0"/>
            <wp:positionH relativeFrom="column">
              <wp:posOffset>2939415</wp:posOffset>
            </wp:positionH>
            <wp:positionV relativeFrom="paragraph">
              <wp:posOffset>8949055</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mc:AlternateContent>
          <mc:Choice Requires="wps">
            <w:drawing>
              <wp:anchor distT="0" distB="0" distL="114300" distR="114300" simplePos="0" relativeHeight="251902976" behindDoc="0" locked="0" layoutInCell="1" allowOverlap="1" wp14:anchorId="1063FC86" wp14:editId="66DB6071">
                <wp:simplePos x="0" y="0"/>
                <wp:positionH relativeFrom="column">
                  <wp:posOffset>1371600</wp:posOffset>
                </wp:positionH>
                <wp:positionV relativeFrom="paragraph">
                  <wp:posOffset>7809865</wp:posOffset>
                </wp:positionV>
                <wp:extent cx="5143500" cy="16383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6053" w:rsidRPr="006E0B9E" w:rsidRDefault="00396053" w:rsidP="009F3844">
                            <w:pPr>
                              <w:jc w:val="right"/>
                              <w:rPr>
                                <w:rFonts w:ascii="Arial" w:hAnsi="Arial" w:cs="Arial"/>
                                <w:b/>
                              </w:rPr>
                            </w:pPr>
                            <w:r w:rsidRPr="006E0B9E">
                              <w:rPr>
                                <w:rFonts w:ascii="Arial" w:hAnsi="Arial" w:cs="Arial"/>
                                <w:b/>
                              </w:rPr>
                              <w:t>National Centre for Vocational Education Research</w:t>
                            </w:r>
                          </w:p>
                          <w:p w:rsidR="00396053" w:rsidRPr="006E0B9E" w:rsidRDefault="00396053"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396053" w:rsidRPr="006E0B9E" w:rsidRDefault="00396053"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Fax</w:t>
                            </w:r>
                            <w:r w:rsidRPr="006E0B9E">
                              <w:rPr>
                                <w:rFonts w:ascii="Arial" w:hAnsi="Arial" w:cs="Arial"/>
                              </w:rPr>
                              <w:t xml:space="preserve"> +61 8 8212 3436</w:t>
                            </w:r>
                          </w:p>
                          <w:p w:rsidR="00396053" w:rsidRPr="006E0B9E" w:rsidRDefault="00396053"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47"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&lt;http://www.ncver.edu.au&gt;  &lt;</w:t>
                            </w:r>
                            <w:hyperlink r:id="rId48" w:history="1">
                              <w:r w:rsidRPr="006C271D">
                                <w:rPr>
                                  <w:rStyle w:val="Hyperlink"/>
                                  <w:rFonts w:ascii="Arial" w:hAnsi="Arial" w:cs="Arial"/>
                                  <w:sz w:val="16"/>
                                  <w:szCs w:val="16"/>
                                </w:rPr>
                                <w:t>http://www.lsay.edu.au</w:t>
                              </w:r>
                            </w:hyperlink>
                            <w:r w:rsidRPr="006C271D">
                              <w:rPr>
                                <w:rFonts w:ascii="Arial" w:hAnsi="Arial" w:cs="Arial"/>
                                <w:szCs w:val="16"/>
                              </w:rPr>
                              <w:t>&gt;</w:t>
                            </w:r>
                          </w:p>
                          <w:p w:rsidR="00396053" w:rsidRPr="006E0B9E" w:rsidRDefault="00396053"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49"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396053" w:rsidRPr="009F3844" w:rsidRDefault="00396053"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0" type="#_x0000_t202" style="position:absolute;margin-left:108pt;margin-top:614.95pt;width:405pt;height:12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" filled="f" stroked="f" strokeweight=".5pt">
                <v:path arrowok="t"/>
                <v:textbox>
                  <w:txbxContent>
                    <w:p w:rsidR="00396053" w:rsidRPr="006E0B9E" w:rsidRDefault="00396053" w:rsidP="009F3844">
                      <w:pPr>
                        <w:jc w:val="right"/>
                        <w:rPr>
                          <w:rFonts w:ascii="Arial" w:hAnsi="Arial" w:cs="Arial"/>
                          <w:b/>
                        </w:rPr>
                      </w:pPr>
                      <w:r w:rsidRPr="006E0B9E">
                        <w:rPr>
                          <w:rFonts w:ascii="Arial" w:hAnsi="Arial" w:cs="Arial"/>
                          <w:b/>
                        </w:rPr>
                        <w:t>National Centre for Vocational Education Research</w:t>
                      </w:r>
                    </w:p>
                    <w:p w:rsidR="00396053" w:rsidRPr="006E0B9E" w:rsidRDefault="00396053"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396053" w:rsidRPr="006E0B9E" w:rsidRDefault="00396053"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Fax</w:t>
                      </w:r>
                      <w:r w:rsidRPr="006E0B9E">
                        <w:rPr>
                          <w:rFonts w:ascii="Arial" w:hAnsi="Arial" w:cs="Arial"/>
                        </w:rPr>
                        <w:t xml:space="preserve"> +61 8 8212 3436</w:t>
                      </w:r>
                    </w:p>
                    <w:p w:rsidR="00396053" w:rsidRPr="006E0B9E" w:rsidRDefault="00396053"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50"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&lt;http://www.ncver.edu.au&gt;  &lt;</w:t>
                      </w:r>
                      <w:hyperlink r:id="rId51" w:history="1">
                        <w:r w:rsidRPr="006C271D">
                          <w:rPr>
                            <w:rStyle w:val="Hyperlink"/>
                            <w:rFonts w:ascii="Arial" w:hAnsi="Arial" w:cs="Arial"/>
                            <w:sz w:val="16"/>
                            <w:szCs w:val="16"/>
                          </w:rPr>
                          <w:t>http://www.lsay.edu.au</w:t>
                        </w:r>
                      </w:hyperlink>
                      <w:r w:rsidRPr="006C271D">
                        <w:rPr>
                          <w:rFonts w:ascii="Arial" w:hAnsi="Arial" w:cs="Arial"/>
                          <w:szCs w:val="16"/>
                        </w:rPr>
                        <w:t>&gt;</w:t>
                      </w:r>
                    </w:p>
                    <w:p w:rsidR="00396053" w:rsidRPr="006E0B9E" w:rsidRDefault="00396053"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2"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396053" w:rsidRPr="009F3844" w:rsidRDefault="00396053" w:rsidP="009F3844">
                      <w:pPr>
                        <w:rPr>
                          <w:rFonts w:ascii="Arial" w:hAnsi="Arial" w:cs="Arial"/>
                          <w:sz w:val="16"/>
                          <w:szCs w:val="16"/>
                        </w:rPr>
                      </w:pPr>
                    </w:p>
                  </w:txbxContent>
                </v:textbox>
              </v:shape>
            </w:pict>
          </mc:Fallback>
        </mc:AlternateContent>
      </w:r>
      <w:r w:rsidRPr="009F3844">
        <w:rPr>
          <w:noProof/>
          <w:lang w:eastAsia="en-AU"/>
        </w:rPr>
        <w:drawing>
          <wp:anchor distT="0" distB="0" distL="114300" distR="114300" simplePos="0" relativeHeight="251900928" behindDoc="0" locked="0" layoutInCell="1" allowOverlap="1" wp14:anchorId="704A13DE" wp14:editId="64E91AB1">
            <wp:simplePos x="0" y="0"/>
            <wp:positionH relativeFrom="column">
              <wp:posOffset>4166235</wp:posOffset>
            </wp:positionH>
            <wp:positionV relativeFrom="paragraph">
              <wp:posOffset>7109460</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r w:rsidRPr="009F3844">
        <w:rPr>
          <w:noProof/>
          <w:lang w:eastAsia="en-AU"/>
        </w:rPr>
        <w:drawing>
          <wp:anchor distT="0" distB="0" distL="114300" distR="114300" simplePos="0" relativeHeight="251901952" behindDoc="0" locked="0" layoutInCell="1" allowOverlap="1" wp14:anchorId="269D8640" wp14:editId="043408C4">
            <wp:simplePos x="0" y="0"/>
            <wp:positionH relativeFrom="column">
              <wp:posOffset>-713740</wp:posOffset>
            </wp:positionH>
            <wp:positionV relativeFrom="paragraph">
              <wp:posOffset>9221470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p>
    <w:sectPr w:rsidR="00606061" w:rsidRPr="009F3844" w:rsidSect="009F3844">
      <w:footerReference w:type="default" r:id="rId55"/>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053" w:rsidRDefault="00396053">
      <w:r>
        <w:separator/>
      </w:r>
    </w:p>
    <w:p w:rsidR="00396053" w:rsidRDefault="00396053"/>
  </w:endnote>
  <w:endnote w:type="continuationSeparator" w:id="0">
    <w:p w:rsidR="00396053" w:rsidRDefault="00396053">
      <w:r>
        <w:continuationSeparator/>
      </w:r>
    </w:p>
    <w:p w:rsidR="00396053" w:rsidRDefault="003960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Avant Garde">
    <w:altName w:val="Century Gothic"/>
    <w:charset w:val="00"/>
    <w:family w:val="swiss"/>
    <w:pitch w:val="variable"/>
    <w:sig w:usb0="00007A87" w:usb1="80000000" w:usb2="00000008" w:usb3="00000000" w:csb0="000000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D7C" w:rsidRDefault="00CA3D7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053" w:rsidRPr="00D64F80" w:rsidRDefault="00396053" w:rsidP="00D64F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D7C" w:rsidRDefault="00CA3D7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D7C" w:rsidRDefault="00CA3D7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053" w:rsidRPr="00C83D73" w:rsidRDefault="00396053" w:rsidP="00AD4D8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053" w:rsidRPr="00C83D73" w:rsidRDefault="00396053" w:rsidP="00AD4D8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053" w:rsidRPr="004B031A" w:rsidRDefault="00396053" w:rsidP="004B031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053" w:rsidRPr="00214ED0" w:rsidRDefault="00396053" w:rsidP="00AD4D8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053" w:rsidRPr="00A00BE5" w:rsidRDefault="00396053" w:rsidP="00A00BE5">
    <w:pPr>
      <w:pStyle w:val="Footer"/>
      <w:tabs>
        <w:tab w:val="clear" w:pos="7655"/>
        <w:tab w:val="right" w:pos="7938"/>
      </w:tabs>
      <w:ind w:left="-1843"/>
    </w:pPr>
    <w:r>
      <w:fldChar w:fldCharType="begin"/>
    </w:r>
    <w:r>
      <w:instrText xml:space="preserve"> PAGE </w:instrText>
    </w:r>
    <w:r>
      <w:fldChar w:fldCharType="separate"/>
    </w:r>
    <w:r w:rsidR="00CA3D7C">
      <w:rPr>
        <w:noProof/>
      </w:rPr>
      <w:t>20</w:t>
    </w:r>
    <w:r>
      <w:rPr>
        <w:noProof/>
      </w:rPr>
      <w:fldChar w:fldCharType="end"/>
    </w:r>
    <w:r>
      <w:rPr>
        <w:noProof/>
      </w:rPr>
      <w:t xml:space="preserve"> </w:t>
    </w:r>
    <w:r>
      <w:rPr>
        <w:noProof/>
      </w:rPr>
      <w:ptab w:relativeTo="margin" w:alignment="right" w:leader="none"/>
    </w:r>
    <w:r>
      <w:rPr>
        <w:noProof/>
      </w:rPr>
      <w:t>Cross-occupational skill transferability: challenges and opportunities in a changing economy</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053" w:rsidRPr="00A00BE5" w:rsidRDefault="00396053" w:rsidP="00A00BE5">
    <w:pPr>
      <w:pStyle w:val="Footer"/>
      <w:tabs>
        <w:tab w:val="clear" w:pos="7655"/>
        <w:tab w:val="right" w:pos="9639"/>
      </w:tabs>
    </w:pPr>
    <w:r>
      <w:t>NCVER</w:t>
    </w:r>
    <w:r>
      <w:tab/>
    </w:r>
    <w:r>
      <w:fldChar w:fldCharType="begin"/>
    </w:r>
    <w:r>
      <w:instrText xml:space="preserve"> PAGE </w:instrText>
    </w:r>
    <w:r>
      <w:fldChar w:fldCharType="separate"/>
    </w:r>
    <w:r w:rsidR="006A32F2">
      <w:rPr>
        <w:noProof/>
      </w:rPr>
      <w:t>41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053" w:rsidRDefault="00396053">
      <w:r>
        <w:separator/>
      </w:r>
    </w:p>
    <w:p w:rsidR="00396053" w:rsidRDefault="00396053"/>
  </w:footnote>
  <w:footnote w:type="continuationSeparator" w:id="0">
    <w:p w:rsidR="00396053" w:rsidRDefault="00396053">
      <w:r>
        <w:continuationSeparator/>
      </w:r>
    </w:p>
    <w:p w:rsidR="00396053" w:rsidRDefault="00396053"/>
  </w:footnote>
  <w:footnote w:id="1">
    <w:p w:rsidR="00396053" w:rsidRDefault="00396053" w:rsidP="003B0A94">
      <w:pPr>
        <w:pStyle w:val="FootnoteText"/>
        <w:ind w:left="0" w:firstLine="0"/>
      </w:pPr>
      <w:r>
        <w:rPr>
          <w:rStyle w:val="FootnoteReference"/>
        </w:rPr>
        <w:footnoteRef/>
      </w:r>
      <w:r>
        <w:t xml:space="preserve"> ANZSCO = Australian and New Zealand Standard Classification of Occupations.</w:t>
      </w:r>
    </w:p>
  </w:footnote>
  <w:footnote w:id="2">
    <w:p w:rsidR="00396053" w:rsidRDefault="00396053" w:rsidP="00856034">
      <w:pPr>
        <w:spacing w:before="0"/>
      </w:pPr>
      <w:r>
        <w:rPr>
          <w:vertAlign w:val="superscript"/>
        </w:rPr>
        <w:footnoteRef/>
      </w:r>
      <w:r>
        <w:rPr>
          <w:sz w:val="18"/>
          <w:szCs w:val="18"/>
        </w:rPr>
        <w:t xml:space="preserve"> </w:t>
      </w:r>
      <w:r>
        <w:rPr>
          <w:sz w:val="16"/>
          <w:szCs w:val="16"/>
        </w:rPr>
        <w:t xml:space="preserve">Jobactive providers categorise </w:t>
      </w:r>
      <w:r w:rsidRPr="00D74341">
        <w:rPr>
          <w:sz w:val="16"/>
          <w:szCs w:val="16"/>
        </w:rPr>
        <w:t>unemployment</w:t>
      </w:r>
      <w:r>
        <w:rPr>
          <w:sz w:val="16"/>
          <w:szCs w:val="16"/>
        </w:rPr>
        <w:t xml:space="preserve"> cases depending on how long the worker seeking assistance has been out of a job. Stream one job seekers are those who are recently unemployed, while those in stream two are long-term unemployed. More support (state funding) is allocated for the latter. Thus the Jobactive providers have developed the last-in-least-supported approach because they get more money for providing support to longer-term unemployed.</w:t>
      </w:r>
    </w:p>
    <w:p w:rsidR="00396053" w:rsidRDefault="00396053">
      <w:pPr>
        <w:tabs>
          <w:tab w:val="left" w:pos="1418"/>
        </w:tabs>
        <w:spacing w:before="0"/>
        <w:ind w:left="17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D7C" w:rsidRDefault="00CA3D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D7C" w:rsidRDefault="00CA3D7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D7C" w:rsidRDefault="00CA3D7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053" w:rsidRDefault="00396053" w:rsidP="005F21B1">
    <w:pPr>
      <w:tabs>
        <w:tab w:val="left" w:pos="720"/>
        <w:tab w:val="left" w:pos="6720"/>
      </w:tabs>
    </w:pPr>
    <w:r w:rsidRPr="00214ED0">
      <w:rPr>
        <w:noProof/>
        <w:lang w:eastAsia="en-AU"/>
      </w:rPr>
      <w:drawing>
        <wp:anchor distT="0" distB="0" distL="114300" distR="114300" simplePos="0" relativeHeight="251659264" behindDoc="1" locked="0" layoutInCell="1" allowOverlap="1" wp14:anchorId="6DAD5BAA" wp14:editId="2EA26D3D">
          <wp:simplePos x="0" y="0"/>
          <wp:positionH relativeFrom="column">
            <wp:posOffset>34925</wp:posOffset>
          </wp:positionH>
          <wp:positionV relativeFrom="paragraph">
            <wp:posOffset>8621</wp:posOffset>
          </wp:positionV>
          <wp:extent cx="5930153" cy="101167"/>
          <wp:effectExtent l="0" t="0" r="0" b="0"/>
          <wp:wrapNone/>
          <wp:docPr id="41" name="Picture 41"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r>
      <w:tab/>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053" w:rsidRDefault="00396053" w:rsidP="005F21B1">
    <w:pPr>
      <w:tabs>
        <w:tab w:val="left" w:pos="720"/>
        <w:tab w:val="left" w:pos="6720"/>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05C7A7C"/>
    <w:multiLevelType w:val="multilevel"/>
    <w:tmpl w:val="5A665038"/>
    <w:lvl w:ilvl="0">
      <w:start w:val="1"/>
      <w:numFmt w:val="bullet"/>
      <w:lvlText w:val="▪"/>
      <w:lvlJc w:val="left"/>
      <w:pPr>
        <w:ind w:left="36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8F1283A"/>
    <w:multiLevelType w:val="multilevel"/>
    <w:tmpl w:val="C86EC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E7F5531"/>
    <w:multiLevelType w:val="hybridMultilevel"/>
    <w:tmpl w:val="F1DC43E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1B500D88"/>
    <w:multiLevelType w:val="multilevel"/>
    <w:tmpl w:val="B35C455E"/>
    <w:lvl w:ilvl="0">
      <w:start w:val="1"/>
      <w:numFmt w:val="bullet"/>
      <w:lvlText w:val="▪"/>
      <w:lvlJc w:val="left"/>
      <w:pPr>
        <w:ind w:left="360" w:firstLine="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nsid w:val="264150C8"/>
    <w:multiLevelType w:val="multilevel"/>
    <w:tmpl w:val="7A3269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28A32C5F"/>
    <w:multiLevelType w:val="multilevel"/>
    <w:tmpl w:val="CF00E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D210A2"/>
    <w:multiLevelType w:val="multilevel"/>
    <w:tmpl w:val="AA483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D865E9"/>
    <w:multiLevelType w:val="multilevel"/>
    <w:tmpl w:val="DCF64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3B294450"/>
    <w:multiLevelType w:val="multilevel"/>
    <w:tmpl w:val="0658D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4E254B"/>
    <w:multiLevelType w:val="multilevel"/>
    <w:tmpl w:val="E31644BA"/>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3">
    <w:nsid w:val="4CBC1113"/>
    <w:multiLevelType w:val="multilevel"/>
    <w:tmpl w:val="54BE67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4E222D05"/>
    <w:multiLevelType w:val="multilevel"/>
    <w:tmpl w:val="8F6CB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37A37CA"/>
    <w:multiLevelType w:val="multilevel"/>
    <w:tmpl w:val="0EB46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8">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31">
    <w:nsid w:val="67840E5B"/>
    <w:multiLevelType w:val="multilevel"/>
    <w:tmpl w:val="B98A56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6E4D4F15"/>
    <w:multiLevelType w:val="multilevel"/>
    <w:tmpl w:val="1A6604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6E6568BB"/>
    <w:multiLevelType w:val="hybridMultilevel"/>
    <w:tmpl w:val="560EDD7A"/>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70136591"/>
    <w:multiLevelType w:val="hybridMultilevel"/>
    <w:tmpl w:val="0A78DEE8"/>
    <w:lvl w:ilvl="0" w:tplc="96DA98E4">
      <w:start w:val="9"/>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28945FA"/>
    <w:multiLevelType w:val="multilevel"/>
    <w:tmpl w:val="9A008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89B14E8"/>
    <w:multiLevelType w:val="multilevel"/>
    <w:tmpl w:val="7E58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292DEC"/>
    <w:multiLevelType w:val="multilevel"/>
    <w:tmpl w:val="D1E6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33"/>
  </w:num>
  <w:num w:numId="3">
    <w:abstractNumId w:val="28"/>
  </w:num>
  <w:num w:numId="4">
    <w:abstractNumId w:val="29"/>
  </w:num>
  <w:num w:numId="5">
    <w:abstractNumId w:val="13"/>
  </w:num>
  <w:num w:numId="6">
    <w:abstractNumId w:val="34"/>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20"/>
  </w:num>
  <w:num w:numId="10">
    <w:abstractNumId w:val="26"/>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9"/>
  </w:num>
  <w:num w:numId="21">
    <w:abstractNumId w:val="25"/>
  </w:num>
  <w:num w:numId="22">
    <w:abstractNumId w:val="24"/>
  </w:num>
  <w:num w:numId="23">
    <w:abstractNumId w:val="37"/>
  </w:num>
  <w:num w:numId="24">
    <w:abstractNumId w:val="16"/>
  </w:num>
  <w:num w:numId="25">
    <w:abstractNumId w:val="18"/>
  </w:num>
  <w:num w:numId="26">
    <w:abstractNumId w:val="11"/>
  </w:num>
  <w:num w:numId="27">
    <w:abstractNumId w:val="36"/>
  </w:num>
  <w:num w:numId="28">
    <w:abstractNumId w:val="38"/>
  </w:num>
  <w:num w:numId="29">
    <w:abstractNumId w:val="21"/>
  </w:num>
  <w:num w:numId="30">
    <w:abstractNumId w:val="17"/>
  </w:num>
  <w:num w:numId="31">
    <w:abstractNumId w:val="26"/>
    <w:lvlOverride w:ilvl="0">
      <w:startOverride w:val="1"/>
    </w:lvlOverride>
  </w:num>
  <w:num w:numId="32">
    <w:abstractNumId w:val="26"/>
    <w:lvlOverride w:ilvl="0">
      <w:startOverride w:val="1"/>
    </w:lvlOverride>
  </w:num>
  <w:num w:numId="33">
    <w:abstractNumId w:val="19"/>
    <w:lvlOverride w:ilvl="0">
      <w:startOverride w:val="1"/>
    </w:lvlOverride>
  </w:num>
  <w:num w:numId="34">
    <w:abstractNumId w:val="23"/>
  </w:num>
  <w:num w:numId="35">
    <w:abstractNumId w:val="15"/>
  </w:num>
  <w:num w:numId="36">
    <w:abstractNumId w:val="14"/>
  </w:num>
  <w:num w:numId="37">
    <w:abstractNumId w:val="22"/>
  </w:num>
  <w:num w:numId="38">
    <w:abstractNumId w:val="31"/>
  </w:num>
  <w:num w:numId="39">
    <w:abstractNumId w:val="32"/>
  </w:num>
  <w:num w:numId="40">
    <w:abstractNumId w:val="9"/>
  </w:num>
  <w:num w:numId="41">
    <w:abstractNumId w:val="33"/>
  </w:num>
  <w:num w:numId="42">
    <w:abstractNumId w:val="12"/>
  </w:num>
  <w:num w:numId="43">
    <w:abstractNumId w:val="3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47105">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sDC1NDQ0NjU0NrIwMzdS0lEKTi0uzszPAykwrgUAdlEPkSwAAAA="/>
  </w:docVars>
  <w:rsids>
    <w:rsidRoot w:val="00AD50D1"/>
    <w:rsid w:val="00000F0D"/>
    <w:rsid w:val="000041A4"/>
    <w:rsid w:val="00006608"/>
    <w:rsid w:val="000073D1"/>
    <w:rsid w:val="00010110"/>
    <w:rsid w:val="000108B2"/>
    <w:rsid w:val="00011CAE"/>
    <w:rsid w:val="000138F5"/>
    <w:rsid w:val="0001401C"/>
    <w:rsid w:val="00014EC8"/>
    <w:rsid w:val="00022290"/>
    <w:rsid w:val="00022AFE"/>
    <w:rsid w:val="0002340E"/>
    <w:rsid w:val="00024BAE"/>
    <w:rsid w:val="0002790A"/>
    <w:rsid w:val="000402B1"/>
    <w:rsid w:val="000426D3"/>
    <w:rsid w:val="000435A6"/>
    <w:rsid w:val="000457AA"/>
    <w:rsid w:val="0004593F"/>
    <w:rsid w:val="00045E77"/>
    <w:rsid w:val="0004657F"/>
    <w:rsid w:val="0005058D"/>
    <w:rsid w:val="00051100"/>
    <w:rsid w:val="000533F9"/>
    <w:rsid w:val="0006125F"/>
    <w:rsid w:val="00061F13"/>
    <w:rsid w:val="0006235B"/>
    <w:rsid w:val="000629CF"/>
    <w:rsid w:val="0006449D"/>
    <w:rsid w:val="00064902"/>
    <w:rsid w:val="000656A6"/>
    <w:rsid w:val="000716A2"/>
    <w:rsid w:val="00074BD4"/>
    <w:rsid w:val="00075683"/>
    <w:rsid w:val="0007616D"/>
    <w:rsid w:val="00083C29"/>
    <w:rsid w:val="00086995"/>
    <w:rsid w:val="000939E6"/>
    <w:rsid w:val="00095592"/>
    <w:rsid w:val="00095EBD"/>
    <w:rsid w:val="000A18DB"/>
    <w:rsid w:val="000A1A78"/>
    <w:rsid w:val="000A1A90"/>
    <w:rsid w:val="000A4472"/>
    <w:rsid w:val="000A6A74"/>
    <w:rsid w:val="000B27B1"/>
    <w:rsid w:val="000B587E"/>
    <w:rsid w:val="000B68B4"/>
    <w:rsid w:val="000B72A2"/>
    <w:rsid w:val="000C462B"/>
    <w:rsid w:val="000C72E5"/>
    <w:rsid w:val="000D07B0"/>
    <w:rsid w:val="000D1083"/>
    <w:rsid w:val="000D439B"/>
    <w:rsid w:val="000D43D0"/>
    <w:rsid w:val="000D675B"/>
    <w:rsid w:val="000D7EF9"/>
    <w:rsid w:val="000E097E"/>
    <w:rsid w:val="000E1F04"/>
    <w:rsid w:val="000E2657"/>
    <w:rsid w:val="000F303D"/>
    <w:rsid w:val="000F3135"/>
    <w:rsid w:val="000F4203"/>
    <w:rsid w:val="000F580E"/>
    <w:rsid w:val="000F5C33"/>
    <w:rsid w:val="000F6CFA"/>
    <w:rsid w:val="0010761A"/>
    <w:rsid w:val="00111214"/>
    <w:rsid w:val="00113805"/>
    <w:rsid w:val="001209BE"/>
    <w:rsid w:val="00123B5C"/>
    <w:rsid w:val="00124E32"/>
    <w:rsid w:val="001264D3"/>
    <w:rsid w:val="001318F3"/>
    <w:rsid w:val="00131C09"/>
    <w:rsid w:val="00134DF5"/>
    <w:rsid w:val="00135C75"/>
    <w:rsid w:val="00135E52"/>
    <w:rsid w:val="00141025"/>
    <w:rsid w:val="00142F7D"/>
    <w:rsid w:val="001441AF"/>
    <w:rsid w:val="001450E8"/>
    <w:rsid w:val="001467E4"/>
    <w:rsid w:val="00150874"/>
    <w:rsid w:val="001509F3"/>
    <w:rsid w:val="00151ED1"/>
    <w:rsid w:val="00152897"/>
    <w:rsid w:val="00153308"/>
    <w:rsid w:val="00153AA8"/>
    <w:rsid w:val="00156177"/>
    <w:rsid w:val="00161061"/>
    <w:rsid w:val="00163972"/>
    <w:rsid w:val="001647B6"/>
    <w:rsid w:val="00167DB9"/>
    <w:rsid w:val="0017327E"/>
    <w:rsid w:val="00175C3A"/>
    <w:rsid w:val="00176EB6"/>
    <w:rsid w:val="00184DD2"/>
    <w:rsid w:val="00187BF6"/>
    <w:rsid w:val="001919A9"/>
    <w:rsid w:val="001934C2"/>
    <w:rsid w:val="001A192C"/>
    <w:rsid w:val="001A2DFE"/>
    <w:rsid w:val="001A4241"/>
    <w:rsid w:val="001A6428"/>
    <w:rsid w:val="001B2302"/>
    <w:rsid w:val="001B43CF"/>
    <w:rsid w:val="001B5F58"/>
    <w:rsid w:val="001B6089"/>
    <w:rsid w:val="001B65F0"/>
    <w:rsid w:val="001C004A"/>
    <w:rsid w:val="001C0A0B"/>
    <w:rsid w:val="001C6537"/>
    <w:rsid w:val="001D55A9"/>
    <w:rsid w:val="001D6D28"/>
    <w:rsid w:val="001E1580"/>
    <w:rsid w:val="001E1A06"/>
    <w:rsid w:val="001E44B8"/>
    <w:rsid w:val="001E4B1C"/>
    <w:rsid w:val="001E7E4A"/>
    <w:rsid w:val="001F026B"/>
    <w:rsid w:val="001F1879"/>
    <w:rsid w:val="001F2EA7"/>
    <w:rsid w:val="001F3740"/>
    <w:rsid w:val="001F7D84"/>
    <w:rsid w:val="00210A02"/>
    <w:rsid w:val="00211950"/>
    <w:rsid w:val="00214654"/>
    <w:rsid w:val="00214ED0"/>
    <w:rsid w:val="00215140"/>
    <w:rsid w:val="00215FED"/>
    <w:rsid w:val="00220A0A"/>
    <w:rsid w:val="00221180"/>
    <w:rsid w:val="00223C58"/>
    <w:rsid w:val="00225424"/>
    <w:rsid w:val="002277A9"/>
    <w:rsid w:val="00230694"/>
    <w:rsid w:val="00230BDD"/>
    <w:rsid w:val="00233BFA"/>
    <w:rsid w:val="00235CFC"/>
    <w:rsid w:val="00237366"/>
    <w:rsid w:val="0024249F"/>
    <w:rsid w:val="00242E2C"/>
    <w:rsid w:val="0024319E"/>
    <w:rsid w:val="00251024"/>
    <w:rsid w:val="00262B49"/>
    <w:rsid w:val="002672C7"/>
    <w:rsid w:val="00267FE2"/>
    <w:rsid w:val="00271267"/>
    <w:rsid w:val="00275C0C"/>
    <w:rsid w:val="0028105B"/>
    <w:rsid w:val="00281B70"/>
    <w:rsid w:val="002826BF"/>
    <w:rsid w:val="00283714"/>
    <w:rsid w:val="0028464B"/>
    <w:rsid w:val="00284FCB"/>
    <w:rsid w:val="00286C71"/>
    <w:rsid w:val="00292B52"/>
    <w:rsid w:val="002936E4"/>
    <w:rsid w:val="002947D3"/>
    <w:rsid w:val="002955C0"/>
    <w:rsid w:val="002A078B"/>
    <w:rsid w:val="002A1F6A"/>
    <w:rsid w:val="002A22FC"/>
    <w:rsid w:val="002A44D7"/>
    <w:rsid w:val="002B18EC"/>
    <w:rsid w:val="002B4F17"/>
    <w:rsid w:val="002B691A"/>
    <w:rsid w:val="002C1B5B"/>
    <w:rsid w:val="002C511D"/>
    <w:rsid w:val="002C5F43"/>
    <w:rsid w:val="002C61C4"/>
    <w:rsid w:val="002C630F"/>
    <w:rsid w:val="002C766F"/>
    <w:rsid w:val="002D0ABE"/>
    <w:rsid w:val="002D28F5"/>
    <w:rsid w:val="002D49AA"/>
    <w:rsid w:val="002D563D"/>
    <w:rsid w:val="002D61F7"/>
    <w:rsid w:val="002E196B"/>
    <w:rsid w:val="002E2452"/>
    <w:rsid w:val="002E2F48"/>
    <w:rsid w:val="002E45A3"/>
    <w:rsid w:val="002E5906"/>
    <w:rsid w:val="002E61A4"/>
    <w:rsid w:val="002E72CF"/>
    <w:rsid w:val="002E7E18"/>
    <w:rsid w:val="002F2EB5"/>
    <w:rsid w:val="002F4CC4"/>
    <w:rsid w:val="002F6FBD"/>
    <w:rsid w:val="002F6FCF"/>
    <w:rsid w:val="002F737D"/>
    <w:rsid w:val="0030158D"/>
    <w:rsid w:val="00302716"/>
    <w:rsid w:val="003028F7"/>
    <w:rsid w:val="003149FA"/>
    <w:rsid w:val="00316118"/>
    <w:rsid w:val="003214D1"/>
    <w:rsid w:val="00322510"/>
    <w:rsid w:val="0032329F"/>
    <w:rsid w:val="00323C21"/>
    <w:rsid w:val="00324364"/>
    <w:rsid w:val="00324917"/>
    <w:rsid w:val="00332117"/>
    <w:rsid w:val="0033376E"/>
    <w:rsid w:val="00333E88"/>
    <w:rsid w:val="003356D7"/>
    <w:rsid w:val="00336442"/>
    <w:rsid w:val="003364D3"/>
    <w:rsid w:val="0034004F"/>
    <w:rsid w:val="00343369"/>
    <w:rsid w:val="00343A0F"/>
    <w:rsid w:val="00350087"/>
    <w:rsid w:val="00353DE3"/>
    <w:rsid w:val="00355725"/>
    <w:rsid w:val="0035693F"/>
    <w:rsid w:val="003575CC"/>
    <w:rsid w:val="00357B53"/>
    <w:rsid w:val="00360FAD"/>
    <w:rsid w:val="0036101C"/>
    <w:rsid w:val="0036147B"/>
    <w:rsid w:val="00364028"/>
    <w:rsid w:val="00366E4E"/>
    <w:rsid w:val="00366E5E"/>
    <w:rsid w:val="00372E6E"/>
    <w:rsid w:val="00376568"/>
    <w:rsid w:val="0037667C"/>
    <w:rsid w:val="003813E4"/>
    <w:rsid w:val="003866B8"/>
    <w:rsid w:val="003868BE"/>
    <w:rsid w:val="00390587"/>
    <w:rsid w:val="00390F52"/>
    <w:rsid w:val="00391413"/>
    <w:rsid w:val="0039263D"/>
    <w:rsid w:val="00392C38"/>
    <w:rsid w:val="00395440"/>
    <w:rsid w:val="00395447"/>
    <w:rsid w:val="00396053"/>
    <w:rsid w:val="003A077C"/>
    <w:rsid w:val="003A22D7"/>
    <w:rsid w:val="003B0363"/>
    <w:rsid w:val="003B0928"/>
    <w:rsid w:val="003B0A94"/>
    <w:rsid w:val="003B11EC"/>
    <w:rsid w:val="003B16DA"/>
    <w:rsid w:val="003B230F"/>
    <w:rsid w:val="003B2EB8"/>
    <w:rsid w:val="003B483E"/>
    <w:rsid w:val="003B77B6"/>
    <w:rsid w:val="003C28BC"/>
    <w:rsid w:val="003C3121"/>
    <w:rsid w:val="003C438B"/>
    <w:rsid w:val="003D14BA"/>
    <w:rsid w:val="003D4B3E"/>
    <w:rsid w:val="003D6773"/>
    <w:rsid w:val="003E2295"/>
    <w:rsid w:val="003E586A"/>
    <w:rsid w:val="003E67CB"/>
    <w:rsid w:val="003F2599"/>
    <w:rsid w:val="003F2972"/>
    <w:rsid w:val="003F4A6E"/>
    <w:rsid w:val="003F5B20"/>
    <w:rsid w:val="004004D7"/>
    <w:rsid w:val="00403C6C"/>
    <w:rsid w:val="00406BB7"/>
    <w:rsid w:val="004070C3"/>
    <w:rsid w:val="004146C3"/>
    <w:rsid w:val="00416A8F"/>
    <w:rsid w:val="00416BE7"/>
    <w:rsid w:val="00420EEF"/>
    <w:rsid w:val="00424885"/>
    <w:rsid w:val="0042608C"/>
    <w:rsid w:val="0043011B"/>
    <w:rsid w:val="00430892"/>
    <w:rsid w:val="00432394"/>
    <w:rsid w:val="00432F30"/>
    <w:rsid w:val="0043301B"/>
    <w:rsid w:val="00433CBD"/>
    <w:rsid w:val="00437AF8"/>
    <w:rsid w:val="0044253B"/>
    <w:rsid w:val="00444C77"/>
    <w:rsid w:val="0044566A"/>
    <w:rsid w:val="004462A5"/>
    <w:rsid w:val="00446BEA"/>
    <w:rsid w:val="00450AD2"/>
    <w:rsid w:val="00452372"/>
    <w:rsid w:val="00455824"/>
    <w:rsid w:val="00456222"/>
    <w:rsid w:val="00464D62"/>
    <w:rsid w:val="0046607C"/>
    <w:rsid w:val="00466E62"/>
    <w:rsid w:val="0047224C"/>
    <w:rsid w:val="00481A18"/>
    <w:rsid w:val="00482C33"/>
    <w:rsid w:val="0049204C"/>
    <w:rsid w:val="004A2720"/>
    <w:rsid w:val="004B031A"/>
    <w:rsid w:val="004B113D"/>
    <w:rsid w:val="004B190D"/>
    <w:rsid w:val="004B200C"/>
    <w:rsid w:val="004B5E86"/>
    <w:rsid w:val="004C1FEA"/>
    <w:rsid w:val="004C2281"/>
    <w:rsid w:val="004C3863"/>
    <w:rsid w:val="004C4C66"/>
    <w:rsid w:val="004C630C"/>
    <w:rsid w:val="004C7FE4"/>
    <w:rsid w:val="004D7805"/>
    <w:rsid w:val="004E02C6"/>
    <w:rsid w:val="004E10FC"/>
    <w:rsid w:val="004E1A1B"/>
    <w:rsid w:val="004E3F84"/>
    <w:rsid w:val="004E5AC1"/>
    <w:rsid w:val="004E6BBD"/>
    <w:rsid w:val="004E7227"/>
    <w:rsid w:val="004F063C"/>
    <w:rsid w:val="004F0B76"/>
    <w:rsid w:val="004F0E95"/>
    <w:rsid w:val="004F0FD5"/>
    <w:rsid w:val="004F14FF"/>
    <w:rsid w:val="004F2E7A"/>
    <w:rsid w:val="004F365F"/>
    <w:rsid w:val="004F3DE0"/>
    <w:rsid w:val="004F66CE"/>
    <w:rsid w:val="00506B05"/>
    <w:rsid w:val="0051030A"/>
    <w:rsid w:val="00510CBA"/>
    <w:rsid w:val="00512BA4"/>
    <w:rsid w:val="00513938"/>
    <w:rsid w:val="00513A07"/>
    <w:rsid w:val="00516663"/>
    <w:rsid w:val="00521A17"/>
    <w:rsid w:val="00522610"/>
    <w:rsid w:val="0052276C"/>
    <w:rsid w:val="00527152"/>
    <w:rsid w:val="005274D6"/>
    <w:rsid w:val="005378DA"/>
    <w:rsid w:val="00543BFF"/>
    <w:rsid w:val="005534FC"/>
    <w:rsid w:val="00556CDB"/>
    <w:rsid w:val="005607E4"/>
    <w:rsid w:val="005674AD"/>
    <w:rsid w:val="00570758"/>
    <w:rsid w:val="00574D86"/>
    <w:rsid w:val="00575865"/>
    <w:rsid w:val="00575D67"/>
    <w:rsid w:val="00581F49"/>
    <w:rsid w:val="00584472"/>
    <w:rsid w:val="00585E39"/>
    <w:rsid w:val="00590B22"/>
    <w:rsid w:val="00591D38"/>
    <w:rsid w:val="00591E2A"/>
    <w:rsid w:val="005935DF"/>
    <w:rsid w:val="0059448E"/>
    <w:rsid w:val="005955B2"/>
    <w:rsid w:val="005957FA"/>
    <w:rsid w:val="005962FE"/>
    <w:rsid w:val="005A16D7"/>
    <w:rsid w:val="005A2CB1"/>
    <w:rsid w:val="005A4D0B"/>
    <w:rsid w:val="005A6106"/>
    <w:rsid w:val="005B05A6"/>
    <w:rsid w:val="005B0748"/>
    <w:rsid w:val="005B1B25"/>
    <w:rsid w:val="005B2D15"/>
    <w:rsid w:val="005B5647"/>
    <w:rsid w:val="005C277E"/>
    <w:rsid w:val="005C2A62"/>
    <w:rsid w:val="005C41EA"/>
    <w:rsid w:val="005C50F8"/>
    <w:rsid w:val="005C55F8"/>
    <w:rsid w:val="005C563F"/>
    <w:rsid w:val="005C5BDA"/>
    <w:rsid w:val="005C6274"/>
    <w:rsid w:val="005C717B"/>
    <w:rsid w:val="005D491C"/>
    <w:rsid w:val="005D63CE"/>
    <w:rsid w:val="005E46E9"/>
    <w:rsid w:val="005E4764"/>
    <w:rsid w:val="005E6BF6"/>
    <w:rsid w:val="005E7C93"/>
    <w:rsid w:val="005F21B1"/>
    <w:rsid w:val="005F3A21"/>
    <w:rsid w:val="00601A41"/>
    <w:rsid w:val="00606061"/>
    <w:rsid w:val="00606763"/>
    <w:rsid w:val="006069BB"/>
    <w:rsid w:val="00610B4F"/>
    <w:rsid w:val="00615010"/>
    <w:rsid w:val="006203DE"/>
    <w:rsid w:val="00621FAA"/>
    <w:rsid w:val="006248DE"/>
    <w:rsid w:val="00624F96"/>
    <w:rsid w:val="00626B30"/>
    <w:rsid w:val="006271C6"/>
    <w:rsid w:val="00631AB9"/>
    <w:rsid w:val="00633594"/>
    <w:rsid w:val="00637798"/>
    <w:rsid w:val="0064216A"/>
    <w:rsid w:val="006447AB"/>
    <w:rsid w:val="00644BD0"/>
    <w:rsid w:val="006475E3"/>
    <w:rsid w:val="00652682"/>
    <w:rsid w:val="00652973"/>
    <w:rsid w:val="006564B7"/>
    <w:rsid w:val="0065668B"/>
    <w:rsid w:val="00662513"/>
    <w:rsid w:val="0066407E"/>
    <w:rsid w:val="00664812"/>
    <w:rsid w:val="0067393E"/>
    <w:rsid w:val="00675882"/>
    <w:rsid w:val="0067712D"/>
    <w:rsid w:val="0068040E"/>
    <w:rsid w:val="006804EE"/>
    <w:rsid w:val="00681DAA"/>
    <w:rsid w:val="00692642"/>
    <w:rsid w:val="00696A48"/>
    <w:rsid w:val="006A0A1E"/>
    <w:rsid w:val="006A1C8A"/>
    <w:rsid w:val="006A32F2"/>
    <w:rsid w:val="006A679B"/>
    <w:rsid w:val="006A68AE"/>
    <w:rsid w:val="006A6EEA"/>
    <w:rsid w:val="006B0B05"/>
    <w:rsid w:val="006B0B10"/>
    <w:rsid w:val="006B2359"/>
    <w:rsid w:val="006B282D"/>
    <w:rsid w:val="006B53BE"/>
    <w:rsid w:val="006B5DC6"/>
    <w:rsid w:val="006B67B3"/>
    <w:rsid w:val="006C2615"/>
    <w:rsid w:val="006C271D"/>
    <w:rsid w:val="006C3104"/>
    <w:rsid w:val="006C5DA9"/>
    <w:rsid w:val="006D0B83"/>
    <w:rsid w:val="006D2EFC"/>
    <w:rsid w:val="006D421E"/>
    <w:rsid w:val="006D546E"/>
    <w:rsid w:val="006D784B"/>
    <w:rsid w:val="006E0926"/>
    <w:rsid w:val="006E1A92"/>
    <w:rsid w:val="006E2437"/>
    <w:rsid w:val="006F214B"/>
    <w:rsid w:val="006F36BC"/>
    <w:rsid w:val="006F7837"/>
    <w:rsid w:val="00701E77"/>
    <w:rsid w:val="00702446"/>
    <w:rsid w:val="00702631"/>
    <w:rsid w:val="00702C20"/>
    <w:rsid w:val="00702CBA"/>
    <w:rsid w:val="007037A4"/>
    <w:rsid w:val="007049FD"/>
    <w:rsid w:val="00704BDB"/>
    <w:rsid w:val="00704F86"/>
    <w:rsid w:val="007111DF"/>
    <w:rsid w:val="0071247D"/>
    <w:rsid w:val="00715E7B"/>
    <w:rsid w:val="00723354"/>
    <w:rsid w:val="007247C7"/>
    <w:rsid w:val="007312B7"/>
    <w:rsid w:val="00731EC8"/>
    <w:rsid w:val="0073348C"/>
    <w:rsid w:val="007347ED"/>
    <w:rsid w:val="007360F0"/>
    <w:rsid w:val="007405DE"/>
    <w:rsid w:val="007412E2"/>
    <w:rsid w:val="007476D9"/>
    <w:rsid w:val="00753998"/>
    <w:rsid w:val="007566C3"/>
    <w:rsid w:val="00760BFC"/>
    <w:rsid w:val="00761AAF"/>
    <w:rsid w:val="00766B7F"/>
    <w:rsid w:val="00770F62"/>
    <w:rsid w:val="007716CB"/>
    <w:rsid w:val="00772E03"/>
    <w:rsid w:val="00772FC9"/>
    <w:rsid w:val="0077355F"/>
    <w:rsid w:val="0077379D"/>
    <w:rsid w:val="007740C3"/>
    <w:rsid w:val="00774214"/>
    <w:rsid w:val="00774F63"/>
    <w:rsid w:val="00775BBD"/>
    <w:rsid w:val="007777A7"/>
    <w:rsid w:val="007779E7"/>
    <w:rsid w:val="0078371C"/>
    <w:rsid w:val="00783F44"/>
    <w:rsid w:val="00784A0D"/>
    <w:rsid w:val="00784ADF"/>
    <w:rsid w:val="00792255"/>
    <w:rsid w:val="00794C93"/>
    <w:rsid w:val="00794CB6"/>
    <w:rsid w:val="007951CC"/>
    <w:rsid w:val="00797CA0"/>
    <w:rsid w:val="007A6FDA"/>
    <w:rsid w:val="007A7999"/>
    <w:rsid w:val="007B29FA"/>
    <w:rsid w:val="007B5CC6"/>
    <w:rsid w:val="007B6100"/>
    <w:rsid w:val="007B65C2"/>
    <w:rsid w:val="007C0212"/>
    <w:rsid w:val="007C2B88"/>
    <w:rsid w:val="007C50A7"/>
    <w:rsid w:val="007C667B"/>
    <w:rsid w:val="007D4C4A"/>
    <w:rsid w:val="007D67EE"/>
    <w:rsid w:val="007E789F"/>
    <w:rsid w:val="007F03A4"/>
    <w:rsid w:val="007F0DE3"/>
    <w:rsid w:val="007F199C"/>
    <w:rsid w:val="007F7649"/>
    <w:rsid w:val="00806C1C"/>
    <w:rsid w:val="00807127"/>
    <w:rsid w:val="00807698"/>
    <w:rsid w:val="0080776E"/>
    <w:rsid w:val="00807913"/>
    <w:rsid w:val="00807C63"/>
    <w:rsid w:val="00814689"/>
    <w:rsid w:val="00824E3D"/>
    <w:rsid w:val="00825EFA"/>
    <w:rsid w:val="00826400"/>
    <w:rsid w:val="00826757"/>
    <w:rsid w:val="008302F2"/>
    <w:rsid w:val="00830F8D"/>
    <w:rsid w:val="0084070D"/>
    <w:rsid w:val="0084119E"/>
    <w:rsid w:val="00842135"/>
    <w:rsid w:val="00843604"/>
    <w:rsid w:val="00843A3D"/>
    <w:rsid w:val="0084410D"/>
    <w:rsid w:val="008442AF"/>
    <w:rsid w:val="0085056F"/>
    <w:rsid w:val="0085247B"/>
    <w:rsid w:val="00854EAC"/>
    <w:rsid w:val="00856034"/>
    <w:rsid w:val="00856066"/>
    <w:rsid w:val="0086073D"/>
    <w:rsid w:val="00861A9F"/>
    <w:rsid w:val="00862088"/>
    <w:rsid w:val="00863ED4"/>
    <w:rsid w:val="0086472A"/>
    <w:rsid w:val="00870BA3"/>
    <w:rsid w:val="0088190D"/>
    <w:rsid w:val="00881B3D"/>
    <w:rsid w:val="0088361A"/>
    <w:rsid w:val="008906D7"/>
    <w:rsid w:val="0089229B"/>
    <w:rsid w:val="00895DE3"/>
    <w:rsid w:val="00896F69"/>
    <w:rsid w:val="008A16C1"/>
    <w:rsid w:val="008A1CFA"/>
    <w:rsid w:val="008A35D2"/>
    <w:rsid w:val="008A41C1"/>
    <w:rsid w:val="008B09FD"/>
    <w:rsid w:val="008B3151"/>
    <w:rsid w:val="008B7004"/>
    <w:rsid w:val="008C0A74"/>
    <w:rsid w:val="008C340E"/>
    <w:rsid w:val="008C35DE"/>
    <w:rsid w:val="008C37B2"/>
    <w:rsid w:val="008C3889"/>
    <w:rsid w:val="008D4587"/>
    <w:rsid w:val="008D6151"/>
    <w:rsid w:val="008D7A88"/>
    <w:rsid w:val="008E05AE"/>
    <w:rsid w:val="008E2301"/>
    <w:rsid w:val="008E2B7F"/>
    <w:rsid w:val="008E34D0"/>
    <w:rsid w:val="008E4288"/>
    <w:rsid w:val="008E7AA0"/>
    <w:rsid w:val="008F2066"/>
    <w:rsid w:val="008F20BA"/>
    <w:rsid w:val="008F398C"/>
    <w:rsid w:val="008F5023"/>
    <w:rsid w:val="008F670C"/>
    <w:rsid w:val="008F6B7E"/>
    <w:rsid w:val="00901D16"/>
    <w:rsid w:val="0090254E"/>
    <w:rsid w:val="009025DE"/>
    <w:rsid w:val="00905057"/>
    <w:rsid w:val="009058B5"/>
    <w:rsid w:val="00906E15"/>
    <w:rsid w:val="00906F99"/>
    <w:rsid w:val="00911015"/>
    <w:rsid w:val="009110A5"/>
    <w:rsid w:val="00914715"/>
    <w:rsid w:val="00914901"/>
    <w:rsid w:val="00915DC8"/>
    <w:rsid w:val="00917EBA"/>
    <w:rsid w:val="00920484"/>
    <w:rsid w:val="00921BBE"/>
    <w:rsid w:val="00923241"/>
    <w:rsid w:val="00925D6D"/>
    <w:rsid w:val="009272DF"/>
    <w:rsid w:val="00930F6E"/>
    <w:rsid w:val="00933317"/>
    <w:rsid w:val="009346F4"/>
    <w:rsid w:val="00940924"/>
    <w:rsid w:val="00952F16"/>
    <w:rsid w:val="009538E6"/>
    <w:rsid w:val="00957BAC"/>
    <w:rsid w:val="00960673"/>
    <w:rsid w:val="009666E4"/>
    <w:rsid w:val="00966E1E"/>
    <w:rsid w:val="00966E30"/>
    <w:rsid w:val="0096744F"/>
    <w:rsid w:val="00970141"/>
    <w:rsid w:val="009704E4"/>
    <w:rsid w:val="00970694"/>
    <w:rsid w:val="00975D4E"/>
    <w:rsid w:val="00977032"/>
    <w:rsid w:val="009775C7"/>
    <w:rsid w:val="00983469"/>
    <w:rsid w:val="00985D65"/>
    <w:rsid w:val="00985E9A"/>
    <w:rsid w:val="00986A8D"/>
    <w:rsid w:val="00987349"/>
    <w:rsid w:val="0099311F"/>
    <w:rsid w:val="009A0289"/>
    <w:rsid w:val="009A5E17"/>
    <w:rsid w:val="009A7705"/>
    <w:rsid w:val="009C22BE"/>
    <w:rsid w:val="009C342F"/>
    <w:rsid w:val="009C388D"/>
    <w:rsid w:val="009C4AF5"/>
    <w:rsid w:val="009D28A7"/>
    <w:rsid w:val="009D2D27"/>
    <w:rsid w:val="009D7E89"/>
    <w:rsid w:val="009E231A"/>
    <w:rsid w:val="009E2F64"/>
    <w:rsid w:val="009F0924"/>
    <w:rsid w:val="009F14A3"/>
    <w:rsid w:val="009F25B3"/>
    <w:rsid w:val="009F3844"/>
    <w:rsid w:val="009F4F49"/>
    <w:rsid w:val="009F531E"/>
    <w:rsid w:val="009F5B09"/>
    <w:rsid w:val="009F5CCA"/>
    <w:rsid w:val="00A00BE5"/>
    <w:rsid w:val="00A0109A"/>
    <w:rsid w:val="00A0462C"/>
    <w:rsid w:val="00A06F2C"/>
    <w:rsid w:val="00A071F8"/>
    <w:rsid w:val="00A10A13"/>
    <w:rsid w:val="00A10E2B"/>
    <w:rsid w:val="00A1181F"/>
    <w:rsid w:val="00A118BD"/>
    <w:rsid w:val="00A1282F"/>
    <w:rsid w:val="00A13173"/>
    <w:rsid w:val="00A14B41"/>
    <w:rsid w:val="00A14D4F"/>
    <w:rsid w:val="00A16557"/>
    <w:rsid w:val="00A17B12"/>
    <w:rsid w:val="00A2676C"/>
    <w:rsid w:val="00A30084"/>
    <w:rsid w:val="00A30502"/>
    <w:rsid w:val="00A308F2"/>
    <w:rsid w:val="00A34303"/>
    <w:rsid w:val="00A35232"/>
    <w:rsid w:val="00A41653"/>
    <w:rsid w:val="00A41B4A"/>
    <w:rsid w:val="00A46BE7"/>
    <w:rsid w:val="00A46C40"/>
    <w:rsid w:val="00A50895"/>
    <w:rsid w:val="00A50E27"/>
    <w:rsid w:val="00A51FAB"/>
    <w:rsid w:val="00A523FD"/>
    <w:rsid w:val="00A52924"/>
    <w:rsid w:val="00A54B1F"/>
    <w:rsid w:val="00A558D3"/>
    <w:rsid w:val="00A6080A"/>
    <w:rsid w:val="00A6134D"/>
    <w:rsid w:val="00A613DB"/>
    <w:rsid w:val="00A6159F"/>
    <w:rsid w:val="00A61F13"/>
    <w:rsid w:val="00A64367"/>
    <w:rsid w:val="00A6673C"/>
    <w:rsid w:val="00A721F7"/>
    <w:rsid w:val="00A73318"/>
    <w:rsid w:val="00A74CDF"/>
    <w:rsid w:val="00A83136"/>
    <w:rsid w:val="00A91EFB"/>
    <w:rsid w:val="00A93A9F"/>
    <w:rsid w:val="00A97089"/>
    <w:rsid w:val="00AA05B6"/>
    <w:rsid w:val="00AA0B11"/>
    <w:rsid w:val="00AA44D4"/>
    <w:rsid w:val="00AA5949"/>
    <w:rsid w:val="00AA59C9"/>
    <w:rsid w:val="00AB1BC4"/>
    <w:rsid w:val="00AB55DF"/>
    <w:rsid w:val="00AB7F64"/>
    <w:rsid w:val="00AC142C"/>
    <w:rsid w:val="00AC2ACC"/>
    <w:rsid w:val="00AC38DC"/>
    <w:rsid w:val="00AC4AC7"/>
    <w:rsid w:val="00AC5497"/>
    <w:rsid w:val="00AC6E16"/>
    <w:rsid w:val="00AC79A9"/>
    <w:rsid w:val="00AD1238"/>
    <w:rsid w:val="00AD17F8"/>
    <w:rsid w:val="00AD4D89"/>
    <w:rsid w:val="00AD50D1"/>
    <w:rsid w:val="00AD5FE7"/>
    <w:rsid w:val="00AE7FF9"/>
    <w:rsid w:val="00AF1005"/>
    <w:rsid w:val="00AF100C"/>
    <w:rsid w:val="00AF12FE"/>
    <w:rsid w:val="00AF1824"/>
    <w:rsid w:val="00AF57C6"/>
    <w:rsid w:val="00AF5CBC"/>
    <w:rsid w:val="00AF6116"/>
    <w:rsid w:val="00B0369F"/>
    <w:rsid w:val="00B119E3"/>
    <w:rsid w:val="00B16314"/>
    <w:rsid w:val="00B217A3"/>
    <w:rsid w:val="00B27020"/>
    <w:rsid w:val="00B27DDD"/>
    <w:rsid w:val="00B31F60"/>
    <w:rsid w:val="00B32CD1"/>
    <w:rsid w:val="00B33C76"/>
    <w:rsid w:val="00B346B2"/>
    <w:rsid w:val="00B41272"/>
    <w:rsid w:val="00B44CDA"/>
    <w:rsid w:val="00B451FE"/>
    <w:rsid w:val="00B45CCA"/>
    <w:rsid w:val="00B46998"/>
    <w:rsid w:val="00B53606"/>
    <w:rsid w:val="00B60A55"/>
    <w:rsid w:val="00B60C78"/>
    <w:rsid w:val="00B71237"/>
    <w:rsid w:val="00B71261"/>
    <w:rsid w:val="00B71EA4"/>
    <w:rsid w:val="00B72653"/>
    <w:rsid w:val="00B72A63"/>
    <w:rsid w:val="00B72DC9"/>
    <w:rsid w:val="00B74B4F"/>
    <w:rsid w:val="00B80ECA"/>
    <w:rsid w:val="00B85CAC"/>
    <w:rsid w:val="00B86197"/>
    <w:rsid w:val="00B86D06"/>
    <w:rsid w:val="00B90179"/>
    <w:rsid w:val="00B90395"/>
    <w:rsid w:val="00B94469"/>
    <w:rsid w:val="00B97E66"/>
    <w:rsid w:val="00BA1555"/>
    <w:rsid w:val="00BA6F9E"/>
    <w:rsid w:val="00BB3865"/>
    <w:rsid w:val="00BB47E8"/>
    <w:rsid w:val="00BB5088"/>
    <w:rsid w:val="00BB6B2D"/>
    <w:rsid w:val="00BB738F"/>
    <w:rsid w:val="00BC05A9"/>
    <w:rsid w:val="00BC0C15"/>
    <w:rsid w:val="00BC191B"/>
    <w:rsid w:val="00BC2FE0"/>
    <w:rsid w:val="00BC601A"/>
    <w:rsid w:val="00BD085B"/>
    <w:rsid w:val="00BD1592"/>
    <w:rsid w:val="00BD3033"/>
    <w:rsid w:val="00BD3EFA"/>
    <w:rsid w:val="00BD439D"/>
    <w:rsid w:val="00BD4C1C"/>
    <w:rsid w:val="00BD7320"/>
    <w:rsid w:val="00BE3528"/>
    <w:rsid w:val="00BE4910"/>
    <w:rsid w:val="00BE5A71"/>
    <w:rsid w:val="00BE5DCB"/>
    <w:rsid w:val="00BF0442"/>
    <w:rsid w:val="00BF12B1"/>
    <w:rsid w:val="00BF690E"/>
    <w:rsid w:val="00BF7FA7"/>
    <w:rsid w:val="00C038F7"/>
    <w:rsid w:val="00C053D5"/>
    <w:rsid w:val="00C05FF3"/>
    <w:rsid w:val="00C11A86"/>
    <w:rsid w:val="00C16AE6"/>
    <w:rsid w:val="00C20869"/>
    <w:rsid w:val="00C222F3"/>
    <w:rsid w:val="00C25231"/>
    <w:rsid w:val="00C25B0A"/>
    <w:rsid w:val="00C26229"/>
    <w:rsid w:val="00C26E8A"/>
    <w:rsid w:val="00C30F07"/>
    <w:rsid w:val="00C33EC7"/>
    <w:rsid w:val="00C34DAB"/>
    <w:rsid w:val="00C40215"/>
    <w:rsid w:val="00C4739C"/>
    <w:rsid w:val="00C47B51"/>
    <w:rsid w:val="00C5220C"/>
    <w:rsid w:val="00C533F1"/>
    <w:rsid w:val="00C54125"/>
    <w:rsid w:val="00C55C91"/>
    <w:rsid w:val="00C56620"/>
    <w:rsid w:val="00C6219C"/>
    <w:rsid w:val="00C63294"/>
    <w:rsid w:val="00C666EC"/>
    <w:rsid w:val="00C668CB"/>
    <w:rsid w:val="00C77DC6"/>
    <w:rsid w:val="00C82284"/>
    <w:rsid w:val="00C83D73"/>
    <w:rsid w:val="00C870A3"/>
    <w:rsid w:val="00C9066E"/>
    <w:rsid w:val="00C90A29"/>
    <w:rsid w:val="00C926F0"/>
    <w:rsid w:val="00C92703"/>
    <w:rsid w:val="00C9380D"/>
    <w:rsid w:val="00C96785"/>
    <w:rsid w:val="00C9777B"/>
    <w:rsid w:val="00CA3D7C"/>
    <w:rsid w:val="00CA655D"/>
    <w:rsid w:val="00CA6A33"/>
    <w:rsid w:val="00CB0756"/>
    <w:rsid w:val="00CB0F73"/>
    <w:rsid w:val="00CB1B79"/>
    <w:rsid w:val="00CB1E14"/>
    <w:rsid w:val="00CB33C9"/>
    <w:rsid w:val="00CB3780"/>
    <w:rsid w:val="00CB4DF8"/>
    <w:rsid w:val="00CC0612"/>
    <w:rsid w:val="00CC15B6"/>
    <w:rsid w:val="00CC377B"/>
    <w:rsid w:val="00CC4FE8"/>
    <w:rsid w:val="00CC5022"/>
    <w:rsid w:val="00CD3049"/>
    <w:rsid w:val="00CD4255"/>
    <w:rsid w:val="00CD4EEA"/>
    <w:rsid w:val="00CD5F32"/>
    <w:rsid w:val="00CE18A4"/>
    <w:rsid w:val="00CE248F"/>
    <w:rsid w:val="00CE4291"/>
    <w:rsid w:val="00CE4309"/>
    <w:rsid w:val="00CF19E4"/>
    <w:rsid w:val="00CF35E4"/>
    <w:rsid w:val="00CF4409"/>
    <w:rsid w:val="00D00471"/>
    <w:rsid w:val="00D01249"/>
    <w:rsid w:val="00D01F74"/>
    <w:rsid w:val="00D026AC"/>
    <w:rsid w:val="00D035F2"/>
    <w:rsid w:val="00D056F3"/>
    <w:rsid w:val="00D063EE"/>
    <w:rsid w:val="00D0736D"/>
    <w:rsid w:val="00D07EC6"/>
    <w:rsid w:val="00D107AE"/>
    <w:rsid w:val="00D11000"/>
    <w:rsid w:val="00D132BE"/>
    <w:rsid w:val="00D145E3"/>
    <w:rsid w:val="00D1469D"/>
    <w:rsid w:val="00D167F2"/>
    <w:rsid w:val="00D171B5"/>
    <w:rsid w:val="00D20C0B"/>
    <w:rsid w:val="00D300CF"/>
    <w:rsid w:val="00D3274A"/>
    <w:rsid w:val="00D35F1D"/>
    <w:rsid w:val="00D366BC"/>
    <w:rsid w:val="00D368B1"/>
    <w:rsid w:val="00D3765B"/>
    <w:rsid w:val="00D37F97"/>
    <w:rsid w:val="00D419B4"/>
    <w:rsid w:val="00D42F79"/>
    <w:rsid w:val="00D44748"/>
    <w:rsid w:val="00D44F06"/>
    <w:rsid w:val="00D45534"/>
    <w:rsid w:val="00D503F4"/>
    <w:rsid w:val="00D530B9"/>
    <w:rsid w:val="00D54880"/>
    <w:rsid w:val="00D5690B"/>
    <w:rsid w:val="00D60127"/>
    <w:rsid w:val="00D61EF5"/>
    <w:rsid w:val="00D64F80"/>
    <w:rsid w:val="00D66D9A"/>
    <w:rsid w:val="00D67BD6"/>
    <w:rsid w:val="00D67D5F"/>
    <w:rsid w:val="00D70171"/>
    <w:rsid w:val="00D72F3F"/>
    <w:rsid w:val="00D739C2"/>
    <w:rsid w:val="00D74248"/>
    <w:rsid w:val="00D74341"/>
    <w:rsid w:val="00D8190A"/>
    <w:rsid w:val="00D845CA"/>
    <w:rsid w:val="00D8485D"/>
    <w:rsid w:val="00D8578B"/>
    <w:rsid w:val="00D8716A"/>
    <w:rsid w:val="00D908F2"/>
    <w:rsid w:val="00D92377"/>
    <w:rsid w:val="00D9549F"/>
    <w:rsid w:val="00D96E35"/>
    <w:rsid w:val="00DA17D1"/>
    <w:rsid w:val="00DA3278"/>
    <w:rsid w:val="00DA56E7"/>
    <w:rsid w:val="00DA5842"/>
    <w:rsid w:val="00DA7192"/>
    <w:rsid w:val="00DA7709"/>
    <w:rsid w:val="00DB0D48"/>
    <w:rsid w:val="00DB1D27"/>
    <w:rsid w:val="00DB5071"/>
    <w:rsid w:val="00DB599C"/>
    <w:rsid w:val="00DB6660"/>
    <w:rsid w:val="00DB6B66"/>
    <w:rsid w:val="00DB6C07"/>
    <w:rsid w:val="00DB7CA4"/>
    <w:rsid w:val="00DC05C2"/>
    <w:rsid w:val="00DC5F27"/>
    <w:rsid w:val="00DC5F5C"/>
    <w:rsid w:val="00DD120F"/>
    <w:rsid w:val="00DD1414"/>
    <w:rsid w:val="00DD69EE"/>
    <w:rsid w:val="00DD79A7"/>
    <w:rsid w:val="00DE2EAE"/>
    <w:rsid w:val="00DE7A6E"/>
    <w:rsid w:val="00DF225A"/>
    <w:rsid w:val="00DF2B88"/>
    <w:rsid w:val="00E005F3"/>
    <w:rsid w:val="00E02A75"/>
    <w:rsid w:val="00E06B95"/>
    <w:rsid w:val="00E123CB"/>
    <w:rsid w:val="00E16B3E"/>
    <w:rsid w:val="00E20675"/>
    <w:rsid w:val="00E2334E"/>
    <w:rsid w:val="00E24A3B"/>
    <w:rsid w:val="00E277C8"/>
    <w:rsid w:val="00E323BB"/>
    <w:rsid w:val="00E32B4E"/>
    <w:rsid w:val="00E333AC"/>
    <w:rsid w:val="00E36367"/>
    <w:rsid w:val="00E36563"/>
    <w:rsid w:val="00E365F8"/>
    <w:rsid w:val="00E37D9A"/>
    <w:rsid w:val="00E40501"/>
    <w:rsid w:val="00E41DB5"/>
    <w:rsid w:val="00E42028"/>
    <w:rsid w:val="00E44A23"/>
    <w:rsid w:val="00E45672"/>
    <w:rsid w:val="00E46011"/>
    <w:rsid w:val="00E4621D"/>
    <w:rsid w:val="00E50651"/>
    <w:rsid w:val="00E52313"/>
    <w:rsid w:val="00E544E1"/>
    <w:rsid w:val="00E55837"/>
    <w:rsid w:val="00E56BFF"/>
    <w:rsid w:val="00E56EC1"/>
    <w:rsid w:val="00E57675"/>
    <w:rsid w:val="00E576FD"/>
    <w:rsid w:val="00E60161"/>
    <w:rsid w:val="00E6294E"/>
    <w:rsid w:val="00E70019"/>
    <w:rsid w:val="00E72C98"/>
    <w:rsid w:val="00E7412B"/>
    <w:rsid w:val="00E7423E"/>
    <w:rsid w:val="00E76B96"/>
    <w:rsid w:val="00E770EB"/>
    <w:rsid w:val="00E811C3"/>
    <w:rsid w:val="00E81A91"/>
    <w:rsid w:val="00E846C5"/>
    <w:rsid w:val="00E85982"/>
    <w:rsid w:val="00E86F02"/>
    <w:rsid w:val="00E906C7"/>
    <w:rsid w:val="00E91EC7"/>
    <w:rsid w:val="00E9290B"/>
    <w:rsid w:val="00E94A88"/>
    <w:rsid w:val="00E95948"/>
    <w:rsid w:val="00E96514"/>
    <w:rsid w:val="00EA2ED8"/>
    <w:rsid w:val="00EA69D9"/>
    <w:rsid w:val="00EA6C42"/>
    <w:rsid w:val="00EA79E0"/>
    <w:rsid w:val="00EB0AD7"/>
    <w:rsid w:val="00EB2C25"/>
    <w:rsid w:val="00EB3190"/>
    <w:rsid w:val="00EC2084"/>
    <w:rsid w:val="00EC4FB3"/>
    <w:rsid w:val="00EC7257"/>
    <w:rsid w:val="00ED01AC"/>
    <w:rsid w:val="00ED0C08"/>
    <w:rsid w:val="00ED6320"/>
    <w:rsid w:val="00EE07B8"/>
    <w:rsid w:val="00EE0A14"/>
    <w:rsid w:val="00EE2D2D"/>
    <w:rsid w:val="00EE3B69"/>
    <w:rsid w:val="00EE42D9"/>
    <w:rsid w:val="00EE60F7"/>
    <w:rsid w:val="00EE6D72"/>
    <w:rsid w:val="00EE6DB2"/>
    <w:rsid w:val="00EF4082"/>
    <w:rsid w:val="00EF4DAF"/>
    <w:rsid w:val="00EF57E7"/>
    <w:rsid w:val="00F010FB"/>
    <w:rsid w:val="00F01173"/>
    <w:rsid w:val="00F03C3C"/>
    <w:rsid w:val="00F0565E"/>
    <w:rsid w:val="00F05F22"/>
    <w:rsid w:val="00F1086F"/>
    <w:rsid w:val="00F12DFE"/>
    <w:rsid w:val="00F15660"/>
    <w:rsid w:val="00F1581E"/>
    <w:rsid w:val="00F21F91"/>
    <w:rsid w:val="00F22156"/>
    <w:rsid w:val="00F2317D"/>
    <w:rsid w:val="00F259A4"/>
    <w:rsid w:val="00F32810"/>
    <w:rsid w:val="00F32CF7"/>
    <w:rsid w:val="00F33784"/>
    <w:rsid w:val="00F36807"/>
    <w:rsid w:val="00F430AF"/>
    <w:rsid w:val="00F5435B"/>
    <w:rsid w:val="00F57C0C"/>
    <w:rsid w:val="00F61006"/>
    <w:rsid w:val="00F61FEF"/>
    <w:rsid w:val="00F62331"/>
    <w:rsid w:val="00F6742E"/>
    <w:rsid w:val="00F73463"/>
    <w:rsid w:val="00F7424D"/>
    <w:rsid w:val="00F755EB"/>
    <w:rsid w:val="00F77066"/>
    <w:rsid w:val="00F77100"/>
    <w:rsid w:val="00F80D2D"/>
    <w:rsid w:val="00F85236"/>
    <w:rsid w:val="00F87ABF"/>
    <w:rsid w:val="00F92B15"/>
    <w:rsid w:val="00F94531"/>
    <w:rsid w:val="00F94A89"/>
    <w:rsid w:val="00FA2B91"/>
    <w:rsid w:val="00FA34C9"/>
    <w:rsid w:val="00FA37FC"/>
    <w:rsid w:val="00FA7197"/>
    <w:rsid w:val="00FA79F7"/>
    <w:rsid w:val="00FB01A7"/>
    <w:rsid w:val="00FB0221"/>
    <w:rsid w:val="00FB10F9"/>
    <w:rsid w:val="00FB1C96"/>
    <w:rsid w:val="00FB2F2A"/>
    <w:rsid w:val="00FB390A"/>
    <w:rsid w:val="00FB43B1"/>
    <w:rsid w:val="00FB5304"/>
    <w:rsid w:val="00FB5BA4"/>
    <w:rsid w:val="00FB68B6"/>
    <w:rsid w:val="00FC5A45"/>
    <w:rsid w:val="00FD2F64"/>
    <w:rsid w:val="00FD542B"/>
    <w:rsid w:val="00FD6F60"/>
    <w:rsid w:val="00FD7DCE"/>
    <w:rsid w:val="00FE2163"/>
    <w:rsid w:val="00FE3F74"/>
    <w:rsid w:val="00FE4A2D"/>
    <w:rsid w:val="00FE726E"/>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5">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150874"/>
    <w:pPr>
      <w:spacing w:before="40" w:after="40"/>
    </w:pPr>
    <w:rPr>
      <w:rFonts w:ascii="Tahoma" w:hAnsi="Tahoma"/>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3813E4"/>
    <w:pPr>
      <w:spacing w:before="360" w:after="80" w:line="240" w:lineRule="auto"/>
      <w:ind w:left="851" w:hanging="851"/>
    </w:pPr>
    <w:rPr>
      <w:rFonts w:ascii="Tahoma" w:hAnsi="Tahoma"/>
      <w:b/>
      <w:sz w:val="17"/>
    </w:rPr>
  </w:style>
  <w:style w:type="paragraph" w:customStyle="1" w:styleId="Dotpoint1">
    <w:name w:val="Dotpoint1"/>
    <w:rsid w:val="005C277E"/>
    <w:pPr>
      <w:numPr>
        <w:numId w:val="2"/>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customStyle="1" w:styleId="apple-tab-span">
    <w:name w:val="apple-tab-span"/>
    <w:basedOn w:val="DefaultParagraphFont"/>
    <w:rsid w:val="00237366"/>
  </w:style>
  <w:style w:type="character" w:styleId="EndnoteReference">
    <w:name w:val="endnote reference"/>
    <w:basedOn w:val="DefaultParagraphFont"/>
    <w:uiPriority w:val="99"/>
    <w:semiHidden/>
    <w:rsid w:val="00E60161"/>
    <w:rPr>
      <w:vertAlign w:val="superscript"/>
    </w:rPr>
  </w:style>
  <w:style w:type="character" w:styleId="FootnoteReference">
    <w:name w:val="footnote reference"/>
    <w:basedOn w:val="DefaultParagraphFont"/>
    <w:uiPriority w:val="99"/>
    <w:semiHidden/>
    <w:rsid w:val="00E60161"/>
    <w:rPr>
      <w:vertAlign w:val="superscript"/>
    </w:rPr>
  </w:style>
  <w:style w:type="paragraph" w:customStyle="1" w:styleId="tabletitle0">
    <w:name w:val="tabletitle"/>
    <w:next w:val="Text"/>
    <w:rsid w:val="00825EFA"/>
    <w:pPr>
      <w:spacing w:before="360" w:after="80"/>
      <w:ind w:left="851" w:hanging="851"/>
    </w:pPr>
    <w:rPr>
      <w:rFonts w:ascii="Tahoma" w:hAnsi="Tahoma"/>
      <w:b/>
      <w:sz w:val="17"/>
      <w:lang w:val="en-AU"/>
    </w:rPr>
  </w:style>
  <w:style w:type="paragraph" w:styleId="BodyText">
    <w:name w:val="Body Text"/>
    <w:basedOn w:val="Normal"/>
    <w:link w:val="BodyTextChar"/>
    <w:semiHidden/>
    <w:rsid w:val="00061F13"/>
    <w:pPr>
      <w:spacing w:after="120"/>
    </w:pPr>
  </w:style>
  <w:style w:type="character" w:customStyle="1" w:styleId="BodyTextChar">
    <w:name w:val="Body Text Char"/>
    <w:basedOn w:val="DefaultParagraphFont"/>
    <w:link w:val="BodyText"/>
    <w:semiHidden/>
    <w:rsid w:val="00061F13"/>
    <w:rPr>
      <w:rFonts w:ascii="Trebuchet MS" w:hAnsi="Trebuchet MS"/>
      <w:sz w:val="19"/>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150874"/>
    <w:pPr>
      <w:spacing w:before="40" w:after="40"/>
    </w:pPr>
    <w:rPr>
      <w:rFonts w:ascii="Tahoma" w:hAnsi="Tahoma"/>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3813E4"/>
    <w:pPr>
      <w:spacing w:before="360" w:after="80" w:line="240" w:lineRule="auto"/>
      <w:ind w:left="851" w:hanging="851"/>
    </w:pPr>
    <w:rPr>
      <w:rFonts w:ascii="Tahoma" w:hAnsi="Tahoma"/>
      <w:b/>
      <w:sz w:val="17"/>
    </w:rPr>
  </w:style>
  <w:style w:type="paragraph" w:customStyle="1" w:styleId="Dotpoint1">
    <w:name w:val="Dotpoint1"/>
    <w:rsid w:val="005C277E"/>
    <w:pPr>
      <w:numPr>
        <w:numId w:val="2"/>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customStyle="1" w:styleId="apple-tab-span">
    <w:name w:val="apple-tab-span"/>
    <w:basedOn w:val="DefaultParagraphFont"/>
    <w:rsid w:val="00237366"/>
  </w:style>
  <w:style w:type="character" w:styleId="EndnoteReference">
    <w:name w:val="endnote reference"/>
    <w:basedOn w:val="DefaultParagraphFont"/>
    <w:uiPriority w:val="99"/>
    <w:semiHidden/>
    <w:rsid w:val="00E60161"/>
    <w:rPr>
      <w:vertAlign w:val="superscript"/>
    </w:rPr>
  </w:style>
  <w:style w:type="character" w:styleId="FootnoteReference">
    <w:name w:val="footnote reference"/>
    <w:basedOn w:val="DefaultParagraphFont"/>
    <w:uiPriority w:val="99"/>
    <w:semiHidden/>
    <w:rsid w:val="00E60161"/>
    <w:rPr>
      <w:vertAlign w:val="superscript"/>
    </w:rPr>
  </w:style>
  <w:style w:type="paragraph" w:customStyle="1" w:styleId="tabletitle0">
    <w:name w:val="tabletitle"/>
    <w:next w:val="Text"/>
    <w:rsid w:val="00825EFA"/>
    <w:pPr>
      <w:spacing w:before="360" w:after="80"/>
      <w:ind w:left="851" w:hanging="851"/>
    </w:pPr>
    <w:rPr>
      <w:rFonts w:ascii="Tahoma" w:hAnsi="Tahoma"/>
      <w:b/>
      <w:sz w:val="17"/>
      <w:lang w:val="en-AU"/>
    </w:rPr>
  </w:style>
  <w:style w:type="paragraph" w:styleId="BodyText">
    <w:name w:val="Body Text"/>
    <w:basedOn w:val="Normal"/>
    <w:link w:val="BodyTextChar"/>
    <w:semiHidden/>
    <w:rsid w:val="00061F13"/>
    <w:pPr>
      <w:spacing w:after="120"/>
    </w:pPr>
  </w:style>
  <w:style w:type="character" w:customStyle="1" w:styleId="BodyTextChar">
    <w:name w:val="Body Text Char"/>
    <w:basedOn w:val="DefaultParagraphFont"/>
    <w:link w:val="BodyText"/>
    <w:semiHidden/>
    <w:rsid w:val="00061F13"/>
    <w:rPr>
      <w:rFonts w:ascii="Trebuchet MS" w:hAnsi="Trebuchet MS"/>
      <w:sz w:val="19"/>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46406">
      <w:bodyDiv w:val="1"/>
      <w:marLeft w:val="0"/>
      <w:marRight w:val="0"/>
      <w:marTop w:val="0"/>
      <w:marBottom w:val="0"/>
      <w:divBdr>
        <w:top w:val="none" w:sz="0" w:space="0" w:color="auto"/>
        <w:left w:val="none" w:sz="0" w:space="0" w:color="auto"/>
        <w:bottom w:val="none" w:sz="0" w:space="0" w:color="auto"/>
        <w:right w:val="none" w:sz="0" w:space="0" w:color="auto"/>
      </w:divBdr>
    </w:div>
    <w:div w:id="91358955">
      <w:bodyDiv w:val="1"/>
      <w:marLeft w:val="0"/>
      <w:marRight w:val="0"/>
      <w:marTop w:val="0"/>
      <w:marBottom w:val="0"/>
      <w:divBdr>
        <w:top w:val="none" w:sz="0" w:space="0" w:color="auto"/>
        <w:left w:val="none" w:sz="0" w:space="0" w:color="auto"/>
        <w:bottom w:val="none" w:sz="0" w:space="0" w:color="auto"/>
        <w:right w:val="none" w:sz="0" w:space="0" w:color="auto"/>
      </w:divBdr>
    </w:div>
    <w:div w:id="105278023">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05795722">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47006395">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67141729">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59767625">
      <w:bodyDiv w:val="1"/>
      <w:marLeft w:val="0"/>
      <w:marRight w:val="0"/>
      <w:marTop w:val="0"/>
      <w:marBottom w:val="0"/>
      <w:divBdr>
        <w:top w:val="none" w:sz="0" w:space="0" w:color="auto"/>
        <w:left w:val="none" w:sz="0" w:space="0" w:color="auto"/>
        <w:bottom w:val="none" w:sz="0" w:space="0" w:color="auto"/>
        <w:right w:val="none" w:sz="0" w:space="0" w:color="auto"/>
      </w:divBdr>
    </w:div>
    <w:div w:id="487213013">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68618667">
      <w:bodyDiv w:val="1"/>
      <w:marLeft w:val="0"/>
      <w:marRight w:val="0"/>
      <w:marTop w:val="0"/>
      <w:marBottom w:val="0"/>
      <w:divBdr>
        <w:top w:val="none" w:sz="0" w:space="0" w:color="auto"/>
        <w:left w:val="none" w:sz="0" w:space="0" w:color="auto"/>
        <w:bottom w:val="none" w:sz="0" w:space="0" w:color="auto"/>
        <w:right w:val="none" w:sz="0" w:space="0" w:color="auto"/>
      </w:divBdr>
    </w:div>
    <w:div w:id="635571772">
      <w:bodyDiv w:val="1"/>
      <w:marLeft w:val="0"/>
      <w:marRight w:val="0"/>
      <w:marTop w:val="0"/>
      <w:marBottom w:val="0"/>
      <w:divBdr>
        <w:top w:val="none" w:sz="0" w:space="0" w:color="auto"/>
        <w:left w:val="none" w:sz="0" w:space="0" w:color="auto"/>
        <w:bottom w:val="none" w:sz="0" w:space="0" w:color="auto"/>
        <w:right w:val="none" w:sz="0" w:space="0" w:color="auto"/>
      </w:divBdr>
    </w:div>
    <w:div w:id="650988599">
      <w:bodyDiv w:val="1"/>
      <w:marLeft w:val="0"/>
      <w:marRight w:val="0"/>
      <w:marTop w:val="0"/>
      <w:marBottom w:val="0"/>
      <w:divBdr>
        <w:top w:val="none" w:sz="0" w:space="0" w:color="auto"/>
        <w:left w:val="none" w:sz="0" w:space="0" w:color="auto"/>
        <w:bottom w:val="none" w:sz="0" w:space="0" w:color="auto"/>
        <w:right w:val="none" w:sz="0" w:space="0" w:color="auto"/>
      </w:divBdr>
    </w:div>
    <w:div w:id="664209568">
      <w:bodyDiv w:val="1"/>
      <w:marLeft w:val="0"/>
      <w:marRight w:val="0"/>
      <w:marTop w:val="0"/>
      <w:marBottom w:val="0"/>
      <w:divBdr>
        <w:top w:val="none" w:sz="0" w:space="0" w:color="auto"/>
        <w:left w:val="none" w:sz="0" w:space="0" w:color="auto"/>
        <w:bottom w:val="none" w:sz="0" w:space="0" w:color="auto"/>
        <w:right w:val="none" w:sz="0" w:space="0" w:color="auto"/>
      </w:divBdr>
    </w:div>
    <w:div w:id="669604948">
      <w:bodyDiv w:val="1"/>
      <w:marLeft w:val="0"/>
      <w:marRight w:val="0"/>
      <w:marTop w:val="0"/>
      <w:marBottom w:val="0"/>
      <w:divBdr>
        <w:top w:val="none" w:sz="0" w:space="0" w:color="auto"/>
        <w:left w:val="none" w:sz="0" w:space="0" w:color="auto"/>
        <w:bottom w:val="none" w:sz="0" w:space="0" w:color="auto"/>
        <w:right w:val="none" w:sz="0" w:space="0" w:color="auto"/>
      </w:divBdr>
    </w:div>
    <w:div w:id="846939958">
      <w:bodyDiv w:val="1"/>
      <w:marLeft w:val="0"/>
      <w:marRight w:val="0"/>
      <w:marTop w:val="0"/>
      <w:marBottom w:val="0"/>
      <w:divBdr>
        <w:top w:val="none" w:sz="0" w:space="0" w:color="auto"/>
        <w:left w:val="none" w:sz="0" w:space="0" w:color="auto"/>
        <w:bottom w:val="none" w:sz="0" w:space="0" w:color="auto"/>
        <w:right w:val="none" w:sz="0" w:space="0" w:color="auto"/>
      </w:divBdr>
    </w:div>
    <w:div w:id="881867675">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44196521">
      <w:bodyDiv w:val="1"/>
      <w:marLeft w:val="0"/>
      <w:marRight w:val="0"/>
      <w:marTop w:val="0"/>
      <w:marBottom w:val="0"/>
      <w:divBdr>
        <w:top w:val="none" w:sz="0" w:space="0" w:color="auto"/>
        <w:left w:val="none" w:sz="0" w:space="0" w:color="auto"/>
        <w:bottom w:val="none" w:sz="0" w:space="0" w:color="auto"/>
        <w:right w:val="none" w:sz="0" w:space="0" w:color="auto"/>
      </w:divBdr>
    </w:div>
    <w:div w:id="996227826">
      <w:bodyDiv w:val="1"/>
      <w:marLeft w:val="0"/>
      <w:marRight w:val="0"/>
      <w:marTop w:val="0"/>
      <w:marBottom w:val="0"/>
      <w:divBdr>
        <w:top w:val="none" w:sz="0" w:space="0" w:color="auto"/>
        <w:left w:val="none" w:sz="0" w:space="0" w:color="auto"/>
        <w:bottom w:val="none" w:sz="0" w:space="0" w:color="auto"/>
        <w:right w:val="none" w:sz="0" w:space="0" w:color="auto"/>
      </w:divBdr>
    </w:div>
    <w:div w:id="1000546982">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58462203">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525904902">
      <w:bodyDiv w:val="1"/>
      <w:marLeft w:val="0"/>
      <w:marRight w:val="0"/>
      <w:marTop w:val="0"/>
      <w:marBottom w:val="0"/>
      <w:divBdr>
        <w:top w:val="none" w:sz="0" w:space="0" w:color="auto"/>
        <w:left w:val="none" w:sz="0" w:space="0" w:color="auto"/>
        <w:bottom w:val="none" w:sz="0" w:space="0" w:color="auto"/>
        <w:right w:val="none" w:sz="0" w:space="0" w:color="auto"/>
      </w:divBdr>
    </w:div>
    <w:div w:id="1543252327">
      <w:bodyDiv w:val="1"/>
      <w:marLeft w:val="0"/>
      <w:marRight w:val="0"/>
      <w:marTop w:val="0"/>
      <w:marBottom w:val="0"/>
      <w:divBdr>
        <w:top w:val="none" w:sz="0" w:space="0" w:color="auto"/>
        <w:left w:val="none" w:sz="0" w:space="0" w:color="auto"/>
        <w:bottom w:val="none" w:sz="0" w:space="0" w:color="auto"/>
        <w:right w:val="none" w:sz="0" w:space="0" w:color="auto"/>
      </w:divBdr>
    </w:div>
    <w:div w:id="1566605204">
      <w:bodyDiv w:val="1"/>
      <w:marLeft w:val="0"/>
      <w:marRight w:val="0"/>
      <w:marTop w:val="0"/>
      <w:marBottom w:val="0"/>
      <w:divBdr>
        <w:top w:val="none" w:sz="0" w:space="0" w:color="auto"/>
        <w:left w:val="none" w:sz="0" w:space="0" w:color="auto"/>
        <w:bottom w:val="none" w:sz="0" w:space="0" w:color="auto"/>
        <w:right w:val="none" w:sz="0" w:space="0" w:color="auto"/>
      </w:divBdr>
      <w:divsChild>
        <w:div w:id="920725239">
          <w:marLeft w:val="0"/>
          <w:marRight w:val="0"/>
          <w:marTop w:val="0"/>
          <w:marBottom w:val="0"/>
          <w:divBdr>
            <w:top w:val="none" w:sz="0" w:space="0" w:color="auto"/>
            <w:left w:val="none" w:sz="0" w:space="0" w:color="auto"/>
            <w:bottom w:val="none" w:sz="0" w:space="0" w:color="auto"/>
            <w:right w:val="none" w:sz="0" w:space="0" w:color="auto"/>
          </w:divBdr>
        </w:div>
      </w:divsChild>
    </w:div>
    <w:div w:id="1638489695">
      <w:bodyDiv w:val="1"/>
      <w:marLeft w:val="0"/>
      <w:marRight w:val="0"/>
      <w:marTop w:val="0"/>
      <w:marBottom w:val="0"/>
      <w:divBdr>
        <w:top w:val="none" w:sz="0" w:space="0" w:color="auto"/>
        <w:left w:val="none" w:sz="0" w:space="0" w:color="auto"/>
        <w:bottom w:val="none" w:sz="0" w:space="0" w:color="auto"/>
        <w:right w:val="none" w:sz="0" w:space="0" w:color="auto"/>
      </w:divBdr>
    </w:div>
    <w:div w:id="1646423686">
      <w:bodyDiv w:val="1"/>
      <w:marLeft w:val="0"/>
      <w:marRight w:val="0"/>
      <w:marTop w:val="0"/>
      <w:marBottom w:val="0"/>
      <w:divBdr>
        <w:top w:val="none" w:sz="0" w:space="0" w:color="auto"/>
        <w:left w:val="none" w:sz="0" w:space="0" w:color="auto"/>
        <w:bottom w:val="none" w:sz="0" w:space="0" w:color="auto"/>
        <w:right w:val="none" w:sz="0" w:space="0" w:color="auto"/>
      </w:divBdr>
      <w:divsChild>
        <w:div w:id="1112819633">
          <w:marLeft w:val="0"/>
          <w:marRight w:val="0"/>
          <w:marTop w:val="0"/>
          <w:marBottom w:val="0"/>
          <w:divBdr>
            <w:top w:val="none" w:sz="0" w:space="0" w:color="auto"/>
            <w:left w:val="none" w:sz="0" w:space="0" w:color="auto"/>
            <w:bottom w:val="none" w:sz="0" w:space="0" w:color="auto"/>
            <w:right w:val="none" w:sz="0" w:space="0" w:color="auto"/>
          </w:divBdr>
        </w:div>
        <w:div w:id="1655060283">
          <w:marLeft w:val="0"/>
          <w:marRight w:val="0"/>
          <w:marTop w:val="0"/>
          <w:marBottom w:val="0"/>
          <w:divBdr>
            <w:top w:val="none" w:sz="0" w:space="0" w:color="auto"/>
            <w:left w:val="none" w:sz="0" w:space="0" w:color="auto"/>
            <w:bottom w:val="none" w:sz="0" w:space="0" w:color="auto"/>
            <w:right w:val="none" w:sz="0" w:space="0" w:color="auto"/>
          </w:divBdr>
        </w:div>
        <w:div w:id="1892228894">
          <w:marLeft w:val="0"/>
          <w:marRight w:val="0"/>
          <w:marTop w:val="0"/>
          <w:marBottom w:val="0"/>
          <w:divBdr>
            <w:top w:val="none" w:sz="0" w:space="0" w:color="auto"/>
            <w:left w:val="none" w:sz="0" w:space="0" w:color="auto"/>
            <w:bottom w:val="none" w:sz="0" w:space="0" w:color="auto"/>
            <w:right w:val="none" w:sz="0" w:space="0" w:color="auto"/>
          </w:divBdr>
        </w:div>
      </w:divsChild>
    </w:div>
    <w:div w:id="1716927884">
      <w:bodyDiv w:val="1"/>
      <w:marLeft w:val="0"/>
      <w:marRight w:val="0"/>
      <w:marTop w:val="0"/>
      <w:marBottom w:val="0"/>
      <w:divBdr>
        <w:top w:val="none" w:sz="0" w:space="0" w:color="auto"/>
        <w:left w:val="none" w:sz="0" w:space="0" w:color="auto"/>
        <w:bottom w:val="none" w:sz="0" w:space="0" w:color="auto"/>
        <w:right w:val="none" w:sz="0" w:space="0" w:color="auto"/>
      </w:divBdr>
    </w:div>
    <w:div w:id="1729182316">
      <w:bodyDiv w:val="1"/>
      <w:marLeft w:val="0"/>
      <w:marRight w:val="0"/>
      <w:marTop w:val="0"/>
      <w:marBottom w:val="0"/>
      <w:divBdr>
        <w:top w:val="none" w:sz="0" w:space="0" w:color="auto"/>
        <w:left w:val="none" w:sz="0" w:space="0" w:color="auto"/>
        <w:bottom w:val="none" w:sz="0" w:space="0" w:color="auto"/>
        <w:right w:val="none" w:sz="0" w:space="0" w:color="auto"/>
      </w:divBdr>
    </w:div>
    <w:div w:id="1771656314">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877039601">
      <w:bodyDiv w:val="1"/>
      <w:marLeft w:val="0"/>
      <w:marRight w:val="0"/>
      <w:marTop w:val="0"/>
      <w:marBottom w:val="0"/>
      <w:divBdr>
        <w:top w:val="none" w:sz="0" w:space="0" w:color="auto"/>
        <w:left w:val="none" w:sz="0" w:space="0" w:color="auto"/>
        <w:bottom w:val="none" w:sz="0" w:space="0" w:color="auto"/>
        <w:right w:val="none" w:sz="0" w:space="0" w:color="auto"/>
      </w:divBdr>
    </w:div>
    <w:div w:id="1892113928">
      <w:bodyDiv w:val="1"/>
      <w:marLeft w:val="0"/>
      <w:marRight w:val="0"/>
      <w:marTop w:val="0"/>
      <w:marBottom w:val="0"/>
      <w:divBdr>
        <w:top w:val="none" w:sz="0" w:space="0" w:color="auto"/>
        <w:left w:val="none" w:sz="0" w:space="0" w:color="auto"/>
        <w:bottom w:val="none" w:sz="0" w:space="0" w:color="auto"/>
        <w:right w:val="none" w:sz="0" w:space="0" w:color="auto"/>
      </w:divBdr>
    </w:div>
    <w:div w:id="1903445310">
      <w:bodyDiv w:val="1"/>
      <w:marLeft w:val="0"/>
      <w:marRight w:val="0"/>
      <w:marTop w:val="0"/>
      <w:marBottom w:val="0"/>
      <w:divBdr>
        <w:top w:val="none" w:sz="0" w:space="0" w:color="auto"/>
        <w:left w:val="none" w:sz="0" w:space="0" w:color="auto"/>
        <w:bottom w:val="none" w:sz="0" w:space="0" w:color="auto"/>
        <w:right w:val="none" w:sz="0" w:space="0" w:color="auto"/>
      </w:divBdr>
    </w:div>
    <w:div w:id="1953172112">
      <w:bodyDiv w:val="1"/>
      <w:marLeft w:val="0"/>
      <w:marRight w:val="0"/>
      <w:marTop w:val="0"/>
      <w:marBottom w:val="0"/>
      <w:divBdr>
        <w:top w:val="none" w:sz="0" w:space="0" w:color="auto"/>
        <w:left w:val="none" w:sz="0" w:space="0" w:color="auto"/>
        <w:bottom w:val="none" w:sz="0" w:space="0" w:color="auto"/>
        <w:right w:val="none" w:sz="0" w:space="0" w:color="auto"/>
      </w:divBdr>
    </w:div>
    <w:div w:id="1993755814">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 w:id="2002659002">
      <w:bodyDiv w:val="1"/>
      <w:marLeft w:val="0"/>
      <w:marRight w:val="0"/>
      <w:marTop w:val="0"/>
      <w:marBottom w:val="0"/>
      <w:divBdr>
        <w:top w:val="none" w:sz="0" w:space="0" w:color="auto"/>
        <w:left w:val="none" w:sz="0" w:space="0" w:color="auto"/>
        <w:bottom w:val="none" w:sz="0" w:space="0" w:color="auto"/>
        <w:right w:val="none" w:sz="0" w:space="0" w:color="auto"/>
      </w:divBdr>
    </w:div>
    <w:div w:id="20891100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60.wmf"/><Relationship Id="rId39" Type="http://schemas.openxmlformats.org/officeDocument/2006/relationships/image" Target="media/image15.emf"/><Relationship Id="rId21" Type="http://schemas.openxmlformats.org/officeDocument/2006/relationships/footer" Target="footer5.xml"/><Relationship Id="rId34" Type="http://schemas.openxmlformats.org/officeDocument/2006/relationships/image" Target="media/image10.emf"/><Relationship Id="rId42" Type="http://schemas.openxmlformats.org/officeDocument/2006/relationships/image" Target="media/image18.png"/><Relationship Id="rId47" Type="http://schemas.openxmlformats.org/officeDocument/2006/relationships/hyperlink" Target="mailto:ncver@ncver.edu.au" TargetMode="External"/><Relationship Id="rId50" Type="http://schemas.openxmlformats.org/officeDocument/2006/relationships/hyperlink" Target="mailto:ncver@ncver.edu.au" TargetMode="External"/><Relationship Id="rId55"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wmf"/><Relationship Id="rId25" Type="http://schemas.openxmlformats.org/officeDocument/2006/relationships/hyperlink" Target="http://www.lsay.edu.au" TargetMode="External"/><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footer" Target="footer4.xml"/><Relationship Id="rId29" Type="http://schemas.openxmlformats.org/officeDocument/2006/relationships/image" Target="media/image7.png"/><Relationship Id="rId41" Type="http://schemas.openxmlformats.org/officeDocument/2006/relationships/image" Target="media/image17.jpg"/><Relationship Id="rId54"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ncver@ncver.edu.au" TargetMode="External"/><Relationship Id="rId32" Type="http://schemas.openxmlformats.org/officeDocument/2006/relationships/footer" Target="footer7.xml"/><Relationship Id="rId37" Type="http://schemas.openxmlformats.org/officeDocument/2006/relationships/image" Target="media/image13.emf"/><Relationship Id="rId40" Type="http://schemas.openxmlformats.org/officeDocument/2006/relationships/image" Target="media/image16.png"/><Relationship Id="rId45" Type="http://schemas.openxmlformats.org/officeDocument/2006/relationships/footer" Target="footer8.xml"/><Relationship Id="rId53" Type="http://schemas.openxmlformats.org/officeDocument/2006/relationships/image" Target="media/image19.wmf"/><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6.wmf"/><Relationship Id="rId28" Type="http://schemas.openxmlformats.org/officeDocument/2006/relationships/hyperlink" Target="http://www.lsay.edu.au" TargetMode="External"/><Relationship Id="rId36" Type="http://schemas.openxmlformats.org/officeDocument/2006/relationships/image" Target="media/image12.emf"/><Relationship Id="rId49" Type="http://schemas.openxmlformats.org/officeDocument/2006/relationships/hyperlink" Target="http://twitter.com/ncver" TargetMode="Externa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www.voced.edu.au/" TargetMode="External"/><Relationship Id="rId31" Type="http://schemas.openxmlformats.org/officeDocument/2006/relationships/footer" Target="footer6.xml"/><Relationship Id="rId44" Type="http://schemas.openxmlformats.org/officeDocument/2006/relationships/header" Target="header5.xml"/><Relationship Id="rId52" Type="http://schemas.openxmlformats.org/officeDocument/2006/relationships/hyperlink" Target="http://twitter.com/ncver"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yperlink" Target="mailto:ncver@ncver.edu.au" TargetMode="External"/><Relationship Id="rId30" Type="http://schemas.openxmlformats.org/officeDocument/2006/relationships/header" Target="header4.xml"/><Relationship Id="rId35" Type="http://schemas.openxmlformats.org/officeDocument/2006/relationships/image" Target="media/image11.emf"/><Relationship Id="rId43" Type="http://schemas.openxmlformats.org/officeDocument/2006/relationships/hyperlink" Target="https://training.gov.au/Training/Details/SIT40413" TargetMode="External"/><Relationship Id="rId48" Type="http://schemas.openxmlformats.org/officeDocument/2006/relationships/hyperlink" Target="http://www.lsay.edu.au"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lsay.edu.au" TargetMode="External"/><Relationship Id="rId3"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28F5B-1A1E-4451-A5DA-5CE7540C4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43</Pages>
  <Words>17227</Words>
  <Characters>95441</Characters>
  <Application>Microsoft Office Word</Application>
  <DocSecurity>0</DocSecurity>
  <Lines>1947</Lines>
  <Paragraphs>923</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111745</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Cross-occupational skill transferability</dc:title>
  <dc:creator>Darryn Snell;Victor Gekara;Krystle Gatt</dc:creator>
  <cp:lastModifiedBy>Elise Rivett</cp:lastModifiedBy>
  <cp:revision>24</cp:revision>
  <cp:lastPrinted>2016-05-16T06:42:00Z</cp:lastPrinted>
  <dcterms:created xsi:type="dcterms:W3CDTF">2016-04-29T02:05:00Z</dcterms:created>
  <dcterms:modified xsi:type="dcterms:W3CDTF">2016-05-23T01:37:00Z</dcterms:modified>
</cp:coreProperties>
</file>