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F30" w:rsidRDefault="00011F30" w:rsidP="00011F30">
      <w:pPr>
        <w:pStyle w:val="PublicationTitle"/>
        <w:spacing w:before="0"/>
      </w:pPr>
      <w:bookmarkStart w:id="0" w:name="_Toc296423677"/>
      <w:bookmarkStart w:id="1" w:name="_Toc296497508"/>
      <w:r>
        <w:rPr>
          <w:noProof/>
          <w:lang w:eastAsia="en-AU"/>
        </w:rPr>
        <w:drawing>
          <wp:anchor distT="0" distB="0" distL="114300" distR="114300" simplePos="0" relativeHeight="251663872" behindDoc="0" locked="0" layoutInCell="1" allowOverlap="1">
            <wp:simplePos x="0" y="0"/>
            <wp:positionH relativeFrom="column">
              <wp:posOffset>-881380</wp:posOffset>
            </wp:positionH>
            <wp:positionV relativeFrom="paragraph">
              <wp:posOffset>167640</wp:posOffset>
            </wp:positionV>
            <wp:extent cx="2171700" cy="483870"/>
            <wp:effectExtent l="19050" t="0" r="0" b="0"/>
            <wp:wrapSquare wrapText="bothSides"/>
            <wp:docPr id="6" name="Picture 5" descr="P:\PublicationComponents\logos\NCVER LOGOS\EPS - pagemaker_quark\ncver left tab_mon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ublicationComponents\logos\NCVER LOGOS\EPS - pagemaker_quark\ncver left tab_mono.eps"/>
                    <pic:cNvPicPr>
                      <a:picLocks noChangeAspect="1" noChangeArrowheads="1"/>
                    </pic:cNvPicPr>
                  </pic:nvPicPr>
                  <pic:blipFill>
                    <a:blip r:embed="rId9" cstate="print"/>
                    <a:srcRect/>
                    <a:stretch>
                      <a:fillRect/>
                    </a:stretch>
                  </pic:blipFill>
                  <pic:spPr bwMode="auto">
                    <a:xfrm>
                      <a:off x="0" y="0"/>
                      <a:ext cx="2171700" cy="483870"/>
                    </a:xfrm>
                    <a:prstGeom prst="rect">
                      <a:avLst/>
                    </a:prstGeom>
                    <a:noFill/>
                    <a:ln w="9525">
                      <a:noFill/>
                      <a:miter lim="800000"/>
                      <a:headEnd/>
                      <a:tailEnd/>
                    </a:ln>
                  </pic:spPr>
                </pic:pic>
              </a:graphicData>
            </a:graphic>
          </wp:anchor>
        </w:drawing>
      </w:r>
    </w:p>
    <w:p w:rsidR="00011F30" w:rsidRDefault="003932B6" w:rsidP="00011F30">
      <w:pPr>
        <w:pStyle w:val="PublicationTitle"/>
        <w:spacing w:before="0" w:after="0"/>
      </w:pPr>
      <w:r>
        <w:rPr>
          <w:noProof/>
          <w:lang w:eastAsia="en-AU"/>
        </w:rPr>
        <w:drawing>
          <wp:anchor distT="0" distB="0" distL="114300" distR="114300" simplePos="0" relativeHeight="251686400" behindDoc="1" locked="0" layoutInCell="1" allowOverlap="1">
            <wp:simplePos x="0" y="0"/>
            <wp:positionH relativeFrom="column">
              <wp:posOffset>-633730</wp:posOffset>
            </wp:positionH>
            <wp:positionV relativeFrom="paragraph">
              <wp:posOffset>55880</wp:posOffset>
            </wp:positionV>
            <wp:extent cx="2781300" cy="952500"/>
            <wp:effectExtent l="19050" t="0" r="0" b="0"/>
            <wp:wrapTight wrapText="bothSides">
              <wp:wrapPolygon edited="0">
                <wp:start x="-148" y="0"/>
                <wp:lineTo x="-148" y="21168"/>
                <wp:lineTo x="21600" y="21168"/>
                <wp:lineTo x="21600" y="0"/>
                <wp:lineTo x="-148" y="0"/>
              </wp:wrapPolygon>
            </wp:wrapTight>
            <wp:docPr id="1" name="Picture 1" descr="P:\PublicationComponents\logos\Department of Industry\Dept_Industry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Department of Industry\Dept_Industry_inline.jpg"/>
                    <pic:cNvPicPr>
                      <a:picLocks noChangeAspect="1" noChangeArrowheads="1"/>
                    </pic:cNvPicPr>
                  </pic:nvPicPr>
                  <pic:blipFill>
                    <a:blip r:embed="rId10" cstate="print"/>
                    <a:srcRect/>
                    <a:stretch>
                      <a:fillRect/>
                    </a:stretch>
                  </pic:blipFill>
                  <pic:spPr bwMode="auto">
                    <a:xfrm>
                      <a:off x="0" y="0"/>
                      <a:ext cx="2781300" cy="952500"/>
                    </a:xfrm>
                    <a:prstGeom prst="rect">
                      <a:avLst/>
                    </a:prstGeom>
                    <a:noFill/>
                    <a:ln w="9525">
                      <a:noFill/>
                      <a:miter lim="800000"/>
                      <a:headEnd/>
                      <a:tailEnd/>
                    </a:ln>
                  </pic:spPr>
                </pic:pic>
              </a:graphicData>
            </a:graphic>
          </wp:anchor>
        </w:drawing>
      </w:r>
    </w:p>
    <w:p w:rsidR="00011F30" w:rsidRDefault="00011F30" w:rsidP="00011F30">
      <w:pPr>
        <w:pStyle w:val="PublicationTitle"/>
        <w:spacing w:before="0" w:after="0"/>
        <w:rPr>
          <w:noProof/>
          <w:lang w:eastAsia="en-AU"/>
        </w:rPr>
      </w:pPr>
    </w:p>
    <w:p w:rsidR="00011F30" w:rsidRDefault="00011F30" w:rsidP="00011F30">
      <w:pPr>
        <w:pStyle w:val="PublicationTitle"/>
        <w:spacing w:before="0"/>
      </w:pPr>
    </w:p>
    <w:p w:rsidR="00011F30" w:rsidRPr="005C2FCF" w:rsidRDefault="00333A00" w:rsidP="00011F30">
      <w:pPr>
        <w:pStyle w:val="PublicationTitle"/>
        <w:spacing w:before="0"/>
      </w:pPr>
      <w:r>
        <w:rPr>
          <w:noProof/>
          <w:lang w:val="en-US"/>
        </w:rPr>
        <w:t>A</w:t>
      </w:r>
      <w:r w:rsidR="00011F30">
        <w:rPr>
          <w:noProof/>
          <w:lang w:val="en-US"/>
        </w:rPr>
        <w:t xml:space="preserve"> half-open door: pathways for VET award holders into Australian universities</w:t>
      </w:r>
    </w:p>
    <w:p w:rsidR="00011F30" w:rsidRPr="00AB3FF3" w:rsidRDefault="00011F30" w:rsidP="00011F30">
      <w:pPr>
        <w:pStyle w:val="Organisation"/>
        <w:rPr>
          <w:sz w:val="28"/>
        </w:rPr>
      </w:pPr>
      <w:r w:rsidRPr="00AB3FF3">
        <w:rPr>
          <w:sz w:val="28"/>
        </w:rPr>
        <w:t>Louise Watson</w:t>
      </w:r>
      <w:r>
        <w:rPr>
          <w:sz w:val="28"/>
        </w:rPr>
        <w:br/>
      </w:r>
      <w:r w:rsidRPr="00AB3FF3">
        <w:rPr>
          <w:sz w:val="28"/>
        </w:rPr>
        <w:t>Pauline Hagel</w:t>
      </w:r>
      <w:r>
        <w:rPr>
          <w:sz w:val="28"/>
        </w:rPr>
        <w:br/>
      </w:r>
      <w:r w:rsidRPr="00AB3FF3">
        <w:rPr>
          <w:sz w:val="28"/>
        </w:rPr>
        <w:t xml:space="preserve">Jenny </w:t>
      </w:r>
      <w:proofErr w:type="spellStart"/>
      <w:r w:rsidRPr="00AB3FF3">
        <w:rPr>
          <w:sz w:val="28"/>
        </w:rPr>
        <w:t>Chesters</w:t>
      </w:r>
      <w:proofErr w:type="spellEnd"/>
    </w:p>
    <w:p w:rsidR="00011F30" w:rsidRDefault="00011F30" w:rsidP="00011F30">
      <w:pPr>
        <w:pStyle w:val="Organisation"/>
      </w:pPr>
      <w:r w:rsidRPr="00602388">
        <w:t>The Education Institute</w:t>
      </w:r>
      <w:r>
        <w:t>, University of Canberra</w:t>
      </w:r>
    </w:p>
    <w:bookmarkEnd w:id="0"/>
    <w:bookmarkEnd w:id="1"/>
    <w:p w:rsidR="00DB599C" w:rsidRDefault="007E3EF2" w:rsidP="0006125F">
      <w:pPr>
        <w:pStyle w:val="Heading3"/>
        <w:ind w:right="-1"/>
      </w:pPr>
      <w:r>
        <w:rPr>
          <w:noProof/>
          <w:lang w:eastAsia="en-AU"/>
        </w:rPr>
        <w:pict>
          <v:shapetype id="_x0000_t202" coordsize="21600,21600" o:spt="202" path="m,l,21600r21600,l21600,xe">
            <v:stroke joinstyle="miter"/>
            <v:path gradientshapeok="t" o:connecttype="rect"/>
          </v:shapetype>
          <v:shape id="_x0000_s1036" type="#_x0000_t202" style="position:absolute;margin-left:79.95pt;margin-top:555.35pt;width:264.8pt;height:83pt;z-index:251660800;mso-position-vertical-relative:margin" filled="f" stroked="f">
            <v:textbox style="mso-next-textbox:#_x0000_s1036">
              <w:txbxContent>
                <w:p w:rsidR="00F93DEC" w:rsidRPr="00D4179D" w:rsidRDefault="00F93DEC" w:rsidP="00011F30">
                  <w:pPr>
                    <w:pStyle w:val="Heading3"/>
                    <w:rPr>
                      <w:rFonts w:ascii="Trebuchet MS" w:hAnsi="Trebuchet MS"/>
                      <w:szCs w:val="24"/>
                    </w:rPr>
                  </w:pPr>
                  <w:r w:rsidRPr="00D4179D">
                    <w:rPr>
                      <w:rFonts w:ascii="Trebuchet MS" w:hAnsi="Trebuchet MS"/>
                      <w:szCs w:val="24"/>
                    </w:rPr>
                    <w:t xml:space="preserve">NATIONAL VOCATIONAL EDUCATION </w:t>
                  </w:r>
                  <w:r w:rsidRPr="00D4179D">
                    <w:rPr>
                      <w:rFonts w:ascii="Trebuchet MS" w:hAnsi="Trebuchet MS"/>
                      <w:szCs w:val="24"/>
                    </w:rPr>
                    <w:br/>
                    <w:t>AND TRAINING RESEARCH PROGRAM</w:t>
                  </w:r>
                </w:p>
                <w:p w:rsidR="00F93DEC" w:rsidRPr="00011F30" w:rsidRDefault="00F93DEC" w:rsidP="00011F30">
                  <w:pPr>
                    <w:pStyle w:val="Heading3"/>
                    <w:spacing w:before="80"/>
                    <w:rPr>
                      <w:szCs w:val="24"/>
                    </w:rPr>
                  </w:pPr>
                  <w:r>
                    <w:rPr>
                      <w:rFonts w:ascii="Trebuchet MS" w:hAnsi="Trebuchet MS"/>
                      <w:b/>
                      <w:szCs w:val="24"/>
                    </w:rPr>
                    <w:t>RESEARCH REPORT</w:t>
                  </w:r>
                </w:p>
              </w:txbxContent>
            </v:textbox>
            <w10:wrap anchory="margin"/>
          </v:shape>
        </w:pict>
      </w:r>
      <w:r>
        <w:rPr>
          <w:noProof/>
          <w:lang w:eastAsia="en-AU"/>
        </w:rPr>
        <w:pict>
          <v:shape id="_x0000_s1034" type="#_x0000_t202" style="position:absolute;margin-left:73.1pt;margin-top:659.7pt;width:357pt;height:83pt;z-index:251654656;mso-position-vertical-relative:margin" filled="f" stroked="f">
            <v:textbox style="mso-next-textbox:#_x0000_s1034">
              <w:txbxContent>
                <w:p w:rsidR="00F93DEC" w:rsidRDefault="00F93DEC" w:rsidP="006C5DA9">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F93DEC" w:rsidRDefault="00F93DEC" w:rsidP="00011F30">
                  <w:pPr>
                    <w:pStyle w:val="Imprint"/>
                    <w:spacing w:before="120"/>
                    <w:ind w:left="142" w:right="10"/>
                  </w:pPr>
                  <w:r w:rsidRPr="005C2FCF">
                    <w:rPr>
                      <w:color w:val="000000"/>
                    </w:rPr>
                    <w:t>Any interpretation of data is the responsibility of the author/project team.</w:t>
                  </w:r>
                </w:p>
              </w:txbxContent>
            </v:textbox>
            <w10:wrap anchory="margin"/>
          </v:shape>
        </w:pict>
      </w:r>
    </w:p>
    <w:p w:rsidR="00D108F5" w:rsidRPr="00D108F5" w:rsidRDefault="00FE4A2D" w:rsidP="00D108F5">
      <w:pPr>
        <w:pStyle w:val="Heading3"/>
        <w:ind w:right="-1"/>
      </w:pPr>
      <w:r w:rsidRPr="005C2FCF">
        <w:br w:type="page"/>
      </w:r>
      <w:r w:rsidR="00D108F5" w:rsidRPr="00D108F5">
        <w:lastRenderedPageBreak/>
        <w:t>Publisher’s note</w:t>
      </w:r>
    </w:p>
    <w:p w:rsidR="00D108F5" w:rsidRPr="00D108F5" w:rsidRDefault="00D108F5" w:rsidP="00121595">
      <w:pPr>
        <w:pStyle w:val="Imprint"/>
        <w:ind w:right="1275"/>
      </w:pPr>
      <w:r w:rsidRPr="00D108F5">
        <w:t xml:space="preserve">Additional information relating to this research is available in </w:t>
      </w:r>
      <w:proofErr w:type="gramStart"/>
      <w:r w:rsidR="0039232C">
        <w:rPr>
          <w:i/>
        </w:rPr>
        <w:t>A</w:t>
      </w:r>
      <w:proofErr w:type="gramEnd"/>
      <w:r w:rsidRPr="00D108F5">
        <w:rPr>
          <w:i/>
        </w:rPr>
        <w:t xml:space="preserve"> half-open door:</w:t>
      </w:r>
      <w:r w:rsidR="00837079">
        <w:rPr>
          <w:i/>
        </w:rPr>
        <w:t xml:space="preserve"> pathways for VET award holders into Australian universities —</w:t>
      </w:r>
      <w:r w:rsidRPr="00D108F5">
        <w:rPr>
          <w:i/>
        </w:rPr>
        <w:t xml:space="preserve"> support document</w:t>
      </w:r>
      <w:r w:rsidRPr="00D108F5">
        <w:t>. It</w:t>
      </w:r>
      <w:r w:rsidR="00121595">
        <w:t> </w:t>
      </w:r>
      <w:r w:rsidRPr="00D108F5">
        <w:t>can be accessed from NCVER’s website &lt;http://www.ncver.edu.au/publications/</w:t>
      </w:r>
      <w:r w:rsidRPr="00837079">
        <w:t>2659.</w:t>
      </w:r>
      <w:r w:rsidRPr="00D108F5">
        <w:t>html&gt;.</w:t>
      </w:r>
    </w:p>
    <w:p w:rsidR="00D108F5" w:rsidRPr="00D108F5" w:rsidRDefault="00D108F5" w:rsidP="00121595">
      <w:pPr>
        <w:pStyle w:val="Imprint"/>
        <w:ind w:right="1275"/>
      </w:pPr>
      <w:r w:rsidRPr="00D108F5">
        <w:t xml:space="preserve">To find other material of interest, search </w:t>
      </w:r>
      <w:proofErr w:type="spellStart"/>
      <w:r w:rsidRPr="00D108F5">
        <w:t>VOCED</w:t>
      </w:r>
      <w:r w:rsidR="007E3EF2">
        <w:t>plus</w:t>
      </w:r>
      <w:proofErr w:type="spellEnd"/>
      <w:r w:rsidRPr="00D108F5">
        <w:t xml:space="preserve"> (the UNESCO/NCVER international database &lt;</w:t>
      </w:r>
      <w:hyperlink r:id="rId11" w:history="1">
        <w:r w:rsidRPr="00D108F5">
          <w:t>http://www.voced.edu.au</w:t>
        </w:r>
      </w:hyperlink>
      <w:r w:rsidRPr="00D108F5">
        <w:t>&gt;) using the following keywords: admission requirements; graduates; higher education; pathways; policy; qualifications; students; university; vocational education and training.</w:t>
      </w:r>
    </w:p>
    <w:p w:rsidR="00D108F5" w:rsidRPr="00D108F5" w:rsidRDefault="00D108F5" w:rsidP="00D108F5">
      <w:pPr>
        <w:pStyle w:val="Heading3"/>
        <w:ind w:right="-1"/>
      </w:pPr>
    </w:p>
    <w:p w:rsidR="00AB3FF3" w:rsidRPr="000B7912" w:rsidRDefault="007E3EF2" w:rsidP="00121595">
      <w:pPr>
        <w:pStyle w:val="Abouttheresearch"/>
      </w:pPr>
      <w:r>
        <w:pict>
          <v:shape id="_x0000_s1038" type="#_x0000_t202" style="position:absolute;margin-left:0;margin-top:127.1pt;width:380.7pt;height:456pt;z-index:251661824;mso-position-horizontal-relative:text;mso-position-vertical-relative:text;v-text-anchor:bottom" filled="f" stroked="f">
            <v:textbox style="mso-next-textbox:#_x0000_s1038" inset="0,,0">
              <w:txbxContent>
                <w:p w:rsidR="00F93DEC" w:rsidRPr="00A021FC" w:rsidRDefault="00F93DEC" w:rsidP="00011F30">
                  <w:pPr>
                    <w:pStyle w:val="Imprint"/>
                    <w:rPr>
                      <w:b/>
                    </w:rPr>
                  </w:pPr>
                  <w:r w:rsidRPr="00A021FC">
                    <w:rPr>
                      <w:b/>
                    </w:rPr>
                    <w:t xml:space="preserve">© Commonwealth of Australia, </w:t>
                  </w:r>
                  <w:r>
                    <w:rPr>
                      <w:b/>
                    </w:rPr>
                    <w:t>2013</w:t>
                  </w:r>
                </w:p>
                <w:p w:rsidR="00F93DEC" w:rsidRDefault="00F93DEC" w:rsidP="00011F30">
                  <w:pPr>
                    <w:pStyle w:val="Imprint"/>
                    <w:rPr>
                      <w:sz w:val="20"/>
                    </w:rPr>
                  </w:pPr>
                  <w:r w:rsidRPr="00E80270">
                    <w:rPr>
                      <w:noProof/>
                      <w:sz w:val="20"/>
                      <w:lang w:eastAsia="en-AU"/>
                    </w:rPr>
                    <w:drawing>
                      <wp:inline distT="0" distB="0" distL="0" distR="0">
                        <wp:extent cx="850265" cy="302895"/>
                        <wp:effectExtent l="19050" t="0" r="6985" b="0"/>
                        <wp:docPr id="7"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F93DEC" w:rsidRPr="00A021FC" w:rsidRDefault="00F93DEC" w:rsidP="00011F30">
                  <w:pPr>
                    <w:pStyle w:val="Imprint"/>
                  </w:pPr>
                  <w:r w:rsidRPr="00A021FC">
                    <w:t>With the exception of the Commonwealth Coat of Arms, the Department</w:t>
                  </w:r>
                  <w:r>
                    <w:t>’</w:t>
                  </w:r>
                  <w:r w:rsidRPr="00A021FC">
                    <w:t>s logo, any material protected by a trade mark and where otherwise noted all material presented in this document is provided under a</w:t>
                  </w:r>
                  <w:r>
                    <w:t> </w:t>
                  </w:r>
                  <w:r w:rsidRPr="00A021FC">
                    <w:t>Creative Commons At</w:t>
                  </w:r>
                  <w:r>
                    <w:t>tribution 3.0 Australia &lt;</w:t>
                  </w:r>
                  <w:r w:rsidRPr="00A021FC">
                    <w:t xml:space="preserve">creativecommons.org/licenses/by/3.0/au&gt; licence. </w:t>
                  </w:r>
                </w:p>
                <w:p w:rsidR="00F93DEC" w:rsidRPr="00A021FC" w:rsidRDefault="00F93DEC" w:rsidP="00011F30">
                  <w:pPr>
                    <w:pStyle w:val="Imprint"/>
                    <w:spacing w:before="80"/>
                  </w:pPr>
                  <w:r w:rsidRPr="00A021FC">
                    <w:t>The details of the relevant licence conditions are available on the Creative Commons website (accessible</w:t>
                  </w:r>
                  <w:r>
                    <w:t> </w:t>
                  </w:r>
                  <w:r w:rsidRPr="00A021FC">
                    <w:t>using the links provided) as is the full legal code for t</w:t>
                  </w:r>
                  <w:r>
                    <w:t>he CC BY 3.0 AU licence &lt;</w:t>
                  </w:r>
                  <w:r w:rsidRPr="00A021FC">
                    <w:t>creativecommons.org/licenses/by/3.0/</w:t>
                  </w:r>
                  <w:proofErr w:type="spellStart"/>
                  <w:r w:rsidRPr="00A021FC">
                    <w:t>legalcode</w:t>
                  </w:r>
                  <w:proofErr w:type="spellEnd"/>
                  <w:r w:rsidRPr="00A021FC">
                    <w:t>&gt;.</w:t>
                  </w:r>
                </w:p>
                <w:p w:rsidR="00F93DEC" w:rsidRPr="00A021FC" w:rsidRDefault="00F93DEC" w:rsidP="00011F30">
                  <w:pPr>
                    <w:pStyle w:val="Imprint"/>
                    <w:spacing w:before="80"/>
                  </w:pPr>
                  <w:r w:rsidRPr="00A021FC">
                    <w:t>The Creative Commons licence conditions do not apply to all logos, graphic design, artwork and photographs. Requests and enquiries concerning other reproduction and rights should be directed to the National Centre for Vocat</w:t>
                  </w:r>
                  <w:r>
                    <w:t>ional Education Research</w:t>
                  </w:r>
                  <w:r w:rsidRPr="00A021FC">
                    <w:t>.</w:t>
                  </w:r>
                </w:p>
                <w:p w:rsidR="00F93DEC" w:rsidRPr="00A021FC" w:rsidRDefault="00F93DEC" w:rsidP="00011F30">
                  <w:pPr>
                    <w:pStyle w:val="Imprint"/>
                  </w:pPr>
                  <w:r w:rsidRPr="00A021FC">
                    <w:t xml:space="preserve">This document should be attributed as </w:t>
                  </w:r>
                  <w:r>
                    <w:t xml:space="preserve">Watson, L, Hagel, P &amp; </w:t>
                  </w:r>
                  <w:proofErr w:type="spellStart"/>
                  <w:r>
                    <w:t>Chesters</w:t>
                  </w:r>
                  <w:proofErr w:type="spellEnd"/>
                  <w:r>
                    <w:t xml:space="preserve">, J 2013, </w:t>
                  </w:r>
                  <w:proofErr w:type="gramStart"/>
                  <w:r>
                    <w:rPr>
                      <w:i/>
                    </w:rPr>
                    <w:t>A</w:t>
                  </w:r>
                  <w:proofErr w:type="gramEnd"/>
                  <w:r>
                    <w:rPr>
                      <w:i/>
                    </w:rPr>
                    <w:t xml:space="preserve"> half-open door: pathways for VET award holders into Australian universities</w:t>
                  </w:r>
                  <w:r w:rsidRPr="00A021FC">
                    <w:rPr>
                      <w:i/>
                    </w:rPr>
                    <w:t>,</w:t>
                  </w:r>
                  <w:r w:rsidRPr="00A021FC">
                    <w:t xml:space="preserve"> NCVER, Adelaide.</w:t>
                  </w:r>
                </w:p>
                <w:p w:rsidR="00F93DEC" w:rsidRPr="00A021FC" w:rsidRDefault="00F93DEC" w:rsidP="00011F30">
                  <w:pPr>
                    <w:pStyle w:val="Imprint"/>
                    <w:spacing w:before="80"/>
                  </w:pPr>
                  <w:r w:rsidRPr="00A021FC">
                    <w:t xml:space="preserve">This work has been produced by NCVER on behalf of the Australian Government and state and territory governments, with funding provided through the </w:t>
                  </w:r>
                  <w:r>
                    <w:t>Department of Industry (formerly the</w:t>
                  </w:r>
                  <w:r w:rsidR="00445ADF">
                    <w:t xml:space="preserve"> </w:t>
                  </w:r>
                  <w:r w:rsidRPr="00A021FC">
                    <w:t xml:space="preserve">Department of Industry, Innovation, </w:t>
                  </w:r>
                  <w:r>
                    <w:t xml:space="preserve">Climate Change, </w:t>
                  </w:r>
                  <w:r w:rsidRPr="00A021FC">
                    <w:t>Science, Research and Tertiary Education</w:t>
                  </w:r>
                  <w:r>
                    <w:t>)</w:t>
                  </w:r>
                  <w:r w:rsidRPr="00A021FC">
                    <w:t xml:space="preserve">. </w:t>
                  </w:r>
                </w:p>
                <w:p w:rsidR="00F93DEC" w:rsidRPr="005C2FCF" w:rsidRDefault="00F93DEC" w:rsidP="00011F30">
                  <w:pPr>
                    <w:pStyle w:val="Imprint"/>
                    <w:rPr>
                      <w:color w:val="000000"/>
                    </w:rPr>
                  </w:pPr>
                  <w:r w:rsidRPr="005C2FCF">
                    <w:rPr>
                      <w:color w:val="000000"/>
                    </w:rPr>
                    <w:t>ISBN</w:t>
                  </w:r>
                  <w:r w:rsidRPr="005C2FCF">
                    <w:rPr>
                      <w:color w:val="000000"/>
                    </w:rPr>
                    <w:tab/>
                  </w:r>
                  <w:r w:rsidRPr="002F73C9">
                    <w:rPr>
                      <w:color w:val="000000"/>
                    </w:rPr>
                    <w:t>978 1 922056 64 1</w:t>
                  </w:r>
                  <w:r>
                    <w:rPr>
                      <w:color w:val="000000"/>
                    </w:rPr>
                    <w:br/>
                    <w:t>TD/TNC</w:t>
                  </w:r>
                  <w:r>
                    <w:rPr>
                      <w:color w:val="000000"/>
                    </w:rPr>
                    <w:tab/>
                    <w:t>113.13</w:t>
                  </w:r>
                  <w:r w:rsidRPr="005C2FCF">
                    <w:rPr>
                      <w:color w:val="000000"/>
                    </w:rPr>
                    <w:tab/>
                  </w:r>
                </w:p>
                <w:p w:rsidR="00F93DEC" w:rsidRPr="005C2FCF" w:rsidRDefault="00F93DEC" w:rsidP="00011F30">
                  <w:pPr>
                    <w:pStyle w:val="Imprint"/>
                    <w:spacing w:before="80"/>
                    <w:rPr>
                      <w:color w:val="000000"/>
                    </w:rPr>
                  </w:pPr>
                  <w:r w:rsidRPr="005C2FCF">
                    <w:rPr>
                      <w:color w:val="000000"/>
                    </w:rPr>
                    <w:t>Published by NCVER</w:t>
                  </w:r>
                  <w:r>
                    <w:rPr>
                      <w:color w:val="000000"/>
                    </w:rPr>
                    <w:t xml:space="preserve">, </w:t>
                  </w:r>
                  <w:r w:rsidRPr="005C2FCF">
                    <w:rPr>
                      <w:color w:val="000000"/>
                    </w:rPr>
                    <w:t>ABN 87 007 967 311</w:t>
                  </w:r>
                </w:p>
                <w:p w:rsidR="00F93DEC" w:rsidRPr="005C2FCF" w:rsidRDefault="00F93DEC" w:rsidP="00011F30">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F93DEC" w:rsidRPr="00011F30" w:rsidRDefault="00F93DEC" w:rsidP="00011F30">
                  <w:pPr>
                    <w:pStyle w:val="Imprint"/>
                    <w:spacing w:before="80"/>
                    <w:rPr>
                      <w:color w:val="000000"/>
                    </w:rPr>
                  </w:pPr>
                  <w:r w:rsidRPr="00C84FD4">
                    <w:rPr>
                      <w:b/>
                      <w:color w:val="000000"/>
                    </w:rPr>
                    <w:t>P</w:t>
                  </w:r>
                  <w:r w:rsidRPr="005C2FCF">
                    <w:rPr>
                      <w:color w:val="000000"/>
                    </w:rPr>
                    <w:t xml:space="preserve"> +61 8 8230 8400 </w:t>
                  </w:r>
                  <w:r>
                    <w:rPr>
                      <w:color w:val="000000"/>
                    </w:rPr>
                    <w:t xml:space="preserve">  </w:t>
                  </w:r>
                  <w:r w:rsidRPr="00C84FD4">
                    <w:rPr>
                      <w:b/>
                      <w:color w:val="000000"/>
                    </w:rPr>
                    <w:t>F</w:t>
                  </w:r>
                  <w:r w:rsidRPr="005C2FCF">
                    <w:rPr>
                      <w:color w:val="000000"/>
                    </w:rPr>
                    <w:t xml:space="preserve"> +61 8 8212 3436</w:t>
                  </w:r>
                  <w:r>
                    <w:rPr>
                      <w:color w:val="000000"/>
                    </w:rPr>
                    <w:t xml:space="preserve">   </w:t>
                  </w:r>
                  <w:r w:rsidRPr="00C84FD4">
                    <w:rPr>
                      <w:b/>
                      <w:color w:val="000000"/>
                    </w:rPr>
                    <w:t>E</w:t>
                  </w:r>
                  <w:r>
                    <w:rPr>
                      <w:color w:val="000000"/>
                    </w:rPr>
                    <w:t xml:space="preserve"> </w:t>
                  </w:r>
                  <w:hyperlink r:id="rId13" w:history="1">
                    <w:r w:rsidRPr="00441898">
                      <w:rPr>
                        <w:rStyle w:val="Hyperlink"/>
                        <w:sz w:val="16"/>
                      </w:rPr>
                      <w:t>ncver@ncv</w:t>
                    </w:r>
                    <w:bookmarkStart w:id="2" w:name="_GoBack"/>
                    <w:bookmarkEnd w:id="2"/>
                    <w:r w:rsidRPr="00441898">
                      <w:rPr>
                        <w:rStyle w:val="Hyperlink"/>
                        <w:sz w:val="16"/>
                      </w:rPr>
                      <w:t>er.edu.au</w:t>
                    </w:r>
                  </w:hyperlink>
                  <w:r>
                    <w:rPr>
                      <w:color w:val="000000"/>
                    </w:rPr>
                    <w:t xml:space="preserve">   </w:t>
                  </w:r>
                  <w:r w:rsidRPr="00C84FD4">
                    <w:rPr>
                      <w:b/>
                      <w:color w:val="000000"/>
                    </w:rPr>
                    <w:t>W</w:t>
                  </w:r>
                  <w:r>
                    <w:rPr>
                      <w:color w:val="000000"/>
                    </w:rPr>
                    <w:t xml:space="preserve"> </w:t>
                  </w:r>
                  <w:r w:rsidRPr="005C2FCF">
                    <w:rPr>
                      <w:color w:val="000000"/>
                    </w:rPr>
                    <w:t>&lt;www.ncver.edu.au&gt;</w:t>
                  </w:r>
                </w:p>
              </w:txbxContent>
            </v:textbox>
          </v:shape>
        </w:pict>
      </w:r>
      <w:r w:rsidR="00FE4A2D" w:rsidRPr="005C2FCF">
        <w:br w:type="page"/>
      </w:r>
      <w:bookmarkStart w:id="3" w:name="_Toc73766312"/>
      <w:bookmarkStart w:id="4" w:name="_Toc77937774"/>
      <w:bookmarkStart w:id="5" w:name="_Toc80174750"/>
      <w:bookmarkStart w:id="6" w:name="_Toc81560506"/>
      <w:bookmarkStart w:id="7" w:name="_Toc82071799"/>
      <w:bookmarkStart w:id="8" w:name="_Toc82151754"/>
      <w:bookmarkStart w:id="9" w:name="_Toc82498260"/>
      <w:bookmarkStart w:id="10" w:name="_Toc86829097"/>
      <w:bookmarkStart w:id="11" w:name="_Toc89226248"/>
      <w:bookmarkStart w:id="12" w:name="_Toc89240893"/>
      <w:bookmarkStart w:id="13" w:name="_Toc98394875"/>
      <w:bookmarkStart w:id="14" w:name="_Toc296423679"/>
      <w:bookmarkStart w:id="15" w:name="_Toc296497510"/>
      <w:r w:rsidR="003961A6" w:rsidRPr="000B7912">
        <w:lastRenderedPageBreak/>
        <w:t>About the research</w:t>
      </w:r>
      <w:bookmarkEnd w:id="3"/>
      <w:bookmarkEnd w:id="4"/>
      <w:bookmarkEnd w:id="5"/>
      <w:bookmarkEnd w:id="6"/>
      <w:bookmarkEnd w:id="7"/>
      <w:bookmarkEnd w:id="8"/>
      <w:bookmarkEnd w:id="9"/>
      <w:bookmarkEnd w:id="10"/>
      <w:bookmarkEnd w:id="11"/>
      <w:bookmarkEnd w:id="12"/>
      <w:bookmarkEnd w:id="13"/>
      <w:bookmarkEnd w:id="14"/>
      <w:bookmarkEnd w:id="15"/>
    </w:p>
    <w:p w:rsidR="00AB3FF3" w:rsidRPr="000A370F" w:rsidRDefault="00333A00" w:rsidP="00121595">
      <w:pPr>
        <w:pStyle w:val="Abouttheresearchpubtitle"/>
      </w:pPr>
      <w:r>
        <w:rPr>
          <w:noProof/>
        </w:rPr>
        <w:t>A</w:t>
      </w:r>
      <w:r w:rsidR="00EC7435">
        <w:rPr>
          <w:noProof/>
        </w:rPr>
        <w:t xml:space="preserve"> half-open door:</w:t>
      </w:r>
      <w:r w:rsidR="00B87FBB">
        <w:rPr>
          <w:noProof/>
        </w:rPr>
        <w:t xml:space="preserve"> pathways for VET award </w:t>
      </w:r>
      <w:r w:rsidR="00AB3FF3" w:rsidRPr="000B7912">
        <w:rPr>
          <w:noProof/>
        </w:rPr>
        <w:t>holders into Australian</w:t>
      </w:r>
      <w:r w:rsidR="00121595">
        <w:rPr>
          <w:noProof/>
        </w:rPr>
        <w:t> </w:t>
      </w:r>
      <w:r w:rsidR="00AB3FF3" w:rsidRPr="000A370F">
        <w:rPr>
          <w:noProof/>
        </w:rPr>
        <w:t>universities</w:t>
      </w:r>
    </w:p>
    <w:p w:rsidR="00AB3FF3" w:rsidRPr="00B06DAF" w:rsidRDefault="00AB3FF3" w:rsidP="00121595">
      <w:pPr>
        <w:pStyle w:val="Heading3"/>
      </w:pPr>
      <w:bookmarkStart w:id="16" w:name="_Toc296423681"/>
      <w:bookmarkStart w:id="17" w:name="_Toc296497512"/>
      <w:r w:rsidRPr="00B06DAF">
        <w:t xml:space="preserve">Louise Watson, Pauline Hagel and Jenny </w:t>
      </w:r>
      <w:proofErr w:type="spellStart"/>
      <w:r w:rsidRPr="00B06DAF">
        <w:t>Chesters</w:t>
      </w:r>
      <w:proofErr w:type="spellEnd"/>
      <w:r w:rsidRPr="00B06DAF">
        <w:t>, University of Canberra</w:t>
      </w:r>
    </w:p>
    <w:bookmarkEnd w:id="16"/>
    <w:bookmarkEnd w:id="17"/>
    <w:p w:rsidR="008C57EA" w:rsidRPr="00B06DAF" w:rsidRDefault="008C57EA" w:rsidP="00121595">
      <w:pPr>
        <w:pStyle w:val="Text"/>
      </w:pPr>
      <w:r w:rsidRPr="00B06DAF">
        <w:t xml:space="preserve">Effective pathways from </w:t>
      </w:r>
      <w:r w:rsidR="00EC7435">
        <w:t>vocational education and training (</w:t>
      </w:r>
      <w:r w:rsidRPr="00B06DAF">
        <w:t>VET</w:t>
      </w:r>
      <w:r w:rsidR="00EC7435">
        <w:t>)</w:t>
      </w:r>
      <w:r w:rsidRPr="00B06DAF">
        <w:t xml:space="preserve"> to higher education </w:t>
      </w:r>
      <w:r w:rsidR="00387503">
        <w:t>increase</w:t>
      </w:r>
      <w:r w:rsidRPr="00B06DAF">
        <w:t xml:space="preserve"> access </w:t>
      </w:r>
      <w:r w:rsidR="00837079">
        <w:t xml:space="preserve">both </w:t>
      </w:r>
      <w:r w:rsidRPr="00B06DAF">
        <w:t xml:space="preserve">to higher qualifications and lifetime earnings for people holding VET awards. </w:t>
      </w:r>
      <w:r w:rsidR="00FD045A">
        <w:t>However</w:t>
      </w:r>
      <w:r w:rsidRPr="00B06DAF">
        <w:t xml:space="preserve">, there is substantial variation in the proportion of students admitted to different higher education institutions on the basis of a VET award. This paper investigates the extent to which these differences </w:t>
      </w:r>
      <w:r w:rsidR="00B06DAF" w:rsidRPr="00B06DAF">
        <w:t>are</w:t>
      </w:r>
      <w:r w:rsidRPr="00B06DAF">
        <w:t xml:space="preserve"> the product of factors associated with specific fields of study or the result of varying institutional policies and practices.</w:t>
      </w:r>
    </w:p>
    <w:p w:rsidR="008C57EA" w:rsidRPr="00B06DAF" w:rsidRDefault="008C57EA" w:rsidP="00121595">
      <w:pPr>
        <w:pStyle w:val="Text"/>
      </w:pPr>
      <w:r w:rsidRPr="00B06DAF">
        <w:t xml:space="preserve">The authors use cluster analysis to identify three groups (clusters) of institutions with similar patterns of admission of VET </w:t>
      </w:r>
      <w:r w:rsidR="00B87FBB">
        <w:t>award holders</w:t>
      </w:r>
      <w:r w:rsidRPr="00B06DAF">
        <w:t xml:space="preserve"> across most fields of education. The universities in </w:t>
      </w:r>
      <w:r w:rsidR="00CE52CA">
        <w:t>C</w:t>
      </w:r>
      <w:r w:rsidRPr="00B06DAF">
        <w:t xml:space="preserve">luster 1 admit relatively high proportions of VET </w:t>
      </w:r>
      <w:r w:rsidR="00B87FBB">
        <w:t>award holders</w:t>
      </w:r>
      <w:r w:rsidRPr="00B06DAF">
        <w:t xml:space="preserve"> in all fields of education. Cluster 2 contains universities where the rate of admission of VET award holders is more haphazard between fields of study but is close to the national average overall. The universities in </w:t>
      </w:r>
      <w:r w:rsidR="00CE52CA">
        <w:t>C</w:t>
      </w:r>
      <w:r w:rsidRPr="00B06DAF">
        <w:t xml:space="preserve">luster 3 admit VET </w:t>
      </w:r>
      <w:r w:rsidR="00B87FBB">
        <w:t>award holders</w:t>
      </w:r>
      <w:r w:rsidRPr="00B06DAF">
        <w:t xml:space="preserve"> at rates consistently below the national average for nearly every field of study.</w:t>
      </w:r>
      <w:r w:rsidR="00E21B0B">
        <w:t xml:space="preserve"> Not surprisingly, the </w:t>
      </w:r>
      <w:r w:rsidR="00E21B0B" w:rsidRPr="00630C3D">
        <w:t>Group of Eight Universities sit</w:t>
      </w:r>
      <w:r w:rsidR="00CE52CA">
        <w:t>s within C</w:t>
      </w:r>
      <w:r w:rsidR="00E21B0B" w:rsidRPr="00630C3D">
        <w:t xml:space="preserve">luster 3, </w:t>
      </w:r>
      <w:r w:rsidR="00EC7435">
        <w:t>probably</w:t>
      </w:r>
      <w:r w:rsidR="00E21B0B" w:rsidRPr="00630C3D">
        <w:t xml:space="preserve"> a consequence of their status and </w:t>
      </w:r>
      <w:r w:rsidR="00E21B0B">
        <w:t>the high level of</w:t>
      </w:r>
      <w:r w:rsidR="00E21B0B" w:rsidRPr="00630C3D">
        <w:t xml:space="preserve"> competition for places from school leavers.</w:t>
      </w:r>
    </w:p>
    <w:p w:rsidR="008C57EA" w:rsidRPr="00B06DAF" w:rsidRDefault="008C57EA" w:rsidP="00121595">
      <w:pPr>
        <w:pStyle w:val="Keymessages"/>
      </w:pPr>
      <w:r w:rsidRPr="00B06DAF">
        <w:t>Key messages</w:t>
      </w:r>
    </w:p>
    <w:p w:rsidR="003E11D7" w:rsidRPr="00121595" w:rsidRDefault="008C57EA" w:rsidP="00121595">
      <w:pPr>
        <w:pStyle w:val="Dotpoint1"/>
      </w:pPr>
      <w:r w:rsidRPr="00B06DAF">
        <w:t>University policies and practices appear to influence the rate at which institution</w:t>
      </w:r>
      <w:r w:rsidR="00BA769A" w:rsidRPr="00B06DAF">
        <w:t>s</w:t>
      </w:r>
      <w:r w:rsidRPr="00B06DAF">
        <w:t xml:space="preserve"> admit students on the basis of a VET award. While all Australian universities have policies to promote VET</w:t>
      </w:r>
      <w:r w:rsidR="00EC7435">
        <w:t xml:space="preserve"> to higher education</w:t>
      </w:r>
      <w:r w:rsidRPr="00B06DAF">
        <w:t xml:space="preserve"> pathways, there are subtle differences between </w:t>
      </w:r>
      <w:r w:rsidR="00EC7435">
        <w:t>u</w:t>
      </w:r>
      <w:r w:rsidR="00FD045A">
        <w:t xml:space="preserve">niversities </w:t>
      </w:r>
      <w:r w:rsidRPr="00B06DAF">
        <w:t xml:space="preserve">in the way these policies </w:t>
      </w:r>
      <w:r w:rsidRPr="00121595">
        <w:t xml:space="preserve">are implemented. </w:t>
      </w:r>
    </w:p>
    <w:p w:rsidR="008C57EA" w:rsidRDefault="008C57EA" w:rsidP="00121595">
      <w:pPr>
        <w:pStyle w:val="Dotpoint1"/>
      </w:pPr>
      <w:r w:rsidRPr="00121595">
        <w:t>Inconsist</w:t>
      </w:r>
      <w:r w:rsidRPr="00B06DAF">
        <w:t>encies in the policies and</w:t>
      </w:r>
      <w:r w:rsidR="00EC7435">
        <w:t xml:space="preserve"> practices of universities mean</w:t>
      </w:r>
      <w:r w:rsidRPr="00B06DAF">
        <w:t xml:space="preserve"> that access fo</w:t>
      </w:r>
      <w:r w:rsidR="00EC7435">
        <w:t xml:space="preserve">r VET </w:t>
      </w:r>
      <w:r w:rsidR="00B87FBB">
        <w:t>award holders</w:t>
      </w:r>
      <w:r w:rsidR="00EC7435">
        <w:t xml:space="preserve"> will differ and depend</w:t>
      </w:r>
      <w:r w:rsidRPr="00B06DAF">
        <w:t xml:space="preserve"> on the university to which they apply. Consequently, this may restrict the access of VET </w:t>
      </w:r>
      <w:r w:rsidR="00B87FBB">
        <w:t>award holders</w:t>
      </w:r>
      <w:r w:rsidRPr="00B06DAF">
        <w:t xml:space="preserve"> to higher education in some regions.</w:t>
      </w:r>
    </w:p>
    <w:p w:rsidR="000B7912" w:rsidRPr="00B06DAF" w:rsidRDefault="00E21B0B" w:rsidP="00121595">
      <w:pPr>
        <w:pStyle w:val="Text"/>
      </w:pPr>
      <w:r>
        <w:t xml:space="preserve">The authors argue, on the basis of the wide variation in admission rates across universities, that their analysis dispels </w:t>
      </w:r>
      <w:r w:rsidR="009A3630">
        <w:t>the view that</w:t>
      </w:r>
      <w:r w:rsidR="00212CE2" w:rsidRPr="00B06DAF">
        <w:t xml:space="preserve"> some fields of study ‘lend themselves’ more to VET</w:t>
      </w:r>
      <w:r w:rsidR="00EC7435">
        <w:t xml:space="preserve"> to higher education </w:t>
      </w:r>
      <w:r w:rsidR="00212CE2" w:rsidRPr="00B06DAF">
        <w:t>pathways than others</w:t>
      </w:r>
      <w:r w:rsidR="00212CE2">
        <w:t>.</w:t>
      </w:r>
    </w:p>
    <w:p w:rsidR="00B06DAF" w:rsidRPr="00B06DAF" w:rsidRDefault="00B06DAF" w:rsidP="00121595">
      <w:pPr>
        <w:pStyle w:val="Text"/>
      </w:pPr>
    </w:p>
    <w:p w:rsidR="00121595" w:rsidRDefault="005F3A4A" w:rsidP="00121595">
      <w:pPr>
        <w:pStyle w:val="Text"/>
      </w:pPr>
      <w:r>
        <w:t xml:space="preserve">Rod </w:t>
      </w:r>
      <w:proofErr w:type="spellStart"/>
      <w:r>
        <w:t>Camm</w:t>
      </w:r>
      <w:proofErr w:type="spellEnd"/>
      <w:r w:rsidR="000B7912" w:rsidRPr="005F3A4A">
        <w:br/>
        <w:t>Managing Director, NCVER</w:t>
      </w:r>
    </w:p>
    <w:p w:rsidR="00121595" w:rsidRDefault="00121595">
      <w:pPr>
        <w:spacing w:before="0" w:line="240" w:lineRule="auto"/>
      </w:pPr>
      <w:r>
        <w:br w:type="page"/>
      </w:r>
    </w:p>
    <w:p w:rsidR="000B7912" w:rsidRDefault="000B7912" w:rsidP="00121595">
      <w:pPr>
        <w:pStyle w:val="Text"/>
      </w:pPr>
    </w:p>
    <w:p w:rsidR="003961A6" w:rsidRDefault="003961A6" w:rsidP="003961A6">
      <w:pPr>
        <w:pStyle w:val="Contents"/>
        <w:sectPr w:rsidR="003961A6" w:rsidSect="00452450">
          <w:pgSz w:w="11907" w:h="16840" w:code="9"/>
          <w:pgMar w:top="1276" w:right="1701" w:bottom="1276" w:left="1418" w:header="709" w:footer="556" w:gutter="0"/>
          <w:cols w:space="708"/>
          <w:docGrid w:linePitch="360"/>
        </w:sectPr>
      </w:pPr>
    </w:p>
    <w:p w:rsidR="009E231A" w:rsidRPr="00DC5F5C" w:rsidRDefault="00FE4A2D" w:rsidP="00874DA5">
      <w:pPr>
        <w:pStyle w:val="Contents"/>
      </w:pPr>
      <w:bookmarkStart w:id="18" w:name="_Toc98394880"/>
      <w:bookmarkStart w:id="19" w:name="_Toc296423683"/>
      <w:bookmarkStart w:id="20" w:name="_Toc296497514"/>
      <w:r w:rsidRPr="00DC5F5C">
        <w:lastRenderedPageBreak/>
        <w:t>Contents</w:t>
      </w:r>
      <w:bookmarkEnd w:id="18"/>
      <w:bookmarkEnd w:id="19"/>
      <w:bookmarkEnd w:id="20"/>
    </w:p>
    <w:p w:rsidR="00D25E68" w:rsidRDefault="00FC0DD1">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D25E68">
        <w:t>Tables and figures</w:t>
      </w:r>
      <w:r w:rsidR="00D25E68">
        <w:tab/>
      </w:r>
      <w:r>
        <w:fldChar w:fldCharType="begin"/>
      </w:r>
      <w:r w:rsidR="00D25E68">
        <w:instrText xml:space="preserve"> PAGEREF _Toc367450608 \h </w:instrText>
      </w:r>
      <w:r>
        <w:fldChar w:fldCharType="separate"/>
      </w:r>
      <w:r w:rsidR="00F93DEC">
        <w:t>6</w:t>
      </w:r>
      <w:r>
        <w:fldChar w:fldCharType="end"/>
      </w:r>
    </w:p>
    <w:p w:rsidR="00D25E68" w:rsidRDefault="00D25E68">
      <w:pPr>
        <w:pStyle w:val="TOC1"/>
        <w:rPr>
          <w:rFonts w:asciiTheme="minorHAnsi" w:eastAsiaTheme="minorEastAsia" w:hAnsiTheme="minorHAnsi" w:cstheme="minorBidi"/>
          <w:color w:val="auto"/>
          <w:sz w:val="22"/>
          <w:szCs w:val="22"/>
          <w:lang w:eastAsia="en-AU"/>
        </w:rPr>
      </w:pPr>
      <w:r>
        <w:t>Executive summary</w:t>
      </w:r>
      <w:r>
        <w:tab/>
      </w:r>
      <w:r w:rsidR="00FC0DD1">
        <w:fldChar w:fldCharType="begin"/>
      </w:r>
      <w:r>
        <w:instrText xml:space="preserve"> PAGEREF _Toc367450611 \h </w:instrText>
      </w:r>
      <w:r w:rsidR="00FC0DD1">
        <w:fldChar w:fldCharType="separate"/>
      </w:r>
      <w:r w:rsidR="00F93DEC">
        <w:t>7</w:t>
      </w:r>
      <w:r w:rsidR="00FC0DD1">
        <w:fldChar w:fldCharType="end"/>
      </w:r>
    </w:p>
    <w:p w:rsidR="00D25E68" w:rsidRDefault="00D25E68">
      <w:pPr>
        <w:pStyle w:val="TOC1"/>
        <w:rPr>
          <w:rFonts w:asciiTheme="minorHAnsi" w:eastAsiaTheme="minorEastAsia" w:hAnsiTheme="minorHAnsi" w:cstheme="minorBidi"/>
          <w:color w:val="auto"/>
          <w:sz w:val="22"/>
          <w:szCs w:val="22"/>
          <w:lang w:eastAsia="en-AU"/>
        </w:rPr>
      </w:pPr>
      <w:r>
        <w:t>VET award holders in Australian universities</w:t>
      </w:r>
      <w:r>
        <w:tab/>
      </w:r>
      <w:r w:rsidR="00FC0DD1">
        <w:fldChar w:fldCharType="begin"/>
      </w:r>
      <w:r>
        <w:instrText xml:space="preserve"> PAGEREF _Toc367450613 \h </w:instrText>
      </w:r>
      <w:r w:rsidR="00FC0DD1">
        <w:fldChar w:fldCharType="separate"/>
      </w:r>
      <w:r w:rsidR="00F93DEC">
        <w:t>10</w:t>
      </w:r>
      <w:r w:rsidR="00FC0DD1">
        <w:fldChar w:fldCharType="end"/>
      </w:r>
    </w:p>
    <w:p w:rsidR="00D25E68" w:rsidRDefault="00D25E68">
      <w:pPr>
        <w:pStyle w:val="TOC2"/>
        <w:rPr>
          <w:rFonts w:asciiTheme="minorHAnsi" w:eastAsiaTheme="minorEastAsia" w:hAnsiTheme="minorHAnsi" w:cstheme="minorBidi"/>
          <w:color w:val="auto"/>
          <w:sz w:val="22"/>
          <w:szCs w:val="22"/>
          <w:lang w:eastAsia="en-AU"/>
        </w:rPr>
      </w:pPr>
      <w:r>
        <w:t>Distribution of VET award holders between universities</w:t>
      </w:r>
      <w:r>
        <w:tab/>
      </w:r>
      <w:r w:rsidR="00FC0DD1">
        <w:fldChar w:fldCharType="begin"/>
      </w:r>
      <w:r>
        <w:instrText xml:space="preserve"> PAGEREF _Toc367450614 \h </w:instrText>
      </w:r>
      <w:r w:rsidR="00FC0DD1">
        <w:fldChar w:fldCharType="separate"/>
      </w:r>
      <w:r w:rsidR="00F93DEC">
        <w:t>10</w:t>
      </w:r>
      <w:r w:rsidR="00FC0DD1">
        <w:fldChar w:fldCharType="end"/>
      </w:r>
    </w:p>
    <w:p w:rsidR="00D25E68" w:rsidRDefault="00D25E68">
      <w:pPr>
        <w:pStyle w:val="TOC2"/>
        <w:rPr>
          <w:rFonts w:asciiTheme="minorHAnsi" w:eastAsiaTheme="minorEastAsia" w:hAnsiTheme="minorHAnsi" w:cstheme="minorBidi"/>
          <w:color w:val="auto"/>
          <w:sz w:val="22"/>
          <w:szCs w:val="22"/>
          <w:lang w:eastAsia="en-AU"/>
        </w:rPr>
      </w:pPr>
      <w:r>
        <w:t>Rate of admission of VET award holders by university</w:t>
      </w:r>
      <w:r>
        <w:tab/>
      </w:r>
      <w:r w:rsidR="00FC0DD1">
        <w:fldChar w:fldCharType="begin"/>
      </w:r>
      <w:r>
        <w:instrText xml:space="preserve"> PAGEREF _Toc367450615 \h </w:instrText>
      </w:r>
      <w:r w:rsidR="00FC0DD1">
        <w:fldChar w:fldCharType="separate"/>
      </w:r>
      <w:r w:rsidR="00F93DEC">
        <w:t>11</w:t>
      </w:r>
      <w:r w:rsidR="00FC0DD1">
        <w:fldChar w:fldCharType="end"/>
      </w:r>
    </w:p>
    <w:p w:rsidR="00D25E68" w:rsidRDefault="00D25E68">
      <w:pPr>
        <w:pStyle w:val="TOC2"/>
        <w:rPr>
          <w:rFonts w:asciiTheme="minorHAnsi" w:eastAsiaTheme="minorEastAsia" w:hAnsiTheme="minorHAnsi" w:cstheme="minorBidi"/>
          <w:color w:val="auto"/>
          <w:sz w:val="22"/>
          <w:szCs w:val="22"/>
          <w:lang w:eastAsia="en-AU"/>
        </w:rPr>
      </w:pPr>
      <w:r>
        <w:t>Admission rate of VET award holders by field of education</w:t>
      </w:r>
      <w:r>
        <w:tab/>
      </w:r>
      <w:r w:rsidR="00FC0DD1">
        <w:fldChar w:fldCharType="begin"/>
      </w:r>
      <w:r>
        <w:instrText xml:space="preserve"> PAGEREF _Toc367450616 \h </w:instrText>
      </w:r>
      <w:r w:rsidR="00FC0DD1">
        <w:fldChar w:fldCharType="separate"/>
      </w:r>
      <w:r w:rsidR="00F93DEC">
        <w:t>11</w:t>
      </w:r>
      <w:r w:rsidR="00FC0DD1">
        <w:fldChar w:fldCharType="end"/>
      </w:r>
    </w:p>
    <w:p w:rsidR="00D25E68" w:rsidRDefault="00D25E68">
      <w:pPr>
        <w:pStyle w:val="TOC1"/>
        <w:rPr>
          <w:rFonts w:asciiTheme="minorHAnsi" w:eastAsiaTheme="minorEastAsia" w:hAnsiTheme="minorHAnsi" w:cstheme="minorBidi"/>
          <w:color w:val="auto"/>
          <w:sz w:val="22"/>
          <w:szCs w:val="22"/>
          <w:lang w:eastAsia="en-AU"/>
        </w:rPr>
      </w:pPr>
      <w:r>
        <w:t>VET to higher education pathways by university</w:t>
      </w:r>
      <w:r>
        <w:tab/>
      </w:r>
      <w:r w:rsidR="00FC0DD1">
        <w:fldChar w:fldCharType="begin"/>
      </w:r>
      <w:r>
        <w:instrText xml:space="preserve"> PAGEREF _Toc367450617 \h </w:instrText>
      </w:r>
      <w:r w:rsidR="00FC0DD1">
        <w:fldChar w:fldCharType="separate"/>
      </w:r>
      <w:r w:rsidR="00F93DEC">
        <w:t>14</w:t>
      </w:r>
      <w:r w:rsidR="00FC0DD1">
        <w:fldChar w:fldCharType="end"/>
      </w:r>
    </w:p>
    <w:p w:rsidR="00D25E68" w:rsidRDefault="00D25E68">
      <w:pPr>
        <w:pStyle w:val="TOC2"/>
        <w:rPr>
          <w:rFonts w:asciiTheme="minorHAnsi" w:eastAsiaTheme="minorEastAsia" w:hAnsiTheme="minorHAnsi" w:cstheme="minorBidi"/>
          <w:color w:val="auto"/>
          <w:sz w:val="22"/>
          <w:szCs w:val="22"/>
          <w:lang w:eastAsia="en-AU"/>
        </w:rPr>
      </w:pPr>
      <w:r>
        <w:t>Clusters of broad fields of education</w:t>
      </w:r>
      <w:r>
        <w:tab/>
      </w:r>
      <w:r w:rsidR="00FC0DD1">
        <w:fldChar w:fldCharType="begin"/>
      </w:r>
      <w:r>
        <w:instrText xml:space="preserve"> PAGEREF _Toc367450618 \h </w:instrText>
      </w:r>
      <w:r w:rsidR="00FC0DD1">
        <w:fldChar w:fldCharType="separate"/>
      </w:r>
      <w:r w:rsidR="00F93DEC">
        <w:t>15</w:t>
      </w:r>
      <w:r w:rsidR="00FC0DD1">
        <w:fldChar w:fldCharType="end"/>
      </w:r>
    </w:p>
    <w:p w:rsidR="00D25E68" w:rsidRDefault="00D25E68">
      <w:pPr>
        <w:pStyle w:val="TOC2"/>
        <w:rPr>
          <w:rFonts w:asciiTheme="minorHAnsi" w:eastAsiaTheme="minorEastAsia" w:hAnsiTheme="minorHAnsi" w:cstheme="minorBidi"/>
          <w:color w:val="auto"/>
          <w:sz w:val="22"/>
          <w:szCs w:val="22"/>
          <w:lang w:eastAsia="en-AU"/>
        </w:rPr>
      </w:pPr>
      <w:r>
        <w:t>Discussion</w:t>
      </w:r>
      <w:r>
        <w:tab/>
      </w:r>
      <w:r w:rsidR="00FC0DD1">
        <w:fldChar w:fldCharType="begin"/>
      </w:r>
      <w:r>
        <w:instrText xml:space="preserve"> PAGEREF _Toc367450619 \h </w:instrText>
      </w:r>
      <w:r w:rsidR="00FC0DD1">
        <w:fldChar w:fldCharType="separate"/>
      </w:r>
      <w:r w:rsidR="00F93DEC">
        <w:t>16</w:t>
      </w:r>
      <w:r w:rsidR="00FC0DD1">
        <w:fldChar w:fldCharType="end"/>
      </w:r>
    </w:p>
    <w:p w:rsidR="00D25E68" w:rsidRDefault="00D25E68">
      <w:pPr>
        <w:pStyle w:val="TOC1"/>
        <w:rPr>
          <w:rFonts w:asciiTheme="minorHAnsi" w:eastAsiaTheme="minorEastAsia" w:hAnsiTheme="minorHAnsi" w:cstheme="minorBidi"/>
          <w:color w:val="auto"/>
          <w:sz w:val="22"/>
          <w:szCs w:val="22"/>
          <w:lang w:eastAsia="en-AU"/>
        </w:rPr>
      </w:pPr>
      <w:r>
        <w:t>VET to higher education pathways within fields of education</w:t>
      </w:r>
      <w:r>
        <w:tab/>
      </w:r>
      <w:r w:rsidR="00FC0DD1">
        <w:fldChar w:fldCharType="begin"/>
      </w:r>
      <w:r>
        <w:instrText xml:space="preserve"> PAGEREF _Toc367450620 \h </w:instrText>
      </w:r>
      <w:r w:rsidR="00FC0DD1">
        <w:fldChar w:fldCharType="separate"/>
      </w:r>
      <w:r w:rsidR="00F93DEC">
        <w:t>19</w:t>
      </w:r>
      <w:r w:rsidR="00FC0DD1">
        <w:fldChar w:fldCharType="end"/>
      </w:r>
    </w:p>
    <w:p w:rsidR="00D25E68" w:rsidRDefault="00D25E68">
      <w:pPr>
        <w:pStyle w:val="TOC2"/>
        <w:rPr>
          <w:rFonts w:asciiTheme="minorHAnsi" w:eastAsiaTheme="minorEastAsia" w:hAnsiTheme="minorHAnsi" w:cstheme="minorBidi"/>
          <w:color w:val="auto"/>
          <w:sz w:val="22"/>
          <w:szCs w:val="22"/>
          <w:lang w:eastAsia="en-AU"/>
        </w:rPr>
      </w:pPr>
      <w:r>
        <w:t>The influence of clusters on fields of education</w:t>
      </w:r>
      <w:r>
        <w:tab/>
      </w:r>
      <w:r w:rsidR="00FC0DD1">
        <w:fldChar w:fldCharType="begin"/>
      </w:r>
      <w:r>
        <w:instrText xml:space="preserve"> PAGEREF _Toc367450621 \h </w:instrText>
      </w:r>
      <w:r w:rsidR="00FC0DD1">
        <w:fldChar w:fldCharType="separate"/>
      </w:r>
      <w:r w:rsidR="00F93DEC">
        <w:t>19</w:t>
      </w:r>
      <w:r w:rsidR="00FC0DD1">
        <w:fldChar w:fldCharType="end"/>
      </w:r>
    </w:p>
    <w:p w:rsidR="00D25E68" w:rsidRDefault="00D25E68">
      <w:pPr>
        <w:pStyle w:val="TOC2"/>
        <w:rPr>
          <w:rFonts w:asciiTheme="minorHAnsi" w:eastAsiaTheme="minorEastAsia" w:hAnsiTheme="minorHAnsi" w:cstheme="minorBidi"/>
          <w:color w:val="auto"/>
          <w:sz w:val="22"/>
          <w:szCs w:val="22"/>
          <w:lang w:eastAsia="en-AU"/>
        </w:rPr>
      </w:pPr>
      <w:r>
        <w:t>Discussion</w:t>
      </w:r>
      <w:r>
        <w:tab/>
      </w:r>
      <w:r w:rsidR="00FC0DD1">
        <w:fldChar w:fldCharType="begin"/>
      </w:r>
      <w:r>
        <w:instrText xml:space="preserve"> PAGEREF _Toc367450622 \h </w:instrText>
      </w:r>
      <w:r w:rsidR="00FC0DD1">
        <w:fldChar w:fldCharType="separate"/>
      </w:r>
      <w:r w:rsidR="00F93DEC">
        <w:t>24</w:t>
      </w:r>
      <w:r w:rsidR="00FC0DD1">
        <w:fldChar w:fldCharType="end"/>
      </w:r>
    </w:p>
    <w:p w:rsidR="00D25E68" w:rsidRDefault="00D25E68">
      <w:pPr>
        <w:pStyle w:val="TOC1"/>
        <w:rPr>
          <w:rFonts w:asciiTheme="minorHAnsi" w:eastAsiaTheme="minorEastAsia" w:hAnsiTheme="minorHAnsi" w:cstheme="minorBidi"/>
          <w:color w:val="auto"/>
          <w:sz w:val="22"/>
          <w:szCs w:val="22"/>
          <w:lang w:eastAsia="en-AU"/>
        </w:rPr>
      </w:pPr>
      <w:r>
        <w:t>Institutional policies and  practices for VET to higher education pathways</w:t>
      </w:r>
      <w:r>
        <w:tab/>
      </w:r>
      <w:r w:rsidR="00FC0DD1">
        <w:fldChar w:fldCharType="begin"/>
      </w:r>
      <w:r>
        <w:instrText xml:space="preserve"> PAGEREF _Toc367450623 \h </w:instrText>
      </w:r>
      <w:r w:rsidR="00FC0DD1">
        <w:fldChar w:fldCharType="separate"/>
      </w:r>
      <w:r w:rsidR="00F93DEC">
        <w:t>25</w:t>
      </w:r>
      <w:r w:rsidR="00FC0DD1">
        <w:fldChar w:fldCharType="end"/>
      </w:r>
    </w:p>
    <w:p w:rsidR="00D25E68" w:rsidRDefault="00D25E68">
      <w:pPr>
        <w:pStyle w:val="TOC2"/>
        <w:rPr>
          <w:rFonts w:asciiTheme="minorHAnsi" w:eastAsiaTheme="minorEastAsia" w:hAnsiTheme="minorHAnsi" w:cstheme="minorBidi"/>
          <w:color w:val="auto"/>
          <w:sz w:val="22"/>
          <w:szCs w:val="22"/>
          <w:lang w:eastAsia="en-AU"/>
        </w:rPr>
      </w:pPr>
      <w:r>
        <w:t>Influence of government funding initiatives</w:t>
      </w:r>
      <w:r>
        <w:tab/>
      </w:r>
      <w:r w:rsidR="00FC0DD1">
        <w:fldChar w:fldCharType="begin"/>
      </w:r>
      <w:r>
        <w:instrText xml:space="preserve"> PAGEREF _Toc367450624 \h </w:instrText>
      </w:r>
      <w:r w:rsidR="00FC0DD1">
        <w:fldChar w:fldCharType="separate"/>
      </w:r>
      <w:r w:rsidR="00F93DEC">
        <w:t>25</w:t>
      </w:r>
      <w:r w:rsidR="00FC0DD1">
        <w:fldChar w:fldCharType="end"/>
      </w:r>
    </w:p>
    <w:p w:rsidR="00D25E68" w:rsidRDefault="00D25E68">
      <w:pPr>
        <w:pStyle w:val="TOC2"/>
        <w:rPr>
          <w:rFonts w:asciiTheme="minorHAnsi" w:eastAsiaTheme="minorEastAsia" w:hAnsiTheme="minorHAnsi" w:cstheme="minorBidi"/>
          <w:color w:val="auto"/>
          <w:sz w:val="22"/>
          <w:szCs w:val="22"/>
          <w:lang w:eastAsia="en-AU"/>
        </w:rPr>
      </w:pPr>
      <w:r>
        <w:t>Institutional practices to support VET to higher education pathways</w:t>
      </w:r>
      <w:r>
        <w:tab/>
      </w:r>
      <w:r w:rsidR="00FC0DD1">
        <w:fldChar w:fldCharType="begin"/>
      </w:r>
      <w:r>
        <w:instrText xml:space="preserve"> PAGEREF _Toc367450625 \h </w:instrText>
      </w:r>
      <w:r w:rsidR="00FC0DD1">
        <w:fldChar w:fldCharType="separate"/>
      </w:r>
      <w:r w:rsidR="00F93DEC">
        <w:t>25</w:t>
      </w:r>
      <w:r w:rsidR="00FC0DD1">
        <w:fldChar w:fldCharType="end"/>
      </w:r>
    </w:p>
    <w:p w:rsidR="00D25E68" w:rsidRDefault="00D25E68">
      <w:pPr>
        <w:pStyle w:val="TOC2"/>
        <w:rPr>
          <w:rFonts w:asciiTheme="minorHAnsi" w:eastAsiaTheme="minorEastAsia" w:hAnsiTheme="minorHAnsi" w:cstheme="minorBidi"/>
          <w:color w:val="auto"/>
          <w:sz w:val="22"/>
          <w:szCs w:val="22"/>
          <w:lang w:eastAsia="en-AU"/>
        </w:rPr>
      </w:pPr>
      <w:r>
        <w:t>Discussion</w:t>
      </w:r>
      <w:r>
        <w:tab/>
      </w:r>
      <w:r w:rsidR="00FC0DD1">
        <w:fldChar w:fldCharType="begin"/>
      </w:r>
      <w:r>
        <w:instrText xml:space="preserve"> PAGEREF _Toc367450626 \h </w:instrText>
      </w:r>
      <w:r w:rsidR="00FC0DD1">
        <w:fldChar w:fldCharType="separate"/>
      </w:r>
      <w:r w:rsidR="00F93DEC">
        <w:t>31</w:t>
      </w:r>
      <w:r w:rsidR="00FC0DD1">
        <w:fldChar w:fldCharType="end"/>
      </w:r>
    </w:p>
    <w:p w:rsidR="00D25E68" w:rsidRDefault="00D25E68">
      <w:pPr>
        <w:pStyle w:val="TOC1"/>
        <w:rPr>
          <w:rFonts w:asciiTheme="minorHAnsi" w:eastAsiaTheme="minorEastAsia" w:hAnsiTheme="minorHAnsi" w:cstheme="minorBidi"/>
          <w:color w:val="auto"/>
          <w:sz w:val="22"/>
          <w:szCs w:val="22"/>
          <w:lang w:eastAsia="en-AU"/>
        </w:rPr>
      </w:pPr>
      <w:r>
        <w:t>Summary</w:t>
      </w:r>
      <w:r>
        <w:tab/>
      </w:r>
      <w:r w:rsidR="00FC0DD1">
        <w:fldChar w:fldCharType="begin"/>
      </w:r>
      <w:r>
        <w:instrText xml:space="preserve"> PAGEREF _Toc367450627 \h </w:instrText>
      </w:r>
      <w:r w:rsidR="00FC0DD1">
        <w:fldChar w:fldCharType="separate"/>
      </w:r>
      <w:r w:rsidR="00F93DEC">
        <w:t>33</w:t>
      </w:r>
      <w:r w:rsidR="00FC0DD1">
        <w:fldChar w:fldCharType="end"/>
      </w:r>
    </w:p>
    <w:p w:rsidR="00D25E68" w:rsidRDefault="00D25E68">
      <w:pPr>
        <w:pStyle w:val="TOC1"/>
        <w:rPr>
          <w:rFonts w:asciiTheme="minorHAnsi" w:eastAsiaTheme="minorEastAsia" w:hAnsiTheme="minorHAnsi" w:cstheme="minorBidi"/>
          <w:color w:val="auto"/>
          <w:sz w:val="22"/>
          <w:szCs w:val="22"/>
          <w:lang w:eastAsia="en-AU"/>
        </w:rPr>
      </w:pPr>
      <w:r>
        <w:t>References</w:t>
      </w:r>
      <w:r>
        <w:tab/>
      </w:r>
      <w:r w:rsidR="00FC0DD1">
        <w:fldChar w:fldCharType="begin"/>
      </w:r>
      <w:r>
        <w:instrText xml:space="preserve"> PAGEREF _Toc367450628 \h </w:instrText>
      </w:r>
      <w:r w:rsidR="00FC0DD1">
        <w:fldChar w:fldCharType="separate"/>
      </w:r>
      <w:r w:rsidR="00F93DEC">
        <w:t>34</w:t>
      </w:r>
      <w:r w:rsidR="00FC0DD1">
        <w:fldChar w:fldCharType="end"/>
      </w:r>
    </w:p>
    <w:p w:rsidR="00D25E68" w:rsidRDefault="00D25E68">
      <w:pPr>
        <w:pStyle w:val="TOC1"/>
        <w:rPr>
          <w:rFonts w:asciiTheme="minorHAnsi" w:eastAsiaTheme="minorEastAsia" w:hAnsiTheme="minorHAnsi" w:cstheme="minorBidi"/>
          <w:color w:val="auto"/>
          <w:sz w:val="22"/>
          <w:szCs w:val="22"/>
          <w:lang w:eastAsia="en-AU"/>
        </w:rPr>
      </w:pPr>
      <w:r>
        <w:t>Support document details</w:t>
      </w:r>
      <w:r>
        <w:tab/>
      </w:r>
      <w:r w:rsidR="00FC0DD1">
        <w:fldChar w:fldCharType="begin"/>
      </w:r>
      <w:r>
        <w:instrText xml:space="preserve"> PAGEREF _Toc367450629 \h </w:instrText>
      </w:r>
      <w:r w:rsidR="00FC0DD1">
        <w:fldChar w:fldCharType="separate"/>
      </w:r>
      <w:r w:rsidR="00F93DEC">
        <w:t>35</w:t>
      </w:r>
      <w:r w:rsidR="00FC0DD1">
        <w:fldChar w:fldCharType="end"/>
      </w:r>
    </w:p>
    <w:p w:rsidR="00D25E68" w:rsidRDefault="00D25E68">
      <w:pPr>
        <w:pStyle w:val="TOC1"/>
        <w:rPr>
          <w:rFonts w:asciiTheme="minorHAnsi" w:eastAsiaTheme="minorEastAsia" w:hAnsiTheme="minorHAnsi" w:cstheme="minorBidi"/>
          <w:color w:val="auto"/>
          <w:sz w:val="22"/>
          <w:szCs w:val="22"/>
          <w:lang w:eastAsia="en-AU"/>
        </w:rPr>
      </w:pPr>
      <w:r>
        <w:t>NVETR Program funding</w:t>
      </w:r>
      <w:r>
        <w:tab/>
      </w:r>
      <w:r w:rsidR="00FC0DD1">
        <w:fldChar w:fldCharType="begin"/>
      </w:r>
      <w:r>
        <w:instrText xml:space="preserve"> PAGEREF _Toc367450630 \h </w:instrText>
      </w:r>
      <w:r w:rsidR="00FC0DD1">
        <w:fldChar w:fldCharType="separate"/>
      </w:r>
      <w:r w:rsidR="00F93DEC">
        <w:t>36</w:t>
      </w:r>
      <w:r w:rsidR="00FC0DD1">
        <w:fldChar w:fldCharType="end"/>
      </w:r>
    </w:p>
    <w:p w:rsidR="004E7227" w:rsidRDefault="00FC0DD1" w:rsidP="0048643A">
      <w:pPr>
        <w:pStyle w:val="Text"/>
      </w:pPr>
      <w:r w:rsidRPr="009775C7">
        <w:fldChar w:fldCharType="end"/>
      </w:r>
    </w:p>
    <w:p w:rsidR="006A0709" w:rsidRDefault="006A0709">
      <w:pPr>
        <w:spacing w:before="0" w:line="240" w:lineRule="auto"/>
        <w:rPr>
          <w:rFonts w:ascii="Tahoma" w:hAnsi="Tahoma" w:cs="Tahoma"/>
          <w:color w:val="000000"/>
          <w:kern w:val="28"/>
          <w:sz w:val="56"/>
          <w:szCs w:val="56"/>
        </w:rPr>
      </w:pPr>
      <w:r>
        <w:rPr>
          <w:rFonts w:ascii="Tahoma" w:hAnsi="Tahoma" w:cs="Tahoma"/>
          <w:color w:val="000000"/>
          <w:kern w:val="28"/>
          <w:sz w:val="56"/>
          <w:szCs w:val="56"/>
        </w:rPr>
        <w:br w:type="page"/>
      </w:r>
    </w:p>
    <w:p w:rsidR="004E7227" w:rsidRDefault="004E7227" w:rsidP="004E7227">
      <w:pPr>
        <w:pStyle w:val="Heading1"/>
      </w:pPr>
      <w:bookmarkStart w:id="21" w:name="_Toc367450608"/>
      <w:r>
        <w:lastRenderedPageBreak/>
        <w:t>Tables and figures</w:t>
      </w:r>
      <w:bookmarkEnd w:id="21"/>
    </w:p>
    <w:p w:rsidR="004E7227" w:rsidRDefault="004E7227" w:rsidP="004E7227">
      <w:pPr>
        <w:pStyle w:val="Heading2"/>
      </w:pPr>
      <w:bookmarkStart w:id="22" w:name="_Toc296497516"/>
      <w:bookmarkStart w:id="23" w:name="_Toc298162801"/>
      <w:bookmarkStart w:id="24" w:name="_Toc364688823"/>
      <w:bookmarkStart w:id="25" w:name="_Toc367450609"/>
      <w:r>
        <w:t>Tables</w:t>
      </w:r>
      <w:bookmarkEnd w:id="22"/>
      <w:bookmarkEnd w:id="23"/>
      <w:bookmarkEnd w:id="24"/>
      <w:bookmarkEnd w:id="25"/>
    </w:p>
    <w:p w:rsidR="008C121F" w:rsidRDefault="00FC0DD1">
      <w:pPr>
        <w:pStyle w:val="TableofFigures"/>
        <w:tabs>
          <w:tab w:val="left" w:pos="880"/>
        </w:tabs>
        <w:rPr>
          <w:rFonts w:asciiTheme="minorHAnsi" w:eastAsiaTheme="minorEastAsia" w:hAnsiTheme="minorHAnsi" w:cstheme="minorBidi"/>
          <w:color w:val="auto"/>
          <w:sz w:val="22"/>
          <w:szCs w:val="22"/>
          <w:lang w:eastAsia="en-AU"/>
        </w:rPr>
      </w:pPr>
      <w:r>
        <w:fldChar w:fldCharType="begin"/>
      </w:r>
      <w:r w:rsidR="004E7227">
        <w:instrText xml:space="preserve"> TOC \f F \t "tabletitle" \c </w:instrText>
      </w:r>
      <w:r>
        <w:fldChar w:fldCharType="separate"/>
      </w:r>
      <w:r w:rsidR="008C121F">
        <w:t>1</w:t>
      </w:r>
      <w:r w:rsidR="008C121F">
        <w:rPr>
          <w:rFonts w:asciiTheme="minorHAnsi" w:eastAsiaTheme="minorEastAsia" w:hAnsiTheme="minorHAnsi" w:cstheme="minorBidi"/>
          <w:color w:val="auto"/>
          <w:sz w:val="22"/>
          <w:szCs w:val="22"/>
          <w:lang w:eastAsia="en-AU"/>
        </w:rPr>
        <w:tab/>
      </w:r>
      <w:r w:rsidR="008C121F">
        <w:t xml:space="preserve">Commencing domestic undergraduate students by basis of admission, </w:t>
      </w:r>
      <w:r w:rsidR="008C121F">
        <w:br/>
        <w:t>2001 and 2010, Australia</w:t>
      </w:r>
      <w:r w:rsidR="008C121F">
        <w:tab/>
      </w:r>
      <w:r>
        <w:fldChar w:fldCharType="begin"/>
      </w:r>
      <w:r w:rsidR="008C121F">
        <w:instrText xml:space="preserve"> PAGEREF _Toc364688851 \h </w:instrText>
      </w:r>
      <w:r>
        <w:fldChar w:fldCharType="separate"/>
      </w:r>
      <w:r w:rsidR="00F93DEC">
        <w:t>10</w:t>
      </w:r>
      <w:r>
        <w:fldChar w:fldCharType="end"/>
      </w:r>
    </w:p>
    <w:p w:rsidR="008C121F" w:rsidRDefault="008C121F">
      <w:pPr>
        <w:pStyle w:val="TableofFigures"/>
        <w:tabs>
          <w:tab w:val="left" w:pos="88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 xml:space="preserve">VET award holders and all undergraduate commencements by broad </w:t>
      </w:r>
      <w:r>
        <w:br/>
        <w:t>field of education, Australia, 2010</w:t>
      </w:r>
      <w:r>
        <w:tab/>
      </w:r>
      <w:r w:rsidR="00FC0DD1">
        <w:fldChar w:fldCharType="begin"/>
      </w:r>
      <w:r>
        <w:instrText xml:space="preserve"> PAGEREF _Toc364688852 \h </w:instrText>
      </w:r>
      <w:r w:rsidR="00FC0DD1">
        <w:fldChar w:fldCharType="separate"/>
      </w:r>
      <w:r w:rsidR="00F93DEC">
        <w:t>13</w:t>
      </w:r>
      <w:r w:rsidR="00FC0DD1">
        <w:fldChar w:fldCharType="end"/>
      </w:r>
    </w:p>
    <w:p w:rsidR="008C121F" w:rsidRDefault="008C121F">
      <w:pPr>
        <w:pStyle w:val="TableofFigures"/>
        <w:tabs>
          <w:tab w:val="left" w:pos="88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 xml:space="preserve">Institutional clusters on admission on the basis of a VET award: size </w:t>
      </w:r>
      <w:r>
        <w:br/>
        <w:t>and membership, 2010</w:t>
      </w:r>
      <w:r>
        <w:tab/>
      </w:r>
      <w:r w:rsidR="00FC0DD1">
        <w:fldChar w:fldCharType="begin"/>
      </w:r>
      <w:r>
        <w:instrText xml:space="preserve"> PAGEREF _Toc364688853 \h </w:instrText>
      </w:r>
      <w:r w:rsidR="00FC0DD1">
        <w:fldChar w:fldCharType="separate"/>
      </w:r>
      <w:r w:rsidR="00F93DEC">
        <w:t>14</w:t>
      </w:r>
      <w:r w:rsidR="00FC0DD1">
        <w:fldChar w:fldCharType="end"/>
      </w:r>
    </w:p>
    <w:p w:rsidR="008C121F" w:rsidRDefault="008C121F">
      <w:pPr>
        <w:pStyle w:val="TableofFigures"/>
        <w:tabs>
          <w:tab w:val="left" w:pos="880"/>
        </w:tabs>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Clusters of broad field of education, Australia, 2010</w:t>
      </w:r>
      <w:r>
        <w:tab/>
      </w:r>
      <w:r w:rsidR="00FC0DD1">
        <w:fldChar w:fldCharType="begin"/>
      </w:r>
      <w:r>
        <w:instrText xml:space="preserve"> PAGEREF _Toc364688854 \h </w:instrText>
      </w:r>
      <w:r w:rsidR="00FC0DD1">
        <w:fldChar w:fldCharType="separate"/>
      </w:r>
      <w:r w:rsidR="00F93DEC">
        <w:t>15</w:t>
      </w:r>
      <w:r w:rsidR="00FC0DD1">
        <w:fldChar w:fldCharType="end"/>
      </w:r>
    </w:p>
    <w:p w:rsidR="008C121F" w:rsidRDefault="008C121F">
      <w:pPr>
        <w:pStyle w:val="TableofFigures"/>
        <w:tabs>
          <w:tab w:val="left" w:pos="880"/>
        </w:tabs>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 xml:space="preserve">Cluster 1 universities’ rates of admission on the basis of a VET award </w:t>
      </w:r>
      <w:r>
        <w:br/>
        <w:t>by broad field of education cluster, Australia, 2010</w:t>
      </w:r>
      <w:r>
        <w:tab/>
      </w:r>
      <w:r w:rsidR="00FC0DD1">
        <w:fldChar w:fldCharType="begin"/>
      </w:r>
      <w:r>
        <w:instrText xml:space="preserve"> PAGEREF _Toc364688855 \h </w:instrText>
      </w:r>
      <w:r w:rsidR="00FC0DD1">
        <w:fldChar w:fldCharType="separate"/>
      </w:r>
      <w:r w:rsidR="00F93DEC">
        <w:t>16</w:t>
      </w:r>
      <w:r w:rsidR="00FC0DD1">
        <w:fldChar w:fldCharType="end"/>
      </w:r>
    </w:p>
    <w:p w:rsidR="008C121F" w:rsidRDefault="008C121F">
      <w:pPr>
        <w:pStyle w:val="TableofFigures"/>
        <w:tabs>
          <w:tab w:val="left" w:pos="880"/>
        </w:tabs>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 xml:space="preserve">Cluster 2 universities’ rates of admission on the basis of a VET award </w:t>
      </w:r>
      <w:r>
        <w:br/>
        <w:t>by broad field of education</w:t>
      </w:r>
      <w:r w:rsidR="00837079">
        <w:t xml:space="preserve"> cluster</w:t>
      </w:r>
      <w:r>
        <w:t>, Australia, 2010</w:t>
      </w:r>
      <w:r>
        <w:tab/>
      </w:r>
      <w:r w:rsidR="00FC0DD1">
        <w:fldChar w:fldCharType="begin"/>
      </w:r>
      <w:r>
        <w:instrText xml:space="preserve"> PAGEREF _Toc364688856 \h </w:instrText>
      </w:r>
      <w:r w:rsidR="00FC0DD1">
        <w:fldChar w:fldCharType="separate"/>
      </w:r>
      <w:r w:rsidR="00F93DEC">
        <w:t>17</w:t>
      </w:r>
      <w:r w:rsidR="00FC0DD1">
        <w:fldChar w:fldCharType="end"/>
      </w:r>
    </w:p>
    <w:p w:rsidR="008C121F" w:rsidRDefault="008C121F">
      <w:pPr>
        <w:pStyle w:val="TableofFigures"/>
        <w:tabs>
          <w:tab w:val="left" w:pos="880"/>
        </w:tabs>
        <w:rPr>
          <w:rFonts w:asciiTheme="minorHAnsi" w:eastAsiaTheme="minorEastAsia" w:hAnsiTheme="minorHAnsi" w:cstheme="minorBidi"/>
          <w:color w:val="auto"/>
          <w:sz w:val="22"/>
          <w:szCs w:val="22"/>
          <w:lang w:eastAsia="en-AU"/>
        </w:rPr>
      </w:pPr>
      <w:r>
        <w:t>7</w:t>
      </w:r>
      <w:r>
        <w:rPr>
          <w:rFonts w:asciiTheme="minorHAnsi" w:eastAsiaTheme="minorEastAsia" w:hAnsiTheme="minorHAnsi" w:cstheme="minorBidi"/>
          <w:color w:val="auto"/>
          <w:sz w:val="22"/>
          <w:szCs w:val="22"/>
          <w:lang w:eastAsia="en-AU"/>
        </w:rPr>
        <w:tab/>
      </w:r>
      <w:r>
        <w:t xml:space="preserve">Cluster 3 universities’ rates of admission on the basis of a VET award </w:t>
      </w:r>
      <w:r>
        <w:br/>
        <w:t>by broad field of education</w:t>
      </w:r>
      <w:r w:rsidR="00837079">
        <w:t xml:space="preserve"> cluster</w:t>
      </w:r>
      <w:r>
        <w:t>, Australia, 2010</w:t>
      </w:r>
      <w:r>
        <w:tab/>
      </w:r>
      <w:r w:rsidR="00FC0DD1">
        <w:fldChar w:fldCharType="begin"/>
      </w:r>
      <w:r>
        <w:instrText xml:space="preserve"> PAGEREF _Toc364688857 \h </w:instrText>
      </w:r>
      <w:r w:rsidR="00FC0DD1">
        <w:fldChar w:fldCharType="separate"/>
      </w:r>
      <w:r w:rsidR="00F93DEC">
        <w:t>18</w:t>
      </w:r>
      <w:r w:rsidR="00FC0DD1">
        <w:fldChar w:fldCharType="end"/>
      </w:r>
    </w:p>
    <w:p w:rsidR="008C121F" w:rsidRDefault="008C121F">
      <w:pPr>
        <w:pStyle w:val="TableofFigures"/>
        <w:tabs>
          <w:tab w:val="left" w:pos="880"/>
        </w:tabs>
        <w:rPr>
          <w:rFonts w:asciiTheme="minorHAnsi" w:eastAsiaTheme="minorEastAsia" w:hAnsiTheme="minorHAnsi" w:cstheme="minorBidi"/>
          <w:color w:val="auto"/>
          <w:sz w:val="22"/>
          <w:szCs w:val="22"/>
          <w:lang w:eastAsia="en-AU"/>
        </w:rPr>
      </w:pPr>
      <w:r>
        <w:t>8</w:t>
      </w:r>
      <w:r>
        <w:rPr>
          <w:rFonts w:asciiTheme="minorHAnsi" w:eastAsiaTheme="minorEastAsia" w:hAnsiTheme="minorHAnsi" w:cstheme="minorBidi"/>
          <w:color w:val="auto"/>
          <w:sz w:val="22"/>
          <w:szCs w:val="22"/>
          <w:lang w:eastAsia="en-AU"/>
        </w:rPr>
        <w:tab/>
      </w:r>
      <w:r>
        <w:t xml:space="preserve">VET award holders and all undergraduate commencements, by top ten providers of undergraduate programs in management and commerce </w:t>
      </w:r>
      <w:r>
        <w:br/>
        <w:t>(FOE 08), Australia, 2010</w:t>
      </w:r>
      <w:r>
        <w:tab/>
      </w:r>
      <w:r w:rsidR="00FC0DD1">
        <w:fldChar w:fldCharType="begin"/>
      </w:r>
      <w:r>
        <w:instrText xml:space="preserve"> PAGEREF _Toc364688858 \h </w:instrText>
      </w:r>
      <w:r w:rsidR="00FC0DD1">
        <w:fldChar w:fldCharType="separate"/>
      </w:r>
      <w:r w:rsidR="00F93DEC">
        <w:t>20</w:t>
      </w:r>
      <w:r w:rsidR="00FC0DD1">
        <w:fldChar w:fldCharType="end"/>
      </w:r>
    </w:p>
    <w:p w:rsidR="008C121F" w:rsidRDefault="008C121F">
      <w:pPr>
        <w:pStyle w:val="TableofFigures"/>
        <w:tabs>
          <w:tab w:val="left" w:pos="880"/>
        </w:tabs>
        <w:rPr>
          <w:rFonts w:asciiTheme="minorHAnsi" w:eastAsiaTheme="minorEastAsia" w:hAnsiTheme="minorHAnsi" w:cstheme="minorBidi"/>
          <w:color w:val="auto"/>
          <w:sz w:val="22"/>
          <w:szCs w:val="22"/>
          <w:lang w:eastAsia="en-AU"/>
        </w:rPr>
      </w:pPr>
      <w:r>
        <w:t>9</w:t>
      </w:r>
      <w:r>
        <w:rPr>
          <w:rFonts w:asciiTheme="minorHAnsi" w:eastAsiaTheme="minorEastAsia" w:hAnsiTheme="minorHAnsi" w:cstheme="minorBidi"/>
          <w:color w:val="auto"/>
          <w:sz w:val="22"/>
          <w:szCs w:val="22"/>
          <w:lang w:eastAsia="en-AU"/>
        </w:rPr>
        <w:tab/>
      </w:r>
      <w:r>
        <w:t xml:space="preserve">Enrolment share and admission rates of VET award holders by </w:t>
      </w:r>
      <w:r>
        <w:br/>
        <w:t xml:space="preserve">institutional clusters in management and commerce (FOE 08), </w:t>
      </w:r>
      <w:r>
        <w:br/>
        <w:t>Australia, 2010</w:t>
      </w:r>
      <w:r>
        <w:tab/>
      </w:r>
      <w:r w:rsidR="00FC0DD1">
        <w:fldChar w:fldCharType="begin"/>
      </w:r>
      <w:r>
        <w:instrText xml:space="preserve"> PAGEREF _Toc364688859 \h </w:instrText>
      </w:r>
      <w:r w:rsidR="00FC0DD1">
        <w:fldChar w:fldCharType="separate"/>
      </w:r>
      <w:r w:rsidR="00F93DEC">
        <w:t>21</w:t>
      </w:r>
      <w:r w:rsidR="00FC0DD1">
        <w:fldChar w:fldCharType="end"/>
      </w:r>
    </w:p>
    <w:p w:rsidR="008C121F" w:rsidRDefault="008C121F">
      <w:pPr>
        <w:pStyle w:val="TableofFigures"/>
        <w:tabs>
          <w:tab w:val="left" w:pos="1100"/>
        </w:tabs>
        <w:rPr>
          <w:rFonts w:asciiTheme="minorHAnsi" w:eastAsiaTheme="minorEastAsia" w:hAnsiTheme="minorHAnsi" w:cstheme="minorBidi"/>
          <w:color w:val="auto"/>
          <w:sz w:val="22"/>
          <w:szCs w:val="22"/>
          <w:lang w:eastAsia="en-AU"/>
        </w:rPr>
      </w:pPr>
      <w:r>
        <w:t>10</w:t>
      </w:r>
      <w:r>
        <w:rPr>
          <w:rFonts w:asciiTheme="minorHAnsi" w:eastAsiaTheme="minorEastAsia" w:hAnsiTheme="minorHAnsi" w:cstheme="minorBidi"/>
          <w:color w:val="auto"/>
          <w:sz w:val="22"/>
          <w:szCs w:val="22"/>
          <w:lang w:eastAsia="en-AU"/>
        </w:rPr>
        <w:tab/>
      </w:r>
      <w:r>
        <w:t xml:space="preserve">VET award holders and all undergraduate commencements, by top </w:t>
      </w:r>
      <w:r>
        <w:br/>
        <w:t>ten providers of undergraduate programs in electrical and electronic engineering and technology (FOE 0305), Australia, 2010</w:t>
      </w:r>
      <w:r>
        <w:tab/>
      </w:r>
      <w:r w:rsidR="00FC0DD1">
        <w:fldChar w:fldCharType="begin"/>
      </w:r>
      <w:r>
        <w:instrText xml:space="preserve"> PAGEREF _Toc364688860 \h </w:instrText>
      </w:r>
      <w:r w:rsidR="00FC0DD1">
        <w:fldChar w:fldCharType="separate"/>
      </w:r>
      <w:r w:rsidR="00F93DEC">
        <w:t>22</w:t>
      </w:r>
      <w:r w:rsidR="00FC0DD1">
        <w:fldChar w:fldCharType="end"/>
      </w:r>
    </w:p>
    <w:p w:rsidR="00C04DA7" w:rsidRDefault="00FC0DD1" w:rsidP="004E7227">
      <w:pPr>
        <w:pStyle w:val="Heading2"/>
        <w:rPr>
          <w:noProof/>
        </w:rPr>
      </w:pPr>
      <w:r>
        <w:fldChar w:fldCharType="end"/>
      </w:r>
      <w:bookmarkStart w:id="26" w:name="_Toc296497517"/>
      <w:bookmarkStart w:id="27" w:name="_Toc298162802"/>
      <w:bookmarkStart w:id="28" w:name="_Toc364688824"/>
      <w:bookmarkStart w:id="29" w:name="_Toc367450610"/>
      <w:r w:rsidR="004E7227">
        <w:t>Figures</w:t>
      </w:r>
      <w:bookmarkEnd w:id="26"/>
      <w:bookmarkEnd w:id="27"/>
      <w:bookmarkEnd w:id="28"/>
      <w:bookmarkEnd w:id="29"/>
      <w:r>
        <w:rPr>
          <w:rFonts w:ascii="Garamond" w:hAnsi="Garamond"/>
          <w:sz w:val="22"/>
        </w:rPr>
        <w:fldChar w:fldCharType="begin"/>
      </w:r>
      <w:r w:rsidR="004E7227">
        <w:instrText xml:space="preserve"> TOC \t "Figuretitle" \c </w:instrText>
      </w:r>
      <w:r>
        <w:rPr>
          <w:rFonts w:ascii="Garamond" w:hAnsi="Garamond"/>
          <w:sz w:val="22"/>
        </w:rPr>
        <w:fldChar w:fldCharType="separate"/>
      </w:r>
    </w:p>
    <w:p w:rsidR="00C04DA7" w:rsidRDefault="00C04DA7">
      <w:pPr>
        <w:pStyle w:val="TableofFigures"/>
        <w:tabs>
          <w:tab w:val="left" w:pos="1100"/>
        </w:tabs>
        <w:rPr>
          <w:rFonts w:asciiTheme="minorHAnsi" w:eastAsiaTheme="minorEastAsia" w:hAnsiTheme="minorHAnsi" w:cstheme="minorBidi"/>
          <w:color w:val="auto"/>
          <w:sz w:val="22"/>
          <w:szCs w:val="22"/>
          <w:lang w:eastAsia="en-AU"/>
        </w:rPr>
      </w:pPr>
      <w:r>
        <w:t>1</w:t>
      </w:r>
      <w:r>
        <w:rPr>
          <w:rFonts w:asciiTheme="minorHAnsi" w:eastAsiaTheme="minorEastAsia" w:hAnsiTheme="minorHAnsi" w:cstheme="minorBidi"/>
          <w:color w:val="auto"/>
          <w:sz w:val="22"/>
          <w:szCs w:val="22"/>
          <w:lang w:eastAsia="en-AU"/>
        </w:rPr>
        <w:tab/>
      </w:r>
      <w:r>
        <w:t xml:space="preserve">Proportion of total undergraduate commencements admitted on the </w:t>
      </w:r>
      <w:r>
        <w:br/>
        <w:t xml:space="preserve">basis of a  VET award (domestic and overseas), by institution, </w:t>
      </w:r>
      <w:r>
        <w:br/>
        <w:t>Australia, 2010</w:t>
      </w:r>
      <w:r>
        <w:tab/>
      </w:r>
      <w:r w:rsidR="00FC0DD1">
        <w:fldChar w:fldCharType="begin"/>
      </w:r>
      <w:r>
        <w:instrText xml:space="preserve"> PAGEREF _Toc367362965 \h </w:instrText>
      </w:r>
      <w:r w:rsidR="00FC0DD1">
        <w:fldChar w:fldCharType="separate"/>
      </w:r>
      <w:r w:rsidR="00F93DEC">
        <w:t>12</w:t>
      </w:r>
      <w:r w:rsidR="00FC0DD1">
        <w:fldChar w:fldCharType="end"/>
      </w:r>
    </w:p>
    <w:p w:rsidR="00C04DA7" w:rsidRDefault="00C04DA7">
      <w:pPr>
        <w:pStyle w:val="TableofFigures"/>
        <w:tabs>
          <w:tab w:val="left" w:pos="110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Average admissions on the basis of a VET award for each institutional cluster by broad field of education, Australia, 2010</w:t>
      </w:r>
      <w:r>
        <w:tab/>
      </w:r>
      <w:r w:rsidR="00FC0DD1">
        <w:fldChar w:fldCharType="begin"/>
      </w:r>
      <w:r>
        <w:instrText xml:space="preserve"> PAGEREF _Toc367362966 \h </w:instrText>
      </w:r>
      <w:r w:rsidR="00FC0DD1">
        <w:fldChar w:fldCharType="separate"/>
      </w:r>
      <w:r w:rsidR="00F93DEC">
        <w:t>19</w:t>
      </w:r>
      <w:r w:rsidR="00FC0DD1">
        <w:fldChar w:fldCharType="end"/>
      </w:r>
    </w:p>
    <w:p w:rsidR="00C04DA7" w:rsidRDefault="00C04DA7">
      <w:pPr>
        <w:pStyle w:val="TableofFigures"/>
        <w:tabs>
          <w:tab w:val="left" w:pos="110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 xml:space="preserve">Institutional clusters’ share of undergraduate commencing students </w:t>
      </w:r>
      <w:r>
        <w:br/>
        <w:t xml:space="preserve">by broad field of education, and rate of admission of students on the </w:t>
      </w:r>
      <w:r>
        <w:br/>
        <w:t>basis of a VET award, Australia, 2010</w:t>
      </w:r>
      <w:r>
        <w:tab/>
      </w:r>
      <w:r w:rsidR="00FC0DD1">
        <w:fldChar w:fldCharType="begin"/>
      </w:r>
      <w:r>
        <w:instrText xml:space="preserve"> PAGEREF _Toc367362967 \h </w:instrText>
      </w:r>
      <w:r w:rsidR="00FC0DD1">
        <w:fldChar w:fldCharType="separate"/>
      </w:r>
      <w:r w:rsidR="00F93DEC">
        <w:t>23</w:t>
      </w:r>
      <w:r w:rsidR="00FC0DD1">
        <w:fldChar w:fldCharType="end"/>
      </w:r>
    </w:p>
    <w:p w:rsidR="004E7227" w:rsidRDefault="00FC0DD1" w:rsidP="004E7227">
      <w:pPr>
        <w:pStyle w:val="TableofFigures"/>
      </w:pPr>
      <w:r>
        <w:fldChar w:fldCharType="end"/>
      </w:r>
    </w:p>
    <w:p w:rsidR="003D1B17" w:rsidRDefault="00A93867" w:rsidP="00065454">
      <w:pPr>
        <w:spacing w:before="0" w:line="240" w:lineRule="auto"/>
      </w:pPr>
      <w:r w:rsidRPr="00A93867">
        <w:rPr>
          <w:b/>
        </w:rPr>
        <w:br w:type="page"/>
      </w:r>
    </w:p>
    <w:p w:rsidR="00B47C72" w:rsidRPr="00413E0C" w:rsidRDefault="00EC7435" w:rsidP="00E771C5">
      <w:pPr>
        <w:pStyle w:val="Heading1"/>
        <w:rPr>
          <w:b/>
        </w:rPr>
      </w:pPr>
      <w:bookmarkStart w:id="30" w:name="_Toc367450611"/>
      <w:r>
        <w:lastRenderedPageBreak/>
        <w:t>Executive s</w:t>
      </w:r>
      <w:r w:rsidR="00BE02B8">
        <w:t>ummary</w:t>
      </w:r>
      <w:bookmarkEnd w:id="30"/>
    </w:p>
    <w:p w:rsidR="00BE02B8" w:rsidRPr="000C259A" w:rsidRDefault="00BE02B8" w:rsidP="000C259A">
      <w:pPr>
        <w:pStyle w:val="Text"/>
        <w:ind w:right="-143"/>
      </w:pPr>
      <w:r>
        <w:t xml:space="preserve">Australia has a national policy framework to promote student pathways from vocational to higher education. Under the </w:t>
      </w:r>
      <w:r w:rsidR="00EC7435">
        <w:t>Australian Qualifications Framework (</w:t>
      </w:r>
      <w:r>
        <w:t>AQF</w:t>
      </w:r>
      <w:r w:rsidR="00EC7435">
        <w:t>)</w:t>
      </w:r>
      <w:r>
        <w:t xml:space="preserve"> </w:t>
      </w:r>
      <w:r w:rsidR="000B702C">
        <w:t>pathways policy</w:t>
      </w:r>
      <w:r>
        <w:t>, institutions in bot</w:t>
      </w:r>
      <w:r w:rsidR="000B702C">
        <w:t>h sectors are expected to have ‘</w:t>
      </w:r>
      <w:r>
        <w:t>clear, accessible and transparent policies and processes to provide qualifications pathways and c</w:t>
      </w:r>
      <w:r w:rsidR="000B702C">
        <w:t>redit arrangements for students’</w:t>
      </w:r>
      <w:r>
        <w:t xml:space="preserve"> (A</w:t>
      </w:r>
      <w:r w:rsidR="000B702C">
        <w:t>ustralian Qualifications Framework Council 2011, p.</w:t>
      </w:r>
      <w:r>
        <w:t xml:space="preserve">66). To be eligible under the FEE-HELP student loans scheme, </w:t>
      </w:r>
      <w:r w:rsidR="000B702C">
        <w:t>vocational education and training (</w:t>
      </w:r>
      <w:r>
        <w:t>VET</w:t>
      </w:r>
      <w:r w:rsidR="000B702C">
        <w:t>) courses at the d</w:t>
      </w:r>
      <w:r>
        <w:t xml:space="preserve">iploma level or above must have at least one </w:t>
      </w:r>
      <w:r w:rsidRPr="000C259A">
        <w:t>approved cr</w:t>
      </w:r>
      <w:r w:rsidR="000B702C" w:rsidRPr="000C259A">
        <w:t>edit transfer arrangement to a b</w:t>
      </w:r>
      <w:r w:rsidRPr="000C259A">
        <w:t xml:space="preserve">achelor degree with a higher education provider (Australian Government 2011). </w:t>
      </w:r>
    </w:p>
    <w:p w:rsidR="00BE02B8" w:rsidRPr="000C259A" w:rsidRDefault="00BE02B8" w:rsidP="000C259A">
      <w:pPr>
        <w:pStyle w:val="Text"/>
      </w:pPr>
      <w:r w:rsidRPr="000C259A">
        <w:t>B</w:t>
      </w:r>
      <w:r w:rsidR="000B702C" w:rsidRPr="000C259A">
        <w:t>ut the effectiveness of a VET to higher education</w:t>
      </w:r>
      <w:r w:rsidRPr="000C259A">
        <w:t xml:space="preserve"> pathway cannot be assured through credit transfer arrangements alone. Some of the most generous credit transfer arrangements can be so poorly conceived that they may compound the disadvantage faced by students admitted to university on the bas</w:t>
      </w:r>
      <w:r w:rsidR="00B80BDF" w:rsidRPr="000C259A">
        <w:t>is of a VET award (Harris, Rainey &amp; Sumner</w:t>
      </w:r>
      <w:r w:rsidRPr="000C259A">
        <w:t xml:space="preserve"> 2005; Watson 2006). A commitment by institutions in both sectors to create viable </w:t>
      </w:r>
      <w:r w:rsidR="00B80BDF" w:rsidRPr="000C259A">
        <w:t xml:space="preserve">VET to higher education pathways </w:t>
      </w:r>
      <w:r w:rsidRPr="000C259A">
        <w:t>and to support students on these pathway</w:t>
      </w:r>
      <w:r w:rsidR="00115380" w:rsidRPr="000C259A">
        <w:t>s at critical transition points</w:t>
      </w:r>
      <w:r w:rsidRPr="000C259A">
        <w:t xml:space="preserve"> remains a key factor in supporting the successful transition into university by VET graduates. However, in the view of Walls and </w:t>
      </w:r>
      <w:proofErr w:type="spellStart"/>
      <w:r w:rsidRPr="000C259A">
        <w:t>Pardy</w:t>
      </w:r>
      <w:proofErr w:type="spellEnd"/>
      <w:r w:rsidRPr="000C259A">
        <w:t xml:space="preserve"> (2010), the institutional arrangements put in place by providers to create and support </w:t>
      </w:r>
      <w:r w:rsidR="00B80BDF" w:rsidRPr="000C259A">
        <w:t>VET to higher education pathways are highly variable: ‘</w:t>
      </w:r>
      <w:r w:rsidRPr="000C259A">
        <w:t>the formal structuring of articulation between VET and higher education occurs on a spectrum ranging f</w:t>
      </w:r>
      <w:r w:rsidR="00B80BDF" w:rsidRPr="000C259A">
        <w:t>rom well-organised to haphazard’</w:t>
      </w:r>
      <w:r w:rsidRPr="000C259A">
        <w:t xml:space="preserve"> (Walls </w:t>
      </w:r>
      <w:r w:rsidR="00B80BDF" w:rsidRPr="000C259A">
        <w:t>&amp;</w:t>
      </w:r>
      <w:r w:rsidR="00115380" w:rsidRPr="000C259A">
        <w:t xml:space="preserve"> </w:t>
      </w:r>
      <w:proofErr w:type="spellStart"/>
      <w:r w:rsidR="00115380" w:rsidRPr="000C259A">
        <w:t>Pardy</w:t>
      </w:r>
      <w:proofErr w:type="spellEnd"/>
      <w:r w:rsidRPr="000C259A">
        <w:t xml:space="preserve"> 2010</w:t>
      </w:r>
      <w:r w:rsidR="00115380" w:rsidRPr="000C259A">
        <w:t>,</w:t>
      </w:r>
      <w:r w:rsidRPr="000C259A">
        <w:t xml:space="preserve"> p.25). </w:t>
      </w:r>
    </w:p>
    <w:p w:rsidR="00BE02B8" w:rsidRPr="000C259A" w:rsidRDefault="00BE02B8" w:rsidP="000C259A">
      <w:pPr>
        <w:pStyle w:val="Text"/>
      </w:pPr>
      <w:r w:rsidRPr="000C259A">
        <w:t xml:space="preserve">While the proportion of students admitted to higher education on the basis of a VET award nationally is now around </w:t>
      </w:r>
      <w:r w:rsidR="00115380" w:rsidRPr="000C259A">
        <w:t>10%</w:t>
      </w:r>
      <w:r w:rsidRPr="000C259A">
        <w:t xml:space="preserve">, there is considerable variation in the rates of admission between higher education institutions. This study aimed to investigate the extent to which these differences were the product of the discipline mix of </w:t>
      </w:r>
      <w:r w:rsidR="00420554" w:rsidRPr="000C259A">
        <w:t xml:space="preserve">each </w:t>
      </w:r>
      <w:r w:rsidRPr="000C259A">
        <w:t>universit</w:t>
      </w:r>
      <w:r w:rsidR="00420554" w:rsidRPr="000C259A">
        <w:t>y</w:t>
      </w:r>
      <w:r w:rsidRPr="000C259A">
        <w:t xml:space="preserve"> (</w:t>
      </w:r>
      <w:r w:rsidR="00B80BDF" w:rsidRPr="000C259A">
        <w:t>that is,</w:t>
      </w:r>
      <w:r w:rsidRPr="000C259A">
        <w:t xml:space="preserve"> </w:t>
      </w:r>
      <w:r w:rsidR="00003071" w:rsidRPr="000C259A">
        <w:t xml:space="preserve">factors related to the </w:t>
      </w:r>
      <w:r w:rsidRPr="000C259A">
        <w:t>field of study) or the result of institutional policies and practices (</w:t>
      </w:r>
      <w:r w:rsidR="00B80BDF" w:rsidRPr="000C259A">
        <w:t>that is,</w:t>
      </w:r>
      <w:r w:rsidR="00003071" w:rsidRPr="000C259A">
        <w:t xml:space="preserve"> factors related to the university)</w:t>
      </w:r>
      <w:r w:rsidR="00420554" w:rsidRPr="000C259A">
        <w:t>, whil</w:t>
      </w:r>
      <w:r w:rsidR="00B80BDF" w:rsidRPr="000C259A">
        <w:t>e</w:t>
      </w:r>
      <w:r w:rsidR="00003071" w:rsidRPr="000C259A">
        <w:t xml:space="preserve"> acknowledging that the latter </w:t>
      </w:r>
      <w:r w:rsidRPr="000C259A">
        <w:t>may or may not be the product of explicit decisions by universities based on their perceived ‘competitive position’.</w:t>
      </w:r>
    </w:p>
    <w:p w:rsidR="00BE02B8" w:rsidRPr="000C259A" w:rsidRDefault="00BE02B8" w:rsidP="000C259A">
      <w:pPr>
        <w:pStyle w:val="Text"/>
      </w:pPr>
      <w:r w:rsidRPr="000C259A">
        <w:t xml:space="preserve">The first section of this report presents data on the distribution of VET </w:t>
      </w:r>
      <w:r w:rsidR="00B87FBB" w:rsidRPr="000C259A">
        <w:t>award holders</w:t>
      </w:r>
      <w:r w:rsidRPr="000C259A">
        <w:t xml:space="preserve"> between universities and jurisdictions in Australia, the characteristics of VET </w:t>
      </w:r>
      <w:r w:rsidR="00B87FBB" w:rsidRPr="000C259A">
        <w:t>award holders</w:t>
      </w:r>
      <w:r w:rsidRPr="000C259A">
        <w:t xml:space="preserve"> in higher education</w:t>
      </w:r>
      <w:r w:rsidR="00837079">
        <w:t>,</w:t>
      </w:r>
      <w:r w:rsidRPr="000C259A">
        <w:t xml:space="preserve"> and variations between fields of education. </w:t>
      </w:r>
    </w:p>
    <w:p w:rsidR="00BE02B8" w:rsidRPr="000C259A" w:rsidRDefault="00BE02B8" w:rsidP="000C259A">
      <w:pPr>
        <w:pStyle w:val="Text"/>
      </w:pPr>
      <w:r w:rsidRPr="000C259A">
        <w:t>In the second section of the report, the authors use cluster analysis to investigate differences between universities and fields of education. The analysis is conducted in three parts. First, clusters o</w:t>
      </w:r>
      <w:r w:rsidR="00B80BDF" w:rsidRPr="000C259A">
        <w:t>f institutions are identified; s</w:t>
      </w:r>
      <w:r w:rsidRPr="000C259A">
        <w:t>econd, the fields of education are clustered to identify pat</w:t>
      </w:r>
      <w:r w:rsidR="00B80BDF" w:rsidRPr="000C259A">
        <w:t>terns of admissions within them; and</w:t>
      </w:r>
      <w:r w:rsidR="00115380" w:rsidRPr="000C259A">
        <w:t>,</w:t>
      </w:r>
      <w:r w:rsidR="00B80BDF" w:rsidRPr="000C259A">
        <w:t xml:space="preserve"> f</w:t>
      </w:r>
      <w:r w:rsidRPr="000C259A">
        <w:t xml:space="preserve">inally, each university is profiled by their institutional and broad fields of education cluster. </w:t>
      </w:r>
    </w:p>
    <w:p w:rsidR="00BE02B8" w:rsidRPr="000C259A" w:rsidRDefault="00B80BDF" w:rsidP="000C259A">
      <w:pPr>
        <w:pStyle w:val="Text"/>
      </w:pPr>
      <w:r w:rsidRPr="000C259A">
        <w:t>The third section</w:t>
      </w:r>
      <w:r w:rsidR="00BE02B8" w:rsidRPr="000C259A">
        <w:t xml:space="preserve"> explores the admission rates of VET </w:t>
      </w:r>
      <w:r w:rsidR="00B87FBB" w:rsidRPr="000C259A">
        <w:t>award holders</w:t>
      </w:r>
      <w:r w:rsidR="00BE02B8" w:rsidRPr="000C259A">
        <w:t xml:space="preserve"> by field of education</w:t>
      </w:r>
      <w:r w:rsidR="0090547D" w:rsidRPr="000C259A">
        <w:t xml:space="preserve"> (FOE)</w:t>
      </w:r>
      <w:r w:rsidR="00BE02B8" w:rsidRPr="000C259A">
        <w:t xml:space="preserve"> and the interaction between </w:t>
      </w:r>
      <w:r w:rsidR="00837079">
        <w:t xml:space="preserve">the </w:t>
      </w:r>
      <w:r w:rsidR="00BE02B8" w:rsidRPr="000C259A">
        <w:t>institutional factors and fields of education revealed in the cluster analysis, drawing on the findings of a detailed analysis of four broad fields of education</w:t>
      </w:r>
      <w:r w:rsidR="00115380" w:rsidRPr="000C259A">
        <w:t xml:space="preserve"> (given</w:t>
      </w:r>
      <w:r w:rsidR="00BE02B8" w:rsidRPr="000C259A">
        <w:t xml:space="preserve"> in the support document</w:t>
      </w:r>
      <w:r w:rsidR="00115380" w:rsidRPr="000C259A">
        <w:t>)</w:t>
      </w:r>
      <w:r w:rsidR="00BE02B8" w:rsidRPr="000C259A">
        <w:t>.</w:t>
      </w:r>
    </w:p>
    <w:p w:rsidR="00BE02B8" w:rsidRDefault="00BE02B8" w:rsidP="000C259A">
      <w:pPr>
        <w:pStyle w:val="Text"/>
      </w:pPr>
      <w:r w:rsidRPr="000C259A">
        <w:t xml:space="preserve">The final section examines institutional policies and practices in regard to </w:t>
      </w:r>
      <w:r w:rsidR="00B80BDF" w:rsidRPr="000C259A">
        <w:t>VET to higher</w:t>
      </w:r>
      <w:r w:rsidR="00B80BDF">
        <w:t xml:space="preserve"> education pathways</w:t>
      </w:r>
      <w:r w:rsidR="00115380">
        <w:t>,</w:t>
      </w:r>
      <w:r w:rsidR="00B80BDF">
        <w:t xml:space="preserve"> </w:t>
      </w:r>
      <w:r>
        <w:t xml:space="preserve">with the aim of understanding differences between the practices of universities in each cluster and how these may influence the admission rates of students on the basis of a VET award. </w:t>
      </w:r>
    </w:p>
    <w:p w:rsidR="00FB1170" w:rsidRDefault="00FB1170">
      <w:pPr>
        <w:spacing w:before="0" w:line="240" w:lineRule="auto"/>
        <w:rPr>
          <w:rFonts w:ascii="Tahoma" w:hAnsi="Tahoma" w:cs="Tahoma"/>
          <w:color w:val="000000"/>
          <w:sz w:val="24"/>
        </w:rPr>
      </w:pPr>
      <w:r>
        <w:br w:type="page"/>
      </w:r>
    </w:p>
    <w:p w:rsidR="00BE02B8" w:rsidRDefault="00BE02B8" w:rsidP="000C259A">
      <w:pPr>
        <w:pStyle w:val="Heading2"/>
      </w:pPr>
      <w:bookmarkStart w:id="31" w:name="_Toc364688826"/>
      <w:bookmarkStart w:id="32" w:name="_Toc367450612"/>
      <w:r>
        <w:lastRenderedPageBreak/>
        <w:t>Findings</w:t>
      </w:r>
      <w:bookmarkEnd w:id="31"/>
      <w:bookmarkEnd w:id="32"/>
    </w:p>
    <w:p w:rsidR="002A7913" w:rsidRPr="000C259A" w:rsidRDefault="00B47C72" w:rsidP="000C259A">
      <w:pPr>
        <w:pStyle w:val="Text"/>
      </w:pPr>
      <w:r w:rsidRPr="00846E79">
        <w:t>This study</w:t>
      </w:r>
      <w:r w:rsidR="00115380">
        <w:t>, which</w:t>
      </w:r>
      <w:r w:rsidRPr="00846E79">
        <w:t xml:space="preserve"> </w:t>
      </w:r>
      <w:r>
        <w:t xml:space="preserve">explores patterns of admission of VET </w:t>
      </w:r>
      <w:r w:rsidR="00B87FBB">
        <w:t>award holders</w:t>
      </w:r>
      <w:r>
        <w:t xml:space="preserve"> into 37 </w:t>
      </w:r>
      <w:proofErr w:type="gramStart"/>
      <w:r>
        <w:t>publicly</w:t>
      </w:r>
      <w:proofErr w:type="gramEnd"/>
      <w:r>
        <w:t xml:space="preserve"> funded </w:t>
      </w:r>
      <w:r w:rsidR="00420554">
        <w:t xml:space="preserve">Australian </w:t>
      </w:r>
      <w:r w:rsidRPr="000C259A">
        <w:t xml:space="preserve">universities by institution and field of </w:t>
      </w:r>
      <w:r w:rsidR="00420554" w:rsidRPr="000C259A">
        <w:t>education,</w:t>
      </w:r>
      <w:r w:rsidR="00BE02B8" w:rsidRPr="000C259A">
        <w:t xml:space="preserve"> us</w:t>
      </w:r>
      <w:r w:rsidR="00115380" w:rsidRPr="000C259A">
        <w:t>es</w:t>
      </w:r>
      <w:r w:rsidR="00BE02B8" w:rsidRPr="000C259A">
        <w:t xml:space="preserve"> administrative data from the VET and higher education sectors.</w:t>
      </w:r>
      <w:r w:rsidR="005C6B8E" w:rsidRPr="000C259A">
        <w:rPr>
          <w:rStyle w:val="FootnoteReference"/>
          <w:szCs w:val="19"/>
        </w:rPr>
        <w:footnoteReference w:id="1"/>
      </w:r>
      <w:r w:rsidR="00077FA7" w:rsidRPr="000C259A">
        <w:t xml:space="preserve"> </w:t>
      </w:r>
    </w:p>
    <w:p w:rsidR="00077FA7" w:rsidRPr="000C259A" w:rsidRDefault="00420554" w:rsidP="000C259A">
      <w:pPr>
        <w:pStyle w:val="Text"/>
        <w:ind w:right="-143"/>
      </w:pPr>
      <w:r w:rsidRPr="000C259A">
        <w:t xml:space="preserve">The cluster analysis </w:t>
      </w:r>
      <w:r w:rsidR="008134F7" w:rsidRPr="000C259A">
        <w:t xml:space="preserve">that </w:t>
      </w:r>
      <w:r w:rsidR="00B80BDF" w:rsidRPr="000C259A">
        <w:t>examine</w:t>
      </w:r>
      <w:r w:rsidR="008134F7" w:rsidRPr="000C259A">
        <w:t>d</w:t>
      </w:r>
      <w:r w:rsidR="00B80BDF" w:rsidRPr="000C259A">
        <w:t xml:space="preserve"> differences in the proportion of VET </w:t>
      </w:r>
      <w:r w:rsidR="00B87FBB" w:rsidRPr="000C259A">
        <w:t>award holders</w:t>
      </w:r>
      <w:r w:rsidR="00B80BDF" w:rsidRPr="000C259A">
        <w:t xml:space="preserve"> admitted to each university within the </w:t>
      </w:r>
      <w:r w:rsidR="008134F7" w:rsidRPr="000C259A">
        <w:t>12</w:t>
      </w:r>
      <w:r w:rsidR="00B80BDF" w:rsidRPr="000C259A">
        <w:t xml:space="preserve"> broad fields of education </w:t>
      </w:r>
      <w:r w:rsidRPr="000C259A">
        <w:t xml:space="preserve">enabled </w:t>
      </w:r>
      <w:r w:rsidR="00B47C72" w:rsidRPr="000C259A">
        <w:t xml:space="preserve">the authors </w:t>
      </w:r>
      <w:r w:rsidRPr="000C259A">
        <w:t xml:space="preserve">to </w:t>
      </w:r>
      <w:r w:rsidR="00B47C72" w:rsidRPr="000C259A">
        <w:t xml:space="preserve">identify three groups (clusters) of institutions with similar patterns of admission of VET </w:t>
      </w:r>
      <w:r w:rsidR="00B87FBB" w:rsidRPr="000C259A">
        <w:t>award holders</w:t>
      </w:r>
      <w:r w:rsidRPr="000C259A">
        <w:t xml:space="preserve"> across most fields of education</w:t>
      </w:r>
      <w:r w:rsidR="00B47C72" w:rsidRPr="000C259A">
        <w:t xml:space="preserve">. </w:t>
      </w:r>
    </w:p>
    <w:p w:rsidR="00077FA7" w:rsidRPr="000C259A" w:rsidRDefault="00B47C72" w:rsidP="000C259A">
      <w:pPr>
        <w:pStyle w:val="Text"/>
      </w:pPr>
      <w:r w:rsidRPr="000C259A">
        <w:t xml:space="preserve">The seven universities in Cluster 1 admit relatively high proportions of VET </w:t>
      </w:r>
      <w:r w:rsidR="00B87FBB" w:rsidRPr="000C259A">
        <w:t>award holders</w:t>
      </w:r>
      <w:r w:rsidRPr="000C259A">
        <w:t xml:space="preserve"> in all fields of education, with an average rate of </w:t>
      </w:r>
      <w:r w:rsidR="00EF615D" w:rsidRPr="000C259A">
        <w:t>19</w:t>
      </w:r>
      <w:r w:rsidR="008134F7" w:rsidRPr="000C259A">
        <w:t>%</w:t>
      </w:r>
      <w:r w:rsidRPr="000C259A">
        <w:t xml:space="preserve"> overall. </w:t>
      </w:r>
      <w:r w:rsidR="005C6B8E" w:rsidRPr="000C259A">
        <w:t>Thes</w:t>
      </w:r>
      <w:r w:rsidR="008134F7" w:rsidRPr="000C259A">
        <w:t>e universities enrol 24%</w:t>
      </w:r>
      <w:r w:rsidR="005C6B8E" w:rsidRPr="000C259A">
        <w:t xml:space="preserve"> of all undergraduate commencing students.</w:t>
      </w:r>
    </w:p>
    <w:p w:rsidR="00077FA7" w:rsidRPr="000C259A" w:rsidRDefault="00B47C72" w:rsidP="000C259A">
      <w:pPr>
        <w:pStyle w:val="Text"/>
      </w:pPr>
      <w:r w:rsidRPr="000C259A">
        <w:t>Cluster 2 contains 16 universities where the rate of admission of VET award holders is more haphazard between fields of study but is close to the national average overall (10</w:t>
      </w:r>
      <w:r w:rsidR="007A2C97" w:rsidRPr="000C259A">
        <w:t>%</w:t>
      </w:r>
      <w:r w:rsidRPr="000C259A">
        <w:t>). While some universities in this cluster admit relatively high proportions of VET award holders in particular fields of education, unlik</w:t>
      </w:r>
      <w:r w:rsidR="00115380" w:rsidRPr="000C259A">
        <w:t>e the universities in Cluster 1</w:t>
      </w:r>
      <w:r w:rsidRPr="000C259A">
        <w:t xml:space="preserve"> the rates are not consistently high across all fields. </w:t>
      </w:r>
      <w:r w:rsidR="005C6B8E" w:rsidRPr="000C259A">
        <w:t>Universities in Cluster 2 account for 38</w:t>
      </w:r>
      <w:r w:rsidR="008134F7" w:rsidRPr="000C259A">
        <w:t xml:space="preserve">% </w:t>
      </w:r>
      <w:r w:rsidR="005C6B8E" w:rsidRPr="000C259A">
        <w:t>of commencing undergraduate enrolments.</w:t>
      </w:r>
    </w:p>
    <w:p w:rsidR="00B47C72" w:rsidRPr="000C259A" w:rsidRDefault="00B47C72" w:rsidP="000C259A">
      <w:pPr>
        <w:pStyle w:val="Text"/>
      </w:pPr>
      <w:r w:rsidRPr="000C259A">
        <w:t xml:space="preserve">The 14 universities in Cluster 3 admit VET </w:t>
      </w:r>
      <w:r w:rsidR="00B87FBB" w:rsidRPr="000C259A">
        <w:t>award holders</w:t>
      </w:r>
      <w:r w:rsidRPr="000C259A">
        <w:t xml:space="preserve"> at rates consistently below the national average for every field of study, with a few exceptions in specific fields</w:t>
      </w:r>
      <w:r w:rsidR="00164DEA" w:rsidRPr="000C259A">
        <w:t>.</w:t>
      </w:r>
      <w:r w:rsidR="00164DEA" w:rsidRPr="000C259A">
        <w:rPr>
          <w:rStyle w:val="FootnoteReference"/>
          <w:szCs w:val="19"/>
        </w:rPr>
        <w:footnoteReference w:id="2"/>
      </w:r>
      <w:r w:rsidRPr="000C259A">
        <w:t xml:space="preserve"> Overall, the average rate of admission of VET </w:t>
      </w:r>
      <w:r w:rsidR="00B87FBB" w:rsidRPr="000C259A">
        <w:t>award holders</w:t>
      </w:r>
      <w:r w:rsidRPr="000C259A">
        <w:t xml:space="preserve"> for Clus</w:t>
      </w:r>
      <w:r w:rsidR="008134F7" w:rsidRPr="000C259A">
        <w:t>ter 3 universities is 3%</w:t>
      </w:r>
      <w:r w:rsidRPr="000C259A">
        <w:t xml:space="preserve">. </w:t>
      </w:r>
      <w:r w:rsidR="005C6B8E" w:rsidRPr="000C259A">
        <w:t>Cluster 3 universities’ share of</w:t>
      </w:r>
      <w:r w:rsidR="00115380" w:rsidRPr="000C259A">
        <w:t xml:space="preserve"> the</w:t>
      </w:r>
      <w:r w:rsidR="005C6B8E" w:rsidRPr="000C259A">
        <w:t xml:space="preserve"> undergraduate commencing student</w:t>
      </w:r>
      <w:r w:rsidR="00164DEA" w:rsidRPr="000C259A">
        <w:t xml:space="preserve"> load</w:t>
      </w:r>
      <w:r w:rsidR="008134F7" w:rsidRPr="000C259A">
        <w:t xml:space="preserve"> is 38%</w:t>
      </w:r>
      <w:r w:rsidR="005C6B8E" w:rsidRPr="000C259A">
        <w:t xml:space="preserve">. </w:t>
      </w:r>
    </w:p>
    <w:p w:rsidR="00A85121" w:rsidRPr="000C259A" w:rsidRDefault="00A85121" w:rsidP="000C259A">
      <w:pPr>
        <w:pStyle w:val="Text"/>
      </w:pPr>
      <w:r w:rsidRPr="000C259A">
        <w:t xml:space="preserve">Australia’s five dual-sector universities are distributed between Clusters 1 and Cluster 2, which dispels the common assumption that </w:t>
      </w:r>
      <w:r w:rsidR="00B80BDF" w:rsidRPr="000C259A">
        <w:t xml:space="preserve">VET to higher education pathways </w:t>
      </w:r>
      <w:r w:rsidR="008134F7" w:rsidRPr="000C259A">
        <w:t>are the ‘business’ of dual rather than single-</w:t>
      </w:r>
      <w:r w:rsidRPr="000C259A">
        <w:t>sector universities.</w:t>
      </w:r>
      <w:r w:rsidR="00242D38" w:rsidRPr="000C259A">
        <w:t xml:space="preserve"> </w:t>
      </w:r>
    </w:p>
    <w:p w:rsidR="00854E48" w:rsidRPr="000C259A" w:rsidRDefault="00D0565C" w:rsidP="000C259A">
      <w:pPr>
        <w:pStyle w:val="Text"/>
      </w:pPr>
      <w:r w:rsidRPr="000C259A">
        <w:t xml:space="preserve">The </w:t>
      </w:r>
      <w:r w:rsidR="004F7CC9" w:rsidRPr="000C259A">
        <w:t>findings</w:t>
      </w:r>
      <w:r w:rsidRPr="000C259A">
        <w:t xml:space="preserve"> suggest that </w:t>
      </w:r>
      <w:r w:rsidR="00854E48" w:rsidRPr="000C259A">
        <w:t>variation</w:t>
      </w:r>
      <w:r w:rsidR="005907EE" w:rsidRPr="000C259A">
        <w:t>s</w:t>
      </w:r>
      <w:r w:rsidR="00854E48" w:rsidRPr="000C259A">
        <w:t xml:space="preserve"> in the rate of admission of students on the basis of a VET award between fields of education</w:t>
      </w:r>
      <w:r w:rsidR="005907EE" w:rsidRPr="000C259A">
        <w:t xml:space="preserve"> are related to the policies and practices of universities,</w:t>
      </w:r>
      <w:r w:rsidR="00BE6FA4" w:rsidRPr="000C259A">
        <w:t xml:space="preserve"> rather </w:t>
      </w:r>
      <w:r w:rsidR="005907EE" w:rsidRPr="000C259A">
        <w:t xml:space="preserve">than to any characteristics specific to the field of education. </w:t>
      </w:r>
      <w:r w:rsidR="00885D85" w:rsidRPr="000C259A">
        <w:t>Questioning</w:t>
      </w:r>
      <w:r w:rsidR="005907EE" w:rsidRPr="000C259A">
        <w:t xml:space="preserve"> the assumption that some fields of education ‘lend themselves’ more to </w:t>
      </w:r>
      <w:r w:rsidR="00B80BDF" w:rsidRPr="000C259A">
        <w:t xml:space="preserve">VET to higher education pathways </w:t>
      </w:r>
      <w:r w:rsidR="005907EE" w:rsidRPr="000C259A">
        <w:t xml:space="preserve">than others, the authors </w:t>
      </w:r>
      <w:r w:rsidR="00885D85" w:rsidRPr="000C259A">
        <w:t xml:space="preserve">point out that </w:t>
      </w:r>
      <w:r w:rsidR="00115380" w:rsidRPr="000C259A">
        <w:t xml:space="preserve">the </w:t>
      </w:r>
      <w:r w:rsidR="00885D85" w:rsidRPr="000C259A">
        <w:t xml:space="preserve">admission rates of VET </w:t>
      </w:r>
      <w:r w:rsidR="00B87FBB" w:rsidRPr="000C259A">
        <w:t>award holders</w:t>
      </w:r>
      <w:r w:rsidR="00885D85" w:rsidRPr="000C259A">
        <w:t xml:space="preserve"> by Cluster 3 universities are consistently low across all fields of education, with only a few exceptions. They also </w:t>
      </w:r>
      <w:r w:rsidR="005907EE" w:rsidRPr="000C259A">
        <w:t xml:space="preserve">note that in </w:t>
      </w:r>
      <w:r w:rsidR="00854E48" w:rsidRPr="000C259A">
        <w:t>fields where Cluster 3 institutions are the dominant provider</w:t>
      </w:r>
      <w:r w:rsidR="005907EE" w:rsidRPr="000C259A">
        <w:t xml:space="preserve">s, the </w:t>
      </w:r>
      <w:r w:rsidR="00885D85" w:rsidRPr="000C259A">
        <w:t xml:space="preserve">national </w:t>
      </w:r>
      <w:r w:rsidR="005907EE" w:rsidRPr="000C259A">
        <w:t>admission rate</w:t>
      </w:r>
      <w:r w:rsidR="00854E48" w:rsidRPr="000C259A">
        <w:t xml:space="preserve"> of VET </w:t>
      </w:r>
      <w:r w:rsidR="00B87FBB" w:rsidRPr="000C259A">
        <w:t>award holders</w:t>
      </w:r>
      <w:r w:rsidR="00854E48" w:rsidRPr="000C259A">
        <w:t xml:space="preserve"> </w:t>
      </w:r>
      <w:r w:rsidR="005907EE" w:rsidRPr="000C259A">
        <w:t>is</w:t>
      </w:r>
      <w:r w:rsidR="00854E48" w:rsidRPr="000C259A">
        <w:t xml:space="preserve"> lowest, </w:t>
      </w:r>
      <w:r w:rsidR="005907EE" w:rsidRPr="000C259A">
        <w:t xml:space="preserve">whereas </w:t>
      </w:r>
      <w:r w:rsidR="00854E48" w:rsidRPr="000C259A">
        <w:t xml:space="preserve">in fields where Cluster 3 institutions have the lowest enrolment share, the </w:t>
      </w:r>
      <w:r w:rsidR="00885D85" w:rsidRPr="000C259A">
        <w:t xml:space="preserve">national </w:t>
      </w:r>
      <w:r w:rsidR="00854E48" w:rsidRPr="000C259A">
        <w:t xml:space="preserve">admission rate of VET </w:t>
      </w:r>
      <w:r w:rsidR="00B87FBB" w:rsidRPr="000C259A">
        <w:t>award holders</w:t>
      </w:r>
      <w:r w:rsidR="00854E48" w:rsidRPr="000C259A">
        <w:t xml:space="preserve"> </w:t>
      </w:r>
      <w:r w:rsidR="005907EE" w:rsidRPr="000C259A">
        <w:t>is</w:t>
      </w:r>
      <w:r w:rsidR="00854E48" w:rsidRPr="000C259A">
        <w:t xml:space="preserve"> highest.</w:t>
      </w:r>
      <w:r w:rsidR="00837079">
        <w:t xml:space="preserve"> </w:t>
      </w:r>
    </w:p>
    <w:p w:rsidR="00B47C72" w:rsidRPr="00846E79" w:rsidRDefault="00B47C72" w:rsidP="000C259A">
      <w:pPr>
        <w:pStyle w:val="Text"/>
      </w:pPr>
      <w:r w:rsidRPr="000C259A">
        <w:t>From a review of institutional policies and practices, the authors conclude that</w:t>
      </w:r>
      <w:r w:rsidR="00115380" w:rsidRPr="000C259A">
        <w:t>,</w:t>
      </w:r>
      <w:r w:rsidRPr="000C259A">
        <w:t xml:space="preserve"> while all universities have policies</w:t>
      </w:r>
      <w:r w:rsidRPr="00B458F6">
        <w:t xml:space="preserve"> to promote VET</w:t>
      </w:r>
      <w:r w:rsidR="008134F7">
        <w:t xml:space="preserve"> to higher education</w:t>
      </w:r>
      <w:r w:rsidRPr="00B458F6">
        <w:t xml:space="preserve"> pathways, the</w:t>
      </w:r>
      <w:r>
        <w:t xml:space="preserve">re are subtle differences in the way </w:t>
      </w:r>
      <w:r w:rsidR="00115380">
        <w:t>by</w:t>
      </w:r>
      <w:r>
        <w:t xml:space="preserve"> which </w:t>
      </w:r>
      <w:r w:rsidR="00885D85">
        <w:t>universities</w:t>
      </w:r>
      <w:r>
        <w:t xml:space="preserve"> implement </w:t>
      </w:r>
      <w:r w:rsidR="00885D85">
        <w:t xml:space="preserve">their </w:t>
      </w:r>
      <w:r>
        <w:t>pathways polic</w:t>
      </w:r>
      <w:r w:rsidR="00885D85">
        <w:t>ies</w:t>
      </w:r>
      <w:r w:rsidRPr="00B458F6">
        <w:t xml:space="preserve">. </w:t>
      </w:r>
      <w:r>
        <w:t xml:space="preserve">Universities in Cluster 1, for example, have a central </w:t>
      </w:r>
      <w:r w:rsidR="008134F7">
        <w:t>co</w:t>
      </w:r>
      <w:r>
        <w:t xml:space="preserve">ordinating unit responsible for promoting the pathways policy </w:t>
      </w:r>
      <w:r w:rsidR="00115380">
        <w:t>that</w:t>
      </w:r>
      <w:r>
        <w:t xml:space="preserve"> reports directly to a high-level central administrator such as a Deputy Vice-Chancellor. Cluster 1 institutions are also more </w:t>
      </w:r>
      <w:r>
        <w:lastRenderedPageBreak/>
        <w:t xml:space="preserve">likely to have administrative structures in place to support </w:t>
      </w:r>
      <w:r w:rsidR="00B80BDF">
        <w:t xml:space="preserve">VET to higher education pathways </w:t>
      </w:r>
      <w:r w:rsidR="008134F7">
        <w:t>at the f</w:t>
      </w:r>
      <w:r>
        <w:t>aculty level as well a</w:t>
      </w:r>
      <w:r w:rsidR="008134F7">
        <w:t>s lines of reporting that hold f</w:t>
      </w:r>
      <w:r>
        <w:t>aculties to account</w:t>
      </w:r>
      <w:r w:rsidR="00D0565C">
        <w:t xml:space="preserve"> for their admission and progression rates of VET </w:t>
      </w:r>
      <w:r w:rsidR="00B87FBB">
        <w:t>award holders</w:t>
      </w:r>
      <w:r>
        <w:t>. While some universities in Clusters 2 and 3 also reported having a central person or office responsible for pathways, VET partnerships, or articulation agreements, the management and reporting relationships in these universities were not as clearly defined as for universities in Cluster 1. S</w:t>
      </w:r>
      <w:r w:rsidRPr="00B458F6">
        <w:t xml:space="preserve">trong central leadership and </w:t>
      </w:r>
      <w:proofErr w:type="gramStart"/>
      <w:r>
        <w:t>accountable</w:t>
      </w:r>
      <w:proofErr w:type="gramEnd"/>
      <w:r>
        <w:t xml:space="preserve"> </w:t>
      </w:r>
      <w:r w:rsidRPr="00B458F6">
        <w:t>line management</w:t>
      </w:r>
      <w:r w:rsidR="00F30D60">
        <w:t>,</w:t>
      </w:r>
      <w:r>
        <w:t xml:space="preserve"> </w:t>
      </w:r>
      <w:r w:rsidRPr="00B458F6">
        <w:t>as well as close monitoring of student admission and progression rates</w:t>
      </w:r>
      <w:r>
        <w:t xml:space="preserve">, appear to be </w:t>
      </w:r>
      <w:r w:rsidRPr="00A677AB">
        <w:t>key feature</w:t>
      </w:r>
      <w:r>
        <w:t>s</w:t>
      </w:r>
      <w:r w:rsidRPr="00A677AB">
        <w:t xml:space="preserve"> of </w:t>
      </w:r>
      <w:r>
        <w:t xml:space="preserve">institutional practice in </w:t>
      </w:r>
      <w:r w:rsidRPr="00A677AB">
        <w:t xml:space="preserve">universities which are successful in admitting high numbers of VET </w:t>
      </w:r>
      <w:r w:rsidR="00B87FBB">
        <w:t>award holders</w:t>
      </w:r>
      <w:r w:rsidRPr="00A677AB">
        <w:t xml:space="preserve"> </w:t>
      </w:r>
      <w:r>
        <w:t xml:space="preserve">across </w:t>
      </w:r>
      <w:r w:rsidRPr="00A677AB">
        <w:t>all fields of study.</w:t>
      </w:r>
    </w:p>
    <w:p w:rsidR="00860355" w:rsidRPr="000C259A" w:rsidRDefault="00C20531" w:rsidP="000C259A">
      <w:pPr>
        <w:pStyle w:val="Text"/>
      </w:pPr>
      <w:r>
        <w:t>The</w:t>
      </w:r>
      <w:r w:rsidR="00B47C72" w:rsidRPr="00846E79">
        <w:t xml:space="preserve"> authors </w:t>
      </w:r>
      <w:r w:rsidR="00B47C72">
        <w:t xml:space="preserve">suggest </w:t>
      </w:r>
      <w:r w:rsidR="00B47C72" w:rsidRPr="00846E79">
        <w:t xml:space="preserve">that </w:t>
      </w:r>
      <w:r>
        <w:t xml:space="preserve">the </w:t>
      </w:r>
      <w:r w:rsidR="00394CDE">
        <w:t>low</w:t>
      </w:r>
      <w:r w:rsidR="00B47C72">
        <w:t xml:space="preserve"> rate</w:t>
      </w:r>
      <w:r>
        <w:t>s</w:t>
      </w:r>
      <w:r w:rsidR="00B47C72">
        <w:t xml:space="preserve"> of admission of VET </w:t>
      </w:r>
      <w:r w:rsidR="00B87FBB">
        <w:t xml:space="preserve">award </w:t>
      </w:r>
      <w:r w:rsidR="00B87FBB" w:rsidRPr="000C259A">
        <w:t>holders</w:t>
      </w:r>
      <w:r w:rsidR="00B47C72" w:rsidRPr="000C259A">
        <w:t xml:space="preserve"> </w:t>
      </w:r>
      <w:r w:rsidR="00394CDE" w:rsidRPr="000C259A">
        <w:t xml:space="preserve">in </w:t>
      </w:r>
      <w:r w:rsidRPr="000C259A">
        <w:t xml:space="preserve">Cluster </w:t>
      </w:r>
      <w:r w:rsidR="00860355" w:rsidRPr="000C259A">
        <w:t xml:space="preserve">3 </w:t>
      </w:r>
      <w:r w:rsidR="00394CDE" w:rsidRPr="000C259A">
        <w:t xml:space="preserve">universities </w:t>
      </w:r>
      <w:r w:rsidR="00B625A1" w:rsidRPr="000C259A">
        <w:t xml:space="preserve">should be </w:t>
      </w:r>
      <w:r w:rsidR="00860355" w:rsidRPr="000C259A">
        <w:t>a policy concern</w:t>
      </w:r>
      <w:r w:rsidR="00D0565C" w:rsidRPr="000C259A">
        <w:t xml:space="preserve"> </w:t>
      </w:r>
      <w:r w:rsidR="00885D85" w:rsidRPr="000C259A">
        <w:t xml:space="preserve">for several </w:t>
      </w:r>
      <w:r w:rsidR="00D0565C" w:rsidRPr="000C259A">
        <w:t>reasons</w:t>
      </w:r>
      <w:r w:rsidR="00860355" w:rsidRPr="000C259A">
        <w:t xml:space="preserve">. </w:t>
      </w:r>
    </w:p>
    <w:p w:rsidR="00860355" w:rsidRPr="000C259A" w:rsidRDefault="00860355" w:rsidP="000C259A">
      <w:pPr>
        <w:pStyle w:val="Text"/>
      </w:pPr>
      <w:r w:rsidRPr="000C259A">
        <w:t xml:space="preserve">First, </w:t>
      </w:r>
      <w:r w:rsidR="004F0021" w:rsidRPr="000C259A">
        <w:t xml:space="preserve">as </w:t>
      </w:r>
      <w:r w:rsidRPr="000C259A">
        <w:t xml:space="preserve">VET </w:t>
      </w:r>
      <w:r w:rsidR="00B87FBB" w:rsidRPr="000C259A">
        <w:t>award holders</w:t>
      </w:r>
      <w:r w:rsidRPr="000C259A">
        <w:t xml:space="preserve">’ </w:t>
      </w:r>
      <w:r w:rsidR="004F0021" w:rsidRPr="000C259A">
        <w:t>likelihood of gaining admission to higher education</w:t>
      </w:r>
      <w:r w:rsidRPr="000C259A">
        <w:t xml:space="preserve"> </w:t>
      </w:r>
      <w:r w:rsidR="004F0021" w:rsidRPr="000C259A">
        <w:t xml:space="preserve">appears to be </w:t>
      </w:r>
      <w:r w:rsidRPr="000C259A">
        <w:t xml:space="preserve">influenced by the policies and practices of </w:t>
      </w:r>
      <w:r w:rsidR="004F0021" w:rsidRPr="000C259A">
        <w:t xml:space="preserve">individual </w:t>
      </w:r>
      <w:r w:rsidRPr="000C259A">
        <w:t>universities</w:t>
      </w:r>
      <w:r w:rsidR="004F0021" w:rsidRPr="000C259A">
        <w:t xml:space="preserve">, access to undergraduate programs for VET </w:t>
      </w:r>
      <w:r w:rsidR="00B87FBB" w:rsidRPr="000C259A">
        <w:t>award holders</w:t>
      </w:r>
      <w:r w:rsidR="004F0021" w:rsidRPr="000C259A">
        <w:t xml:space="preserve"> is not equal across the higher education system</w:t>
      </w:r>
      <w:r w:rsidRPr="000C259A">
        <w:t xml:space="preserve">. </w:t>
      </w:r>
      <w:r w:rsidR="004F534E" w:rsidRPr="000C259A">
        <w:t xml:space="preserve">Thus </w:t>
      </w:r>
      <w:r w:rsidRPr="000C259A">
        <w:t xml:space="preserve">VET </w:t>
      </w:r>
      <w:r w:rsidR="00B87FBB" w:rsidRPr="000C259A">
        <w:t>award holders</w:t>
      </w:r>
      <w:r w:rsidRPr="000C259A">
        <w:t xml:space="preserve"> seeking admission to higher education </w:t>
      </w:r>
      <w:r w:rsidR="004F0021" w:rsidRPr="000C259A">
        <w:t>withi</w:t>
      </w:r>
      <w:r w:rsidRPr="000C259A">
        <w:t xml:space="preserve">n a given field of study will </w:t>
      </w:r>
      <w:r w:rsidR="00077FA7" w:rsidRPr="000C259A">
        <w:t>experience</w:t>
      </w:r>
      <w:r w:rsidRPr="000C259A">
        <w:t xml:space="preserve"> different levels of access, depending on the university to which they apply. As a VET award-holder’s choice of universities will be </w:t>
      </w:r>
      <w:r w:rsidR="00115380" w:rsidRPr="000C259A">
        <w:t>determined</w:t>
      </w:r>
      <w:r w:rsidRPr="000C259A">
        <w:t xml:space="preserve"> by where he or she lives and works, </w:t>
      </w:r>
      <w:r w:rsidR="00B80BDF" w:rsidRPr="000C259A">
        <w:t xml:space="preserve">VET to higher education pathways </w:t>
      </w:r>
      <w:r w:rsidR="004F534E" w:rsidRPr="000C259A">
        <w:t xml:space="preserve">are not </w:t>
      </w:r>
      <w:r w:rsidR="00963350" w:rsidRPr="000C259A">
        <w:t>available</w:t>
      </w:r>
      <w:r w:rsidR="00077FA7" w:rsidRPr="000C259A">
        <w:t xml:space="preserve"> </w:t>
      </w:r>
      <w:r w:rsidR="004F534E" w:rsidRPr="000C259A">
        <w:t xml:space="preserve">to all potential applicants on the same basis, thus constraining the access of some VET </w:t>
      </w:r>
      <w:r w:rsidR="00B87FBB" w:rsidRPr="000C259A">
        <w:t>award holders</w:t>
      </w:r>
      <w:r w:rsidR="004F534E" w:rsidRPr="000C259A">
        <w:t xml:space="preserve"> </w:t>
      </w:r>
      <w:r w:rsidR="00077FA7" w:rsidRPr="000C259A">
        <w:t xml:space="preserve">to </w:t>
      </w:r>
      <w:r w:rsidRPr="000C259A">
        <w:t xml:space="preserve">higher education. </w:t>
      </w:r>
    </w:p>
    <w:p w:rsidR="00860355" w:rsidRPr="000C259A" w:rsidRDefault="00860355" w:rsidP="000C259A">
      <w:pPr>
        <w:pStyle w:val="Text"/>
        <w:ind w:right="-143"/>
      </w:pPr>
      <w:r w:rsidRPr="000C259A">
        <w:t xml:space="preserve">Second, the financial burden of </w:t>
      </w:r>
      <w:r w:rsidR="00832030" w:rsidRPr="000C259A">
        <w:t xml:space="preserve">supporting VET </w:t>
      </w:r>
      <w:r w:rsidR="00B87FBB" w:rsidRPr="000C259A">
        <w:t>award holders</w:t>
      </w:r>
      <w:r w:rsidR="00832030" w:rsidRPr="000C259A">
        <w:t xml:space="preserve"> admitted to higher education</w:t>
      </w:r>
      <w:r w:rsidRPr="000C259A">
        <w:t xml:space="preserve"> falls more heavily on some universities than others. </w:t>
      </w:r>
      <w:r w:rsidR="00F30D60" w:rsidRPr="000C259A">
        <w:t>One-</w:t>
      </w:r>
      <w:r w:rsidR="007902C3" w:rsidRPr="000C259A">
        <w:t>third of universities provide two-thirds of the VET</w:t>
      </w:r>
      <w:r w:rsidR="00F30D60" w:rsidRPr="000C259A">
        <w:t xml:space="preserve"> to higher education</w:t>
      </w:r>
      <w:r w:rsidR="007902C3" w:rsidRPr="000C259A">
        <w:t xml:space="preserve"> pathways</w:t>
      </w:r>
      <w:r w:rsidR="00403AFB" w:rsidRPr="000C259A">
        <w:t xml:space="preserve">, </w:t>
      </w:r>
      <w:r w:rsidR="00492691" w:rsidRPr="000C259A">
        <w:t>with</w:t>
      </w:r>
      <w:r w:rsidR="007902C3" w:rsidRPr="000C259A">
        <w:t xml:space="preserve"> 6</w:t>
      </w:r>
      <w:r w:rsidR="00E51219" w:rsidRPr="000C259A">
        <w:t>8</w:t>
      </w:r>
      <w:r w:rsidR="008134F7" w:rsidRPr="000C259A">
        <w:t>%</w:t>
      </w:r>
      <w:r w:rsidR="00F30D60" w:rsidRPr="000C259A">
        <w:t xml:space="preserve"> </w:t>
      </w:r>
      <w:r w:rsidR="007902C3" w:rsidRPr="000C259A">
        <w:t xml:space="preserve">of VET </w:t>
      </w:r>
      <w:r w:rsidR="00B87FBB" w:rsidRPr="000C259A">
        <w:t>award holders</w:t>
      </w:r>
      <w:r w:rsidR="007902C3" w:rsidRPr="000C259A">
        <w:t xml:space="preserve"> </w:t>
      </w:r>
      <w:r w:rsidR="00492691" w:rsidRPr="000C259A">
        <w:t xml:space="preserve">shared amongst only 12 </w:t>
      </w:r>
      <w:r w:rsidR="00832030" w:rsidRPr="000C259A">
        <w:t>Australian universities</w:t>
      </w:r>
      <w:r w:rsidR="00403AFB" w:rsidRPr="000C259A">
        <w:t xml:space="preserve">. </w:t>
      </w:r>
      <w:r w:rsidRPr="000C259A">
        <w:t>The seven universities in Clus</w:t>
      </w:r>
      <w:r w:rsidR="00F30D60" w:rsidRPr="000C259A">
        <w:t>ter 1 account for less than one-</w:t>
      </w:r>
      <w:r w:rsidRPr="000C259A">
        <w:t>quarter (23</w:t>
      </w:r>
      <w:r w:rsidR="007A2C97" w:rsidRPr="000C259A">
        <w:t>%</w:t>
      </w:r>
      <w:r w:rsidRPr="000C259A">
        <w:t>) of all undergraduate commencing students</w:t>
      </w:r>
      <w:r w:rsidR="00F30D60" w:rsidRPr="000C259A">
        <w:t>,</w:t>
      </w:r>
      <w:r w:rsidRPr="000C259A">
        <w:t xml:space="preserve"> yet enrol almost half (46</w:t>
      </w:r>
      <w:r w:rsidR="007A2C97" w:rsidRPr="000C259A">
        <w:t>%</w:t>
      </w:r>
      <w:r w:rsidRPr="000C259A">
        <w:t xml:space="preserve">) of all </w:t>
      </w:r>
      <w:r w:rsidR="00403AFB" w:rsidRPr="000C259A">
        <w:t>students</w:t>
      </w:r>
      <w:r w:rsidRPr="000C259A">
        <w:t xml:space="preserve"> admitted </w:t>
      </w:r>
      <w:r w:rsidR="00403AFB" w:rsidRPr="000C259A">
        <w:t>on the basis of a VET award</w:t>
      </w:r>
      <w:r w:rsidRPr="000C259A">
        <w:t xml:space="preserve">. </w:t>
      </w:r>
      <w:r w:rsidR="000D0085" w:rsidRPr="000C259A">
        <w:t xml:space="preserve">As the </w:t>
      </w:r>
      <w:r w:rsidR="007902C3" w:rsidRPr="000C259A">
        <w:t xml:space="preserve">creation of strong </w:t>
      </w:r>
      <w:r w:rsidR="00B80BDF" w:rsidRPr="000C259A">
        <w:t xml:space="preserve">VET to higher education pathways </w:t>
      </w:r>
      <w:r w:rsidR="007902C3" w:rsidRPr="000C259A">
        <w:t xml:space="preserve">and the </w:t>
      </w:r>
      <w:r w:rsidR="000D0085" w:rsidRPr="000C259A">
        <w:t>p</w:t>
      </w:r>
      <w:r w:rsidR="00F30D60" w:rsidRPr="000C259A">
        <w:t>rovision of additional support — both pastoral and academic —</w:t>
      </w:r>
      <w:r w:rsidR="000D0085" w:rsidRPr="000C259A">
        <w:t xml:space="preserve"> to VET </w:t>
      </w:r>
      <w:r w:rsidR="00B87FBB" w:rsidRPr="000C259A">
        <w:t>award holders</w:t>
      </w:r>
      <w:r w:rsidR="000D0085" w:rsidRPr="000C259A">
        <w:t xml:space="preserve"> during their first year of study </w:t>
      </w:r>
      <w:r w:rsidR="0039254F" w:rsidRPr="000C259A">
        <w:t xml:space="preserve">consumes scarce university resources, </w:t>
      </w:r>
      <w:r w:rsidR="00115380" w:rsidRPr="000C259A">
        <w:t xml:space="preserve">the </w:t>
      </w:r>
      <w:r w:rsidR="000D0085" w:rsidRPr="000C259A">
        <w:t>u</w:t>
      </w:r>
      <w:r w:rsidRPr="000C259A">
        <w:t xml:space="preserve">niversities in Cluster 1 </w:t>
      </w:r>
      <w:r w:rsidR="007902C3" w:rsidRPr="000C259A">
        <w:t xml:space="preserve">currently bear a disproportionate share of the cost </w:t>
      </w:r>
      <w:r w:rsidR="00D0565C" w:rsidRPr="000C259A">
        <w:t xml:space="preserve">of </w:t>
      </w:r>
      <w:r w:rsidR="007902C3" w:rsidRPr="000C259A">
        <w:t xml:space="preserve">building and delivering </w:t>
      </w:r>
      <w:r w:rsidR="00B80BDF" w:rsidRPr="000C259A">
        <w:t xml:space="preserve">VET to higher education pathways </w:t>
      </w:r>
      <w:r w:rsidR="007902C3" w:rsidRPr="000C259A">
        <w:t xml:space="preserve">in Australia. </w:t>
      </w:r>
    </w:p>
    <w:p w:rsidR="003E0B98" w:rsidRPr="00AE6CED" w:rsidRDefault="00860355" w:rsidP="000C259A">
      <w:pPr>
        <w:pStyle w:val="Text"/>
      </w:pPr>
      <w:r w:rsidRPr="000C259A">
        <w:t xml:space="preserve">Finally, </w:t>
      </w:r>
      <w:r w:rsidR="009A437C" w:rsidRPr="000C259A">
        <w:t xml:space="preserve">the </w:t>
      </w:r>
      <w:r w:rsidR="001675EA" w:rsidRPr="000C259A">
        <w:t xml:space="preserve">low rates of admission of VET </w:t>
      </w:r>
      <w:r w:rsidR="00B87FBB" w:rsidRPr="000C259A">
        <w:t>award holders</w:t>
      </w:r>
      <w:r w:rsidR="001675EA" w:rsidRPr="000C259A">
        <w:t xml:space="preserve"> in </w:t>
      </w:r>
      <w:r w:rsidR="000C5B38" w:rsidRPr="000C259A">
        <w:t>Cluster 3</w:t>
      </w:r>
      <w:r w:rsidR="001675EA" w:rsidRPr="000C259A">
        <w:t xml:space="preserve"> </w:t>
      </w:r>
      <w:r w:rsidR="000D0085" w:rsidRPr="000C259A">
        <w:t>universities</w:t>
      </w:r>
      <w:r w:rsidR="009A437C" w:rsidRPr="009A437C">
        <w:t xml:space="preserve"> </w:t>
      </w:r>
      <w:r w:rsidR="00F22D03">
        <w:t xml:space="preserve">could be </w:t>
      </w:r>
      <w:r w:rsidR="000C5B38">
        <w:t xml:space="preserve">exacerbating </w:t>
      </w:r>
      <w:r w:rsidR="009A437C" w:rsidRPr="009A437C">
        <w:t>national skills shortages</w:t>
      </w:r>
      <w:r w:rsidR="000D0085">
        <w:t xml:space="preserve"> in </w:t>
      </w:r>
      <w:r w:rsidR="009A437C">
        <w:t>occupations</w:t>
      </w:r>
      <w:r w:rsidR="00C61E8D">
        <w:t xml:space="preserve"> where these universities are the dominant providers</w:t>
      </w:r>
      <w:r w:rsidR="00F22D03">
        <w:t xml:space="preserve">. In the field of engineering, for example, </w:t>
      </w:r>
      <w:r w:rsidR="000D0085" w:rsidRPr="000D0085">
        <w:t xml:space="preserve">the 14 universities in Cluster 3 account for </w:t>
      </w:r>
      <w:r w:rsidR="00F22D03">
        <w:t xml:space="preserve">well over </w:t>
      </w:r>
      <w:r w:rsidR="000D0085" w:rsidRPr="000D0085">
        <w:t>half of all undergraduate commencements</w:t>
      </w:r>
      <w:r w:rsidR="00F30D60">
        <w:t>;</w:t>
      </w:r>
      <w:r w:rsidR="000D0085" w:rsidRPr="000D0085">
        <w:t xml:space="preserve"> </w:t>
      </w:r>
      <w:r w:rsidR="000F6A81">
        <w:t>yet</w:t>
      </w:r>
      <w:r w:rsidR="00F30D60">
        <w:t>,</w:t>
      </w:r>
      <w:r w:rsidR="000F6A81">
        <w:t xml:space="preserve"> </w:t>
      </w:r>
      <w:r w:rsidR="00AF7794">
        <w:t xml:space="preserve">these institutions </w:t>
      </w:r>
      <w:r w:rsidR="000D0085" w:rsidRPr="000D0085">
        <w:t xml:space="preserve">admit </w:t>
      </w:r>
      <w:r w:rsidR="00AF7794">
        <w:t>only 3.3</w:t>
      </w:r>
      <w:r w:rsidR="008134F7">
        <w:t>%</w:t>
      </w:r>
      <w:r w:rsidR="00F30D60">
        <w:t xml:space="preserve"> </w:t>
      </w:r>
      <w:r w:rsidR="00E379DC">
        <w:t>of students on the basis of a VET award</w:t>
      </w:r>
      <w:r w:rsidR="00F22D03">
        <w:t>.</w:t>
      </w:r>
      <w:r w:rsidR="00061D4A">
        <w:t xml:space="preserve"> In contrast, the Cluster 1 universities</w:t>
      </w:r>
      <w:r w:rsidR="00837079">
        <w:t>,</w:t>
      </w:r>
      <w:r w:rsidR="00061D4A">
        <w:t xml:space="preserve"> which enrol one-fifth of all undergraduate commencing students in engineering</w:t>
      </w:r>
      <w:r w:rsidR="00837079">
        <w:t>,</w:t>
      </w:r>
      <w:r w:rsidR="00061D4A">
        <w:t xml:space="preserve"> admit over 17</w:t>
      </w:r>
      <w:r w:rsidR="008134F7">
        <w:t>%</w:t>
      </w:r>
      <w:r w:rsidR="00F30D60">
        <w:t xml:space="preserve"> </w:t>
      </w:r>
      <w:r w:rsidR="00061D4A">
        <w:t>on the basis of a VET award</w:t>
      </w:r>
      <w:r w:rsidR="00783247">
        <w:t xml:space="preserve"> and u</w:t>
      </w:r>
      <w:r w:rsidR="00061D4A">
        <w:t>niversities in Cluster 2</w:t>
      </w:r>
      <w:r w:rsidR="00783247">
        <w:t xml:space="preserve"> (</w:t>
      </w:r>
      <w:r w:rsidR="00061D4A">
        <w:t>which account for one-quarter of all engineering undergraduate commencements</w:t>
      </w:r>
      <w:r w:rsidR="00783247">
        <w:t>)</w:t>
      </w:r>
      <w:r w:rsidR="00061D4A">
        <w:t xml:space="preserve"> admit over 10</w:t>
      </w:r>
      <w:r w:rsidR="008134F7">
        <w:t>%</w:t>
      </w:r>
      <w:r w:rsidR="00F30D60">
        <w:t xml:space="preserve"> </w:t>
      </w:r>
      <w:r w:rsidR="00061D4A">
        <w:t xml:space="preserve">of </w:t>
      </w:r>
      <w:r w:rsidR="00F43894">
        <w:t xml:space="preserve">engineering </w:t>
      </w:r>
      <w:r w:rsidR="00061D4A">
        <w:t>student</w:t>
      </w:r>
      <w:r w:rsidR="003E0B98">
        <w:t xml:space="preserve">s on the basis of a VET award. To the extent that the creation of strong </w:t>
      </w:r>
      <w:r w:rsidR="00B80BDF">
        <w:t xml:space="preserve">VET to higher education pathways </w:t>
      </w:r>
      <w:r w:rsidR="003E0B98">
        <w:t>serves to increase the output of higher education graduates, the high enrolment share of Cluster 3 universities in fields experiencing national skills shortages, such as engineering, should be of concern to governments, industry and employers.</w:t>
      </w:r>
      <w:r w:rsidR="00837079">
        <w:t xml:space="preserve"> </w:t>
      </w:r>
    </w:p>
    <w:p w:rsidR="00B47C72" w:rsidRDefault="00837079" w:rsidP="00492691">
      <w:pPr>
        <w:pStyle w:val="Text"/>
        <w:rPr>
          <w:rFonts w:ascii="Tahoma" w:hAnsi="Tahoma" w:cs="Tahoma"/>
          <w:color w:val="000000"/>
          <w:kern w:val="28"/>
          <w:sz w:val="56"/>
          <w:szCs w:val="56"/>
        </w:rPr>
      </w:pPr>
      <w:r>
        <w:rPr>
          <w:szCs w:val="19"/>
        </w:rPr>
        <w:t xml:space="preserve"> </w:t>
      </w:r>
      <w:r w:rsidR="00B47C72">
        <w:br w:type="page"/>
      </w:r>
    </w:p>
    <w:p w:rsidR="009E231A" w:rsidRPr="005C2FCF" w:rsidRDefault="00492691" w:rsidP="000C259A">
      <w:pPr>
        <w:pStyle w:val="Heading1"/>
      </w:pPr>
      <w:bookmarkStart w:id="33" w:name="_Toc367450613"/>
      <w:r>
        <w:lastRenderedPageBreak/>
        <w:t>V</w:t>
      </w:r>
      <w:r w:rsidR="009D2450">
        <w:t xml:space="preserve">ET </w:t>
      </w:r>
      <w:r w:rsidR="00B87FBB">
        <w:t>award holders</w:t>
      </w:r>
      <w:r w:rsidR="009D2450">
        <w:t xml:space="preserve"> in </w:t>
      </w:r>
      <w:r w:rsidR="00A33BD4">
        <w:t>Australian universities</w:t>
      </w:r>
      <w:bookmarkEnd w:id="33"/>
      <w:r w:rsidR="009D2450">
        <w:t xml:space="preserve"> </w:t>
      </w:r>
    </w:p>
    <w:p w:rsidR="003D02F0" w:rsidRDefault="003D02F0" w:rsidP="000C259A">
      <w:pPr>
        <w:pStyle w:val="Text"/>
      </w:pPr>
      <w:bookmarkStart w:id="34" w:name="_Toc188077642"/>
      <w:r>
        <w:t xml:space="preserve">The number of </w:t>
      </w:r>
      <w:r w:rsidR="004164A0">
        <w:t xml:space="preserve">domestic </w:t>
      </w:r>
      <w:r>
        <w:t xml:space="preserve">students admitted to </w:t>
      </w:r>
      <w:r w:rsidR="00701048">
        <w:t xml:space="preserve">Australian </w:t>
      </w:r>
      <w:r>
        <w:t>universit</w:t>
      </w:r>
      <w:r w:rsidR="00701048">
        <w:t>ies</w:t>
      </w:r>
      <w:r>
        <w:t xml:space="preserve"> on the basis of a VET award has increased by 75</w:t>
      </w:r>
      <w:r w:rsidR="008134F7">
        <w:t>%</w:t>
      </w:r>
      <w:r w:rsidR="00AF4F79">
        <w:t xml:space="preserve"> </w:t>
      </w:r>
      <w:r>
        <w:t>over th</w:t>
      </w:r>
      <w:r w:rsidR="00AF4F79">
        <w:t xml:space="preserve">e past decade. In 2001, only 12 </w:t>
      </w:r>
      <w:r>
        <w:t xml:space="preserve">916 students were admitted to undergraduate programs on the </w:t>
      </w:r>
      <w:r w:rsidRPr="000C259A">
        <w:t>basis</w:t>
      </w:r>
      <w:r>
        <w:t xml:space="preserve"> of a VET award, compared </w:t>
      </w:r>
      <w:r w:rsidR="00AF4F79">
        <w:t>with</w:t>
      </w:r>
      <w:r>
        <w:t xml:space="preserve"> 22</w:t>
      </w:r>
      <w:r w:rsidR="00AF4F79">
        <w:t xml:space="preserve"> </w:t>
      </w:r>
      <w:r>
        <w:t xml:space="preserve">676 in 2010. The number of students admitted on the basis of a VET award has increased </w:t>
      </w:r>
      <w:r w:rsidR="005C7C32">
        <w:t xml:space="preserve">at a higher rate </w:t>
      </w:r>
      <w:r>
        <w:t>than</w:t>
      </w:r>
      <w:r w:rsidR="00CF6089">
        <w:t xml:space="preserve"> </w:t>
      </w:r>
      <w:r w:rsidR="00AF4F79">
        <w:t xml:space="preserve">groups </w:t>
      </w:r>
      <w:r w:rsidR="005C7C32">
        <w:t xml:space="preserve">admitted on any other basis, </w:t>
      </w:r>
      <w:r>
        <w:t xml:space="preserve">as shown in </w:t>
      </w:r>
      <w:r w:rsidR="00AF4F79">
        <w:t>t</w:t>
      </w:r>
      <w:r w:rsidR="00A54FD1">
        <w:t>able 1</w:t>
      </w:r>
      <w:r>
        <w:t xml:space="preserve">. </w:t>
      </w:r>
    </w:p>
    <w:p w:rsidR="003D02F0" w:rsidRDefault="00A54FD1" w:rsidP="003D02F0">
      <w:pPr>
        <w:pStyle w:val="tabletitle"/>
      </w:pPr>
      <w:bookmarkStart w:id="35" w:name="_Toc364688851"/>
      <w:r>
        <w:t>Table 1</w:t>
      </w:r>
      <w:r w:rsidR="003D02F0">
        <w:tab/>
        <w:t>Commencing domestic undergraduate students by basis of admission, 200</w:t>
      </w:r>
      <w:r w:rsidR="008C26C9">
        <w:t>1</w:t>
      </w:r>
      <w:r w:rsidR="003D02F0">
        <w:t xml:space="preserve"> and 2010, Australia</w:t>
      </w:r>
      <w:bookmarkEnd w:id="35"/>
    </w:p>
    <w:tbl>
      <w:tblPr>
        <w:tblW w:w="8789" w:type="dxa"/>
        <w:tblInd w:w="108" w:type="dxa"/>
        <w:tblBorders>
          <w:top w:val="single" w:sz="4" w:space="0" w:color="auto"/>
          <w:bottom w:val="single" w:sz="4" w:space="0" w:color="auto"/>
        </w:tblBorders>
        <w:tblLayout w:type="fixed"/>
        <w:tblLook w:val="0000" w:firstRow="0" w:lastRow="0" w:firstColumn="0" w:lastColumn="0" w:noHBand="0" w:noVBand="0"/>
      </w:tblPr>
      <w:tblGrid>
        <w:gridCol w:w="2835"/>
        <w:gridCol w:w="1169"/>
        <w:gridCol w:w="1099"/>
        <w:gridCol w:w="1240"/>
        <w:gridCol w:w="1170"/>
        <w:gridCol w:w="1276"/>
      </w:tblGrid>
      <w:tr w:rsidR="00D863E8" w:rsidTr="00D863E8">
        <w:tc>
          <w:tcPr>
            <w:tcW w:w="2835" w:type="dxa"/>
            <w:tcBorders>
              <w:top w:val="single" w:sz="4" w:space="0" w:color="auto"/>
              <w:bottom w:val="nil"/>
              <w:right w:val="nil"/>
            </w:tcBorders>
          </w:tcPr>
          <w:p w:rsidR="00D863E8" w:rsidRDefault="00D863E8" w:rsidP="00A54FD1">
            <w:pPr>
              <w:pStyle w:val="Tablehead1"/>
            </w:pPr>
            <w:r>
              <w:t>Basis of admission</w:t>
            </w:r>
          </w:p>
        </w:tc>
        <w:tc>
          <w:tcPr>
            <w:tcW w:w="2268" w:type="dxa"/>
            <w:gridSpan w:val="2"/>
            <w:tcBorders>
              <w:top w:val="single" w:sz="4" w:space="0" w:color="auto"/>
              <w:left w:val="nil"/>
              <w:bottom w:val="nil"/>
            </w:tcBorders>
          </w:tcPr>
          <w:p w:rsidR="00D863E8" w:rsidRDefault="00D863E8" w:rsidP="00A54FD1">
            <w:pPr>
              <w:pStyle w:val="Tablehead1"/>
              <w:jc w:val="center"/>
            </w:pPr>
            <w:r>
              <w:t>2001</w:t>
            </w:r>
          </w:p>
        </w:tc>
        <w:tc>
          <w:tcPr>
            <w:tcW w:w="2410" w:type="dxa"/>
            <w:gridSpan w:val="2"/>
            <w:tcBorders>
              <w:top w:val="single" w:sz="4" w:space="0" w:color="auto"/>
              <w:left w:val="nil"/>
              <w:bottom w:val="nil"/>
            </w:tcBorders>
          </w:tcPr>
          <w:p w:rsidR="00D863E8" w:rsidRDefault="00D863E8" w:rsidP="00A54FD1">
            <w:pPr>
              <w:pStyle w:val="Tablehead1"/>
              <w:jc w:val="center"/>
            </w:pPr>
            <w:r>
              <w:t>2010</w:t>
            </w:r>
          </w:p>
        </w:tc>
        <w:tc>
          <w:tcPr>
            <w:tcW w:w="1276" w:type="dxa"/>
            <w:tcBorders>
              <w:top w:val="single" w:sz="4" w:space="0" w:color="auto"/>
              <w:left w:val="nil"/>
              <w:bottom w:val="nil"/>
            </w:tcBorders>
          </w:tcPr>
          <w:p w:rsidR="00D863E8" w:rsidRDefault="00D863E8" w:rsidP="00A54FD1">
            <w:pPr>
              <w:pStyle w:val="Tablehead1"/>
              <w:jc w:val="center"/>
            </w:pPr>
            <w:r>
              <w:t>2001–10</w:t>
            </w:r>
          </w:p>
        </w:tc>
      </w:tr>
      <w:tr w:rsidR="003D02F0" w:rsidTr="00D863E8">
        <w:tc>
          <w:tcPr>
            <w:tcW w:w="2835" w:type="dxa"/>
            <w:tcBorders>
              <w:top w:val="nil"/>
              <w:bottom w:val="single" w:sz="4" w:space="0" w:color="auto"/>
              <w:right w:val="nil"/>
            </w:tcBorders>
          </w:tcPr>
          <w:p w:rsidR="003D02F0" w:rsidRDefault="003D02F0" w:rsidP="00D863E8">
            <w:pPr>
              <w:pStyle w:val="Tablehead2"/>
              <w:jc w:val="center"/>
            </w:pPr>
          </w:p>
        </w:tc>
        <w:tc>
          <w:tcPr>
            <w:tcW w:w="1169" w:type="dxa"/>
            <w:tcBorders>
              <w:top w:val="nil"/>
              <w:left w:val="nil"/>
              <w:bottom w:val="single" w:sz="4" w:space="0" w:color="auto"/>
              <w:right w:val="nil"/>
            </w:tcBorders>
          </w:tcPr>
          <w:p w:rsidR="003D02F0" w:rsidRDefault="003D02F0" w:rsidP="00D863E8">
            <w:pPr>
              <w:pStyle w:val="Tablehead2"/>
              <w:jc w:val="center"/>
            </w:pPr>
            <w:r>
              <w:t>Students</w:t>
            </w:r>
          </w:p>
        </w:tc>
        <w:tc>
          <w:tcPr>
            <w:tcW w:w="1099" w:type="dxa"/>
            <w:tcBorders>
              <w:top w:val="nil"/>
              <w:left w:val="nil"/>
              <w:bottom w:val="single" w:sz="4" w:space="0" w:color="auto"/>
              <w:right w:val="nil"/>
            </w:tcBorders>
          </w:tcPr>
          <w:p w:rsidR="003D02F0" w:rsidRDefault="003D02F0" w:rsidP="00D863E8">
            <w:pPr>
              <w:pStyle w:val="Tablehead2"/>
              <w:jc w:val="center"/>
            </w:pPr>
            <w:r>
              <w:t>%</w:t>
            </w:r>
          </w:p>
        </w:tc>
        <w:tc>
          <w:tcPr>
            <w:tcW w:w="1240" w:type="dxa"/>
            <w:tcBorders>
              <w:top w:val="nil"/>
              <w:left w:val="nil"/>
              <w:bottom w:val="single" w:sz="4" w:space="0" w:color="auto"/>
              <w:right w:val="nil"/>
            </w:tcBorders>
          </w:tcPr>
          <w:p w:rsidR="003D02F0" w:rsidRDefault="003D02F0" w:rsidP="00D863E8">
            <w:pPr>
              <w:pStyle w:val="Tablehead2"/>
              <w:jc w:val="center"/>
            </w:pPr>
            <w:r>
              <w:t>Students</w:t>
            </w:r>
          </w:p>
        </w:tc>
        <w:tc>
          <w:tcPr>
            <w:tcW w:w="1170" w:type="dxa"/>
            <w:tcBorders>
              <w:top w:val="nil"/>
              <w:left w:val="nil"/>
              <w:bottom w:val="single" w:sz="4" w:space="0" w:color="auto"/>
            </w:tcBorders>
          </w:tcPr>
          <w:p w:rsidR="003D02F0" w:rsidRDefault="003D02F0" w:rsidP="00D863E8">
            <w:pPr>
              <w:pStyle w:val="Tablehead2"/>
              <w:jc w:val="center"/>
            </w:pPr>
            <w:r>
              <w:t>%</w:t>
            </w:r>
          </w:p>
        </w:tc>
        <w:tc>
          <w:tcPr>
            <w:tcW w:w="1276" w:type="dxa"/>
            <w:tcBorders>
              <w:top w:val="nil"/>
              <w:left w:val="nil"/>
              <w:bottom w:val="single" w:sz="4" w:space="0" w:color="auto"/>
            </w:tcBorders>
          </w:tcPr>
          <w:p w:rsidR="003D02F0" w:rsidRDefault="003D02F0" w:rsidP="00D863E8">
            <w:pPr>
              <w:pStyle w:val="Tablehead2"/>
              <w:jc w:val="center"/>
            </w:pPr>
            <w:r>
              <w:t>Change (%)</w:t>
            </w:r>
          </w:p>
        </w:tc>
      </w:tr>
      <w:tr w:rsidR="003D02F0" w:rsidRPr="003E5792" w:rsidTr="00D863E8">
        <w:tc>
          <w:tcPr>
            <w:tcW w:w="2835" w:type="dxa"/>
            <w:tcBorders>
              <w:top w:val="nil"/>
              <w:bottom w:val="nil"/>
              <w:right w:val="nil"/>
            </w:tcBorders>
          </w:tcPr>
          <w:p w:rsidR="003D02F0" w:rsidRPr="003E5792" w:rsidRDefault="003D02F0" w:rsidP="00D863E8">
            <w:pPr>
              <w:pStyle w:val="Tabletext"/>
              <w:spacing w:before="80"/>
            </w:pPr>
            <w:r w:rsidRPr="003E5792">
              <w:t>H</w:t>
            </w:r>
            <w:r w:rsidR="00120016">
              <w:t>igher ed.</w:t>
            </w:r>
            <w:r w:rsidRPr="003E5792">
              <w:t xml:space="preserve"> course</w:t>
            </w:r>
          </w:p>
        </w:tc>
        <w:tc>
          <w:tcPr>
            <w:tcW w:w="1169" w:type="dxa"/>
            <w:tcBorders>
              <w:top w:val="nil"/>
              <w:left w:val="nil"/>
              <w:bottom w:val="nil"/>
              <w:right w:val="nil"/>
            </w:tcBorders>
          </w:tcPr>
          <w:p w:rsidR="003D02F0" w:rsidRPr="003E5792" w:rsidRDefault="003D02F0" w:rsidP="00D863E8">
            <w:pPr>
              <w:pStyle w:val="Tabletext"/>
              <w:spacing w:before="80"/>
              <w:ind w:right="227"/>
              <w:jc w:val="right"/>
            </w:pPr>
            <w:r w:rsidRPr="003E5792">
              <w:t>41 785</w:t>
            </w:r>
          </w:p>
        </w:tc>
        <w:tc>
          <w:tcPr>
            <w:tcW w:w="1099" w:type="dxa"/>
            <w:tcBorders>
              <w:top w:val="nil"/>
              <w:left w:val="nil"/>
              <w:bottom w:val="nil"/>
              <w:right w:val="nil"/>
            </w:tcBorders>
          </w:tcPr>
          <w:p w:rsidR="003D02F0" w:rsidRPr="003E5792" w:rsidRDefault="003D02F0" w:rsidP="00D863E8">
            <w:pPr>
              <w:pStyle w:val="Tabletext"/>
              <w:tabs>
                <w:tab w:val="decimal" w:pos="482"/>
              </w:tabs>
              <w:spacing w:before="80"/>
              <w:rPr>
                <w:color w:val="000000"/>
              </w:rPr>
            </w:pPr>
            <w:r w:rsidRPr="003E5792">
              <w:rPr>
                <w:color w:val="000000"/>
              </w:rPr>
              <w:t>23.0</w:t>
            </w:r>
          </w:p>
        </w:tc>
        <w:tc>
          <w:tcPr>
            <w:tcW w:w="1240" w:type="dxa"/>
            <w:tcBorders>
              <w:top w:val="nil"/>
              <w:left w:val="nil"/>
              <w:bottom w:val="nil"/>
              <w:right w:val="nil"/>
            </w:tcBorders>
          </w:tcPr>
          <w:p w:rsidR="003D02F0" w:rsidRPr="003E5792" w:rsidRDefault="003D02F0" w:rsidP="00D863E8">
            <w:pPr>
              <w:pStyle w:val="Tabletext"/>
              <w:spacing w:before="80"/>
              <w:ind w:right="227"/>
              <w:jc w:val="right"/>
              <w:rPr>
                <w:color w:val="000000"/>
              </w:rPr>
            </w:pPr>
            <w:r w:rsidRPr="003E5792">
              <w:rPr>
                <w:color w:val="000000"/>
              </w:rPr>
              <w:t>53</w:t>
            </w:r>
            <w:r>
              <w:rPr>
                <w:color w:val="000000"/>
              </w:rPr>
              <w:t xml:space="preserve"> </w:t>
            </w:r>
            <w:r w:rsidRPr="003E5792">
              <w:rPr>
                <w:color w:val="000000"/>
              </w:rPr>
              <w:t>532</w:t>
            </w:r>
          </w:p>
        </w:tc>
        <w:tc>
          <w:tcPr>
            <w:tcW w:w="1170" w:type="dxa"/>
            <w:tcBorders>
              <w:top w:val="nil"/>
              <w:left w:val="nil"/>
            </w:tcBorders>
          </w:tcPr>
          <w:p w:rsidR="003D02F0" w:rsidRPr="003E5792" w:rsidRDefault="003D02F0" w:rsidP="00D863E8">
            <w:pPr>
              <w:pStyle w:val="Tabletext"/>
              <w:tabs>
                <w:tab w:val="decimal" w:pos="482"/>
              </w:tabs>
              <w:spacing w:before="80"/>
              <w:rPr>
                <w:color w:val="000000"/>
              </w:rPr>
            </w:pPr>
            <w:r w:rsidRPr="003E5792">
              <w:rPr>
                <w:color w:val="000000"/>
              </w:rPr>
              <w:t>24.2</w:t>
            </w:r>
          </w:p>
        </w:tc>
        <w:tc>
          <w:tcPr>
            <w:tcW w:w="1276" w:type="dxa"/>
            <w:tcBorders>
              <w:top w:val="nil"/>
              <w:left w:val="nil"/>
            </w:tcBorders>
          </w:tcPr>
          <w:p w:rsidR="003D02F0" w:rsidRPr="003E5792" w:rsidRDefault="003D02F0" w:rsidP="00D863E8">
            <w:pPr>
              <w:pStyle w:val="Tabletext"/>
              <w:tabs>
                <w:tab w:val="decimal" w:pos="510"/>
              </w:tabs>
              <w:spacing w:before="80"/>
              <w:rPr>
                <w:color w:val="000000"/>
              </w:rPr>
            </w:pPr>
            <w:r w:rsidRPr="003E5792">
              <w:rPr>
                <w:color w:val="000000"/>
              </w:rPr>
              <w:t>28.1</w:t>
            </w:r>
          </w:p>
        </w:tc>
      </w:tr>
      <w:tr w:rsidR="003D02F0" w:rsidRPr="003E5792" w:rsidTr="00D863E8">
        <w:tc>
          <w:tcPr>
            <w:tcW w:w="2835" w:type="dxa"/>
            <w:tcBorders>
              <w:top w:val="nil"/>
              <w:bottom w:val="nil"/>
              <w:right w:val="nil"/>
            </w:tcBorders>
          </w:tcPr>
          <w:p w:rsidR="003D02F0" w:rsidRPr="003E5792" w:rsidRDefault="00120016" w:rsidP="000C259A">
            <w:pPr>
              <w:pStyle w:val="Tabletext"/>
            </w:pPr>
            <w:r>
              <w:t>Secondary s</w:t>
            </w:r>
            <w:r w:rsidR="003D02F0" w:rsidRPr="003E5792">
              <w:t xml:space="preserve">chool </w:t>
            </w:r>
          </w:p>
        </w:tc>
        <w:tc>
          <w:tcPr>
            <w:tcW w:w="1169" w:type="dxa"/>
            <w:tcBorders>
              <w:top w:val="nil"/>
              <w:left w:val="nil"/>
              <w:bottom w:val="nil"/>
              <w:right w:val="nil"/>
            </w:tcBorders>
          </w:tcPr>
          <w:p w:rsidR="003D02F0" w:rsidRPr="003E5792" w:rsidRDefault="003D02F0" w:rsidP="000C259A">
            <w:pPr>
              <w:pStyle w:val="Tabletext"/>
              <w:ind w:right="227"/>
              <w:jc w:val="right"/>
            </w:pPr>
            <w:r w:rsidRPr="003E5792">
              <w:t>83 388</w:t>
            </w:r>
          </w:p>
        </w:tc>
        <w:tc>
          <w:tcPr>
            <w:tcW w:w="1099" w:type="dxa"/>
            <w:tcBorders>
              <w:top w:val="nil"/>
              <w:left w:val="nil"/>
              <w:bottom w:val="nil"/>
              <w:right w:val="nil"/>
            </w:tcBorders>
          </w:tcPr>
          <w:p w:rsidR="003D02F0" w:rsidRPr="003E5792" w:rsidRDefault="003D02F0" w:rsidP="000C259A">
            <w:pPr>
              <w:pStyle w:val="Tabletext"/>
              <w:tabs>
                <w:tab w:val="decimal" w:pos="482"/>
              </w:tabs>
              <w:rPr>
                <w:color w:val="000000"/>
              </w:rPr>
            </w:pPr>
            <w:r w:rsidRPr="003E5792">
              <w:rPr>
                <w:color w:val="000000"/>
              </w:rPr>
              <w:t>45.9</w:t>
            </w:r>
          </w:p>
        </w:tc>
        <w:tc>
          <w:tcPr>
            <w:tcW w:w="1240" w:type="dxa"/>
            <w:tcBorders>
              <w:top w:val="nil"/>
              <w:left w:val="nil"/>
              <w:bottom w:val="nil"/>
              <w:right w:val="nil"/>
            </w:tcBorders>
          </w:tcPr>
          <w:p w:rsidR="003D02F0" w:rsidRPr="003E5792" w:rsidRDefault="003D02F0" w:rsidP="000C259A">
            <w:pPr>
              <w:pStyle w:val="Tabletext"/>
              <w:ind w:right="227"/>
              <w:jc w:val="right"/>
              <w:rPr>
                <w:color w:val="000000"/>
              </w:rPr>
            </w:pPr>
            <w:r w:rsidRPr="003E5792">
              <w:rPr>
                <w:color w:val="000000"/>
              </w:rPr>
              <w:t>99</w:t>
            </w:r>
            <w:r>
              <w:rPr>
                <w:color w:val="000000"/>
              </w:rPr>
              <w:t xml:space="preserve"> </w:t>
            </w:r>
            <w:r w:rsidRPr="003E5792">
              <w:rPr>
                <w:color w:val="000000"/>
              </w:rPr>
              <w:t>564</w:t>
            </w:r>
          </w:p>
        </w:tc>
        <w:tc>
          <w:tcPr>
            <w:tcW w:w="1170" w:type="dxa"/>
            <w:tcBorders>
              <w:left w:val="nil"/>
            </w:tcBorders>
          </w:tcPr>
          <w:p w:rsidR="003D02F0" w:rsidRPr="003E5792" w:rsidRDefault="003D02F0" w:rsidP="006A739B">
            <w:pPr>
              <w:pStyle w:val="Tabletext"/>
              <w:tabs>
                <w:tab w:val="decimal" w:pos="482"/>
              </w:tabs>
              <w:rPr>
                <w:color w:val="000000"/>
              </w:rPr>
            </w:pPr>
            <w:r w:rsidRPr="003E5792">
              <w:rPr>
                <w:color w:val="000000"/>
              </w:rPr>
              <w:t>44.9</w:t>
            </w:r>
          </w:p>
        </w:tc>
        <w:tc>
          <w:tcPr>
            <w:tcW w:w="1276" w:type="dxa"/>
            <w:tcBorders>
              <w:left w:val="nil"/>
            </w:tcBorders>
          </w:tcPr>
          <w:p w:rsidR="003D02F0" w:rsidRPr="003E5792" w:rsidRDefault="003D02F0" w:rsidP="006A739B">
            <w:pPr>
              <w:pStyle w:val="Tabletext"/>
              <w:tabs>
                <w:tab w:val="decimal" w:pos="510"/>
              </w:tabs>
              <w:rPr>
                <w:color w:val="000000"/>
              </w:rPr>
            </w:pPr>
            <w:r w:rsidRPr="003E5792">
              <w:rPr>
                <w:color w:val="000000"/>
              </w:rPr>
              <w:t>19.4</w:t>
            </w:r>
          </w:p>
        </w:tc>
      </w:tr>
      <w:tr w:rsidR="003D02F0" w:rsidRPr="003E5792" w:rsidTr="00D863E8">
        <w:tc>
          <w:tcPr>
            <w:tcW w:w="2835" w:type="dxa"/>
            <w:tcBorders>
              <w:top w:val="nil"/>
              <w:bottom w:val="nil"/>
              <w:right w:val="nil"/>
            </w:tcBorders>
          </w:tcPr>
          <w:p w:rsidR="003D02F0" w:rsidRPr="003E5792" w:rsidRDefault="003D02F0" w:rsidP="000C259A">
            <w:pPr>
              <w:pStyle w:val="Tabletext"/>
            </w:pPr>
            <w:r w:rsidRPr="003E5792">
              <w:t>VET award</w:t>
            </w:r>
          </w:p>
        </w:tc>
        <w:tc>
          <w:tcPr>
            <w:tcW w:w="1169" w:type="dxa"/>
            <w:tcBorders>
              <w:top w:val="nil"/>
              <w:left w:val="nil"/>
              <w:bottom w:val="nil"/>
              <w:right w:val="nil"/>
            </w:tcBorders>
          </w:tcPr>
          <w:p w:rsidR="003D02F0" w:rsidRPr="003E5792" w:rsidRDefault="003D02F0" w:rsidP="000C259A">
            <w:pPr>
              <w:pStyle w:val="Tabletext"/>
              <w:ind w:right="227"/>
              <w:jc w:val="right"/>
            </w:pPr>
            <w:r w:rsidRPr="003E5792">
              <w:t>12 916</w:t>
            </w:r>
          </w:p>
        </w:tc>
        <w:tc>
          <w:tcPr>
            <w:tcW w:w="1099" w:type="dxa"/>
            <w:tcBorders>
              <w:top w:val="nil"/>
              <w:left w:val="nil"/>
              <w:bottom w:val="nil"/>
              <w:right w:val="nil"/>
            </w:tcBorders>
          </w:tcPr>
          <w:p w:rsidR="003D02F0" w:rsidRPr="003E5792" w:rsidRDefault="003D02F0" w:rsidP="000C259A">
            <w:pPr>
              <w:pStyle w:val="Tabletext"/>
              <w:tabs>
                <w:tab w:val="decimal" w:pos="482"/>
              </w:tabs>
              <w:rPr>
                <w:color w:val="000000"/>
              </w:rPr>
            </w:pPr>
            <w:r w:rsidRPr="003E5792">
              <w:rPr>
                <w:color w:val="000000"/>
              </w:rPr>
              <w:t>7.1</w:t>
            </w:r>
          </w:p>
        </w:tc>
        <w:tc>
          <w:tcPr>
            <w:tcW w:w="1240" w:type="dxa"/>
            <w:tcBorders>
              <w:top w:val="nil"/>
              <w:left w:val="nil"/>
              <w:bottom w:val="nil"/>
              <w:right w:val="nil"/>
            </w:tcBorders>
          </w:tcPr>
          <w:p w:rsidR="003D02F0" w:rsidRPr="003E5792" w:rsidRDefault="003D02F0" w:rsidP="000C259A">
            <w:pPr>
              <w:pStyle w:val="Tabletext"/>
              <w:ind w:right="227"/>
              <w:jc w:val="right"/>
              <w:rPr>
                <w:color w:val="000000"/>
              </w:rPr>
            </w:pPr>
            <w:r w:rsidRPr="003E5792">
              <w:rPr>
                <w:color w:val="000000"/>
              </w:rPr>
              <w:t>22</w:t>
            </w:r>
            <w:r>
              <w:rPr>
                <w:color w:val="000000"/>
              </w:rPr>
              <w:t xml:space="preserve"> </w:t>
            </w:r>
            <w:r w:rsidRPr="003E5792">
              <w:rPr>
                <w:color w:val="000000"/>
              </w:rPr>
              <w:t>676</w:t>
            </w:r>
          </w:p>
        </w:tc>
        <w:tc>
          <w:tcPr>
            <w:tcW w:w="1170" w:type="dxa"/>
            <w:tcBorders>
              <w:left w:val="nil"/>
            </w:tcBorders>
          </w:tcPr>
          <w:p w:rsidR="003D02F0" w:rsidRPr="003E5792" w:rsidRDefault="003D02F0" w:rsidP="006A739B">
            <w:pPr>
              <w:pStyle w:val="Tabletext"/>
              <w:tabs>
                <w:tab w:val="decimal" w:pos="482"/>
              </w:tabs>
              <w:rPr>
                <w:color w:val="000000"/>
              </w:rPr>
            </w:pPr>
            <w:r w:rsidRPr="003E5792">
              <w:rPr>
                <w:color w:val="000000"/>
              </w:rPr>
              <w:t>10.2</w:t>
            </w:r>
          </w:p>
        </w:tc>
        <w:tc>
          <w:tcPr>
            <w:tcW w:w="1276" w:type="dxa"/>
            <w:tcBorders>
              <w:left w:val="nil"/>
            </w:tcBorders>
          </w:tcPr>
          <w:p w:rsidR="003D02F0" w:rsidRPr="003E5792" w:rsidRDefault="003D02F0" w:rsidP="006A739B">
            <w:pPr>
              <w:pStyle w:val="Tabletext"/>
              <w:tabs>
                <w:tab w:val="decimal" w:pos="510"/>
              </w:tabs>
              <w:rPr>
                <w:color w:val="000000"/>
              </w:rPr>
            </w:pPr>
            <w:r w:rsidRPr="003E5792">
              <w:rPr>
                <w:color w:val="000000"/>
              </w:rPr>
              <w:t>75.6</w:t>
            </w:r>
          </w:p>
        </w:tc>
      </w:tr>
      <w:tr w:rsidR="003D02F0" w:rsidRPr="003E5792" w:rsidTr="00D863E8">
        <w:tc>
          <w:tcPr>
            <w:tcW w:w="2835" w:type="dxa"/>
            <w:tcBorders>
              <w:top w:val="nil"/>
              <w:bottom w:val="nil"/>
              <w:right w:val="nil"/>
            </w:tcBorders>
          </w:tcPr>
          <w:p w:rsidR="003D02F0" w:rsidRPr="003E5792" w:rsidRDefault="003D02F0" w:rsidP="000C259A">
            <w:pPr>
              <w:pStyle w:val="Tabletext"/>
            </w:pPr>
            <w:r w:rsidRPr="003E5792">
              <w:t xml:space="preserve">Other </w:t>
            </w:r>
          </w:p>
        </w:tc>
        <w:tc>
          <w:tcPr>
            <w:tcW w:w="1169" w:type="dxa"/>
            <w:tcBorders>
              <w:top w:val="nil"/>
              <w:left w:val="nil"/>
              <w:bottom w:val="nil"/>
              <w:right w:val="nil"/>
            </w:tcBorders>
          </w:tcPr>
          <w:p w:rsidR="003D02F0" w:rsidRPr="003E5792" w:rsidRDefault="003D02F0" w:rsidP="000C259A">
            <w:pPr>
              <w:pStyle w:val="Tabletext"/>
              <w:ind w:right="227"/>
              <w:jc w:val="right"/>
            </w:pPr>
            <w:r w:rsidRPr="003E5792">
              <w:t>43 555</w:t>
            </w:r>
          </w:p>
        </w:tc>
        <w:tc>
          <w:tcPr>
            <w:tcW w:w="1099" w:type="dxa"/>
            <w:tcBorders>
              <w:top w:val="nil"/>
              <w:left w:val="nil"/>
              <w:bottom w:val="nil"/>
              <w:right w:val="nil"/>
            </w:tcBorders>
          </w:tcPr>
          <w:p w:rsidR="003D02F0" w:rsidRPr="003E5792" w:rsidRDefault="003D02F0" w:rsidP="000C259A">
            <w:pPr>
              <w:pStyle w:val="Tabletext"/>
              <w:tabs>
                <w:tab w:val="decimal" w:pos="482"/>
              </w:tabs>
              <w:rPr>
                <w:color w:val="000000"/>
              </w:rPr>
            </w:pPr>
            <w:r w:rsidRPr="003E5792">
              <w:rPr>
                <w:color w:val="000000"/>
              </w:rPr>
              <w:t>24.0</w:t>
            </w:r>
          </w:p>
        </w:tc>
        <w:tc>
          <w:tcPr>
            <w:tcW w:w="1240" w:type="dxa"/>
            <w:tcBorders>
              <w:top w:val="nil"/>
              <w:left w:val="nil"/>
              <w:bottom w:val="nil"/>
              <w:right w:val="nil"/>
            </w:tcBorders>
          </w:tcPr>
          <w:p w:rsidR="003D02F0" w:rsidRPr="003E5792" w:rsidRDefault="003D02F0" w:rsidP="000C259A">
            <w:pPr>
              <w:pStyle w:val="Tabletext"/>
              <w:ind w:right="227"/>
              <w:jc w:val="right"/>
              <w:rPr>
                <w:color w:val="000000"/>
              </w:rPr>
            </w:pPr>
            <w:r w:rsidRPr="003E5792">
              <w:rPr>
                <w:color w:val="000000"/>
              </w:rPr>
              <w:t>45</w:t>
            </w:r>
            <w:r>
              <w:rPr>
                <w:color w:val="000000"/>
              </w:rPr>
              <w:t xml:space="preserve"> </w:t>
            </w:r>
            <w:r w:rsidRPr="003E5792">
              <w:rPr>
                <w:color w:val="000000"/>
              </w:rPr>
              <w:t>799</w:t>
            </w:r>
          </w:p>
        </w:tc>
        <w:tc>
          <w:tcPr>
            <w:tcW w:w="1170" w:type="dxa"/>
            <w:tcBorders>
              <w:left w:val="nil"/>
              <w:bottom w:val="nil"/>
            </w:tcBorders>
          </w:tcPr>
          <w:p w:rsidR="003D02F0" w:rsidRPr="003E5792" w:rsidRDefault="003D02F0" w:rsidP="006A739B">
            <w:pPr>
              <w:pStyle w:val="Tabletext"/>
              <w:tabs>
                <w:tab w:val="decimal" w:pos="482"/>
              </w:tabs>
              <w:rPr>
                <w:color w:val="000000"/>
              </w:rPr>
            </w:pPr>
            <w:r w:rsidRPr="003E5792">
              <w:rPr>
                <w:color w:val="000000"/>
              </w:rPr>
              <w:t>20.7</w:t>
            </w:r>
          </w:p>
        </w:tc>
        <w:tc>
          <w:tcPr>
            <w:tcW w:w="1276" w:type="dxa"/>
            <w:tcBorders>
              <w:left w:val="nil"/>
              <w:bottom w:val="nil"/>
            </w:tcBorders>
          </w:tcPr>
          <w:p w:rsidR="003D02F0" w:rsidRPr="003E5792" w:rsidRDefault="003D02F0" w:rsidP="006A739B">
            <w:pPr>
              <w:pStyle w:val="Tabletext"/>
              <w:tabs>
                <w:tab w:val="decimal" w:pos="510"/>
              </w:tabs>
              <w:rPr>
                <w:color w:val="000000"/>
              </w:rPr>
            </w:pPr>
            <w:r w:rsidRPr="003E5792">
              <w:rPr>
                <w:color w:val="000000"/>
              </w:rPr>
              <w:t>5.2</w:t>
            </w:r>
          </w:p>
        </w:tc>
      </w:tr>
      <w:tr w:rsidR="003D02F0" w:rsidRPr="003E5792" w:rsidTr="00D863E8">
        <w:tc>
          <w:tcPr>
            <w:tcW w:w="2835" w:type="dxa"/>
            <w:tcBorders>
              <w:top w:val="nil"/>
              <w:bottom w:val="single" w:sz="4" w:space="0" w:color="auto"/>
              <w:right w:val="nil"/>
            </w:tcBorders>
          </w:tcPr>
          <w:p w:rsidR="003D02F0" w:rsidRPr="003E5792" w:rsidRDefault="003D02F0" w:rsidP="000C259A">
            <w:pPr>
              <w:pStyle w:val="Tabletext"/>
              <w:rPr>
                <w:b/>
              </w:rPr>
            </w:pPr>
            <w:r w:rsidRPr="003E5792">
              <w:rPr>
                <w:b/>
              </w:rPr>
              <w:t>All students</w:t>
            </w:r>
          </w:p>
        </w:tc>
        <w:tc>
          <w:tcPr>
            <w:tcW w:w="1169" w:type="dxa"/>
            <w:tcBorders>
              <w:top w:val="nil"/>
              <w:left w:val="nil"/>
              <w:bottom w:val="single" w:sz="4" w:space="0" w:color="auto"/>
              <w:right w:val="nil"/>
            </w:tcBorders>
          </w:tcPr>
          <w:p w:rsidR="003D02F0" w:rsidRPr="003E5792" w:rsidRDefault="003D02F0" w:rsidP="000C259A">
            <w:pPr>
              <w:pStyle w:val="Tabletext"/>
              <w:ind w:right="227"/>
              <w:jc w:val="right"/>
              <w:rPr>
                <w:b/>
              </w:rPr>
            </w:pPr>
            <w:r w:rsidRPr="003E5792">
              <w:rPr>
                <w:b/>
              </w:rPr>
              <w:t>181 644</w:t>
            </w:r>
          </w:p>
        </w:tc>
        <w:tc>
          <w:tcPr>
            <w:tcW w:w="1099" w:type="dxa"/>
            <w:tcBorders>
              <w:top w:val="nil"/>
              <w:left w:val="nil"/>
              <w:bottom w:val="single" w:sz="4" w:space="0" w:color="auto"/>
              <w:right w:val="nil"/>
            </w:tcBorders>
          </w:tcPr>
          <w:p w:rsidR="003D02F0" w:rsidRPr="003E5792" w:rsidRDefault="003D02F0" w:rsidP="000C259A">
            <w:pPr>
              <w:pStyle w:val="Tabletext"/>
              <w:tabs>
                <w:tab w:val="decimal" w:pos="482"/>
              </w:tabs>
              <w:rPr>
                <w:b/>
                <w:color w:val="000000"/>
              </w:rPr>
            </w:pPr>
            <w:r w:rsidRPr="003E5792">
              <w:rPr>
                <w:b/>
                <w:color w:val="000000"/>
              </w:rPr>
              <w:t>100.0</w:t>
            </w:r>
          </w:p>
        </w:tc>
        <w:tc>
          <w:tcPr>
            <w:tcW w:w="1240" w:type="dxa"/>
            <w:tcBorders>
              <w:top w:val="nil"/>
              <w:left w:val="nil"/>
              <w:bottom w:val="single" w:sz="4" w:space="0" w:color="auto"/>
              <w:right w:val="nil"/>
            </w:tcBorders>
          </w:tcPr>
          <w:p w:rsidR="003D02F0" w:rsidRPr="003E5792" w:rsidRDefault="003D02F0" w:rsidP="000C259A">
            <w:pPr>
              <w:pStyle w:val="Tabletext"/>
              <w:ind w:right="227"/>
              <w:jc w:val="right"/>
              <w:rPr>
                <w:b/>
                <w:color w:val="000000"/>
              </w:rPr>
            </w:pPr>
            <w:r w:rsidRPr="003E5792">
              <w:rPr>
                <w:b/>
                <w:color w:val="000000"/>
              </w:rPr>
              <w:t>221</w:t>
            </w:r>
            <w:r>
              <w:rPr>
                <w:b/>
                <w:color w:val="000000"/>
              </w:rPr>
              <w:t xml:space="preserve"> </w:t>
            </w:r>
            <w:r w:rsidRPr="003E5792">
              <w:rPr>
                <w:b/>
                <w:color w:val="000000"/>
              </w:rPr>
              <w:t>571</w:t>
            </w:r>
          </w:p>
        </w:tc>
        <w:tc>
          <w:tcPr>
            <w:tcW w:w="1170" w:type="dxa"/>
            <w:tcBorders>
              <w:top w:val="nil"/>
              <w:left w:val="nil"/>
              <w:bottom w:val="single" w:sz="4" w:space="0" w:color="auto"/>
            </w:tcBorders>
          </w:tcPr>
          <w:p w:rsidR="003D02F0" w:rsidRPr="003E5792" w:rsidRDefault="003D02F0" w:rsidP="006A739B">
            <w:pPr>
              <w:pStyle w:val="Tabletext"/>
              <w:tabs>
                <w:tab w:val="decimal" w:pos="482"/>
              </w:tabs>
              <w:rPr>
                <w:b/>
                <w:color w:val="000000"/>
              </w:rPr>
            </w:pPr>
            <w:r w:rsidRPr="003E5792">
              <w:rPr>
                <w:b/>
                <w:color w:val="000000"/>
              </w:rPr>
              <w:t>100.0</w:t>
            </w:r>
          </w:p>
        </w:tc>
        <w:tc>
          <w:tcPr>
            <w:tcW w:w="1276" w:type="dxa"/>
            <w:tcBorders>
              <w:top w:val="nil"/>
              <w:left w:val="nil"/>
              <w:bottom w:val="single" w:sz="4" w:space="0" w:color="auto"/>
            </w:tcBorders>
          </w:tcPr>
          <w:p w:rsidR="003D02F0" w:rsidRPr="003E5792" w:rsidRDefault="003D02F0" w:rsidP="006A739B">
            <w:pPr>
              <w:pStyle w:val="Tabletext"/>
              <w:tabs>
                <w:tab w:val="decimal" w:pos="510"/>
              </w:tabs>
              <w:rPr>
                <w:b/>
                <w:color w:val="000000"/>
              </w:rPr>
            </w:pPr>
            <w:r w:rsidRPr="003E5792">
              <w:rPr>
                <w:b/>
                <w:color w:val="000000"/>
              </w:rPr>
              <w:t>22.0</w:t>
            </w:r>
          </w:p>
        </w:tc>
      </w:tr>
    </w:tbl>
    <w:p w:rsidR="003D02F0" w:rsidRPr="006A739B" w:rsidRDefault="003D02F0" w:rsidP="006A739B">
      <w:pPr>
        <w:pStyle w:val="Source"/>
      </w:pPr>
      <w:r>
        <w:t>Notes:</w:t>
      </w:r>
      <w:r>
        <w:tab/>
      </w:r>
      <w:r w:rsidR="00120016">
        <w:t>‘</w:t>
      </w:r>
      <w:r>
        <w:t>Commencing students</w:t>
      </w:r>
      <w:r w:rsidR="00120016">
        <w:t>’</w:t>
      </w:r>
      <w:r w:rsidR="00CF6089">
        <w:t xml:space="preserve"> </w:t>
      </w:r>
      <w:r>
        <w:t>includes students admitted to undergraduate, en</w:t>
      </w:r>
      <w:r w:rsidR="00120016">
        <w:t>abling and non-award programs. ‘Other’ includes m</w:t>
      </w:r>
      <w:r>
        <w:t>ature age</w:t>
      </w:r>
      <w:r w:rsidRPr="006A739B">
        <w:t>, professional qualification, other basis and unknown</w:t>
      </w:r>
      <w:r w:rsidR="00120016" w:rsidRPr="006A739B">
        <w:t>.</w:t>
      </w:r>
    </w:p>
    <w:p w:rsidR="003D02F0" w:rsidRDefault="003D02F0" w:rsidP="006A739B">
      <w:pPr>
        <w:pStyle w:val="Source"/>
      </w:pPr>
      <w:r w:rsidRPr="006A739B">
        <w:t>Source:</w:t>
      </w:r>
      <w:r w:rsidRPr="006A739B">
        <w:tab/>
      </w:r>
      <w:r w:rsidR="00115380" w:rsidRPr="006A739B">
        <w:t>Departmen</w:t>
      </w:r>
      <w:r w:rsidR="00115380">
        <w:t xml:space="preserve">t of Education, Employment and Workplace relations, </w:t>
      </w:r>
      <w:r>
        <w:t>Higher Education Statistics Collection (published and unpublished data).</w:t>
      </w:r>
    </w:p>
    <w:p w:rsidR="004164A0" w:rsidRPr="006A739B" w:rsidRDefault="004164A0" w:rsidP="006A739B">
      <w:pPr>
        <w:pStyle w:val="Textmorebefore"/>
      </w:pPr>
      <w:r>
        <w:t>In total, o</w:t>
      </w:r>
      <w:r w:rsidR="00120016">
        <w:t xml:space="preserve">ver 30 </w:t>
      </w:r>
      <w:r w:rsidRPr="004164A0">
        <w:t xml:space="preserve">000 students are admitted to Australian universities on the basis </w:t>
      </w:r>
      <w:r w:rsidR="00120016">
        <w:t>of holding a VET award, and one-quarter of them (7</w:t>
      </w:r>
      <w:r w:rsidRPr="004164A0">
        <w:t>450 students) are from overseas.</w:t>
      </w:r>
      <w:r w:rsidR="00837079">
        <w:t xml:space="preserve"> </w:t>
      </w:r>
      <w:r w:rsidRPr="004164A0">
        <w:t xml:space="preserve">Students admitted on the basis of a VET award now comprise </w:t>
      </w:r>
      <w:r w:rsidR="00137975">
        <w:t>10</w:t>
      </w:r>
      <w:r w:rsidR="008134F7">
        <w:t>%</w:t>
      </w:r>
      <w:r w:rsidR="00120016">
        <w:t xml:space="preserve"> </w:t>
      </w:r>
      <w:r w:rsidRPr="004164A0">
        <w:t xml:space="preserve">of all commencing students </w:t>
      </w:r>
      <w:r w:rsidRPr="006A739B">
        <w:t>at the undergraduate level</w:t>
      </w:r>
      <w:r w:rsidR="000E0946" w:rsidRPr="006A739B">
        <w:t xml:space="preserve"> (both domestic and overseas)</w:t>
      </w:r>
      <w:r w:rsidRPr="006A739B">
        <w:t xml:space="preserve">. </w:t>
      </w:r>
    </w:p>
    <w:p w:rsidR="00D048E1" w:rsidRPr="006A739B" w:rsidRDefault="00D048E1" w:rsidP="006A739B">
      <w:pPr>
        <w:pStyle w:val="Text"/>
      </w:pPr>
      <w:r w:rsidRPr="006A739B">
        <w:t xml:space="preserve">Students admitted to undergraduate programs on the basis of a VET award are on average slightly older than other students and are more likely to be studying part-time. Aboriginal and Torres Strait Islanders appear to be underrepresented in the group of VET </w:t>
      </w:r>
      <w:r w:rsidR="00B87FBB" w:rsidRPr="006A739B">
        <w:t>award holders</w:t>
      </w:r>
      <w:r w:rsidRPr="006A739B">
        <w:t xml:space="preserve"> admitted to higher education</w:t>
      </w:r>
      <w:r w:rsidR="00120016" w:rsidRPr="006A739B">
        <w:t>.</w:t>
      </w:r>
      <w:r w:rsidRPr="006A739B">
        <w:t xml:space="preserve"> </w:t>
      </w:r>
      <w:r w:rsidR="00D55BA9" w:rsidRPr="006A739B">
        <w:t>(</w:t>
      </w:r>
      <w:r w:rsidR="00120016" w:rsidRPr="006A739B">
        <w:t>S</w:t>
      </w:r>
      <w:r w:rsidR="00D55BA9" w:rsidRPr="006A739B">
        <w:t xml:space="preserve">ee the analysis provided in the supporting document.) </w:t>
      </w:r>
      <w:r w:rsidRPr="006A739B">
        <w:t xml:space="preserve">As characteristics such as being older and having work and family responsibilities are known to have an adverse impact on completion rates for all undergraduate students, the challenges faced by many VET </w:t>
      </w:r>
      <w:r w:rsidR="00B87FBB" w:rsidRPr="006A739B">
        <w:t>award holders</w:t>
      </w:r>
      <w:r w:rsidRPr="006A739B">
        <w:t xml:space="preserve"> admitted to university could be com</w:t>
      </w:r>
      <w:r w:rsidR="00120016" w:rsidRPr="006A739B">
        <w:t>pounded</w:t>
      </w:r>
      <w:r w:rsidRPr="006A739B">
        <w:t>.</w:t>
      </w:r>
    </w:p>
    <w:p w:rsidR="00B67663" w:rsidRDefault="00B67663" w:rsidP="00B67663">
      <w:pPr>
        <w:pStyle w:val="Heading2"/>
      </w:pPr>
      <w:bookmarkStart w:id="36" w:name="_Toc367450614"/>
      <w:bookmarkEnd w:id="34"/>
      <w:r>
        <w:t xml:space="preserve">Distribution of VET </w:t>
      </w:r>
      <w:r w:rsidR="00B87FBB">
        <w:t>award holders</w:t>
      </w:r>
      <w:r>
        <w:t xml:space="preserve"> between universities</w:t>
      </w:r>
      <w:bookmarkEnd w:id="36"/>
    </w:p>
    <w:p w:rsidR="000F026D" w:rsidRDefault="00B67663" w:rsidP="00B67663">
      <w:pPr>
        <w:pStyle w:val="Text"/>
      </w:pPr>
      <w:r>
        <w:t>While 37 publicly funded Australian universities</w:t>
      </w:r>
      <w:r>
        <w:rPr>
          <w:rStyle w:val="FootnoteReference"/>
        </w:rPr>
        <w:footnoteReference w:id="3"/>
      </w:r>
      <w:r>
        <w:t xml:space="preserve"> admit</w:t>
      </w:r>
      <w:r w:rsidR="00350AD5">
        <w:t xml:space="preserve"> students on the basis of a VET</w:t>
      </w:r>
      <w:r>
        <w:t xml:space="preserve"> award, their share of VET </w:t>
      </w:r>
      <w:r w:rsidR="00B87FBB">
        <w:t>award holders</w:t>
      </w:r>
      <w:r>
        <w:t xml:space="preserve"> admitted to undergraduate programs in higher education varies. F</w:t>
      </w:r>
      <w:r w:rsidR="00350AD5">
        <w:t>or example, three institutions —</w:t>
      </w:r>
      <w:r>
        <w:t xml:space="preserve"> Charles Sturt University, RMIT University and t</w:t>
      </w:r>
      <w:r w:rsidR="00350AD5">
        <w:t>he University of Western Sydney —</w:t>
      </w:r>
      <w:r>
        <w:t xml:space="preserve"> account for over 28</w:t>
      </w:r>
      <w:r w:rsidR="008134F7">
        <w:t>%</w:t>
      </w:r>
      <w:r w:rsidR="00350AD5">
        <w:t xml:space="preserve"> </w:t>
      </w:r>
      <w:r>
        <w:t xml:space="preserve">of total undergraduate enrolments of students admitted on the basis of a VET award. </w:t>
      </w:r>
    </w:p>
    <w:p w:rsidR="00D10D6B" w:rsidRDefault="009D4625" w:rsidP="00B67663">
      <w:pPr>
        <w:pStyle w:val="Text"/>
      </w:pPr>
      <w:r>
        <w:lastRenderedPageBreak/>
        <w:t>O</w:t>
      </w:r>
      <w:r w:rsidR="00350AD5">
        <w:t>ne-</w:t>
      </w:r>
      <w:r w:rsidR="00B67663">
        <w:t>third of Australian universities</w:t>
      </w:r>
      <w:r>
        <w:t xml:space="preserve"> — 12 universities in total — </w:t>
      </w:r>
      <w:r w:rsidR="00B67663">
        <w:t xml:space="preserve">provide two-thirds of the pathways for VET </w:t>
      </w:r>
      <w:r w:rsidR="00B87FBB">
        <w:t>award holders</w:t>
      </w:r>
      <w:r w:rsidR="00B67663">
        <w:t xml:space="preserve"> into higher education. </w:t>
      </w:r>
      <w:r w:rsidR="00D10D6B">
        <w:t xml:space="preserve">The </w:t>
      </w:r>
      <w:r w:rsidR="00115380">
        <w:t>12</w:t>
      </w:r>
      <w:r w:rsidR="00D10D6B">
        <w:t xml:space="preserve"> universities </w:t>
      </w:r>
      <w:r w:rsidR="000F026D">
        <w:t xml:space="preserve">catering for VET </w:t>
      </w:r>
      <w:r w:rsidR="00B87FBB">
        <w:t>award holders</w:t>
      </w:r>
      <w:r w:rsidR="000F026D">
        <w:t xml:space="preserve"> in large numbers are</w:t>
      </w:r>
      <w:r w:rsidR="00D10D6B">
        <w:t xml:space="preserve">: </w:t>
      </w:r>
      <w:r w:rsidR="00D10D6B" w:rsidRPr="00D10D6B">
        <w:t>Charles Sturt University; RMIT University; University of Western Sydney; Griffith University; Deakin University: Edith Cowan University; La Trobe University; Swinburne University: Victoria University; University of South Australia; University of Newcastle; and University of Tasmania</w:t>
      </w:r>
      <w:r w:rsidR="00D10D6B">
        <w:t>.</w:t>
      </w:r>
    </w:p>
    <w:p w:rsidR="00B67663" w:rsidRDefault="00B67663" w:rsidP="00722B39">
      <w:pPr>
        <w:pStyle w:val="Text"/>
        <w:spacing w:before="120" w:line="290" w:lineRule="exact"/>
        <w:ind w:right="0"/>
      </w:pPr>
      <w:r>
        <w:t xml:space="preserve">There are some differences </w:t>
      </w:r>
      <w:r w:rsidR="000F026D">
        <w:t xml:space="preserve">in the distribution of VET </w:t>
      </w:r>
      <w:r w:rsidR="00B87FBB">
        <w:t>award holders</w:t>
      </w:r>
      <w:r w:rsidR="000F026D">
        <w:t xml:space="preserve"> </w:t>
      </w:r>
      <w:r>
        <w:t xml:space="preserve">between </w:t>
      </w:r>
      <w:r w:rsidR="00350AD5">
        <w:t>states and territories</w:t>
      </w:r>
      <w:r>
        <w:t xml:space="preserve">, in </w:t>
      </w:r>
      <w:proofErr w:type="gramStart"/>
      <w:r>
        <w:t>that Victorian universities</w:t>
      </w:r>
      <w:proofErr w:type="gramEnd"/>
      <w:r>
        <w:t xml:space="preserve"> have a higher share (32</w:t>
      </w:r>
      <w:r w:rsidR="007A2C97">
        <w:t>%</w:t>
      </w:r>
      <w:r>
        <w:t xml:space="preserve">) of all students admitted to higher education on the basis of a VET award, compared </w:t>
      </w:r>
      <w:r w:rsidR="00350AD5">
        <w:t>with</w:t>
      </w:r>
      <w:r>
        <w:t xml:space="preserve"> the Victorian share of total enrolments (24</w:t>
      </w:r>
      <w:r w:rsidR="007A2C97">
        <w:t>%</w:t>
      </w:r>
      <w:r>
        <w:t xml:space="preserve">). </w:t>
      </w:r>
    </w:p>
    <w:p w:rsidR="00974583" w:rsidRDefault="009853F4" w:rsidP="00722B39">
      <w:pPr>
        <w:pStyle w:val="Text"/>
        <w:spacing w:before="120" w:line="290" w:lineRule="exact"/>
        <w:ind w:right="0"/>
      </w:pPr>
      <w:r>
        <w:t>A</w:t>
      </w:r>
      <w:r w:rsidR="00974583">
        <w:t xml:space="preserve">s the number of VET </w:t>
      </w:r>
      <w:r w:rsidR="00B87FBB">
        <w:t>award holders</w:t>
      </w:r>
      <w:r w:rsidR="00974583">
        <w:t xml:space="preserve"> admitted to any given university will be influenced by the size of the institution, it is more </w:t>
      </w:r>
      <w:r w:rsidR="00442ACA">
        <w:t>reaso</w:t>
      </w:r>
      <w:r>
        <w:t xml:space="preserve">nable </w:t>
      </w:r>
      <w:r w:rsidR="00974583">
        <w:t xml:space="preserve">to compare </w:t>
      </w:r>
      <w:r w:rsidR="002F0BE9">
        <w:t xml:space="preserve">institutions </w:t>
      </w:r>
      <w:r w:rsidR="00974583">
        <w:t xml:space="preserve">in terms of the proportion of </w:t>
      </w:r>
      <w:r w:rsidR="00115380">
        <w:t>the entirety of</w:t>
      </w:r>
      <w:r w:rsidR="00974583">
        <w:t xml:space="preserve"> their undergraduate commencing students who are admitted on the basis of a VET award</w:t>
      </w:r>
      <w:r w:rsidR="00EB2D8A">
        <w:t>.</w:t>
      </w:r>
    </w:p>
    <w:p w:rsidR="00D77E35" w:rsidRDefault="00D77E35" w:rsidP="00D77E35">
      <w:pPr>
        <w:pStyle w:val="Heading2"/>
      </w:pPr>
      <w:bookmarkStart w:id="37" w:name="_Toc367450615"/>
      <w:r>
        <w:t xml:space="preserve">Rate of admission of VET </w:t>
      </w:r>
      <w:r w:rsidR="00B87FBB">
        <w:t>award holders</w:t>
      </w:r>
      <w:r>
        <w:t xml:space="preserve"> </w:t>
      </w:r>
      <w:r w:rsidR="00F97864">
        <w:t xml:space="preserve">by </w:t>
      </w:r>
      <w:r>
        <w:t>universit</w:t>
      </w:r>
      <w:r w:rsidR="00F97864">
        <w:t>y</w:t>
      </w:r>
      <w:bookmarkEnd w:id="37"/>
    </w:p>
    <w:p w:rsidR="00B67663" w:rsidRDefault="00C36656" w:rsidP="00722B39">
      <w:pPr>
        <w:pStyle w:val="Text"/>
        <w:spacing w:before="120" w:line="290" w:lineRule="exact"/>
        <w:ind w:right="0"/>
      </w:pPr>
      <w:r>
        <w:t>Figure 1</w:t>
      </w:r>
      <w:r w:rsidR="00522B24">
        <w:t xml:space="preserve"> illustrates </w:t>
      </w:r>
      <w:r w:rsidR="00B67663">
        <w:t xml:space="preserve">the proportion of each institution’s commencing undergraduate population comprised of </w:t>
      </w:r>
      <w:r w:rsidR="00B67663" w:rsidRPr="002C54B4">
        <w:t>students</w:t>
      </w:r>
      <w:r w:rsidR="00B67663">
        <w:t xml:space="preserve"> admitted on the basis of a VET award and the institutions that perform above and below </w:t>
      </w:r>
      <w:r w:rsidR="00350AD5">
        <w:t>the national rate of 10%</w:t>
      </w:r>
      <w:r w:rsidR="00B67663">
        <w:t>.</w:t>
      </w:r>
    </w:p>
    <w:p w:rsidR="00470D50" w:rsidRDefault="00470D50" w:rsidP="00722B39">
      <w:pPr>
        <w:pStyle w:val="Text"/>
        <w:spacing w:before="120" w:line="290" w:lineRule="exact"/>
        <w:ind w:right="0"/>
      </w:pPr>
      <w:r>
        <w:t>It has been suggested that being a dual-sector provider offers an explanation for the different rates of admission of VET award holders between universities.</w:t>
      </w:r>
      <w:r>
        <w:rPr>
          <w:rStyle w:val="FootnoteReference"/>
        </w:rPr>
        <w:footnoteReference w:id="4"/>
      </w:r>
      <w:r>
        <w:t xml:space="preserve"> While this issue is also explored later in this report, the analysis so far does not support this assumption. While two of Australia’s dual-sector universities — RMIT University and Swinburne University — admit VET award holders at twice the national rate, the other three dual-sector universities — Charles Darwin University, Victoria University and the University of Ballarat — do not. The university which admits the highest proportion of VET award holders — Charles Sturt University </w:t>
      </w:r>
      <w:r w:rsidRPr="00CA5F03">
        <w:t>(26</w:t>
      </w:r>
      <w:r>
        <w:t>%</w:t>
      </w:r>
      <w:r w:rsidRPr="00CA5F03">
        <w:t xml:space="preserve">) </w:t>
      </w:r>
      <w:r>
        <w:t xml:space="preserve">— is not a dual-sector institution. Three single-sector institutions — University of Western Sydney, Edith Cowan University and Deakin University — admit VET award holders at similar rates to the dual-sector Victoria University (16—17%). </w:t>
      </w:r>
    </w:p>
    <w:p w:rsidR="00470D50" w:rsidRDefault="00470D50" w:rsidP="00722B39">
      <w:pPr>
        <w:pStyle w:val="Text"/>
        <w:spacing w:before="120" w:line="290" w:lineRule="exact"/>
        <w:ind w:right="0"/>
      </w:pPr>
      <w:r w:rsidRPr="00FA1AF7">
        <w:t>O</w:t>
      </w:r>
      <w:r>
        <w:t>verall, one-</w:t>
      </w:r>
      <w:r w:rsidRPr="00FA1AF7">
        <w:t xml:space="preserve">third of </w:t>
      </w:r>
      <w:r>
        <w:t xml:space="preserve">Australian </w:t>
      </w:r>
      <w:r w:rsidRPr="00FA1AF7">
        <w:t>universities provide two-thirds of the VET</w:t>
      </w:r>
      <w:r>
        <w:t xml:space="preserve"> to higher education</w:t>
      </w:r>
      <w:r w:rsidRPr="00FA1AF7">
        <w:t xml:space="preserve"> pathways</w:t>
      </w:r>
      <w:r>
        <w:t>.</w:t>
      </w:r>
      <w:r w:rsidRPr="00FA1AF7">
        <w:t xml:space="preserve"> </w:t>
      </w:r>
      <w:r>
        <w:t xml:space="preserve">Some </w:t>
      </w:r>
      <w:r w:rsidRPr="00FA1AF7">
        <w:t>12 institutions enrol 68</w:t>
      </w:r>
      <w:r>
        <w:t xml:space="preserve">% </w:t>
      </w:r>
      <w:r w:rsidRPr="00FA1AF7">
        <w:t xml:space="preserve">of all students admitted on the basis of a VET award, while the remaining 25 universities accommodate one-third. VET </w:t>
      </w:r>
      <w:r>
        <w:t>award holders</w:t>
      </w:r>
      <w:r w:rsidRPr="00FA1AF7">
        <w:t xml:space="preserve"> are </w:t>
      </w:r>
      <w:r>
        <w:t xml:space="preserve">also </w:t>
      </w:r>
      <w:r w:rsidRPr="00FA1AF7">
        <w:t xml:space="preserve">distributed unevenly between </w:t>
      </w:r>
      <w:r>
        <w:t xml:space="preserve">the </w:t>
      </w:r>
      <w:r w:rsidRPr="00FA1AF7">
        <w:t xml:space="preserve">states, with Victorian universities accounting for a disproportionately large share of VET </w:t>
      </w:r>
      <w:r>
        <w:t>award holders</w:t>
      </w:r>
      <w:r w:rsidRPr="00FA1AF7">
        <w:t xml:space="preserve"> </w:t>
      </w:r>
      <w:r>
        <w:t xml:space="preserve">commencing </w:t>
      </w:r>
      <w:r w:rsidRPr="00FA1AF7">
        <w:t>higher education</w:t>
      </w:r>
      <w:r>
        <w:t xml:space="preserve"> courses, followed by New South Wales. </w:t>
      </w:r>
      <w:r w:rsidR="00730752">
        <w:t>By</w:t>
      </w:r>
      <w:r>
        <w:t xml:space="preserve"> contrast, in Queensland, Western Australia and South Australia, VET award holders are underrepresented in undergraduate higher education courses. </w:t>
      </w:r>
      <w:proofErr w:type="gramStart"/>
      <w:r>
        <w:t>(See support document for details.)</w:t>
      </w:r>
      <w:proofErr w:type="gramEnd"/>
    </w:p>
    <w:p w:rsidR="00722B39" w:rsidRDefault="00722B39" w:rsidP="00722B39">
      <w:pPr>
        <w:pStyle w:val="Heading2"/>
      </w:pPr>
      <w:bookmarkStart w:id="38" w:name="_Toc367450616"/>
      <w:r>
        <w:t>Admission rate of VET award holders by field of education</w:t>
      </w:r>
      <w:bookmarkEnd w:id="38"/>
      <w:r>
        <w:t xml:space="preserve"> </w:t>
      </w:r>
    </w:p>
    <w:p w:rsidR="00722B39" w:rsidRDefault="00722B39" w:rsidP="00722B39">
      <w:pPr>
        <w:pStyle w:val="Text"/>
        <w:spacing w:before="120" w:line="290" w:lineRule="exact"/>
        <w:ind w:right="0"/>
      </w:pPr>
      <w:r>
        <w:t xml:space="preserve">Field of education also appears to impact on the admission rate of VET award holders to university. As shown in table 2, the fields of education where </w:t>
      </w:r>
      <w:r w:rsidRPr="006A6D83">
        <w:t xml:space="preserve">VET </w:t>
      </w:r>
      <w:r>
        <w:t>award holders</w:t>
      </w:r>
      <w:r w:rsidRPr="006A6D83">
        <w:t xml:space="preserve"> are </w:t>
      </w:r>
      <w:r>
        <w:t>admitted at rates above the national average rate of 10% include e</w:t>
      </w:r>
      <w:r w:rsidRPr="006E6FC9">
        <w:t>ducation (FOE 0</w:t>
      </w:r>
      <w:r>
        <w:t>7):</w:t>
      </w:r>
      <w:r w:rsidRPr="006E6FC9">
        <w:t xml:space="preserve"> 14.9%</w:t>
      </w:r>
      <w:r>
        <w:t>; information t</w:t>
      </w:r>
      <w:r w:rsidRPr="006E6FC9">
        <w:t>echnology (FOE</w:t>
      </w:r>
      <w:r>
        <w:t> 02):</w:t>
      </w:r>
      <w:r w:rsidRPr="006E6FC9">
        <w:t xml:space="preserve"> 14.2</w:t>
      </w:r>
      <w:r>
        <w:t>%; m</w:t>
      </w:r>
      <w:r w:rsidRPr="006A6D83">
        <w:t>anageme</w:t>
      </w:r>
      <w:r>
        <w:t>nt and c</w:t>
      </w:r>
      <w:r w:rsidRPr="006A6D83">
        <w:t>ommerce (FOE 08)</w:t>
      </w:r>
      <w:r>
        <w:t>: 13.0%; h</w:t>
      </w:r>
      <w:r w:rsidRPr="006A6D83">
        <w:t>ealth (FOE 06)</w:t>
      </w:r>
      <w:r>
        <w:t xml:space="preserve">: 11.7%; </w:t>
      </w:r>
      <w:r w:rsidRPr="006A6D83">
        <w:t>architecture and building (FOE 04)</w:t>
      </w:r>
      <w:r>
        <w:t xml:space="preserve">: 10.2%. </w:t>
      </w:r>
    </w:p>
    <w:p w:rsidR="00722B39" w:rsidRDefault="00722B39" w:rsidP="00722B39">
      <w:pPr>
        <w:pStyle w:val="Text"/>
        <w:spacing w:before="120" w:line="290" w:lineRule="exact"/>
        <w:ind w:right="0"/>
      </w:pPr>
      <w:r>
        <w:t xml:space="preserve">However, there are considerable differences in the size of the total undergraduate student population in each field of education, as shown in table 2. Large fields such as society and culture (FOE 09) and management and commerce (FOE 08) each account for one-fifth of the entire undergraduate commencing student population (over 20% each). The field with the highest admission rate of VET </w:t>
      </w:r>
      <w:r>
        <w:lastRenderedPageBreak/>
        <w:t>award holders — education (FOE 07) — represents 11.5% of all undergraduate commencements, and information technology accounts for only 3.6% of student commencing load. Thus, the rate of admission of VET award holders in large fields has an impact on the overall admission rate of VET award holders nationally.</w:t>
      </w:r>
    </w:p>
    <w:p w:rsidR="00B67663" w:rsidRDefault="00C36656" w:rsidP="002C54B4">
      <w:pPr>
        <w:pStyle w:val="Figuretitle"/>
      </w:pPr>
      <w:bookmarkStart w:id="39" w:name="_Toc367362965"/>
      <w:r>
        <w:t>Figure 1</w:t>
      </w:r>
      <w:r w:rsidR="00B67663">
        <w:tab/>
        <w:t xml:space="preserve">Proportion of total </w:t>
      </w:r>
      <w:r w:rsidR="00B67663" w:rsidRPr="002C54B4">
        <w:t>undergraduate</w:t>
      </w:r>
      <w:r w:rsidR="00B67663">
        <w:t xml:space="preserve"> commencements admitted on the basis of a </w:t>
      </w:r>
      <w:r w:rsidR="00470D50">
        <w:br/>
      </w:r>
      <w:r w:rsidR="00B67663">
        <w:t>VET award (domestic and overseas), by institution, Australia</w:t>
      </w:r>
      <w:r w:rsidR="00115380">
        <w:t>,</w:t>
      </w:r>
      <w:r w:rsidR="00B67663">
        <w:t xml:space="preserve"> 2010</w:t>
      </w:r>
      <w:bookmarkEnd w:id="39"/>
      <w:r w:rsidR="00B67663">
        <w:t xml:space="preserve"> </w:t>
      </w:r>
    </w:p>
    <w:p w:rsidR="00093C35" w:rsidRDefault="0058469F" w:rsidP="002C54B4">
      <w:pPr>
        <w:pStyle w:val="Figuretitle"/>
      </w:pPr>
      <w:r w:rsidRPr="0058469F">
        <w:rPr>
          <w:noProof/>
          <w:lang w:eastAsia="en-AU"/>
        </w:rPr>
        <w:drawing>
          <wp:inline distT="0" distB="0" distL="0" distR="0">
            <wp:extent cx="4572000" cy="6362700"/>
            <wp:effectExtent l="19050" t="0" r="19050"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67663" w:rsidRDefault="002C54B4" w:rsidP="00B67663">
      <w:pPr>
        <w:pStyle w:val="Source"/>
      </w:pPr>
      <w:r>
        <w:t>Source:</w:t>
      </w:r>
      <w:r>
        <w:tab/>
      </w:r>
      <w:r w:rsidR="00B67663">
        <w:t>D</w:t>
      </w:r>
      <w:r w:rsidR="00350AD5">
        <w:t>epartment of Education, Employment and Workplace Relations,</w:t>
      </w:r>
      <w:r w:rsidR="00B67663">
        <w:t xml:space="preserve"> Higher </w:t>
      </w:r>
      <w:r w:rsidR="00350AD5">
        <w:t>Education Statistics Collection</w:t>
      </w:r>
      <w:r w:rsidR="00581AAD">
        <w:br/>
      </w:r>
      <w:r w:rsidR="00350AD5">
        <w:t xml:space="preserve"> u</w:t>
      </w:r>
      <w:r w:rsidR="00B67663">
        <w:t>npublished data</w:t>
      </w:r>
      <w:r w:rsidR="00350AD5">
        <w:t xml:space="preserve"> (2010).</w:t>
      </w:r>
    </w:p>
    <w:p w:rsidR="00C04DA7" w:rsidRDefault="00C04DA7">
      <w:pPr>
        <w:spacing w:before="0" w:line="240" w:lineRule="auto"/>
      </w:pPr>
      <w:bookmarkStart w:id="40" w:name="_Toc364688852"/>
      <w:r>
        <w:br w:type="page"/>
      </w:r>
    </w:p>
    <w:p w:rsidR="00722B39" w:rsidRDefault="00722B39" w:rsidP="00722B39">
      <w:pPr>
        <w:pStyle w:val="Textmorebefore"/>
      </w:pPr>
      <w:r>
        <w:lastRenderedPageBreak/>
        <w:t xml:space="preserve">While the rates of admission of VET award holders to undergraduate programs vary by broad field of education, we cannot assume that this is due entirely to the characteristics of specific fields. It may also be the result of the policies and practices of universities that dominate undergraduate provision in some fields. This issue is explored in more detail </w:t>
      </w:r>
      <w:r w:rsidR="00730752">
        <w:t>in the final section of this report.</w:t>
      </w:r>
    </w:p>
    <w:p w:rsidR="00BA3532" w:rsidRPr="009F6552" w:rsidRDefault="00BA3532" w:rsidP="00BA3532">
      <w:pPr>
        <w:pStyle w:val="tabletitle"/>
      </w:pPr>
      <w:r>
        <w:t>Table 2</w:t>
      </w:r>
      <w:r>
        <w:tab/>
        <w:t xml:space="preserve">VET </w:t>
      </w:r>
      <w:r w:rsidR="00B87FBB">
        <w:t>award holders</w:t>
      </w:r>
      <w:r>
        <w:t xml:space="preserve"> and all undergraduate commencements by broad field of education</w:t>
      </w:r>
      <w:r w:rsidR="00555214">
        <w:t>,</w:t>
      </w:r>
      <w:r>
        <w:rPr>
          <w:rStyle w:val="FootnoteReference"/>
        </w:rPr>
        <w:footnoteReference w:id="5"/>
      </w:r>
      <w:r>
        <w:t xml:space="preserve"> Australia</w:t>
      </w:r>
      <w:r w:rsidR="00555214">
        <w:t>,</w:t>
      </w:r>
      <w:r>
        <w:t xml:space="preserve"> 2010</w:t>
      </w:r>
      <w:bookmarkEnd w:id="40"/>
    </w:p>
    <w:tbl>
      <w:tblPr>
        <w:tblW w:w="8789" w:type="dxa"/>
        <w:tblInd w:w="108" w:type="dxa"/>
        <w:tblLayout w:type="fixed"/>
        <w:tblLook w:val="04A0" w:firstRow="1" w:lastRow="0" w:firstColumn="1" w:lastColumn="0" w:noHBand="0" w:noVBand="1"/>
      </w:tblPr>
      <w:tblGrid>
        <w:gridCol w:w="498"/>
        <w:gridCol w:w="3753"/>
        <w:gridCol w:w="1134"/>
        <w:gridCol w:w="1135"/>
        <w:gridCol w:w="1134"/>
        <w:gridCol w:w="1135"/>
      </w:tblGrid>
      <w:tr w:rsidR="00D863E8" w:rsidRPr="00986666" w:rsidTr="00DA11D8">
        <w:tc>
          <w:tcPr>
            <w:tcW w:w="498" w:type="dxa"/>
            <w:tcBorders>
              <w:top w:val="single" w:sz="4" w:space="0" w:color="auto"/>
              <w:left w:val="nil"/>
              <w:bottom w:val="nil"/>
              <w:right w:val="nil"/>
            </w:tcBorders>
          </w:tcPr>
          <w:p w:rsidR="00D863E8" w:rsidRPr="00986666" w:rsidRDefault="00D863E8" w:rsidP="00986666">
            <w:pPr>
              <w:pStyle w:val="Tablehead1"/>
            </w:pPr>
            <w:r w:rsidRPr="00986666">
              <w:t>No.</w:t>
            </w:r>
          </w:p>
        </w:tc>
        <w:tc>
          <w:tcPr>
            <w:tcW w:w="3753" w:type="dxa"/>
            <w:tcBorders>
              <w:top w:val="single" w:sz="4" w:space="0" w:color="auto"/>
              <w:left w:val="nil"/>
              <w:bottom w:val="nil"/>
              <w:right w:val="nil"/>
            </w:tcBorders>
            <w:shd w:val="clear" w:color="auto" w:fill="auto"/>
            <w:noWrap/>
            <w:hideMark/>
          </w:tcPr>
          <w:p w:rsidR="00D863E8" w:rsidRPr="00986666" w:rsidRDefault="00D863E8" w:rsidP="00D863E8">
            <w:pPr>
              <w:pStyle w:val="Tablehead1"/>
            </w:pPr>
            <w:r w:rsidRPr="00986666">
              <w:t>Broad field of education (FOE)</w:t>
            </w:r>
          </w:p>
        </w:tc>
        <w:tc>
          <w:tcPr>
            <w:tcW w:w="2269" w:type="dxa"/>
            <w:gridSpan w:val="2"/>
            <w:tcBorders>
              <w:top w:val="single" w:sz="4" w:space="0" w:color="auto"/>
              <w:left w:val="nil"/>
              <w:bottom w:val="nil"/>
              <w:right w:val="nil"/>
            </w:tcBorders>
            <w:shd w:val="clear" w:color="auto" w:fill="auto"/>
            <w:noWrap/>
            <w:hideMark/>
          </w:tcPr>
          <w:p w:rsidR="00D863E8" w:rsidRPr="00986666" w:rsidRDefault="00D863E8" w:rsidP="00986666">
            <w:pPr>
              <w:pStyle w:val="Tablehead1"/>
              <w:jc w:val="center"/>
              <w:rPr>
                <w:szCs w:val="17"/>
              </w:rPr>
            </w:pPr>
            <w:r w:rsidRPr="00986666">
              <w:rPr>
                <w:szCs w:val="17"/>
              </w:rPr>
              <w:t>All undergraduates</w:t>
            </w:r>
          </w:p>
        </w:tc>
        <w:tc>
          <w:tcPr>
            <w:tcW w:w="2269" w:type="dxa"/>
            <w:gridSpan w:val="2"/>
            <w:tcBorders>
              <w:top w:val="single" w:sz="4" w:space="0" w:color="auto"/>
              <w:left w:val="nil"/>
              <w:bottom w:val="nil"/>
              <w:right w:val="nil"/>
            </w:tcBorders>
          </w:tcPr>
          <w:p w:rsidR="00D863E8" w:rsidRPr="00986666" w:rsidRDefault="00D863E8" w:rsidP="00986666">
            <w:pPr>
              <w:pStyle w:val="Tablehead1"/>
              <w:jc w:val="center"/>
              <w:rPr>
                <w:szCs w:val="17"/>
              </w:rPr>
            </w:pPr>
            <w:r w:rsidRPr="00986666">
              <w:rPr>
                <w:szCs w:val="17"/>
              </w:rPr>
              <w:t>VET award holders</w:t>
            </w:r>
          </w:p>
        </w:tc>
      </w:tr>
      <w:tr w:rsidR="00D863E8" w:rsidRPr="00986666" w:rsidTr="00DA11D8">
        <w:tc>
          <w:tcPr>
            <w:tcW w:w="498" w:type="dxa"/>
            <w:tcBorders>
              <w:top w:val="nil"/>
              <w:left w:val="nil"/>
              <w:bottom w:val="single" w:sz="4" w:space="0" w:color="auto"/>
              <w:right w:val="nil"/>
            </w:tcBorders>
          </w:tcPr>
          <w:p w:rsidR="00D863E8" w:rsidRPr="00986666" w:rsidRDefault="00D863E8" w:rsidP="00986666">
            <w:pPr>
              <w:pStyle w:val="Tablehead2"/>
            </w:pPr>
          </w:p>
        </w:tc>
        <w:tc>
          <w:tcPr>
            <w:tcW w:w="3753" w:type="dxa"/>
            <w:tcBorders>
              <w:top w:val="nil"/>
              <w:left w:val="nil"/>
              <w:bottom w:val="single" w:sz="4" w:space="0" w:color="auto"/>
              <w:right w:val="nil"/>
            </w:tcBorders>
            <w:shd w:val="clear" w:color="auto" w:fill="auto"/>
            <w:noWrap/>
            <w:hideMark/>
          </w:tcPr>
          <w:p w:rsidR="00D863E8" w:rsidRPr="00986666" w:rsidRDefault="00D863E8" w:rsidP="00986666">
            <w:pPr>
              <w:pStyle w:val="Tablehead2"/>
            </w:pPr>
          </w:p>
        </w:tc>
        <w:tc>
          <w:tcPr>
            <w:tcW w:w="1134" w:type="dxa"/>
            <w:tcBorders>
              <w:top w:val="nil"/>
              <w:left w:val="nil"/>
              <w:bottom w:val="single" w:sz="4" w:space="0" w:color="auto"/>
              <w:right w:val="nil"/>
            </w:tcBorders>
            <w:shd w:val="clear" w:color="auto" w:fill="auto"/>
            <w:noWrap/>
            <w:hideMark/>
          </w:tcPr>
          <w:p w:rsidR="00D863E8" w:rsidRPr="00986666" w:rsidRDefault="00D863E8" w:rsidP="00986666">
            <w:pPr>
              <w:pStyle w:val="Tablehead2"/>
              <w:jc w:val="center"/>
            </w:pPr>
            <w:r w:rsidRPr="00986666">
              <w:t>Students</w:t>
            </w:r>
          </w:p>
        </w:tc>
        <w:tc>
          <w:tcPr>
            <w:tcW w:w="1135" w:type="dxa"/>
            <w:tcBorders>
              <w:top w:val="nil"/>
              <w:left w:val="nil"/>
              <w:bottom w:val="single" w:sz="4" w:space="0" w:color="auto"/>
              <w:right w:val="nil"/>
            </w:tcBorders>
            <w:shd w:val="clear" w:color="auto" w:fill="auto"/>
            <w:noWrap/>
            <w:hideMark/>
          </w:tcPr>
          <w:p w:rsidR="00D863E8" w:rsidRPr="00986666" w:rsidRDefault="00D863E8" w:rsidP="00986666">
            <w:pPr>
              <w:pStyle w:val="Tablehead2"/>
              <w:jc w:val="center"/>
            </w:pPr>
            <w:r w:rsidRPr="00986666">
              <w:t>Share</w:t>
            </w:r>
            <w:r>
              <w:t xml:space="preserve"> (%)</w:t>
            </w:r>
          </w:p>
        </w:tc>
        <w:tc>
          <w:tcPr>
            <w:tcW w:w="1134" w:type="dxa"/>
            <w:tcBorders>
              <w:top w:val="nil"/>
              <w:left w:val="nil"/>
              <w:bottom w:val="single" w:sz="4" w:space="0" w:color="auto"/>
              <w:right w:val="nil"/>
            </w:tcBorders>
          </w:tcPr>
          <w:p w:rsidR="00D863E8" w:rsidRPr="00986666" w:rsidRDefault="00D863E8" w:rsidP="00986666">
            <w:pPr>
              <w:pStyle w:val="Tablehead2"/>
              <w:jc w:val="center"/>
            </w:pPr>
            <w:r w:rsidRPr="00986666">
              <w:t>Students</w:t>
            </w:r>
          </w:p>
        </w:tc>
        <w:tc>
          <w:tcPr>
            <w:tcW w:w="1135" w:type="dxa"/>
            <w:tcBorders>
              <w:top w:val="nil"/>
              <w:left w:val="nil"/>
              <w:bottom w:val="single" w:sz="4" w:space="0" w:color="auto"/>
              <w:right w:val="nil"/>
            </w:tcBorders>
          </w:tcPr>
          <w:p w:rsidR="00D863E8" w:rsidRPr="00986666" w:rsidRDefault="00D863E8" w:rsidP="00986666">
            <w:pPr>
              <w:pStyle w:val="Tablehead2"/>
              <w:jc w:val="center"/>
            </w:pPr>
            <w:r w:rsidRPr="00986666">
              <w:t>% of all students</w:t>
            </w:r>
          </w:p>
        </w:tc>
      </w:tr>
      <w:tr w:rsidR="00D863E8" w:rsidRPr="00986666" w:rsidTr="00DA11D8">
        <w:tc>
          <w:tcPr>
            <w:tcW w:w="498" w:type="dxa"/>
            <w:tcBorders>
              <w:top w:val="single" w:sz="4" w:space="0" w:color="auto"/>
              <w:left w:val="nil"/>
              <w:right w:val="nil"/>
            </w:tcBorders>
          </w:tcPr>
          <w:p w:rsidR="00D863E8" w:rsidRPr="00986666" w:rsidRDefault="00D863E8" w:rsidP="00986666">
            <w:pPr>
              <w:pStyle w:val="Tabletext"/>
            </w:pPr>
            <w:r w:rsidRPr="00986666">
              <w:t>01</w:t>
            </w:r>
          </w:p>
        </w:tc>
        <w:tc>
          <w:tcPr>
            <w:tcW w:w="3753" w:type="dxa"/>
            <w:tcBorders>
              <w:top w:val="single" w:sz="4" w:space="0" w:color="auto"/>
              <w:left w:val="nil"/>
              <w:right w:val="nil"/>
            </w:tcBorders>
            <w:shd w:val="clear" w:color="auto" w:fill="auto"/>
            <w:noWrap/>
            <w:hideMark/>
          </w:tcPr>
          <w:p w:rsidR="00D863E8" w:rsidRPr="00986666" w:rsidRDefault="00D863E8" w:rsidP="00986666">
            <w:pPr>
              <w:pStyle w:val="Tabletext"/>
              <w:rPr>
                <w:szCs w:val="17"/>
              </w:rPr>
            </w:pPr>
            <w:r w:rsidRPr="00986666">
              <w:rPr>
                <w:szCs w:val="17"/>
              </w:rPr>
              <w:t>Natural and physical sciences</w:t>
            </w:r>
          </w:p>
        </w:tc>
        <w:tc>
          <w:tcPr>
            <w:tcW w:w="1134" w:type="dxa"/>
            <w:tcBorders>
              <w:top w:val="single" w:sz="4" w:space="0" w:color="auto"/>
              <w:left w:val="nil"/>
              <w:right w:val="nil"/>
            </w:tcBorders>
            <w:shd w:val="clear" w:color="auto" w:fill="auto"/>
            <w:noWrap/>
            <w:hideMark/>
          </w:tcPr>
          <w:p w:rsidR="00D863E8" w:rsidRPr="00986666" w:rsidRDefault="00D863E8" w:rsidP="00986666">
            <w:pPr>
              <w:pStyle w:val="Tabletext"/>
              <w:ind w:right="227"/>
              <w:jc w:val="right"/>
              <w:rPr>
                <w:szCs w:val="17"/>
              </w:rPr>
            </w:pPr>
            <w:r w:rsidRPr="00986666">
              <w:rPr>
                <w:szCs w:val="17"/>
              </w:rPr>
              <w:t>25</w:t>
            </w:r>
            <w:r>
              <w:rPr>
                <w:szCs w:val="17"/>
              </w:rPr>
              <w:t xml:space="preserve"> </w:t>
            </w:r>
            <w:r w:rsidRPr="00986666">
              <w:rPr>
                <w:szCs w:val="17"/>
              </w:rPr>
              <w:t>522</w:t>
            </w:r>
          </w:p>
        </w:tc>
        <w:tc>
          <w:tcPr>
            <w:tcW w:w="1135" w:type="dxa"/>
            <w:tcBorders>
              <w:top w:val="single" w:sz="4" w:space="0" w:color="auto"/>
              <w:left w:val="nil"/>
              <w:right w:val="nil"/>
            </w:tcBorders>
            <w:shd w:val="clear" w:color="auto" w:fill="auto"/>
            <w:noWrap/>
            <w:hideMark/>
          </w:tcPr>
          <w:p w:rsidR="00D863E8" w:rsidRPr="00986666" w:rsidRDefault="00D863E8" w:rsidP="00986666">
            <w:pPr>
              <w:pStyle w:val="Tabletext"/>
              <w:tabs>
                <w:tab w:val="decimal" w:pos="454"/>
              </w:tabs>
              <w:rPr>
                <w:szCs w:val="17"/>
              </w:rPr>
            </w:pPr>
            <w:r w:rsidRPr="00986666">
              <w:rPr>
                <w:szCs w:val="17"/>
              </w:rPr>
              <w:t>8.0</w:t>
            </w:r>
          </w:p>
        </w:tc>
        <w:tc>
          <w:tcPr>
            <w:tcW w:w="1134" w:type="dxa"/>
            <w:tcBorders>
              <w:top w:val="single" w:sz="4" w:space="0" w:color="auto"/>
              <w:left w:val="nil"/>
              <w:right w:val="nil"/>
            </w:tcBorders>
          </w:tcPr>
          <w:p w:rsidR="00D863E8" w:rsidRPr="00986666" w:rsidRDefault="00D863E8" w:rsidP="00986666">
            <w:pPr>
              <w:pStyle w:val="Tabletext"/>
              <w:ind w:right="227"/>
              <w:jc w:val="right"/>
              <w:rPr>
                <w:szCs w:val="17"/>
              </w:rPr>
            </w:pPr>
            <w:r w:rsidRPr="00986666">
              <w:rPr>
                <w:szCs w:val="17"/>
              </w:rPr>
              <w:t>932</w:t>
            </w:r>
          </w:p>
        </w:tc>
        <w:tc>
          <w:tcPr>
            <w:tcW w:w="1135" w:type="dxa"/>
            <w:tcBorders>
              <w:top w:val="single" w:sz="4" w:space="0" w:color="auto"/>
              <w:left w:val="nil"/>
              <w:right w:val="nil"/>
            </w:tcBorders>
          </w:tcPr>
          <w:p w:rsidR="00D863E8" w:rsidRPr="00986666" w:rsidRDefault="00D863E8" w:rsidP="00986666">
            <w:pPr>
              <w:pStyle w:val="Tabletext"/>
              <w:tabs>
                <w:tab w:val="decimal" w:pos="454"/>
              </w:tabs>
            </w:pPr>
            <w:r w:rsidRPr="00986666">
              <w:t>3.7</w:t>
            </w:r>
          </w:p>
        </w:tc>
      </w:tr>
      <w:tr w:rsidR="00D863E8" w:rsidRPr="00986666" w:rsidTr="00DA11D8">
        <w:tc>
          <w:tcPr>
            <w:tcW w:w="498" w:type="dxa"/>
            <w:tcBorders>
              <w:top w:val="nil"/>
              <w:left w:val="nil"/>
              <w:bottom w:val="nil"/>
              <w:right w:val="nil"/>
            </w:tcBorders>
          </w:tcPr>
          <w:p w:rsidR="00D863E8" w:rsidRPr="00986666" w:rsidRDefault="00D863E8" w:rsidP="00986666">
            <w:pPr>
              <w:pStyle w:val="Tabletext"/>
            </w:pPr>
            <w:r w:rsidRPr="00986666">
              <w:t>02</w:t>
            </w:r>
          </w:p>
        </w:tc>
        <w:tc>
          <w:tcPr>
            <w:tcW w:w="3753" w:type="dxa"/>
            <w:tcBorders>
              <w:top w:val="nil"/>
              <w:left w:val="nil"/>
              <w:bottom w:val="nil"/>
              <w:right w:val="nil"/>
            </w:tcBorders>
            <w:shd w:val="clear" w:color="auto" w:fill="auto"/>
            <w:noWrap/>
            <w:hideMark/>
          </w:tcPr>
          <w:p w:rsidR="00D863E8" w:rsidRPr="00986666" w:rsidRDefault="00D863E8" w:rsidP="00986666">
            <w:pPr>
              <w:pStyle w:val="Tabletext"/>
              <w:rPr>
                <w:szCs w:val="17"/>
              </w:rPr>
            </w:pPr>
            <w:r w:rsidRPr="00986666">
              <w:rPr>
                <w:szCs w:val="17"/>
              </w:rPr>
              <w:t>Information technology</w:t>
            </w:r>
          </w:p>
        </w:tc>
        <w:tc>
          <w:tcPr>
            <w:tcW w:w="1134" w:type="dxa"/>
            <w:tcBorders>
              <w:top w:val="nil"/>
              <w:left w:val="nil"/>
              <w:bottom w:val="nil"/>
              <w:right w:val="nil"/>
            </w:tcBorders>
            <w:shd w:val="clear" w:color="auto" w:fill="auto"/>
            <w:noWrap/>
            <w:hideMark/>
          </w:tcPr>
          <w:p w:rsidR="00D863E8" w:rsidRPr="00986666" w:rsidRDefault="00D863E8" w:rsidP="00986666">
            <w:pPr>
              <w:pStyle w:val="Tabletext"/>
              <w:ind w:right="227"/>
              <w:jc w:val="right"/>
              <w:rPr>
                <w:szCs w:val="17"/>
              </w:rPr>
            </w:pPr>
            <w:r w:rsidRPr="00986666">
              <w:rPr>
                <w:szCs w:val="17"/>
              </w:rPr>
              <w:t>11</w:t>
            </w:r>
            <w:r>
              <w:rPr>
                <w:szCs w:val="17"/>
              </w:rPr>
              <w:t xml:space="preserve"> </w:t>
            </w:r>
            <w:r w:rsidRPr="00986666">
              <w:rPr>
                <w:szCs w:val="17"/>
              </w:rPr>
              <w:t>457</w:t>
            </w:r>
          </w:p>
        </w:tc>
        <w:tc>
          <w:tcPr>
            <w:tcW w:w="1135" w:type="dxa"/>
            <w:tcBorders>
              <w:top w:val="nil"/>
              <w:left w:val="nil"/>
              <w:bottom w:val="nil"/>
              <w:right w:val="nil"/>
            </w:tcBorders>
            <w:shd w:val="clear" w:color="auto" w:fill="auto"/>
            <w:noWrap/>
            <w:hideMark/>
          </w:tcPr>
          <w:p w:rsidR="00D863E8" w:rsidRPr="00986666" w:rsidRDefault="00D863E8" w:rsidP="00986666">
            <w:pPr>
              <w:pStyle w:val="Tabletext"/>
              <w:tabs>
                <w:tab w:val="decimal" w:pos="454"/>
              </w:tabs>
              <w:rPr>
                <w:szCs w:val="17"/>
              </w:rPr>
            </w:pPr>
            <w:r w:rsidRPr="00986666">
              <w:rPr>
                <w:szCs w:val="17"/>
              </w:rPr>
              <w:t>3.6</w:t>
            </w:r>
          </w:p>
        </w:tc>
        <w:tc>
          <w:tcPr>
            <w:tcW w:w="1134" w:type="dxa"/>
            <w:tcBorders>
              <w:top w:val="nil"/>
              <w:left w:val="nil"/>
              <w:bottom w:val="nil"/>
              <w:right w:val="nil"/>
            </w:tcBorders>
          </w:tcPr>
          <w:p w:rsidR="00D863E8" w:rsidRPr="00986666" w:rsidRDefault="00D863E8" w:rsidP="00986666">
            <w:pPr>
              <w:pStyle w:val="Tabletext"/>
              <w:ind w:right="227"/>
              <w:jc w:val="right"/>
              <w:rPr>
                <w:szCs w:val="17"/>
              </w:rPr>
            </w:pPr>
            <w:r w:rsidRPr="00986666">
              <w:rPr>
                <w:szCs w:val="17"/>
              </w:rPr>
              <w:t>1</w:t>
            </w:r>
            <w:r>
              <w:rPr>
                <w:szCs w:val="17"/>
              </w:rPr>
              <w:t xml:space="preserve"> </w:t>
            </w:r>
            <w:r w:rsidRPr="00986666">
              <w:rPr>
                <w:szCs w:val="17"/>
              </w:rPr>
              <w:t>622</w:t>
            </w:r>
          </w:p>
        </w:tc>
        <w:tc>
          <w:tcPr>
            <w:tcW w:w="1135" w:type="dxa"/>
            <w:tcBorders>
              <w:top w:val="nil"/>
              <w:left w:val="nil"/>
              <w:bottom w:val="nil"/>
              <w:right w:val="nil"/>
            </w:tcBorders>
          </w:tcPr>
          <w:p w:rsidR="00D863E8" w:rsidRPr="00986666" w:rsidRDefault="00D863E8" w:rsidP="00986666">
            <w:pPr>
              <w:pStyle w:val="Tabletext"/>
              <w:tabs>
                <w:tab w:val="decimal" w:pos="454"/>
              </w:tabs>
            </w:pPr>
            <w:r w:rsidRPr="00986666">
              <w:t>14.2</w:t>
            </w:r>
          </w:p>
        </w:tc>
      </w:tr>
      <w:tr w:rsidR="00D863E8" w:rsidRPr="00986666" w:rsidTr="00DA11D8">
        <w:tc>
          <w:tcPr>
            <w:tcW w:w="498" w:type="dxa"/>
            <w:tcBorders>
              <w:top w:val="nil"/>
              <w:left w:val="nil"/>
              <w:bottom w:val="nil"/>
              <w:right w:val="nil"/>
            </w:tcBorders>
          </w:tcPr>
          <w:p w:rsidR="00D863E8" w:rsidRPr="00986666" w:rsidRDefault="00D863E8" w:rsidP="00986666">
            <w:pPr>
              <w:pStyle w:val="Tabletext"/>
            </w:pPr>
            <w:r w:rsidRPr="00986666">
              <w:t>03</w:t>
            </w:r>
          </w:p>
        </w:tc>
        <w:tc>
          <w:tcPr>
            <w:tcW w:w="3753" w:type="dxa"/>
            <w:tcBorders>
              <w:top w:val="nil"/>
              <w:left w:val="nil"/>
              <w:bottom w:val="nil"/>
              <w:right w:val="nil"/>
            </w:tcBorders>
            <w:shd w:val="clear" w:color="auto" w:fill="auto"/>
            <w:noWrap/>
            <w:hideMark/>
          </w:tcPr>
          <w:p w:rsidR="00D863E8" w:rsidRPr="00986666" w:rsidRDefault="00D863E8" w:rsidP="00986666">
            <w:pPr>
              <w:pStyle w:val="Tabletext"/>
              <w:rPr>
                <w:szCs w:val="17"/>
              </w:rPr>
            </w:pPr>
            <w:r w:rsidRPr="00986666">
              <w:rPr>
                <w:szCs w:val="17"/>
              </w:rPr>
              <w:t>Engineering and related technologies</w:t>
            </w:r>
          </w:p>
        </w:tc>
        <w:tc>
          <w:tcPr>
            <w:tcW w:w="1134" w:type="dxa"/>
            <w:tcBorders>
              <w:top w:val="nil"/>
              <w:left w:val="nil"/>
              <w:bottom w:val="nil"/>
              <w:right w:val="nil"/>
            </w:tcBorders>
            <w:shd w:val="clear" w:color="auto" w:fill="auto"/>
            <w:noWrap/>
            <w:hideMark/>
          </w:tcPr>
          <w:p w:rsidR="00D863E8" w:rsidRPr="00986666" w:rsidRDefault="00D863E8" w:rsidP="00986666">
            <w:pPr>
              <w:pStyle w:val="Tabletext"/>
              <w:ind w:right="227"/>
              <w:jc w:val="right"/>
              <w:rPr>
                <w:szCs w:val="17"/>
              </w:rPr>
            </w:pPr>
            <w:r w:rsidRPr="00986666">
              <w:rPr>
                <w:szCs w:val="17"/>
              </w:rPr>
              <w:t>19</w:t>
            </w:r>
            <w:r>
              <w:rPr>
                <w:szCs w:val="17"/>
              </w:rPr>
              <w:t xml:space="preserve"> </w:t>
            </w:r>
            <w:r w:rsidRPr="00986666">
              <w:rPr>
                <w:szCs w:val="17"/>
              </w:rPr>
              <w:t>786</w:t>
            </w:r>
          </w:p>
        </w:tc>
        <w:tc>
          <w:tcPr>
            <w:tcW w:w="1135" w:type="dxa"/>
            <w:tcBorders>
              <w:top w:val="nil"/>
              <w:left w:val="nil"/>
              <w:bottom w:val="nil"/>
              <w:right w:val="nil"/>
            </w:tcBorders>
            <w:shd w:val="clear" w:color="auto" w:fill="auto"/>
            <w:noWrap/>
            <w:hideMark/>
          </w:tcPr>
          <w:p w:rsidR="00D863E8" w:rsidRPr="00986666" w:rsidRDefault="00D863E8" w:rsidP="00986666">
            <w:pPr>
              <w:pStyle w:val="Tabletext"/>
              <w:tabs>
                <w:tab w:val="decimal" w:pos="454"/>
              </w:tabs>
              <w:rPr>
                <w:szCs w:val="17"/>
              </w:rPr>
            </w:pPr>
            <w:r w:rsidRPr="00986666">
              <w:rPr>
                <w:szCs w:val="17"/>
              </w:rPr>
              <w:t>6.2</w:t>
            </w:r>
          </w:p>
        </w:tc>
        <w:tc>
          <w:tcPr>
            <w:tcW w:w="1134" w:type="dxa"/>
            <w:tcBorders>
              <w:top w:val="nil"/>
              <w:left w:val="nil"/>
              <w:bottom w:val="nil"/>
              <w:right w:val="nil"/>
            </w:tcBorders>
          </w:tcPr>
          <w:p w:rsidR="00D863E8" w:rsidRPr="00986666" w:rsidRDefault="00D863E8" w:rsidP="00986666">
            <w:pPr>
              <w:pStyle w:val="Tabletext"/>
              <w:ind w:right="227"/>
              <w:jc w:val="right"/>
              <w:rPr>
                <w:szCs w:val="17"/>
              </w:rPr>
            </w:pPr>
            <w:r w:rsidRPr="00986666">
              <w:rPr>
                <w:szCs w:val="17"/>
              </w:rPr>
              <w:t>1</w:t>
            </w:r>
            <w:r>
              <w:rPr>
                <w:szCs w:val="17"/>
              </w:rPr>
              <w:t xml:space="preserve"> </w:t>
            </w:r>
            <w:r w:rsidRPr="00986666">
              <w:rPr>
                <w:szCs w:val="17"/>
              </w:rPr>
              <w:t>469</w:t>
            </w:r>
          </w:p>
        </w:tc>
        <w:tc>
          <w:tcPr>
            <w:tcW w:w="1135" w:type="dxa"/>
            <w:tcBorders>
              <w:top w:val="nil"/>
              <w:left w:val="nil"/>
              <w:bottom w:val="nil"/>
              <w:right w:val="nil"/>
            </w:tcBorders>
          </w:tcPr>
          <w:p w:rsidR="00D863E8" w:rsidRPr="00986666" w:rsidRDefault="00D863E8" w:rsidP="00986666">
            <w:pPr>
              <w:pStyle w:val="Tabletext"/>
              <w:tabs>
                <w:tab w:val="decimal" w:pos="454"/>
              </w:tabs>
            </w:pPr>
            <w:r w:rsidRPr="00986666">
              <w:t>7.4</w:t>
            </w:r>
          </w:p>
        </w:tc>
      </w:tr>
      <w:tr w:rsidR="00D863E8" w:rsidRPr="00986666" w:rsidTr="00DA11D8">
        <w:tc>
          <w:tcPr>
            <w:tcW w:w="498" w:type="dxa"/>
            <w:tcBorders>
              <w:top w:val="nil"/>
              <w:left w:val="nil"/>
              <w:bottom w:val="nil"/>
              <w:right w:val="nil"/>
            </w:tcBorders>
          </w:tcPr>
          <w:p w:rsidR="00D863E8" w:rsidRPr="00986666" w:rsidRDefault="00D863E8" w:rsidP="00986666">
            <w:pPr>
              <w:pStyle w:val="Tabletext"/>
            </w:pPr>
            <w:r w:rsidRPr="00986666">
              <w:t>04</w:t>
            </w:r>
          </w:p>
        </w:tc>
        <w:tc>
          <w:tcPr>
            <w:tcW w:w="3753" w:type="dxa"/>
            <w:tcBorders>
              <w:top w:val="nil"/>
              <w:left w:val="nil"/>
              <w:bottom w:val="nil"/>
              <w:right w:val="nil"/>
            </w:tcBorders>
            <w:shd w:val="clear" w:color="auto" w:fill="auto"/>
            <w:noWrap/>
            <w:hideMark/>
          </w:tcPr>
          <w:p w:rsidR="00D863E8" w:rsidRPr="00986666" w:rsidRDefault="00D863E8" w:rsidP="00986666">
            <w:pPr>
              <w:pStyle w:val="Tabletext"/>
              <w:rPr>
                <w:szCs w:val="17"/>
              </w:rPr>
            </w:pPr>
            <w:r w:rsidRPr="00986666">
              <w:rPr>
                <w:szCs w:val="17"/>
              </w:rPr>
              <w:t>Architecture and building</w:t>
            </w:r>
          </w:p>
        </w:tc>
        <w:tc>
          <w:tcPr>
            <w:tcW w:w="1134" w:type="dxa"/>
            <w:tcBorders>
              <w:top w:val="nil"/>
              <w:left w:val="nil"/>
              <w:bottom w:val="nil"/>
              <w:right w:val="nil"/>
            </w:tcBorders>
            <w:shd w:val="clear" w:color="auto" w:fill="auto"/>
            <w:noWrap/>
            <w:hideMark/>
          </w:tcPr>
          <w:p w:rsidR="00D863E8" w:rsidRPr="00986666" w:rsidRDefault="00D863E8" w:rsidP="00986666">
            <w:pPr>
              <w:pStyle w:val="Tabletext"/>
              <w:ind w:right="227"/>
              <w:jc w:val="right"/>
              <w:rPr>
                <w:szCs w:val="17"/>
              </w:rPr>
            </w:pPr>
            <w:r w:rsidRPr="00986666">
              <w:rPr>
                <w:szCs w:val="17"/>
              </w:rPr>
              <w:t>6</w:t>
            </w:r>
            <w:r>
              <w:rPr>
                <w:szCs w:val="17"/>
              </w:rPr>
              <w:t xml:space="preserve"> </w:t>
            </w:r>
            <w:r w:rsidRPr="00986666">
              <w:rPr>
                <w:szCs w:val="17"/>
              </w:rPr>
              <w:t>798</w:t>
            </w:r>
          </w:p>
        </w:tc>
        <w:tc>
          <w:tcPr>
            <w:tcW w:w="1135" w:type="dxa"/>
            <w:tcBorders>
              <w:top w:val="nil"/>
              <w:left w:val="nil"/>
              <w:bottom w:val="nil"/>
              <w:right w:val="nil"/>
            </w:tcBorders>
            <w:shd w:val="clear" w:color="auto" w:fill="auto"/>
            <w:noWrap/>
            <w:hideMark/>
          </w:tcPr>
          <w:p w:rsidR="00D863E8" w:rsidRPr="00986666" w:rsidRDefault="00D863E8" w:rsidP="00986666">
            <w:pPr>
              <w:pStyle w:val="Tabletext"/>
              <w:tabs>
                <w:tab w:val="decimal" w:pos="454"/>
              </w:tabs>
              <w:rPr>
                <w:szCs w:val="17"/>
              </w:rPr>
            </w:pPr>
            <w:r w:rsidRPr="00986666">
              <w:rPr>
                <w:szCs w:val="17"/>
              </w:rPr>
              <w:t>2.1</w:t>
            </w:r>
          </w:p>
        </w:tc>
        <w:tc>
          <w:tcPr>
            <w:tcW w:w="1134" w:type="dxa"/>
            <w:tcBorders>
              <w:top w:val="nil"/>
              <w:left w:val="nil"/>
              <w:bottom w:val="nil"/>
              <w:right w:val="nil"/>
            </w:tcBorders>
          </w:tcPr>
          <w:p w:rsidR="00D863E8" w:rsidRPr="00986666" w:rsidRDefault="00D863E8" w:rsidP="00986666">
            <w:pPr>
              <w:pStyle w:val="Tabletext"/>
              <w:ind w:right="227"/>
              <w:jc w:val="right"/>
              <w:rPr>
                <w:szCs w:val="17"/>
              </w:rPr>
            </w:pPr>
            <w:r w:rsidRPr="00986666">
              <w:rPr>
                <w:szCs w:val="17"/>
              </w:rPr>
              <w:t>694</w:t>
            </w:r>
          </w:p>
        </w:tc>
        <w:tc>
          <w:tcPr>
            <w:tcW w:w="1135" w:type="dxa"/>
            <w:tcBorders>
              <w:top w:val="nil"/>
              <w:left w:val="nil"/>
              <w:bottom w:val="nil"/>
              <w:right w:val="nil"/>
            </w:tcBorders>
          </w:tcPr>
          <w:p w:rsidR="00D863E8" w:rsidRPr="00986666" w:rsidRDefault="00D863E8" w:rsidP="00986666">
            <w:pPr>
              <w:pStyle w:val="Tabletext"/>
              <w:tabs>
                <w:tab w:val="decimal" w:pos="454"/>
              </w:tabs>
            </w:pPr>
            <w:r w:rsidRPr="00986666">
              <w:t>10.2</w:t>
            </w:r>
          </w:p>
        </w:tc>
      </w:tr>
      <w:tr w:rsidR="00D863E8" w:rsidRPr="00986666" w:rsidTr="00DA11D8">
        <w:tc>
          <w:tcPr>
            <w:tcW w:w="498" w:type="dxa"/>
            <w:tcBorders>
              <w:top w:val="nil"/>
              <w:left w:val="nil"/>
              <w:bottom w:val="nil"/>
              <w:right w:val="nil"/>
            </w:tcBorders>
          </w:tcPr>
          <w:p w:rsidR="00D863E8" w:rsidRPr="00986666" w:rsidRDefault="00D863E8" w:rsidP="00986666">
            <w:pPr>
              <w:pStyle w:val="Tabletext"/>
            </w:pPr>
            <w:r w:rsidRPr="00986666">
              <w:t>05</w:t>
            </w:r>
          </w:p>
        </w:tc>
        <w:tc>
          <w:tcPr>
            <w:tcW w:w="3753" w:type="dxa"/>
            <w:tcBorders>
              <w:top w:val="nil"/>
              <w:left w:val="nil"/>
              <w:bottom w:val="nil"/>
              <w:right w:val="nil"/>
            </w:tcBorders>
            <w:shd w:val="clear" w:color="auto" w:fill="auto"/>
            <w:noWrap/>
            <w:hideMark/>
          </w:tcPr>
          <w:p w:rsidR="00D863E8" w:rsidRPr="00986666" w:rsidRDefault="00D863E8" w:rsidP="00986666">
            <w:pPr>
              <w:pStyle w:val="Tabletext"/>
              <w:rPr>
                <w:szCs w:val="17"/>
              </w:rPr>
            </w:pPr>
            <w:r w:rsidRPr="00986666">
              <w:rPr>
                <w:szCs w:val="17"/>
              </w:rPr>
              <w:t>Agriculture, environmental and related studies</w:t>
            </w:r>
          </w:p>
        </w:tc>
        <w:tc>
          <w:tcPr>
            <w:tcW w:w="1134" w:type="dxa"/>
            <w:tcBorders>
              <w:top w:val="nil"/>
              <w:left w:val="nil"/>
              <w:bottom w:val="nil"/>
              <w:right w:val="nil"/>
            </w:tcBorders>
            <w:shd w:val="clear" w:color="auto" w:fill="auto"/>
            <w:noWrap/>
            <w:hideMark/>
          </w:tcPr>
          <w:p w:rsidR="00D863E8" w:rsidRPr="00986666" w:rsidRDefault="00D863E8" w:rsidP="00986666">
            <w:pPr>
              <w:pStyle w:val="Tabletext"/>
              <w:ind w:right="227"/>
              <w:jc w:val="right"/>
              <w:rPr>
                <w:szCs w:val="17"/>
              </w:rPr>
            </w:pPr>
            <w:r w:rsidRPr="00986666">
              <w:rPr>
                <w:szCs w:val="17"/>
              </w:rPr>
              <w:t>3</w:t>
            </w:r>
            <w:r>
              <w:rPr>
                <w:szCs w:val="17"/>
              </w:rPr>
              <w:t xml:space="preserve"> </w:t>
            </w:r>
            <w:r w:rsidRPr="00986666">
              <w:rPr>
                <w:szCs w:val="17"/>
              </w:rPr>
              <w:t>781</w:t>
            </w:r>
          </w:p>
        </w:tc>
        <w:tc>
          <w:tcPr>
            <w:tcW w:w="1135" w:type="dxa"/>
            <w:tcBorders>
              <w:top w:val="nil"/>
              <w:left w:val="nil"/>
              <w:bottom w:val="nil"/>
              <w:right w:val="nil"/>
            </w:tcBorders>
            <w:shd w:val="clear" w:color="auto" w:fill="auto"/>
            <w:noWrap/>
            <w:hideMark/>
          </w:tcPr>
          <w:p w:rsidR="00D863E8" w:rsidRPr="00986666" w:rsidRDefault="00D863E8" w:rsidP="00986666">
            <w:pPr>
              <w:pStyle w:val="Tabletext"/>
              <w:tabs>
                <w:tab w:val="decimal" w:pos="454"/>
              </w:tabs>
              <w:rPr>
                <w:szCs w:val="17"/>
              </w:rPr>
            </w:pPr>
            <w:r w:rsidRPr="00986666">
              <w:rPr>
                <w:szCs w:val="17"/>
              </w:rPr>
              <w:t>1.2</w:t>
            </w:r>
          </w:p>
        </w:tc>
        <w:tc>
          <w:tcPr>
            <w:tcW w:w="1134" w:type="dxa"/>
            <w:tcBorders>
              <w:top w:val="nil"/>
              <w:left w:val="nil"/>
              <w:bottom w:val="nil"/>
              <w:right w:val="nil"/>
            </w:tcBorders>
          </w:tcPr>
          <w:p w:rsidR="00D863E8" w:rsidRPr="00986666" w:rsidRDefault="00D863E8" w:rsidP="00986666">
            <w:pPr>
              <w:pStyle w:val="Tabletext"/>
              <w:ind w:right="227"/>
              <w:jc w:val="right"/>
              <w:rPr>
                <w:szCs w:val="17"/>
              </w:rPr>
            </w:pPr>
            <w:r w:rsidRPr="00986666">
              <w:rPr>
                <w:szCs w:val="17"/>
              </w:rPr>
              <w:t>218</w:t>
            </w:r>
          </w:p>
        </w:tc>
        <w:tc>
          <w:tcPr>
            <w:tcW w:w="1135" w:type="dxa"/>
            <w:tcBorders>
              <w:top w:val="nil"/>
              <w:left w:val="nil"/>
              <w:bottom w:val="nil"/>
              <w:right w:val="nil"/>
            </w:tcBorders>
          </w:tcPr>
          <w:p w:rsidR="00D863E8" w:rsidRPr="00986666" w:rsidRDefault="00D863E8" w:rsidP="00986666">
            <w:pPr>
              <w:pStyle w:val="Tabletext"/>
              <w:tabs>
                <w:tab w:val="decimal" w:pos="454"/>
              </w:tabs>
            </w:pPr>
            <w:r w:rsidRPr="00986666">
              <w:t>5.8</w:t>
            </w:r>
          </w:p>
        </w:tc>
      </w:tr>
      <w:tr w:rsidR="00D863E8" w:rsidRPr="00986666" w:rsidTr="00DA11D8">
        <w:tc>
          <w:tcPr>
            <w:tcW w:w="498" w:type="dxa"/>
            <w:tcBorders>
              <w:top w:val="nil"/>
              <w:left w:val="nil"/>
              <w:bottom w:val="nil"/>
              <w:right w:val="nil"/>
            </w:tcBorders>
          </w:tcPr>
          <w:p w:rsidR="00D863E8" w:rsidRPr="00986666" w:rsidRDefault="00D863E8" w:rsidP="00986666">
            <w:pPr>
              <w:pStyle w:val="Tabletext"/>
            </w:pPr>
            <w:r w:rsidRPr="00986666">
              <w:t>06</w:t>
            </w:r>
          </w:p>
        </w:tc>
        <w:tc>
          <w:tcPr>
            <w:tcW w:w="3753" w:type="dxa"/>
            <w:tcBorders>
              <w:top w:val="nil"/>
              <w:left w:val="nil"/>
              <w:bottom w:val="nil"/>
              <w:right w:val="nil"/>
            </w:tcBorders>
            <w:shd w:val="clear" w:color="auto" w:fill="auto"/>
            <w:noWrap/>
            <w:hideMark/>
          </w:tcPr>
          <w:p w:rsidR="00D863E8" w:rsidRPr="00986666" w:rsidRDefault="00D863E8" w:rsidP="00986666">
            <w:pPr>
              <w:pStyle w:val="Tabletext"/>
              <w:rPr>
                <w:szCs w:val="17"/>
              </w:rPr>
            </w:pPr>
            <w:r w:rsidRPr="00986666">
              <w:rPr>
                <w:szCs w:val="17"/>
              </w:rPr>
              <w:t>Health</w:t>
            </w:r>
          </w:p>
        </w:tc>
        <w:tc>
          <w:tcPr>
            <w:tcW w:w="1134" w:type="dxa"/>
            <w:tcBorders>
              <w:top w:val="nil"/>
              <w:left w:val="nil"/>
              <w:bottom w:val="nil"/>
              <w:right w:val="nil"/>
            </w:tcBorders>
            <w:shd w:val="clear" w:color="auto" w:fill="auto"/>
            <w:noWrap/>
            <w:hideMark/>
          </w:tcPr>
          <w:p w:rsidR="00D863E8" w:rsidRPr="00986666" w:rsidRDefault="00D863E8" w:rsidP="00986666">
            <w:pPr>
              <w:pStyle w:val="Tabletext"/>
              <w:ind w:right="227"/>
              <w:jc w:val="right"/>
              <w:rPr>
                <w:szCs w:val="17"/>
              </w:rPr>
            </w:pPr>
            <w:r w:rsidRPr="00986666">
              <w:rPr>
                <w:szCs w:val="17"/>
              </w:rPr>
              <w:t>40</w:t>
            </w:r>
            <w:r>
              <w:rPr>
                <w:szCs w:val="17"/>
              </w:rPr>
              <w:t xml:space="preserve"> </w:t>
            </w:r>
            <w:r w:rsidRPr="00986666">
              <w:rPr>
                <w:szCs w:val="17"/>
              </w:rPr>
              <w:t>823</w:t>
            </w:r>
          </w:p>
        </w:tc>
        <w:tc>
          <w:tcPr>
            <w:tcW w:w="1135" w:type="dxa"/>
            <w:tcBorders>
              <w:top w:val="nil"/>
              <w:left w:val="nil"/>
              <w:bottom w:val="nil"/>
              <w:right w:val="nil"/>
            </w:tcBorders>
            <w:shd w:val="clear" w:color="auto" w:fill="auto"/>
            <w:noWrap/>
            <w:hideMark/>
          </w:tcPr>
          <w:p w:rsidR="00D863E8" w:rsidRPr="00986666" w:rsidRDefault="00D863E8" w:rsidP="00986666">
            <w:pPr>
              <w:pStyle w:val="Tabletext"/>
              <w:tabs>
                <w:tab w:val="decimal" w:pos="454"/>
              </w:tabs>
              <w:rPr>
                <w:szCs w:val="17"/>
              </w:rPr>
            </w:pPr>
            <w:r w:rsidRPr="00986666">
              <w:rPr>
                <w:szCs w:val="17"/>
              </w:rPr>
              <w:t>12.9</w:t>
            </w:r>
          </w:p>
        </w:tc>
        <w:tc>
          <w:tcPr>
            <w:tcW w:w="1134" w:type="dxa"/>
            <w:tcBorders>
              <w:top w:val="nil"/>
              <w:left w:val="nil"/>
              <w:bottom w:val="nil"/>
              <w:right w:val="nil"/>
            </w:tcBorders>
          </w:tcPr>
          <w:p w:rsidR="00D863E8" w:rsidRPr="00986666" w:rsidRDefault="00D863E8" w:rsidP="00986666">
            <w:pPr>
              <w:pStyle w:val="Tabletext"/>
              <w:ind w:right="227"/>
              <w:jc w:val="right"/>
              <w:rPr>
                <w:szCs w:val="17"/>
              </w:rPr>
            </w:pPr>
            <w:r w:rsidRPr="00986666">
              <w:rPr>
                <w:szCs w:val="17"/>
              </w:rPr>
              <w:t>4</w:t>
            </w:r>
            <w:r>
              <w:rPr>
                <w:szCs w:val="17"/>
              </w:rPr>
              <w:t xml:space="preserve"> </w:t>
            </w:r>
            <w:r w:rsidRPr="00986666">
              <w:rPr>
                <w:szCs w:val="17"/>
              </w:rPr>
              <w:t>778</w:t>
            </w:r>
          </w:p>
        </w:tc>
        <w:tc>
          <w:tcPr>
            <w:tcW w:w="1135" w:type="dxa"/>
            <w:tcBorders>
              <w:top w:val="nil"/>
              <w:left w:val="nil"/>
              <w:bottom w:val="nil"/>
              <w:right w:val="nil"/>
            </w:tcBorders>
          </w:tcPr>
          <w:p w:rsidR="00D863E8" w:rsidRPr="00986666" w:rsidRDefault="00D863E8" w:rsidP="00986666">
            <w:pPr>
              <w:pStyle w:val="Tabletext"/>
              <w:tabs>
                <w:tab w:val="decimal" w:pos="454"/>
              </w:tabs>
            </w:pPr>
            <w:r w:rsidRPr="00986666">
              <w:t>11.7</w:t>
            </w:r>
          </w:p>
        </w:tc>
      </w:tr>
      <w:tr w:rsidR="00D863E8" w:rsidRPr="00986666" w:rsidTr="00DA11D8">
        <w:tc>
          <w:tcPr>
            <w:tcW w:w="498" w:type="dxa"/>
            <w:tcBorders>
              <w:top w:val="nil"/>
              <w:left w:val="nil"/>
              <w:bottom w:val="nil"/>
              <w:right w:val="nil"/>
            </w:tcBorders>
          </w:tcPr>
          <w:p w:rsidR="00D863E8" w:rsidRPr="00986666" w:rsidRDefault="00D863E8" w:rsidP="00986666">
            <w:pPr>
              <w:pStyle w:val="Tabletext"/>
            </w:pPr>
            <w:r w:rsidRPr="00986666">
              <w:t>07</w:t>
            </w:r>
          </w:p>
        </w:tc>
        <w:tc>
          <w:tcPr>
            <w:tcW w:w="3753" w:type="dxa"/>
            <w:tcBorders>
              <w:top w:val="nil"/>
              <w:left w:val="nil"/>
              <w:bottom w:val="nil"/>
              <w:right w:val="nil"/>
            </w:tcBorders>
            <w:shd w:val="clear" w:color="auto" w:fill="auto"/>
            <w:noWrap/>
            <w:hideMark/>
          </w:tcPr>
          <w:p w:rsidR="00D863E8" w:rsidRPr="00986666" w:rsidRDefault="00D863E8" w:rsidP="00986666">
            <w:pPr>
              <w:pStyle w:val="Tabletext"/>
              <w:rPr>
                <w:szCs w:val="17"/>
              </w:rPr>
            </w:pPr>
            <w:r w:rsidRPr="00986666">
              <w:rPr>
                <w:szCs w:val="17"/>
              </w:rPr>
              <w:t>Education</w:t>
            </w:r>
          </w:p>
        </w:tc>
        <w:tc>
          <w:tcPr>
            <w:tcW w:w="1134" w:type="dxa"/>
            <w:tcBorders>
              <w:top w:val="nil"/>
              <w:left w:val="nil"/>
              <w:bottom w:val="nil"/>
              <w:right w:val="nil"/>
            </w:tcBorders>
            <w:shd w:val="clear" w:color="auto" w:fill="auto"/>
            <w:noWrap/>
            <w:hideMark/>
          </w:tcPr>
          <w:p w:rsidR="00D863E8" w:rsidRPr="00986666" w:rsidRDefault="00D863E8" w:rsidP="00986666">
            <w:pPr>
              <w:pStyle w:val="Tabletext"/>
              <w:ind w:right="227"/>
              <w:jc w:val="right"/>
              <w:rPr>
                <w:szCs w:val="17"/>
              </w:rPr>
            </w:pPr>
            <w:r w:rsidRPr="00986666">
              <w:rPr>
                <w:szCs w:val="17"/>
              </w:rPr>
              <w:t>23</w:t>
            </w:r>
            <w:r>
              <w:rPr>
                <w:szCs w:val="17"/>
              </w:rPr>
              <w:t xml:space="preserve"> </w:t>
            </w:r>
            <w:r w:rsidRPr="00986666">
              <w:rPr>
                <w:szCs w:val="17"/>
              </w:rPr>
              <w:t>391</w:t>
            </w:r>
          </w:p>
        </w:tc>
        <w:tc>
          <w:tcPr>
            <w:tcW w:w="1135" w:type="dxa"/>
            <w:tcBorders>
              <w:top w:val="nil"/>
              <w:left w:val="nil"/>
              <w:bottom w:val="nil"/>
              <w:right w:val="nil"/>
            </w:tcBorders>
            <w:shd w:val="clear" w:color="auto" w:fill="auto"/>
            <w:noWrap/>
            <w:hideMark/>
          </w:tcPr>
          <w:p w:rsidR="00D863E8" w:rsidRPr="00986666" w:rsidRDefault="00D863E8" w:rsidP="00986666">
            <w:pPr>
              <w:pStyle w:val="Tabletext"/>
              <w:tabs>
                <w:tab w:val="decimal" w:pos="454"/>
              </w:tabs>
              <w:rPr>
                <w:szCs w:val="17"/>
              </w:rPr>
            </w:pPr>
            <w:r>
              <w:rPr>
                <w:szCs w:val="17"/>
              </w:rPr>
              <w:t>7.4</w:t>
            </w:r>
          </w:p>
        </w:tc>
        <w:tc>
          <w:tcPr>
            <w:tcW w:w="1134" w:type="dxa"/>
            <w:tcBorders>
              <w:top w:val="nil"/>
              <w:left w:val="nil"/>
              <w:bottom w:val="nil"/>
              <w:right w:val="nil"/>
            </w:tcBorders>
          </w:tcPr>
          <w:p w:rsidR="00D863E8" w:rsidRPr="00986666" w:rsidRDefault="00D863E8" w:rsidP="00986666">
            <w:pPr>
              <w:pStyle w:val="Tabletext"/>
              <w:ind w:right="227"/>
              <w:jc w:val="right"/>
              <w:rPr>
                <w:szCs w:val="17"/>
              </w:rPr>
            </w:pPr>
            <w:r w:rsidRPr="00986666">
              <w:rPr>
                <w:szCs w:val="17"/>
              </w:rPr>
              <w:t>3</w:t>
            </w:r>
            <w:r>
              <w:rPr>
                <w:szCs w:val="17"/>
              </w:rPr>
              <w:t xml:space="preserve"> </w:t>
            </w:r>
            <w:r w:rsidRPr="00986666">
              <w:rPr>
                <w:szCs w:val="17"/>
              </w:rPr>
              <w:t>494</w:t>
            </w:r>
          </w:p>
        </w:tc>
        <w:tc>
          <w:tcPr>
            <w:tcW w:w="1135" w:type="dxa"/>
            <w:tcBorders>
              <w:top w:val="nil"/>
              <w:left w:val="nil"/>
              <w:bottom w:val="nil"/>
              <w:right w:val="nil"/>
            </w:tcBorders>
          </w:tcPr>
          <w:p w:rsidR="00D863E8" w:rsidRPr="00986666" w:rsidRDefault="00D863E8" w:rsidP="00986666">
            <w:pPr>
              <w:pStyle w:val="Tabletext"/>
              <w:tabs>
                <w:tab w:val="decimal" w:pos="454"/>
              </w:tabs>
            </w:pPr>
            <w:r w:rsidRPr="00986666">
              <w:t>14.9</w:t>
            </w:r>
          </w:p>
        </w:tc>
      </w:tr>
      <w:tr w:rsidR="00D863E8" w:rsidRPr="00986666" w:rsidTr="00DA11D8">
        <w:tc>
          <w:tcPr>
            <w:tcW w:w="498" w:type="dxa"/>
            <w:tcBorders>
              <w:top w:val="nil"/>
              <w:left w:val="nil"/>
              <w:bottom w:val="nil"/>
              <w:right w:val="nil"/>
            </w:tcBorders>
          </w:tcPr>
          <w:p w:rsidR="00D863E8" w:rsidRPr="00986666" w:rsidRDefault="00D863E8" w:rsidP="00986666">
            <w:pPr>
              <w:pStyle w:val="Tabletext"/>
            </w:pPr>
            <w:r w:rsidRPr="00986666">
              <w:t>08</w:t>
            </w:r>
          </w:p>
        </w:tc>
        <w:tc>
          <w:tcPr>
            <w:tcW w:w="3753" w:type="dxa"/>
            <w:tcBorders>
              <w:top w:val="nil"/>
              <w:left w:val="nil"/>
              <w:bottom w:val="nil"/>
              <w:right w:val="nil"/>
            </w:tcBorders>
            <w:shd w:val="clear" w:color="auto" w:fill="auto"/>
            <w:noWrap/>
            <w:hideMark/>
          </w:tcPr>
          <w:p w:rsidR="00D863E8" w:rsidRPr="00986666" w:rsidRDefault="00D863E8" w:rsidP="00986666">
            <w:pPr>
              <w:pStyle w:val="Tabletext"/>
              <w:rPr>
                <w:szCs w:val="17"/>
              </w:rPr>
            </w:pPr>
            <w:r w:rsidRPr="00986666">
              <w:rPr>
                <w:szCs w:val="17"/>
              </w:rPr>
              <w:t>Management and commerce</w:t>
            </w:r>
          </w:p>
        </w:tc>
        <w:tc>
          <w:tcPr>
            <w:tcW w:w="1134" w:type="dxa"/>
            <w:tcBorders>
              <w:top w:val="nil"/>
              <w:left w:val="nil"/>
              <w:bottom w:val="nil"/>
              <w:right w:val="nil"/>
            </w:tcBorders>
            <w:shd w:val="clear" w:color="auto" w:fill="auto"/>
            <w:noWrap/>
            <w:hideMark/>
          </w:tcPr>
          <w:p w:rsidR="00D863E8" w:rsidRPr="00986666" w:rsidRDefault="00D863E8" w:rsidP="00986666">
            <w:pPr>
              <w:pStyle w:val="Tabletext"/>
              <w:ind w:right="227"/>
              <w:jc w:val="right"/>
              <w:rPr>
                <w:szCs w:val="17"/>
              </w:rPr>
            </w:pPr>
            <w:r w:rsidRPr="00986666">
              <w:rPr>
                <w:szCs w:val="17"/>
              </w:rPr>
              <w:t>71</w:t>
            </w:r>
            <w:r>
              <w:rPr>
                <w:szCs w:val="17"/>
              </w:rPr>
              <w:t xml:space="preserve"> </w:t>
            </w:r>
            <w:r w:rsidRPr="00986666">
              <w:rPr>
                <w:szCs w:val="17"/>
              </w:rPr>
              <w:t>650</w:t>
            </w:r>
          </w:p>
        </w:tc>
        <w:tc>
          <w:tcPr>
            <w:tcW w:w="1135" w:type="dxa"/>
            <w:tcBorders>
              <w:top w:val="nil"/>
              <w:left w:val="nil"/>
              <w:bottom w:val="nil"/>
              <w:right w:val="nil"/>
            </w:tcBorders>
            <w:shd w:val="clear" w:color="auto" w:fill="auto"/>
            <w:noWrap/>
            <w:hideMark/>
          </w:tcPr>
          <w:p w:rsidR="00D863E8" w:rsidRPr="00986666" w:rsidRDefault="00D863E8" w:rsidP="00986666">
            <w:pPr>
              <w:pStyle w:val="Tabletext"/>
              <w:tabs>
                <w:tab w:val="decimal" w:pos="454"/>
              </w:tabs>
              <w:rPr>
                <w:szCs w:val="17"/>
              </w:rPr>
            </w:pPr>
            <w:r w:rsidRPr="00986666">
              <w:rPr>
                <w:szCs w:val="17"/>
              </w:rPr>
              <w:t>22.9</w:t>
            </w:r>
          </w:p>
        </w:tc>
        <w:tc>
          <w:tcPr>
            <w:tcW w:w="1134" w:type="dxa"/>
            <w:tcBorders>
              <w:top w:val="nil"/>
              <w:left w:val="nil"/>
              <w:bottom w:val="nil"/>
              <w:right w:val="nil"/>
            </w:tcBorders>
          </w:tcPr>
          <w:p w:rsidR="00D863E8" w:rsidRPr="00986666" w:rsidRDefault="00D863E8" w:rsidP="00986666">
            <w:pPr>
              <w:pStyle w:val="Tabletext"/>
              <w:ind w:right="227"/>
              <w:jc w:val="right"/>
              <w:rPr>
                <w:szCs w:val="17"/>
              </w:rPr>
            </w:pPr>
            <w:r w:rsidRPr="00986666">
              <w:rPr>
                <w:szCs w:val="17"/>
              </w:rPr>
              <w:t>9</w:t>
            </w:r>
            <w:r>
              <w:rPr>
                <w:szCs w:val="17"/>
              </w:rPr>
              <w:t xml:space="preserve"> </w:t>
            </w:r>
            <w:r w:rsidRPr="00986666">
              <w:rPr>
                <w:szCs w:val="17"/>
              </w:rPr>
              <w:t>288</w:t>
            </w:r>
          </w:p>
        </w:tc>
        <w:tc>
          <w:tcPr>
            <w:tcW w:w="1135" w:type="dxa"/>
            <w:tcBorders>
              <w:top w:val="nil"/>
              <w:left w:val="nil"/>
              <w:bottom w:val="nil"/>
              <w:right w:val="nil"/>
            </w:tcBorders>
          </w:tcPr>
          <w:p w:rsidR="00D863E8" w:rsidRPr="00986666" w:rsidRDefault="00D863E8" w:rsidP="00986666">
            <w:pPr>
              <w:pStyle w:val="Tabletext"/>
              <w:tabs>
                <w:tab w:val="decimal" w:pos="454"/>
              </w:tabs>
            </w:pPr>
            <w:r w:rsidRPr="00986666">
              <w:t>13.0</w:t>
            </w:r>
          </w:p>
        </w:tc>
      </w:tr>
      <w:tr w:rsidR="00D863E8" w:rsidRPr="00986666" w:rsidTr="00DA11D8">
        <w:tc>
          <w:tcPr>
            <w:tcW w:w="498" w:type="dxa"/>
            <w:tcBorders>
              <w:top w:val="nil"/>
              <w:left w:val="nil"/>
              <w:bottom w:val="nil"/>
              <w:right w:val="nil"/>
            </w:tcBorders>
          </w:tcPr>
          <w:p w:rsidR="00D863E8" w:rsidRPr="00986666" w:rsidRDefault="00D863E8" w:rsidP="00986666">
            <w:pPr>
              <w:pStyle w:val="Tabletext"/>
            </w:pPr>
            <w:r w:rsidRPr="00986666">
              <w:t>09</w:t>
            </w:r>
          </w:p>
        </w:tc>
        <w:tc>
          <w:tcPr>
            <w:tcW w:w="3753" w:type="dxa"/>
            <w:tcBorders>
              <w:top w:val="nil"/>
              <w:left w:val="nil"/>
              <w:bottom w:val="nil"/>
              <w:right w:val="nil"/>
            </w:tcBorders>
            <w:shd w:val="clear" w:color="auto" w:fill="auto"/>
            <w:noWrap/>
            <w:hideMark/>
          </w:tcPr>
          <w:p w:rsidR="00D863E8" w:rsidRPr="00986666" w:rsidRDefault="00D863E8" w:rsidP="00986666">
            <w:pPr>
              <w:pStyle w:val="Tabletext"/>
              <w:rPr>
                <w:szCs w:val="17"/>
              </w:rPr>
            </w:pPr>
            <w:r w:rsidRPr="00986666">
              <w:rPr>
                <w:szCs w:val="17"/>
              </w:rPr>
              <w:t>Society and culture</w:t>
            </w:r>
          </w:p>
        </w:tc>
        <w:tc>
          <w:tcPr>
            <w:tcW w:w="1134" w:type="dxa"/>
            <w:tcBorders>
              <w:top w:val="nil"/>
              <w:left w:val="nil"/>
              <w:bottom w:val="nil"/>
              <w:right w:val="nil"/>
            </w:tcBorders>
            <w:shd w:val="clear" w:color="auto" w:fill="auto"/>
            <w:noWrap/>
            <w:hideMark/>
          </w:tcPr>
          <w:p w:rsidR="00D863E8" w:rsidRPr="00986666" w:rsidRDefault="00D863E8" w:rsidP="00986666">
            <w:pPr>
              <w:pStyle w:val="Tabletext"/>
              <w:ind w:right="227"/>
              <w:jc w:val="right"/>
              <w:rPr>
                <w:szCs w:val="17"/>
              </w:rPr>
            </w:pPr>
            <w:r w:rsidRPr="00986666">
              <w:rPr>
                <w:szCs w:val="17"/>
              </w:rPr>
              <w:t>66</w:t>
            </w:r>
            <w:r>
              <w:rPr>
                <w:szCs w:val="17"/>
              </w:rPr>
              <w:t xml:space="preserve"> </w:t>
            </w:r>
            <w:r w:rsidRPr="00986666">
              <w:rPr>
                <w:szCs w:val="17"/>
              </w:rPr>
              <w:t>411</w:t>
            </w:r>
          </w:p>
        </w:tc>
        <w:tc>
          <w:tcPr>
            <w:tcW w:w="1135" w:type="dxa"/>
            <w:tcBorders>
              <w:top w:val="nil"/>
              <w:left w:val="nil"/>
              <w:bottom w:val="nil"/>
              <w:right w:val="nil"/>
            </w:tcBorders>
            <w:shd w:val="clear" w:color="auto" w:fill="auto"/>
            <w:noWrap/>
            <w:hideMark/>
          </w:tcPr>
          <w:p w:rsidR="00D863E8" w:rsidRPr="00986666" w:rsidRDefault="00D863E8" w:rsidP="00986666">
            <w:pPr>
              <w:pStyle w:val="Tabletext"/>
              <w:tabs>
                <w:tab w:val="decimal" w:pos="454"/>
              </w:tabs>
              <w:rPr>
                <w:szCs w:val="17"/>
              </w:rPr>
            </w:pPr>
            <w:r w:rsidRPr="00986666">
              <w:rPr>
                <w:szCs w:val="17"/>
              </w:rPr>
              <w:t>20.9</w:t>
            </w:r>
          </w:p>
        </w:tc>
        <w:tc>
          <w:tcPr>
            <w:tcW w:w="1134" w:type="dxa"/>
            <w:tcBorders>
              <w:top w:val="nil"/>
              <w:left w:val="nil"/>
              <w:bottom w:val="nil"/>
              <w:right w:val="nil"/>
            </w:tcBorders>
          </w:tcPr>
          <w:p w:rsidR="00D863E8" w:rsidRPr="00986666" w:rsidRDefault="00D863E8" w:rsidP="00986666">
            <w:pPr>
              <w:pStyle w:val="Tabletext"/>
              <w:ind w:right="227"/>
              <w:jc w:val="right"/>
              <w:rPr>
                <w:szCs w:val="17"/>
              </w:rPr>
            </w:pPr>
            <w:r w:rsidRPr="00986666">
              <w:rPr>
                <w:szCs w:val="17"/>
              </w:rPr>
              <w:t>5</w:t>
            </w:r>
            <w:r>
              <w:rPr>
                <w:szCs w:val="17"/>
              </w:rPr>
              <w:t xml:space="preserve"> </w:t>
            </w:r>
            <w:r w:rsidRPr="00986666">
              <w:rPr>
                <w:szCs w:val="17"/>
              </w:rPr>
              <w:t>514</w:t>
            </w:r>
          </w:p>
        </w:tc>
        <w:tc>
          <w:tcPr>
            <w:tcW w:w="1135" w:type="dxa"/>
            <w:tcBorders>
              <w:top w:val="nil"/>
              <w:left w:val="nil"/>
              <w:bottom w:val="nil"/>
              <w:right w:val="nil"/>
            </w:tcBorders>
          </w:tcPr>
          <w:p w:rsidR="00D863E8" w:rsidRPr="00986666" w:rsidRDefault="00D863E8" w:rsidP="00986666">
            <w:pPr>
              <w:pStyle w:val="Tabletext"/>
              <w:tabs>
                <w:tab w:val="decimal" w:pos="454"/>
              </w:tabs>
            </w:pPr>
            <w:r w:rsidRPr="00986666">
              <w:t>8.3</w:t>
            </w:r>
          </w:p>
        </w:tc>
      </w:tr>
      <w:tr w:rsidR="00D863E8" w:rsidRPr="00986666" w:rsidTr="00DA11D8">
        <w:tc>
          <w:tcPr>
            <w:tcW w:w="498" w:type="dxa"/>
            <w:tcBorders>
              <w:top w:val="nil"/>
              <w:left w:val="nil"/>
              <w:bottom w:val="nil"/>
              <w:right w:val="nil"/>
            </w:tcBorders>
          </w:tcPr>
          <w:p w:rsidR="00D863E8" w:rsidRPr="00986666" w:rsidRDefault="00D863E8" w:rsidP="00986666">
            <w:pPr>
              <w:pStyle w:val="Tabletext"/>
            </w:pPr>
            <w:r w:rsidRPr="00986666">
              <w:t>10</w:t>
            </w:r>
          </w:p>
        </w:tc>
        <w:tc>
          <w:tcPr>
            <w:tcW w:w="3753" w:type="dxa"/>
            <w:tcBorders>
              <w:top w:val="nil"/>
              <w:left w:val="nil"/>
              <w:bottom w:val="nil"/>
              <w:right w:val="nil"/>
            </w:tcBorders>
            <w:shd w:val="clear" w:color="auto" w:fill="auto"/>
            <w:noWrap/>
            <w:hideMark/>
          </w:tcPr>
          <w:p w:rsidR="00D863E8" w:rsidRPr="00986666" w:rsidRDefault="00D863E8" w:rsidP="00986666">
            <w:pPr>
              <w:pStyle w:val="Tabletext"/>
              <w:rPr>
                <w:szCs w:val="17"/>
              </w:rPr>
            </w:pPr>
            <w:r w:rsidRPr="00986666">
              <w:rPr>
                <w:szCs w:val="17"/>
              </w:rPr>
              <w:t>Creative arts</w:t>
            </w:r>
          </w:p>
        </w:tc>
        <w:tc>
          <w:tcPr>
            <w:tcW w:w="1134" w:type="dxa"/>
            <w:tcBorders>
              <w:top w:val="nil"/>
              <w:left w:val="nil"/>
              <w:bottom w:val="nil"/>
              <w:right w:val="nil"/>
            </w:tcBorders>
            <w:shd w:val="clear" w:color="auto" w:fill="auto"/>
            <w:noWrap/>
            <w:hideMark/>
          </w:tcPr>
          <w:p w:rsidR="00D863E8" w:rsidRPr="00986666" w:rsidRDefault="00D863E8" w:rsidP="00986666">
            <w:pPr>
              <w:pStyle w:val="Tabletext"/>
              <w:ind w:right="227"/>
              <w:jc w:val="right"/>
              <w:rPr>
                <w:szCs w:val="17"/>
              </w:rPr>
            </w:pPr>
            <w:r w:rsidRPr="00986666">
              <w:rPr>
                <w:szCs w:val="17"/>
              </w:rPr>
              <w:t>23</w:t>
            </w:r>
            <w:r>
              <w:rPr>
                <w:szCs w:val="17"/>
              </w:rPr>
              <w:t xml:space="preserve"> </w:t>
            </w:r>
            <w:r w:rsidRPr="00986666">
              <w:rPr>
                <w:szCs w:val="17"/>
              </w:rPr>
              <w:t>854</w:t>
            </w:r>
          </w:p>
        </w:tc>
        <w:tc>
          <w:tcPr>
            <w:tcW w:w="1135" w:type="dxa"/>
            <w:tcBorders>
              <w:top w:val="nil"/>
              <w:left w:val="nil"/>
              <w:bottom w:val="nil"/>
              <w:right w:val="nil"/>
            </w:tcBorders>
            <w:shd w:val="clear" w:color="auto" w:fill="auto"/>
            <w:noWrap/>
            <w:hideMark/>
          </w:tcPr>
          <w:p w:rsidR="00D863E8" w:rsidRPr="00986666" w:rsidRDefault="00D863E8" w:rsidP="00986666">
            <w:pPr>
              <w:pStyle w:val="Tabletext"/>
              <w:tabs>
                <w:tab w:val="decimal" w:pos="454"/>
              </w:tabs>
              <w:rPr>
                <w:szCs w:val="17"/>
              </w:rPr>
            </w:pPr>
            <w:r>
              <w:rPr>
                <w:szCs w:val="17"/>
              </w:rPr>
              <w:t>7.5</w:t>
            </w:r>
          </w:p>
        </w:tc>
        <w:tc>
          <w:tcPr>
            <w:tcW w:w="1134" w:type="dxa"/>
            <w:tcBorders>
              <w:top w:val="nil"/>
              <w:left w:val="nil"/>
              <w:bottom w:val="nil"/>
              <w:right w:val="nil"/>
            </w:tcBorders>
          </w:tcPr>
          <w:p w:rsidR="00D863E8" w:rsidRPr="00986666" w:rsidRDefault="00D863E8" w:rsidP="00986666">
            <w:pPr>
              <w:pStyle w:val="Tabletext"/>
              <w:ind w:right="227"/>
              <w:jc w:val="right"/>
              <w:rPr>
                <w:szCs w:val="17"/>
              </w:rPr>
            </w:pPr>
            <w:r w:rsidRPr="00986666">
              <w:rPr>
                <w:szCs w:val="17"/>
              </w:rPr>
              <w:t>1</w:t>
            </w:r>
            <w:r>
              <w:rPr>
                <w:szCs w:val="17"/>
              </w:rPr>
              <w:t xml:space="preserve"> </w:t>
            </w:r>
            <w:r w:rsidRPr="00986666">
              <w:rPr>
                <w:szCs w:val="17"/>
              </w:rPr>
              <w:t>995</w:t>
            </w:r>
          </w:p>
        </w:tc>
        <w:tc>
          <w:tcPr>
            <w:tcW w:w="1135" w:type="dxa"/>
            <w:tcBorders>
              <w:top w:val="nil"/>
              <w:left w:val="nil"/>
              <w:bottom w:val="nil"/>
              <w:right w:val="nil"/>
            </w:tcBorders>
          </w:tcPr>
          <w:p w:rsidR="00D863E8" w:rsidRPr="00986666" w:rsidRDefault="00D863E8" w:rsidP="00986666">
            <w:pPr>
              <w:pStyle w:val="Tabletext"/>
              <w:tabs>
                <w:tab w:val="decimal" w:pos="454"/>
              </w:tabs>
            </w:pPr>
            <w:r w:rsidRPr="00986666">
              <w:t>8.4</w:t>
            </w:r>
          </w:p>
        </w:tc>
      </w:tr>
      <w:tr w:rsidR="00D863E8" w:rsidRPr="00986666" w:rsidTr="00DA11D8">
        <w:tc>
          <w:tcPr>
            <w:tcW w:w="498" w:type="dxa"/>
            <w:tcBorders>
              <w:top w:val="nil"/>
              <w:left w:val="nil"/>
              <w:bottom w:val="nil"/>
              <w:right w:val="nil"/>
            </w:tcBorders>
          </w:tcPr>
          <w:p w:rsidR="00D863E8" w:rsidRPr="00986666" w:rsidRDefault="00D863E8" w:rsidP="00986666">
            <w:pPr>
              <w:pStyle w:val="Tabletext"/>
            </w:pPr>
            <w:r w:rsidRPr="00986666">
              <w:t>11</w:t>
            </w:r>
          </w:p>
        </w:tc>
        <w:tc>
          <w:tcPr>
            <w:tcW w:w="3753" w:type="dxa"/>
            <w:tcBorders>
              <w:top w:val="nil"/>
              <w:left w:val="nil"/>
              <w:bottom w:val="nil"/>
              <w:right w:val="nil"/>
            </w:tcBorders>
            <w:shd w:val="clear" w:color="auto" w:fill="auto"/>
            <w:noWrap/>
            <w:hideMark/>
          </w:tcPr>
          <w:p w:rsidR="00D863E8" w:rsidRPr="00986666" w:rsidRDefault="00D863E8" w:rsidP="00986666">
            <w:pPr>
              <w:pStyle w:val="Tabletext"/>
              <w:rPr>
                <w:szCs w:val="17"/>
              </w:rPr>
            </w:pPr>
            <w:r w:rsidRPr="00986666">
              <w:rPr>
                <w:szCs w:val="17"/>
              </w:rPr>
              <w:t>Food, hospitality and personal services</w:t>
            </w:r>
          </w:p>
        </w:tc>
        <w:tc>
          <w:tcPr>
            <w:tcW w:w="1134" w:type="dxa"/>
            <w:tcBorders>
              <w:top w:val="nil"/>
              <w:left w:val="nil"/>
              <w:bottom w:val="nil"/>
              <w:right w:val="nil"/>
            </w:tcBorders>
            <w:shd w:val="clear" w:color="auto" w:fill="auto"/>
            <w:noWrap/>
            <w:hideMark/>
          </w:tcPr>
          <w:p w:rsidR="00D863E8" w:rsidRPr="00986666" w:rsidRDefault="00D863E8" w:rsidP="00986666">
            <w:pPr>
              <w:pStyle w:val="Tabletext"/>
              <w:ind w:right="227"/>
              <w:jc w:val="right"/>
              <w:rPr>
                <w:szCs w:val="17"/>
              </w:rPr>
            </w:pPr>
            <w:r w:rsidRPr="00986666">
              <w:rPr>
                <w:szCs w:val="17"/>
              </w:rPr>
              <w:t>0</w:t>
            </w:r>
          </w:p>
        </w:tc>
        <w:tc>
          <w:tcPr>
            <w:tcW w:w="1135" w:type="dxa"/>
            <w:tcBorders>
              <w:top w:val="nil"/>
              <w:left w:val="nil"/>
              <w:bottom w:val="nil"/>
              <w:right w:val="nil"/>
            </w:tcBorders>
            <w:shd w:val="clear" w:color="auto" w:fill="auto"/>
            <w:noWrap/>
            <w:hideMark/>
          </w:tcPr>
          <w:p w:rsidR="00D863E8" w:rsidRPr="00986666" w:rsidRDefault="00D863E8" w:rsidP="00986666">
            <w:pPr>
              <w:pStyle w:val="Tabletext"/>
              <w:tabs>
                <w:tab w:val="decimal" w:pos="454"/>
              </w:tabs>
              <w:rPr>
                <w:szCs w:val="17"/>
              </w:rPr>
            </w:pPr>
            <w:r w:rsidRPr="00986666">
              <w:rPr>
                <w:szCs w:val="17"/>
              </w:rPr>
              <w:t>-</w:t>
            </w:r>
          </w:p>
        </w:tc>
        <w:tc>
          <w:tcPr>
            <w:tcW w:w="1134" w:type="dxa"/>
            <w:tcBorders>
              <w:top w:val="nil"/>
              <w:left w:val="nil"/>
              <w:bottom w:val="nil"/>
              <w:right w:val="nil"/>
            </w:tcBorders>
          </w:tcPr>
          <w:p w:rsidR="00D863E8" w:rsidRPr="00986666" w:rsidRDefault="00D863E8" w:rsidP="00986666">
            <w:pPr>
              <w:pStyle w:val="Tabletext"/>
              <w:ind w:right="227"/>
              <w:jc w:val="right"/>
              <w:rPr>
                <w:szCs w:val="17"/>
              </w:rPr>
            </w:pPr>
            <w:r w:rsidRPr="00986666">
              <w:rPr>
                <w:szCs w:val="17"/>
              </w:rPr>
              <w:t>0</w:t>
            </w:r>
          </w:p>
        </w:tc>
        <w:tc>
          <w:tcPr>
            <w:tcW w:w="1135" w:type="dxa"/>
            <w:tcBorders>
              <w:top w:val="nil"/>
              <w:left w:val="nil"/>
              <w:bottom w:val="nil"/>
              <w:right w:val="nil"/>
            </w:tcBorders>
          </w:tcPr>
          <w:p w:rsidR="00D863E8" w:rsidRPr="00986666" w:rsidRDefault="00D863E8" w:rsidP="00986666">
            <w:pPr>
              <w:pStyle w:val="Tabletext"/>
              <w:tabs>
                <w:tab w:val="decimal" w:pos="454"/>
              </w:tabs>
            </w:pPr>
            <w:r w:rsidRPr="00986666">
              <w:t>-</w:t>
            </w:r>
          </w:p>
        </w:tc>
      </w:tr>
      <w:tr w:rsidR="00D863E8" w:rsidRPr="00986666" w:rsidTr="00DA11D8">
        <w:tc>
          <w:tcPr>
            <w:tcW w:w="498" w:type="dxa"/>
            <w:tcBorders>
              <w:top w:val="nil"/>
              <w:left w:val="nil"/>
              <w:right w:val="nil"/>
            </w:tcBorders>
          </w:tcPr>
          <w:p w:rsidR="00D863E8" w:rsidRPr="00986666" w:rsidRDefault="00D863E8" w:rsidP="00986666">
            <w:pPr>
              <w:pStyle w:val="Tabletext"/>
            </w:pPr>
            <w:r w:rsidRPr="00986666">
              <w:t>12</w:t>
            </w:r>
          </w:p>
        </w:tc>
        <w:tc>
          <w:tcPr>
            <w:tcW w:w="3753" w:type="dxa"/>
            <w:tcBorders>
              <w:top w:val="nil"/>
              <w:left w:val="nil"/>
              <w:right w:val="nil"/>
            </w:tcBorders>
            <w:shd w:val="clear" w:color="auto" w:fill="auto"/>
            <w:noWrap/>
            <w:hideMark/>
          </w:tcPr>
          <w:p w:rsidR="00D863E8" w:rsidRPr="00986666" w:rsidRDefault="00D863E8" w:rsidP="00986666">
            <w:pPr>
              <w:pStyle w:val="Tabletext"/>
              <w:rPr>
                <w:szCs w:val="17"/>
              </w:rPr>
            </w:pPr>
            <w:r w:rsidRPr="00986666">
              <w:rPr>
                <w:szCs w:val="17"/>
              </w:rPr>
              <w:t>Mixed field programs</w:t>
            </w:r>
          </w:p>
        </w:tc>
        <w:tc>
          <w:tcPr>
            <w:tcW w:w="1134" w:type="dxa"/>
            <w:tcBorders>
              <w:top w:val="nil"/>
              <w:left w:val="nil"/>
              <w:right w:val="nil"/>
            </w:tcBorders>
            <w:shd w:val="clear" w:color="auto" w:fill="auto"/>
            <w:noWrap/>
            <w:hideMark/>
          </w:tcPr>
          <w:p w:rsidR="00D863E8" w:rsidRPr="00986666" w:rsidRDefault="00D863E8" w:rsidP="00986666">
            <w:pPr>
              <w:pStyle w:val="Tabletext"/>
              <w:ind w:right="227"/>
              <w:jc w:val="right"/>
              <w:rPr>
                <w:szCs w:val="17"/>
              </w:rPr>
            </w:pPr>
            <w:r w:rsidRPr="00986666">
              <w:rPr>
                <w:szCs w:val="17"/>
              </w:rPr>
              <w:t>6</w:t>
            </w:r>
            <w:r>
              <w:rPr>
                <w:szCs w:val="17"/>
              </w:rPr>
              <w:t xml:space="preserve"> </w:t>
            </w:r>
            <w:r w:rsidRPr="00986666">
              <w:rPr>
                <w:szCs w:val="17"/>
              </w:rPr>
              <w:t>229</w:t>
            </w:r>
          </w:p>
        </w:tc>
        <w:tc>
          <w:tcPr>
            <w:tcW w:w="1135" w:type="dxa"/>
            <w:tcBorders>
              <w:top w:val="nil"/>
              <w:left w:val="nil"/>
              <w:right w:val="nil"/>
            </w:tcBorders>
            <w:shd w:val="clear" w:color="auto" w:fill="auto"/>
            <w:noWrap/>
            <w:hideMark/>
          </w:tcPr>
          <w:p w:rsidR="00D863E8" w:rsidRPr="00986666" w:rsidRDefault="00D863E8" w:rsidP="00986666">
            <w:pPr>
              <w:pStyle w:val="Tabletext"/>
              <w:tabs>
                <w:tab w:val="decimal" w:pos="454"/>
              </w:tabs>
              <w:rPr>
                <w:szCs w:val="17"/>
              </w:rPr>
            </w:pPr>
            <w:r w:rsidRPr="00986666">
              <w:rPr>
                <w:szCs w:val="17"/>
              </w:rPr>
              <w:t>2.0</w:t>
            </w:r>
          </w:p>
        </w:tc>
        <w:tc>
          <w:tcPr>
            <w:tcW w:w="1134" w:type="dxa"/>
            <w:tcBorders>
              <w:top w:val="nil"/>
              <w:left w:val="nil"/>
              <w:right w:val="nil"/>
            </w:tcBorders>
          </w:tcPr>
          <w:p w:rsidR="00D863E8" w:rsidRPr="00986666" w:rsidRDefault="00D863E8" w:rsidP="00986666">
            <w:pPr>
              <w:pStyle w:val="Tabletext"/>
              <w:ind w:right="227"/>
              <w:jc w:val="right"/>
              <w:rPr>
                <w:szCs w:val="17"/>
              </w:rPr>
            </w:pPr>
            <w:r w:rsidRPr="00986666">
              <w:rPr>
                <w:szCs w:val="17"/>
              </w:rPr>
              <w:t>217</w:t>
            </w:r>
          </w:p>
        </w:tc>
        <w:tc>
          <w:tcPr>
            <w:tcW w:w="1135" w:type="dxa"/>
            <w:tcBorders>
              <w:top w:val="nil"/>
              <w:left w:val="nil"/>
              <w:right w:val="nil"/>
            </w:tcBorders>
          </w:tcPr>
          <w:p w:rsidR="00D863E8" w:rsidRPr="00986666" w:rsidRDefault="00D863E8" w:rsidP="00986666">
            <w:pPr>
              <w:pStyle w:val="Tabletext"/>
              <w:tabs>
                <w:tab w:val="decimal" w:pos="454"/>
              </w:tabs>
            </w:pPr>
            <w:r w:rsidRPr="00986666">
              <w:t>3.5</w:t>
            </w:r>
          </w:p>
        </w:tc>
      </w:tr>
      <w:tr w:rsidR="00D863E8" w:rsidRPr="00986666" w:rsidTr="00D863E8">
        <w:tc>
          <w:tcPr>
            <w:tcW w:w="498" w:type="dxa"/>
            <w:tcBorders>
              <w:left w:val="nil"/>
              <w:bottom w:val="single" w:sz="4" w:space="0" w:color="auto"/>
              <w:right w:val="nil"/>
            </w:tcBorders>
          </w:tcPr>
          <w:p w:rsidR="00D863E8" w:rsidRPr="00986666" w:rsidRDefault="00D863E8" w:rsidP="00986666">
            <w:pPr>
              <w:pStyle w:val="Tabletext"/>
            </w:pPr>
            <w:r w:rsidRPr="00986666">
              <w:t>-</w:t>
            </w:r>
          </w:p>
        </w:tc>
        <w:tc>
          <w:tcPr>
            <w:tcW w:w="3753" w:type="dxa"/>
            <w:tcBorders>
              <w:left w:val="nil"/>
              <w:bottom w:val="single" w:sz="4" w:space="0" w:color="auto"/>
              <w:right w:val="nil"/>
            </w:tcBorders>
            <w:shd w:val="clear" w:color="auto" w:fill="auto"/>
            <w:noWrap/>
            <w:hideMark/>
          </w:tcPr>
          <w:p w:rsidR="00D863E8" w:rsidRPr="00986666" w:rsidRDefault="00D863E8" w:rsidP="00986666">
            <w:pPr>
              <w:pStyle w:val="Tabletext"/>
              <w:rPr>
                <w:szCs w:val="17"/>
              </w:rPr>
            </w:pPr>
            <w:r w:rsidRPr="00986666">
              <w:rPr>
                <w:szCs w:val="17"/>
              </w:rPr>
              <w:t>Non-award</w:t>
            </w:r>
          </w:p>
        </w:tc>
        <w:tc>
          <w:tcPr>
            <w:tcW w:w="1134" w:type="dxa"/>
            <w:tcBorders>
              <w:left w:val="nil"/>
              <w:bottom w:val="single" w:sz="4" w:space="0" w:color="auto"/>
              <w:right w:val="nil"/>
            </w:tcBorders>
            <w:shd w:val="clear" w:color="auto" w:fill="auto"/>
            <w:noWrap/>
            <w:hideMark/>
          </w:tcPr>
          <w:p w:rsidR="00D863E8" w:rsidRPr="00986666" w:rsidRDefault="00D863E8" w:rsidP="00986666">
            <w:pPr>
              <w:pStyle w:val="Tabletext"/>
              <w:ind w:right="227"/>
              <w:jc w:val="right"/>
              <w:rPr>
                <w:szCs w:val="17"/>
              </w:rPr>
            </w:pPr>
            <w:r w:rsidRPr="00986666">
              <w:rPr>
                <w:szCs w:val="17"/>
              </w:rPr>
              <w:t>16</w:t>
            </w:r>
            <w:r>
              <w:rPr>
                <w:szCs w:val="17"/>
              </w:rPr>
              <w:t xml:space="preserve"> </w:t>
            </w:r>
            <w:r w:rsidRPr="00986666">
              <w:rPr>
                <w:szCs w:val="17"/>
              </w:rPr>
              <w:t>868</w:t>
            </w:r>
          </w:p>
        </w:tc>
        <w:tc>
          <w:tcPr>
            <w:tcW w:w="1135" w:type="dxa"/>
            <w:tcBorders>
              <w:left w:val="nil"/>
              <w:bottom w:val="single" w:sz="4" w:space="0" w:color="auto"/>
              <w:right w:val="nil"/>
            </w:tcBorders>
            <w:shd w:val="clear" w:color="auto" w:fill="auto"/>
            <w:noWrap/>
            <w:hideMark/>
          </w:tcPr>
          <w:p w:rsidR="00D863E8" w:rsidRPr="00986666" w:rsidRDefault="00D863E8" w:rsidP="00986666">
            <w:pPr>
              <w:pStyle w:val="Tabletext"/>
              <w:tabs>
                <w:tab w:val="decimal" w:pos="454"/>
              </w:tabs>
              <w:rPr>
                <w:szCs w:val="17"/>
              </w:rPr>
            </w:pPr>
            <w:r w:rsidRPr="00986666">
              <w:rPr>
                <w:szCs w:val="17"/>
              </w:rPr>
              <w:t>5.3</w:t>
            </w:r>
          </w:p>
        </w:tc>
        <w:tc>
          <w:tcPr>
            <w:tcW w:w="1134" w:type="dxa"/>
            <w:tcBorders>
              <w:left w:val="nil"/>
              <w:bottom w:val="single" w:sz="4" w:space="0" w:color="auto"/>
              <w:right w:val="nil"/>
            </w:tcBorders>
          </w:tcPr>
          <w:p w:rsidR="00D863E8" w:rsidRPr="00986666" w:rsidRDefault="00D863E8" w:rsidP="00986666">
            <w:pPr>
              <w:pStyle w:val="Tabletext"/>
              <w:ind w:right="227"/>
              <w:jc w:val="right"/>
              <w:rPr>
                <w:szCs w:val="17"/>
              </w:rPr>
            </w:pPr>
            <w:r w:rsidRPr="00986666">
              <w:rPr>
                <w:szCs w:val="17"/>
              </w:rPr>
              <w:t>77</w:t>
            </w:r>
          </w:p>
        </w:tc>
        <w:tc>
          <w:tcPr>
            <w:tcW w:w="1135" w:type="dxa"/>
            <w:tcBorders>
              <w:left w:val="nil"/>
              <w:bottom w:val="single" w:sz="4" w:space="0" w:color="auto"/>
              <w:right w:val="nil"/>
            </w:tcBorders>
          </w:tcPr>
          <w:p w:rsidR="00D863E8" w:rsidRPr="00986666" w:rsidRDefault="00D863E8" w:rsidP="00986666">
            <w:pPr>
              <w:pStyle w:val="Tabletext"/>
              <w:tabs>
                <w:tab w:val="decimal" w:pos="454"/>
              </w:tabs>
            </w:pPr>
            <w:r w:rsidRPr="00986666">
              <w:t>0.5</w:t>
            </w:r>
          </w:p>
        </w:tc>
      </w:tr>
      <w:tr w:rsidR="00D863E8" w:rsidRPr="00986666" w:rsidTr="00D863E8">
        <w:tc>
          <w:tcPr>
            <w:tcW w:w="498" w:type="dxa"/>
            <w:tcBorders>
              <w:top w:val="single" w:sz="4" w:space="0" w:color="auto"/>
              <w:left w:val="nil"/>
              <w:bottom w:val="single" w:sz="4" w:space="0" w:color="auto"/>
              <w:right w:val="nil"/>
            </w:tcBorders>
          </w:tcPr>
          <w:p w:rsidR="00D863E8" w:rsidRPr="00986666" w:rsidRDefault="00D863E8" w:rsidP="00986666">
            <w:pPr>
              <w:pStyle w:val="Tabletext"/>
              <w:rPr>
                <w:b/>
              </w:rPr>
            </w:pPr>
          </w:p>
        </w:tc>
        <w:tc>
          <w:tcPr>
            <w:tcW w:w="3753" w:type="dxa"/>
            <w:tcBorders>
              <w:top w:val="single" w:sz="4" w:space="0" w:color="auto"/>
              <w:left w:val="nil"/>
              <w:bottom w:val="single" w:sz="4" w:space="0" w:color="auto"/>
              <w:right w:val="nil"/>
            </w:tcBorders>
            <w:shd w:val="clear" w:color="auto" w:fill="auto"/>
            <w:noWrap/>
            <w:hideMark/>
          </w:tcPr>
          <w:p w:rsidR="00D863E8" w:rsidRPr="00986666" w:rsidRDefault="00D863E8" w:rsidP="00986666">
            <w:pPr>
              <w:pStyle w:val="Tabletext"/>
              <w:rPr>
                <w:b/>
                <w:szCs w:val="17"/>
              </w:rPr>
            </w:pPr>
            <w:r w:rsidRPr="00986666">
              <w:rPr>
                <w:b/>
                <w:szCs w:val="17"/>
              </w:rPr>
              <w:t xml:space="preserve">All fields of education </w:t>
            </w:r>
          </w:p>
        </w:tc>
        <w:tc>
          <w:tcPr>
            <w:tcW w:w="1134" w:type="dxa"/>
            <w:tcBorders>
              <w:top w:val="single" w:sz="4" w:space="0" w:color="auto"/>
              <w:left w:val="nil"/>
              <w:bottom w:val="single" w:sz="4" w:space="0" w:color="auto"/>
              <w:right w:val="nil"/>
            </w:tcBorders>
            <w:shd w:val="clear" w:color="auto" w:fill="auto"/>
            <w:noWrap/>
            <w:hideMark/>
          </w:tcPr>
          <w:p w:rsidR="00D863E8" w:rsidRPr="00986666" w:rsidRDefault="00D863E8" w:rsidP="00986666">
            <w:pPr>
              <w:pStyle w:val="Tabletext"/>
              <w:ind w:right="227"/>
              <w:jc w:val="right"/>
              <w:rPr>
                <w:b/>
                <w:szCs w:val="17"/>
              </w:rPr>
            </w:pPr>
            <w:r w:rsidRPr="00986666">
              <w:rPr>
                <w:b/>
                <w:szCs w:val="17"/>
              </w:rPr>
              <w:t>317 670</w:t>
            </w:r>
          </w:p>
        </w:tc>
        <w:tc>
          <w:tcPr>
            <w:tcW w:w="1135" w:type="dxa"/>
            <w:tcBorders>
              <w:top w:val="single" w:sz="4" w:space="0" w:color="auto"/>
              <w:left w:val="nil"/>
              <w:bottom w:val="single" w:sz="4" w:space="0" w:color="auto"/>
              <w:right w:val="nil"/>
            </w:tcBorders>
            <w:shd w:val="clear" w:color="auto" w:fill="auto"/>
            <w:noWrap/>
            <w:hideMark/>
          </w:tcPr>
          <w:p w:rsidR="00D863E8" w:rsidRPr="00986666" w:rsidRDefault="00D863E8" w:rsidP="00986666">
            <w:pPr>
              <w:pStyle w:val="Tabletext"/>
              <w:tabs>
                <w:tab w:val="decimal" w:pos="454"/>
              </w:tabs>
              <w:rPr>
                <w:b/>
                <w:szCs w:val="17"/>
              </w:rPr>
            </w:pPr>
            <w:r w:rsidRPr="00986666">
              <w:rPr>
                <w:b/>
                <w:szCs w:val="17"/>
              </w:rPr>
              <w:t>100.0</w:t>
            </w:r>
          </w:p>
        </w:tc>
        <w:tc>
          <w:tcPr>
            <w:tcW w:w="1134" w:type="dxa"/>
            <w:tcBorders>
              <w:top w:val="single" w:sz="4" w:space="0" w:color="auto"/>
              <w:left w:val="nil"/>
              <w:bottom w:val="single" w:sz="4" w:space="0" w:color="auto"/>
              <w:right w:val="nil"/>
            </w:tcBorders>
          </w:tcPr>
          <w:p w:rsidR="00D863E8" w:rsidRPr="00986666" w:rsidRDefault="00D863E8" w:rsidP="00986666">
            <w:pPr>
              <w:pStyle w:val="Tabletext"/>
              <w:ind w:right="227"/>
              <w:jc w:val="right"/>
              <w:rPr>
                <w:b/>
                <w:szCs w:val="17"/>
              </w:rPr>
            </w:pPr>
            <w:r w:rsidRPr="00986666">
              <w:rPr>
                <w:b/>
                <w:szCs w:val="17"/>
              </w:rPr>
              <w:t>30 298</w:t>
            </w:r>
          </w:p>
        </w:tc>
        <w:tc>
          <w:tcPr>
            <w:tcW w:w="1135" w:type="dxa"/>
            <w:tcBorders>
              <w:top w:val="single" w:sz="4" w:space="0" w:color="auto"/>
              <w:left w:val="nil"/>
              <w:bottom w:val="single" w:sz="4" w:space="0" w:color="auto"/>
              <w:right w:val="nil"/>
            </w:tcBorders>
          </w:tcPr>
          <w:p w:rsidR="00D863E8" w:rsidRPr="00986666" w:rsidRDefault="00D863E8" w:rsidP="00986666">
            <w:pPr>
              <w:pStyle w:val="Tabletext"/>
              <w:tabs>
                <w:tab w:val="decimal" w:pos="454"/>
              </w:tabs>
              <w:rPr>
                <w:b/>
              </w:rPr>
            </w:pPr>
            <w:r w:rsidRPr="00986666">
              <w:rPr>
                <w:b/>
              </w:rPr>
              <w:t>9.5</w:t>
            </w:r>
          </w:p>
        </w:tc>
      </w:tr>
    </w:tbl>
    <w:p w:rsidR="00BA3532" w:rsidRDefault="00BA3532" w:rsidP="00BA3532">
      <w:pPr>
        <w:pStyle w:val="Source"/>
      </w:pPr>
      <w:r>
        <w:t>Notes:</w:t>
      </w:r>
      <w:r w:rsidR="00986666">
        <w:tab/>
      </w:r>
      <w:r>
        <w:t>Due to the coding of some students in combined programs to two fields of education, the totals can be higher than the total number of students and the size of the difference varies between fields of education.</w:t>
      </w:r>
      <w:r w:rsidR="00837079">
        <w:t xml:space="preserve"> </w:t>
      </w:r>
    </w:p>
    <w:p w:rsidR="00555214" w:rsidRDefault="00555214" w:rsidP="00555214">
      <w:pPr>
        <w:pStyle w:val="Source"/>
      </w:pPr>
      <w:r>
        <w:t>Source:</w:t>
      </w:r>
      <w:r w:rsidR="00986666">
        <w:tab/>
      </w:r>
      <w:r>
        <w:t>Department of Education, Employment and Workplace Relations, Higher Education Statistics Collection, unpublished data (2010).</w:t>
      </w:r>
    </w:p>
    <w:p w:rsidR="00401FC4" w:rsidRDefault="00401FC4" w:rsidP="00BA3532">
      <w:pPr>
        <w:pStyle w:val="Text"/>
      </w:pPr>
    </w:p>
    <w:p w:rsidR="006167E3" w:rsidRDefault="006167E3">
      <w:pPr>
        <w:spacing w:before="0" w:line="240" w:lineRule="auto"/>
        <w:rPr>
          <w:rFonts w:ascii="Tahoma" w:hAnsi="Tahoma" w:cs="Tahoma"/>
          <w:color w:val="000000"/>
          <w:kern w:val="28"/>
          <w:sz w:val="56"/>
          <w:szCs w:val="56"/>
        </w:rPr>
      </w:pPr>
      <w:r>
        <w:br w:type="page"/>
      </w:r>
    </w:p>
    <w:p w:rsidR="00E9283F" w:rsidRDefault="00B80BDF" w:rsidP="00BA3532">
      <w:pPr>
        <w:pStyle w:val="Heading1"/>
      </w:pPr>
      <w:bookmarkStart w:id="41" w:name="_Toc367450617"/>
      <w:r>
        <w:lastRenderedPageBreak/>
        <w:t xml:space="preserve">VET to higher education pathways </w:t>
      </w:r>
      <w:r w:rsidR="00FA1AF7">
        <w:t>by university</w:t>
      </w:r>
      <w:bookmarkEnd w:id="41"/>
      <w:r w:rsidR="00FA1AF7">
        <w:t xml:space="preserve"> </w:t>
      </w:r>
    </w:p>
    <w:p w:rsidR="00E9283F" w:rsidRPr="00DA11D8" w:rsidRDefault="00373938" w:rsidP="00DA11D8">
      <w:pPr>
        <w:pStyle w:val="Text"/>
      </w:pPr>
      <w:r>
        <w:t xml:space="preserve">The admission rate of VET </w:t>
      </w:r>
      <w:r w:rsidR="00B87FBB">
        <w:t>award holders</w:t>
      </w:r>
      <w:r>
        <w:t xml:space="preserve"> in each field of education also varies by university. This section examines the variations between institutions</w:t>
      </w:r>
      <w:r w:rsidR="00936C5C">
        <w:t xml:space="preserve"> and fields of education using c</w:t>
      </w:r>
      <w:r>
        <w:t xml:space="preserve">luster analysis. This technique was used to group together universities most similar to </w:t>
      </w:r>
      <w:r w:rsidRPr="00DA11D8">
        <w:t xml:space="preserve">each other in terms of their percentage of admissions on the basis of a VET award in </w:t>
      </w:r>
      <w:r w:rsidR="00725D7A" w:rsidRPr="00DA11D8">
        <w:t>the ten broad fields of education</w:t>
      </w:r>
      <w:r w:rsidRPr="00DA11D8">
        <w:t xml:space="preserve">. </w:t>
      </w:r>
      <w:r w:rsidR="00936C5C" w:rsidRPr="00DA11D8">
        <w:t>(</w:t>
      </w:r>
      <w:r w:rsidRPr="00DA11D8">
        <w:t xml:space="preserve">For a discussion of this methodology, see the </w:t>
      </w:r>
      <w:r w:rsidR="00936C5C" w:rsidRPr="00DA11D8">
        <w:t>support do</w:t>
      </w:r>
      <w:r w:rsidRPr="00DA11D8">
        <w:t>cument.</w:t>
      </w:r>
      <w:r w:rsidR="00936C5C" w:rsidRPr="00DA11D8">
        <w:t>)</w:t>
      </w:r>
      <w:r w:rsidR="00E20700" w:rsidRPr="00DA11D8">
        <w:t xml:space="preserve"> </w:t>
      </w:r>
    </w:p>
    <w:p w:rsidR="001A1C33" w:rsidRDefault="001A1C33" w:rsidP="00DA11D8">
      <w:pPr>
        <w:pStyle w:val="Text"/>
      </w:pPr>
      <w:r w:rsidRPr="00DA11D8">
        <w:t>The three clusters of inst</w:t>
      </w:r>
      <w:r w:rsidR="00936C5C" w:rsidRPr="00DA11D8">
        <w:t>itutions that emerged from the cluster analysis are shown in t</w:t>
      </w:r>
      <w:r w:rsidRPr="00DA11D8">
        <w:t>able 3. Institutions within each cluster are listed in order of the proportion</w:t>
      </w:r>
      <w:r>
        <w:t xml:space="preserve"> of students they admit on the basis of a VET award (in parentheses).</w:t>
      </w:r>
    </w:p>
    <w:p w:rsidR="00E9283F" w:rsidRDefault="00E9283F" w:rsidP="00E9283F">
      <w:pPr>
        <w:pStyle w:val="tabletitle"/>
      </w:pPr>
      <w:bookmarkStart w:id="42" w:name="_Toc364688853"/>
      <w:r>
        <w:t xml:space="preserve">Table </w:t>
      </w:r>
      <w:r w:rsidR="00E20700">
        <w:t>3</w:t>
      </w:r>
      <w:r>
        <w:tab/>
      </w:r>
      <w:r w:rsidRPr="00A618B9">
        <w:t>Institutional clusters on admission on the basis</w:t>
      </w:r>
      <w:r>
        <w:t xml:space="preserve"> of a VET award: size and</w:t>
      </w:r>
      <w:r w:rsidRPr="00A618B9">
        <w:t xml:space="preserve"> membership</w:t>
      </w:r>
      <w:r w:rsidR="00ED19AF">
        <w:t xml:space="preserve">, </w:t>
      </w:r>
      <w:r>
        <w:t>2010</w:t>
      </w:r>
      <w:bookmarkEnd w:id="42"/>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6"/>
        <w:gridCol w:w="3056"/>
        <w:gridCol w:w="284"/>
        <w:gridCol w:w="2693"/>
      </w:tblGrid>
      <w:tr w:rsidR="00F71749" w:rsidRPr="00453CF6" w:rsidTr="00DA11D8">
        <w:tc>
          <w:tcPr>
            <w:tcW w:w="2756" w:type="dxa"/>
            <w:tcBorders>
              <w:top w:val="single" w:sz="4" w:space="0" w:color="auto"/>
            </w:tcBorders>
          </w:tcPr>
          <w:p w:rsidR="00AC6733" w:rsidRPr="00C02648" w:rsidRDefault="00286FC9" w:rsidP="00DA11D8">
            <w:pPr>
              <w:pStyle w:val="Tablehead1"/>
            </w:pPr>
            <w:r w:rsidRPr="00286FC9">
              <w:t>Cluster 1</w:t>
            </w:r>
            <w:r w:rsidR="00DA11D8">
              <w:br/>
            </w:r>
            <w:r w:rsidRPr="00286FC9">
              <w:t>(n = 7, student load: 24%)</w:t>
            </w:r>
          </w:p>
        </w:tc>
        <w:tc>
          <w:tcPr>
            <w:tcW w:w="3056" w:type="dxa"/>
            <w:tcBorders>
              <w:top w:val="single" w:sz="4" w:space="0" w:color="auto"/>
            </w:tcBorders>
          </w:tcPr>
          <w:p w:rsidR="00AC6733" w:rsidRPr="00C02648" w:rsidRDefault="00286FC9" w:rsidP="00DA11D8">
            <w:pPr>
              <w:pStyle w:val="Tablehead1"/>
            </w:pPr>
            <w:r w:rsidRPr="00286FC9">
              <w:t>Cluster 2</w:t>
            </w:r>
            <w:r w:rsidR="00DA11D8">
              <w:br/>
            </w:r>
            <w:r w:rsidRPr="00286FC9">
              <w:t>(n = 16, student load: 38%)</w:t>
            </w:r>
          </w:p>
        </w:tc>
        <w:tc>
          <w:tcPr>
            <w:tcW w:w="2977" w:type="dxa"/>
            <w:gridSpan w:val="2"/>
            <w:tcBorders>
              <w:top w:val="single" w:sz="4" w:space="0" w:color="auto"/>
            </w:tcBorders>
          </w:tcPr>
          <w:p w:rsidR="00AC6733" w:rsidRPr="00C02648" w:rsidRDefault="00286FC9" w:rsidP="00DA11D8">
            <w:pPr>
              <w:pStyle w:val="Tablehead1"/>
            </w:pPr>
            <w:r w:rsidRPr="00286FC9">
              <w:t>Cluster 3</w:t>
            </w:r>
            <w:r w:rsidR="00DA11D8">
              <w:br/>
            </w:r>
            <w:r w:rsidRPr="00286FC9">
              <w:t>(n = 14, student load: 38%)</w:t>
            </w:r>
          </w:p>
        </w:tc>
      </w:tr>
      <w:tr w:rsidR="00F71749" w:rsidRPr="00AC6733" w:rsidTr="00DA11D8">
        <w:tc>
          <w:tcPr>
            <w:tcW w:w="2756" w:type="dxa"/>
            <w:tcBorders>
              <w:bottom w:val="single" w:sz="4" w:space="0" w:color="auto"/>
            </w:tcBorders>
          </w:tcPr>
          <w:p w:rsidR="00F71749" w:rsidRPr="00C02648" w:rsidRDefault="00286FC9" w:rsidP="00DA11D8">
            <w:pPr>
              <w:pStyle w:val="Tablehead2"/>
            </w:pPr>
            <w:r w:rsidRPr="00286FC9">
              <w:t>19%</w:t>
            </w:r>
          </w:p>
        </w:tc>
        <w:tc>
          <w:tcPr>
            <w:tcW w:w="3056" w:type="dxa"/>
            <w:tcBorders>
              <w:bottom w:val="single" w:sz="4" w:space="0" w:color="auto"/>
            </w:tcBorders>
          </w:tcPr>
          <w:p w:rsidR="00F71749" w:rsidRPr="00C02648" w:rsidRDefault="004270FD" w:rsidP="00DA11D8">
            <w:pPr>
              <w:pStyle w:val="Tablehead2"/>
            </w:pPr>
            <w:r>
              <w:t>10</w:t>
            </w:r>
            <w:r w:rsidR="00286FC9" w:rsidRPr="00286FC9">
              <w:t>%</w:t>
            </w:r>
          </w:p>
        </w:tc>
        <w:tc>
          <w:tcPr>
            <w:tcW w:w="2977" w:type="dxa"/>
            <w:gridSpan w:val="2"/>
            <w:tcBorders>
              <w:bottom w:val="single" w:sz="4" w:space="0" w:color="auto"/>
            </w:tcBorders>
          </w:tcPr>
          <w:p w:rsidR="00F71749" w:rsidRPr="00C02648" w:rsidRDefault="00286FC9" w:rsidP="00DA11D8">
            <w:pPr>
              <w:pStyle w:val="Tablehead2"/>
            </w:pPr>
            <w:r w:rsidRPr="00286FC9">
              <w:t>3%</w:t>
            </w:r>
          </w:p>
        </w:tc>
      </w:tr>
      <w:tr w:rsidR="00F71749" w:rsidRPr="00453CF6" w:rsidTr="00DA11D8">
        <w:tc>
          <w:tcPr>
            <w:tcW w:w="2756" w:type="dxa"/>
            <w:tcBorders>
              <w:top w:val="single" w:sz="4" w:space="0" w:color="auto"/>
            </w:tcBorders>
          </w:tcPr>
          <w:p w:rsidR="00F71749" w:rsidRPr="00C02648" w:rsidRDefault="00286FC9" w:rsidP="00DA11D8">
            <w:pPr>
              <w:pStyle w:val="Tabletext"/>
            </w:pPr>
            <w:r w:rsidRPr="00286FC9">
              <w:t>Charles Sturt University (26%)</w:t>
            </w:r>
          </w:p>
        </w:tc>
        <w:tc>
          <w:tcPr>
            <w:tcW w:w="3056" w:type="dxa"/>
            <w:tcBorders>
              <w:top w:val="single" w:sz="4" w:space="0" w:color="auto"/>
            </w:tcBorders>
          </w:tcPr>
          <w:p w:rsidR="00F71749" w:rsidRPr="00C02648" w:rsidRDefault="00286FC9" w:rsidP="00DA11D8">
            <w:pPr>
              <w:pStyle w:val="Tabletext"/>
            </w:pPr>
            <w:r w:rsidRPr="00286FC9">
              <w:t>La Trobe University (15%)</w:t>
            </w:r>
          </w:p>
        </w:tc>
        <w:tc>
          <w:tcPr>
            <w:tcW w:w="2977" w:type="dxa"/>
            <w:gridSpan w:val="2"/>
            <w:tcBorders>
              <w:top w:val="single" w:sz="4" w:space="0" w:color="auto"/>
            </w:tcBorders>
          </w:tcPr>
          <w:p w:rsidR="00D0565C" w:rsidRDefault="00286FC9" w:rsidP="00DA11D8">
            <w:pPr>
              <w:pStyle w:val="Tabletext"/>
            </w:pPr>
            <w:r w:rsidRPr="00286FC9">
              <w:t>Flinders University (7%)</w:t>
            </w:r>
          </w:p>
        </w:tc>
      </w:tr>
      <w:tr w:rsidR="00F71749" w:rsidRPr="00453CF6" w:rsidTr="00DA11D8">
        <w:tc>
          <w:tcPr>
            <w:tcW w:w="2756" w:type="dxa"/>
          </w:tcPr>
          <w:p w:rsidR="00F71749" w:rsidRPr="00C02648" w:rsidRDefault="00286FC9" w:rsidP="00DA11D8">
            <w:pPr>
              <w:pStyle w:val="Tabletext"/>
            </w:pPr>
            <w:r w:rsidRPr="00286FC9">
              <w:t>RMIT University (21%)</w:t>
            </w:r>
          </w:p>
        </w:tc>
        <w:tc>
          <w:tcPr>
            <w:tcW w:w="3056" w:type="dxa"/>
          </w:tcPr>
          <w:p w:rsidR="00F71749" w:rsidRPr="00C02648" w:rsidRDefault="00286FC9" w:rsidP="00DA11D8">
            <w:pPr>
              <w:pStyle w:val="Tabletext"/>
            </w:pPr>
            <w:r w:rsidRPr="00286FC9">
              <w:t>University of Canberra (13%)</w:t>
            </w:r>
          </w:p>
        </w:tc>
        <w:tc>
          <w:tcPr>
            <w:tcW w:w="2977" w:type="dxa"/>
            <w:gridSpan w:val="2"/>
            <w:tcMar>
              <w:right w:w="0" w:type="dxa"/>
            </w:tcMar>
          </w:tcPr>
          <w:p w:rsidR="00D0565C" w:rsidRDefault="00286FC9" w:rsidP="00DA11D8">
            <w:pPr>
              <w:pStyle w:val="Tabletext"/>
            </w:pPr>
            <w:r w:rsidRPr="00286FC9">
              <w:t>University of Southern Queensland (6%)</w:t>
            </w:r>
          </w:p>
        </w:tc>
      </w:tr>
      <w:tr w:rsidR="00F71749" w:rsidRPr="00453CF6" w:rsidTr="00DA11D8">
        <w:tc>
          <w:tcPr>
            <w:tcW w:w="2756" w:type="dxa"/>
          </w:tcPr>
          <w:p w:rsidR="00F71749" w:rsidRPr="00C02648" w:rsidRDefault="00286FC9" w:rsidP="00DA11D8">
            <w:pPr>
              <w:pStyle w:val="Tabletext"/>
            </w:pPr>
            <w:r w:rsidRPr="00286FC9">
              <w:t>Swinburne University (20%)</w:t>
            </w:r>
          </w:p>
        </w:tc>
        <w:tc>
          <w:tcPr>
            <w:tcW w:w="3056" w:type="dxa"/>
          </w:tcPr>
          <w:p w:rsidR="00F71749" w:rsidRPr="00C02648" w:rsidRDefault="00286FC9" w:rsidP="00DA11D8">
            <w:pPr>
              <w:pStyle w:val="Tabletext"/>
            </w:pPr>
            <w:r w:rsidRPr="00286FC9">
              <w:t>Charles Darwin University (12%)</w:t>
            </w:r>
          </w:p>
        </w:tc>
        <w:tc>
          <w:tcPr>
            <w:tcW w:w="2977" w:type="dxa"/>
            <w:gridSpan w:val="2"/>
          </w:tcPr>
          <w:p w:rsidR="00D0565C" w:rsidRDefault="00286FC9" w:rsidP="00DA11D8">
            <w:pPr>
              <w:pStyle w:val="Tabletext"/>
            </w:pPr>
            <w:r w:rsidRPr="00286FC9">
              <w:t>Australian National University (5%)</w:t>
            </w:r>
          </w:p>
        </w:tc>
      </w:tr>
      <w:tr w:rsidR="00F71749" w:rsidRPr="00453CF6" w:rsidTr="00DA11D8">
        <w:tc>
          <w:tcPr>
            <w:tcW w:w="2756" w:type="dxa"/>
            <w:tcMar>
              <w:right w:w="0" w:type="dxa"/>
            </w:tcMar>
          </w:tcPr>
          <w:p w:rsidR="00F71749" w:rsidRPr="00C02648" w:rsidRDefault="00286FC9" w:rsidP="00DA11D8">
            <w:pPr>
              <w:pStyle w:val="Tabletext"/>
            </w:pPr>
            <w:r w:rsidRPr="00286FC9">
              <w:t>University of Western Sydney (17%)</w:t>
            </w:r>
          </w:p>
        </w:tc>
        <w:tc>
          <w:tcPr>
            <w:tcW w:w="3056" w:type="dxa"/>
          </w:tcPr>
          <w:p w:rsidR="00F71749" w:rsidRPr="00C02648" w:rsidRDefault="00286FC9" w:rsidP="00DA11D8">
            <w:pPr>
              <w:pStyle w:val="Tabletext"/>
            </w:pPr>
            <w:r w:rsidRPr="00286FC9">
              <w:t>University of South Australia (12%)</w:t>
            </w:r>
          </w:p>
        </w:tc>
        <w:tc>
          <w:tcPr>
            <w:tcW w:w="2977" w:type="dxa"/>
            <w:gridSpan w:val="2"/>
          </w:tcPr>
          <w:p w:rsidR="00D0565C" w:rsidRDefault="00286FC9" w:rsidP="00DA11D8">
            <w:pPr>
              <w:pStyle w:val="Tabletext"/>
            </w:pPr>
            <w:r w:rsidRPr="00286FC9">
              <w:t>James Cook University (4%)</w:t>
            </w:r>
          </w:p>
        </w:tc>
      </w:tr>
      <w:tr w:rsidR="00F71749" w:rsidRPr="00453CF6" w:rsidTr="00DA11D8">
        <w:tc>
          <w:tcPr>
            <w:tcW w:w="2756" w:type="dxa"/>
          </w:tcPr>
          <w:p w:rsidR="00F71749" w:rsidRPr="00C02648" w:rsidRDefault="00286FC9" w:rsidP="00DA11D8">
            <w:pPr>
              <w:pStyle w:val="Tabletext"/>
            </w:pPr>
            <w:r w:rsidRPr="00286FC9">
              <w:t>Victoria University (16%)</w:t>
            </w:r>
          </w:p>
        </w:tc>
        <w:tc>
          <w:tcPr>
            <w:tcW w:w="3056" w:type="dxa"/>
          </w:tcPr>
          <w:p w:rsidR="00F71749" w:rsidRPr="00C02648" w:rsidRDefault="00286FC9" w:rsidP="00DA11D8">
            <w:pPr>
              <w:pStyle w:val="Tabletext"/>
            </w:pPr>
            <w:r w:rsidRPr="00286FC9">
              <w:t>University of Ballarat (11%)</w:t>
            </w:r>
            <w:r w:rsidR="00837079">
              <w:t xml:space="preserve"> </w:t>
            </w:r>
          </w:p>
        </w:tc>
        <w:tc>
          <w:tcPr>
            <w:tcW w:w="2977" w:type="dxa"/>
            <w:gridSpan w:val="2"/>
          </w:tcPr>
          <w:p w:rsidR="00D0565C" w:rsidRDefault="00286FC9" w:rsidP="00DA11D8">
            <w:pPr>
              <w:pStyle w:val="Tabletext"/>
            </w:pPr>
            <w:r w:rsidRPr="00286FC9">
              <w:t>University of the Sunshine Coast (4%)</w:t>
            </w:r>
          </w:p>
        </w:tc>
      </w:tr>
      <w:tr w:rsidR="00F71749" w:rsidRPr="00453CF6" w:rsidTr="00DA11D8">
        <w:tc>
          <w:tcPr>
            <w:tcW w:w="2756" w:type="dxa"/>
          </w:tcPr>
          <w:p w:rsidR="00F71749" w:rsidRPr="00C02648" w:rsidRDefault="00286FC9" w:rsidP="00DA11D8">
            <w:pPr>
              <w:pStyle w:val="Tabletext"/>
            </w:pPr>
            <w:r w:rsidRPr="00286FC9">
              <w:t>Edith Cowan University (16%)</w:t>
            </w:r>
          </w:p>
        </w:tc>
        <w:tc>
          <w:tcPr>
            <w:tcW w:w="3056" w:type="dxa"/>
          </w:tcPr>
          <w:p w:rsidR="00F71749" w:rsidRPr="00C02648" w:rsidRDefault="00286FC9" w:rsidP="00DA11D8">
            <w:pPr>
              <w:pStyle w:val="Tabletext"/>
            </w:pPr>
            <w:r w:rsidRPr="00286FC9">
              <w:t>University of Tasmania (11%)</w:t>
            </w:r>
          </w:p>
        </w:tc>
        <w:tc>
          <w:tcPr>
            <w:tcW w:w="2977" w:type="dxa"/>
            <w:gridSpan w:val="2"/>
          </w:tcPr>
          <w:p w:rsidR="00D0565C" w:rsidRDefault="00286FC9" w:rsidP="00DA11D8">
            <w:pPr>
              <w:pStyle w:val="Tabletext"/>
            </w:pPr>
            <w:r w:rsidRPr="00286FC9">
              <w:t>Monash University (4%)</w:t>
            </w:r>
          </w:p>
        </w:tc>
      </w:tr>
      <w:tr w:rsidR="00F71749" w:rsidRPr="00453CF6" w:rsidTr="00DA11D8">
        <w:tc>
          <w:tcPr>
            <w:tcW w:w="2756" w:type="dxa"/>
          </w:tcPr>
          <w:p w:rsidR="00F71749" w:rsidRPr="00C02648" w:rsidRDefault="00286FC9" w:rsidP="00DA11D8">
            <w:pPr>
              <w:pStyle w:val="Tabletext"/>
            </w:pPr>
            <w:r w:rsidRPr="00286FC9">
              <w:t>Deakin University (16%)</w:t>
            </w:r>
          </w:p>
        </w:tc>
        <w:tc>
          <w:tcPr>
            <w:tcW w:w="3056" w:type="dxa"/>
          </w:tcPr>
          <w:p w:rsidR="00F71749" w:rsidRPr="00C02648" w:rsidRDefault="00286FC9" w:rsidP="00DA11D8">
            <w:pPr>
              <w:pStyle w:val="Tabletext"/>
            </w:pPr>
            <w:r w:rsidRPr="00286FC9">
              <w:t>Griffith University (11%)</w:t>
            </w:r>
          </w:p>
        </w:tc>
        <w:tc>
          <w:tcPr>
            <w:tcW w:w="2977" w:type="dxa"/>
            <w:gridSpan w:val="2"/>
          </w:tcPr>
          <w:p w:rsidR="00D0565C" w:rsidRDefault="00286FC9" w:rsidP="00DA11D8">
            <w:pPr>
              <w:pStyle w:val="Tabletext"/>
            </w:pPr>
            <w:r w:rsidRPr="00286FC9">
              <w:t>Macquarie University (3%)</w:t>
            </w:r>
          </w:p>
        </w:tc>
      </w:tr>
      <w:tr w:rsidR="00F71749" w:rsidRPr="00453CF6" w:rsidTr="00DA11D8">
        <w:tc>
          <w:tcPr>
            <w:tcW w:w="2756" w:type="dxa"/>
          </w:tcPr>
          <w:p w:rsidR="00F71749" w:rsidRPr="00C02648" w:rsidRDefault="00F71749" w:rsidP="00DA11D8">
            <w:pPr>
              <w:pStyle w:val="Tabletext"/>
            </w:pPr>
          </w:p>
        </w:tc>
        <w:tc>
          <w:tcPr>
            <w:tcW w:w="3056" w:type="dxa"/>
          </w:tcPr>
          <w:p w:rsidR="00F71749" w:rsidRPr="00C02648" w:rsidRDefault="00286FC9" w:rsidP="00DA11D8">
            <w:pPr>
              <w:pStyle w:val="Tabletext"/>
            </w:pPr>
            <w:r w:rsidRPr="00286FC9">
              <w:t>University of Wollongong (11%)</w:t>
            </w:r>
          </w:p>
        </w:tc>
        <w:tc>
          <w:tcPr>
            <w:tcW w:w="2977" w:type="dxa"/>
            <w:gridSpan w:val="2"/>
          </w:tcPr>
          <w:p w:rsidR="00D0565C" w:rsidRDefault="00286FC9" w:rsidP="00DA11D8">
            <w:pPr>
              <w:pStyle w:val="Tabletext"/>
            </w:pPr>
            <w:r w:rsidRPr="00286FC9">
              <w:t>Curtin University (3%)</w:t>
            </w:r>
          </w:p>
        </w:tc>
      </w:tr>
      <w:tr w:rsidR="00F71749" w:rsidRPr="00453CF6" w:rsidTr="00DA11D8">
        <w:tc>
          <w:tcPr>
            <w:tcW w:w="2756" w:type="dxa"/>
          </w:tcPr>
          <w:p w:rsidR="00F71749" w:rsidRPr="00C02648" w:rsidRDefault="00F71749" w:rsidP="00DA11D8">
            <w:pPr>
              <w:pStyle w:val="Tabletext"/>
            </w:pPr>
          </w:p>
        </w:tc>
        <w:tc>
          <w:tcPr>
            <w:tcW w:w="3056" w:type="dxa"/>
          </w:tcPr>
          <w:p w:rsidR="00F71749" w:rsidRPr="00C02648" w:rsidRDefault="00286FC9" w:rsidP="00DA11D8">
            <w:pPr>
              <w:pStyle w:val="Tabletext"/>
            </w:pPr>
            <w:r w:rsidRPr="00286FC9">
              <w:t>Central Queensland University (11%)</w:t>
            </w:r>
          </w:p>
        </w:tc>
        <w:tc>
          <w:tcPr>
            <w:tcW w:w="2977" w:type="dxa"/>
            <w:gridSpan w:val="2"/>
          </w:tcPr>
          <w:p w:rsidR="00D0565C" w:rsidRDefault="00286FC9" w:rsidP="00DA11D8">
            <w:pPr>
              <w:pStyle w:val="Tabletext"/>
            </w:pPr>
            <w:r w:rsidRPr="00286FC9">
              <w:t>University of New South Wales (3%)</w:t>
            </w:r>
          </w:p>
        </w:tc>
      </w:tr>
      <w:tr w:rsidR="00F71749" w:rsidRPr="00453CF6" w:rsidTr="00DA11D8">
        <w:tc>
          <w:tcPr>
            <w:tcW w:w="2756" w:type="dxa"/>
          </w:tcPr>
          <w:p w:rsidR="00F71749" w:rsidRPr="00C02648" w:rsidRDefault="00F71749" w:rsidP="00DA11D8">
            <w:pPr>
              <w:pStyle w:val="Tabletext"/>
            </w:pPr>
          </w:p>
        </w:tc>
        <w:tc>
          <w:tcPr>
            <w:tcW w:w="3056" w:type="dxa"/>
          </w:tcPr>
          <w:p w:rsidR="00F71749" w:rsidRPr="00C02648" w:rsidRDefault="00286FC9" w:rsidP="00DA11D8">
            <w:pPr>
              <w:pStyle w:val="Tabletext"/>
            </w:pPr>
            <w:r w:rsidRPr="00286FC9">
              <w:t>Murdoch University (10%</w:t>
            </w:r>
            <w:r w:rsidR="002C5652">
              <w:t>)</w:t>
            </w:r>
          </w:p>
        </w:tc>
        <w:tc>
          <w:tcPr>
            <w:tcW w:w="2977" w:type="dxa"/>
            <w:gridSpan w:val="2"/>
          </w:tcPr>
          <w:p w:rsidR="00D0565C" w:rsidRDefault="00286FC9" w:rsidP="00DA11D8">
            <w:pPr>
              <w:pStyle w:val="Tabletext"/>
            </w:pPr>
            <w:r w:rsidRPr="00286FC9">
              <w:t>University of Sydney (2%)</w:t>
            </w:r>
          </w:p>
        </w:tc>
      </w:tr>
      <w:tr w:rsidR="00F71749" w:rsidRPr="00453CF6" w:rsidTr="00DA11D8">
        <w:tc>
          <w:tcPr>
            <w:tcW w:w="2756" w:type="dxa"/>
          </w:tcPr>
          <w:p w:rsidR="00F71749" w:rsidRPr="00C02648" w:rsidRDefault="00F71749" w:rsidP="00DA11D8">
            <w:pPr>
              <w:pStyle w:val="Tabletext"/>
            </w:pPr>
          </w:p>
        </w:tc>
        <w:tc>
          <w:tcPr>
            <w:tcW w:w="3056" w:type="dxa"/>
          </w:tcPr>
          <w:p w:rsidR="00F71749" w:rsidRPr="00C02648" w:rsidRDefault="00286FC9" w:rsidP="00DA11D8">
            <w:pPr>
              <w:pStyle w:val="Tabletext"/>
            </w:pPr>
            <w:r w:rsidRPr="00286FC9">
              <w:t>Australian Catholic University (10%)</w:t>
            </w:r>
          </w:p>
        </w:tc>
        <w:tc>
          <w:tcPr>
            <w:tcW w:w="2977" w:type="dxa"/>
            <w:gridSpan w:val="2"/>
          </w:tcPr>
          <w:p w:rsidR="00D0565C" w:rsidRDefault="00286FC9" w:rsidP="00DA11D8">
            <w:pPr>
              <w:pStyle w:val="Tabletext"/>
            </w:pPr>
            <w:r w:rsidRPr="00286FC9">
              <w:t>University of Adelaide (1%)</w:t>
            </w:r>
          </w:p>
        </w:tc>
      </w:tr>
      <w:tr w:rsidR="00F71749" w:rsidRPr="00453CF6" w:rsidTr="00DA11D8">
        <w:tc>
          <w:tcPr>
            <w:tcW w:w="2756" w:type="dxa"/>
          </w:tcPr>
          <w:p w:rsidR="00F71749" w:rsidRPr="00C02648" w:rsidRDefault="00F71749" w:rsidP="00DA11D8">
            <w:pPr>
              <w:pStyle w:val="Tabletext"/>
            </w:pPr>
          </w:p>
        </w:tc>
        <w:tc>
          <w:tcPr>
            <w:tcW w:w="3056" w:type="dxa"/>
          </w:tcPr>
          <w:p w:rsidR="00F71749" w:rsidRPr="00C02648" w:rsidRDefault="00286FC9" w:rsidP="00DA11D8">
            <w:pPr>
              <w:pStyle w:val="Tabletext"/>
            </w:pPr>
            <w:r w:rsidRPr="00286FC9">
              <w:t>University of Newcastle (10%)</w:t>
            </w:r>
          </w:p>
        </w:tc>
        <w:tc>
          <w:tcPr>
            <w:tcW w:w="2977" w:type="dxa"/>
            <w:gridSpan w:val="2"/>
          </w:tcPr>
          <w:p w:rsidR="00D0565C" w:rsidRDefault="00286FC9" w:rsidP="00DA11D8">
            <w:pPr>
              <w:pStyle w:val="Tabletext"/>
            </w:pPr>
            <w:r w:rsidRPr="00286FC9">
              <w:t>University of Melbourne (1%)</w:t>
            </w:r>
          </w:p>
        </w:tc>
      </w:tr>
      <w:tr w:rsidR="00F71749" w:rsidRPr="00453CF6" w:rsidTr="00DA11D8">
        <w:tc>
          <w:tcPr>
            <w:tcW w:w="2756" w:type="dxa"/>
          </w:tcPr>
          <w:p w:rsidR="00F71749" w:rsidRPr="00C02648" w:rsidRDefault="00F71749" w:rsidP="00DA11D8">
            <w:pPr>
              <w:pStyle w:val="Tabletext"/>
            </w:pPr>
          </w:p>
        </w:tc>
        <w:tc>
          <w:tcPr>
            <w:tcW w:w="3056" w:type="dxa"/>
          </w:tcPr>
          <w:p w:rsidR="00F71749" w:rsidRPr="00C02648" w:rsidRDefault="00286FC9" w:rsidP="00DA11D8">
            <w:pPr>
              <w:pStyle w:val="Tabletext"/>
            </w:pPr>
            <w:r w:rsidRPr="00286FC9">
              <w:t>University of New England (9%)</w:t>
            </w:r>
          </w:p>
        </w:tc>
        <w:tc>
          <w:tcPr>
            <w:tcW w:w="2977" w:type="dxa"/>
            <w:gridSpan w:val="2"/>
          </w:tcPr>
          <w:p w:rsidR="00D0565C" w:rsidRDefault="00286FC9" w:rsidP="00DA11D8">
            <w:pPr>
              <w:pStyle w:val="Tabletext"/>
            </w:pPr>
            <w:r w:rsidRPr="00286FC9">
              <w:t>University of Queensland (1%)</w:t>
            </w:r>
          </w:p>
        </w:tc>
      </w:tr>
      <w:tr w:rsidR="00F71749" w:rsidRPr="00453CF6" w:rsidTr="00DA11D8">
        <w:tc>
          <w:tcPr>
            <w:tcW w:w="2756" w:type="dxa"/>
          </w:tcPr>
          <w:p w:rsidR="00F71749" w:rsidRPr="00C02648" w:rsidRDefault="00F71749" w:rsidP="00DA11D8">
            <w:pPr>
              <w:pStyle w:val="Tabletext"/>
            </w:pPr>
          </w:p>
        </w:tc>
        <w:tc>
          <w:tcPr>
            <w:tcW w:w="3056" w:type="dxa"/>
          </w:tcPr>
          <w:p w:rsidR="00F71749" w:rsidRPr="00C02648" w:rsidRDefault="00286FC9" w:rsidP="00DA11D8">
            <w:pPr>
              <w:pStyle w:val="Tabletext"/>
            </w:pPr>
            <w:r w:rsidRPr="00286FC9">
              <w:t>Southern Cross University (8%)</w:t>
            </w:r>
          </w:p>
        </w:tc>
        <w:tc>
          <w:tcPr>
            <w:tcW w:w="2977" w:type="dxa"/>
            <w:gridSpan w:val="2"/>
          </w:tcPr>
          <w:p w:rsidR="00D0565C" w:rsidRDefault="00286FC9" w:rsidP="00DA11D8">
            <w:pPr>
              <w:pStyle w:val="Tabletext"/>
            </w:pPr>
            <w:r w:rsidRPr="00286FC9">
              <w:t>University of Western Australia (0%)</w:t>
            </w:r>
          </w:p>
        </w:tc>
      </w:tr>
      <w:tr w:rsidR="00F71749" w:rsidRPr="00453CF6" w:rsidTr="00DA11D8">
        <w:tc>
          <w:tcPr>
            <w:tcW w:w="2756" w:type="dxa"/>
          </w:tcPr>
          <w:p w:rsidR="00F71749" w:rsidRPr="00C02648" w:rsidRDefault="00F71749" w:rsidP="00DA11D8">
            <w:pPr>
              <w:pStyle w:val="Tabletext"/>
            </w:pPr>
          </w:p>
        </w:tc>
        <w:tc>
          <w:tcPr>
            <w:tcW w:w="3056" w:type="dxa"/>
          </w:tcPr>
          <w:p w:rsidR="00F71749" w:rsidRPr="00C02648" w:rsidRDefault="00286FC9" w:rsidP="00DA11D8">
            <w:pPr>
              <w:pStyle w:val="Tabletext"/>
            </w:pPr>
            <w:r w:rsidRPr="00286FC9">
              <w:t>University of Technology, Sydney (8%)</w:t>
            </w:r>
          </w:p>
        </w:tc>
        <w:tc>
          <w:tcPr>
            <w:tcW w:w="2977" w:type="dxa"/>
            <w:gridSpan w:val="2"/>
          </w:tcPr>
          <w:p w:rsidR="00D0565C" w:rsidRDefault="00D0565C" w:rsidP="00DA11D8">
            <w:pPr>
              <w:pStyle w:val="Tabletext"/>
            </w:pPr>
          </w:p>
        </w:tc>
      </w:tr>
      <w:tr w:rsidR="00F71749" w:rsidRPr="00453CF6" w:rsidTr="00730752">
        <w:tc>
          <w:tcPr>
            <w:tcW w:w="2756" w:type="dxa"/>
            <w:tcBorders>
              <w:bottom w:val="single" w:sz="4" w:space="0" w:color="auto"/>
            </w:tcBorders>
          </w:tcPr>
          <w:p w:rsidR="00F71749" w:rsidRPr="00C02648" w:rsidRDefault="00F71749" w:rsidP="00DA11D8">
            <w:pPr>
              <w:pStyle w:val="Tabletext"/>
            </w:pPr>
          </w:p>
        </w:tc>
        <w:tc>
          <w:tcPr>
            <w:tcW w:w="3340" w:type="dxa"/>
            <w:gridSpan w:val="2"/>
            <w:tcBorders>
              <w:bottom w:val="single" w:sz="4" w:space="0" w:color="auto"/>
            </w:tcBorders>
          </w:tcPr>
          <w:p w:rsidR="00F71749" w:rsidRPr="00C02648" w:rsidRDefault="00286FC9" w:rsidP="00DA11D8">
            <w:pPr>
              <w:pStyle w:val="Tabletext"/>
            </w:pPr>
            <w:r w:rsidRPr="00286FC9">
              <w:t>Queensland University of Technology (7%)</w:t>
            </w:r>
          </w:p>
        </w:tc>
        <w:tc>
          <w:tcPr>
            <w:tcW w:w="2693" w:type="dxa"/>
            <w:tcBorders>
              <w:bottom w:val="single" w:sz="4" w:space="0" w:color="auto"/>
            </w:tcBorders>
          </w:tcPr>
          <w:p w:rsidR="00D0565C" w:rsidRDefault="00D0565C" w:rsidP="00DA11D8">
            <w:pPr>
              <w:pStyle w:val="Tabletext"/>
            </w:pPr>
          </w:p>
        </w:tc>
      </w:tr>
    </w:tbl>
    <w:p w:rsidR="00E20700" w:rsidRDefault="00E20700" w:rsidP="00DA11D8">
      <w:pPr>
        <w:pStyle w:val="Textmorebefore"/>
      </w:pPr>
      <w:r>
        <w:t>Cluster 1 contains seven universities</w:t>
      </w:r>
      <w:r w:rsidR="00320053">
        <w:t xml:space="preserve"> </w:t>
      </w:r>
      <w:r w:rsidR="00946901">
        <w:t>with</w:t>
      </w:r>
      <w:r w:rsidR="00320053">
        <w:t xml:space="preserve"> consistently high rates of admission of students on the basis of a VET award in most fields of education where they offer undergraduate programs</w:t>
      </w:r>
      <w:r>
        <w:t xml:space="preserve">. The rate of admission on the basis of a </w:t>
      </w:r>
      <w:r w:rsidRPr="00C81823">
        <w:rPr>
          <w:color w:val="000000" w:themeColor="text1"/>
        </w:rPr>
        <w:t xml:space="preserve">VET </w:t>
      </w:r>
      <w:r>
        <w:rPr>
          <w:color w:val="000000" w:themeColor="text1"/>
        </w:rPr>
        <w:t>award</w:t>
      </w:r>
      <w:r w:rsidRPr="00C81823">
        <w:rPr>
          <w:color w:val="000000" w:themeColor="text1"/>
        </w:rPr>
        <w:t xml:space="preserve"> </w:t>
      </w:r>
      <w:r>
        <w:rPr>
          <w:color w:val="000000" w:themeColor="text1"/>
        </w:rPr>
        <w:t xml:space="preserve">for this cluster </w:t>
      </w:r>
      <w:r w:rsidR="00320053">
        <w:rPr>
          <w:color w:val="000000" w:themeColor="text1"/>
        </w:rPr>
        <w:t>is</w:t>
      </w:r>
      <w:r w:rsidRPr="00C81823">
        <w:rPr>
          <w:color w:val="000000" w:themeColor="text1"/>
        </w:rPr>
        <w:t xml:space="preserve"> </w:t>
      </w:r>
      <w:r>
        <w:rPr>
          <w:color w:val="000000" w:themeColor="text1"/>
        </w:rPr>
        <w:t>19</w:t>
      </w:r>
      <w:r w:rsidR="008134F7">
        <w:t xml:space="preserve">% </w:t>
      </w:r>
      <w:r>
        <w:t xml:space="preserve">compared </w:t>
      </w:r>
      <w:r w:rsidR="00946901">
        <w:t>with</w:t>
      </w:r>
      <w:r>
        <w:t xml:space="preserve"> 10</w:t>
      </w:r>
      <w:r w:rsidR="008134F7">
        <w:t xml:space="preserve">% </w:t>
      </w:r>
      <w:r w:rsidR="00320053">
        <w:t xml:space="preserve">for the sector as a whole. </w:t>
      </w:r>
      <w:r>
        <w:t xml:space="preserve">This cluster contains </w:t>
      </w:r>
      <w:r w:rsidRPr="00D7170F">
        <w:t xml:space="preserve">three </w:t>
      </w:r>
      <w:r>
        <w:t xml:space="preserve">of the five </w:t>
      </w:r>
      <w:r w:rsidRPr="00D7170F">
        <w:t>dual-sector institutions</w:t>
      </w:r>
      <w:r w:rsidR="00946901">
        <w:t xml:space="preserve"> in Australia —</w:t>
      </w:r>
      <w:r>
        <w:t xml:space="preserve"> RMIT University, Swinburne University and Victoria University. However, the institution with the highest rate of admissions on the basis of a VET award is single sector</w:t>
      </w:r>
      <w:r w:rsidR="002C5652">
        <w:t xml:space="preserve"> </w:t>
      </w:r>
      <w:r w:rsidR="00946901">
        <w:t>—</w:t>
      </w:r>
      <w:r>
        <w:t xml:space="preserve"> Charles Sturt University. Four of the seven universities in this cluster are </w:t>
      </w:r>
      <w:r w:rsidRPr="00D7170F">
        <w:t>based in Victoria</w:t>
      </w:r>
      <w:r>
        <w:t>, two in New South Wales and one in Western Australia.</w:t>
      </w:r>
      <w:r w:rsidR="002C5652">
        <w:t xml:space="preserve"> </w:t>
      </w:r>
      <w:r>
        <w:t xml:space="preserve">Cluster 1 institutions enrol </w:t>
      </w:r>
      <w:r w:rsidR="00320053">
        <w:t xml:space="preserve">almost </w:t>
      </w:r>
      <w:r>
        <w:t>2</w:t>
      </w:r>
      <w:r w:rsidR="00320053">
        <w:t>4</w:t>
      </w:r>
      <w:r w:rsidR="008134F7">
        <w:t xml:space="preserve">% </w:t>
      </w:r>
      <w:r>
        <w:t xml:space="preserve">of all undergraduate commencing students. </w:t>
      </w:r>
    </w:p>
    <w:p w:rsidR="00F71749" w:rsidRDefault="00F71749" w:rsidP="00DA11D8">
      <w:pPr>
        <w:pStyle w:val="Text"/>
      </w:pPr>
      <w:r w:rsidRPr="00F71749">
        <w:t>Sixteen universitie</w:t>
      </w:r>
      <w:r w:rsidR="004F70D8">
        <w:t>s are grouped in C</w:t>
      </w:r>
      <w:r w:rsidRPr="00F71749">
        <w:t xml:space="preserve">luster 2. </w:t>
      </w:r>
      <w:r w:rsidR="004F70D8">
        <w:t>Universities in C</w:t>
      </w:r>
      <w:r w:rsidR="00320053">
        <w:t xml:space="preserve">luster 2 also have relatively high rates of admission of VET </w:t>
      </w:r>
      <w:r w:rsidR="00B87FBB">
        <w:t>award holders</w:t>
      </w:r>
      <w:r w:rsidR="00320053">
        <w:t xml:space="preserve"> but the</w:t>
      </w:r>
      <w:r w:rsidR="00BC01B0">
        <w:t>se</w:t>
      </w:r>
      <w:r w:rsidR="00320053">
        <w:t xml:space="preserve"> are not consistently high across all fields of education where the university has undergraduate programs. </w:t>
      </w:r>
      <w:r w:rsidRPr="00F71749">
        <w:t xml:space="preserve">This cluster contains the remaining two dual-sector </w:t>
      </w:r>
      <w:r w:rsidR="00946901">
        <w:t>universities —</w:t>
      </w:r>
      <w:r w:rsidRPr="00F71749">
        <w:t xml:space="preserve"> Ballarat University</w:t>
      </w:r>
      <w:r w:rsidR="00946901">
        <w:t xml:space="preserve"> and Charles Darwin University —</w:t>
      </w:r>
      <w:r w:rsidRPr="00F71749">
        <w:t xml:space="preserve"> but these universities do not have </w:t>
      </w:r>
      <w:r w:rsidRPr="00F71749">
        <w:lastRenderedPageBreak/>
        <w:t>the highest proportion of students admitted on the basis of a VET award</w:t>
      </w:r>
      <w:r w:rsidR="00946901">
        <w:t xml:space="preserve"> within the cluster. Two single-</w:t>
      </w:r>
      <w:r w:rsidRPr="00F71749">
        <w:t>sector institutions</w:t>
      </w:r>
      <w:r w:rsidR="00946901">
        <w:t xml:space="preserve"> —</w:t>
      </w:r>
      <w:r w:rsidRPr="00F71749">
        <w:t xml:space="preserve"> La Trobe University </w:t>
      </w:r>
      <w:r w:rsidR="00946901">
        <w:t>and the University of Canberra —</w:t>
      </w:r>
      <w:r w:rsidRPr="00F71749">
        <w:t xml:space="preserve"> </w:t>
      </w:r>
      <w:r w:rsidR="00EB71BA">
        <w:t>admit</w:t>
      </w:r>
      <w:r w:rsidR="00EB71BA" w:rsidRPr="00F71749">
        <w:t xml:space="preserve"> </w:t>
      </w:r>
      <w:r w:rsidRPr="00F71749">
        <w:t xml:space="preserve">the highest proportion of VET </w:t>
      </w:r>
      <w:r w:rsidR="00B87FBB">
        <w:t>award holders</w:t>
      </w:r>
      <w:r w:rsidR="00BC01B0">
        <w:t xml:space="preserve"> </w:t>
      </w:r>
      <w:r w:rsidRPr="00F71749">
        <w:t>for the cluster. All states and territories are represented in this cluster. The average proportion of undergraduates admitted on the basis of a VET a</w:t>
      </w:r>
      <w:r w:rsidR="004F70D8">
        <w:t>ward in C</w:t>
      </w:r>
      <w:r w:rsidRPr="00F71749">
        <w:t xml:space="preserve">luster 2 is </w:t>
      </w:r>
      <w:r w:rsidR="00A37E39">
        <w:t>10</w:t>
      </w:r>
      <w:r w:rsidR="008134F7">
        <w:t>%</w:t>
      </w:r>
      <w:r w:rsidR="00946901">
        <w:t>,</w:t>
      </w:r>
      <w:r w:rsidR="008134F7">
        <w:t xml:space="preserve"> </w:t>
      </w:r>
      <w:r w:rsidRPr="00F71749">
        <w:t xml:space="preserve">which is </w:t>
      </w:r>
      <w:r w:rsidR="00A37E39">
        <w:t>the same rate as</w:t>
      </w:r>
      <w:r w:rsidRPr="00F71749">
        <w:t xml:space="preserve"> for the sector as a whole (10</w:t>
      </w:r>
      <w:r w:rsidR="001D06C2">
        <w:t>%</w:t>
      </w:r>
      <w:r w:rsidRPr="00F71749">
        <w:t xml:space="preserve">). </w:t>
      </w:r>
      <w:r w:rsidR="004F70D8">
        <w:t>As a group, C</w:t>
      </w:r>
      <w:r w:rsidR="00E54BEC">
        <w:t>luster 2 insti</w:t>
      </w:r>
      <w:r w:rsidR="00E21CCD">
        <w:t xml:space="preserve">tutions cater for </w:t>
      </w:r>
      <w:r w:rsidR="00EA6B28">
        <w:t>38</w:t>
      </w:r>
      <w:r w:rsidR="008134F7">
        <w:t xml:space="preserve">% </w:t>
      </w:r>
      <w:r w:rsidR="00E54BEC">
        <w:t>of all undergraduate commencing students.</w:t>
      </w:r>
    </w:p>
    <w:p w:rsidR="00E9283F" w:rsidRPr="007B4043" w:rsidRDefault="00E9283F" w:rsidP="00DA11D8">
      <w:pPr>
        <w:pStyle w:val="Text"/>
        <w:rPr>
          <w:rFonts w:asciiTheme="minorHAnsi" w:hAnsiTheme="minorHAnsi" w:cstheme="minorHAnsi"/>
        </w:rPr>
      </w:pPr>
      <w:r>
        <w:t>Cluster 3 comprises 14 universities</w:t>
      </w:r>
      <w:r w:rsidR="00EF5F05">
        <w:t xml:space="preserve"> </w:t>
      </w:r>
      <w:r w:rsidR="00946901">
        <w:t>with</w:t>
      </w:r>
      <w:r w:rsidR="00E21CCD">
        <w:t xml:space="preserve"> consistently low rates of admission of VET </w:t>
      </w:r>
      <w:r w:rsidR="00B87FBB">
        <w:t>award holders</w:t>
      </w:r>
      <w:r w:rsidR="00E21CCD">
        <w:t xml:space="preserve"> in most fields of education. </w:t>
      </w:r>
      <w:r w:rsidR="00C02648">
        <w:t>On average</w:t>
      </w:r>
      <w:r w:rsidR="00E21CCD">
        <w:t>, only 3</w:t>
      </w:r>
      <w:r w:rsidR="008134F7">
        <w:t xml:space="preserve">% </w:t>
      </w:r>
      <w:r>
        <w:t xml:space="preserve">of </w:t>
      </w:r>
      <w:r w:rsidR="00E21CCD">
        <w:t xml:space="preserve">undergraduate commencing </w:t>
      </w:r>
      <w:r>
        <w:t xml:space="preserve">students </w:t>
      </w:r>
      <w:r w:rsidR="00E21CCD">
        <w:t xml:space="preserve">are admitted </w:t>
      </w:r>
      <w:r w:rsidR="004F70D8">
        <w:t>to C</w:t>
      </w:r>
      <w:r w:rsidR="006F62C4">
        <w:t xml:space="preserve">luster 3 universities </w:t>
      </w:r>
      <w:r>
        <w:t>on the basis of a VET award. All states and territories</w:t>
      </w:r>
      <w:r w:rsidR="00BF12F1">
        <w:t xml:space="preserve"> </w:t>
      </w:r>
      <w:r>
        <w:t>except Tasmania and the Northern Territory are represented in this group. Wes</w:t>
      </w:r>
      <w:r w:rsidR="00946901">
        <w:t>tern Australia is somewhat over</w:t>
      </w:r>
      <w:r>
        <w:t>represented</w:t>
      </w:r>
      <w:r w:rsidR="00730752">
        <w:t>,</w:t>
      </w:r>
      <w:r>
        <w:t xml:space="preserve"> wit</w:t>
      </w:r>
      <w:r w:rsidR="00946901">
        <w:t>h its two largest universities —</w:t>
      </w:r>
      <w:r>
        <w:t xml:space="preserve"> Curtin University and the U</w:t>
      </w:r>
      <w:r w:rsidR="00946901">
        <w:t>niver</w:t>
      </w:r>
      <w:r w:rsidR="004F70D8">
        <w:t>sity of Western Australia — in C</w:t>
      </w:r>
      <w:r>
        <w:t>luster 3.</w:t>
      </w:r>
      <w:r w:rsidR="00EA6B28">
        <w:t xml:space="preserve"> Cluster 3 institutions enrol 3</w:t>
      </w:r>
      <w:r w:rsidR="00936AB5">
        <w:t>8</w:t>
      </w:r>
      <w:r w:rsidR="008134F7">
        <w:t xml:space="preserve">% </w:t>
      </w:r>
      <w:r w:rsidR="00EA6B28">
        <w:t>of all commencing undergraduate students.</w:t>
      </w:r>
      <w:r w:rsidR="00837079">
        <w:t xml:space="preserve"> </w:t>
      </w:r>
    </w:p>
    <w:p w:rsidR="002D1FC4" w:rsidRDefault="002D1FC4" w:rsidP="002D1FC4">
      <w:pPr>
        <w:pStyle w:val="Heading2"/>
      </w:pPr>
      <w:bookmarkStart w:id="43" w:name="_Toc367450618"/>
      <w:r>
        <w:t>Clusters of broad fields of education</w:t>
      </w:r>
      <w:bookmarkEnd w:id="43"/>
      <w:r>
        <w:t xml:space="preserve"> </w:t>
      </w:r>
    </w:p>
    <w:p w:rsidR="002D1FC4" w:rsidRDefault="00936AB5" w:rsidP="00DA11D8">
      <w:pPr>
        <w:pStyle w:val="Text"/>
      </w:pPr>
      <w:r>
        <w:t xml:space="preserve">To </w:t>
      </w:r>
      <w:r w:rsidR="00C02648">
        <w:t>further understand</w:t>
      </w:r>
      <w:r>
        <w:t xml:space="preserve"> the variation in admission rates by field of education, we performed a </w:t>
      </w:r>
      <w:r w:rsidR="00C02648">
        <w:t xml:space="preserve">second </w:t>
      </w:r>
      <w:r>
        <w:t>cluster analysis on</w:t>
      </w:r>
      <w:r w:rsidR="002D1FC4">
        <w:t xml:space="preserve"> the </w:t>
      </w:r>
      <w:r w:rsidR="00946901">
        <w:t>ten</w:t>
      </w:r>
      <w:r w:rsidR="002D1FC4">
        <w:t xml:space="preserve"> </w:t>
      </w:r>
      <w:r>
        <w:t xml:space="preserve">broad </w:t>
      </w:r>
      <w:r w:rsidR="002D1FC4">
        <w:t xml:space="preserve">fields of education </w:t>
      </w:r>
      <w:r>
        <w:t xml:space="preserve">in which </w:t>
      </w:r>
      <w:r w:rsidR="0073173B">
        <w:t>Australian universities offer undergraduate programs</w:t>
      </w:r>
      <w:r w:rsidR="00946901">
        <w:t>, as shown in t</w:t>
      </w:r>
      <w:r w:rsidR="00596468">
        <w:t>able 4</w:t>
      </w:r>
      <w:r w:rsidR="002D1FC4">
        <w:t>.</w:t>
      </w:r>
      <w:r w:rsidR="001B0D23">
        <w:t xml:space="preserve"> </w:t>
      </w:r>
    </w:p>
    <w:p w:rsidR="002D1FC4" w:rsidRDefault="002D1FC4" w:rsidP="002D1FC4">
      <w:pPr>
        <w:pStyle w:val="tabletitle"/>
      </w:pPr>
      <w:bookmarkStart w:id="44" w:name="_Toc364688854"/>
      <w:r>
        <w:t xml:space="preserve">Table </w:t>
      </w:r>
      <w:r w:rsidR="0073173B">
        <w:t>4</w:t>
      </w:r>
      <w:r>
        <w:tab/>
        <w:t>Clusters o</w:t>
      </w:r>
      <w:r w:rsidR="00946901">
        <w:t xml:space="preserve">f broad field of </w:t>
      </w:r>
      <w:r w:rsidR="007B3C2A">
        <w:t>education,</w:t>
      </w:r>
      <w:r>
        <w:t xml:space="preserve"> Australia</w:t>
      </w:r>
      <w:r w:rsidR="00946901">
        <w:t>,</w:t>
      </w:r>
      <w:r>
        <w:t xml:space="preserve"> 2010</w:t>
      </w:r>
      <w:bookmarkEnd w:id="44"/>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0"/>
        <w:gridCol w:w="4447"/>
        <w:gridCol w:w="3402"/>
      </w:tblGrid>
      <w:tr w:rsidR="002D1FC4" w:rsidRPr="000B72D6" w:rsidTr="009230BC">
        <w:tc>
          <w:tcPr>
            <w:tcW w:w="940" w:type="dxa"/>
            <w:tcBorders>
              <w:top w:val="single" w:sz="4" w:space="0" w:color="auto"/>
              <w:bottom w:val="single" w:sz="4" w:space="0" w:color="auto"/>
            </w:tcBorders>
          </w:tcPr>
          <w:p w:rsidR="002D1FC4" w:rsidRPr="000B72D6" w:rsidRDefault="002D1FC4" w:rsidP="00DA11D8">
            <w:pPr>
              <w:pStyle w:val="Tablehead1"/>
            </w:pPr>
          </w:p>
        </w:tc>
        <w:tc>
          <w:tcPr>
            <w:tcW w:w="4447" w:type="dxa"/>
            <w:tcBorders>
              <w:top w:val="single" w:sz="4" w:space="0" w:color="auto"/>
              <w:bottom w:val="single" w:sz="4" w:space="0" w:color="auto"/>
            </w:tcBorders>
          </w:tcPr>
          <w:p w:rsidR="002D1FC4" w:rsidRPr="000B72D6" w:rsidRDefault="002D1FC4" w:rsidP="00DA11D8">
            <w:pPr>
              <w:pStyle w:val="Tablehead1"/>
            </w:pPr>
            <w:r w:rsidRPr="000B72D6">
              <w:t xml:space="preserve">Broad </w:t>
            </w:r>
            <w:r w:rsidR="00946901" w:rsidRPr="000B72D6">
              <w:t>f</w:t>
            </w:r>
            <w:r w:rsidR="00946901">
              <w:t xml:space="preserve">ield of education </w:t>
            </w:r>
          </w:p>
        </w:tc>
        <w:tc>
          <w:tcPr>
            <w:tcW w:w="3402" w:type="dxa"/>
            <w:tcBorders>
              <w:top w:val="single" w:sz="4" w:space="0" w:color="auto"/>
              <w:bottom w:val="single" w:sz="4" w:space="0" w:color="auto"/>
            </w:tcBorders>
          </w:tcPr>
          <w:p w:rsidR="002D1FC4" w:rsidRPr="000B72D6" w:rsidRDefault="0073173B" w:rsidP="00DA11D8">
            <w:pPr>
              <w:pStyle w:val="Tablehead1"/>
            </w:pPr>
            <w:r>
              <w:t>Admissions</w:t>
            </w:r>
            <w:r w:rsidR="002D1FC4" w:rsidRPr="000B72D6">
              <w:t xml:space="preserve"> on basis of VET</w:t>
            </w:r>
            <w:r w:rsidR="002D1FC4">
              <w:t xml:space="preserve"> award </w:t>
            </w:r>
            <w:r w:rsidR="009230BC">
              <w:t>(%)</w:t>
            </w:r>
          </w:p>
        </w:tc>
      </w:tr>
      <w:tr w:rsidR="002D1FC4" w:rsidRPr="000B72D6" w:rsidTr="009230BC">
        <w:tc>
          <w:tcPr>
            <w:tcW w:w="940" w:type="dxa"/>
            <w:tcBorders>
              <w:top w:val="single" w:sz="4" w:space="0" w:color="auto"/>
              <w:bottom w:val="dashed" w:sz="4" w:space="0" w:color="auto"/>
            </w:tcBorders>
          </w:tcPr>
          <w:p w:rsidR="002D1FC4" w:rsidRPr="00C02648" w:rsidRDefault="00286FC9" w:rsidP="00DA11D8">
            <w:pPr>
              <w:pStyle w:val="Tabletext"/>
            </w:pPr>
            <w:r w:rsidRPr="00286FC9">
              <w:t>Cluster A</w:t>
            </w:r>
          </w:p>
        </w:tc>
        <w:tc>
          <w:tcPr>
            <w:tcW w:w="4447" w:type="dxa"/>
            <w:tcBorders>
              <w:top w:val="single" w:sz="4" w:space="0" w:color="auto"/>
              <w:bottom w:val="dashed" w:sz="4" w:space="0" w:color="auto"/>
            </w:tcBorders>
          </w:tcPr>
          <w:p w:rsidR="002D1FC4" w:rsidRPr="00C02648" w:rsidRDefault="00946901" w:rsidP="00DA11D8">
            <w:pPr>
              <w:pStyle w:val="Tabletext"/>
            </w:pPr>
            <w:r>
              <w:t>08 - Management and c</w:t>
            </w:r>
            <w:r w:rsidR="00286FC9" w:rsidRPr="00286FC9">
              <w:t>ommerce (13%)</w:t>
            </w:r>
          </w:p>
          <w:p w:rsidR="002D1FC4" w:rsidRPr="00C02648" w:rsidRDefault="00946901" w:rsidP="00DA11D8">
            <w:pPr>
              <w:pStyle w:val="Tabletext"/>
            </w:pPr>
            <w:r>
              <w:t>10 - Creative a</w:t>
            </w:r>
            <w:r w:rsidR="00C71914">
              <w:t>rts (</w:t>
            </w:r>
            <w:r w:rsidR="00286FC9" w:rsidRPr="00286FC9">
              <w:t>8%)</w:t>
            </w:r>
          </w:p>
          <w:p w:rsidR="002D1FC4" w:rsidRPr="00C02648" w:rsidRDefault="00946901" w:rsidP="00DA11D8">
            <w:pPr>
              <w:pStyle w:val="Tabletext"/>
            </w:pPr>
            <w:r>
              <w:t>06 -</w:t>
            </w:r>
            <w:r w:rsidR="00286FC9" w:rsidRPr="00286FC9">
              <w:t xml:space="preserve"> Health (12%)</w:t>
            </w:r>
          </w:p>
        </w:tc>
        <w:tc>
          <w:tcPr>
            <w:tcW w:w="3402" w:type="dxa"/>
            <w:tcBorders>
              <w:top w:val="single" w:sz="4" w:space="0" w:color="auto"/>
              <w:bottom w:val="dashed" w:sz="4" w:space="0" w:color="auto"/>
            </w:tcBorders>
          </w:tcPr>
          <w:p w:rsidR="002D1FC4" w:rsidRPr="00C02648" w:rsidRDefault="00286FC9" w:rsidP="009230BC">
            <w:pPr>
              <w:pStyle w:val="Tabletext"/>
              <w:tabs>
                <w:tab w:val="decimal" w:pos="1593"/>
              </w:tabs>
            </w:pPr>
            <w:r w:rsidRPr="00286FC9">
              <w:t>12</w:t>
            </w:r>
          </w:p>
        </w:tc>
      </w:tr>
      <w:tr w:rsidR="002D1FC4" w:rsidRPr="000B72D6" w:rsidTr="009230BC">
        <w:tc>
          <w:tcPr>
            <w:tcW w:w="940" w:type="dxa"/>
            <w:tcBorders>
              <w:top w:val="dashed" w:sz="4" w:space="0" w:color="auto"/>
              <w:bottom w:val="dashed" w:sz="4" w:space="0" w:color="auto"/>
            </w:tcBorders>
          </w:tcPr>
          <w:p w:rsidR="002D1FC4" w:rsidRPr="00C02648" w:rsidRDefault="00286FC9" w:rsidP="00DA11D8">
            <w:pPr>
              <w:pStyle w:val="Tabletext"/>
            </w:pPr>
            <w:r w:rsidRPr="00286FC9">
              <w:t>Outliers</w:t>
            </w:r>
          </w:p>
        </w:tc>
        <w:tc>
          <w:tcPr>
            <w:tcW w:w="4447" w:type="dxa"/>
            <w:tcBorders>
              <w:top w:val="dashed" w:sz="4" w:space="0" w:color="auto"/>
              <w:bottom w:val="dashed" w:sz="4" w:space="0" w:color="auto"/>
            </w:tcBorders>
          </w:tcPr>
          <w:p w:rsidR="002D1FC4" w:rsidRPr="00C02648" w:rsidRDefault="00946901" w:rsidP="00DA11D8">
            <w:pPr>
              <w:pStyle w:val="Tabletext"/>
            </w:pPr>
            <w:r>
              <w:t>07 -</w:t>
            </w:r>
            <w:r w:rsidR="00286FC9" w:rsidRPr="00286FC9">
              <w:t xml:space="preserve"> Education (15%)</w:t>
            </w:r>
          </w:p>
          <w:p w:rsidR="002D1FC4" w:rsidRPr="00C02648" w:rsidRDefault="00946901" w:rsidP="00DA11D8">
            <w:pPr>
              <w:pStyle w:val="Tabletext"/>
            </w:pPr>
            <w:r>
              <w:t>02 - Information t</w:t>
            </w:r>
            <w:r w:rsidR="00286FC9" w:rsidRPr="00286FC9">
              <w:t>echnology (14%)</w:t>
            </w:r>
          </w:p>
        </w:tc>
        <w:tc>
          <w:tcPr>
            <w:tcW w:w="3402" w:type="dxa"/>
            <w:tcBorders>
              <w:top w:val="dashed" w:sz="4" w:space="0" w:color="auto"/>
              <w:bottom w:val="dashed" w:sz="4" w:space="0" w:color="auto"/>
            </w:tcBorders>
          </w:tcPr>
          <w:p w:rsidR="002D1FC4" w:rsidRPr="00C02648" w:rsidRDefault="00286FC9" w:rsidP="009230BC">
            <w:pPr>
              <w:pStyle w:val="Tabletext"/>
              <w:tabs>
                <w:tab w:val="decimal" w:pos="1593"/>
              </w:tabs>
            </w:pPr>
            <w:r w:rsidRPr="00286FC9">
              <w:t>15</w:t>
            </w:r>
          </w:p>
        </w:tc>
      </w:tr>
      <w:tr w:rsidR="002D1FC4" w:rsidRPr="000B72D6" w:rsidTr="009230BC">
        <w:tc>
          <w:tcPr>
            <w:tcW w:w="940" w:type="dxa"/>
            <w:tcBorders>
              <w:top w:val="dashed" w:sz="4" w:space="0" w:color="auto"/>
              <w:bottom w:val="dashed" w:sz="4" w:space="0" w:color="auto"/>
            </w:tcBorders>
          </w:tcPr>
          <w:p w:rsidR="002D1FC4" w:rsidRPr="00C02648" w:rsidRDefault="00286FC9" w:rsidP="00DA11D8">
            <w:pPr>
              <w:pStyle w:val="Tabletext"/>
            </w:pPr>
            <w:r w:rsidRPr="00286FC9">
              <w:t>Cluster B</w:t>
            </w:r>
          </w:p>
        </w:tc>
        <w:tc>
          <w:tcPr>
            <w:tcW w:w="4447" w:type="dxa"/>
            <w:tcBorders>
              <w:top w:val="dashed" w:sz="4" w:space="0" w:color="auto"/>
              <w:bottom w:val="dashed" w:sz="4" w:space="0" w:color="auto"/>
            </w:tcBorders>
          </w:tcPr>
          <w:p w:rsidR="002D1FC4" w:rsidRPr="00C02648" w:rsidRDefault="00946901" w:rsidP="00DA11D8">
            <w:pPr>
              <w:pStyle w:val="Tabletext"/>
            </w:pPr>
            <w:r>
              <w:t xml:space="preserve">03 - </w:t>
            </w:r>
            <w:r w:rsidR="00286FC9" w:rsidRPr="00286FC9">
              <w:t xml:space="preserve">Engineering and </w:t>
            </w:r>
            <w:r w:rsidRPr="00286FC9">
              <w:t xml:space="preserve">related technologies </w:t>
            </w:r>
            <w:r w:rsidR="00286FC9" w:rsidRPr="00286FC9">
              <w:t>(7%)</w:t>
            </w:r>
          </w:p>
          <w:p w:rsidR="002D1FC4" w:rsidRPr="00C02648" w:rsidRDefault="00946901" w:rsidP="00DA11D8">
            <w:pPr>
              <w:pStyle w:val="Tabletext"/>
            </w:pPr>
            <w:r>
              <w:t>04 - Architecture and b</w:t>
            </w:r>
            <w:r w:rsidR="00286FC9" w:rsidRPr="00286FC9">
              <w:t>uilding (10%)</w:t>
            </w:r>
          </w:p>
        </w:tc>
        <w:tc>
          <w:tcPr>
            <w:tcW w:w="3402" w:type="dxa"/>
            <w:tcBorders>
              <w:top w:val="dashed" w:sz="4" w:space="0" w:color="auto"/>
              <w:bottom w:val="dashed" w:sz="4" w:space="0" w:color="auto"/>
            </w:tcBorders>
          </w:tcPr>
          <w:p w:rsidR="002D1FC4" w:rsidRPr="00C02648" w:rsidRDefault="00286FC9" w:rsidP="009230BC">
            <w:pPr>
              <w:pStyle w:val="Tabletext"/>
              <w:tabs>
                <w:tab w:val="decimal" w:pos="1593"/>
              </w:tabs>
            </w:pPr>
            <w:r w:rsidRPr="00286FC9">
              <w:t>8</w:t>
            </w:r>
          </w:p>
        </w:tc>
      </w:tr>
      <w:tr w:rsidR="002D1FC4" w:rsidRPr="000B72D6" w:rsidTr="009230BC">
        <w:tc>
          <w:tcPr>
            <w:tcW w:w="940" w:type="dxa"/>
            <w:tcBorders>
              <w:top w:val="dashed" w:sz="4" w:space="0" w:color="auto"/>
              <w:bottom w:val="single" w:sz="4" w:space="0" w:color="auto"/>
            </w:tcBorders>
          </w:tcPr>
          <w:p w:rsidR="002D1FC4" w:rsidRPr="00C02648" w:rsidRDefault="00286FC9" w:rsidP="00DA11D8">
            <w:pPr>
              <w:pStyle w:val="Tabletext"/>
            </w:pPr>
            <w:r w:rsidRPr="00286FC9">
              <w:t>Cluster C</w:t>
            </w:r>
          </w:p>
        </w:tc>
        <w:tc>
          <w:tcPr>
            <w:tcW w:w="4447" w:type="dxa"/>
            <w:tcBorders>
              <w:top w:val="dashed" w:sz="4" w:space="0" w:color="auto"/>
              <w:bottom w:val="single" w:sz="4" w:space="0" w:color="auto"/>
            </w:tcBorders>
          </w:tcPr>
          <w:p w:rsidR="002D1FC4" w:rsidRPr="00C02648" w:rsidRDefault="00946901" w:rsidP="00DA11D8">
            <w:pPr>
              <w:pStyle w:val="Tabletext"/>
            </w:pPr>
            <w:r>
              <w:t>05 -</w:t>
            </w:r>
            <w:r w:rsidR="00286FC9" w:rsidRPr="00286FC9">
              <w:t xml:space="preserve"> Agriculture, </w:t>
            </w:r>
            <w:r w:rsidRPr="00286FC9">
              <w:t xml:space="preserve">environmental and related studies </w:t>
            </w:r>
            <w:r w:rsidR="00286FC9" w:rsidRPr="00286FC9">
              <w:t>(6%)</w:t>
            </w:r>
          </w:p>
          <w:p w:rsidR="002D1FC4" w:rsidRPr="00C02648" w:rsidRDefault="003B3EB5" w:rsidP="00DA11D8">
            <w:pPr>
              <w:pStyle w:val="Tabletext"/>
            </w:pPr>
            <w:r>
              <w:t>09 -</w:t>
            </w:r>
            <w:r w:rsidR="00286FC9" w:rsidRPr="00286FC9">
              <w:t xml:space="preserve"> Society and </w:t>
            </w:r>
            <w:r w:rsidRPr="00286FC9">
              <w:t>cultur</w:t>
            </w:r>
            <w:r w:rsidR="00286FC9" w:rsidRPr="00286FC9">
              <w:t>e (8%)</w:t>
            </w:r>
          </w:p>
          <w:p w:rsidR="002D1FC4" w:rsidRPr="00C02648" w:rsidRDefault="003B3EB5" w:rsidP="00DA11D8">
            <w:pPr>
              <w:pStyle w:val="Tabletext"/>
            </w:pPr>
            <w:r>
              <w:t>01 -</w:t>
            </w:r>
            <w:r w:rsidR="00286FC9" w:rsidRPr="00286FC9">
              <w:t xml:space="preserve"> Natural and </w:t>
            </w:r>
            <w:r w:rsidRPr="00286FC9">
              <w:t xml:space="preserve">physical sciences </w:t>
            </w:r>
            <w:r w:rsidR="00286FC9" w:rsidRPr="00286FC9">
              <w:t>(4%)</w:t>
            </w:r>
          </w:p>
        </w:tc>
        <w:tc>
          <w:tcPr>
            <w:tcW w:w="3402" w:type="dxa"/>
            <w:tcBorders>
              <w:top w:val="dashed" w:sz="4" w:space="0" w:color="auto"/>
              <w:bottom w:val="single" w:sz="4" w:space="0" w:color="auto"/>
            </w:tcBorders>
          </w:tcPr>
          <w:p w:rsidR="002D1FC4" w:rsidRPr="00C02648" w:rsidRDefault="00286FC9" w:rsidP="009230BC">
            <w:pPr>
              <w:pStyle w:val="Tabletext"/>
              <w:tabs>
                <w:tab w:val="decimal" w:pos="1593"/>
              </w:tabs>
            </w:pPr>
            <w:r w:rsidRPr="00286FC9">
              <w:t>7</w:t>
            </w:r>
          </w:p>
        </w:tc>
      </w:tr>
    </w:tbl>
    <w:p w:rsidR="00596468" w:rsidRDefault="00596468" w:rsidP="00DA11D8">
      <w:pPr>
        <w:pStyle w:val="Textmorebefore"/>
      </w:pPr>
      <w:r>
        <w:t xml:space="preserve">This clustering procedure grouped the </w:t>
      </w:r>
      <w:r w:rsidR="003B3EB5">
        <w:t>ten fields of education</w:t>
      </w:r>
      <w:r>
        <w:t xml:space="preserve"> into th</w:t>
      </w:r>
      <w:r w:rsidRPr="007608DE">
        <w:t xml:space="preserve">ree </w:t>
      </w:r>
      <w:r>
        <w:t>clusters of FOEs</w:t>
      </w:r>
      <w:r w:rsidRPr="007608DE">
        <w:t xml:space="preserve"> and two outliers</w:t>
      </w:r>
      <w:r w:rsidR="004F70D8">
        <w:t>.</w:t>
      </w:r>
      <w:r>
        <w:rPr>
          <w:rStyle w:val="FootnoteReference"/>
        </w:rPr>
        <w:footnoteReference w:id="6"/>
      </w:r>
      <w:r w:rsidRPr="007608DE">
        <w:t xml:space="preserve"> </w:t>
      </w:r>
      <w:r>
        <w:t>Table 4</w:t>
      </w:r>
      <w:r w:rsidRPr="007608DE">
        <w:t xml:space="preserve"> i</w:t>
      </w:r>
      <w:r>
        <w:t xml:space="preserve">ndicates </w:t>
      </w:r>
      <w:r w:rsidRPr="007608DE">
        <w:t xml:space="preserve">the </w:t>
      </w:r>
      <w:r w:rsidR="003B3EB5">
        <w:t>fields of education</w:t>
      </w:r>
      <w:r w:rsidRPr="007608DE">
        <w:t xml:space="preserve"> </w:t>
      </w:r>
      <w:r>
        <w:t>within each cluster and t</w:t>
      </w:r>
      <w:r w:rsidRPr="007608DE">
        <w:t xml:space="preserve">he admission </w:t>
      </w:r>
      <w:r>
        <w:t xml:space="preserve">rate of VET </w:t>
      </w:r>
      <w:r w:rsidR="00B87FBB">
        <w:t>award holders</w:t>
      </w:r>
      <w:r>
        <w:t xml:space="preserve"> </w:t>
      </w:r>
      <w:r w:rsidRPr="007608DE">
        <w:t xml:space="preserve">for </w:t>
      </w:r>
      <w:r>
        <w:t>the cluster</w:t>
      </w:r>
      <w:r w:rsidRPr="007608DE">
        <w:t>.</w:t>
      </w:r>
      <w:r w:rsidR="004F70D8">
        <w:t xml:space="preserve"> These are labelled ‘Cluster A’, ‘Cluster B’ and ‘C</w:t>
      </w:r>
      <w:r>
        <w:t>luster C’ to avoid confusion with the institutional clusters.</w:t>
      </w:r>
    </w:p>
    <w:p w:rsidR="00EB71BA" w:rsidRDefault="00596468" w:rsidP="00DA11D8">
      <w:pPr>
        <w:pStyle w:val="Text"/>
      </w:pPr>
      <w:r>
        <w:t xml:space="preserve">Cluster A contains </w:t>
      </w:r>
      <w:r w:rsidR="00730752">
        <w:t xml:space="preserve">the </w:t>
      </w:r>
      <w:r>
        <w:t xml:space="preserve">three broad fields of education in which undergraduate programs are offered by all universities. These three </w:t>
      </w:r>
      <w:r w:rsidR="003B3EB5">
        <w:t>fields</w:t>
      </w:r>
      <w:r>
        <w:t xml:space="preserve"> appear to cluster together because the admission rate of VET </w:t>
      </w:r>
      <w:r w:rsidR="00B87FBB">
        <w:t>award holders</w:t>
      </w:r>
      <w:r>
        <w:t xml:space="preserve"> for each of the </w:t>
      </w:r>
      <w:r w:rsidR="003B3EB5">
        <w:t>fields of education</w:t>
      </w:r>
      <w:r>
        <w:t xml:space="preserve"> is relatively consistent in most universities.</w:t>
      </w:r>
      <w:r w:rsidR="00F203A3">
        <w:t xml:space="preserve"> </w:t>
      </w:r>
      <w:r w:rsidR="002D1FC4">
        <w:t xml:space="preserve">Education (FOE 07) and </w:t>
      </w:r>
      <w:r w:rsidR="003B3EB5">
        <w:t xml:space="preserve">information technology </w:t>
      </w:r>
      <w:r w:rsidR="002D1FC4">
        <w:t>(FOE 02) a</w:t>
      </w:r>
      <w:r w:rsidR="007B3C2A">
        <w:t>re outliers and only join with C</w:t>
      </w:r>
      <w:r w:rsidR="002D1FC4">
        <w:t xml:space="preserve">luster </w:t>
      </w:r>
      <w:proofErr w:type="gramStart"/>
      <w:r w:rsidR="002D1FC4">
        <w:t>A</w:t>
      </w:r>
      <w:proofErr w:type="gramEnd"/>
      <w:r w:rsidR="002D1FC4">
        <w:t xml:space="preserve"> after several iterations. These two fields of education </w:t>
      </w:r>
      <w:r w:rsidR="003631AB">
        <w:t>admit</w:t>
      </w:r>
      <w:r w:rsidR="002D1FC4">
        <w:t xml:space="preserve"> the highest percentage of VET </w:t>
      </w:r>
      <w:r w:rsidR="00B87FBB">
        <w:t>award holders</w:t>
      </w:r>
      <w:r w:rsidR="002D1FC4">
        <w:t xml:space="preserve"> overall but most universities have a relatively high proportion of VET award holders in only</w:t>
      </w:r>
      <w:r w:rsidR="003631AB">
        <w:t xml:space="preserve"> one</w:t>
      </w:r>
      <w:r w:rsidR="00C02648">
        <w:t>, not both,</w:t>
      </w:r>
      <w:r w:rsidR="002D1FC4">
        <w:t xml:space="preserve"> of these </w:t>
      </w:r>
      <w:r w:rsidR="004F70D8">
        <w:t>fields of education</w:t>
      </w:r>
      <w:r w:rsidR="002D1FC4">
        <w:t xml:space="preserve">. </w:t>
      </w:r>
    </w:p>
    <w:p w:rsidR="00EB71BA" w:rsidRDefault="002D1FC4" w:rsidP="007105CE">
      <w:pPr>
        <w:pStyle w:val="Text"/>
      </w:pPr>
      <w:r>
        <w:lastRenderedPageBreak/>
        <w:t>Cluster B</w:t>
      </w:r>
      <w:r w:rsidRPr="00354C03">
        <w:t xml:space="preserve"> contains two</w:t>
      </w:r>
      <w:r>
        <w:t xml:space="preserve"> </w:t>
      </w:r>
      <w:r w:rsidR="003B3EB5">
        <w:t>fields of education,</w:t>
      </w:r>
      <w:r>
        <w:t xml:space="preserve"> </w:t>
      </w:r>
      <w:r w:rsidRPr="00354C03">
        <w:t xml:space="preserve">which have moderate </w:t>
      </w:r>
      <w:r>
        <w:t>to low rates of admission on the basis of a VET award</w:t>
      </w:r>
      <w:r w:rsidRPr="00354C03">
        <w:t>.</w:t>
      </w:r>
      <w:r>
        <w:t xml:space="preserve"> </w:t>
      </w:r>
      <w:r w:rsidRPr="00354C03">
        <w:t xml:space="preserve">These two </w:t>
      </w:r>
      <w:r w:rsidR="004F158F">
        <w:t>fields</w:t>
      </w:r>
      <w:r w:rsidRPr="00354C03">
        <w:t xml:space="preserve"> form their own cluster because there are a number of institutions that</w:t>
      </w:r>
      <w:r>
        <w:t xml:space="preserve"> do not admit any VET </w:t>
      </w:r>
      <w:r w:rsidR="00B87FBB">
        <w:t>award holders</w:t>
      </w:r>
      <w:r w:rsidR="004F70D8">
        <w:t>,</w:t>
      </w:r>
      <w:r>
        <w:t xml:space="preserve"> despite offering programs in these fields. </w:t>
      </w:r>
    </w:p>
    <w:p w:rsidR="002D1FC4" w:rsidRPr="00354C03" w:rsidRDefault="002D1FC4" w:rsidP="007105CE">
      <w:pPr>
        <w:pStyle w:val="Text"/>
      </w:pPr>
      <w:r>
        <w:t xml:space="preserve">Cluster C comprises three </w:t>
      </w:r>
      <w:r w:rsidR="004F158F">
        <w:t>fields of education</w:t>
      </w:r>
      <w:r>
        <w:t xml:space="preserve"> </w:t>
      </w:r>
      <w:r w:rsidRPr="00354C03">
        <w:t xml:space="preserve">for which the </w:t>
      </w:r>
      <w:r>
        <w:t xml:space="preserve">average rates of admission on the basis of a </w:t>
      </w:r>
      <w:r w:rsidRPr="00354C03">
        <w:t xml:space="preserve">VET </w:t>
      </w:r>
      <w:r>
        <w:t>award</w:t>
      </w:r>
      <w:r w:rsidRPr="00354C03">
        <w:t xml:space="preserve"> are</w:t>
      </w:r>
      <w:r>
        <w:t xml:space="preserve"> all relatively low, where a substantial number of universities have no admissions on the basis of a VET award, and where those universities that report</w:t>
      </w:r>
      <w:r w:rsidRPr="00354C03">
        <w:t xml:space="preserve"> admissions tend to be </w:t>
      </w:r>
      <w:r w:rsidR="00A42C07">
        <w:t xml:space="preserve">either </w:t>
      </w:r>
      <w:r>
        <w:t xml:space="preserve">consistently </w:t>
      </w:r>
      <w:r w:rsidRPr="00354C03">
        <w:t>high</w:t>
      </w:r>
      <w:r>
        <w:t xml:space="preserve"> or consistently low.</w:t>
      </w:r>
    </w:p>
    <w:p w:rsidR="002D1FC4" w:rsidRDefault="002D1FC4" w:rsidP="002D1FC4">
      <w:pPr>
        <w:pStyle w:val="Heading2"/>
      </w:pPr>
      <w:bookmarkStart w:id="45" w:name="_Toc367450619"/>
      <w:r>
        <w:t>Discussion</w:t>
      </w:r>
      <w:bookmarkEnd w:id="45"/>
      <w:r>
        <w:t xml:space="preserve"> </w:t>
      </w:r>
    </w:p>
    <w:p w:rsidR="002D1FC4" w:rsidRDefault="002D1FC4" w:rsidP="007105CE">
      <w:pPr>
        <w:pStyle w:val="Text"/>
      </w:pPr>
      <w:r>
        <w:t xml:space="preserve">Combining the information about both the institutional and </w:t>
      </w:r>
      <w:r w:rsidR="004F158F">
        <w:t>field of education</w:t>
      </w:r>
      <w:r>
        <w:t xml:space="preserve"> clusters provides a clearer picture of the patterns of admission </w:t>
      </w:r>
      <w:r w:rsidR="00AA4853">
        <w:t xml:space="preserve">of VET </w:t>
      </w:r>
      <w:r w:rsidR="00B87FBB">
        <w:t>award holders</w:t>
      </w:r>
      <w:r w:rsidR="00AA4853">
        <w:t xml:space="preserve"> </w:t>
      </w:r>
      <w:r>
        <w:t>within and betwe</w:t>
      </w:r>
      <w:r w:rsidR="00AA4853">
        <w:t xml:space="preserve">en clusters of universities. We now present </w:t>
      </w:r>
      <w:r>
        <w:t xml:space="preserve">data on </w:t>
      </w:r>
      <w:r w:rsidR="004F70D8">
        <w:t xml:space="preserve">the </w:t>
      </w:r>
      <w:r>
        <w:t xml:space="preserve">rates of admission of VET </w:t>
      </w:r>
      <w:r w:rsidR="00B87FBB">
        <w:t>award holders</w:t>
      </w:r>
      <w:r>
        <w:t xml:space="preserve"> by broad field of education for each of the universities in each institutional cluster. Within each institutional cluster, universities are listed in order of their </w:t>
      </w:r>
      <w:r w:rsidR="00406EB5">
        <w:t xml:space="preserve">rate of admission </w:t>
      </w:r>
      <w:r>
        <w:t xml:space="preserve">on the basis of </w:t>
      </w:r>
      <w:r w:rsidR="00406EB5">
        <w:t xml:space="preserve">a </w:t>
      </w:r>
      <w:r>
        <w:t>VET</w:t>
      </w:r>
      <w:r w:rsidR="00406EB5">
        <w:t xml:space="preserve"> award</w:t>
      </w:r>
      <w:r>
        <w:t xml:space="preserve">. </w:t>
      </w:r>
      <w:r w:rsidRPr="00642DF9">
        <w:t xml:space="preserve">The shaded cells indicate that the </w:t>
      </w:r>
      <w:r>
        <w:t xml:space="preserve">university’s rate of admission of VET </w:t>
      </w:r>
      <w:r w:rsidR="00B87FBB">
        <w:t>award holders</w:t>
      </w:r>
      <w:r>
        <w:t xml:space="preserve"> is </w:t>
      </w:r>
      <w:r w:rsidRPr="00642DF9">
        <w:t>above the sector average</w:t>
      </w:r>
      <w:r>
        <w:t xml:space="preserve">. </w:t>
      </w:r>
      <w:r w:rsidR="00F51E37">
        <w:t>Blank cells indicate that no enrolments are recorded against this field of education.</w:t>
      </w:r>
    </w:p>
    <w:p w:rsidR="002D1FC4" w:rsidRDefault="002D1FC4" w:rsidP="002D1FC4">
      <w:pPr>
        <w:pStyle w:val="tabletitle"/>
      </w:pPr>
      <w:bookmarkStart w:id="46" w:name="_Toc364688855"/>
      <w:r>
        <w:t xml:space="preserve">Table </w:t>
      </w:r>
      <w:r w:rsidR="00061879">
        <w:t>5</w:t>
      </w:r>
      <w:r>
        <w:tab/>
        <w:t>Cluster 1 universities’ rates of admission on the basis of a VET award b</w:t>
      </w:r>
      <w:r w:rsidR="004F158F">
        <w:t>y broad field of education c</w:t>
      </w:r>
      <w:r w:rsidR="002C6F5E">
        <w:t>luster</w:t>
      </w:r>
      <w:r>
        <w:t>, Australia</w:t>
      </w:r>
      <w:r w:rsidR="004F158F">
        <w:t>,</w:t>
      </w:r>
      <w:r>
        <w:t xml:space="preserve"> 2010</w:t>
      </w:r>
      <w:bookmarkEnd w:id="46"/>
      <w:r>
        <w:t xml:space="preserve"> </w:t>
      </w:r>
      <w:r w:rsidR="009230BC">
        <w:t>(%)</w:t>
      </w:r>
    </w:p>
    <w:tbl>
      <w:tblPr>
        <w:tblW w:w="8789" w:type="dxa"/>
        <w:tblInd w:w="57" w:type="dxa"/>
        <w:tblLayout w:type="fixed"/>
        <w:tblCellMar>
          <w:left w:w="57" w:type="dxa"/>
          <w:right w:w="57" w:type="dxa"/>
        </w:tblCellMar>
        <w:tblLook w:val="04A0" w:firstRow="1" w:lastRow="0" w:firstColumn="1" w:lastColumn="0" w:noHBand="0" w:noVBand="1"/>
      </w:tblPr>
      <w:tblGrid>
        <w:gridCol w:w="1843"/>
        <w:gridCol w:w="641"/>
        <w:gridCol w:w="642"/>
        <w:gridCol w:w="641"/>
        <w:gridCol w:w="642"/>
        <w:gridCol w:w="642"/>
        <w:gridCol w:w="641"/>
        <w:gridCol w:w="642"/>
        <w:gridCol w:w="641"/>
        <w:gridCol w:w="642"/>
        <w:gridCol w:w="642"/>
        <w:gridCol w:w="530"/>
      </w:tblGrid>
      <w:tr w:rsidR="00D863E8" w:rsidRPr="00052974" w:rsidTr="004270FD">
        <w:tc>
          <w:tcPr>
            <w:tcW w:w="1843" w:type="dxa"/>
            <w:vMerge w:val="restart"/>
            <w:tcBorders>
              <w:top w:val="single" w:sz="4" w:space="0" w:color="auto"/>
              <w:left w:val="nil"/>
            </w:tcBorders>
            <w:shd w:val="clear" w:color="000000" w:fill="FFFFFF"/>
            <w:noWrap/>
            <w:vAlign w:val="bottom"/>
            <w:hideMark/>
          </w:tcPr>
          <w:p w:rsidR="004270FD" w:rsidRDefault="004270FD" w:rsidP="004270FD">
            <w:pPr>
              <w:pStyle w:val="Tablehead3"/>
              <w:rPr>
                <w:lang w:eastAsia="en-AU"/>
              </w:rPr>
            </w:pPr>
          </w:p>
          <w:p w:rsidR="004270FD" w:rsidRDefault="004270FD" w:rsidP="004270FD">
            <w:pPr>
              <w:pStyle w:val="Tablehead3"/>
              <w:rPr>
                <w:lang w:eastAsia="en-AU"/>
              </w:rPr>
            </w:pPr>
          </w:p>
          <w:p w:rsidR="00D863E8" w:rsidRPr="004270FD" w:rsidRDefault="00D863E8" w:rsidP="004270FD">
            <w:pPr>
              <w:pStyle w:val="Tablehead3"/>
              <w:rPr>
                <w:rFonts w:asciiTheme="majorHAnsi" w:hAnsiTheme="majorHAnsi"/>
                <w:sz w:val="16"/>
                <w:szCs w:val="16"/>
                <w:lang w:eastAsia="en-AU"/>
              </w:rPr>
            </w:pPr>
            <w:r w:rsidRPr="004270FD">
              <w:rPr>
                <w:sz w:val="16"/>
                <w:szCs w:val="16"/>
                <w:lang w:eastAsia="en-AU"/>
              </w:rPr>
              <w:t>Broad field of education</w:t>
            </w:r>
            <w:r w:rsidR="004270FD" w:rsidRPr="004270FD">
              <w:rPr>
                <w:sz w:val="16"/>
                <w:szCs w:val="16"/>
                <w:lang w:eastAsia="en-AU"/>
              </w:rPr>
              <w:t xml:space="preserve"> (VET award-holder admission rate)</w:t>
            </w:r>
          </w:p>
        </w:tc>
        <w:tc>
          <w:tcPr>
            <w:tcW w:w="6946" w:type="dxa"/>
            <w:gridSpan w:val="11"/>
            <w:tcBorders>
              <w:top w:val="single" w:sz="4" w:space="0" w:color="auto"/>
              <w:left w:val="nil"/>
            </w:tcBorders>
            <w:shd w:val="clear" w:color="000000" w:fill="FFFFFF"/>
          </w:tcPr>
          <w:p w:rsidR="00D863E8" w:rsidRPr="00052974" w:rsidRDefault="00D863E8" w:rsidP="007105CE">
            <w:pPr>
              <w:pStyle w:val="Tablehead1"/>
              <w:jc w:val="center"/>
              <w:rPr>
                <w:rFonts w:asciiTheme="majorHAnsi" w:hAnsiTheme="majorHAnsi"/>
                <w:sz w:val="18"/>
                <w:szCs w:val="18"/>
                <w:lang w:eastAsia="en-AU"/>
              </w:rPr>
            </w:pPr>
            <w:r w:rsidRPr="00120970">
              <w:rPr>
                <w:lang w:eastAsia="en-AU"/>
              </w:rPr>
              <w:t>Field of education clusters</w:t>
            </w:r>
          </w:p>
        </w:tc>
      </w:tr>
      <w:tr w:rsidR="00D863E8" w:rsidRPr="00B80ED0" w:rsidTr="00AE0E1C">
        <w:tc>
          <w:tcPr>
            <w:tcW w:w="1843" w:type="dxa"/>
            <w:vMerge/>
            <w:shd w:val="clear" w:color="000000" w:fill="FFFFFF"/>
            <w:noWrap/>
            <w:hideMark/>
          </w:tcPr>
          <w:p w:rsidR="00D863E8" w:rsidRPr="00B80ED0" w:rsidRDefault="00D863E8" w:rsidP="007105CE">
            <w:pPr>
              <w:pStyle w:val="Tablehead3"/>
              <w:rPr>
                <w:lang w:eastAsia="en-AU"/>
              </w:rPr>
            </w:pPr>
          </w:p>
        </w:tc>
        <w:tc>
          <w:tcPr>
            <w:tcW w:w="1924" w:type="dxa"/>
            <w:gridSpan w:val="3"/>
            <w:shd w:val="clear" w:color="000000" w:fill="FFFFFF"/>
            <w:noWrap/>
            <w:hideMark/>
          </w:tcPr>
          <w:p w:rsidR="00D863E8" w:rsidRPr="00564AA9" w:rsidRDefault="00D863E8" w:rsidP="007105CE">
            <w:pPr>
              <w:pStyle w:val="Tablehead2"/>
              <w:jc w:val="center"/>
              <w:rPr>
                <w:lang w:eastAsia="en-AU"/>
              </w:rPr>
            </w:pPr>
            <w:r w:rsidRPr="00564AA9">
              <w:rPr>
                <w:lang w:eastAsia="en-AU"/>
              </w:rPr>
              <w:t>Cluster A</w:t>
            </w:r>
          </w:p>
        </w:tc>
        <w:tc>
          <w:tcPr>
            <w:tcW w:w="1284" w:type="dxa"/>
            <w:gridSpan w:val="2"/>
            <w:shd w:val="clear" w:color="000000" w:fill="FFFFFF"/>
            <w:noWrap/>
            <w:hideMark/>
          </w:tcPr>
          <w:p w:rsidR="00D863E8" w:rsidRPr="00564AA9" w:rsidRDefault="00D863E8" w:rsidP="007105CE">
            <w:pPr>
              <w:pStyle w:val="Tablehead2"/>
              <w:jc w:val="center"/>
              <w:rPr>
                <w:lang w:eastAsia="en-AU"/>
              </w:rPr>
            </w:pPr>
            <w:r w:rsidRPr="00564AA9">
              <w:rPr>
                <w:lang w:eastAsia="en-AU"/>
              </w:rPr>
              <w:t>Outliers</w:t>
            </w:r>
          </w:p>
        </w:tc>
        <w:tc>
          <w:tcPr>
            <w:tcW w:w="1283" w:type="dxa"/>
            <w:gridSpan w:val="2"/>
            <w:shd w:val="clear" w:color="000000" w:fill="FFFFFF"/>
            <w:noWrap/>
            <w:hideMark/>
          </w:tcPr>
          <w:p w:rsidR="00D863E8" w:rsidRPr="00564AA9" w:rsidRDefault="00D863E8" w:rsidP="007105CE">
            <w:pPr>
              <w:pStyle w:val="Tablehead2"/>
              <w:jc w:val="center"/>
              <w:rPr>
                <w:lang w:eastAsia="en-AU"/>
              </w:rPr>
            </w:pPr>
            <w:r w:rsidRPr="00564AA9">
              <w:rPr>
                <w:lang w:eastAsia="en-AU"/>
              </w:rPr>
              <w:t>Cluster B</w:t>
            </w:r>
          </w:p>
        </w:tc>
        <w:tc>
          <w:tcPr>
            <w:tcW w:w="1925" w:type="dxa"/>
            <w:gridSpan w:val="3"/>
            <w:shd w:val="clear" w:color="000000" w:fill="FFFFFF"/>
            <w:noWrap/>
            <w:hideMark/>
          </w:tcPr>
          <w:p w:rsidR="00D863E8" w:rsidRPr="00564AA9" w:rsidRDefault="00D863E8" w:rsidP="007105CE">
            <w:pPr>
              <w:pStyle w:val="Tablehead2"/>
              <w:jc w:val="center"/>
              <w:rPr>
                <w:lang w:eastAsia="en-AU"/>
              </w:rPr>
            </w:pPr>
            <w:r w:rsidRPr="00564AA9">
              <w:rPr>
                <w:lang w:eastAsia="en-AU"/>
              </w:rPr>
              <w:t>Cluster C</w:t>
            </w:r>
          </w:p>
        </w:tc>
        <w:tc>
          <w:tcPr>
            <w:tcW w:w="530" w:type="dxa"/>
            <w:tcBorders>
              <w:right w:val="nil"/>
            </w:tcBorders>
            <w:shd w:val="clear" w:color="000000" w:fill="FFFFFF"/>
            <w:noWrap/>
            <w:hideMark/>
          </w:tcPr>
          <w:p w:rsidR="00D863E8" w:rsidRPr="00B80ED0" w:rsidDel="00390846" w:rsidRDefault="00D863E8" w:rsidP="007105CE">
            <w:pPr>
              <w:pStyle w:val="Tablehead2"/>
              <w:jc w:val="center"/>
              <w:rPr>
                <w:lang w:eastAsia="en-AU"/>
              </w:rPr>
            </w:pPr>
            <w:r w:rsidRPr="00564AA9">
              <w:rPr>
                <w:lang w:eastAsia="en-AU"/>
              </w:rPr>
              <w:t>All</w:t>
            </w:r>
          </w:p>
        </w:tc>
      </w:tr>
      <w:tr w:rsidR="00D863E8" w:rsidRPr="00B80ED0" w:rsidTr="004270FD">
        <w:tc>
          <w:tcPr>
            <w:tcW w:w="1843" w:type="dxa"/>
            <w:vMerge/>
            <w:tcBorders>
              <w:bottom w:val="single" w:sz="4" w:space="0" w:color="auto"/>
            </w:tcBorders>
            <w:shd w:val="clear" w:color="000000" w:fill="FFFFFF"/>
            <w:noWrap/>
            <w:hideMark/>
          </w:tcPr>
          <w:p w:rsidR="00D863E8" w:rsidRPr="00B80ED0" w:rsidRDefault="00D863E8" w:rsidP="007105CE">
            <w:pPr>
              <w:pStyle w:val="Tablehead3"/>
              <w:rPr>
                <w:lang w:eastAsia="en-AU"/>
              </w:rPr>
            </w:pPr>
          </w:p>
        </w:tc>
        <w:tc>
          <w:tcPr>
            <w:tcW w:w="641" w:type="dxa"/>
            <w:tcBorders>
              <w:bottom w:val="single" w:sz="4" w:space="0" w:color="auto"/>
            </w:tcBorders>
            <w:shd w:val="clear" w:color="000000" w:fill="FFFFFF"/>
            <w:noWrap/>
            <w:tcMar>
              <w:left w:w="0" w:type="dxa"/>
              <w:right w:w="0" w:type="dxa"/>
            </w:tcMar>
            <w:vAlign w:val="bottom"/>
            <w:hideMark/>
          </w:tcPr>
          <w:p w:rsidR="00D863E8" w:rsidRPr="00B80ED0" w:rsidRDefault="00D863E8" w:rsidP="004270FD">
            <w:pPr>
              <w:pStyle w:val="Tablehead3"/>
              <w:jc w:val="center"/>
              <w:rPr>
                <w:lang w:eastAsia="en-AU"/>
              </w:rPr>
            </w:pPr>
            <w:proofErr w:type="gramStart"/>
            <w:r w:rsidRPr="00564AA9">
              <w:rPr>
                <w:lang w:eastAsia="en-AU"/>
              </w:rPr>
              <w:t>FOE</w:t>
            </w:r>
            <w:r w:rsidRPr="00B80ED0">
              <w:rPr>
                <w:lang w:eastAsia="en-AU"/>
              </w:rPr>
              <w:t>08</w:t>
            </w:r>
            <w:proofErr w:type="gramEnd"/>
            <w:r>
              <w:rPr>
                <w:lang w:eastAsia="en-AU"/>
              </w:rPr>
              <w:br/>
            </w:r>
            <w:r w:rsidRPr="00B80ED0">
              <w:rPr>
                <w:lang w:eastAsia="en-AU"/>
              </w:rPr>
              <w:t>(13%)</w:t>
            </w:r>
          </w:p>
        </w:tc>
        <w:tc>
          <w:tcPr>
            <w:tcW w:w="642" w:type="dxa"/>
            <w:tcBorders>
              <w:bottom w:val="single" w:sz="4" w:space="0" w:color="auto"/>
            </w:tcBorders>
            <w:shd w:val="clear" w:color="000000" w:fill="FFFFFF"/>
            <w:noWrap/>
            <w:tcMar>
              <w:left w:w="0" w:type="dxa"/>
              <w:right w:w="0" w:type="dxa"/>
            </w:tcMar>
            <w:vAlign w:val="bottom"/>
            <w:hideMark/>
          </w:tcPr>
          <w:p w:rsidR="00D863E8" w:rsidRPr="00B80ED0" w:rsidRDefault="00D863E8" w:rsidP="004270FD">
            <w:pPr>
              <w:pStyle w:val="Tablehead3"/>
              <w:jc w:val="center"/>
              <w:rPr>
                <w:lang w:eastAsia="en-AU"/>
              </w:rPr>
            </w:pPr>
            <w:proofErr w:type="gramStart"/>
            <w:r w:rsidRPr="00564AA9">
              <w:rPr>
                <w:lang w:eastAsia="en-AU"/>
              </w:rPr>
              <w:t>FOE</w:t>
            </w:r>
            <w:r w:rsidRPr="00B80ED0">
              <w:rPr>
                <w:lang w:eastAsia="en-AU"/>
              </w:rPr>
              <w:t>10</w:t>
            </w:r>
            <w:proofErr w:type="gramEnd"/>
            <w:r>
              <w:rPr>
                <w:lang w:eastAsia="en-AU"/>
              </w:rPr>
              <w:br/>
            </w:r>
            <w:r w:rsidRPr="00B80ED0">
              <w:rPr>
                <w:lang w:eastAsia="en-AU"/>
              </w:rPr>
              <w:t>(8%)</w:t>
            </w:r>
          </w:p>
        </w:tc>
        <w:tc>
          <w:tcPr>
            <w:tcW w:w="641" w:type="dxa"/>
            <w:tcBorders>
              <w:bottom w:val="single" w:sz="4" w:space="0" w:color="auto"/>
            </w:tcBorders>
            <w:shd w:val="clear" w:color="000000" w:fill="FFFFFF"/>
            <w:noWrap/>
            <w:tcMar>
              <w:left w:w="0" w:type="dxa"/>
              <w:right w:w="0" w:type="dxa"/>
            </w:tcMar>
            <w:vAlign w:val="bottom"/>
            <w:hideMark/>
          </w:tcPr>
          <w:p w:rsidR="00D863E8" w:rsidRPr="00B80ED0" w:rsidRDefault="00D863E8" w:rsidP="004270FD">
            <w:pPr>
              <w:pStyle w:val="Tablehead3"/>
              <w:jc w:val="center"/>
              <w:rPr>
                <w:lang w:eastAsia="en-AU"/>
              </w:rPr>
            </w:pPr>
            <w:proofErr w:type="gramStart"/>
            <w:r w:rsidRPr="00564AA9">
              <w:rPr>
                <w:lang w:eastAsia="en-AU"/>
              </w:rPr>
              <w:t>FOE</w:t>
            </w:r>
            <w:r w:rsidRPr="00B80ED0">
              <w:rPr>
                <w:lang w:eastAsia="en-AU"/>
              </w:rPr>
              <w:t>06</w:t>
            </w:r>
            <w:proofErr w:type="gramEnd"/>
            <w:r>
              <w:rPr>
                <w:lang w:eastAsia="en-AU"/>
              </w:rPr>
              <w:br/>
            </w:r>
            <w:r w:rsidRPr="00B80ED0">
              <w:rPr>
                <w:lang w:eastAsia="en-AU"/>
              </w:rPr>
              <w:t>(12%)</w:t>
            </w:r>
          </w:p>
        </w:tc>
        <w:tc>
          <w:tcPr>
            <w:tcW w:w="642" w:type="dxa"/>
            <w:tcBorders>
              <w:bottom w:val="single" w:sz="4" w:space="0" w:color="auto"/>
            </w:tcBorders>
            <w:shd w:val="clear" w:color="000000" w:fill="FFFFFF"/>
            <w:noWrap/>
            <w:tcMar>
              <w:left w:w="0" w:type="dxa"/>
              <w:right w:w="0" w:type="dxa"/>
            </w:tcMar>
            <w:vAlign w:val="bottom"/>
            <w:hideMark/>
          </w:tcPr>
          <w:p w:rsidR="00D863E8" w:rsidRPr="00B80ED0" w:rsidRDefault="00D863E8" w:rsidP="004270FD">
            <w:pPr>
              <w:pStyle w:val="Tablehead3"/>
              <w:jc w:val="center"/>
              <w:rPr>
                <w:lang w:eastAsia="en-AU"/>
              </w:rPr>
            </w:pPr>
            <w:proofErr w:type="gramStart"/>
            <w:r w:rsidRPr="00564AA9">
              <w:rPr>
                <w:lang w:eastAsia="en-AU"/>
              </w:rPr>
              <w:t>FOE</w:t>
            </w:r>
            <w:r w:rsidRPr="00B80ED0">
              <w:rPr>
                <w:lang w:eastAsia="en-AU"/>
              </w:rPr>
              <w:t>07</w:t>
            </w:r>
            <w:proofErr w:type="gramEnd"/>
            <w:r>
              <w:rPr>
                <w:lang w:eastAsia="en-AU"/>
              </w:rPr>
              <w:br/>
            </w:r>
            <w:r w:rsidRPr="00B80ED0">
              <w:rPr>
                <w:lang w:eastAsia="en-AU"/>
              </w:rPr>
              <w:t>(15%)</w:t>
            </w:r>
          </w:p>
        </w:tc>
        <w:tc>
          <w:tcPr>
            <w:tcW w:w="642" w:type="dxa"/>
            <w:tcBorders>
              <w:bottom w:val="single" w:sz="4" w:space="0" w:color="auto"/>
            </w:tcBorders>
            <w:shd w:val="clear" w:color="000000" w:fill="FFFFFF"/>
            <w:noWrap/>
            <w:tcMar>
              <w:left w:w="0" w:type="dxa"/>
              <w:right w:w="0" w:type="dxa"/>
            </w:tcMar>
            <w:vAlign w:val="bottom"/>
            <w:hideMark/>
          </w:tcPr>
          <w:p w:rsidR="00D863E8" w:rsidRPr="00B80ED0" w:rsidRDefault="00D863E8" w:rsidP="004270FD">
            <w:pPr>
              <w:pStyle w:val="Tablehead3"/>
              <w:jc w:val="center"/>
              <w:rPr>
                <w:lang w:eastAsia="en-AU"/>
              </w:rPr>
            </w:pPr>
            <w:proofErr w:type="gramStart"/>
            <w:r w:rsidRPr="00564AA9">
              <w:rPr>
                <w:lang w:eastAsia="en-AU"/>
              </w:rPr>
              <w:t>FOE</w:t>
            </w:r>
            <w:r w:rsidRPr="00B80ED0">
              <w:rPr>
                <w:lang w:eastAsia="en-AU"/>
              </w:rPr>
              <w:t>02</w:t>
            </w:r>
            <w:proofErr w:type="gramEnd"/>
            <w:r>
              <w:rPr>
                <w:lang w:eastAsia="en-AU"/>
              </w:rPr>
              <w:br/>
            </w:r>
            <w:r w:rsidRPr="00B80ED0">
              <w:rPr>
                <w:lang w:eastAsia="en-AU"/>
              </w:rPr>
              <w:t>(14%)</w:t>
            </w:r>
          </w:p>
        </w:tc>
        <w:tc>
          <w:tcPr>
            <w:tcW w:w="641" w:type="dxa"/>
            <w:tcBorders>
              <w:bottom w:val="single" w:sz="4" w:space="0" w:color="auto"/>
            </w:tcBorders>
            <w:shd w:val="clear" w:color="000000" w:fill="FFFFFF"/>
            <w:noWrap/>
            <w:tcMar>
              <w:left w:w="0" w:type="dxa"/>
              <w:right w:w="0" w:type="dxa"/>
            </w:tcMar>
            <w:vAlign w:val="bottom"/>
            <w:hideMark/>
          </w:tcPr>
          <w:p w:rsidR="00D863E8" w:rsidRPr="00B80ED0" w:rsidRDefault="00D863E8" w:rsidP="004270FD">
            <w:pPr>
              <w:pStyle w:val="Tablehead3"/>
              <w:jc w:val="center"/>
              <w:rPr>
                <w:lang w:eastAsia="en-AU"/>
              </w:rPr>
            </w:pPr>
            <w:proofErr w:type="gramStart"/>
            <w:r w:rsidRPr="00564AA9">
              <w:rPr>
                <w:lang w:eastAsia="en-AU"/>
              </w:rPr>
              <w:t>FOE</w:t>
            </w:r>
            <w:r w:rsidRPr="00B80ED0">
              <w:rPr>
                <w:lang w:eastAsia="en-AU"/>
              </w:rPr>
              <w:t>03</w:t>
            </w:r>
            <w:proofErr w:type="gramEnd"/>
            <w:r>
              <w:rPr>
                <w:lang w:eastAsia="en-AU"/>
              </w:rPr>
              <w:br/>
            </w:r>
            <w:r w:rsidRPr="00B80ED0">
              <w:rPr>
                <w:lang w:eastAsia="en-AU"/>
              </w:rPr>
              <w:t>(7%)</w:t>
            </w:r>
          </w:p>
        </w:tc>
        <w:tc>
          <w:tcPr>
            <w:tcW w:w="642" w:type="dxa"/>
            <w:tcBorders>
              <w:bottom w:val="single" w:sz="4" w:space="0" w:color="auto"/>
            </w:tcBorders>
            <w:shd w:val="clear" w:color="000000" w:fill="FFFFFF"/>
            <w:noWrap/>
            <w:tcMar>
              <w:left w:w="0" w:type="dxa"/>
              <w:right w:w="0" w:type="dxa"/>
            </w:tcMar>
            <w:vAlign w:val="bottom"/>
            <w:hideMark/>
          </w:tcPr>
          <w:p w:rsidR="00D863E8" w:rsidRPr="00B80ED0" w:rsidRDefault="00D863E8" w:rsidP="004270FD">
            <w:pPr>
              <w:pStyle w:val="Tablehead3"/>
              <w:jc w:val="center"/>
              <w:rPr>
                <w:lang w:eastAsia="en-AU"/>
              </w:rPr>
            </w:pPr>
            <w:proofErr w:type="gramStart"/>
            <w:r w:rsidRPr="00564AA9">
              <w:rPr>
                <w:lang w:eastAsia="en-AU"/>
              </w:rPr>
              <w:t>FOE</w:t>
            </w:r>
            <w:r w:rsidRPr="00B80ED0">
              <w:rPr>
                <w:lang w:eastAsia="en-AU"/>
              </w:rPr>
              <w:t>04</w:t>
            </w:r>
            <w:proofErr w:type="gramEnd"/>
            <w:r>
              <w:rPr>
                <w:lang w:eastAsia="en-AU"/>
              </w:rPr>
              <w:br/>
            </w:r>
            <w:r w:rsidRPr="00B80ED0">
              <w:rPr>
                <w:lang w:eastAsia="en-AU"/>
              </w:rPr>
              <w:t>(10%)</w:t>
            </w:r>
          </w:p>
        </w:tc>
        <w:tc>
          <w:tcPr>
            <w:tcW w:w="641" w:type="dxa"/>
            <w:tcBorders>
              <w:bottom w:val="single" w:sz="4" w:space="0" w:color="auto"/>
            </w:tcBorders>
            <w:shd w:val="clear" w:color="000000" w:fill="FFFFFF"/>
            <w:noWrap/>
            <w:tcMar>
              <w:left w:w="0" w:type="dxa"/>
              <w:right w:w="0" w:type="dxa"/>
            </w:tcMar>
            <w:vAlign w:val="bottom"/>
            <w:hideMark/>
          </w:tcPr>
          <w:p w:rsidR="00D863E8" w:rsidRPr="00B80ED0" w:rsidRDefault="00D863E8" w:rsidP="004270FD">
            <w:pPr>
              <w:pStyle w:val="Tablehead3"/>
              <w:jc w:val="center"/>
              <w:rPr>
                <w:lang w:eastAsia="en-AU"/>
              </w:rPr>
            </w:pPr>
            <w:proofErr w:type="gramStart"/>
            <w:r w:rsidRPr="00564AA9">
              <w:rPr>
                <w:lang w:eastAsia="en-AU"/>
              </w:rPr>
              <w:t>FOE</w:t>
            </w:r>
            <w:r w:rsidRPr="00B80ED0">
              <w:rPr>
                <w:lang w:eastAsia="en-AU"/>
              </w:rPr>
              <w:t>05</w:t>
            </w:r>
            <w:proofErr w:type="gramEnd"/>
            <w:r>
              <w:rPr>
                <w:lang w:eastAsia="en-AU"/>
              </w:rPr>
              <w:br/>
            </w:r>
            <w:r w:rsidRPr="00B80ED0">
              <w:rPr>
                <w:lang w:eastAsia="en-AU"/>
              </w:rPr>
              <w:t>(6%)</w:t>
            </w:r>
          </w:p>
        </w:tc>
        <w:tc>
          <w:tcPr>
            <w:tcW w:w="642" w:type="dxa"/>
            <w:tcBorders>
              <w:bottom w:val="single" w:sz="4" w:space="0" w:color="auto"/>
            </w:tcBorders>
            <w:shd w:val="clear" w:color="000000" w:fill="FFFFFF"/>
            <w:noWrap/>
            <w:tcMar>
              <w:left w:w="0" w:type="dxa"/>
              <w:right w:w="0" w:type="dxa"/>
            </w:tcMar>
            <w:vAlign w:val="bottom"/>
            <w:hideMark/>
          </w:tcPr>
          <w:p w:rsidR="00D863E8" w:rsidRPr="00B80ED0" w:rsidRDefault="00D863E8" w:rsidP="004270FD">
            <w:pPr>
              <w:pStyle w:val="Tablehead3"/>
              <w:jc w:val="center"/>
              <w:rPr>
                <w:lang w:eastAsia="en-AU"/>
              </w:rPr>
            </w:pPr>
            <w:proofErr w:type="gramStart"/>
            <w:r w:rsidRPr="00564AA9">
              <w:rPr>
                <w:lang w:eastAsia="en-AU"/>
              </w:rPr>
              <w:t>FOE</w:t>
            </w:r>
            <w:r w:rsidRPr="00B80ED0">
              <w:rPr>
                <w:lang w:eastAsia="en-AU"/>
              </w:rPr>
              <w:t>09</w:t>
            </w:r>
            <w:proofErr w:type="gramEnd"/>
            <w:r>
              <w:rPr>
                <w:lang w:eastAsia="en-AU"/>
              </w:rPr>
              <w:br/>
            </w:r>
            <w:r w:rsidRPr="00B80ED0">
              <w:rPr>
                <w:lang w:eastAsia="en-AU"/>
              </w:rPr>
              <w:t>(8%)</w:t>
            </w:r>
          </w:p>
        </w:tc>
        <w:tc>
          <w:tcPr>
            <w:tcW w:w="642" w:type="dxa"/>
            <w:tcBorders>
              <w:bottom w:val="single" w:sz="4" w:space="0" w:color="auto"/>
            </w:tcBorders>
            <w:shd w:val="clear" w:color="000000" w:fill="FFFFFF"/>
            <w:noWrap/>
            <w:tcMar>
              <w:left w:w="0" w:type="dxa"/>
              <w:right w:w="0" w:type="dxa"/>
            </w:tcMar>
            <w:vAlign w:val="bottom"/>
            <w:hideMark/>
          </w:tcPr>
          <w:p w:rsidR="00D863E8" w:rsidRPr="00B80ED0" w:rsidRDefault="00D863E8" w:rsidP="004270FD">
            <w:pPr>
              <w:pStyle w:val="Tablehead3"/>
              <w:jc w:val="center"/>
              <w:rPr>
                <w:lang w:eastAsia="en-AU"/>
              </w:rPr>
            </w:pPr>
            <w:proofErr w:type="gramStart"/>
            <w:r w:rsidRPr="00564AA9">
              <w:rPr>
                <w:lang w:eastAsia="en-AU"/>
              </w:rPr>
              <w:t>FOE</w:t>
            </w:r>
            <w:r w:rsidRPr="00B80ED0">
              <w:rPr>
                <w:lang w:eastAsia="en-AU"/>
              </w:rPr>
              <w:t>01</w:t>
            </w:r>
            <w:proofErr w:type="gramEnd"/>
            <w:r>
              <w:rPr>
                <w:lang w:eastAsia="en-AU"/>
              </w:rPr>
              <w:br/>
            </w:r>
            <w:r w:rsidRPr="00B80ED0">
              <w:rPr>
                <w:lang w:eastAsia="en-AU"/>
              </w:rPr>
              <w:t>(4%)</w:t>
            </w:r>
          </w:p>
        </w:tc>
        <w:tc>
          <w:tcPr>
            <w:tcW w:w="530" w:type="dxa"/>
            <w:tcBorders>
              <w:bottom w:val="single" w:sz="4" w:space="0" w:color="auto"/>
              <w:right w:val="nil"/>
            </w:tcBorders>
            <w:shd w:val="clear" w:color="000000" w:fill="FFFFFF"/>
            <w:noWrap/>
            <w:tcMar>
              <w:left w:w="0" w:type="dxa"/>
              <w:right w:w="0" w:type="dxa"/>
            </w:tcMar>
            <w:hideMark/>
          </w:tcPr>
          <w:p w:rsidR="00D863E8" w:rsidRPr="00B80ED0" w:rsidRDefault="00D863E8" w:rsidP="007105CE">
            <w:pPr>
              <w:pStyle w:val="Tablehead3"/>
              <w:jc w:val="center"/>
              <w:rPr>
                <w:lang w:eastAsia="en-AU"/>
              </w:rPr>
            </w:pPr>
          </w:p>
        </w:tc>
      </w:tr>
      <w:tr w:rsidR="00564AA9" w:rsidRPr="00B80ED0" w:rsidTr="00AE0E1C">
        <w:tc>
          <w:tcPr>
            <w:tcW w:w="1843" w:type="dxa"/>
            <w:tcBorders>
              <w:top w:val="single" w:sz="4" w:space="0" w:color="auto"/>
              <w:left w:val="nil"/>
              <w:bottom w:val="nil"/>
              <w:right w:val="dashed" w:sz="4" w:space="0" w:color="auto"/>
            </w:tcBorders>
            <w:shd w:val="clear" w:color="000000" w:fill="FFFFFF"/>
            <w:noWrap/>
            <w:hideMark/>
          </w:tcPr>
          <w:p w:rsidR="00564AA9" w:rsidRPr="00B80ED0" w:rsidRDefault="00564AA9" w:rsidP="007105CE">
            <w:pPr>
              <w:pStyle w:val="Tabletext"/>
              <w:rPr>
                <w:lang w:eastAsia="en-AU"/>
              </w:rPr>
            </w:pPr>
            <w:r w:rsidRPr="00B80ED0">
              <w:rPr>
                <w:lang w:eastAsia="en-AU"/>
              </w:rPr>
              <w:t>Charles Sturt University</w:t>
            </w:r>
          </w:p>
        </w:tc>
        <w:tc>
          <w:tcPr>
            <w:tcW w:w="641" w:type="dxa"/>
            <w:tcBorders>
              <w:top w:val="single" w:sz="4" w:space="0" w:color="auto"/>
              <w:left w:val="dashed" w:sz="4" w:space="0" w:color="auto"/>
              <w:bottom w:val="nil"/>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32</w:t>
            </w:r>
          </w:p>
        </w:tc>
        <w:tc>
          <w:tcPr>
            <w:tcW w:w="642" w:type="dxa"/>
            <w:tcBorders>
              <w:top w:val="single" w:sz="4" w:space="0" w:color="auto"/>
              <w:left w:val="nil"/>
              <w:bottom w:val="nil"/>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11</w:t>
            </w:r>
          </w:p>
        </w:tc>
        <w:tc>
          <w:tcPr>
            <w:tcW w:w="641" w:type="dxa"/>
            <w:tcBorders>
              <w:top w:val="single" w:sz="4" w:space="0" w:color="auto"/>
              <w:left w:val="nil"/>
              <w:bottom w:val="nil"/>
              <w:right w:val="dashed" w:sz="4" w:space="0" w:color="auto"/>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16</w:t>
            </w:r>
          </w:p>
        </w:tc>
        <w:tc>
          <w:tcPr>
            <w:tcW w:w="642" w:type="dxa"/>
            <w:tcBorders>
              <w:top w:val="single" w:sz="4" w:space="0" w:color="auto"/>
              <w:left w:val="dashed" w:sz="4" w:space="0" w:color="auto"/>
              <w:bottom w:val="nil"/>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21</w:t>
            </w:r>
          </w:p>
        </w:tc>
        <w:tc>
          <w:tcPr>
            <w:tcW w:w="642" w:type="dxa"/>
            <w:tcBorders>
              <w:top w:val="single" w:sz="4" w:space="0" w:color="auto"/>
              <w:left w:val="nil"/>
              <w:bottom w:val="nil"/>
              <w:right w:val="dashed" w:sz="4" w:space="0" w:color="auto"/>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62</w:t>
            </w:r>
          </w:p>
        </w:tc>
        <w:tc>
          <w:tcPr>
            <w:tcW w:w="641" w:type="dxa"/>
            <w:tcBorders>
              <w:top w:val="single" w:sz="4" w:space="0" w:color="auto"/>
              <w:left w:val="dashed" w:sz="4" w:space="0" w:color="auto"/>
              <w:bottom w:val="nil"/>
              <w:right w:val="nil"/>
            </w:tcBorders>
            <w:shd w:val="clear" w:color="000000" w:fill="FFFFFF"/>
            <w:noWrap/>
            <w:hideMark/>
          </w:tcPr>
          <w:p w:rsidR="00564AA9" w:rsidRPr="00B80ED0" w:rsidRDefault="00564AA9" w:rsidP="009230BC">
            <w:pPr>
              <w:pStyle w:val="Tabletext"/>
              <w:tabs>
                <w:tab w:val="decimal" w:pos="340"/>
              </w:tabs>
              <w:rPr>
                <w:lang w:eastAsia="en-AU"/>
              </w:rPr>
            </w:pPr>
            <w:r w:rsidRPr="00B80ED0">
              <w:rPr>
                <w:lang w:eastAsia="en-AU"/>
              </w:rPr>
              <w:t> </w:t>
            </w:r>
          </w:p>
        </w:tc>
        <w:tc>
          <w:tcPr>
            <w:tcW w:w="642" w:type="dxa"/>
            <w:tcBorders>
              <w:top w:val="single" w:sz="4" w:space="0" w:color="auto"/>
              <w:left w:val="nil"/>
              <w:bottom w:val="nil"/>
              <w:right w:val="dashed" w:sz="4" w:space="0" w:color="auto"/>
            </w:tcBorders>
            <w:shd w:val="clear" w:color="000000" w:fill="FFFFFF"/>
            <w:noWrap/>
            <w:hideMark/>
          </w:tcPr>
          <w:p w:rsidR="00564AA9" w:rsidRPr="00B80ED0" w:rsidRDefault="00564AA9" w:rsidP="009230BC">
            <w:pPr>
              <w:pStyle w:val="Tabletext"/>
              <w:tabs>
                <w:tab w:val="decimal" w:pos="340"/>
              </w:tabs>
              <w:rPr>
                <w:lang w:eastAsia="en-AU"/>
              </w:rPr>
            </w:pPr>
            <w:r w:rsidRPr="00B80ED0">
              <w:rPr>
                <w:lang w:eastAsia="en-AU"/>
              </w:rPr>
              <w:t> </w:t>
            </w:r>
          </w:p>
        </w:tc>
        <w:tc>
          <w:tcPr>
            <w:tcW w:w="641" w:type="dxa"/>
            <w:tcBorders>
              <w:top w:val="single" w:sz="4" w:space="0" w:color="auto"/>
              <w:left w:val="dashed" w:sz="4" w:space="0" w:color="auto"/>
              <w:bottom w:val="nil"/>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17</w:t>
            </w:r>
          </w:p>
        </w:tc>
        <w:tc>
          <w:tcPr>
            <w:tcW w:w="642" w:type="dxa"/>
            <w:tcBorders>
              <w:top w:val="single" w:sz="4" w:space="0" w:color="auto"/>
              <w:left w:val="nil"/>
              <w:bottom w:val="nil"/>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38</w:t>
            </w:r>
          </w:p>
        </w:tc>
        <w:tc>
          <w:tcPr>
            <w:tcW w:w="642" w:type="dxa"/>
            <w:tcBorders>
              <w:top w:val="single" w:sz="4" w:space="0" w:color="auto"/>
              <w:left w:val="nil"/>
              <w:bottom w:val="nil"/>
              <w:right w:val="dashed" w:sz="4" w:space="0" w:color="auto"/>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16</w:t>
            </w:r>
          </w:p>
        </w:tc>
        <w:tc>
          <w:tcPr>
            <w:tcW w:w="530" w:type="dxa"/>
            <w:tcBorders>
              <w:top w:val="single" w:sz="4" w:space="0" w:color="auto"/>
              <w:left w:val="dashed" w:sz="4" w:space="0" w:color="auto"/>
              <w:bottom w:val="nil"/>
              <w:right w:val="nil"/>
            </w:tcBorders>
            <w:shd w:val="clear" w:color="000000" w:fill="FFFFFF"/>
            <w:noWrap/>
            <w:hideMark/>
          </w:tcPr>
          <w:p w:rsidR="00564AA9" w:rsidRPr="00B80ED0" w:rsidRDefault="00564AA9" w:rsidP="009230BC">
            <w:pPr>
              <w:pStyle w:val="Tabletext"/>
              <w:tabs>
                <w:tab w:val="decimal" w:pos="284"/>
              </w:tabs>
              <w:rPr>
                <w:lang w:eastAsia="en-AU"/>
              </w:rPr>
            </w:pPr>
            <w:r w:rsidRPr="00B80ED0">
              <w:rPr>
                <w:lang w:eastAsia="en-AU"/>
              </w:rPr>
              <w:t>26</w:t>
            </w:r>
          </w:p>
        </w:tc>
      </w:tr>
      <w:tr w:rsidR="00564AA9" w:rsidRPr="00B80ED0" w:rsidTr="00AE0E1C">
        <w:tc>
          <w:tcPr>
            <w:tcW w:w="1843" w:type="dxa"/>
            <w:tcBorders>
              <w:top w:val="nil"/>
              <w:left w:val="nil"/>
              <w:bottom w:val="nil"/>
              <w:right w:val="dashed" w:sz="4" w:space="0" w:color="auto"/>
            </w:tcBorders>
            <w:shd w:val="clear" w:color="000000" w:fill="FFFFFF"/>
            <w:noWrap/>
            <w:hideMark/>
          </w:tcPr>
          <w:p w:rsidR="00564AA9" w:rsidRPr="00B80ED0" w:rsidRDefault="00564AA9" w:rsidP="007105CE">
            <w:pPr>
              <w:pStyle w:val="Tabletext"/>
              <w:rPr>
                <w:lang w:eastAsia="en-AU"/>
              </w:rPr>
            </w:pPr>
            <w:r w:rsidRPr="00B80ED0">
              <w:rPr>
                <w:lang w:eastAsia="en-AU"/>
              </w:rPr>
              <w:t>RMIT University</w:t>
            </w:r>
          </w:p>
        </w:tc>
        <w:tc>
          <w:tcPr>
            <w:tcW w:w="641" w:type="dxa"/>
            <w:tcBorders>
              <w:top w:val="nil"/>
              <w:left w:val="dashed" w:sz="4" w:space="0" w:color="auto"/>
              <w:bottom w:val="nil"/>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24</w:t>
            </w:r>
          </w:p>
        </w:tc>
        <w:tc>
          <w:tcPr>
            <w:tcW w:w="642" w:type="dxa"/>
            <w:tcBorders>
              <w:top w:val="nil"/>
              <w:left w:val="nil"/>
              <w:bottom w:val="nil"/>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26</w:t>
            </w:r>
          </w:p>
        </w:tc>
        <w:tc>
          <w:tcPr>
            <w:tcW w:w="641" w:type="dxa"/>
            <w:tcBorders>
              <w:top w:val="nil"/>
              <w:left w:val="nil"/>
              <w:bottom w:val="nil"/>
              <w:right w:val="dashed" w:sz="4" w:space="0" w:color="auto"/>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18</w:t>
            </w:r>
          </w:p>
        </w:tc>
        <w:tc>
          <w:tcPr>
            <w:tcW w:w="642" w:type="dxa"/>
            <w:tcBorders>
              <w:top w:val="nil"/>
              <w:left w:val="dashed" w:sz="4" w:space="0" w:color="auto"/>
              <w:bottom w:val="nil"/>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20</w:t>
            </w:r>
          </w:p>
        </w:tc>
        <w:tc>
          <w:tcPr>
            <w:tcW w:w="642" w:type="dxa"/>
            <w:tcBorders>
              <w:top w:val="nil"/>
              <w:left w:val="nil"/>
              <w:bottom w:val="nil"/>
              <w:right w:val="dashed" w:sz="4" w:space="0" w:color="auto"/>
            </w:tcBorders>
            <w:shd w:val="clear" w:color="000000" w:fill="FFFFFF"/>
            <w:noWrap/>
            <w:hideMark/>
          </w:tcPr>
          <w:p w:rsidR="00564AA9" w:rsidRPr="00B80ED0" w:rsidRDefault="00564AA9" w:rsidP="009230BC">
            <w:pPr>
              <w:pStyle w:val="Tabletext"/>
              <w:tabs>
                <w:tab w:val="decimal" w:pos="340"/>
              </w:tabs>
              <w:rPr>
                <w:lang w:eastAsia="en-AU"/>
              </w:rPr>
            </w:pPr>
            <w:r w:rsidRPr="00B80ED0">
              <w:rPr>
                <w:lang w:eastAsia="en-AU"/>
              </w:rPr>
              <w:t>9</w:t>
            </w:r>
          </w:p>
        </w:tc>
        <w:tc>
          <w:tcPr>
            <w:tcW w:w="641" w:type="dxa"/>
            <w:tcBorders>
              <w:top w:val="nil"/>
              <w:left w:val="dashed" w:sz="4" w:space="0" w:color="auto"/>
              <w:bottom w:val="nil"/>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22</w:t>
            </w:r>
          </w:p>
        </w:tc>
        <w:tc>
          <w:tcPr>
            <w:tcW w:w="642" w:type="dxa"/>
            <w:tcBorders>
              <w:top w:val="nil"/>
              <w:left w:val="nil"/>
              <w:bottom w:val="nil"/>
              <w:right w:val="dashed" w:sz="4" w:space="0" w:color="auto"/>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15</w:t>
            </w:r>
          </w:p>
        </w:tc>
        <w:tc>
          <w:tcPr>
            <w:tcW w:w="641" w:type="dxa"/>
            <w:tcBorders>
              <w:top w:val="nil"/>
              <w:left w:val="dashed" w:sz="4" w:space="0" w:color="auto"/>
              <w:bottom w:val="nil"/>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21</w:t>
            </w:r>
          </w:p>
        </w:tc>
        <w:tc>
          <w:tcPr>
            <w:tcW w:w="642" w:type="dxa"/>
            <w:tcBorders>
              <w:top w:val="nil"/>
              <w:left w:val="nil"/>
              <w:bottom w:val="nil"/>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21</w:t>
            </w:r>
          </w:p>
        </w:tc>
        <w:tc>
          <w:tcPr>
            <w:tcW w:w="642" w:type="dxa"/>
            <w:tcBorders>
              <w:top w:val="nil"/>
              <w:left w:val="nil"/>
              <w:bottom w:val="nil"/>
              <w:right w:val="dashed" w:sz="4" w:space="0" w:color="auto"/>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11</w:t>
            </w:r>
          </w:p>
        </w:tc>
        <w:tc>
          <w:tcPr>
            <w:tcW w:w="530" w:type="dxa"/>
            <w:tcBorders>
              <w:top w:val="nil"/>
              <w:left w:val="dashed" w:sz="4" w:space="0" w:color="auto"/>
              <w:bottom w:val="nil"/>
              <w:right w:val="nil"/>
            </w:tcBorders>
            <w:shd w:val="clear" w:color="000000" w:fill="FFFFFF"/>
            <w:noWrap/>
            <w:hideMark/>
          </w:tcPr>
          <w:p w:rsidR="00564AA9" w:rsidRPr="00B80ED0" w:rsidRDefault="00564AA9" w:rsidP="009230BC">
            <w:pPr>
              <w:pStyle w:val="Tabletext"/>
              <w:tabs>
                <w:tab w:val="decimal" w:pos="284"/>
              </w:tabs>
              <w:rPr>
                <w:lang w:eastAsia="en-AU"/>
              </w:rPr>
            </w:pPr>
            <w:r w:rsidRPr="00B80ED0">
              <w:rPr>
                <w:lang w:eastAsia="en-AU"/>
              </w:rPr>
              <w:t>21</w:t>
            </w:r>
          </w:p>
        </w:tc>
      </w:tr>
      <w:tr w:rsidR="00564AA9" w:rsidRPr="00B80ED0" w:rsidTr="00AE0E1C">
        <w:tc>
          <w:tcPr>
            <w:tcW w:w="1843" w:type="dxa"/>
            <w:tcBorders>
              <w:top w:val="nil"/>
              <w:left w:val="nil"/>
              <w:bottom w:val="nil"/>
              <w:right w:val="dashed" w:sz="4" w:space="0" w:color="auto"/>
            </w:tcBorders>
            <w:shd w:val="clear" w:color="000000" w:fill="FFFFFF"/>
            <w:noWrap/>
            <w:hideMark/>
          </w:tcPr>
          <w:p w:rsidR="00564AA9" w:rsidRPr="00B80ED0" w:rsidRDefault="00564AA9" w:rsidP="007105CE">
            <w:pPr>
              <w:pStyle w:val="Tabletext"/>
              <w:rPr>
                <w:lang w:eastAsia="en-AU"/>
              </w:rPr>
            </w:pPr>
            <w:r w:rsidRPr="00B80ED0">
              <w:rPr>
                <w:lang w:eastAsia="en-AU"/>
              </w:rPr>
              <w:t xml:space="preserve">Swinburne University </w:t>
            </w:r>
          </w:p>
        </w:tc>
        <w:tc>
          <w:tcPr>
            <w:tcW w:w="641" w:type="dxa"/>
            <w:tcBorders>
              <w:top w:val="nil"/>
              <w:left w:val="dashed" w:sz="4" w:space="0" w:color="auto"/>
              <w:bottom w:val="nil"/>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28</w:t>
            </w:r>
          </w:p>
        </w:tc>
        <w:tc>
          <w:tcPr>
            <w:tcW w:w="642" w:type="dxa"/>
            <w:tcBorders>
              <w:top w:val="nil"/>
              <w:left w:val="nil"/>
              <w:bottom w:val="nil"/>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24</w:t>
            </w:r>
          </w:p>
        </w:tc>
        <w:tc>
          <w:tcPr>
            <w:tcW w:w="641" w:type="dxa"/>
            <w:tcBorders>
              <w:top w:val="nil"/>
              <w:left w:val="nil"/>
              <w:bottom w:val="nil"/>
              <w:right w:val="dashed" w:sz="4" w:space="0" w:color="auto"/>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54</w:t>
            </w:r>
          </w:p>
        </w:tc>
        <w:tc>
          <w:tcPr>
            <w:tcW w:w="642" w:type="dxa"/>
            <w:tcBorders>
              <w:top w:val="nil"/>
              <w:left w:val="dashed" w:sz="4" w:space="0" w:color="auto"/>
              <w:bottom w:val="nil"/>
              <w:right w:val="nil"/>
            </w:tcBorders>
            <w:shd w:val="clear" w:color="auto" w:fill="auto"/>
            <w:noWrap/>
            <w:hideMark/>
          </w:tcPr>
          <w:p w:rsidR="00564AA9" w:rsidRPr="00B80ED0" w:rsidRDefault="00564AA9" w:rsidP="009230BC">
            <w:pPr>
              <w:pStyle w:val="Tabletext"/>
              <w:tabs>
                <w:tab w:val="decimal" w:pos="340"/>
              </w:tabs>
              <w:rPr>
                <w:lang w:eastAsia="en-AU"/>
              </w:rPr>
            </w:pPr>
          </w:p>
        </w:tc>
        <w:tc>
          <w:tcPr>
            <w:tcW w:w="642" w:type="dxa"/>
            <w:tcBorders>
              <w:top w:val="nil"/>
              <w:left w:val="nil"/>
              <w:bottom w:val="nil"/>
              <w:right w:val="dashed" w:sz="4" w:space="0" w:color="auto"/>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23</w:t>
            </w:r>
          </w:p>
        </w:tc>
        <w:tc>
          <w:tcPr>
            <w:tcW w:w="641" w:type="dxa"/>
            <w:tcBorders>
              <w:top w:val="nil"/>
              <w:left w:val="dashed" w:sz="4" w:space="0" w:color="auto"/>
              <w:bottom w:val="nil"/>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11</w:t>
            </w:r>
          </w:p>
        </w:tc>
        <w:tc>
          <w:tcPr>
            <w:tcW w:w="642" w:type="dxa"/>
            <w:tcBorders>
              <w:top w:val="nil"/>
              <w:left w:val="nil"/>
              <w:bottom w:val="nil"/>
              <w:right w:val="dashed" w:sz="4" w:space="0" w:color="auto"/>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19</w:t>
            </w:r>
          </w:p>
        </w:tc>
        <w:tc>
          <w:tcPr>
            <w:tcW w:w="641" w:type="dxa"/>
            <w:tcBorders>
              <w:top w:val="nil"/>
              <w:left w:val="dashed" w:sz="4" w:space="0" w:color="auto"/>
              <w:bottom w:val="nil"/>
              <w:right w:val="nil"/>
            </w:tcBorders>
            <w:shd w:val="clear" w:color="000000" w:fill="FFFFFF"/>
            <w:noWrap/>
            <w:hideMark/>
          </w:tcPr>
          <w:p w:rsidR="00564AA9" w:rsidRPr="00B80ED0" w:rsidRDefault="00564AA9" w:rsidP="009230BC">
            <w:pPr>
              <w:pStyle w:val="Tabletext"/>
              <w:tabs>
                <w:tab w:val="decimal" w:pos="340"/>
              </w:tabs>
              <w:rPr>
                <w:lang w:eastAsia="en-AU"/>
              </w:rPr>
            </w:pPr>
            <w:r w:rsidRPr="00B80ED0">
              <w:rPr>
                <w:lang w:eastAsia="en-AU"/>
              </w:rPr>
              <w:t> </w:t>
            </w:r>
          </w:p>
        </w:tc>
        <w:tc>
          <w:tcPr>
            <w:tcW w:w="642" w:type="dxa"/>
            <w:tcBorders>
              <w:top w:val="nil"/>
              <w:left w:val="nil"/>
              <w:bottom w:val="nil"/>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15</w:t>
            </w:r>
          </w:p>
        </w:tc>
        <w:tc>
          <w:tcPr>
            <w:tcW w:w="642" w:type="dxa"/>
            <w:tcBorders>
              <w:top w:val="nil"/>
              <w:left w:val="nil"/>
              <w:bottom w:val="nil"/>
              <w:right w:val="dashed" w:sz="4" w:space="0" w:color="auto"/>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19</w:t>
            </w:r>
          </w:p>
        </w:tc>
        <w:tc>
          <w:tcPr>
            <w:tcW w:w="530" w:type="dxa"/>
            <w:tcBorders>
              <w:top w:val="nil"/>
              <w:left w:val="dashed" w:sz="4" w:space="0" w:color="auto"/>
              <w:bottom w:val="nil"/>
              <w:right w:val="nil"/>
            </w:tcBorders>
            <w:shd w:val="clear" w:color="000000" w:fill="FFFFFF"/>
            <w:noWrap/>
            <w:hideMark/>
          </w:tcPr>
          <w:p w:rsidR="00564AA9" w:rsidRPr="00B80ED0" w:rsidRDefault="00564AA9" w:rsidP="009230BC">
            <w:pPr>
              <w:pStyle w:val="Tabletext"/>
              <w:tabs>
                <w:tab w:val="decimal" w:pos="284"/>
              </w:tabs>
              <w:rPr>
                <w:lang w:eastAsia="en-AU"/>
              </w:rPr>
            </w:pPr>
            <w:r w:rsidRPr="00B80ED0">
              <w:rPr>
                <w:lang w:eastAsia="en-AU"/>
              </w:rPr>
              <w:t>20</w:t>
            </w:r>
          </w:p>
        </w:tc>
      </w:tr>
      <w:tr w:rsidR="00564AA9" w:rsidRPr="00B80ED0" w:rsidTr="00AE0E1C">
        <w:tc>
          <w:tcPr>
            <w:tcW w:w="1843" w:type="dxa"/>
            <w:tcBorders>
              <w:top w:val="nil"/>
              <w:left w:val="nil"/>
              <w:bottom w:val="nil"/>
              <w:right w:val="dashed" w:sz="4" w:space="0" w:color="auto"/>
            </w:tcBorders>
            <w:shd w:val="clear" w:color="000000" w:fill="FFFFFF"/>
            <w:noWrap/>
            <w:hideMark/>
          </w:tcPr>
          <w:p w:rsidR="00564AA9" w:rsidRPr="00B80ED0" w:rsidRDefault="00564AA9" w:rsidP="007105CE">
            <w:pPr>
              <w:pStyle w:val="Tabletext"/>
              <w:rPr>
                <w:lang w:eastAsia="en-AU"/>
              </w:rPr>
            </w:pPr>
            <w:r w:rsidRPr="00B80ED0">
              <w:rPr>
                <w:lang w:eastAsia="en-AU"/>
              </w:rPr>
              <w:t>University of Western Sydney</w:t>
            </w:r>
          </w:p>
        </w:tc>
        <w:tc>
          <w:tcPr>
            <w:tcW w:w="641" w:type="dxa"/>
            <w:tcBorders>
              <w:top w:val="nil"/>
              <w:left w:val="dashed" w:sz="4" w:space="0" w:color="auto"/>
              <w:bottom w:val="nil"/>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23</w:t>
            </w:r>
          </w:p>
        </w:tc>
        <w:tc>
          <w:tcPr>
            <w:tcW w:w="642" w:type="dxa"/>
            <w:tcBorders>
              <w:top w:val="nil"/>
              <w:left w:val="nil"/>
              <w:bottom w:val="nil"/>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10</w:t>
            </w:r>
          </w:p>
        </w:tc>
        <w:tc>
          <w:tcPr>
            <w:tcW w:w="641" w:type="dxa"/>
            <w:tcBorders>
              <w:top w:val="nil"/>
              <w:left w:val="nil"/>
              <w:bottom w:val="nil"/>
              <w:right w:val="dashed" w:sz="4" w:space="0" w:color="auto"/>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16</w:t>
            </w:r>
          </w:p>
        </w:tc>
        <w:tc>
          <w:tcPr>
            <w:tcW w:w="642" w:type="dxa"/>
            <w:tcBorders>
              <w:top w:val="nil"/>
              <w:left w:val="dashed" w:sz="4" w:space="0" w:color="auto"/>
              <w:bottom w:val="nil"/>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30</w:t>
            </w:r>
          </w:p>
        </w:tc>
        <w:tc>
          <w:tcPr>
            <w:tcW w:w="642" w:type="dxa"/>
            <w:tcBorders>
              <w:top w:val="nil"/>
              <w:left w:val="nil"/>
              <w:bottom w:val="nil"/>
              <w:right w:val="dashed" w:sz="4" w:space="0" w:color="auto"/>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26</w:t>
            </w:r>
          </w:p>
        </w:tc>
        <w:tc>
          <w:tcPr>
            <w:tcW w:w="641" w:type="dxa"/>
            <w:tcBorders>
              <w:top w:val="nil"/>
              <w:left w:val="dashed" w:sz="4" w:space="0" w:color="auto"/>
              <w:bottom w:val="nil"/>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15</w:t>
            </w:r>
          </w:p>
        </w:tc>
        <w:tc>
          <w:tcPr>
            <w:tcW w:w="642" w:type="dxa"/>
            <w:tcBorders>
              <w:top w:val="nil"/>
              <w:left w:val="nil"/>
              <w:bottom w:val="nil"/>
              <w:right w:val="dashed" w:sz="4" w:space="0" w:color="auto"/>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23</w:t>
            </w:r>
          </w:p>
        </w:tc>
        <w:tc>
          <w:tcPr>
            <w:tcW w:w="641" w:type="dxa"/>
            <w:tcBorders>
              <w:top w:val="nil"/>
              <w:left w:val="dashed" w:sz="4" w:space="0" w:color="auto"/>
              <w:bottom w:val="nil"/>
              <w:right w:val="nil"/>
            </w:tcBorders>
            <w:shd w:val="clear" w:color="000000" w:fill="FFFFFF"/>
            <w:noWrap/>
            <w:hideMark/>
          </w:tcPr>
          <w:p w:rsidR="00564AA9" w:rsidRPr="00B80ED0" w:rsidRDefault="00564AA9" w:rsidP="009230BC">
            <w:pPr>
              <w:pStyle w:val="Tabletext"/>
              <w:tabs>
                <w:tab w:val="decimal" w:pos="340"/>
              </w:tabs>
              <w:rPr>
                <w:lang w:eastAsia="en-AU"/>
              </w:rPr>
            </w:pPr>
            <w:r w:rsidRPr="00B80ED0">
              <w:rPr>
                <w:lang w:eastAsia="en-AU"/>
              </w:rPr>
              <w:t> </w:t>
            </w:r>
          </w:p>
        </w:tc>
        <w:tc>
          <w:tcPr>
            <w:tcW w:w="642" w:type="dxa"/>
            <w:tcBorders>
              <w:top w:val="nil"/>
              <w:left w:val="nil"/>
              <w:bottom w:val="nil"/>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17</w:t>
            </w:r>
          </w:p>
        </w:tc>
        <w:tc>
          <w:tcPr>
            <w:tcW w:w="642" w:type="dxa"/>
            <w:tcBorders>
              <w:top w:val="nil"/>
              <w:left w:val="nil"/>
              <w:bottom w:val="nil"/>
              <w:right w:val="dashed" w:sz="4" w:space="0" w:color="auto"/>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10</w:t>
            </w:r>
          </w:p>
        </w:tc>
        <w:tc>
          <w:tcPr>
            <w:tcW w:w="530" w:type="dxa"/>
            <w:tcBorders>
              <w:top w:val="nil"/>
              <w:left w:val="dashed" w:sz="4" w:space="0" w:color="auto"/>
              <w:bottom w:val="nil"/>
              <w:right w:val="nil"/>
            </w:tcBorders>
            <w:shd w:val="clear" w:color="000000" w:fill="FFFFFF"/>
            <w:noWrap/>
            <w:hideMark/>
          </w:tcPr>
          <w:p w:rsidR="00564AA9" w:rsidRPr="00B80ED0" w:rsidRDefault="00564AA9" w:rsidP="009230BC">
            <w:pPr>
              <w:pStyle w:val="Tabletext"/>
              <w:tabs>
                <w:tab w:val="decimal" w:pos="284"/>
              </w:tabs>
              <w:rPr>
                <w:lang w:eastAsia="en-AU"/>
              </w:rPr>
            </w:pPr>
            <w:r w:rsidRPr="00B80ED0">
              <w:rPr>
                <w:lang w:eastAsia="en-AU"/>
              </w:rPr>
              <w:t>17</w:t>
            </w:r>
          </w:p>
        </w:tc>
      </w:tr>
      <w:tr w:rsidR="00564AA9" w:rsidRPr="00B80ED0" w:rsidTr="00AE0E1C">
        <w:tc>
          <w:tcPr>
            <w:tcW w:w="1843" w:type="dxa"/>
            <w:tcBorders>
              <w:top w:val="nil"/>
              <w:left w:val="nil"/>
              <w:bottom w:val="nil"/>
              <w:right w:val="dashed" w:sz="4" w:space="0" w:color="auto"/>
            </w:tcBorders>
            <w:shd w:val="clear" w:color="000000" w:fill="FFFFFF"/>
            <w:noWrap/>
            <w:hideMark/>
          </w:tcPr>
          <w:p w:rsidR="00564AA9" w:rsidRPr="00B80ED0" w:rsidRDefault="00564AA9" w:rsidP="007105CE">
            <w:pPr>
              <w:pStyle w:val="Tabletext"/>
              <w:rPr>
                <w:lang w:eastAsia="en-AU"/>
              </w:rPr>
            </w:pPr>
            <w:r w:rsidRPr="00B80ED0">
              <w:rPr>
                <w:lang w:eastAsia="en-AU"/>
              </w:rPr>
              <w:t xml:space="preserve">Victoria University </w:t>
            </w:r>
          </w:p>
        </w:tc>
        <w:tc>
          <w:tcPr>
            <w:tcW w:w="641" w:type="dxa"/>
            <w:tcBorders>
              <w:top w:val="nil"/>
              <w:left w:val="dashed" w:sz="4" w:space="0" w:color="auto"/>
              <w:bottom w:val="nil"/>
              <w:right w:val="nil"/>
            </w:tcBorders>
            <w:shd w:val="clear" w:color="auto" w:fill="auto"/>
            <w:noWrap/>
            <w:hideMark/>
          </w:tcPr>
          <w:p w:rsidR="00564AA9" w:rsidRPr="00B80ED0" w:rsidRDefault="00564AA9" w:rsidP="009230BC">
            <w:pPr>
              <w:pStyle w:val="Tabletext"/>
              <w:tabs>
                <w:tab w:val="decimal" w:pos="340"/>
              </w:tabs>
              <w:rPr>
                <w:lang w:eastAsia="en-AU"/>
              </w:rPr>
            </w:pPr>
            <w:r w:rsidRPr="00B80ED0">
              <w:rPr>
                <w:lang w:eastAsia="en-AU"/>
              </w:rPr>
              <w:t>13</w:t>
            </w:r>
          </w:p>
        </w:tc>
        <w:tc>
          <w:tcPr>
            <w:tcW w:w="642" w:type="dxa"/>
            <w:tcBorders>
              <w:top w:val="nil"/>
              <w:left w:val="nil"/>
              <w:bottom w:val="nil"/>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13</w:t>
            </w:r>
          </w:p>
        </w:tc>
        <w:tc>
          <w:tcPr>
            <w:tcW w:w="641" w:type="dxa"/>
            <w:tcBorders>
              <w:top w:val="nil"/>
              <w:left w:val="nil"/>
              <w:bottom w:val="nil"/>
              <w:right w:val="dashed" w:sz="4" w:space="0" w:color="auto"/>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28</w:t>
            </w:r>
          </w:p>
        </w:tc>
        <w:tc>
          <w:tcPr>
            <w:tcW w:w="642" w:type="dxa"/>
            <w:tcBorders>
              <w:top w:val="nil"/>
              <w:left w:val="dashed" w:sz="4" w:space="0" w:color="auto"/>
              <w:bottom w:val="nil"/>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24</w:t>
            </w:r>
          </w:p>
        </w:tc>
        <w:tc>
          <w:tcPr>
            <w:tcW w:w="642" w:type="dxa"/>
            <w:tcBorders>
              <w:top w:val="nil"/>
              <w:left w:val="nil"/>
              <w:bottom w:val="nil"/>
              <w:right w:val="dashed" w:sz="4" w:space="0" w:color="auto"/>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23</w:t>
            </w:r>
          </w:p>
        </w:tc>
        <w:tc>
          <w:tcPr>
            <w:tcW w:w="641" w:type="dxa"/>
            <w:tcBorders>
              <w:top w:val="nil"/>
              <w:left w:val="dashed" w:sz="4" w:space="0" w:color="auto"/>
              <w:bottom w:val="nil"/>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13</w:t>
            </w:r>
          </w:p>
        </w:tc>
        <w:tc>
          <w:tcPr>
            <w:tcW w:w="642" w:type="dxa"/>
            <w:tcBorders>
              <w:top w:val="nil"/>
              <w:left w:val="nil"/>
              <w:bottom w:val="nil"/>
              <w:right w:val="dashed" w:sz="4" w:space="0" w:color="auto"/>
            </w:tcBorders>
            <w:shd w:val="clear" w:color="000000" w:fill="FFFFFF"/>
            <w:noWrap/>
            <w:hideMark/>
          </w:tcPr>
          <w:p w:rsidR="00564AA9" w:rsidRPr="00B80ED0" w:rsidRDefault="00564AA9" w:rsidP="009230BC">
            <w:pPr>
              <w:pStyle w:val="Tabletext"/>
              <w:tabs>
                <w:tab w:val="decimal" w:pos="340"/>
              </w:tabs>
              <w:rPr>
                <w:lang w:eastAsia="en-AU"/>
              </w:rPr>
            </w:pPr>
            <w:r w:rsidRPr="00B80ED0">
              <w:rPr>
                <w:lang w:eastAsia="en-AU"/>
              </w:rPr>
              <w:t> </w:t>
            </w:r>
          </w:p>
        </w:tc>
        <w:tc>
          <w:tcPr>
            <w:tcW w:w="641" w:type="dxa"/>
            <w:tcBorders>
              <w:top w:val="nil"/>
              <w:left w:val="dashed" w:sz="4" w:space="0" w:color="auto"/>
              <w:bottom w:val="nil"/>
              <w:right w:val="nil"/>
            </w:tcBorders>
            <w:shd w:val="clear" w:color="000000" w:fill="FFFFFF"/>
            <w:noWrap/>
            <w:hideMark/>
          </w:tcPr>
          <w:p w:rsidR="00564AA9" w:rsidRPr="00B80ED0" w:rsidRDefault="00564AA9" w:rsidP="009230BC">
            <w:pPr>
              <w:pStyle w:val="Tabletext"/>
              <w:tabs>
                <w:tab w:val="decimal" w:pos="340"/>
              </w:tabs>
              <w:rPr>
                <w:lang w:eastAsia="en-AU"/>
              </w:rPr>
            </w:pPr>
            <w:r w:rsidRPr="00B80ED0">
              <w:rPr>
                <w:lang w:eastAsia="en-AU"/>
              </w:rPr>
              <w:t> </w:t>
            </w:r>
          </w:p>
        </w:tc>
        <w:tc>
          <w:tcPr>
            <w:tcW w:w="642" w:type="dxa"/>
            <w:tcBorders>
              <w:top w:val="nil"/>
              <w:left w:val="nil"/>
              <w:bottom w:val="nil"/>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12</w:t>
            </w:r>
          </w:p>
        </w:tc>
        <w:tc>
          <w:tcPr>
            <w:tcW w:w="642" w:type="dxa"/>
            <w:tcBorders>
              <w:top w:val="nil"/>
              <w:left w:val="nil"/>
              <w:bottom w:val="nil"/>
              <w:right w:val="dashed" w:sz="4" w:space="0" w:color="auto"/>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12</w:t>
            </w:r>
          </w:p>
        </w:tc>
        <w:tc>
          <w:tcPr>
            <w:tcW w:w="530" w:type="dxa"/>
            <w:tcBorders>
              <w:top w:val="nil"/>
              <w:left w:val="dashed" w:sz="4" w:space="0" w:color="auto"/>
              <w:bottom w:val="nil"/>
              <w:right w:val="nil"/>
            </w:tcBorders>
            <w:shd w:val="clear" w:color="000000" w:fill="FFFFFF"/>
            <w:noWrap/>
            <w:hideMark/>
          </w:tcPr>
          <w:p w:rsidR="00564AA9" w:rsidRPr="00B80ED0" w:rsidRDefault="00564AA9" w:rsidP="009230BC">
            <w:pPr>
              <w:pStyle w:val="Tabletext"/>
              <w:tabs>
                <w:tab w:val="decimal" w:pos="284"/>
              </w:tabs>
              <w:rPr>
                <w:lang w:eastAsia="en-AU"/>
              </w:rPr>
            </w:pPr>
            <w:r w:rsidRPr="00B80ED0">
              <w:rPr>
                <w:lang w:eastAsia="en-AU"/>
              </w:rPr>
              <w:t>16</w:t>
            </w:r>
          </w:p>
        </w:tc>
      </w:tr>
      <w:tr w:rsidR="00564AA9" w:rsidRPr="00B80ED0" w:rsidTr="00AE0E1C">
        <w:tc>
          <w:tcPr>
            <w:tcW w:w="1843" w:type="dxa"/>
            <w:tcBorders>
              <w:top w:val="nil"/>
              <w:left w:val="nil"/>
              <w:bottom w:val="nil"/>
              <w:right w:val="dashed" w:sz="4" w:space="0" w:color="auto"/>
            </w:tcBorders>
            <w:shd w:val="clear" w:color="000000" w:fill="FFFFFF"/>
            <w:noWrap/>
            <w:hideMark/>
          </w:tcPr>
          <w:p w:rsidR="00564AA9" w:rsidRPr="00B80ED0" w:rsidRDefault="00564AA9" w:rsidP="007105CE">
            <w:pPr>
              <w:pStyle w:val="Tabletext"/>
              <w:rPr>
                <w:lang w:eastAsia="en-AU"/>
              </w:rPr>
            </w:pPr>
            <w:r w:rsidRPr="00B80ED0">
              <w:rPr>
                <w:lang w:eastAsia="en-AU"/>
              </w:rPr>
              <w:t>Edith Cowan University</w:t>
            </w:r>
          </w:p>
        </w:tc>
        <w:tc>
          <w:tcPr>
            <w:tcW w:w="641" w:type="dxa"/>
            <w:tcBorders>
              <w:top w:val="nil"/>
              <w:left w:val="dashed" w:sz="4" w:space="0" w:color="auto"/>
              <w:bottom w:val="nil"/>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28</w:t>
            </w:r>
          </w:p>
        </w:tc>
        <w:tc>
          <w:tcPr>
            <w:tcW w:w="642" w:type="dxa"/>
            <w:tcBorders>
              <w:top w:val="nil"/>
              <w:left w:val="nil"/>
              <w:bottom w:val="nil"/>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11</w:t>
            </w:r>
          </w:p>
        </w:tc>
        <w:tc>
          <w:tcPr>
            <w:tcW w:w="641" w:type="dxa"/>
            <w:tcBorders>
              <w:top w:val="nil"/>
              <w:left w:val="nil"/>
              <w:bottom w:val="nil"/>
              <w:right w:val="dashed" w:sz="4" w:space="0" w:color="auto"/>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20</w:t>
            </w:r>
          </w:p>
        </w:tc>
        <w:tc>
          <w:tcPr>
            <w:tcW w:w="642" w:type="dxa"/>
            <w:tcBorders>
              <w:top w:val="nil"/>
              <w:left w:val="dashed" w:sz="4" w:space="0" w:color="auto"/>
              <w:bottom w:val="nil"/>
              <w:right w:val="nil"/>
            </w:tcBorders>
            <w:shd w:val="clear" w:color="000000" w:fill="FFFFFF"/>
            <w:noWrap/>
            <w:hideMark/>
          </w:tcPr>
          <w:p w:rsidR="00564AA9" w:rsidRPr="00B80ED0" w:rsidRDefault="00564AA9" w:rsidP="009230BC">
            <w:pPr>
              <w:pStyle w:val="Tabletext"/>
              <w:tabs>
                <w:tab w:val="decimal" w:pos="340"/>
              </w:tabs>
              <w:rPr>
                <w:lang w:eastAsia="en-AU"/>
              </w:rPr>
            </w:pPr>
            <w:r w:rsidRPr="00B80ED0">
              <w:rPr>
                <w:lang w:eastAsia="en-AU"/>
              </w:rPr>
              <w:t>13</w:t>
            </w:r>
          </w:p>
        </w:tc>
        <w:tc>
          <w:tcPr>
            <w:tcW w:w="642" w:type="dxa"/>
            <w:tcBorders>
              <w:top w:val="nil"/>
              <w:left w:val="nil"/>
              <w:bottom w:val="nil"/>
              <w:right w:val="dashed" w:sz="4" w:space="0" w:color="auto"/>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33</w:t>
            </w:r>
          </w:p>
        </w:tc>
        <w:tc>
          <w:tcPr>
            <w:tcW w:w="641" w:type="dxa"/>
            <w:tcBorders>
              <w:top w:val="nil"/>
              <w:left w:val="dashed" w:sz="4" w:space="0" w:color="auto"/>
              <w:bottom w:val="nil"/>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14</w:t>
            </w:r>
          </w:p>
        </w:tc>
        <w:tc>
          <w:tcPr>
            <w:tcW w:w="642" w:type="dxa"/>
            <w:tcBorders>
              <w:top w:val="nil"/>
              <w:left w:val="nil"/>
              <w:bottom w:val="nil"/>
              <w:right w:val="dashed" w:sz="4" w:space="0" w:color="auto"/>
            </w:tcBorders>
            <w:shd w:val="clear" w:color="000000" w:fill="FFFFFF"/>
            <w:noWrap/>
            <w:hideMark/>
          </w:tcPr>
          <w:p w:rsidR="00564AA9" w:rsidRPr="00B80ED0" w:rsidRDefault="00564AA9" w:rsidP="009230BC">
            <w:pPr>
              <w:pStyle w:val="Tabletext"/>
              <w:tabs>
                <w:tab w:val="decimal" w:pos="340"/>
              </w:tabs>
              <w:rPr>
                <w:lang w:eastAsia="en-AU"/>
              </w:rPr>
            </w:pPr>
            <w:r w:rsidRPr="00B80ED0">
              <w:rPr>
                <w:lang w:eastAsia="en-AU"/>
              </w:rPr>
              <w:t> </w:t>
            </w:r>
          </w:p>
        </w:tc>
        <w:tc>
          <w:tcPr>
            <w:tcW w:w="641" w:type="dxa"/>
            <w:tcBorders>
              <w:top w:val="nil"/>
              <w:left w:val="dashed" w:sz="4" w:space="0" w:color="auto"/>
              <w:bottom w:val="nil"/>
              <w:right w:val="nil"/>
            </w:tcBorders>
            <w:shd w:val="clear" w:color="000000" w:fill="FFFFFF"/>
            <w:noWrap/>
            <w:hideMark/>
          </w:tcPr>
          <w:p w:rsidR="00564AA9" w:rsidRPr="00B80ED0" w:rsidRDefault="00564AA9" w:rsidP="009230BC">
            <w:pPr>
              <w:pStyle w:val="Tabletext"/>
              <w:tabs>
                <w:tab w:val="decimal" w:pos="340"/>
              </w:tabs>
              <w:rPr>
                <w:lang w:eastAsia="en-AU"/>
              </w:rPr>
            </w:pPr>
            <w:r w:rsidRPr="00B80ED0">
              <w:rPr>
                <w:lang w:eastAsia="en-AU"/>
              </w:rPr>
              <w:t> </w:t>
            </w:r>
          </w:p>
        </w:tc>
        <w:tc>
          <w:tcPr>
            <w:tcW w:w="642" w:type="dxa"/>
            <w:tcBorders>
              <w:top w:val="nil"/>
              <w:left w:val="nil"/>
              <w:bottom w:val="nil"/>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15</w:t>
            </w:r>
          </w:p>
        </w:tc>
        <w:tc>
          <w:tcPr>
            <w:tcW w:w="642" w:type="dxa"/>
            <w:tcBorders>
              <w:top w:val="nil"/>
              <w:left w:val="nil"/>
              <w:bottom w:val="nil"/>
              <w:right w:val="dashed" w:sz="4" w:space="0" w:color="auto"/>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7</w:t>
            </w:r>
          </w:p>
        </w:tc>
        <w:tc>
          <w:tcPr>
            <w:tcW w:w="530" w:type="dxa"/>
            <w:tcBorders>
              <w:top w:val="nil"/>
              <w:left w:val="dashed" w:sz="4" w:space="0" w:color="auto"/>
              <w:bottom w:val="nil"/>
              <w:right w:val="nil"/>
            </w:tcBorders>
            <w:shd w:val="clear" w:color="000000" w:fill="FFFFFF"/>
            <w:noWrap/>
            <w:hideMark/>
          </w:tcPr>
          <w:p w:rsidR="00564AA9" w:rsidRPr="00B80ED0" w:rsidRDefault="00564AA9" w:rsidP="009230BC">
            <w:pPr>
              <w:pStyle w:val="Tabletext"/>
              <w:tabs>
                <w:tab w:val="decimal" w:pos="284"/>
              </w:tabs>
              <w:rPr>
                <w:lang w:eastAsia="en-AU"/>
              </w:rPr>
            </w:pPr>
            <w:r w:rsidRPr="00B80ED0">
              <w:rPr>
                <w:lang w:eastAsia="en-AU"/>
              </w:rPr>
              <w:t>16</w:t>
            </w:r>
          </w:p>
        </w:tc>
      </w:tr>
      <w:tr w:rsidR="00564AA9" w:rsidRPr="00B80ED0" w:rsidTr="00D863E8">
        <w:tc>
          <w:tcPr>
            <w:tcW w:w="1843" w:type="dxa"/>
            <w:tcBorders>
              <w:top w:val="nil"/>
              <w:left w:val="nil"/>
              <w:bottom w:val="single" w:sz="4" w:space="0" w:color="auto"/>
              <w:right w:val="dashed" w:sz="4" w:space="0" w:color="auto"/>
            </w:tcBorders>
            <w:shd w:val="clear" w:color="000000" w:fill="FFFFFF"/>
            <w:noWrap/>
            <w:hideMark/>
          </w:tcPr>
          <w:p w:rsidR="00564AA9" w:rsidRPr="00B80ED0" w:rsidRDefault="00564AA9" w:rsidP="007105CE">
            <w:pPr>
              <w:pStyle w:val="Tabletext"/>
              <w:rPr>
                <w:lang w:eastAsia="en-AU"/>
              </w:rPr>
            </w:pPr>
            <w:r w:rsidRPr="00B80ED0">
              <w:rPr>
                <w:lang w:eastAsia="en-AU"/>
              </w:rPr>
              <w:t>Deakin University</w:t>
            </w:r>
          </w:p>
        </w:tc>
        <w:tc>
          <w:tcPr>
            <w:tcW w:w="641" w:type="dxa"/>
            <w:tcBorders>
              <w:top w:val="nil"/>
              <w:left w:val="dashed" w:sz="4" w:space="0" w:color="auto"/>
              <w:bottom w:val="single" w:sz="4" w:space="0" w:color="auto"/>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17</w:t>
            </w:r>
          </w:p>
        </w:tc>
        <w:tc>
          <w:tcPr>
            <w:tcW w:w="642" w:type="dxa"/>
            <w:tcBorders>
              <w:top w:val="nil"/>
              <w:left w:val="nil"/>
              <w:bottom w:val="single" w:sz="4" w:space="0" w:color="auto"/>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11</w:t>
            </w:r>
          </w:p>
        </w:tc>
        <w:tc>
          <w:tcPr>
            <w:tcW w:w="641" w:type="dxa"/>
            <w:tcBorders>
              <w:top w:val="nil"/>
              <w:left w:val="nil"/>
              <w:bottom w:val="single" w:sz="4" w:space="0" w:color="auto"/>
              <w:right w:val="dashed" w:sz="4" w:space="0" w:color="auto"/>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18</w:t>
            </w:r>
          </w:p>
        </w:tc>
        <w:tc>
          <w:tcPr>
            <w:tcW w:w="642" w:type="dxa"/>
            <w:tcBorders>
              <w:top w:val="nil"/>
              <w:left w:val="dashed" w:sz="4" w:space="0" w:color="auto"/>
              <w:bottom w:val="single" w:sz="4" w:space="0" w:color="auto"/>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28</w:t>
            </w:r>
          </w:p>
        </w:tc>
        <w:tc>
          <w:tcPr>
            <w:tcW w:w="642" w:type="dxa"/>
            <w:tcBorders>
              <w:top w:val="nil"/>
              <w:left w:val="nil"/>
              <w:bottom w:val="single" w:sz="4" w:space="0" w:color="auto"/>
              <w:right w:val="dashed" w:sz="4" w:space="0" w:color="auto"/>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17</w:t>
            </w:r>
          </w:p>
        </w:tc>
        <w:tc>
          <w:tcPr>
            <w:tcW w:w="641" w:type="dxa"/>
            <w:tcBorders>
              <w:top w:val="nil"/>
              <w:left w:val="dashed" w:sz="4" w:space="0" w:color="auto"/>
              <w:bottom w:val="single" w:sz="4" w:space="0" w:color="auto"/>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20</w:t>
            </w:r>
          </w:p>
        </w:tc>
        <w:tc>
          <w:tcPr>
            <w:tcW w:w="642" w:type="dxa"/>
            <w:tcBorders>
              <w:top w:val="nil"/>
              <w:left w:val="nil"/>
              <w:bottom w:val="single" w:sz="4" w:space="0" w:color="auto"/>
              <w:right w:val="dashed" w:sz="4" w:space="0" w:color="auto"/>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28</w:t>
            </w:r>
          </w:p>
        </w:tc>
        <w:tc>
          <w:tcPr>
            <w:tcW w:w="641" w:type="dxa"/>
            <w:tcBorders>
              <w:top w:val="nil"/>
              <w:left w:val="dashed" w:sz="4" w:space="0" w:color="auto"/>
              <w:bottom w:val="single" w:sz="4" w:space="0" w:color="auto"/>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14</w:t>
            </w:r>
          </w:p>
        </w:tc>
        <w:tc>
          <w:tcPr>
            <w:tcW w:w="642" w:type="dxa"/>
            <w:tcBorders>
              <w:top w:val="nil"/>
              <w:left w:val="nil"/>
              <w:bottom w:val="single" w:sz="4" w:space="0" w:color="auto"/>
              <w:right w:val="nil"/>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11</w:t>
            </w:r>
          </w:p>
        </w:tc>
        <w:tc>
          <w:tcPr>
            <w:tcW w:w="642" w:type="dxa"/>
            <w:tcBorders>
              <w:top w:val="nil"/>
              <w:left w:val="nil"/>
              <w:bottom w:val="single" w:sz="4" w:space="0" w:color="auto"/>
              <w:right w:val="dashed" w:sz="4" w:space="0" w:color="auto"/>
            </w:tcBorders>
            <w:shd w:val="clear" w:color="auto" w:fill="BFBFBF" w:themeFill="background1" w:themeFillShade="BF"/>
            <w:noWrap/>
            <w:hideMark/>
          </w:tcPr>
          <w:p w:rsidR="00564AA9" w:rsidRPr="00B80ED0" w:rsidRDefault="00564AA9" w:rsidP="009230BC">
            <w:pPr>
              <w:pStyle w:val="Tabletext"/>
              <w:tabs>
                <w:tab w:val="decimal" w:pos="340"/>
              </w:tabs>
              <w:rPr>
                <w:lang w:eastAsia="en-AU"/>
              </w:rPr>
            </w:pPr>
            <w:r w:rsidRPr="00B80ED0">
              <w:rPr>
                <w:lang w:eastAsia="en-AU"/>
              </w:rPr>
              <w:t>6</w:t>
            </w:r>
          </w:p>
        </w:tc>
        <w:tc>
          <w:tcPr>
            <w:tcW w:w="530" w:type="dxa"/>
            <w:tcBorders>
              <w:top w:val="nil"/>
              <w:left w:val="dashed" w:sz="4" w:space="0" w:color="auto"/>
              <w:bottom w:val="single" w:sz="4" w:space="0" w:color="auto"/>
              <w:right w:val="nil"/>
            </w:tcBorders>
            <w:shd w:val="clear" w:color="000000" w:fill="FFFFFF"/>
            <w:noWrap/>
            <w:hideMark/>
          </w:tcPr>
          <w:p w:rsidR="00564AA9" w:rsidRPr="00B80ED0" w:rsidRDefault="00564AA9" w:rsidP="009230BC">
            <w:pPr>
              <w:pStyle w:val="Tabletext"/>
              <w:tabs>
                <w:tab w:val="decimal" w:pos="284"/>
              </w:tabs>
              <w:rPr>
                <w:lang w:eastAsia="en-AU"/>
              </w:rPr>
            </w:pPr>
            <w:r w:rsidRPr="00B80ED0">
              <w:rPr>
                <w:lang w:eastAsia="en-AU"/>
              </w:rPr>
              <w:t>16</w:t>
            </w:r>
          </w:p>
        </w:tc>
      </w:tr>
      <w:tr w:rsidR="00564AA9" w:rsidRPr="00B80ED0" w:rsidTr="00D863E8">
        <w:tc>
          <w:tcPr>
            <w:tcW w:w="1843" w:type="dxa"/>
            <w:tcBorders>
              <w:top w:val="single" w:sz="4" w:space="0" w:color="auto"/>
              <w:left w:val="nil"/>
              <w:bottom w:val="single" w:sz="4" w:space="0" w:color="auto"/>
              <w:right w:val="dashed" w:sz="4" w:space="0" w:color="auto"/>
            </w:tcBorders>
            <w:shd w:val="clear" w:color="000000" w:fill="FFFFFF"/>
            <w:noWrap/>
            <w:hideMark/>
          </w:tcPr>
          <w:p w:rsidR="00564AA9" w:rsidRPr="00B80ED0" w:rsidRDefault="00564AA9" w:rsidP="007105CE">
            <w:pPr>
              <w:pStyle w:val="Tabletext"/>
              <w:rPr>
                <w:b/>
                <w:bCs/>
                <w:lang w:eastAsia="en-AU"/>
              </w:rPr>
            </w:pPr>
            <w:r w:rsidRPr="00B80ED0">
              <w:rPr>
                <w:b/>
                <w:bCs/>
                <w:lang w:eastAsia="en-AU"/>
              </w:rPr>
              <w:t xml:space="preserve">Total Cluster 1 </w:t>
            </w:r>
          </w:p>
        </w:tc>
        <w:tc>
          <w:tcPr>
            <w:tcW w:w="641" w:type="dxa"/>
            <w:tcBorders>
              <w:top w:val="single" w:sz="4" w:space="0" w:color="auto"/>
              <w:left w:val="dashed" w:sz="4" w:space="0" w:color="auto"/>
              <w:bottom w:val="single" w:sz="4" w:space="0" w:color="auto"/>
              <w:right w:val="nil"/>
            </w:tcBorders>
            <w:shd w:val="clear" w:color="000000" w:fill="FFFFFF"/>
            <w:noWrap/>
            <w:hideMark/>
          </w:tcPr>
          <w:p w:rsidR="00564AA9" w:rsidRPr="00B80ED0" w:rsidRDefault="00564AA9" w:rsidP="009230BC">
            <w:pPr>
              <w:pStyle w:val="Tabletext"/>
              <w:tabs>
                <w:tab w:val="decimal" w:pos="340"/>
              </w:tabs>
              <w:rPr>
                <w:b/>
                <w:bCs/>
                <w:lang w:eastAsia="en-AU"/>
              </w:rPr>
            </w:pPr>
            <w:r w:rsidRPr="00B80ED0">
              <w:rPr>
                <w:b/>
                <w:bCs/>
                <w:lang w:eastAsia="en-AU"/>
              </w:rPr>
              <w:t>23</w:t>
            </w:r>
          </w:p>
        </w:tc>
        <w:tc>
          <w:tcPr>
            <w:tcW w:w="642" w:type="dxa"/>
            <w:tcBorders>
              <w:top w:val="single" w:sz="4" w:space="0" w:color="auto"/>
              <w:left w:val="nil"/>
              <w:bottom w:val="single" w:sz="4" w:space="0" w:color="auto"/>
              <w:right w:val="nil"/>
            </w:tcBorders>
            <w:shd w:val="clear" w:color="000000" w:fill="FFFFFF"/>
            <w:noWrap/>
            <w:hideMark/>
          </w:tcPr>
          <w:p w:rsidR="00564AA9" w:rsidRPr="00B80ED0" w:rsidRDefault="00564AA9" w:rsidP="009230BC">
            <w:pPr>
              <w:pStyle w:val="Tabletext"/>
              <w:tabs>
                <w:tab w:val="decimal" w:pos="340"/>
              </w:tabs>
              <w:rPr>
                <w:b/>
                <w:bCs/>
                <w:lang w:eastAsia="en-AU"/>
              </w:rPr>
            </w:pPr>
            <w:r w:rsidRPr="00B80ED0">
              <w:rPr>
                <w:b/>
                <w:bCs/>
                <w:lang w:eastAsia="en-AU"/>
              </w:rPr>
              <w:t>17</w:t>
            </w:r>
          </w:p>
        </w:tc>
        <w:tc>
          <w:tcPr>
            <w:tcW w:w="641" w:type="dxa"/>
            <w:tcBorders>
              <w:top w:val="single" w:sz="4" w:space="0" w:color="auto"/>
              <w:left w:val="nil"/>
              <w:bottom w:val="single" w:sz="4" w:space="0" w:color="auto"/>
              <w:right w:val="dashed" w:sz="4" w:space="0" w:color="auto"/>
            </w:tcBorders>
            <w:shd w:val="clear" w:color="000000" w:fill="FFFFFF"/>
            <w:noWrap/>
            <w:hideMark/>
          </w:tcPr>
          <w:p w:rsidR="00564AA9" w:rsidRPr="00B80ED0" w:rsidRDefault="00564AA9" w:rsidP="009230BC">
            <w:pPr>
              <w:pStyle w:val="Tabletext"/>
              <w:tabs>
                <w:tab w:val="decimal" w:pos="340"/>
              </w:tabs>
              <w:rPr>
                <w:b/>
                <w:bCs/>
                <w:lang w:eastAsia="en-AU"/>
              </w:rPr>
            </w:pPr>
            <w:r w:rsidRPr="00B80ED0">
              <w:rPr>
                <w:b/>
                <w:bCs/>
                <w:lang w:eastAsia="en-AU"/>
              </w:rPr>
              <w:t>19</w:t>
            </w:r>
          </w:p>
        </w:tc>
        <w:tc>
          <w:tcPr>
            <w:tcW w:w="642" w:type="dxa"/>
            <w:tcBorders>
              <w:top w:val="single" w:sz="4" w:space="0" w:color="auto"/>
              <w:left w:val="dashed" w:sz="4" w:space="0" w:color="auto"/>
              <w:bottom w:val="single" w:sz="4" w:space="0" w:color="auto"/>
              <w:right w:val="nil"/>
            </w:tcBorders>
            <w:shd w:val="clear" w:color="000000" w:fill="FFFFFF"/>
            <w:noWrap/>
            <w:hideMark/>
          </w:tcPr>
          <w:p w:rsidR="00564AA9" w:rsidRPr="00B80ED0" w:rsidRDefault="00564AA9" w:rsidP="009230BC">
            <w:pPr>
              <w:pStyle w:val="Tabletext"/>
              <w:tabs>
                <w:tab w:val="decimal" w:pos="340"/>
              </w:tabs>
              <w:rPr>
                <w:b/>
                <w:bCs/>
                <w:lang w:eastAsia="en-AU"/>
              </w:rPr>
            </w:pPr>
            <w:r w:rsidRPr="00B80ED0">
              <w:rPr>
                <w:b/>
                <w:bCs/>
                <w:lang w:eastAsia="en-AU"/>
              </w:rPr>
              <w:t>21</w:t>
            </w:r>
          </w:p>
        </w:tc>
        <w:tc>
          <w:tcPr>
            <w:tcW w:w="642" w:type="dxa"/>
            <w:tcBorders>
              <w:top w:val="single" w:sz="4" w:space="0" w:color="auto"/>
              <w:left w:val="nil"/>
              <w:bottom w:val="single" w:sz="4" w:space="0" w:color="auto"/>
              <w:right w:val="dashed" w:sz="4" w:space="0" w:color="auto"/>
            </w:tcBorders>
            <w:shd w:val="clear" w:color="000000" w:fill="FFFFFF"/>
            <w:noWrap/>
            <w:hideMark/>
          </w:tcPr>
          <w:p w:rsidR="00564AA9" w:rsidRPr="00B80ED0" w:rsidRDefault="00564AA9" w:rsidP="009230BC">
            <w:pPr>
              <w:pStyle w:val="Tabletext"/>
              <w:tabs>
                <w:tab w:val="decimal" w:pos="340"/>
              </w:tabs>
              <w:rPr>
                <w:b/>
                <w:bCs/>
                <w:lang w:eastAsia="en-AU"/>
              </w:rPr>
            </w:pPr>
            <w:r w:rsidRPr="00B80ED0">
              <w:rPr>
                <w:b/>
                <w:bCs/>
                <w:lang w:eastAsia="en-AU"/>
              </w:rPr>
              <w:t>24</w:t>
            </w:r>
          </w:p>
        </w:tc>
        <w:tc>
          <w:tcPr>
            <w:tcW w:w="641" w:type="dxa"/>
            <w:tcBorders>
              <w:top w:val="single" w:sz="4" w:space="0" w:color="auto"/>
              <w:left w:val="dashed" w:sz="4" w:space="0" w:color="auto"/>
              <w:bottom w:val="single" w:sz="4" w:space="0" w:color="auto"/>
              <w:right w:val="nil"/>
            </w:tcBorders>
            <w:shd w:val="clear" w:color="000000" w:fill="FFFFFF"/>
            <w:noWrap/>
            <w:hideMark/>
          </w:tcPr>
          <w:p w:rsidR="00564AA9" w:rsidRPr="00B80ED0" w:rsidRDefault="00564AA9" w:rsidP="009230BC">
            <w:pPr>
              <w:pStyle w:val="Tabletext"/>
              <w:tabs>
                <w:tab w:val="decimal" w:pos="340"/>
              </w:tabs>
              <w:rPr>
                <w:b/>
                <w:bCs/>
                <w:lang w:eastAsia="en-AU"/>
              </w:rPr>
            </w:pPr>
            <w:r w:rsidRPr="00B80ED0">
              <w:rPr>
                <w:b/>
                <w:bCs/>
                <w:lang w:eastAsia="en-AU"/>
              </w:rPr>
              <w:t>16</w:t>
            </w:r>
          </w:p>
        </w:tc>
        <w:tc>
          <w:tcPr>
            <w:tcW w:w="642" w:type="dxa"/>
            <w:tcBorders>
              <w:top w:val="single" w:sz="4" w:space="0" w:color="auto"/>
              <w:left w:val="nil"/>
              <w:bottom w:val="single" w:sz="4" w:space="0" w:color="auto"/>
              <w:right w:val="dashed" w:sz="4" w:space="0" w:color="auto"/>
            </w:tcBorders>
            <w:shd w:val="clear" w:color="000000" w:fill="FFFFFF"/>
            <w:noWrap/>
            <w:hideMark/>
          </w:tcPr>
          <w:p w:rsidR="00564AA9" w:rsidRPr="00B80ED0" w:rsidRDefault="00564AA9" w:rsidP="009230BC">
            <w:pPr>
              <w:pStyle w:val="Tabletext"/>
              <w:tabs>
                <w:tab w:val="decimal" w:pos="340"/>
              </w:tabs>
              <w:rPr>
                <w:b/>
                <w:bCs/>
                <w:lang w:eastAsia="en-AU"/>
              </w:rPr>
            </w:pPr>
            <w:r w:rsidRPr="00B80ED0">
              <w:rPr>
                <w:b/>
                <w:bCs/>
                <w:lang w:eastAsia="en-AU"/>
              </w:rPr>
              <w:t>19</w:t>
            </w:r>
          </w:p>
        </w:tc>
        <w:tc>
          <w:tcPr>
            <w:tcW w:w="641" w:type="dxa"/>
            <w:tcBorders>
              <w:top w:val="single" w:sz="4" w:space="0" w:color="auto"/>
              <w:left w:val="dashed" w:sz="4" w:space="0" w:color="auto"/>
              <w:bottom w:val="single" w:sz="4" w:space="0" w:color="auto"/>
              <w:right w:val="nil"/>
            </w:tcBorders>
            <w:shd w:val="clear" w:color="000000" w:fill="FFFFFF"/>
            <w:noWrap/>
            <w:hideMark/>
          </w:tcPr>
          <w:p w:rsidR="00564AA9" w:rsidRPr="00B80ED0" w:rsidRDefault="00564AA9" w:rsidP="009230BC">
            <w:pPr>
              <w:pStyle w:val="Tabletext"/>
              <w:tabs>
                <w:tab w:val="decimal" w:pos="340"/>
              </w:tabs>
              <w:rPr>
                <w:b/>
                <w:bCs/>
                <w:lang w:eastAsia="en-AU"/>
              </w:rPr>
            </w:pPr>
            <w:r w:rsidRPr="00B80ED0">
              <w:rPr>
                <w:b/>
                <w:bCs/>
                <w:lang w:eastAsia="en-AU"/>
              </w:rPr>
              <w:t>17</w:t>
            </w:r>
          </w:p>
        </w:tc>
        <w:tc>
          <w:tcPr>
            <w:tcW w:w="642" w:type="dxa"/>
            <w:tcBorders>
              <w:top w:val="single" w:sz="4" w:space="0" w:color="auto"/>
              <w:left w:val="nil"/>
              <w:bottom w:val="single" w:sz="4" w:space="0" w:color="auto"/>
              <w:right w:val="nil"/>
            </w:tcBorders>
            <w:shd w:val="clear" w:color="000000" w:fill="FFFFFF"/>
            <w:noWrap/>
            <w:hideMark/>
          </w:tcPr>
          <w:p w:rsidR="00564AA9" w:rsidRPr="00B80ED0" w:rsidRDefault="00564AA9" w:rsidP="009230BC">
            <w:pPr>
              <w:pStyle w:val="Tabletext"/>
              <w:tabs>
                <w:tab w:val="decimal" w:pos="340"/>
              </w:tabs>
              <w:rPr>
                <w:b/>
                <w:bCs/>
                <w:lang w:eastAsia="en-AU"/>
              </w:rPr>
            </w:pPr>
            <w:r w:rsidRPr="00B80ED0">
              <w:rPr>
                <w:b/>
                <w:bCs/>
                <w:lang w:eastAsia="en-AU"/>
              </w:rPr>
              <w:t>20</w:t>
            </w:r>
          </w:p>
        </w:tc>
        <w:tc>
          <w:tcPr>
            <w:tcW w:w="642" w:type="dxa"/>
            <w:tcBorders>
              <w:top w:val="single" w:sz="4" w:space="0" w:color="auto"/>
              <w:left w:val="nil"/>
              <w:bottom w:val="single" w:sz="4" w:space="0" w:color="auto"/>
              <w:right w:val="dashed" w:sz="4" w:space="0" w:color="auto"/>
            </w:tcBorders>
            <w:shd w:val="clear" w:color="000000" w:fill="FFFFFF"/>
            <w:noWrap/>
            <w:hideMark/>
          </w:tcPr>
          <w:p w:rsidR="00564AA9" w:rsidRPr="00B80ED0" w:rsidRDefault="00564AA9" w:rsidP="009230BC">
            <w:pPr>
              <w:pStyle w:val="Tabletext"/>
              <w:tabs>
                <w:tab w:val="decimal" w:pos="340"/>
              </w:tabs>
              <w:rPr>
                <w:b/>
                <w:bCs/>
                <w:lang w:eastAsia="en-AU"/>
              </w:rPr>
            </w:pPr>
            <w:r w:rsidRPr="00B80ED0">
              <w:rPr>
                <w:b/>
                <w:bCs/>
                <w:lang w:eastAsia="en-AU"/>
              </w:rPr>
              <w:t>10</w:t>
            </w:r>
          </w:p>
        </w:tc>
        <w:tc>
          <w:tcPr>
            <w:tcW w:w="530" w:type="dxa"/>
            <w:tcBorders>
              <w:top w:val="single" w:sz="4" w:space="0" w:color="auto"/>
              <w:left w:val="dashed" w:sz="4" w:space="0" w:color="auto"/>
              <w:bottom w:val="single" w:sz="4" w:space="0" w:color="auto"/>
              <w:right w:val="nil"/>
            </w:tcBorders>
            <w:shd w:val="clear" w:color="000000" w:fill="FFFFFF"/>
            <w:noWrap/>
            <w:hideMark/>
          </w:tcPr>
          <w:p w:rsidR="00564AA9" w:rsidRPr="00B80ED0" w:rsidRDefault="00564AA9" w:rsidP="009230BC">
            <w:pPr>
              <w:pStyle w:val="Tabletext"/>
              <w:tabs>
                <w:tab w:val="decimal" w:pos="284"/>
              </w:tabs>
              <w:rPr>
                <w:b/>
                <w:bCs/>
                <w:lang w:eastAsia="en-AU"/>
              </w:rPr>
            </w:pPr>
            <w:r w:rsidRPr="00B80ED0">
              <w:rPr>
                <w:b/>
                <w:bCs/>
                <w:lang w:eastAsia="en-AU"/>
              </w:rPr>
              <w:t>19</w:t>
            </w:r>
          </w:p>
        </w:tc>
      </w:tr>
    </w:tbl>
    <w:p w:rsidR="00564AA9" w:rsidRPr="00390846" w:rsidRDefault="00564AA9" w:rsidP="007105CE">
      <w:pPr>
        <w:pStyle w:val="Source"/>
      </w:pPr>
      <w:r w:rsidRPr="00286FC9">
        <w:t>Notes:</w:t>
      </w:r>
      <w:r w:rsidR="007105CE">
        <w:tab/>
      </w:r>
      <w:r w:rsidRPr="00286FC9">
        <w:t xml:space="preserve">Shaded areas denote instances where the percentage admission is above the sector average. Blank cells indicate the university offered no courses in this </w:t>
      </w:r>
      <w:r w:rsidR="004F158F">
        <w:t>field of education</w:t>
      </w:r>
      <w:r w:rsidRPr="00286FC9">
        <w:t xml:space="preserve">. A score of 0% may indicate that total enrolments are less than 10. Table excludes non-award and mixed field. </w:t>
      </w:r>
    </w:p>
    <w:p w:rsidR="00B90A8D" w:rsidRDefault="004F158F" w:rsidP="007105CE">
      <w:pPr>
        <w:pStyle w:val="Textmorebefore"/>
      </w:pPr>
      <w:r>
        <w:t>As illustrated in t</w:t>
      </w:r>
      <w:r w:rsidR="002D1FC4">
        <w:t xml:space="preserve">able </w:t>
      </w:r>
      <w:r w:rsidR="00061879">
        <w:t>5</w:t>
      </w:r>
      <w:r w:rsidR="004F70D8">
        <w:t>, the universities in C</w:t>
      </w:r>
      <w:r w:rsidR="002D1FC4" w:rsidRPr="00DB237E">
        <w:t xml:space="preserve">luster 1 admit VET </w:t>
      </w:r>
      <w:r w:rsidR="00B87FBB">
        <w:t>award holders</w:t>
      </w:r>
      <w:r w:rsidR="002D1FC4" w:rsidRPr="00DB237E">
        <w:t xml:space="preserve"> in proportions well above the sector average in each broad field of education</w:t>
      </w:r>
      <w:r w:rsidR="00120970">
        <w:t xml:space="preserve"> where they have undergraduate programs</w:t>
      </w:r>
      <w:r w:rsidR="00B80ED0">
        <w:t xml:space="preserve">, with only three exceptions: Victoria University in FOE 08; Edith Cowan University in FOE 07; and RMIT University in FOE 02. </w:t>
      </w:r>
    </w:p>
    <w:p w:rsidR="00120970" w:rsidRDefault="00730752" w:rsidP="007105CE">
      <w:pPr>
        <w:pStyle w:val="Text"/>
      </w:pPr>
      <w:r>
        <w:t>By</w:t>
      </w:r>
      <w:r w:rsidR="002D1FC4" w:rsidRPr="00274F8E">
        <w:t xml:space="preserve"> contrast</w:t>
      </w:r>
      <w:r w:rsidR="00B80ED0">
        <w:t xml:space="preserve">, </w:t>
      </w:r>
      <w:r w:rsidR="004F70D8">
        <w:t xml:space="preserve">the </w:t>
      </w:r>
      <w:r w:rsidR="002D1FC4" w:rsidRPr="00274F8E">
        <w:t xml:space="preserve">rates of admission on the basis of </w:t>
      </w:r>
      <w:r w:rsidR="00120970">
        <w:t xml:space="preserve">a </w:t>
      </w:r>
      <w:r w:rsidR="002D1FC4" w:rsidRPr="00274F8E">
        <w:t xml:space="preserve">VET </w:t>
      </w:r>
      <w:r w:rsidR="00120970">
        <w:t xml:space="preserve">award </w:t>
      </w:r>
      <w:r w:rsidR="002D1FC4" w:rsidRPr="00274F8E">
        <w:t>within the universities that compri</w:t>
      </w:r>
      <w:r w:rsidR="004F158F">
        <w:t>se C</w:t>
      </w:r>
      <w:r w:rsidR="002D1FC4">
        <w:t>luster 2 are more variable</w:t>
      </w:r>
      <w:r w:rsidR="00120970">
        <w:t xml:space="preserve">. This is </w:t>
      </w:r>
      <w:r w:rsidR="002D1FC4">
        <w:t>indicated by</w:t>
      </w:r>
      <w:r w:rsidR="002D1FC4" w:rsidRPr="00274F8E">
        <w:t xml:space="preserve"> the fewer number of shaded cells for </w:t>
      </w:r>
      <w:r w:rsidR="004F158F">
        <w:t>C</w:t>
      </w:r>
      <w:r w:rsidR="00120970">
        <w:t xml:space="preserve">luster 2 </w:t>
      </w:r>
      <w:r w:rsidR="002D1FC4">
        <w:t>universities</w:t>
      </w:r>
      <w:r>
        <w:t>,</w:t>
      </w:r>
      <w:r w:rsidR="00B80ED0">
        <w:t xml:space="preserve"> where admissions of VET </w:t>
      </w:r>
      <w:r w:rsidR="00B87FBB">
        <w:t>award holders</w:t>
      </w:r>
      <w:r w:rsidR="00B80ED0">
        <w:t xml:space="preserve"> are indicated as a percentage of total commencing students</w:t>
      </w:r>
      <w:r w:rsidR="00EA4DE6">
        <w:t>,</w:t>
      </w:r>
      <w:r w:rsidR="002D1FC4">
        <w:t xml:space="preserve"> </w:t>
      </w:r>
      <w:r w:rsidR="00120970">
        <w:t xml:space="preserve">as </w:t>
      </w:r>
      <w:r w:rsidR="004F158F">
        <w:t>shown in t</w:t>
      </w:r>
      <w:r w:rsidR="00120970">
        <w:t>able 6</w:t>
      </w:r>
      <w:r w:rsidR="00CF1461">
        <w:t>.</w:t>
      </w:r>
    </w:p>
    <w:p w:rsidR="00564AA9" w:rsidRDefault="00564AA9">
      <w:pPr>
        <w:spacing w:before="0" w:line="240" w:lineRule="auto"/>
        <w:rPr>
          <w:rFonts w:ascii="Tahoma" w:hAnsi="Tahoma"/>
          <w:b/>
          <w:sz w:val="17"/>
        </w:rPr>
      </w:pPr>
      <w:r>
        <w:br w:type="page"/>
      </w:r>
    </w:p>
    <w:p w:rsidR="00F62A62" w:rsidRDefault="00F62A62" w:rsidP="00F62A62">
      <w:pPr>
        <w:pStyle w:val="tabletitle"/>
      </w:pPr>
      <w:bookmarkStart w:id="47" w:name="_Toc364688856"/>
      <w:r>
        <w:lastRenderedPageBreak/>
        <w:t>Table 6</w:t>
      </w:r>
      <w:r>
        <w:tab/>
        <w:t>Cluster 2 universities’ rates of admission on the basis of a VET award b</w:t>
      </w:r>
      <w:r w:rsidR="004F158F">
        <w:t>y broad field of educatio</w:t>
      </w:r>
      <w:r w:rsidR="004F158F" w:rsidRPr="00C36656">
        <w:t>n</w:t>
      </w:r>
      <w:r w:rsidR="00730752" w:rsidRPr="00C36656">
        <w:t xml:space="preserve"> cluster</w:t>
      </w:r>
      <w:r w:rsidRPr="00C36656">
        <w:t>,</w:t>
      </w:r>
      <w:r>
        <w:t xml:space="preserve"> Australia</w:t>
      </w:r>
      <w:r w:rsidR="004F158F">
        <w:t>,</w:t>
      </w:r>
      <w:r>
        <w:t xml:space="preserve"> 2010</w:t>
      </w:r>
      <w:bookmarkEnd w:id="47"/>
      <w:r w:rsidR="009230BC">
        <w:t xml:space="preserve"> (%)</w:t>
      </w:r>
    </w:p>
    <w:tbl>
      <w:tblPr>
        <w:tblW w:w="8789" w:type="dxa"/>
        <w:tblInd w:w="57" w:type="dxa"/>
        <w:tblLayout w:type="fixed"/>
        <w:tblCellMar>
          <w:left w:w="57" w:type="dxa"/>
          <w:right w:w="57" w:type="dxa"/>
        </w:tblCellMar>
        <w:tblLook w:val="04A0" w:firstRow="1" w:lastRow="0" w:firstColumn="1" w:lastColumn="0" w:noHBand="0" w:noVBand="1"/>
      </w:tblPr>
      <w:tblGrid>
        <w:gridCol w:w="1985"/>
        <w:gridCol w:w="629"/>
        <w:gridCol w:w="630"/>
        <w:gridCol w:w="630"/>
        <w:gridCol w:w="630"/>
        <w:gridCol w:w="630"/>
        <w:gridCol w:w="630"/>
        <w:gridCol w:w="630"/>
        <w:gridCol w:w="630"/>
        <w:gridCol w:w="630"/>
        <w:gridCol w:w="630"/>
        <w:gridCol w:w="505"/>
      </w:tblGrid>
      <w:tr w:rsidR="00D863E8" w:rsidRPr="00354384" w:rsidTr="004270FD">
        <w:tc>
          <w:tcPr>
            <w:tcW w:w="1985" w:type="dxa"/>
            <w:vMerge w:val="restart"/>
            <w:tcBorders>
              <w:top w:val="single" w:sz="4" w:space="0" w:color="auto"/>
              <w:left w:val="nil"/>
              <w:right w:val="nil"/>
            </w:tcBorders>
            <w:shd w:val="clear" w:color="000000" w:fill="FFFFFF"/>
            <w:noWrap/>
            <w:vAlign w:val="bottom"/>
            <w:hideMark/>
          </w:tcPr>
          <w:p w:rsidR="00FB150B" w:rsidRDefault="00FB150B" w:rsidP="004270FD">
            <w:pPr>
              <w:pStyle w:val="Tablehead3"/>
              <w:rPr>
                <w:lang w:eastAsia="en-AU"/>
              </w:rPr>
            </w:pPr>
          </w:p>
          <w:p w:rsidR="00FB150B" w:rsidRDefault="00FB150B" w:rsidP="004270FD">
            <w:pPr>
              <w:pStyle w:val="Tablehead3"/>
              <w:rPr>
                <w:lang w:eastAsia="en-AU"/>
              </w:rPr>
            </w:pPr>
          </w:p>
          <w:p w:rsidR="00D863E8" w:rsidRPr="007176EF" w:rsidRDefault="00D863E8" w:rsidP="004270FD">
            <w:pPr>
              <w:pStyle w:val="Tablehead3"/>
              <w:rPr>
                <w:lang w:eastAsia="en-AU"/>
              </w:rPr>
            </w:pPr>
            <w:r w:rsidRPr="007176EF">
              <w:rPr>
                <w:lang w:eastAsia="en-AU"/>
              </w:rPr>
              <w:t>Broad field of education</w:t>
            </w:r>
            <w:r>
              <w:rPr>
                <w:lang w:eastAsia="en-AU"/>
              </w:rPr>
              <w:br/>
            </w:r>
            <w:r w:rsidRPr="007176EF">
              <w:rPr>
                <w:lang w:eastAsia="en-AU"/>
              </w:rPr>
              <w:t xml:space="preserve">(VET </w:t>
            </w:r>
            <w:r>
              <w:rPr>
                <w:lang w:eastAsia="en-AU"/>
              </w:rPr>
              <w:t>award holders</w:t>
            </w:r>
            <w:r w:rsidRPr="007176EF">
              <w:rPr>
                <w:lang w:eastAsia="en-AU"/>
              </w:rPr>
              <w:t xml:space="preserve"> admission rate)</w:t>
            </w:r>
          </w:p>
        </w:tc>
        <w:tc>
          <w:tcPr>
            <w:tcW w:w="6804" w:type="dxa"/>
            <w:gridSpan w:val="11"/>
            <w:tcBorders>
              <w:top w:val="single" w:sz="4" w:space="0" w:color="auto"/>
              <w:left w:val="nil"/>
              <w:right w:val="nil"/>
            </w:tcBorders>
            <w:shd w:val="clear" w:color="000000" w:fill="FFFFFF"/>
          </w:tcPr>
          <w:p w:rsidR="00D863E8" w:rsidRPr="007176EF" w:rsidRDefault="00D863E8" w:rsidP="00F9198B">
            <w:pPr>
              <w:pStyle w:val="Tablehead1"/>
              <w:jc w:val="center"/>
              <w:rPr>
                <w:lang w:eastAsia="en-AU"/>
              </w:rPr>
            </w:pPr>
            <w:r w:rsidRPr="00120970">
              <w:rPr>
                <w:lang w:eastAsia="en-AU"/>
              </w:rPr>
              <w:t>Field of education clusters</w:t>
            </w:r>
          </w:p>
        </w:tc>
      </w:tr>
      <w:tr w:rsidR="00D863E8" w:rsidRPr="00E45FFA" w:rsidTr="00AE0E1C">
        <w:tc>
          <w:tcPr>
            <w:tcW w:w="1985" w:type="dxa"/>
            <w:vMerge/>
            <w:shd w:val="clear" w:color="000000" w:fill="FFFFFF"/>
            <w:noWrap/>
            <w:hideMark/>
          </w:tcPr>
          <w:p w:rsidR="00D863E8" w:rsidRPr="007176EF" w:rsidRDefault="00D863E8" w:rsidP="00243642">
            <w:pPr>
              <w:pStyle w:val="Tablehead3"/>
              <w:rPr>
                <w:lang w:eastAsia="en-AU"/>
              </w:rPr>
            </w:pPr>
          </w:p>
        </w:tc>
        <w:tc>
          <w:tcPr>
            <w:tcW w:w="1889" w:type="dxa"/>
            <w:gridSpan w:val="3"/>
            <w:shd w:val="clear" w:color="000000" w:fill="FFFFFF"/>
            <w:noWrap/>
            <w:hideMark/>
          </w:tcPr>
          <w:p w:rsidR="00D863E8" w:rsidRPr="007176EF" w:rsidRDefault="00D863E8" w:rsidP="00F9198B">
            <w:pPr>
              <w:pStyle w:val="Tablehead2"/>
              <w:jc w:val="center"/>
              <w:rPr>
                <w:lang w:eastAsia="en-AU"/>
              </w:rPr>
            </w:pPr>
            <w:r w:rsidRPr="007176EF">
              <w:rPr>
                <w:lang w:eastAsia="en-AU"/>
              </w:rPr>
              <w:t>Cluster A</w:t>
            </w:r>
          </w:p>
        </w:tc>
        <w:tc>
          <w:tcPr>
            <w:tcW w:w="1260" w:type="dxa"/>
            <w:gridSpan w:val="2"/>
            <w:shd w:val="clear" w:color="000000" w:fill="FFFFFF"/>
            <w:noWrap/>
            <w:hideMark/>
          </w:tcPr>
          <w:p w:rsidR="00D863E8" w:rsidRPr="007176EF" w:rsidRDefault="00D863E8" w:rsidP="00F9198B">
            <w:pPr>
              <w:pStyle w:val="Tablehead2"/>
              <w:jc w:val="center"/>
              <w:rPr>
                <w:lang w:eastAsia="en-AU"/>
              </w:rPr>
            </w:pPr>
            <w:r w:rsidRPr="007176EF">
              <w:rPr>
                <w:lang w:eastAsia="en-AU"/>
              </w:rPr>
              <w:t>Outliers</w:t>
            </w:r>
          </w:p>
        </w:tc>
        <w:tc>
          <w:tcPr>
            <w:tcW w:w="1260" w:type="dxa"/>
            <w:gridSpan w:val="2"/>
            <w:shd w:val="clear" w:color="000000" w:fill="FFFFFF"/>
            <w:noWrap/>
            <w:hideMark/>
          </w:tcPr>
          <w:p w:rsidR="00D863E8" w:rsidRPr="007176EF" w:rsidRDefault="00D863E8" w:rsidP="00F9198B">
            <w:pPr>
              <w:pStyle w:val="Tablehead2"/>
              <w:jc w:val="center"/>
              <w:rPr>
                <w:lang w:eastAsia="en-AU"/>
              </w:rPr>
            </w:pPr>
            <w:r w:rsidRPr="007176EF">
              <w:rPr>
                <w:lang w:eastAsia="en-AU"/>
              </w:rPr>
              <w:t>Cluster B</w:t>
            </w:r>
          </w:p>
        </w:tc>
        <w:tc>
          <w:tcPr>
            <w:tcW w:w="1890" w:type="dxa"/>
            <w:gridSpan w:val="3"/>
            <w:shd w:val="clear" w:color="000000" w:fill="FFFFFF"/>
            <w:noWrap/>
            <w:hideMark/>
          </w:tcPr>
          <w:p w:rsidR="00D863E8" w:rsidRPr="007176EF" w:rsidRDefault="00D863E8" w:rsidP="00F9198B">
            <w:pPr>
              <w:pStyle w:val="Tablehead2"/>
              <w:jc w:val="center"/>
              <w:rPr>
                <w:lang w:eastAsia="en-AU"/>
              </w:rPr>
            </w:pPr>
            <w:r w:rsidRPr="007176EF">
              <w:rPr>
                <w:lang w:eastAsia="en-AU"/>
              </w:rPr>
              <w:t>Cluster C</w:t>
            </w:r>
          </w:p>
        </w:tc>
        <w:tc>
          <w:tcPr>
            <w:tcW w:w="505" w:type="dxa"/>
            <w:tcBorders>
              <w:right w:val="nil"/>
            </w:tcBorders>
            <w:shd w:val="clear" w:color="000000" w:fill="FFFFFF"/>
            <w:noWrap/>
            <w:hideMark/>
          </w:tcPr>
          <w:p w:rsidR="00D863E8" w:rsidRPr="007176EF" w:rsidRDefault="00D863E8" w:rsidP="00F9198B">
            <w:pPr>
              <w:pStyle w:val="Tablehead2"/>
              <w:jc w:val="center"/>
              <w:rPr>
                <w:lang w:eastAsia="en-AU"/>
              </w:rPr>
            </w:pPr>
            <w:r w:rsidRPr="007176EF">
              <w:rPr>
                <w:lang w:eastAsia="en-AU"/>
              </w:rPr>
              <w:t>All</w:t>
            </w:r>
          </w:p>
        </w:tc>
      </w:tr>
      <w:tr w:rsidR="00D863E8" w:rsidRPr="00E45FFA" w:rsidTr="00FB150B">
        <w:tc>
          <w:tcPr>
            <w:tcW w:w="1985" w:type="dxa"/>
            <w:vMerge/>
            <w:tcBorders>
              <w:bottom w:val="single" w:sz="4" w:space="0" w:color="auto"/>
            </w:tcBorders>
            <w:shd w:val="clear" w:color="000000" w:fill="FFFFFF"/>
            <w:noWrap/>
            <w:hideMark/>
          </w:tcPr>
          <w:p w:rsidR="00D863E8" w:rsidRPr="007176EF" w:rsidRDefault="00D863E8" w:rsidP="00243642">
            <w:pPr>
              <w:pStyle w:val="Tablehead3"/>
              <w:rPr>
                <w:lang w:eastAsia="en-AU"/>
              </w:rPr>
            </w:pPr>
          </w:p>
        </w:tc>
        <w:tc>
          <w:tcPr>
            <w:tcW w:w="629" w:type="dxa"/>
            <w:tcBorders>
              <w:bottom w:val="single" w:sz="4" w:space="0" w:color="auto"/>
            </w:tcBorders>
            <w:shd w:val="clear" w:color="000000" w:fill="FFFFFF"/>
            <w:noWrap/>
            <w:tcMar>
              <w:left w:w="0" w:type="dxa"/>
              <w:right w:w="0" w:type="dxa"/>
            </w:tcMar>
            <w:vAlign w:val="bottom"/>
            <w:hideMark/>
          </w:tcPr>
          <w:p w:rsidR="00D863E8" w:rsidRPr="007176EF" w:rsidRDefault="00D863E8" w:rsidP="00FB150B">
            <w:pPr>
              <w:pStyle w:val="Tablehead3"/>
              <w:jc w:val="center"/>
              <w:rPr>
                <w:lang w:eastAsia="en-AU"/>
              </w:rPr>
            </w:pPr>
            <w:proofErr w:type="gramStart"/>
            <w:r w:rsidRPr="007176EF">
              <w:rPr>
                <w:lang w:eastAsia="en-AU"/>
              </w:rPr>
              <w:t>FOE08</w:t>
            </w:r>
            <w:proofErr w:type="gramEnd"/>
            <w:r>
              <w:rPr>
                <w:lang w:eastAsia="en-AU"/>
              </w:rPr>
              <w:br/>
            </w:r>
            <w:r w:rsidRPr="007176EF">
              <w:rPr>
                <w:lang w:eastAsia="en-AU"/>
              </w:rPr>
              <w:t>(13%)</w:t>
            </w:r>
          </w:p>
        </w:tc>
        <w:tc>
          <w:tcPr>
            <w:tcW w:w="630" w:type="dxa"/>
            <w:tcBorders>
              <w:bottom w:val="single" w:sz="4" w:space="0" w:color="auto"/>
            </w:tcBorders>
            <w:shd w:val="clear" w:color="000000" w:fill="FFFFFF"/>
            <w:noWrap/>
            <w:tcMar>
              <w:left w:w="0" w:type="dxa"/>
              <w:right w:w="0" w:type="dxa"/>
            </w:tcMar>
            <w:vAlign w:val="bottom"/>
            <w:hideMark/>
          </w:tcPr>
          <w:p w:rsidR="00D863E8" w:rsidRPr="007176EF" w:rsidRDefault="00D863E8" w:rsidP="00FB150B">
            <w:pPr>
              <w:pStyle w:val="Tablehead3"/>
              <w:jc w:val="center"/>
              <w:rPr>
                <w:lang w:eastAsia="en-AU"/>
              </w:rPr>
            </w:pPr>
            <w:proofErr w:type="gramStart"/>
            <w:r w:rsidRPr="007176EF">
              <w:rPr>
                <w:lang w:eastAsia="en-AU"/>
              </w:rPr>
              <w:t>FOE10</w:t>
            </w:r>
            <w:proofErr w:type="gramEnd"/>
            <w:r>
              <w:rPr>
                <w:lang w:eastAsia="en-AU"/>
              </w:rPr>
              <w:br/>
            </w:r>
            <w:r w:rsidRPr="007176EF">
              <w:rPr>
                <w:lang w:eastAsia="en-AU"/>
              </w:rPr>
              <w:t>(8%)</w:t>
            </w:r>
          </w:p>
        </w:tc>
        <w:tc>
          <w:tcPr>
            <w:tcW w:w="630" w:type="dxa"/>
            <w:tcBorders>
              <w:bottom w:val="single" w:sz="4" w:space="0" w:color="auto"/>
            </w:tcBorders>
            <w:shd w:val="clear" w:color="000000" w:fill="FFFFFF"/>
            <w:noWrap/>
            <w:tcMar>
              <w:left w:w="0" w:type="dxa"/>
              <w:right w:w="0" w:type="dxa"/>
            </w:tcMar>
            <w:vAlign w:val="bottom"/>
            <w:hideMark/>
          </w:tcPr>
          <w:p w:rsidR="00D863E8" w:rsidRPr="007176EF" w:rsidRDefault="00D863E8" w:rsidP="00FB150B">
            <w:pPr>
              <w:pStyle w:val="Tablehead3"/>
              <w:jc w:val="center"/>
              <w:rPr>
                <w:lang w:eastAsia="en-AU"/>
              </w:rPr>
            </w:pPr>
            <w:proofErr w:type="gramStart"/>
            <w:r w:rsidRPr="007176EF">
              <w:rPr>
                <w:lang w:eastAsia="en-AU"/>
              </w:rPr>
              <w:t>FOE06</w:t>
            </w:r>
            <w:proofErr w:type="gramEnd"/>
            <w:r>
              <w:rPr>
                <w:lang w:eastAsia="en-AU"/>
              </w:rPr>
              <w:br/>
            </w:r>
            <w:r w:rsidRPr="007176EF">
              <w:rPr>
                <w:lang w:eastAsia="en-AU"/>
              </w:rPr>
              <w:t>(12%)</w:t>
            </w:r>
          </w:p>
        </w:tc>
        <w:tc>
          <w:tcPr>
            <w:tcW w:w="630" w:type="dxa"/>
            <w:tcBorders>
              <w:bottom w:val="single" w:sz="4" w:space="0" w:color="auto"/>
            </w:tcBorders>
            <w:shd w:val="clear" w:color="000000" w:fill="FFFFFF"/>
            <w:noWrap/>
            <w:tcMar>
              <w:left w:w="0" w:type="dxa"/>
              <w:right w:w="0" w:type="dxa"/>
            </w:tcMar>
            <w:vAlign w:val="bottom"/>
            <w:hideMark/>
          </w:tcPr>
          <w:p w:rsidR="00D863E8" w:rsidRPr="007176EF" w:rsidRDefault="00D863E8" w:rsidP="00FB150B">
            <w:pPr>
              <w:pStyle w:val="Tablehead3"/>
              <w:jc w:val="center"/>
              <w:rPr>
                <w:lang w:eastAsia="en-AU"/>
              </w:rPr>
            </w:pPr>
            <w:proofErr w:type="gramStart"/>
            <w:r w:rsidRPr="007176EF">
              <w:rPr>
                <w:lang w:eastAsia="en-AU"/>
              </w:rPr>
              <w:t>FOE07</w:t>
            </w:r>
            <w:proofErr w:type="gramEnd"/>
            <w:r>
              <w:rPr>
                <w:lang w:eastAsia="en-AU"/>
              </w:rPr>
              <w:br/>
            </w:r>
            <w:r w:rsidRPr="007176EF">
              <w:rPr>
                <w:lang w:eastAsia="en-AU"/>
              </w:rPr>
              <w:t>(15%)</w:t>
            </w:r>
          </w:p>
        </w:tc>
        <w:tc>
          <w:tcPr>
            <w:tcW w:w="630" w:type="dxa"/>
            <w:tcBorders>
              <w:bottom w:val="single" w:sz="4" w:space="0" w:color="auto"/>
            </w:tcBorders>
            <w:shd w:val="clear" w:color="000000" w:fill="FFFFFF"/>
            <w:noWrap/>
            <w:tcMar>
              <w:left w:w="0" w:type="dxa"/>
              <w:right w:w="0" w:type="dxa"/>
            </w:tcMar>
            <w:vAlign w:val="bottom"/>
            <w:hideMark/>
          </w:tcPr>
          <w:p w:rsidR="00D863E8" w:rsidRPr="007176EF" w:rsidRDefault="00D863E8" w:rsidP="00FB150B">
            <w:pPr>
              <w:pStyle w:val="Tablehead3"/>
              <w:jc w:val="center"/>
              <w:rPr>
                <w:lang w:eastAsia="en-AU"/>
              </w:rPr>
            </w:pPr>
            <w:proofErr w:type="gramStart"/>
            <w:r w:rsidRPr="007176EF">
              <w:rPr>
                <w:lang w:eastAsia="en-AU"/>
              </w:rPr>
              <w:t>FOE02</w:t>
            </w:r>
            <w:proofErr w:type="gramEnd"/>
            <w:r>
              <w:rPr>
                <w:lang w:eastAsia="en-AU"/>
              </w:rPr>
              <w:br/>
            </w:r>
            <w:r w:rsidRPr="007176EF">
              <w:rPr>
                <w:lang w:eastAsia="en-AU"/>
              </w:rPr>
              <w:t>(14%)</w:t>
            </w:r>
          </w:p>
        </w:tc>
        <w:tc>
          <w:tcPr>
            <w:tcW w:w="630" w:type="dxa"/>
            <w:tcBorders>
              <w:bottom w:val="single" w:sz="4" w:space="0" w:color="auto"/>
            </w:tcBorders>
            <w:shd w:val="clear" w:color="000000" w:fill="FFFFFF"/>
            <w:noWrap/>
            <w:tcMar>
              <w:left w:w="0" w:type="dxa"/>
              <w:right w:w="0" w:type="dxa"/>
            </w:tcMar>
            <w:vAlign w:val="bottom"/>
            <w:hideMark/>
          </w:tcPr>
          <w:p w:rsidR="00D863E8" w:rsidRPr="007176EF" w:rsidRDefault="00D863E8" w:rsidP="00FB150B">
            <w:pPr>
              <w:pStyle w:val="Tablehead3"/>
              <w:jc w:val="center"/>
              <w:rPr>
                <w:lang w:eastAsia="en-AU"/>
              </w:rPr>
            </w:pPr>
            <w:proofErr w:type="gramStart"/>
            <w:r w:rsidRPr="007176EF">
              <w:rPr>
                <w:lang w:eastAsia="en-AU"/>
              </w:rPr>
              <w:t>FOE03</w:t>
            </w:r>
            <w:proofErr w:type="gramEnd"/>
            <w:r>
              <w:rPr>
                <w:lang w:eastAsia="en-AU"/>
              </w:rPr>
              <w:br/>
            </w:r>
            <w:r w:rsidRPr="007176EF">
              <w:rPr>
                <w:lang w:eastAsia="en-AU"/>
              </w:rPr>
              <w:t>(7%)</w:t>
            </w:r>
          </w:p>
        </w:tc>
        <w:tc>
          <w:tcPr>
            <w:tcW w:w="630" w:type="dxa"/>
            <w:tcBorders>
              <w:bottom w:val="single" w:sz="4" w:space="0" w:color="auto"/>
            </w:tcBorders>
            <w:shd w:val="clear" w:color="000000" w:fill="FFFFFF"/>
            <w:noWrap/>
            <w:tcMar>
              <w:left w:w="0" w:type="dxa"/>
              <w:right w:w="0" w:type="dxa"/>
            </w:tcMar>
            <w:vAlign w:val="bottom"/>
            <w:hideMark/>
          </w:tcPr>
          <w:p w:rsidR="00D863E8" w:rsidRPr="007176EF" w:rsidRDefault="00D863E8" w:rsidP="00FB150B">
            <w:pPr>
              <w:pStyle w:val="Tablehead3"/>
              <w:jc w:val="center"/>
              <w:rPr>
                <w:lang w:eastAsia="en-AU"/>
              </w:rPr>
            </w:pPr>
            <w:proofErr w:type="gramStart"/>
            <w:r w:rsidRPr="007176EF">
              <w:rPr>
                <w:lang w:eastAsia="en-AU"/>
              </w:rPr>
              <w:t>FOE04</w:t>
            </w:r>
            <w:proofErr w:type="gramEnd"/>
            <w:r>
              <w:rPr>
                <w:lang w:eastAsia="en-AU"/>
              </w:rPr>
              <w:br/>
            </w:r>
            <w:r w:rsidRPr="007176EF">
              <w:rPr>
                <w:lang w:eastAsia="en-AU"/>
              </w:rPr>
              <w:t>(10%)</w:t>
            </w:r>
          </w:p>
        </w:tc>
        <w:tc>
          <w:tcPr>
            <w:tcW w:w="630" w:type="dxa"/>
            <w:tcBorders>
              <w:bottom w:val="single" w:sz="4" w:space="0" w:color="auto"/>
            </w:tcBorders>
            <w:shd w:val="clear" w:color="000000" w:fill="FFFFFF"/>
            <w:noWrap/>
            <w:tcMar>
              <w:left w:w="0" w:type="dxa"/>
              <w:right w:w="0" w:type="dxa"/>
            </w:tcMar>
            <w:vAlign w:val="bottom"/>
            <w:hideMark/>
          </w:tcPr>
          <w:p w:rsidR="00D863E8" w:rsidRPr="007176EF" w:rsidRDefault="00D863E8" w:rsidP="00FB150B">
            <w:pPr>
              <w:pStyle w:val="Tablehead3"/>
              <w:jc w:val="center"/>
              <w:rPr>
                <w:lang w:eastAsia="en-AU"/>
              </w:rPr>
            </w:pPr>
            <w:proofErr w:type="gramStart"/>
            <w:r w:rsidRPr="007176EF">
              <w:rPr>
                <w:lang w:eastAsia="en-AU"/>
              </w:rPr>
              <w:t>FOE05</w:t>
            </w:r>
            <w:proofErr w:type="gramEnd"/>
            <w:r>
              <w:rPr>
                <w:lang w:eastAsia="en-AU"/>
              </w:rPr>
              <w:br/>
            </w:r>
            <w:r w:rsidRPr="007176EF">
              <w:rPr>
                <w:lang w:eastAsia="en-AU"/>
              </w:rPr>
              <w:t>(6%)</w:t>
            </w:r>
          </w:p>
        </w:tc>
        <w:tc>
          <w:tcPr>
            <w:tcW w:w="630" w:type="dxa"/>
            <w:tcBorders>
              <w:bottom w:val="single" w:sz="4" w:space="0" w:color="auto"/>
            </w:tcBorders>
            <w:shd w:val="clear" w:color="000000" w:fill="FFFFFF"/>
            <w:noWrap/>
            <w:tcMar>
              <w:left w:w="0" w:type="dxa"/>
              <w:right w:w="0" w:type="dxa"/>
            </w:tcMar>
            <w:vAlign w:val="bottom"/>
            <w:hideMark/>
          </w:tcPr>
          <w:p w:rsidR="00D863E8" w:rsidRPr="007176EF" w:rsidRDefault="00D863E8" w:rsidP="00FB150B">
            <w:pPr>
              <w:pStyle w:val="Tablehead3"/>
              <w:jc w:val="center"/>
              <w:rPr>
                <w:lang w:eastAsia="en-AU"/>
              </w:rPr>
            </w:pPr>
            <w:proofErr w:type="gramStart"/>
            <w:r w:rsidRPr="007176EF">
              <w:rPr>
                <w:lang w:eastAsia="en-AU"/>
              </w:rPr>
              <w:t>FOE09</w:t>
            </w:r>
            <w:proofErr w:type="gramEnd"/>
            <w:r>
              <w:rPr>
                <w:lang w:eastAsia="en-AU"/>
              </w:rPr>
              <w:br/>
            </w:r>
            <w:r w:rsidRPr="007176EF">
              <w:rPr>
                <w:lang w:eastAsia="en-AU"/>
              </w:rPr>
              <w:t>(8%)</w:t>
            </w:r>
          </w:p>
        </w:tc>
        <w:tc>
          <w:tcPr>
            <w:tcW w:w="630" w:type="dxa"/>
            <w:tcBorders>
              <w:bottom w:val="single" w:sz="4" w:space="0" w:color="auto"/>
            </w:tcBorders>
            <w:shd w:val="clear" w:color="000000" w:fill="FFFFFF"/>
            <w:noWrap/>
            <w:tcMar>
              <w:left w:w="0" w:type="dxa"/>
              <w:right w:w="0" w:type="dxa"/>
            </w:tcMar>
            <w:vAlign w:val="bottom"/>
            <w:hideMark/>
          </w:tcPr>
          <w:p w:rsidR="00D863E8" w:rsidRPr="007176EF" w:rsidRDefault="00D863E8" w:rsidP="00FB150B">
            <w:pPr>
              <w:pStyle w:val="Tablehead3"/>
              <w:jc w:val="center"/>
              <w:rPr>
                <w:lang w:eastAsia="en-AU"/>
              </w:rPr>
            </w:pPr>
            <w:proofErr w:type="gramStart"/>
            <w:r w:rsidRPr="007176EF">
              <w:rPr>
                <w:lang w:eastAsia="en-AU"/>
              </w:rPr>
              <w:t>FOE01</w:t>
            </w:r>
            <w:proofErr w:type="gramEnd"/>
            <w:r>
              <w:rPr>
                <w:lang w:eastAsia="en-AU"/>
              </w:rPr>
              <w:br/>
            </w:r>
            <w:r w:rsidRPr="007176EF">
              <w:rPr>
                <w:lang w:eastAsia="en-AU"/>
              </w:rPr>
              <w:t>(4%)</w:t>
            </w:r>
          </w:p>
        </w:tc>
        <w:tc>
          <w:tcPr>
            <w:tcW w:w="505" w:type="dxa"/>
            <w:tcBorders>
              <w:bottom w:val="single" w:sz="4" w:space="0" w:color="auto"/>
              <w:right w:val="nil"/>
            </w:tcBorders>
            <w:shd w:val="clear" w:color="000000" w:fill="FFFFFF"/>
            <w:noWrap/>
            <w:tcMar>
              <w:left w:w="0" w:type="dxa"/>
              <w:right w:w="0" w:type="dxa"/>
            </w:tcMar>
            <w:hideMark/>
          </w:tcPr>
          <w:p w:rsidR="00D863E8" w:rsidRPr="007176EF" w:rsidRDefault="00D863E8" w:rsidP="00F9198B">
            <w:pPr>
              <w:pStyle w:val="Tablehead3"/>
              <w:jc w:val="center"/>
              <w:rPr>
                <w:lang w:eastAsia="en-AU"/>
              </w:rPr>
            </w:pPr>
          </w:p>
        </w:tc>
      </w:tr>
      <w:tr w:rsidR="007176EF" w:rsidRPr="00354384" w:rsidTr="00AE0E1C">
        <w:tc>
          <w:tcPr>
            <w:tcW w:w="1985" w:type="dxa"/>
            <w:tcBorders>
              <w:top w:val="single" w:sz="4" w:space="0" w:color="auto"/>
              <w:left w:val="nil"/>
              <w:bottom w:val="nil"/>
              <w:right w:val="dashed" w:sz="4" w:space="0" w:color="auto"/>
            </w:tcBorders>
            <w:shd w:val="clear" w:color="000000" w:fill="FFFFFF"/>
            <w:noWrap/>
            <w:hideMark/>
          </w:tcPr>
          <w:p w:rsidR="007176EF" w:rsidRPr="007176EF" w:rsidRDefault="007176EF" w:rsidP="00F9198B">
            <w:pPr>
              <w:pStyle w:val="Tabletext"/>
              <w:rPr>
                <w:lang w:eastAsia="en-AU"/>
              </w:rPr>
            </w:pPr>
            <w:r w:rsidRPr="007176EF">
              <w:rPr>
                <w:lang w:eastAsia="en-AU"/>
              </w:rPr>
              <w:t>La Trobe University</w:t>
            </w:r>
          </w:p>
        </w:tc>
        <w:tc>
          <w:tcPr>
            <w:tcW w:w="629" w:type="dxa"/>
            <w:tcBorders>
              <w:top w:val="single" w:sz="4" w:space="0" w:color="auto"/>
              <w:left w:val="dashed" w:sz="4" w:space="0" w:color="auto"/>
              <w:bottom w:val="nil"/>
              <w:right w:val="nil"/>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23</w:t>
            </w:r>
          </w:p>
        </w:tc>
        <w:tc>
          <w:tcPr>
            <w:tcW w:w="630" w:type="dxa"/>
            <w:tcBorders>
              <w:top w:val="single" w:sz="4" w:space="0" w:color="auto"/>
              <w:left w:val="nil"/>
              <w:bottom w:val="nil"/>
              <w:right w:val="nil"/>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11</w:t>
            </w:r>
          </w:p>
        </w:tc>
        <w:tc>
          <w:tcPr>
            <w:tcW w:w="630" w:type="dxa"/>
            <w:tcBorders>
              <w:top w:val="single" w:sz="4" w:space="0" w:color="auto"/>
              <w:left w:val="nil"/>
              <w:bottom w:val="nil"/>
              <w:right w:val="dashed" w:sz="4" w:space="0" w:color="auto"/>
            </w:tcBorders>
            <w:shd w:val="clear" w:color="auto" w:fill="auto"/>
            <w:noWrap/>
            <w:hideMark/>
          </w:tcPr>
          <w:p w:rsidR="007176EF" w:rsidRPr="007176EF" w:rsidRDefault="007176EF" w:rsidP="009230BC">
            <w:pPr>
              <w:pStyle w:val="Tabletext"/>
              <w:tabs>
                <w:tab w:val="decimal" w:pos="340"/>
              </w:tabs>
              <w:rPr>
                <w:lang w:eastAsia="en-AU"/>
              </w:rPr>
            </w:pPr>
            <w:r w:rsidRPr="007176EF">
              <w:rPr>
                <w:lang w:eastAsia="en-AU"/>
              </w:rPr>
              <w:t>12</w:t>
            </w:r>
          </w:p>
        </w:tc>
        <w:tc>
          <w:tcPr>
            <w:tcW w:w="630" w:type="dxa"/>
            <w:tcBorders>
              <w:top w:val="single" w:sz="4" w:space="0" w:color="auto"/>
              <w:left w:val="dashed" w:sz="4" w:space="0" w:color="auto"/>
              <w:bottom w:val="nil"/>
              <w:right w:val="nil"/>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19</w:t>
            </w:r>
          </w:p>
        </w:tc>
        <w:tc>
          <w:tcPr>
            <w:tcW w:w="630" w:type="dxa"/>
            <w:tcBorders>
              <w:top w:val="single" w:sz="4" w:space="0" w:color="auto"/>
              <w:left w:val="nil"/>
              <w:bottom w:val="nil"/>
              <w:right w:val="dashed" w:sz="4" w:space="0" w:color="auto"/>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19</w:t>
            </w:r>
          </w:p>
        </w:tc>
        <w:tc>
          <w:tcPr>
            <w:tcW w:w="630" w:type="dxa"/>
            <w:tcBorders>
              <w:top w:val="single" w:sz="4" w:space="0" w:color="auto"/>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0</w:t>
            </w:r>
          </w:p>
        </w:tc>
        <w:tc>
          <w:tcPr>
            <w:tcW w:w="630" w:type="dxa"/>
            <w:tcBorders>
              <w:top w:val="single" w:sz="4" w:space="0" w:color="auto"/>
              <w:left w:val="nil"/>
              <w:bottom w:val="nil"/>
              <w:right w:val="dashed" w:sz="4" w:space="0" w:color="auto"/>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 </w:t>
            </w:r>
          </w:p>
        </w:tc>
        <w:tc>
          <w:tcPr>
            <w:tcW w:w="630" w:type="dxa"/>
            <w:tcBorders>
              <w:top w:val="single" w:sz="4" w:space="0" w:color="auto"/>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0</w:t>
            </w:r>
          </w:p>
        </w:tc>
        <w:tc>
          <w:tcPr>
            <w:tcW w:w="630" w:type="dxa"/>
            <w:tcBorders>
              <w:top w:val="single" w:sz="4" w:space="0" w:color="auto"/>
              <w:left w:val="nil"/>
              <w:bottom w:val="nil"/>
              <w:right w:val="nil"/>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12</w:t>
            </w:r>
          </w:p>
        </w:tc>
        <w:tc>
          <w:tcPr>
            <w:tcW w:w="630" w:type="dxa"/>
            <w:tcBorders>
              <w:top w:val="single" w:sz="4" w:space="0" w:color="auto"/>
              <w:left w:val="nil"/>
              <w:bottom w:val="nil"/>
              <w:right w:val="dashed" w:sz="4" w:space="0" w:color="auto"/>
            </w:tcBorders>
            <w:shd w:val="clear" w:color="auto" w:fill="BFBFBF" w:themeFill="background1" w:themeFillShade="BF"/>
            <w:noWrap/>
            <w:hideMark/>
          </w:tcPr>
          <w:p w:rsidR="007176EF" w:rsidRPr="007176EF" w:rsidRDefault="007176EF" w:rsidP="009230BC">
            <w:pPr>
              <w:pStyle w:val="Tabletext"/>
              <w:tabs>
                <w:tab w:val="decimal" w:pos="284"/>
              </w:tabs>
              <w:rPr>
                <w:lang w:eastAsia="en-AU"/>
              </w:rPr>
            </w:pPr>
            <w:r w:rsidRPr="007176EF">
              <w:rPr>
                <w:lang w:eastAsia="en-AU"/>
              </w:rPr>
              <w:t>6</w:t>
            </w:r>
          </w:p>
        </w:tc>
        <w:tc>
          <w:tcPr>
            <w:tcW w:w="505" w:type="dxa"/>
            <w:tcBorders>
              <w:top w:val="single" w:sz="4" w:space="0" w:color="auto"/>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15</w:t>
            </w:r>
          </w:p>
        </w:tc>
      </w:tr>
      <w:tr w:rsidR="007176EF" w:rsidRPr="00354384" w:rsidTr="00AE0E1C">
        <w:tc>
          <w:tcPr>
            <w:tcW w:w="1985" w:type="dxa"/>
            <w:tcBorders>
              <w:top w:val="nil"/>
              <w:left w:val="nil"/>
              <w:bottom w:val="nil"/>
              <w:right w:val="dashed" w:sz="4" w:space="0" w:color="auto"/>
            </w:tcBorders>
            <w:shd w:val="clear" w:color="000000" w:fill="FFFFFF"/>
            <w:noWrap/>
            <w:hideMark/>
          </w:tcPr>
          <w:p w:rsidR="007176EF" w:rsidRPr="007176EF" w:rsidRDefault="007176EF" w:rsidP="00F9198B">
            <w:pPr>
              <w:pStyle w:val="Tabletext"/>
              <w:rPr>
                <w:lang w:eastAsia="en-AU"/>
              </w:rPr>
            </w:pPr>
            <w:r w:rsidRPr="007176EF">
              <w:rPr>
                <w:lang w:eastAsia="en-AU"/>
              </w:rPr>
              <w:t>University of Canberra</w:t>
            </w:r>
          </w:p>
        </w:tc>
        <w:tc>
          <w:tcPr>
            <w:tcW w:w="629" w:type="dxa"/>
            <w:tcBorders>
              <w:top w:val="nil"/>
              <w:left w:val="dashed" w:sz="4" w:space="0" w:color="auto"/>
              <w:bottom w:val="nil"/>
              <w:right w:val="nil"/>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19</w:t>
            </w:r>
          </w:p>
        </w:tc>
        <w:tc>
          <w:tcPr>
            <w:tcW w:w="630" w:type="dxa"/>
            <w:tcBorders>
              <w:top w:val="nil"/>
              <w:left w:val="nil"/>
              <w:bottom w:val="nil"/>
              <w:right w:val="nil"/>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13</w:t>
            </w:r>
          </w:p>
        </w:tc>
        <w:tc>
          <w:tcPr>
            <w:tcW w:w="630" w:type="dxa"/>
            <w:tcBorders>
              <w:top w:val="nil"/>
              <w:left w:val="nil"/>
              <w:bottom w:val="nil"/>
              <w:right w:val="dashed" w:sz="4" w:space="0" w:color="auto"/>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21</w:t>
            </w:r>
          </w:p>
        </w:tc>
        <w:tc>
          <w:tcPr>
            <w:tcW w:w="630"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15</w:t>
            </w:r>
          </w:p>
        </w:tc>
        <w:tc>
          <w:tcPr>
            <w:tcW w:w="630" w:type="dxa"/>
            <w:tcBorders>
              <w:top w:val="nil"/>
              <w:left w:val="nil"/>
              <w:bottom w:val="nil"/>
              <w:right w:val="dashed" w:sz="4" w:space="0" w:color="auto"/>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19</w:t>
            </w:r>
          </w:p>
        </w:tc>
        <w:tc>
          <w:tcPr>
            <w:tcW w:w="630"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 </w:t>
            </w:r>
          </w:p>
        </w:tc>
        <w:tc>
          <w:tcPr>
            <w:tcW w:w="630" w:type="dxa"/>
            <w:tcBorders>
              <w:top w:val="nil"/>
              <w:left w:val="nil"/>
              <w:bottom w:val="nil"/>
              <w:right w:val="dashed" w:sz="4" w:space="0" w:color="auto"/>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21</w:t>
            </w:r>
          </w:p>
        </w:tc>
        <w:tc>
          <w:tcPr>
            <w:tcW w:w="630"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0</w:t>
            </w:r>
          </w:p>
        </w:tc>
        <w:tc>
          <w:tcPr>
            <w:tcW w:w="630" w:type="dxa"/>
            <w:tcBorders>
              <w:top w:val="nil"/>
              <w:left w:val="nil"/>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7</w:t>
            </w:r>
          </w:p>
        </w:tc>
        <w:tc>
          <w:tcPr>
            <w:tcW w:w="630" w:type="dxa"/>
            <w:tcBorders>
              <w:top w:val="nil"/>
              <w:left w:val="nil"/>
              <w:bottom w:val="nil"/>
              <w:right w:val="dashed" w:sz="4" w:space="0" w:color="auto"/>
            </w:tcBorders>
            <w:shd w:val="clear" w:color="auto" w:fill="BFBFBF" w:themeFill="background1" w:themeFillShade="BF"/>
            <w:noWrap/>
            <w:hideMark/>
          </w:tcPr>
          <w:p w:rsidR="007176EF" w:rsidRPr="007176EF" w:rsidRDefault="007176EF" w:rsidP="009230BC">
            <w:pPr>
              <w:pStyle w:val="Tabletext"/>
              <w:tabs>
                <w:tab w:val="decimal" w:pos="284"/>
              </w:tabs>
              <w:rPr>
                <w:lang w:eastAsia="en-AU"/>
              </w:rPr>
            </w:pPr>
            <w:r w:rsidRPr="007176EF">
              <w:rPr>
                <w:lang w:eastAsia="en-AU"/>
              </w:rPr>
              <w:t>7</w:t>
            </w:r>
          </w:p>
        </w:tc>
        <w:tc>
          <w:tcPr>
            <w:tcW w:w="505"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13</w:t>
            </w:r>
          </w:p>
        </w:tc>
      </w:tr>
      <w:tr w:rsidR="007176EF" w:rsidRPr="00354384" w:rsidTr="00AE0E1C">
        <w:tc>
          <w:tcPr>
            <w:tcW w:w="1985" w:type="dxa"/>
            <w:tcBorders>
              <w:top w:val="nil"/>
              <w:left w:val="nil"/>
              <w:bottom w:val="nil"/>
              <w:right w:val="dashed" w:sz="4" w:space="0" w:color="auto"/>
            </w:tcBorders>
            <w:shd w:val="clear" w:color="000000" w:fill="FFFFFF"/>
            <w:noWrap/>
            <w:hideMark/>
          </w:tcPr>
          <w:p w:rsidR="007176EF" w:rsidRPr="007176EF" w:rsidRDefault="007176EF" w:rsidP="00F9198B">
            <w:pPr>
              <w:pStyle w:val="Tabletext"/>
              <w:rPr>
                <w:lang w:eastAsia="en-AU"/>
              </w:rPr>
            </w:pPr>
            <w:r w:rsidRPr="007176EF">
              <w:rPr>
                <w:lang w:eastAsia="en-AU"/>
              </w:rPr>
              <w:t>Charles Darwin University</w:t>
            </w:r>
          </w:p>
        </w:tc>
        <w:tc>
          <w:tcPr>
            <w:tcW w:w="629" w:type="dxa"/>
            <w:tcBorders>
              <w:top w:val="nil"/>
              <w:left w:val="dashed" w:sz="4" w:space="0" w:color="auto"/>
              <w:bottom w:val="nil"/>
              <w:right w:val="nil"/>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15</w:t>
            </w:r>
          </w:p>
        </w:tc>
        <w:tc>
          <w:tcPr>
            <w:tcW w:w="630" w:type="dxa"/>
            <w:tcBorders>
              <w:top w:val="nil"/>
              <w:left w:val="nil"/>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0</w:t>
            </w:r>
          </w:p>
        </w:tc>
        <w:tc>
          <w:tcPr>
            <w:tcW w:w="630" w:type="dxa"/>
            <w:tcBorders>
              <w:top w:val="nil"/>
              <w:left w:val="nil"/>
              <w:bottom w:val="nil"/>
              <w:right w:val="dashed" w:sz="4" w:space="0" w:color="auto"/>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31</w:t>
            </w:r>
          </w:p>
        </w:tc>
        <w:tc>
          <w:tcPr>
            <w:tcW w:w="630"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12</w:t>
            </w:r>
          </w:p>
        </w:tc>
        <w:tc>
          <w:tcPr>
            <w:tcW w:w="630" w:type="dxa"/>
            <w:tcBorders>
              <w:top w:val="nil"/>
              <w:left w:val="nil"/>
              <w:bottom w:val="nil"/>
              <w:right w:val="dashed" w:sz="4" w:space="0" w:color="auto"/>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0</w:t>
            </w:r>
          </w:p>
        </w:tc>
        <w:tc>
          <w:tcPr>
            <w:tcW w:w="630" w:type="dxa"/>
            <w:tcBorders>
              <w:top w:val="nil"/>
              <w:left w:val="dashed" w:sz="4" w:space="0" w:color="auto"/>
              <w:bottom w:val="nil"/>
              <w:right w:val="nil"/>
            </w:tcBorders>
            <w:shd w:val="clear" w:color="auto" w:fill="BFBFBF" w:themeFill="background1" w:themeFillShade="BF"/>
            <w:noWrap/>
            <w:hideMark/>
          </w:tcPr>
          <w:p w:rsidR="007176EF" w:rsidRPr="007176EF" w:rsidRDefault="007176EF" w:rsidP="009230BC">
            <w:pPr>
              <w:pStyle w:val="Tabletext"/>
              <w:tabs>
                <w:tab w:val="decimal" w:pos="284"/>
              </w:tabs>
              <w:rPr>
                <w:lang w:eastAsia="en-AU"/>
              </w:rPr>
            </w:pPr>
            <w:r w:rsidRPr="007176EF">
              <w:rPr>
                <w:lang w:eastAsia="en-AU"/>
              </w:rPr>
              <w:t>18</w:t>
            </w:r>
          </w:p>
        </w:tc>
        <w:tc>
          <w:tcPr>
            <w:tcW w:w="630" w:type="dxa"/>
            <w:tcBorders>
              <w:top w:val="nil"/>
              <w:left w:val="nil"/>
              <w:bottom w:val="nil"/>
              <w:right w:val="dashed" w:sz="4" w:space="0" w:color="auto"/>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0</w:t>
            </w:r>
          </w:p>
        </w:tc>
        <w:tc>
          <w:tcPr>
            <w:tcW w:w="630"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0</w:t>
            </w:r>
          </w:p>
        </w:tc>
        <w:tc>
          <w:tcPr>
            <w:tcW w:w="630" w:type="dxa"/>
            <w:tcBorders>
              <w:top w:val="nil"/>
              <w:left w:val="nil"/>
              <w:bottom w:val="nil"/>
              <w:right w:val="nil"/>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11</w:t>
            </w:r>
          </w:p>
        </w:tc>
        <w:tc>
          <w:tcPr>
            <w:tcW w:w="630" w:type="dxa"/>
            <w:tcBorders>
              <w:top w:val="nil"/>
              <w:left w:val="nil"/>
              <w:bottom w:val="nil"/>
              <w:right w:val="dashed" w:sz="4" w:space="0" w:color="auto"/>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0</w:t>
            </w:r>
          </w:p>
        </w:tc>
        <w:tc>
          <w:tcPr>
            <w:tcW w:w="505"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12</w:t>
            </w:r>
          </w:p>
        </w:tc>
      </w:tr>
      <w:tr w:rsidR="007176EF" w:rsidRPr="00354384" w:rsidTr="00AE0E1C">
        <w:tc>
          <w:tcPr>
            <w:tcW w:w="1985" w:type="dxa"/>
            <w:tcBorders>
              <w:top w:val="nil"/>
              <w:left w:val="nil"/>
              <w:bottom w:val="nil"/>
              <w:right w:val="dashed" w:sz="4" w:space="0" w:color="auto"/>
            </w:tcBorders>
            <w:shd w:val="clear" w:color="000000" w:fill="FFFFFF"/>
            <w:noWrap/>
            <w:hideMark/>
          </w:tcPr>
          <w:p w:rsidR="007176EF" w:rsidRPr="007176EF" w:rsidRDefault="007176EF" w:rsidP="00F9198B">
            <w:pPr>
              <w:pStyle w:val="Tabletext"/>
              <w:rPr>
                <w:lang w:eastAsia="en-AU"/>
              </w:rPr>
            </w:pPr>
            <w:r w:rsidRPr="007176EF">
              <w:rPr>
                <w:lang w:eastAsia="en-AU"/>
              </w:rPr>
              <w:t>University of South Australia</w:t>
            </w:r>
          </w:p>
        </w:tc>
        <w:tc>
          <w:tcPr>
            <w:tcW w:w="629" w:type="dxa"/>
            <w:tcBorders>
              <w:top w:val="nil"/>
              <w:left w:val="dashed" w:sz="4" w:space="0" w:color="auto"/>
              <w:bottom w:val="nil"/>
              <w:right w:val="nil"/>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16</w:t>
            </w:r>
          </w:p>
        </w:tc>
        <w:tc>
          <w:tcPr>
            <w:tcW w:w="630" w:type="dxa"/>
            <w:tcBorders>
              <w:top w:val="nil"/>
              <w:left w:val="nil"/>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6</w:t>
            </w:r>
          </w:p>
        </w:tc>
        <w:tc>
          <w:tcPr>
            <w:tcW w:w="630" w:type="dxa"/>
            <w:tcBorders>
              <w:top w:val="nil"/>
              <w:left w:val="nil"/>
              <w:bottom w:val="nil"/>
              <w:right w:val="dashed" w:sz="4" w:space="0" w:color="auto"/>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14</w:t>
            </w:r>
          </w:p>
        </w:tc>
        <w:tc>
          <w:tcPr>
            <w:tcW w:w="630"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10</w:t>
            </w:r>
          </w:p>
        </w:tc>
        <w:tc>
          <w:tcPr>
            <w:tcW w:w="630" w:type="dxa"/>
            <w:tcBorders>
              <w:top w:val="nil"/>
              <w:left w:val="nil"/>
              <w:bottom w:val="nil"/>
              <w:right w:val="dashed" w:sz="4" w:space="0" w:color="auto"/>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19</w:t>
            </w:r>
          </w:p>
        </w:tc>
        <w:tc>
          <w:tcPr>
            <w:tcW w:w="630" w:type="dxa"/>
            <w:tcBorders>
              <w:top w:val="nil"/>
              <w:left w:val="dashed" w:sz="4" w:space="0" w:color="auto"/>
              <w:bottom w:val="nil"/>
              <w:right w:val="nil"/>
            </w:tcBorders>
            <w:shd w:val="clear" w:color="auto" w:fill="BFBFBF" w:themeFill="background1" w:themeFillShade="BF"/>
            <w:noWrap/>
            <w:hideMark/>
          </w:tcPr>
          <w:p w:rsidR="007176EF" w:rsidRPr="007176EF" w:rsidRDefault="007176EF" w:rsidP="009230BC">
            <w:pPr>
              <w:pStyle w:val="Tabletext"/>
              <w:tabs>
                <w:tab w:val="decimal" w:pos="284"/>
              </w:tabs>
              <w:rPr>
                <w:lang w:eastAsia="en-AU"/>
              </w:rPr>
            </w:pPr>
            <w:r w:rsidRPr="007176EF">
              <w:rPr>
                <w:lang w:eastAsia="en-AU"/>
              </w:rPr>
              <w:t>11</w:t>
            </w:r>
          </w:p>
        </w:tc>
        <w:tc>
          <w:tcPr>
            <w:tcW w:w="630" w:type="dxa"/>
            <w:tcBorders>
              <w:top w:val="nil"/>
              <w:left w:val="nil"/>
              <w:bottom w:val="nil"/>
              <w:right w:val="dashed" w:sz="4" w:space="0" w:color="auto"/>
            </w:tcBorders>
            <w:shd w:val="clear" w:color="auto" w:fill="auto"/>
            <w:noWrap/>
            <w:hideMark/>
          </w:tcPr>
          <w:p w:rsidR="007176EF" w:rsidRPr="007176EF" w:rsidRDefault="007176EF" w:rsidP="009230BC">
            <w:pPr>
              <w:pStyle w:val="Tabletext"/>
              <w:tabs>
                <w:tab w:val="decimal" w:pos="340"/>
              </w:tabs>
              <w:rPr>
                <w:lang w:eastAsia="en-AU"/>
              </w:rPr>
            </w:pPr>
            <w:r w:rsidRPr="007176EF">
              <w:rPr>
                <w:lang w:eastAsia="en-AU"/>
              </w:rPr>
              <w:t>8</w:t>
            </w:r>
          </w:p>
        </w:tc>
        <w:tc>
          <w:tcPr>
            <w:tcW w:w="630"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0</w:t>
            </w:r>
          </w:p>
        </w:tc>
        <w:tc>
          <w:tcPr>
            <w:tcW w:w="630" w:type="dxa"/>
            <w:tcBorders>
              <w:top w:val="nil"/>
              <w:left w:val="nil"/>
              <w:bottom w:val="nil"/>
              <w:right w:val="nil"/>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14</w:t>
            </w:r>
          </w:p>
        </w:tc>
        <w:tc>
          <w:tcPr>
            <w:tcW w:w="630" w:type="dxa"/>
            <w:tcBorders>
              <w:top w:val="nil"/>
              <w:left w:val="nil"/>
              <w:bottom w:val="nil"/>
              <w:right w:val="dashed" w:sz="4" w:space="0" w:color="auto"/>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0</w:t>
            </w:r>
          </w:p>
        </w:tc>
        <w:tc>
          <w:tcPr>
            <w:tcW w:w="505"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12</w:t>
            </w:r>
          </w:p>
        </w:tc>
      </w:tr>
      <w:tr w:rsidR="007176EF" w:rsidRPr="00354384" w:rsidTr="00AE0E1C">
        <w:tc>
          <w:tcPr>
            <w:tcW w:w="1985" w:type="dxa"/>
            <w:tcBorders>
              <w:top w:val="nil"/>
              <w:left w:val="nil"/>
              <w:bottom w:val="nil"/>
              <w:right w:val="dashed" w:sz="4" w:space="0" w:color="auto"/>
            </w:tcBorders>
            <w:shd w:val="clear" w:color="000000" w:fill="FFFFFF"/>
            <w:noWrap/>
            <w:hideMark/>
          </w:tcPr>
          <w:p w:rsidR="007176EF" w:rsidRPr="007176EF" w:rsidRDefault="007176EF" w:rsidP="00F9198B">
            <w:pPr>
              <w:pStyle w:val="Tabletext"/>
              <w:rPr>
                <w:lang w:eastAsia="en-AU"/>
              </w:rPr>
            </w:pPr>
            <w:r w:rsidRPr="007176EF">
              <w:rPr>
                <w:lang w:eastAsia="en-AU"/>
              </w:rPr>
              <w:t>University of Ballarat</w:t>
            </w:r>
          </w:p>
        </w:tc>
        <w:tc>
          <w:tcPr>
            <w:tcW w:w="629"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7</w:t>
            </w:r>
          </w:p>
        </w:tc>
        <w:tc>
          <w:tcPr>
            <w:tcW w:w="630" w:type="dxa"/>
            <w:tcBorders>
              <w:top w:val="nil"/>
              <w:left w:val="nil"/>
              <w:bottom w:val="nil"/>
              <w:right w:val="nil"/>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17</w:t>
            </w:r>
          </w:p>
        </w:tc>
        <w:tc>
          <w:tcPr>
            <w:tcW w:w="630" w:type="dxa"/>
            <w:tcBorders>
              <w:top w:val="nil"/>
              <w:left w:val="nil"/>
              <w:bottom w:val="nil"/>
              <w:right w:val="dashed" w:sz="4" w:space="0" w:color="auto"/>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16</w:t>
            </w:r>
          </w:p>
        </w:tc>
        <w:tc>
          <w:tcPr>
            <w:tcW w:w="630" w:type="dxa"/>
            <w:tcBorders>
              <w:top w:val="nil"/>
              <w:left w:val="dashed" w:sz="4" w:space="0" w:color="auto"/>
              <w:bottom w:val="nil"/>
              <w:right w:val="nil"/>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20</w:t>
            </w:r>
          </w:p>
        </w:tc>
        <w:tc>
          <w:tcPr>
            <w:tcW w:w="630" w:type="dxa"/>
            <w:tcBorders>
              <w:top w:val="nil"/>
              <w:left w:val="nil"/>
              <w:bottom w:val="nil"/>
              <w:right w:val="dashed" w:sz="4" w:space="0" w:color="auto"/>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6</w:t>
            </w:r>
          </w:p>
        </w:tc>
        <w:tc>
          <w:tcPr>
            <w:tcW w:w="630"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0</w:t>
            </w:r>
          </w:p>
        </w:tc>
        <w:tc>
          <w:tcPr>
            <w:tcW w:w="630" w:type="dxa"/>
            <w:tcBorders>
              <w:top w:val="nil"/>
              <w:left w:val="nil"/>
              <w:bottom w:val="nil"/>
              <w:right w:val="dashed" w:sz="4" w:space="0" w:color="auto"/>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 </w:t>
            </w:r>
          </w:p>
        </w:tc>
        <w:tc>
          <w:tcPr>
            <w:tcW w:w="630"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 </w:t>
            </w:r>
          </w:p>
        </w:tc>
        <w:tc>
          <w:tcPr>
            <w:tcW w:w="630" w:type="dxa"/>
            <w:tcBorders>
              <w:top w:val="nil"/>
              <w:left w:val="nil"/>
              <w:bottom w:val="nil"/>
              <w:right w:val="nil"/>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16</w:t>
            </w:r>
          </w:p>
        </w:tc>
        <w:tc>
          <w:tcPr>
            <w:tcW w:w="630" w:type="dxa"/>
            <w:tcBorders>
              <w:top w:val="nil"/>
              <w:left w:val="nil"/>
              <w:bottom w:val="nil"/>
              <w:right w:val="dashed" w:sz="4" w:space="0" w:color="auto"/>
            </w:tcBorders>
            <w:shd w:val="clear" w:color="auto" w:fill="BFBFBF" w:themeFill="background1" w:themeFillShade="BF"/>
            <w:noWrap/>
            <w:hideMark/>
          </w:tcPr>
          <w:p w:rsidR="007176EF" w:rsidRPr="007176EF" w:rsidRDefault="007176EF" w:rsidP="009230BC">
            <w:pPr>
              <w:pStyle w:val="Tabletext"/>
              <w:tabs>
                <w:tab w:val="decimal" w:pos="284"/>
              </w:tabs>
              <w:rPr>
                <w:lang w:eastAsia="en-AU"/>
              </w:rPr>
            </w:pPr>
            <w:r w:rsidRPr="007176EF">
              <w:rPr>
                <w:lang w:eastAsia="en-AU"/>
              </w:rPr>
              <w:t>10</w:t>
            </w:r>
          </w:p>
        </w:tc>
        <w:tc>
          <w:tcPr>
            <w:tcW w:w="505"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11</w:t>
            </w:r>
          </w:p>
        </w:tc>
      </w:tr>
      <w:tr w:rsidR="007176EF" w:rsidRPr="00354384" w:rsidTr="00AE0E1C">
        <w:tc>
          <w:tcPr>
            <w:tcW w:w="1985" w:type="dxa"/>
            <w:tcBorders>
              <w:top w:val="nil"/>
              <w:left w:val="nil"/>
              <w:bottom w:val="nil"/>
              <w:right w:val="dashed" w:sz="4" w:space="0" w:color="auto"/>
            </w:tcBorders>
            <w:shd w:val="clear" w:color="000000" w:fill="FFFFFF"/>
            <w:noWrap/>
            <w:hideMark/>
          </w:tcPr>
          <w:p w:rsidR="007176EF" w:rsidRPr="007176EF" w:rsidRDefault="007176EF" w:rsidP="00F9198B">
            <w:pPr>
              <w:pStyle w:val="Tabletext"/>
              <w:rPr>
                <w:lang w:eastAsia="en-AU"/>
              </w:rPr>
            </w:pPr>
            <w:r w:rsidRPr="007176EF">
              <w:rPr>
                <w:lang w:eastAsia="en-AU"/>
              </w:rPr>
              <w:t>University of Tasmania</w:t>
            </w:r>
          </w:p>
        </w:tc>
        <w:tc>
          <w:tcPr>
            <w:tcW w:w="629"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8</w:t>
            </w:r>
          </w:p>
        </w:tc>
        <w:tc>
          <w:tcPr>
            <w:tcW w:w="630" w:type="dxa"/>
            <w:tcBorders>
              <w:top w:val="nil"/>
              <w:left w:val="nil"/>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0</w:t>
            </w:r>
          </w:p>
        </w:tc>
        <w:tc>
          <w:tcPr>
            <w:tcW w:w="630" w:type="dxa"/>
            <w:tcBorders>
              <w:top w:val="nil"/>
              <w:left w:val="nil"/>
              <w:bottom w:val="nil"/>
              <w:right w:val="dashed" w:sz="4" w:space="0" w:color="auto"/>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17</w:t>
            </w:r>
          </w:p>
        </w:tc>
        <w:tc>
          <w:tcPr>
            <w:tcW w:w="630" w:type="dxa"/>
            <w:tcBorders>
              <w:top w:val="nil"/>
              <w:left w:val="dashed" w:sz="4" w:space="0" w:color="auto"/>
              <w:bottom w:val="nil"/>
              <w:right w:val="nil"/>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28</w:t>
            </w:r>
          </w:p>
        </w:tc>
        <w:tc>
          <w:tcPr>
            <w:tcW w:w="630" w:type="dxa"/>
            <w:tcBorders>
              <w:top w:val="nil"/>
              <w:left w:val="nil"/>
              <w:bottom w:val="nil"/>
              <w:right w:val="dashed" w:sz="4" w:space="0" w:color="auto"/>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4</w:t>
            </w:r>
          </w:p>
        </w:tc>
        <w:tc>
          <w:tcPr>
            <w:tcW w:w="630" w:type="dxa"/>
            <w:tcBorders>
              <w:top w:val="nil"/>
              <w:left w:val="dashed" w:sz="4" w:space="0" w:color="auto"/>
              <w:bottom w:val="nil"/>
              <w:right w:val="nil"/>
            </w:tcBorders>
            <w:shd w:val="clear" w:color="auto" w:fill="BFBFBF" w:themeFill="background1" w:themeFillShade="BF"/>
            <w:noWrap/>
            <w:hideMark/>
          </w:tcPr>
          <w:p w:rsidR="007176EF" w:rsidRPr="007176EF" w:rsidRDefault="007176EF" w:rsidP="009230BC">
            <w:pPr>
              <w:pStyle w:val="Tabletext"/>
              <w:tabs>
                <w:tab w:val="decimal" w:pos="284"/>
              </w:tabs>
              <w:rPr>
                <w:lang w:eastAsia="en-AU"/>
              </w:rPr>
            </w:pPr>
            <w:r w:rsidRPr="007176EF">
              <w:rPr>
                <w:lang w:eastAsia="en-AU"/>
              </w:rPr>
              <w:t>13</w:t>
            </w:r>
          </w:p>
        </w:tc>
        <w:tc>
          <w:tcPr>
            <w:tcW w:w="630" w:type="dxa"/>
            <w:tcBorders>
              <w:top w:val="nil"/>
              <w:left w:val="nil"/>
              <w:bottom w:val="nil"/>
              <w:right w:val="dashed" w:sz="4" w:space="0" w:color="auto"/>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13</w:t>
            </w:r>
          </w:p>
        </w:tc>
        <w:tc>
          <w:tcPr>
            <w:tcW w:w="630" w:type="dxa"/>
            <w:tcBorders>
              <w:top w:val="nil"/>
              <w:left w:val="dashed" w:sz="4" w:space="0" w:color="auto"/>
              <w:bottom w:val="nil"/>
              <w:right w:val="nil"/>
            </w:tcBorders>
            <w:shd w:val="clear" w:color="auto" w:fill="BFBFBF" w:themeFill="background1" w:themeFillShade="BF"/>
            <w:noWrap/>
            <w:hideMark/>
          </w:tcPr>
          <w:p w:rsidR="007176EF" w:rsidRPr="007176EF" w:rsidRDefault="007176EF" w:rsidP="009230BC">
            <w:pPr>
              <w:pStyle w:val="Tabletext"/>
              <w:tabs>
                <w:tab w:val="decimal" w:pos="284"/>
              </w:tabs>
              <w:rPr>
                <w:lang w:eastAsia="en-AU"/>
              </w:rPr>
            </w:pPr>
            <w:r w:rsidRPr="007176EF">
              <w:rPr>
                <w:lang w:eastAsia="en-AU"/>
              </w:rPr>
              <w:t>22</w:t>
            </w:r>
          </w:p>
        </w:tc>
        <w:tc>
          <w:tcPr>
            <w:tcW w:w="630" w:type="dxa"/>
            <w:tcBorders>
              <w:top w:val="nil"/>
              <w:left w:val="nil"/>
              <w:bottom w:val="nil"/>
              <w:right w:val="nil"/>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9</w:t>
            </w:r>
          </w:p>
        </w:tc>
        <w:tc>
          <w:tcPr>
            <w:tcW w:w="630" w:type="dxa"/>
            <w:tcBorders>
              <w:top w:val="nil"/>
              <w:left w:val="nil"/>
              <w:bottom w:val="nil"/>
              <w:right w:val="dashed" w:sz="4" w:space="0" w:color="auto"/>
            </w:tcBorders>
            <w:shd w:val="clear" w:color="auto" w:fill="BFBFBF" w:themeFill="background1" w:themeFillShade="BF"/>
            <w:noWrap/>
            <w:hideMark/>
          </w:tcPr>
          <w:p w:rsidR="007176EF" w:rsidRPr="007176EF" w:rsidRDefault="007176EF" w:rsidP="009230BC">
            <w:pPr>
              <w:pStyle w:val="Tabletext"/>
              <w:tabs>
                <w:tab w:val="decimal" w:pos="284"/>
              </w:tabs>
              <w:rPr>
                <w:lang w:eastAsia="en-AU"/>
              </w:rPr>
            </w:pPr>
            <w:r w:rsidRPr="007176EF">
              <w:rPr>
                <w:lang w:eastAsia="en-AU"/>
              </w:rPr>
              <w:t>8</w:t>
            </w:r>
          </w:p>
        </w:tc>
        <w:tc>
          <w:tcPr>
            <w:tcW w:w="505"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11</w:t>
            </w:r>
          </w:p>
        </w:tc>
      </w:tr>
      <w:tr w:rsidR="007176EF" w:rsidRPr="00354384" w:rsidTr="00AE0E1C">
        <w:tc>
          <w:tcPr>
            <w:tcW w:w="1985" w:type="dxa"/>
            <w:tcBorders>
              <w:top w:val="nil"/>
              <w:left w:val="nil"/>
              <w:bottom w:val="nil"/>
              <w:right w:val="dashed" w:sz="4" w:space="0" w:color="auto"/>
            </w:tcBorders>
            <w:shd w:val="clear" w:color="000000" w:fill="FFFFFF"/>
            <w:noWrap/>
            <w:hideMark/>
          </w:tcPr>
          <w:p w:rsidR="007176EF" w:rsidRPr="007176EF" w:rsidRDefault="007176EF" w:rsidP="00F9198B">
            <w:pPr>
              <w:pStyle w:val="Tabletext"/>
              <w:rPr>
                <w:lang w:eastAsia="en-AU"/>
              </w:rPr>
            </w:pPr>
            <w:r w:rsidRPr="007176EF">
              <w:rPr>
                <w:lang w:eastAsia="en-AU"/>
              </w:rPr>
              <w:t>Griffith University</w:t>
            </w:r>
          </w:p>
        </w:tc>
        <w:tc>
          <w:tcPr>
            <w:tcW w:w="629" w:type="dxa"/>
            <w:tcBorders>
              <w:top w:val="nil"/>
              <w:left w:val="dashed" w:sz="4" w:space="0" w:color="auto"/>
              <w:bottom w:val="nil"/>
              <w:right w:val="nil"/>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17</w:t>
            </w:r>
          </w:p>
        </w:tc>
        <w:tc>
          <w:tcPr>
            <w:tcW w:w="630" w:type="dxa"/>
            <w:tcBorders>
              <w:top w:val="nil"/>
              <w:left w:val="nil"/>
              <w:bottom w:val="nil"/>
              <w:right w:val="nil"/>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9</w:t>
            </w:r>
          </w:p>
        </w:tc>
        <w:tc>
          <w:tcPr>
            <w:tcW w:w="630" w:type="dxa"/>
            <w:tcBorders>
              <w:top w:val="nil"/>
              <w:left w:val="nil"/>
              <w:bottom w:val="nil"/>
              <w:right w:val="dashed" w:sz="4" w:space="0" w:color="auto"/>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11</w:t>
            </w:r>
          </w:p>
        </w:tc>
        <w:tc>
          <w:tcPr>
            <w:tcW w:w="630" w:type="dxa"/>
            <w:tcBorders>
              <w:top w:val="nil"/>
              <w:left w:val="dashed" w:sz="4" w:space="0" w:color="auto"/>
              <w:bottom w:val="nil"/>
              <w:right w:val="nil"/>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17</w:t>
            </w:r>
          </w:p>
        </w:tc>
        <w:tc>
          <w:tcPr>
            <w:tcW w:w="630" w:type="dxa"/>
            <w:tcBorders>
              <w:top w:val="nil"/>
              <w:left w:val="nil"/>
              <w:bottom w:val="nil"/>
              <w:right w:val="dashed" w:sz="4" w:space="0" w:color="auto"/>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24</w:t>
            </w:r>
          </w:p>
        </w:tc>
        <w:tc>
          <w:tcPr>
            <w:tcW w:w="630"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6</w:t>
            </w:r>
          </w:p>
        </w:tc>
        <w:tc>
          <w:tcPr>
            <w:tcW w:w="630" w:type="dxa"/>
            <w:tcBorders>
              <w:top w:val="nil"/>
              <w:left w:val="nil"/>
              <w:bottom w:val="nil"/>
              <w:right w:val="dashed" w:sz="4" w:space="0" w:color="auto"/>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6</w:t>
            </w:r>
          </w:p>
        </w:tc>
        <w:tc>
          <w:tcPr>
            <w:tcW w:w="630"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0</w:t>
            </w:r>
          </w:p>
        </w:tc>
        <w:tc>
          <w:tcPr>
            <w:tcW w:w="630" w:type="dxa"/>
            <w:tcBorders>
              <w:top w:val="nil"/>
              <w:left w:val="nil"/>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8</w:t>
            </w:r>
          </w:p>
        </w:tc>
        <w:tc>
          <w:tcPr>
            <w:tcW w:w="630" w:type="dxa"/>
            <w:tcBorders>
              <w:top w:val="nil"/>
              <w:left w:val="nil"/>
              <w:bottom w:val="nil"/>
              <w:right w:val="dashed" w:sz="4" w:space="0" w:color="auto"/>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4</w:t>
            </w:r>
          </w:p>
        </w:tc>
        <w:tc>
          <w:tcPr>
            <w:tcW w:w="505"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11</w:t>
            </w:r>
          </w:p>
        </w:tc>
      </w:tr>
      <w:tr w:rsidR="007176EF" w:rsidRPr="00354384" w:rsidTr="00AE0E1C">
        <w:tc>
          <w:tcPr>
            <w:tcW w:w="1985" w:type="dxa"/>
            <w:tcBorders>
              <w:top w:val="nil"/>
              <w:left w:val="nil"/>
              <w:bottom w:val="nil"/>
              <w:right w:val="dashed" w:sz="4" w:space="0" w:color="auto"/>
            </w:tcBorders>
            <w:shd w:val="clear" w:color="000000" w:fill="FFFFFF"/>
            <w:noWrap/>
            <w:hideMark/>
          </w:tcPr>
          <w:p w:rsidR="007176EF" w:rsidRPr="007176EF" w:rsidRDefault="007176EF" w:rsidP="00F9198B">
            <w:pPr>
              <w:pStyle w:val="Tabletext"/>
              <w:rPr>
                <w:lang w:eastAsia="en-AU"/>
              </w:rPr>
            </w:pPr>
            <w:r w:rsidRPr="007176EF">
              <w:rPr>
                <w:lang w:eastAsia="en-AU"/>
              </w:rPr>
              <w:t>University of Wollongong</w:t>
            </w:r>
          </w:p>
        </w:tc>
        <w:tc>
          <w:tcPr>
            <w:tcW w:w="629" w:type="dxa"/>
            <w:tcBorders>
              <w:top w:val="nil"/>
              <w:left w:val="dashed" w:sz="4" w:space="0" w:color="auto"/>
              <w:bottom w:val="nil"/>
              <w:right w:val="nil"/>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17</w:t>
            </w:r>
          </w:p>
        </w:tc>
        <w:tc>
          <w:tcPr>
            <w:tcW w:w="630" w:type="dxa"/>
            <w:tcBorders>
              <w:top w:val="nil"/>
              <w:left w:val="nil"/>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8</w:t>
            </w:r>
          </w:p>
        </w:tc>
        <w:tc>
          <w:tcPr>
            <w:tcW w:w="630" w:type="dxa"/>
            <w:tcBorders>
              <w:top w:val="nil"/>
              <w:left w:val="nil"/>
              <w:bottom w:val="nil"/>
              <w:right w:val="dashed" w:sz="4" w:space="0" w:color="auto"/>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15</w:t>
            </w:r>
          </w:p>
        </w:tc>
        <w:tc>
          <w:tcPr>
            <w:tcW w:w="630" w:type="dxa"/>
            <w:tcBorders>
              <w:top w:val="nil"/>
              <w:left w:val="dashed" w:sz="4" w:space="0" w:color="auto"/>
              <w:bottom w:val="nil"/>
              <w:right w:val="nil"/>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17</w:t>
            </w:r>
          </w:p>
        </w:tc>
        <w:tc>
          <w:tcPr>
            <w:tcW w:w="630" w:type="dxa"/>
            <w:tcBorders>
              <w:top w:val="nil"/>
              <w:left w:val="nil"/>
              <w:bottom w:val="nil"/>
              <w:right w:val="dashed" w:sz="4" w:space="0" w:color="auto"/>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11</w:t>
            </w:r>
          </w:p>
        </w:tc>
        <w:tc>
          <w:tcPr>
            <w:tcW w:w="630" w:type="dxa"/>
            <w:tcBorders>
              <w:top w:val="nil"/>
              <w:left w:val="dashed" w:sz="4" w:space="0" w:color="auto"/>
              <w:bottom w:val="nil"/>
              <w:right w:val="nil"/>
            </w:tcBorders>
            <w:shd w:val="clear" w:color="auto" w:fill="BFBFBF" w:themeFill="background1" w:themeFillShade="BF"/>
            <w:noWrap/>
            <w:hideMark/>
          </w:tcPr>
          <w:p w:rsidR="007176EF" w:rsidRPr="007176EF" w:rsidRDefault="007176EF" w:rsidP="009230BC">
            <w:pPr>
              <w:pStyle w:val="Tabletext"/>
              <w:tabs>
                <w:tab w:val="decimal" w:pos="284"/>
              </w:tabs>
              <w:rPr>
                <w:lang w:eastAsia="en-AU"/>
              </w:rPr>
            </w:pPr>
            <w:r w:rsidRPr="007176EF">
              <w:rPr>
                <w:lang w:eastAsia="en-AU"/>
              </w:rPr>
              <w:t>9</w:t>
            </w:r>
          </w:p>
        </w:tc>
        <w:tc>
          <w:tcPr>
            <w:tcW w:w="630" w:type="dxa"/>
            <w:tcBorders>
              <w:top w:val="nil"/>
              <w:left w:val="nil"/>
              <w:bottom w:val="nil"/>
              <w:right w:val="dashed" w:sz="4" w:space="0" w:color="auto"/>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 </w:t>
            </w:r>
          </w:p>
        </w:tc>
        <w:tc>
          <w:tcPr>
            <w:tcW w:w="630"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0</w:t>
            </w:r>
          </w:p>
        </w:tc>
        <w:tc>
          <w:tcPr>
            <w:tcW w:w="630" w:type="dxa"/>
            <w:tcBorders>
              <w:top w:val="nil"/>
              <w:left w:val="nil"/>
              <w:bottom w:val="nil"/>
              <w:right w:val="nil"/>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9</w:t>
            </w:r>
          </w:p>
        </w:tc>
        <w:tc>
          <w:tcPr>
            <w:tcW w:w="630" w:type="dxa"/>
            <w:tcBorders>
              <w:top w:val="nil"/>
              <w:left w:val="nil"/>
              <w:bottom w:val="nil"/>
              <w:right w:val="dashed" w:sz="4" w:space="0" w:color="auto"/>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0</w:t>
            </w:r>
          </w:p>
        </w:tc>
        <w:tc>
          <w:tcPr>
            <w:tcW w:w="505"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11</w:t>
            </w:r>
          </w:p>
        </w:tc>
      </w:tr>
      <w:tr w:rsidR="007176EF" w:rsidRPr="00354384" w:rsidTr="00AE0E1C">
        <w:tc>
          <w:tcPr>
            <w:tcW w:w="1985" w:type="dxa"/>
            <w:tcBorders>
              <w:top w:val="nil"/>
              <w:left w:val="nil"/>
              <w:bottom w:val="nil"/>
              <w:right w:val="dashed" w:sz="4" w:space="0" w:color="auto"/>
            </w:tcBorders>
            <w:shd w:val="clear" w:color="000000" w:fill="FFFFFF"/>
            <w:noWrap/>
            <w:hideMark/>
          </w:tcPr>
          <w:p w:rsidR="007176EF" w:rsidRPr="007176EF" w:rsidRDefault="007176EF" w:rsidP="00F9198B">
            <w:pPr>
              <w:pStyle w:val="Tabletext"/>
              <w:rPr>
                <w:lang w:eastAsia="en-AU"/>
              </w:rPr>
            </w:pPr>
            <w:r w:rsidRPr="007176EF">
              <w:rPr>
                <w:lang w:eastAsia="en-AU"/>
              </w:rPr>
              <w:t>Central Queensland University</w:t>
            </w:r>
          </w:p>
        </w:tc>
        <w:tc>
          <w:tcPr>
            <w:tcW w:w="629" w:type="dxa"/>
            <w:tcBorders>
              <w:top w:val="nil"/>
              <w:left w:val="dashed" w:sz="4" w:space="0" w:color="auto"/>
              <w:bottom w:val="nil"/>
              <w:right w:val="nil"/>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21</w:t>
            </w:r>
          </w:p>
        </w:tc>
        <w:tc>
          <w:tcPr>
            <w:tcW w:w="630" w:type="dxa"/>
            <w:tcBorders>
              <w:top w:val="nil"/>
              <w:left w:val="nil"/>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7</w:t>
            </w:r>
          </w:p>
        </w:tc>
        <w:tc>
          <w:tcPr>
            <w:tcW w:w="630" w:type="dxa"/>
            <w:tcBorders>
              <w:top w:val="nil"/>
              <w:left w:val="nil"/>
              <w:bottom w:val="nil"/>
              <w:right w:val="dashed" w:sz="4" w:space="0" w:color="auto"/>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15</w:t>
            </w:r>
          </w:p>
        </w:tc>
        <w:tc>
          <w:tcPr>
            <w:tcW w:w="630"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10</w:t>
            </w:r>
          </w:p>
        </w:tc>
        <w:tc>
          <w:tcPr>
            <w:tcW w:w="630" w:type="dxa"/>
            <w:tcBorders>
              <w:top w:val="nil"/>
              <w:left w:val="nil"/>
              <w:bottom w:val="nil"/>
              <w:right w:val="dashed" w:sz="4" w:space="0" w:color="auto"/>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13</w:t>
            </w:r>
          </w:p>
        </w:tc>
        <w:tc>
          <w:tcPr>
            <w:tcW w:w="630" w:type="dxa"/>
            <w:tcBorders>
              <w:top w:val="nil"/>
              <w:left w:val="dashed" w:sz="4" w:space="0" w:color="auto"/>
              <w:bottom w:val="nil"/>
              <w:right w:val="nil"/>
            </w:tcBorders>
            <w:shd w:val="clear" w:color="auto" w:fill="BFBFBF" w:themeFill="background1" w:themeFillShade="BF"/>
            <w:noWrap/>
            <w:hideMark/>
          </w:tcPr>
          <w:p w:rsidR="007176EF" w:rsidRPr="007176EF" w:rsidRDefault="007176EF" w:rsidP="009230BC">
            <w:pPr>
              <w:pStyle w:val="Tabletext"/>
              <w:tabs>
                <w:tab w:val="decimal" w:pos="284"/>
              </w:tabs>
              <w:rPr>
                <w:lang w:eastAsia="en-AU"/>
              </w:rPr>
            </w:pPr>
            <w:r w:rsidRPr="007176EF">
              <w:rPr>
                <w:lang w:eastAsia="en-AU"/>
              </w:rPr>
              <w:t>12</w:t>
            </w:r>
          </w:p>
        </w:tc>
        <w:tc>
          <w:tcPr>
            <w:tcW w:w="630" w:type="dxa"/>
            <w:tcBorders>
              <w:top w:val="nil"/>
              <w:left w:val="nil"/>
              <w:bottom w:val="nil"/>
              <w:right w:val="dashed" w:sz="4" w:space="0" w:color="auto"/>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0</w:t>
            </w:r>
          </w:p>
        </w:tc>
        <w:tc>
          <w:tcPr>
            <w:tcW w:w="630"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 </w:t>
            </w:r>
          </w:p>
        </w:tc>
        <w:tc>
          <w:tcPr>
            <w:tcW w:w="630" w:type="dxa"/>
            <w:tcBorders>
              <w:top w:val="nil"/>
              <w:left w:val="nil"/>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7</w:t>
            </w:r>
          </w:p>
        </w:tc>
        <w:tc>
          <w:tcPr>
            <w:tcW w:w="630" w:type="dxa"/>
            <w:tcBorders>
              <w:top w:val="nil"/>
              <w:left w:val="nil"/>
              <w:bottom w:val="nil"/>
              <w:right w:val="dashed" w:sz="4" w:space="0" w:color="auto"/>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0</w:t>
            </w:r>
          </w:p>
        </w:tc>
        <w:tc>
          <w:tcPr>
            <w:tcW w:w="505"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11</w:t>
            </w:r>
          </w:p>
        </w:tc>
      </w:tr>
      <w:tr w:rsidR="007176EF" w:rsidRPr="00354384" w:rsidTr="00AE0E1C">
        <w:tc>
          <w:tcPr>
            <w:tcW w:w="1985" w:type="dxa"/>
            <w:tcBorders>
              <w:top w:val="nil"/>
              <w:left w:val="nil"/>
              <w:bottom w:val="nil"/>
              <w:right w:val="dashed" w:sz="4" w:space="0" w:color="auto"/>
            </w:tcBorders>
            <w:shd w:val="clear" w:color="000000" w:fill="FFFFFF"/>
            <w:noWrap/>
            <w:hideMark/>
          </w:tcPr>
          <w:p w:rsidR="007176EF" w:rsidRPr="007176EF" w:rsidRDefault="007176EF" w:rsidP="00F9198B">
            <w:pPr>
              <w:pStyle w:val="Tabletext"/>
              <w:rPr>
                <w:lang w:eastAsia="en-AU"/>
              </w:rPr>
            </w:pPr>
            <w:r w:rsidRPr="007176EF">
              <w:rPr>
                <w:lang w:eastAsia="en-AU"/>
              </w:rPr>
              <w:t>Murdoch University</w:t>
            </w:r>
          </w:p>
        </w:tc>
        <w:tc>
          <w:tcPr>
            <w:tcW w:w="629"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8</w:t>
            </w:r>
          </w:p>
        </w:tc>
        <w:tc>
          <w:tcPr>
            <w:tcW w:w="630" w:type="dxa"/>
            <w:tcBorders>
              <w:top w:val="nil"/>
              <w:left w:val="nil"/>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7</w:t>
            </w:r>
          </w:p>
        </w:tc>
        <w:tc>
          <w:tcPr>
            <w:tcW w:w="630" w:type="dxa"/>
            <w:tcBorders>
              <w:top w:val="nil"/>
              <w:left w:val="nil"/>
              <w:bottom w:val="nil"/>
              <w:right w:val="dashed" w:sz="4" w:space="0" w:color="auto"/>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18</w:t>
            </w:r>
          </w:p>
        </w:tc>
        <w:tc>
          <w:tcPr>
            <w:tcW w:w="630" w:type="dxa"/>
            <w:tcBorders>
              <w:top w:val="nil"/>
              <w:left w:val="dashed" w:sz="4" w:space="0" w:color="auto"/>
              <w:bottom w:val="nil"/>
              <w:right w:val="nil"/>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23</w:t>
            </w:r>
          </w:p>
        </w:tc>
        <w:tc>
          <w:tcPr>
            <w:tcW w:w="630" w:type="dxa"/>
            <w:tcBorders>
              <w:top w:val="nil"/>
              <w:left w:val="nil"/>
              <w:bottom w:val="nil"/>
              <w:right w:val="dashed" w:sz="4" w:space="0" w:color="auto"/>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11</w:t>
            </w:r>
          </w:p>
        </w:tc>
        <w:tc>
          <w:tcPr>
            <w:tcW w:w="630" w:type="dxa"/>
            <w:tcBorders>
              <w:top w:val="nil"/>
              <w:left w:val="dashed" w:sz="4" w:space="0" w:color="auto"/>
              <w:bottom w:val="nil"/>
              <w:right w:val="nil"/>
            </w:tcBorders>
            <w:shd w:val="clear" w:color="auto" w:fill="BFBFBF" w:themeFill="background1" w:themeFillShade="BF"/>
            <w:noWrap/>
            <w:hideMark/>
          </w:tcPr>
          <w:p w:rsidR="007176EF" w:rsidRPr="007176EF" w:rsidRDefault="007176EF" w:rsidP="009230BC">
            <w:pPr>
              <w:pStyle w:val="Tabletext"/>
              <w:tabs>
                <w:tab w:val="decimal" w:pos="284"/>
              </w:tabs>
              <w:rPr>
                <w:lang w:eastAsia="en-AU"/>
              </w:rPr>
            </w:pPr>
            <w:r w:rsidRPr="007176EF">
              <w:rPr>
                <w:lang w:eastAsia="en-AU"/>
              </w:rPr>
              <w:t>16</w:t>
            </w:r>
          </w:p>
        </w:tc>
        <w:tc>
          <w:tcPr>
            <w:tcW w:w="630" w:type="dxa"/>
            <w:tcBorders>
              <w:top w:val="nil"/>
              <w:left w:val="nil"/>
              <w:bottom w:val="nil"/>
              <w:right w:val="dashed" w:sz="4" w:space="0" w:color="auto"/>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15</w:t>
            </w:r>
          </w:p>
        </w:tc>
        <w:tc>
          <w:tcPr>
            <w:tcW w:w="630"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 </w:t>
            </w:r>
          </w:p>
        </w:tc>
        <w:tc>
          <w:tcPr>
            <w:tcW w:w="630" w:type="dxa"/>
            <w:tcBorders>
              <w:top w:val="nil"/>
              <w:left w:val="nil"/>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8</w:t>
            </w:r>
          </w:p>
        </w:tc>
        <w:tc>
          <w:tcPr>
            <w:tcW w:w="630" w:type="dxa"/>
            <w:tcBorders>
              <w:top w:val="nil"/>
              <w:left w:val="nil"/>
              <w:bottom w:val="nil"/>
              <w:right w:val="dashed" w:sz="4" w:space="0" w:color="auto"/>
            </w:tcBorders>
            <w:shd w:val="clear" w:color="auto" w:fill="BFBFBF" w:themeFill="background1" w:themeFillShade="BF"/>
            <w:noWrap/>
            <w:hideMark/>
          </w:tcPr>
          <w:p w:rsidR="007176EF" w:rsidRPr="007176EF" w:rsidRDefault="007176EF" w:rsidP="009230BC">
            <w:pPr>
              <w:pStyle w:val="Tabletext"/>
              <w:tabs>
                <w:tab w:val="decimal" w:pos="284"/>
              </w:tabs>
              <w:rPr>
                <w:lang w:eastAsia="en-AU"/>
              </w:rPr>
            </w:pPr>
            <w:r w:rsidRPr="007176EF">
              <w:rPr>
                <w:lang w:eastAsia="en-AU"/>
              </w:rPr>
              <w:t>10</w:t>
            </w:r>
          </w:p>
        </w:tc>
        <w:tc>
          <w:tcPr>
            <w:tcW w:w="505"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10</w:t>
            </w:r>
          </w:p>
        </w:tc>
      </w:tr>
      <w:tr w:rsidR="007176EF" w:rsidRPr="00354384" w:rsidTr="00AE0E1C">
        <w:tc>
          <w:tcPr>
            <w:tcW w:w="1985" w:type="dxa"/>
            <w:tcBorders>
              <w:top w:val="nil"/>
              <w:left w:val="nil"/>
              <w:bottom w:val="nil"/>
              <w:right w:val="dashed" w:sz="4" w:space="0" w:color="auto"/>
            </w:tcBorders>
            <w:shd w:val="clear" w:color="000000" w:fill="FFFFFF"/>
            <w:noWrap/>
            <w:hideMark/>
          </w:tcPr>
          <w:p w:rsidR="007176EF" w:rsidRPr="007176EF" w:rsidRDefault="007176EF" w:rsidP="00F9198B">
            <w:pPr>
              <w:pStyle w:val="Tabletext"/>
              <w:rPr>
                <w:lang w:eastAsia="en-AU"/>
              </w:rPr>
            </w:pPr>
            <w:r w:rsidRPr="007176EF">
              <w:rPr>
                <w:lang w:eastAsia="en-AU"/>
              </w:rPr>
              <w:t>Australian Catholic University</w:t>
            </w:r>
          </w:p>
        </w:tc>
        <w:tc>
          <w:tcPr>
            <w:tcW w:w="629" w:type="dxa"/>
            <w:tcBorders>
              <w:top w:val="nil"/>
              <w:left w:val="dashed" w:sz="4" w:space="0" w:color="auto"/>
              <w:bottom w:val="nil"/>
              <w:right w:val="nil"/>
            </w:tcBorders>
            <w:shd w:val="clear" w:color="auto" w:fill="auto"/>
            <w:noWrap/>
            <w:hideMark/>
          </w:tcPr>
          <w:p w:rsidR="007176EF" w:rsidRPr="007176EF" w:rsidRDefault="007176EF" w:rsidP="009230BC">
            <w:pPr>
              <w:pStyle w:val="Tabletext"/>
              <w:tabs>
                <w:tab w:val="decimal" w:pos="340"/>
              </w:tabs>
              <w:rPr>
                <w:lang w:eastAsia="en-AU"/>
              </w:rPr>
            </w:pPr>
            <w:r w:rsidRPr="007176EF">
              <w:rPr>
                <w:lang w:eastAsia="en-AU"/>
              </w:rPr>
              <w:t>12</w:t>
            </w:r>
          </w:p>
        </w:tc>
        <w:tc>
          <w:tcPr>
            <w:tcW w:w="630" w:type="dxa"/>
            <w:tcBorders>
              <w:top w:val="nil"/>
              <w:left w:val="nil"/>
              <w:bottom w:val="nil"/>
              <w:right w:val="nil"/>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11</w:t>
            </w:r>
          </w:p>
        </w:tc>
        <w:tc>
          <w:tcPr>
            <w:tcW w:w="630" w:type="dxa"/>
            <w:tcBorders>
              <w:top w:val="nil"/>
              <w:left w:val="nil"/>
              <w:bottom w:val="nil"/>
              <w:right w:val="dashed" w:sz="4" w:space="0" w:color="auto"/>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11</w:t>
            </w:r>
          </w:p>
        </w:tc>
        <w:tc>
          <w:tcPr>
            <w:tcW w:w="630"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13</w:t>
            </w:r>
          </w:p>
        </w:tc>
        <w:tc>
          <w:tcPr>
            <w:tcW w:w="630" w:type="dxa"/>
            <w:tcBorders>
              <w:top w:val="nil"/>
              <w:left w:val="nil"/>
              <w:bottom w:val="nil"/>
              <w:right w:val="dashed" w:sz="4" w:space="0" w:color="auto"/>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 </w:t>
            </w:r>
          </w:p>
        </w:tc>
        <w:tc>
          <w:tcPr>
            <w:tcW w:w="630"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 </w:t>
            </w:r>
          </w:p>
        </w:tc>
        <w:tc>
          <w:tcPr>
            <w:tcW w:w="630" w:type="dxa"/>
            <w:tcBorders>
              <w:top w:val="nil"/>
              <w:left w:val="nil"/>
              <w:bottom w:val="nil"/>
              <w:right w:val="dashed" w:sz="4" w:space="0" w:color="auto"/>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0</w:t>
            </w:r>
          </w:p>
        </w:tc>
        <w:tc>
          <w:tcPr>
            <w:tcW w:w="630"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 </w:t>
            </w:r>
          </w:p>
        </w:tc>
        <w:tc>
          <w:tcPr>
            <w:tcW w:w="630" w:type="dxa"/>
            <w:tcBorders>
              <w:top w:val="nil"/>
              <w:left w:val="nil"/>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8</w:t>
            </w:r>
          </w:p>
        </w:tc>
        <w:tc>
          <w:tcPr>
            <w:tcW w:w="630" w:type="dxa"/>
            <w:tcBorders>
              <w:top w:val="nil"/>
              <w:left w:val="nil"/>
              <w:bottom w:val="nil"/>
              <w:right w:val="dashed" w:sz="4" w:space="0" w:color="auto"/>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 </w:t>
            </w:r>
          </w:p>
        </w:tc>
        <w:tc>
          <w:tcPr>
            <w:tcW w:w="505"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10</w:t>
            </w:r>
          </w:p>
        </w:tc>
      </w:tr>
      <w:tr w:rsidR="007176EF" w:rsidRPr="00354384" w:rsidTr="00AE0E1C">
        <w:tc>
          <w:tcPr>
            <w:tcW w:w="1985" w:type="dxa"/>
            <w:tcBorders>
              <w:top w:val="nil"/>
              <w:left w:val="nil"/>
              <w:bottom w:val="nil"/>
              <w:right w:val="dashed" w:sz="4" w:space="0" w:color="auto"/>
            </w:tcBorders>
            <w:shd w:val="clear" w:color="000000" w:fill="FFFFFF"/>
            <w:noWrap/>
            <w:hideMark/>
          </w:tcPr>
          <w:p w:rsidR="007176EF" w:rsidRPr="007176EF" w:rsidRDefault="007176EF" w:rsidP="00F9198B">
            <w:pPr>
              <w:pStyle w:val="Tabletext"/>
              <w:rPr>
                <w:lang w:eastAsia="en-AU"/>
              </w:rPr>
            </w:pPr>
            <w:r w:rsidRPr="007176EF">
              <w:rPr>
                <w:lang w:eastAsia="en-AU"/>
              </w:rPr>
              <w:t>University of Newcastle</w:t>
            </w:r>
          </w:p>
        </w:tc>
        <w:tc>
          <w:tcPr>
            <w:tcW w:w="629" w:type="dxa"/>
            <w:tcBorders>
              <w:top w:val="nil"/>
              <w:left w:val="dashed" w:sz="4" w:space="0" w:color="auto"/>
              <w:bottom w:val="nil"/>
              <w:right w:val="nil"/>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16</w:t>
            </w:r>
          </w:p>
        </w:tc>
        <w:tc>
          <w:tcPr>
            <w:tcW w:w="630" w:type="dxa"/>
            <w:tcBorders>
              <w:top w:val="nil"/>
              <w:left w:val="nil"/>
              <w:bottom w:val="nil"/>
              <w:right w:val="nil"/>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14</w:t>
            </w:r>
          </w:p>
        </w:tc>
        <w:tc>
          <w:tcPr>
            <w:tcW w:w="630" w:type="dxa"/>
            <w:tcBorders>
              <w:top w:val="nil"/>
              <w:left w:val="nil"/>
              <w:bottom w:val="nil"/>
              <w:right w:val="dashed" w:sz="4" w:space="0" w:color="auto"/>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18</w:t>
            </w:r>
          </w:p>
        </w:tc>
        <w:tc>
          <w:tcPr>
            <w:tcW w:w="630"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10</w:t>
            </w:r>
          </w:p>
        </w:tc>
        <w:tc>
          <w:tcPr>
            <w:tcW w:w="630" w:type="dxa"/>
            <w:tcBorders>
              <w:top w:val="nil"/>
              <w:left w:val="nil"/>
              <w:bottom w:val="nil"/>
              <w:right w:val="dashed" w:sz="4" w:space="0" w:color="auto"/>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32</w:t>
            </w:r>
          </w:p>
        </w:tc>
        <w:tc>
          <w:tcPr>
            <w:tcW w:w="630" w:type="dxa"/>
            <w:tcBorders>
              <w:top w:val="nil"/>
              <w:left w:val="dashed" w:sz="4" w:space="0" w:color="auto"/>
              <w:bottom w:val="nil"/>
              <w:right w:val="nil"/>
            </w:tcBorders>
            <w:shd w:val="clear" w:color="auto" w:fill="BFBFBF" w:themeFill="background1" w:themeFillShade="BF"/>
            <w:noWrap/>
            <w:hideMark/>
          </w:tcPr>
          <w:p w:rsidR="007176EF" w:rsidRPr="007176EF" w:rsidRDefault="007176EF" w:rsidP="009230BC">
            <w:pPr>
              <w:pStyle w:val="Tabletext"/>
              <w:tabs>
                <w:tab w:val="decimal" w:pos="284"/>
              </w:tabs>
              <w:rPr>
                <w:lang w:eastAsia="en-AU"/>
              </w:rPr>
            </w:pPr>
            <w:r w:rsidRPr="007176EF">
              <w:rPr>
                <w:lang w:eastAsia="en-AU"/>
              </w:rPr>
              <w:t>17</w:t>
            </w:r>
          </w:p>
        </w:tc>
        <w:tc>
          <w:tcPr>
            <w:tcW w:w="630" w:type="dxa"/>
            <w:tcBorders>
              <w:top w:val="nil"/>
              <w:left w:val="nil"/>
              <w:bottom w:val="nil"/>
              <w:right w:val="dashed" w:sz="4" w:space="0" w:color="auto"/>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20</w:t>
            </w:r>
          </w:p>
        </w:tc>
        <w:tc>
          <w:tcPr>
            <w:tcW w:w="630"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0</w:t>
            </w:r>
          </w:p>
        </w:tc>
        <w:tc>
          <w:tcPr>
            <w:tcW w:w="630" w:type="dxa"/>
            <w:tcBorders>
              <w:top w:val="nil"/>
              <w:left w:val="nil"/>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3</w:t>
            </w:r>
          </w:p>
        </w:tc>
        <w:tc>
          <w:tcPr>
            <w:tcW w:w="630" w:type="dxa"/>
            <w:tcBorders>
              <w:top w:val="nil"/>
              <w:left w:val="nil"/>
              <w:bottom w:val="nil"/>
              <w:right w:val="dashed" w:sz="4" w:space="0" w:color="auto"/>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4</w:t>
            </w:r>
          </w:p>
        </w:tc>
        <w:tc>
          <w:tcPr>
            <w:tcW w:w="505"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10</w:t>
            </w:r>
          </w:p>
        </w:tc>
      </w:tr>
      <w:tr w:rsidR="007176EF" w:rsidRPr="00354384" w:rsidTr="00AE0E1C">
        <w:tc>
          <w:tcPr>
            <w:tcW w:w="1985" w:type="dxa"/>
            <w:tcBorders>
              <w:top w:val="nil"/>
              <w:left w:val="nil"/>
              <w:bottom w:val="nil"/>
              <w:right w:val="dashed" w:sz="4" w:space="0" w:color="auto"/>
            </w:tcBorders>
            <w:shd w:val="clear" w:color="000000" w:fill="FFFFFF"/>
            <w:noWrap/>
            <w:hideMark/>
          </w:tcPr>
          <w:p w:rsidR="007176EF" w:rsidRPr="007176EF" w:rsidRDefault="007176EF" w:rsidP="00F9198B">
            <w:pPr>
              <w:pStyle w:val="Tabletext"/>
              <w:rPr>
                <w:lang w:eastAsia="en-AU"/>
              </w:rPr>
            </w:pPr>
            <w:r w:rsidRPr="007176EF">
              <w:rPr>
                <w:lang w:eastAsia="en-AU"/>
              </w:rPr>
              <w:t>University of New England</w:t>
            </w:r>
          </w:p>
        </w:tc>
        <w:tc>
          <w:tcPr>
            <w:tcW w:w="629"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8</w:t>
            </w:r>
          </w:p>
        </w:tc>
        <w:tc>
          <w:tcPr>
            <w:tcW w:w="630" w:type="dxa"/>
            <w:tcBorders>
              <w:top w:val="nil"/>
              <w:left w:val="nil"/>
              <w:bottom w:val="nil"/>
              <w:right w:val="nil"/>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9</w:t>
            </w:r>
          </w:p>
        </w:tc>
        <w:tc>
          <w:tcPr>
            <w:tcW w:w="630" w:type="dxa"/>
            <w:tcBorders>
              <w:top w:val="nil"/>
              <w:left w:val="nil"/>
              <w:bottom w:val="nil"/>
              <w:right w:val="dashed" w:sz="4" w:space="0" w:color="auto"/>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19</w:t>
            </w:r>
          </w:p>
        </w:tc>
        <w:tc>
          <w:tcPr>
            <w:tcW w:w="630" w:type="dxa"/>
            <w:tcBorders>
              <w:top w:val="nil"/>
              <w:left w:val="dashed" w:sz="4" w:space="0" w:color="auto"/>
              <w:bottom w:val="nil"/>
              <w:right w:val="nil"/>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17</w:t>
            </w:r>
          </w:p>
        </w:tc>
        <w:tc>
          <w:tcPr>
            <w:tcW w:w="630" w:type="dxa"/>
            <w:tcBorders>
              <w:top w:val="nil"/>
              <w:left w:val="nil"/>
              <w:bottom w:val="nil"/>
              <w:right w:val="dashed" w:sz="4" w:space="0" w:color="auto"/>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22</w:t>
            </w:r>
          </w:p>
        </w:tc>
        <w:tc>
          <w:tcPr>
            <w:tcW w:w="630"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0</w:t>
            </w:r>
          </w:p>
        </w:tc>
        <w:tc>
          <w:tcPr>
            <w:tcW w:w="630" w:type="dxa"/>
            <w:tcBorders>
              <w:top w:val="nil"/>
              <w:left w:val="nil"/>
              <w:bottom w:val="nil"/>
              <w:right w:val="dashed" w:sz="4" w:space="0" w:color="auto"/>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0</w:t>
            </w:r>
          </w:p>
        </w:tc>
        <w:tc>
          <w:tcPr>
            <w:tcW w:w="630"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0</w:t>
            </w:r>
          </w:p>
        </w:tc>
        <w:tc>
          <w:tcPr>
            <w:tcW w:w="630" w:type="dxa"/>
            <w:tcBorders>
              <w:top w:val="nil"/>
              <w:left w:val="nil"/>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5</w:t>
            </w:r>
          </w:p>
        </w:tc>
        <w:tc>
          <w:tcPr>
            <w:tcW w:w="630" w:type="dxa"/>
            <w:tcBorders>
              <w:top w:val="nil"/>
              <w:left w:val="nil"/>
              <w:bottom w:val="nil"/>
              <w:right w:val="dashed" w:sz="4" w:space="0" w:color="auto"/>
            </w:tcBorders>
            <w:shd w:val="clear" w:color="auto" w:fill="BFBFBF" w:themeFill="background1" w:themeFillShade="BF"/>
            <w:noWrap/>
            <w:hideMark/>
          </w:tcPr>
          <w:p w:rsidR="007176EF" w:rsidRPr="007176EF" w:rsidRDefault="007176EF" w:rsidP="009230BC">
            <w:pPr>
              <w:pStyle w:val="Tabletext"/>
              <w:tabs>
                <w:tab w:val="decimal" w:pos="284"/>
              </w:tabs>
              <w:rPr>
                <w:lang w:eastAsia="en-AU"/>
              </w:rPr>
            </w:pPr>
            <w:r w:rsidRPr="007176EF">
              <w:rPr>
                <w:lang w:eastAsia="en-AU"/>
              </w:rPr>
              <w:t>7</w:t>
            </w:r>
          </w:p>
        </w:tc>
        <w:tc>
          <w:tcPr>
            <w:tcW w:w="505"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9</w:t>
            </w:r>
          </w:p>
        </w:tc>
      </w:tr>
      <w:tr w:rsidR="007176EF" w:rsidRPr="00354384" w:rsidTr="00AE0E1C">
        <w:tc>
          <w:tcPr>
            <w:tcW w:w="1985" w:type="dxa"/>
            <w:tcBorders>
              <w:top w:val="nil"/>
              <w:left w:val="nil"/>
              <w:bottom w:val="nil"/>
              <w:right w:val="dashed" w:sz="4" w:space="0" w:color="auto"/>
            </w:tcBorders>
            <w:shd w:val="clear" w:color="000000" w:fill="FFFFFF"/>
            <w:noWrap/>
            <w:hideMark/>
          </w:tcPr>
          <w:p w:rsidR="007176EF" w:rsidRPr="007176EF" w:rsidRDefault="007176EF" w:rsidP="00F9198B">
            <w:pPr>
              <w:pStyle w:val="Tabletext"/>
              <w:rPr>
                <w:lang w:eastAsia="en-AU"/>
              </w:rPr>
            </w:pPr>
            <w:r w:rsidRPr="007176EF">
              <w:rPr>
                <w:lang w:eastAsia="en-AU"/>
              </w:rPr>
              <w:t>Southern Cross University</w:t>
            </w:r>
          </w:p>
        </w:tc>
        <w:tc>
          <w:tcPr>
            <w:tcW w:w="629"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7</w:t>
            </w:r>
          </w:p>
        </w:tc>
        <w:tc>
          <w:tcPr>
            <w:tcW w:w="630" w:type="dxa"/>
            <w:tcBorders>
              <w:top w:val="nil"/>
              <w:left w:val="nil"/>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6</w:t>
            </w:r>
          </w:p>
        </w:tc>
        <w:tc>
          <w:tcPr>
            <w:tcW w:w="630" w:type="dxa"/>
            <w:tcBorders>
              <w:top w:val="nil"/>
              <w:left w:val="nil"/>
              <w:bottom w:val="nil"/>
              <w:right w:val="dashed" w:sz="4" w:space="0" w:color="auto"/>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10</w:t>
            </w:r>
          </w:p>
        </w:tc>
        <w:tc>
          <w:tcPr>
            <w:tcW w:w="630"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7</w:t>
            </w:r>
          </w:p>
        </w:tc>
        <w:tc>
          <w:tcPr>
            <w:tcW w:w="630" w:type="dxa"/>
            <w:tcBorders>
              <w:top w:val="nil"/>
              <w:left w:val="nil"/>
              <w:bottom w:val="nil"/>
              <w:right w:val="dashed" w:sz="4" w:space="0" w:color="auto"/>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18</w:t>
            </w:r>
          </w:p>
        </w:tc>
        <w:tc>
          <w:tcPr>
            <w:tcW w:w="630"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 </w:t>
            </w:r>
          </w:p>
        </w:tc>
        <w:tc>
          <w:tcPr>
            <w:tcW w:w="630" w:type="dxa"/>
            <w:tcBorders>
              <w:top w:val="nil"/>
              <w:left w:val="nil"/>
              <w:bottom w:val="nil"/>
              <w:right w:val="dashed" w:sz="4" w:space="0" w:color="auto"/>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 </w:t>
            </w:r>
          </w:p>
        </w:tc>
        <w:tc>
          <w:tcPr>
            <w:tcW w:w="630" w:type="dxa"/>
            <w:tcBorders>
              <w:top w:val="nil"/>
              <w:left w:val="dashed" w:sz="4" w:space="0" w:color="auto"/>
              <w:bottom w:val="nil"/>
              <w:right w:val="nil"/>
            </w:tcBorders>
            <w:shd w:val="clear" w:color="auto" w:fill="BFBFBF" w:themeFill="background1" w:themeFillShade="BF"/>
            <w:noWrap/>
            <w:hideMark/>
          </w:tcPr>
          <w:p w:rsidR="007176EF" w:rsidRPr="007176EF" w:rsidRDefault="007176EF" w:rsidP="009230BC">
            <w:pPr>
              <w:pStyle w:val="Tabletext"/>
              <w:tabs>
                <w:tab w:val="decimal" w:pos="284"/>
              </w:tabs>
              <w:rPr>
                <w:lang w:eastAsia="en-AU"/>
              </w:rPr>
            </w:pPr>
            <w:r w:rsidRPr="007176EF">
              <w:rPr>
                <w:lang w:eastAsia="en-AU"/>
              </w:rPr>
              <w:t>10</w:t>
            </w:r>
          </w:p>
        </w:tc>
        <w:tc>
          <w:tcPr>
            <w:tcW w:w="630" w:type="dxa"/>
            <w:tcBorders>
              <w:top w:val="nil"/>
              <w:left w:val="nil"/>
              <w:bottom w:val="nil"/>
              <w:right w:val="nil"/>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12</w:t>
            </w:r>
          </w:p>
        </w:tc>
        <w:tc>
          <w:tcPr>
            <w:tcW w:w="630" w:type="dxa"/>
            <w:tcBorders>
              <w:top w:val="nil"/>
              <w:left w:val="nil"/>
              <w:bottom w:val="nil"/>
              <w:right w:val="dashed" w:sz="4" w:space="0" w:color="auto"/>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0</w:t>
            </w:r>
          </w:p>
        </w:tc>
        <w:tc>
          <w:tcPr>
            <w:tcW w:w="505"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8</w:t>
            </w:r>
          </w:p>
        </w:tc>
      </w:tr>
      <w:tr w:rsidR="007176EF" w:rsidRPr="00354384" w:rsidTr="00AE0E1C">
        <w:tc>
          <w:tcPr>
            <w:tcW w:w="1985" w:type="dxa"/>
            <w:tcBorders>
              <w:top w:val="nil"/>
              <w:left w:val="nil"/>
              <w:bottom w:val="nil"/>
              <w:right w:val="dashed" w:sz="4" w:space="0" w:color="auto"/>
            </w:tcBorders>
            <w:shd w:val="clear" w:color="000000" w:fill="FFFFFF"/>
            <w:noWrap/>
            <w:hideMark/>
          </w:tcPr>
          <w:p w:rsidR="007176EF" w:rsidRPr="007176EF" w:rsidRDefault="007176EF" w:rsidP="00F9198B">
            <w:pPr>
              <w:pStyle w:val="Tabletext"/>
              <w:rPr>
                <w:lang w:eastAsia="en-AU"/>
              </w:rPr>
            </w:pPr>
            <w:r w:rsidRPr="007176EF">
              <w:rPr>
                <w:lang w:eastAsia="en-AU"/>
              </w:rPr>
              <w:t>University of Technology, Sydney</w:t>
            </w:r>
          </w:p>
        </w:tc>
        <w:tc>
          <w:tcPr>
            <w:tcW w:w="629"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8</w:t>
            </w:r>
          </w:p>
        </w:tc>
        <w:tc>
          <w:tcPr>
            <w:tcW w:w="630" w:type="dxa"/>
            <w:tcBorders>
              <w:top w:val="nil"/>
              <w:left w:val="nil"/>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3</w:t>
            </w:r>
          </w:p>
        </w:tc>
        <w:tc>
          <w:tcPr>
            <w:tcW w:w="630" w:type="dxa"/>
            <w:tcBorders>
              <w:top w:val="nil"/>
              <w:left w:val="nil"/>
              <w:bottom w:val="nil"/>
              <w:right w:val="dashed" w:sz="4" w:space="0" w:color="auto"/>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21</w:t>
            </w:r>
          </w:p>
        </w:tc>
        <w:tc>
          <w:tcPr>
            <w:tcW w:w="630"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8</w:t>
            </w:r>
          </w:p>
        </w:tc>
        <w:tc>
          <w:tcPr>
            <w:tcW w:w="630" w:type="dxa"/>
            <w:tcBorders>
              <w:top w:val="nil"/>
              <w:left w:val="nil"/>
              <w:bottom w:val="nil"/>
              <w:right w:val="dashed" w:sz="4" w:space="0" w:color="auto"/>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9</w:t>
            </w:r>
          </w:p>
        </w:tc>
        <w:tc>
          <w:tcPr>
            <w:tcW w:w="630" w:type="dxa"/>
            <w:tcBorders>
              <w:top w:val="nil"/>
              <w:left w:val="dashed" w:sz="4" w:space="0" w:color="auto"/>
              <w:bottom w:val="nil"/>
              <w:right w:val="nil"/>
            </w:tcBorders>
            <w:shd w:val="clear" w:color="auto" w:fill="BFBFBF" w:themeFill="background1" w:themeFillShade="BF"/>
            <w:noWrap/>
            <w:hideMark/>
          </w:tcPr>
          <w:p w:rsidR="007176EF" w:rsidRPr="007176EF" w:rsidRDefault="007176EF" w:rsidP="009230BC">
            <w:pPr>
              <w:pStyle w:val="Tabletext"/>
              <w:tabs>
                <w:tab w:val="decimal" w:pos="284"/>
              </w:tabs>
              <w:rPr>
                <w:lang w:eastAsia="en-AU"/>
              </w:rPr>
            </w:pPr>
            <w:r w:rsidRPr="007176EF">
              <w:rPr>
                <w:lang w:eastAsia="en-AU"/>
              </w:rPr>
              <w:t>10</w:t>
            </w:r>
          </w:p>
        </w:tc>
        <w:tc>
          <w:tcPr>
            <w:tcW w:w="630" w:type="dxa"/>
            <w:tcBorders>
              <w:top w:val="nil"/>
              <w:left w:val="nil"/>
              <w:bottom w:val="nil"/>
              <w:right w:val="dashed" w:sz="4" w:space="0" w:color="auto"/>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4</w:t>
            </w:r>
          </w:p>
        </w:tc>
        <w:tc>
          <w:tcPr>
            <w:tcW w:w="630"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 </w:t>
            </w:r>
          </w:p>
        </w:tc>
        <w:tc>
          <w:tcPr>
            <w:tcW w:w="630" w:type="dxa"/>
            <w:tcBorders>
              <w:top w:val="nil"/>
              <w:left w:val="nil"/>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2</w:t>
            </w:r>
          </w:p>
        </w:tc>
        <w:tc>
          <w:tcPr>
            <w:tcW w:w="630" w:type="dxa"/>
            <w:tcBorders>
              <w:top w:val="nil"/>
              <w:left w:val="nil"/>
              <w:bottom w:val="nil"/>
              <w:right w:val="dashed" w:sz="4" w:space="0" w:color="auto"/>
            </w:tcBorders>
            <w:shd w:val="clear" w:color="auto" w:fill="BFBFBF" w:themeFill="background1" w:themeFillShade="BF"/>
            <w:noWrap/>
            <w:hideMark/>
          </w:tcPr>
          <w:p w:rsidR="007176EF" w:rsidRPr="007176EF" w:rsidRDefault="007176EF" w:rsidP="009230BC">
            <w:pPr>
              <w:pStyle w:val="Tabletext"/>
              <w:tabs>
                <w:tab w:val="decimal" w:pos="284"/>
              </w:tabs>
              <w:rPr>
                <w:lang w:eastAsia="en-AU"/>
              </w:rPr>
            </w:pPr>
            <w:r w:rsidRPr="007176EF">
              <w:rPr>
                <w:lang w:eastAsia="en-AU"/>
              </w:rPr>
              <w:t>6</w:t>
            </w:r>
          </w:p>
        </w:tc>
        <w:tc>
          <w:tcPr>
            <w:tcW w:w="505"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8</w:t>
            </w:r>
          </w:p>
        </w:tc>
      </w:tr>
      <w:tr w:rsidR="007176EF" w:rsidRPr="00354384" w:rsidTr="00AE0E1C">
        <w:tc>
          <w:tcPr>
            <w:tcW w:w="1985" w:type="dxa"/>
            <w:tcBorders>
              <w:top w:val="nil"/>
              <w:left w:val="nil"/>
              <w:bottom w:val="nil"/>
              <w:right w:val="dashed" w:sz="4" w:space="0" w:color="auto"/>
            </w:tcBorders>
            <w:shd w:val="clear" w:color="000000" w:fill="FFFFFF"/>
            <w:noWrap/>
            <w:hideMark/>
          </w:tcPr>
          <w:p w:rsidR="007176EF" w:rsidRPr="007176EF" w:rsidRDefault="004F158F" w:rsidP="00F9198B">
            <w:pPr>
              <w:pStyle w:val="Tabletext"/>
              <w:rPr>
                <w:lang w:eastAsia="en-AU"/>
              </w:rPr>
            </w:pPr>
            <w:r>
              <w:rPr>
                <w:lang w:eastAsia="en-AU"/>
              </w:rPr>
              <w:t>Qld</w:t>
            </w:r>
            <w:r w:rsidR="007176EF" w:rsidRPr="007176EF">
              <w:rPr>
                <w:lang w:eastAsia="en-AU"/>
              </w:rPr>
              <w:t xml:space="preserve"> University of Technology</w:t>
            </w:r>
          </w:p>
        </w:tc>
        <w:tc>
          <w:tcPr>
            <w:tcW w:w="629"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8</w:t>
            </w:r>
          </w:p>
        </w:tc>
        <w:tc>
          <w:tcPr>
            <w:tcW w:w="630" w:type="dxa"/>
            <w:tcBorders>
              <w:top w:val="nil"/>
              <w:left w:val="nil"/>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4</w:t>
            </w:r>
          </w:p>
        </w:tc>
        <w:tc>
          <w:tcPr>
            <w:tcW w:w="630" w:type="dxa"/>
            <w:tcBorders>
              <w:top w:val="nil"/>
              <w:left w:val="nil"/>
              <w:bottom w:val="nil"/>
              <w:right w:val="dashed" w:sz="4" w:space="0" w:color="auto"/>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8</w:t>
            </w:r>
          </w:p>
        </w:tc>
        <w:tc>
          <w:tcPr>
            <w:tcW w:w="630"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7</w:t>
            </w:r>
          </w:p>
        </w:tc>
        <w:tc>
          <w:tcPr>
            <w:tcW w:w="630" w:type="dxa"/>
            <w:tcBorders>
              <w:top w:val="nil"/>
              <w:left w:val="nil"/>
              <w:bottom w:val="nil"/>
              <w:right w:val="dashed" w:sz="4" w:space="0" w:color="auto"/>
            </w:tcBorders>
            <w:shd w:val="clear" w:color="auto" w:fill="BFBFBF" w:themeFill="background1" w:themeFillShade="BF"/>
            <w:noWrap/>
            <w:hideMark/>
          </w:tcPr>
          <w:p w:rsidR="007176EF" w:rsidRPr="007176EF" w:rsidRDefault="007176EF" w:rsidP="009230BC">
            <w:pPr>
              <w:pStyle w:val="Tabletext"/>
              <w:tabs>
                <w:tab w:val="decimal" w:pos="340"/>
              </w:tabs>
              <w:rPr>
                <w:lang w:eastAsia="en-AU"/>
              </w:rPr>
            </w:pPr>
            <w:r w:rsidRPr="007176EF">
              <w:rPr>
                <w:lang w:eastAsia="en-AU"/>
              </w:rPr>
              <w:t>16</w:t>
            </w:r>
          </w:p>
        </w:tc>
        <w:tc>
          <w:tcPr>
            <w:tcW w:w="630"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7</w:t>
            </w:r>
          </w:p>
        </w:tc>
        <w:tc>
          <w:tcPr>
            <w:tcW w:w="630" w:type="dxa"/>
            <w:tcBorders>
              <w:top w:val="nil"/>
              <w:left w:val="nil"/>
              <w:bottom w:val="nil"/>
              <w:right w:val="dashed" w:sz="4" w:space="0" w:color="auto"/>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7</w:t>
            </w:r>
          </w:p>
        </w:tc>
        <w:tc>
          <w:tcPr>
            <w:tcW w:w="630"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 </w:t>
            </w:r>
          </w:p>
        </w:tc>
        <w:tc>
          <w:tcPr>
            <w:tcW w:w="630" w:type="dxa"/>
            <w:tcBorders>
              <w:top w:val="nil"/>
              <w:left w:val="nil"/>
              <w:bottom w:val="nil"/>
              <w:right w:val="nil"/>
            </w:tcBorders>
            <w:shd w:val="clear" w:color="000000" w:fill="FFFFFF"/>
            <w:noWrap/>
            <w:hideMark/>
          </w:tcPr>
          <w:p w:rsidR="007176EF" w:rsidRPr="007176EF" w:rsidRDefault="007176EF" w:rsidP="009230BC">
            <w:pPr>
              <w:pStyle w:val="Tabletext"/>
              <w:tabs>
                <w:tab w:val="decimal" w:pos="340"/>
              </w:tabs>
              <w:rPr>
                <w:lang w:eastAsia="en-AU"/>
              </w:rPr>
            </w:pPr>
            <w:r w:rsidRPr="007176EF">
              <w:rPr>
                <w:lang w:eastAsia="en-AU"/>
              </w:rPr>
              <w:t>5</w:t>
            </w:r>
          </w:p>
        </w:tc>
        <w:tc>
          <w:tcPr>
            <w:tcW w:w="630" w:type="dxa"/>
            <w:tcBorders>
              <w:top w:val="nil"/>
              <w:left w:val="nil"/>
              <w:bottom w:val="nil"/>
              <w:right w:val="dashed" w:sz="4" w:space="0" w:color="auto"/>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4</w:t>
            </w:r>
          </w:p>
        </w:tc>
        <w:tc>
          <w:tcPr>
            <w:tcW w:w="505" w:type="dxa"/>
            <w:tcBorders>
              <w:top w:val="nil"/>
              <w:left w:val="dashed" w:sz="4" w:space="0" w:color="auto"/>
              <w:bottom w:val="nil"/>
              <w:right w:val="nil"/>
            </w:tcBorders>
            <w:shd w:val="clear" w:color="000000" w:fill="FFFFFF"/>
            <w:noWrap/>
            <w:hideMark/>
          </w:tcPr>
          <w:p w:rsidR="007176EF" w:rsidRPr="007176EF" w:rsidRDefault="007176EF" w:rsidP="009230BC">
            <w:pPr>
              <w:pStyle w:val="Tabletext"/>
              <w:tabs>
                <w:tab w:val="decimal" w:pos="284"/>
              </w:tabs>
              <w:rPr>
                <w:lang w:eastAsia="en-AU"/>
              </w:rPr>
            </w:pPr>
            <w:r w:rsidRPr="007176EF">
              <w:rPr>
                <w:lang w:eastAsia="en-AU"/>
              </w:rPr>
              <w:t>7</w:t>
            </w:r>
          </w:p>
        </w:tc>
      </w:tr>
      <w:tr w:rsidR="007176EF" w:rsidRPr="00354384" w:rsidTr="00AE0E1C">
        <w:tc>
          <w:tcPr>
            <w:tcW w:w="1985" w:type="dxa"/>
            <w:tcBorders>
              <w:top w:val="nil"/>
              <w:left w:val="nil"/>
              <w:bottom w:val="single" w:sz="4" w:space="0" w:color="auto"/>
              <w:right w:val="dashed" w:sz="4" w:space="0" w:color="auto"/>
            </w:tcBorders>
            <w:shd w:val="clear" w:color="000000" w:fill="FFFFFF"/>
            <w:noWrap/>
            <w:hideMark/>
          </w:tcPr>
          <w:p w:rsidR="007176EF" w:rsidRPr="007176EF" w:rsidRDefault="007176EF" w:rsidP="00F9198B">
            <w:pPr>
              <w:pStyle w:val="Tabletext"/>
              <w:rPr>
                <w:b/>
                <w:bCs/>
                <w:lang w:eastAsia="en-AU"/>
              </w:rPr>
            </w:pPr>
            <w:r w:rsidRPr="007176EF">
              <w:rPr>
                <w:b/>
                <w:bCs/>
                <w:lang w:eastAsia="en-AU"/>
              </w:rPr>
              <w:t xml:space="preserve">Total Cluster 2 </w:t>
            </w:r>
          </w:p>
        </w:tc>
        <w:tc>
          <w:tcPr>
            <w:tcW w:w="629" w:type="dxa"/>
            <w:tcBorders>
              <w:top w:val="nil"/>
              <w:left w:val="dashed" w:sz="4" w:space="0" w:color="auto"/>
              <w:bottom w:val="single" w:sz="4" w:space="0" w:color="auto"/>
              <w:right w:val="nil"/>
            </w:tcBorders>
            <w:shd w:val="clear" w:color="000000" w:fill="FFFFFF"/>
            <w:noWrap/>
            <w:hideMark/>
          </w:tcPr>
          <w:p w:rsidR="007176EF" w:rsidRPr="007176EF" w:rsidRDefault="007176EF" w:rsidP="009230BC">
            <w:pPr>
              <w:pStyle w:val="Tabletext"/>
              <w:tabs>
                <w:tab w:val="decimal" w:pos="340"/>
              </w:tabs>
              <w:rPr>
                <w:b/>
                <w:bCs/>
                <w:lang w:eastAsia="en-AU"/>
              </w:rPr>
            </w:pPr>
            <w:r w:rsidRPr="007176EF">
              <w:rPr>
                <w:b/>
                <w:bCs/>
                <w:lang w:eastAsia="en-AU"/>
              </w:rPr>
              <w:t>14</w:t>
            </w:r>
          </w:p>
        </w:tc>
        <w:tc>
          <w:tcPr>
            <w:tcW w:w="630" w:type="dxa"/>
            <w:tcBorders>
              <w:top w:val="nil"/>
              <w:left w:val="nil"/>
              <w:bottom w:val="single" w:sz="4" w:space="0" w:color="auto"/>
              <w:right w:val="nil"/>
            </w:tcBorders>
            <w:shd w:val="clear" w:color="000000" w:fill="FFFFFF"/>
            <w:noWrap/>
            <w:hideMark/>
          </w:tcPr>
          <w:p w:rsidR="007176EF" w:rsidRPr="007176EF" w:rsidRDefault="007176EF" w:rsidP="009230BC">
            <w:pPr>
              <w:pStyle w:val="Tabletext"/>
              <w:tabs>
                <w:tab w:val="decimal" w:pos="340"/>
              </w:tabs>
              <w:rPr>
                <w:b/>
                <w:bCs/>
                <w:lang w:eastAsia="en-AU"/>
              </w:rPr>
            </w:pPr>
            <w:r w:rsidRPr="007176EF">
              <w:rPr>
                <w:b/>
                <w:bCs/>
                <w:lang w:eastAsia="en-AU"/>
              </w:rPr>
              <w:t>7</w:t>
            </w:r>
          </w:p>
        </w:tc>
        <w:tc>
          <w:tcPr>
            <w:tcW w:w="630" w:type="dxa"/>
            <w:tcBorders>
              <w:top w:val="nil"/>
              <w:left w:val="nil"/>
              <w:bottom w:val="single" w:sz="4" w:space="0" w:color="auto"/>
              <w:right w:val="dashed" w:sz="4" w:space="0" w:color="auto"/>
            </w:tcBorders>
            <w:shd w:val="clear" w:color="000000" w:fill="FFFFFF"/>
            <w:noWrap/>
            <w:hideMark/>
          </w:tcPr>
          <w:p w:rsidR="007176EF" w:rsidRPr="007176EF" w:rsidRDefault="007176EF" w:rsidP="009230BC">
            <w:pPr>
              <w:pStyle w:val="Tabletext"/>
              <w:tabs>
                <w:tab w:val="decimal" w:pos="340"/>
              </w:tabs>
              <w:rPr>
                <w:b/>
                <w:bCs/>
                <w:lang w:eastAsia="en-AU"/>
              </w:rPr>
            </w:pPr>
            <w:r w:rsidRPr="007176EF">
              <w:rPr>
                <w:b/>
                <w:bCs/>
                <w:lang w:eastAsia="en-AU"/>
              </w:rPr>
              <w:t>14</w:t>
            </w:r>
          </w:p>
        </w:tc>
        <w:tc>
          <w:tcPr>
            <w:tcW w:w="630" w:type="dxa"/>
            <w:tcBorders>
              <w:top w:val="nil"/>
              <w:left w:val="dashed" w:sz="4" w:space="0" w:color="auto"/>
              <w:bottom w:val="single" w:sz="4" w:space="0" w:color="auto"/>
              <w:right w:val="nil"/>
            </w:tcBorders>
            <w:shd w:val="clear" w:color="000000" w:fill="FFFFFF"/>
            <w:noWrap/>
            <w:hideMark/>
          </w:tcPr>
          <w:p w:rsidR="007176EF" w:rsidRPr="007176EF" w:rsidRDefault="007176EF" w:rsidP="009230BC">
            <w:pPr>
              <w:pStyle w:val="Tabletext"/>
              <w:tabs>
                <w:tab w:val="decimal" w:pos="340"/>
              </w:tabs>
              <w:rPr>
                <w:b/>
                <w:bCs/>
                <w:lang w:eastAsia="en-AU"/>
              </w:rPr>
            </w:pPr>
            <w:r w:rsidRPr="007176EF">
              <w:rPr>
                <w:b/>
                <w:bCs/>
                <w:lang w:eastAsia="en-AU"/>
              </w:rPr>
              <w:t>14</w:t>
            </w:r>
          </w:p>
        </w:tc>
        <w:tc>
          <w:tcPr>
            <w:tcW w:w="630" w:type="dxa"/>
            <w:tcBorders>
              <w:top w:val="nil"/>
              <w:left w:val="nil"/>
              <w:bottom w:val="single" w:sz="4" w:space="0" w:color="auto"/>
              <w:right w:val="dashed" w:sz="4" w:space="0" w:color="auto"/>
            </w:tcBorders>
            <w:shd w:val="clear" w:color="000000" w:fill="FFFFFF"/>
            <w:noWrap/>
            <w:hideMark/>
          </w:tcPr>
          <w:p w:rsidR="007176EF" w:rsidRPr="007176EF" w:rsidRDefault="007176EF" w:rsidP="009230BC">
            <w:pPr>
              <w:pStyle w:val="Tabletext"/>
              <w:tabs>
                <w:tab w:val="decimal" w:pos="340"/>
              </w:tabs>
              <w:rPr>
                <w:b/>
                <w:bCs/>
                <w:lang w:eastAsia="en-AU"/>
              </w:rPr>
            </w:pPr>
            <w:r w:rsidRPr="007176EF">
              <w:rPr>
                <w:b/>
                <w:bCs/>
                <w:lang w:eastAsia="en-AU"/>
              </w:rPr>
              <w:t>14</w:t>
            </w:r>
          </w:p>
        </w:tc>
        <w:tc>
          <w:tcPr>
            <w:tcW w:w="630" w:type="dxa"/>
            <w:tcBorders>
              <w:top w:val="nil"/>
              <w:left w:val="dashed" w:sz="4" w:space="0" w:color="auto"/>
              <w:bottom w:val="single" w:sz="4" w:space="0" w:color="auto"/>
              <w:right w:val="nil"/>
            </w:tcBorders>
            <w:shd w:val="clear" w:color="000000" w:fill="FFFFFF"/>
            <w:noWrap/>
            <w:hideMark/>
          </w:tcPr>
          <w:p w:rsidR="007176EF" w:rsidRPr="007176EF" w:rsidRDefault="007176EF" w:rsidP="009230BC">
            <w:pPr>
              <w:pStyle w:val="Tabletext"/>
              <w:tabs>
                <w:tab w:val="decimal" w:pos="284"/>
              </w:tabs>
              <w:rPr>
                <w:b/>
                <w:bCs/>
                <w:lang w:eastAsia="en-AU"/>
              </w:rPr>
            </w:pPr>
            <w:r w:rsidRPr="007176EF">
              <w:rPr>
                <w:b/>
                <w:bCs/>
                <w:lang w:eastAsia="en-AU"/>
              </w:rPr>
              <w:t>10</w:t>
            </w:r>
          </w:p>
        </w:tc>
        <w:tc>
          <w:tcPr>
            <w:tcW w:w="630" w:type="dxa"/>
            <w:tcBorders>
              <w:top w:val="nil"/>
              <w:left w:val="nil"/>
              <w:bottom w:val="single" w:sz="4" w:space="0" w:color="auto"/>
              <w:right w:val="dashed" w:sz="4" w:space="0" w:color="auto"/>
            </w:tcBorders>
            <w:shd w:val="clear" w:color="000000" w:fill="FFFFFF"/>
            <w:noWrap/>
            <w:hideMark/>
          </w:tcPr>
          <w:p w:rsidR="007176EF" w:rsidRPr="007176EF" w:rsidRDefault="007176EF" w:rsidP="009230BC">
            <w:pPr>
              <w:pStyle w:val="Tabletext"/>
              <w:tabs>
                <w:tab w:val="decimal" w:pos="340"/>
              </w:tabs>
              <w:rPr>
                <w:b/>
                <w:bCs/>
                <w:lang w:eastAsia="en-AU"/>
              </w:rPr>
            </w:pPr>
            <w:r w:rsidRPr="007176EF">
              <w:rPr>
                <w:b/>
                <w:bCs/>
                <w:lang w:eastAsia="en-AU"/>
              </w:rPr>
              <w:t>10</w:t>
            </w:r>
          </w:p>
        </w:tc>
        <w:tc>
          <w:tcPr>
            <w:tcW w:w="630" w:type="dxa"/>
            <w:tcBorders>
              <w:top w:val="nil"/>
              <w:left w:val="dashed" w:sz="4" w:space="0" w:color="auto"/>
              <w:bottom w:val="single" w:sz="4" w:space="0" w:color="auto"/>
              <w:right w:val="nil"/>
            </w:tcBorders>
            <w:shd w:val="clear" w:color="000000" w:fill="FFFFFF"/>
            <w:noWrap/>
            <w:hideMark/>
          </w:tcPr>
          <w:p w:rsidR="007176EF" w:rsidRPr="007176EF" w:rsidRDefault="007176EF" w:rsidP="009230BC">
            <w:pPr>
              <w:pStyle w:val="Tabletext"/>
              <w:tabs>
                <w:tab w:val="decimal" w:pos="284"/>
              </w:tabs>
              <w:rPr>
                <w:b/>
                <w:bCs/>
                <w:lang w:eastAsia="en-AU"/>
              </w:rPr>
            </w:pPr>
            <w:r w:rsidRPr="007176EF">
              <w:rPr>
                <w:b/>
                <w:bCs/>
                <w:lang w:eastAsia="en-AU"/>
              </w:rPr>
              <w:t>4</w:t>
            </w:r>
          </w:p>
        </w:tc>
        <w:tc>
          <w:tcPr>
            <w:tcW w:w="630" w:type="dxa"/>
            <w:tcBorders>
              <w:top w:val="nil"/>
              <w:left w:val="nil"/>
              <w:bottom w:val="single" w:sz="4" w:space="0" w:color="auto"/>
              <w:right w:val="nil"/>
            </w:tcBorders>
            <w:shd w:val="clear" w:color="000000" w:fill="FFFFFF"/>
            <w:noWrap/>
            <w:hideMark/>
          </w:tcPr>
          <w:p w:rsidR="007176EF" w:rsidRPr="007176EF" w:rsidRDefault="007176EF" w:rsidP="009230BC">
            <w:pPr>
              <w:pStyle w:val="Tabletext"/>
              <w:tabs>
                <w:tab w:val="decimal" w:pos="340"/>
              </w:tabs>
              <w:rPr>
                <w:b/>
                <w:bCs/>
                <w:lang w:eastAsia="en-AU"/>
              </w:rPr>
            </w:pPr>
            <w:r w:rsidRPr="007176EF">
              <w:rPr>
                <w:b/>
                <w:bCs/>
                <w:lang w:eastAsia="en-AU"/>
              </w:rPr>
              <w:t>7</w:t>
            </w:r>
          </w:p>
        </w:tc>
        <w:tc>
          <w:tcPr>
            <w:tcW w:w="630" w:type="dxa"/>
            <w:tcBorders>
              <w:top w:val="nil"/>
              <w:left w:val="nil"/>
              <w:bottom w:val="single" w:sz="4" w:space="0" w:color="auto"/>
              <w:right w:val="dashed" w:sz="4" w:space="0" w:color="auto"/>
            </w:tcBorders>
            <w:shd w:val="clear" w:color="000000" w:fill="FFFFFF"/>
            <w:noWrap/>
            <w:hideMark/>
          </w:tcPr>
          <w:p w:rsidR="007176EF" w:rsidRPr="007176EF" w:rsidRDefault="007176EF" w:rsidP="009230BC">
            <w:pPr>
              <w:pStyle w:val="Tabletext"/>
              <w:tabs>
                <w:tab w:val="decimal" w:pos="284"/>
              </w:tabs>
              <w:rPr>
                <w:b/>
                <w:bCs/>
                <w:lang w:eastAsia="en-AU"/>
              </w:rPr>
            </w:pPr>
            <w:r w:rsidRPr="007176EF">
              <w:rPr>
                <w:b/>
                <w:bCs/>
                <w:lang w:eastAsia="en-AU"/>
              </w:rPr>
              <w:t>5</w:t>
            </w:r>
          </w:p>
        </w:tc>
        <w:tc>
          <w:tcPr>
            <w:tcW w:w="505" w:type="dxa"/>
            <w:tcBorders>
              <w:top w:val="nil"/>
              <w:left w:val="dashed" w:sz="4" w:space="0" w:color="auto"/>
              <w:bottom w:val="single" w:sz="4" w:space="0" w:color="auto"/>
              <w:right w:val="nil"/>
            </w:tcBorders>
            <w:shd w:val="clear" w:color="000000" w:fill="FFFFFF"/>
            <w:noWrap/>
            <w:hideMark/>
          </w:tcPr>
          <w:p w:rsidR="007176EF" w:rsidRPr="007176EF" w:rsidRDefault="007176EF" w:rsidP="009230BC">
            <w:pPr>
              <w:pStyle w:val="Tabletext"/>
              <w:tabs>
                <w:tab w:val="decimal" w:pos="284"/>
              </w:tabs>
              <w:rPr>
                <w:b/>
                <w:bCs/>
                <w:lang w:eastAsia="en-AU"/>
              </w:rPr>
            </w:pPr>
            <w:r w:rsidRPr="007176EF">
              <w:rPr>
                <w:b/>
                <w:bCs/>
                <w:lang w:eastAsia="en-AU"/>
              </w:rPr>
              <w:t>10</w:t>
            </w:r>
          </w:p>
        </w:tc>
      </w:tr>
    </w:tbl>
    <w:p w:rsidR="007176EF" w:rsidRPr="001415BC" w:rsidRDefault="007176EF" w:rsidP="007105CE">
      <w:pPr>
        <w:pStyle w:val="Source"/>
      </w:pPr>
      <w:r w:rsidRPr="00286FC9">
        <w:t>Notes:</w:t>
      </w:r>
      <w:r w:rsidR="007105CE">
        <w:tab/>
      </w:r>
      <w:r w:rsidRPr="00286FC9">
        <w:t xml:space="preserve">Shaded areas denote instances where the percentage admission is above the sector average. Blank cells indicate the university offered no courses in this </w:t>
      </w:r>
      <w:r w:rsidR="004F158F">
        <w:t>field of education</w:t>
      </w:r>
      <w:r w:rsidRPr="00286FC9">
        <w:t xml:space="preserve">. A score of 0% may indicate that total enrolments are </w:t>
      </w:r>
      <w:r w:rsidR="004F70D8">
        <w:t>fewer</w:t>
      </w:r>
      <w:r w:rsidRPr="00286FC9">
        <w:t xml:space="preserve"> than </w:t>
      </w:r>
      <w:r w:rsidR="004F70D8">
        <w:t>ten</w:t>
      </w:r>
      <w:r w:rsidRPr="00286FC9">
        <w:t xml:space="preserve">. Table excludes non-award and mixed field. </w:t>
      </w:r>
    </w:p>
    <w:p w:rsidR="002D1FC4" w:rsidRDefault="002D1FC4" w:rsidP="007105CE">
      <w:pPr>
        <w:pStyle w:val="Textmorebefore"/>
      </w:pPr>
      <w:r>
        <w:t xml:space="preserve">When we compare the rates of admission of VET </w:t>
      </w:r>
      <w:r w:rsidR="00B87FBB">
        <w:t>award holders</w:t>
      </w:r>
      <w:r>
        <w:t xml:space="preserve"> in Cluster 1 and Cluster 2 institutions</w:t>
      </w:r>
      <w:r w:rsidR="004F158F">
        <w:t xml:space="preserve"> by field of education through t</w:t>
      </w:r>
      <w:r>
        <w:t>able</w:t>
      </w:r>
      <w:r w:rsidR="004F70D8">
        <w:t>s</w:t>
      </w:r>
      <w:r>
        <w:t xml:space="preserve"> </w:t>
      </w:r>
      <w:r w:rsidR="00EA4DE6">
        <w:t>5</w:t>
      </w:r>
      <w:r w:rsidR="004F158F">
        <w:t xml:space="preserve"> and </w:t>
      </w:r>
      <w:r w:rsidR="00EA4DE6">
        <w:t>6</w:t>
      </w:r>
      <w:r>
        <w:t xml:space="preserve">, it is clear that the provision of </w:t>
      </w:r>
      <w:r w:rsidR="00B80BDF">
        <w:t xml:space="preserve">VET to higher education pathways </w:t>
      </w:r>
      <w:r>
        <w:t xml:space="preserve">in Cluster 2 universities is more haphazard than in Cluster 1. Whereas Cluster 1 institutions have consistently high rates of admission of VET </w:t>
      </w:r>
      <w:r w:rsidR="00B87FBB">
        <w:t>award holders</w:t>
      </w:r>
      <w:r>
        <w:t xml:space="preserve"> in </w:t>
      </w:r>
      <w:r w:rsidR="00B90A8D">
        <w:t>all</w:t>
      </w:r>
      <w:r>
        <w:t xml:space="preserve"> fields</w:t>
      </w:r>
      <w:r w:rsidR="00B90A8D">
        <w:t xml:space="preserve"> where they offer programs (with only three exceptions)</w:t>
      </w:r>
      <w:r>
        <w:t xml:space="preserve">, Cluster 2 universities do not. </w:t>
      </w:r>
      <w:r w:rsidR="00B90A8D">
        <w:t xml:space="preserve">This is not simply </w:t>
      </w:r>
      <w:r>
        <w:t>because Cluster 2 universities do not offer courses in those fields</w:t>
      </w:r>
      <w:r w:rsidR="00EA4DE6">
        <w:t xml:space="preserve"> (which </w:t>
      </w:r>
      <w:proofErr w:type="gramStart"/>
      <w:r w:rsidR="00EA4DE6">
        <w:t>is</w:t>
      </w:r>
      <w:proofErr w:type="gramEnd"/>
      <w:r w:rsidR="00EA4DE6">
        <w:t xml:space="preserve"> indicated by a blank cell)</w:t>
      </w:r>
      <w:r>
        <w:t xml:space="preserve">. </w:t>
      </w:r>
      <w:r w:rsidR="00B90A8D">
        <w:t>I</w:t>
      </w:r>
      <w:r w:rsidR="00407BC2">
        <w:t>t is also interesting to note that i</w:t>
      </w:r>
      <w:r w:rsidR="00B90A8D">
        <w:t>n the two dual-se</w:t>
      </w:r>
      <w:r w:rsidR="004F158F">
        <w:t>ctor institutions in Cluster 2 —</w:t>
      </w:r>
      <w:r w:rsidR="00B90A8D">
        <w:t xml:space="preserve"> Charles Darwin University </w:t>
      </w:r>
      <w:r w:rsidR="004F158F">
        <w:t>and the University of Ballarat —</w:t>
      </w:r>
      <w:r w:rsidR="00B90A8D">
        <w:t xml:space="preserve"> t</w:t>
      </w:r>
      <w:r>
        <w:t>he patterns of admissi</w:t>
      </w:r>
      <w:r w:rsidR="00B90A8D">
        <w:t xml:space="preserve">on on the basis of a VET award </w:t>
      </w:r>
      <w:r>
        <w:t xml:space="preserve">are </w:t>
      </w:r>
      <w:r w:rsidR="00B80ED0">
        <w:t xml:space="preserve">as haphazard </w:t>
      </w:r>
      <w:r>
        <w:t xml:space="preserve">as other universities in the cluster. </w:t>
      </w:r>
    </w:p>
    <w:p w:rsidR="00D541DF" w:rsidRDefault="00937A24" w:rsidP="007105CE">
      <w:pPr>
        <w:pStyle w:val="Text"/>
      </w:pPr>
      <w:r w:rsidRPr="00591139">
        <w:t>Universities in Cluster 3 report consistently low rates of admissi</w:t>
      </w:r>
      <w:r>
        <w:t>on on the basis of a VET award i</w:t>
      </w:r>
      <w:r w:rsidRPr="00591139">
        <w:t xml:space="preserve">n </w:t>
      </w:r>
      <w:r w:rsidR="00D541DF">
        <w:t>most of the fields in w</w:t>
      </w:r>
      <w:r w:rsidRPr="00591139">
        <w:t>hich they offer undergradua</w:t>
      </w:r>
      <w:r>
        <w:t>te programs</w:t>
      </w:r>
      <w:r w:rsidR="00D541DF">
        <w:t xml:space="preserve">. </w:t>
      </w:r>
      <w:r>
        <w:t>As</w:t>
      </w:r>
      <w:r w:rsidRPr="00591139">
        <w:t xml:space="preserve"> indicated </w:t>
      </w:r>
      <w:r>
        <w:t>by the shaded cells</w:t>
      </w:r>
      <w:r w:rsidR="004F158F">
        <w:t xml:space="preserve"> in t</w:t>
      </w:r>
      <w:r w:rsidR="00D541DF">
        <w:t xml:space="preserve">able 7, </w:t>
      </w:r>
      <w:r w:rsidRPr="00591139">
        <w:t xml:space="preserve">seven universities in Cluster 3 outperform the </w:t>
      </w:r>
      <w:r w:rsidR="00D44909">
        <w:t>sector</w:t>
      </w:r>
      <w:r w:rsidRPr="00591139">
        <w:t xml:space="preserve"> average in one or more broad fields of education</w:t>
      </w:r>
      <w:r w:rsidR="00D541DF">
        <w:t xml:space="preserve">. Of these seven universities, only two outperform the national </w:t>
      </w:r>
      <w:r w:rsidR="00D44909">
        <w:t>rate</w:t>
      </w:r>
      <w:r w:rsidR="00D541DF">
        <w:t xml:space="preserve"> in more than one field: Flinders University in FOE 08, FOE 09 and FOE 01; and the University of Southern Queensland in F</w:t>
      </w:r>
      <w:r w:rsidR="00407BC2">
        <w:t>OE </w:t>
      </w:r>
      <w:r w:rsidR="00D541DF">
        <w:t xml:space="preserve">06 and FOE 03. </w:t>
      </w:r>
    </w:p>
    <w:p w:rsidR="002132C0" w:rsidRDefault="00D541DF" w:rsidP="007105CE">
      <w:pPr>
        <w:pStyle w:val="Text"/>
      </w:pPr>
      <w:r>
        <w:t>However</w:t>
      </w:r>
      <w:r w:rsidR="00C406DA">
        <w:t>,</w:t>
      </w:r>
      <w:r w:rsidR="00937A24">
        <w:t xml:space="preserve"> </w:t>
      </w:r>
      <w:r w:rsidR="00B90A8D">
        <w:t xml:space="preserve">the other </w:t>
      </w:r>
      <w:r w:rsidR="00937A24">
        <w:t xml:space="preserve">seven universities </w:t>
      </w:r>
      <w:r>
        <w:t>in Cluster 3</w:t>
      </w:r>
      <w:r w:rsidR="00B90A8D">
        <w:t xml:space="preserve"> </w:t>
      </w:r>
      <w:r w:rsidR="00937A24">
        <w:t xml:space="preserve">admit VET </w:t>
      </w:r>
      <w:r w:rsidR="00B87FBB">
        <w:t>award holders</w:t>
      </w:r>
      <w:r w:rsidR="00937A24">
        <w:t xml:space="preserve"> at rates below the sector average in all fields of education</w:t>
      </w:r>
      <w:r w:rsidR="00937A24" w:rsidRPr="00591139">
        <w:t>.</w:t>
      </w:r>
      <w:r w:rsidR="00937A24">
        <w:t xml:space="preserve"> </w:t>
      </w:r>
      <w:r>
        <w:t xml:space="preserve">The seven universities with consistently </w:t>
      </w:r>
      <w:r w:rsidR="00D44909">
        <w:t xml:space="preserve">below-average </w:t>
      </w:r>
      <w:r>
        <w:t xml:space="preserve">admission </w:t>
      </w:r>
    </w:p>
    <w:p w:rsidR="002132C0" w:rsidRDefault="002132C0">
      <w:pPr>
        <w:spacing w:before="0" w:line="240" w:lineRule="auto"/>
      </w:pPr>
      <w:r>
        <w:br w:type="page"/>
      </w:r>
    </w:p>
    <w:p w:rsidR="00937A24" w:rsidRDefault="00D541DF" w:rsidP="007105CE">
      <w:pPr>
        <w:pStyle w:val="Text"/>
      </w:pPr>
      <w:proofErr w:type="gramStart"/>
      <w:r>
        <w:lastRenderedPageBreak/>
        <w:t>rates</w:t>
      </w:r>
      <w:proofErr w:type="gramEnd"/>
      <w:r>
        <w:t xml:space="preserve"> of VET </w:t>
      </w:r>
      <w:r w:rsidR="00B87FBB">
        <w:t>award holders</w:t>
      </w:r>
      <w:r>
        <w:t xml:space="preserve"> in all fields are: James Cook University; Macquarie University; Curtin</w:t>
      </w:r>
      <w:r w:rsidR="00407BC2">
        <w:t> </w:t>
      </w:r>
      <w:r>
        <w:t>University; University of New South Wales; University of Sydney; University of Queensland; and University of Western Australia</w:t>
      </w:r>
      <w:r w:rsidR="00B90A8D">
        <w:t>.</w:t>
      </w:r>
    </w:p>
    <w:p w:rsidR="002D1FC4" w:rsidRDefault="002D1FC4" w:rsidP="002D1FC4">
      <w:pPr>
        <w:pStyle w:val="tabletitle"/>
      </w:pPr>
      <w:bookmarkStart w:id="48" w:name="_Toc364688857"/>
      <w:r>
        <w:t xml:space="preserve">Table </w:t>
      </w:r>
      <w:r w:rsidR="004E0167">
        <w:t>7</w:t>
      </w:r>
      <w:r>
        <w:tab/>
        <w:t>Cluster 3 universities</w:t>
      </w:r>
      <w:r w:rsidR="004F70D8">
        <w:t>’</w:t>
      </w:r>
      <w:r>
        <w:t xml:space="preserve"> rates of admission on the basis of a VET award b</w:t>
      </w:r>
      <w:r w:rsidR="00C406DA">
        <w:t>y broad field of educatio</w:t>
      </w:r>
      <w:r w:rsidR="00C406DA" w:rsidRPr="00C36656">
        <w:t>n</w:t>
      </w:r>
      <w:r w:rsidR="00900485" w:rsidRPr="00C36656">
        <w:t xml:space="preserve"> cluster</w:t>
      </w:r>
      <w:r w:rsidRPr="00C36656">
        <w:t>,</w:t>
      </w:r>
      <w:r>
        <w:t xml:space="preserve"> Australia</w:t>
      </w:r>
      <w:r w:rsidR="00C406DA">
        <w:t>,</w:t>
      </w:r>
      <w:r>
        <w:t xml:space="preserve"> 2010</w:t>
      </w:r>
      <w:bookmarkEnd w:id="48"/>
      <w:r w:rsidR="009230BC">
        <w:t xml:space="preserve"> (%)</w:t>
      </w:r>
    </w:p>
    <w:tbl>
      <w:tblPr>
        <w:tblW w:w="8789" w:type="dxa"/>
        <w:tblInd w:w="57" w:type="dxa"/>
        <w:tblLayout w:type="fixed"/>
        <w:tblCellMar>
          <w:left w:w="57" w:type="dxa"/>
          <w:right w:w="57" w:type="dxa"/>
        </w:tblCellMar>
        <w:tblLook w:val="04A0" w:firstRow="1" w:lastRow="0" w:firstColumn="1" w:lastColumn="0" w:noHBand="0" w:noVBand="1"/>
      </w:tblPr>
      <w:tblGrid>
        <w:gridCol w:w="1801"/>
        <w:gridCol w:w="705"/>
        <w:gridCol w:w="639"/>
        <w:gridCol w:w="638"/>
        <w:gridCol w:w="639"/>
        <w:gridCol w:w="638"/>
        <w:gridCol w:w="639"/>
        <w:gridCol w:w="638"/>
        <w:gridCol w:w="639"/>
        <w:gridCol w:w="638"/>
        <w:gridCol w:w="639"/>
        <w:gridCol w:w="536"/>
      </w:tblGrid>
      <w:tr w:rsidR="008B4FB6" w:rsidRPr="00354384" w:rsidTr="003E6C8F">
        <w:tc>
          <w:tcPr>
            <w:tcW w:w="1801" w:type="dxa"/>
            <w:vMerge w:val="restart"/>
            <w:tcBorders>
              <w:top w:val="single" w:sz="4" w:space="0" w:color="auto"/>
              <w:left w:val="nil"/>
              <w:right w:val="nil"/>
            </w:tcBorders>
            <w:shd w:val="clear" w:color="000000" w:fill="FFFFFF"/>
            <w:noWrap/>
            <w:tcMar>
              <w:top w:w="15" w:type="dxa"/>
              <w:left w:w="15" w:type="dxa"/>
              <w:bottom w:w="0" w:type="dxa"/>
              <w:right w:w="15" w:type="dxa"/>
            </w:tcMar>
            <w:vAlign w:val="bottom"/>
            <w:hideMark/>
          </w:tcPr>
          <w:p w:rsidR="003E6C8F" w:rsidRDefault="003E6C8F" w:rsidP="003E6C8F">
            <w:pPr>
              <w:pStyle w:val="Tablehead3"/>
              <w:rPr>
                <w:lang w:eastAsia="en-AU"/>
              </w:rPr>
            </w:pPr>
          </w:p>
          <w:p w:rsidR="003E6C8F" w:rsidRDefault="003E6C8F" w:rsidP="003E6C8F">
            <w:pPr>
              <w:pStyle w:val="Tablehead3"/>
              <w:rPr>
                <w:lang w:eastAsia="en-AU"/>
              </w:rPr>
            </w:pPr>
          </w:p>
          <w:p w:rsidR="008B4FB6" w:rsidRPr="00407BC2" w:rsidRDefault="008B4FB6" w:rsidP="003E6C8F">
            <w:pPr>
              <w:pStyle w:val="Tablehead3"/>
            </w:pPr>
            <w:r w:rsidRPr="007176EF">
              <w:rPr>
                <w:lang w:eastAsia="en-AU"/>
              </w:rPr>
              <w:t>Broad field of education</w:t>
            </w:r>
            <w:r>
              <w:rPr>
                <w:lang w:eastAsia="en-AU"/>
              </w:rPr>
              <w:br/>
            </w:r>
            <w:r w:rsidRPr="007176EF">
              <w:rPr>
                <w:lang w:eastAsia="en-AU"/>
              </w:rPr>
              <w:t xml:space="preserve">(VET </w:t>
            </w:r>
            <w:r>
              <w:rPr>
                <w:lang w:eastAsia="en-AU"/>
              </w:rPr>
              <w:t>award holders</w:t>
            </w:r>
            <w:r w:rsidRPr="007176EF">
              <w:rPr>
                <w:lang w:eastAsia="en-AU"/>
              </w:rPr>
              <w:t xml:space="preserve"> admission rate)</w:t>
            </w:r>
            <w:r w:rsidRPr="007176EF">
              <w:t> </w:t>
            </w:r>
          </w:p>
        </w:tc>
        <w:tc>
          <w:tcPr>
            <w:tcW w:w="6988" w:type="dxa"/>
            <w:gridSpan w:val="11"/>
            <w:tcBorders>
              <w:top w:val="single" w:sz="4" w:space="0" w:color="auto"/>
              <w:left w:val="nil"/>
              <w:right w:val="nil"/>
            </w:tcBorders>
            <w:shd w:val="clear" w:color="000000" w:fill="FFFFFF"/>
          </w:tcPr>
          <w:p w:rsidR="008B4FB6" w:rsidRPr="00407BC2" w:rsidRDefault="008B4FB6" w:rsidP="00243642">
            <w:pPr>
              <w:pStyle w:val="Tablehead1"/>
              <w:jc w:val="center"/>
            </w:pPr>
            <w:r w:rsidRPr="00F62A62">
              <w:t>Field of education clusters</w:t>
            </w:r>
          </w:p>
        </w:tc>
      </w:tr>
      <w:tr w:rsidR="008B4FB6" w:rsidRPr="007176EF" w:rsidTr="008B4FB6">
        <w:tc>
          <w:tcPr>
            <w:tcW w:w="1801" w:type="dxa"/>
            <w:vMerge/>
            <w:tcBorders>
              <w:left w:val="nil"/>
            </w:tcBorders>
            <w:shd w:val="clear" w:color="000000" w:fill="FFFFFF"/>
            <w:noWrap/>
            <w:tcMar>
              <w:top w:w="15" w:type="dxa"/>
              <w:left w:w="15" w:type="dxa"/>
              <w:bottom w:w="0" w:type="dxa"/>
              <w:right w:w="15" w:type="dxa"/>
            </w:tcMar>
            <w:hideMark/>
          </w:tcPr>
          <w:p w:rsidR="008B4FB6" w:rsidRPr="007176EF" w:rsidRDefault="008B4FB6" w:rsidP="00243642">
            <w:pPr>
              <w:pStyle w:val="Tablehead3"/>
              <w:rPr>
                <w:lang w:eastAsia="en-AU"/>
              </w:rPr>
            </w:pPr>
          </w:p>
        </w:tc>
        <w:tc>
          <w:tcPr>
            <w:tcW w:w="1982" w:type="dxa"/>
            <w:gridSpan w:val="3"/>
            <w:shd w:val="clear" w:color="000000" w:fill="FFFFFF"/>
            <w:noWrap/>
            <w:tcMar>
              <w:top w:w="15" w:type="dxa"/>
              <w:left w:w="15" w:type="dxa"/>
              <w:bottom w:w="0" w:type="dxa"/>
              <w:right w:w="15" w:type="dxa"/>
            </w:tcMar>
            <w:hideMark/>
          </w:tcPr>
          <w:p w:rsidR="008B4FB6" w:rsidRPr="007176EF" w:rsidRDefault="008B4FB6" w:rsidP="00243642">
            <w:pPr>
              <w:pStyle w:val="Tablehead2"/>
              <w:jc w:val="center"/>
              <w:rPr>
                <w:lang w:eastAsia="en-AU"/>
              </w:rPr>
            </w:pPr>
            <w:r w:rsidRPr="00564AA9">
              <w:rPr>
                <w:lang w:eastAsia="en-AU"/>
              </w:rPr>
              <w:t>Cluster A</w:t>
            </w:r>
          </w:p>
        </w:tc>
        <w:tc>
          <w:tcPr>
            <w:tcW w:w="1277" w:type="dxa"/>
            <w:gridSpan w:val="2"/>
            <w:shd w:val="clear" w:color="000000" w:fill="FFFFFF"/>
            <w:noWrap/>
            <w:tcMar>
              <w:top w:w="15" w:type="dxa"/>
              <w:left w:w="15" w:type="dxa"/>
              <w:bottom w:w="0" w:type="dxa"/>
              <w:right w:w="15" w:type="dxa"/>
            </w:tcMar>
            <w:hideMark/>
          </w:tcPr>
          <w:p w:rsidR="008B4FB6" w:rsidRPr="007176EF" w:rsidRDefault="008B4FB6" w:rsidP="00243642">
            <w:pPr>
              <w:pStyle w:val="Tablehead2"/>
              <w:jc w:val="center"/>
              <w:rPr>
                <w:lang w:eastAsia="en-AU"/>
              </w:rPr>
            </w:pPr>
            <w:r w:rsidRPr="00564AA9">
              <w:rPr>
                <w:lang w:eastAsia="en-AU"/>
              </w:rPr>
              <w:t>Outliers</w:t>
            </w:r>
          </w:p>
        </w:tc>
        <w:tc>
          <w:tcPr>
            <w:tcW w:w="1277" w:type="dxa"/>
            <w:gridSpan w:val="2"/>
            <w:shd w:val="clear" w:color="000000" w:fill="FFFFFF"/>
            <w:noWrap/>
            <w:tcMar>
              <w:top w:w="15" w:type="dxa"/>
              <w:left w:w="15" w:type="dxa"/>
              <w:bottom w:w="0" w:type="dxa"/>
              <w:right w:w="15" w:type="dxa"/>
            </w:tcMar>
            <w:hideMark/>
          </w:tcPr>
          <w:p w:rsidR="008B4FB6" w:rsidRPr="007176EF" w:rsidRDefault="008B4FB6" w:rsidP="00243642">
            <w:pPr>
              <w:pStyle w:val="Tablehead2"/>
              <w:jc w:val="center"/>
              <w:rPr>
                <w:lang w:eastAsia="en-AU"/>
              </w:rPr>
            </w:pPr>
            <w:r w:rsidRPr="00564AA9">
              <w:rPr>
                <w:lang w:eastAsia="en-AU"/>
              </w:rPr>
              <w:t>Cluster B</w:t>
            </w:r>
          </w:p>
        </w:tc>
        <w:tc>
          <w:tcPr>
            <w:tcW w:w="1916" w:type="dxa"/>
            <w:gridSpan w:val="3"/>
            <w:shd w:val="clear" w:color="000000" w:fill="FFFFFF"/>
            <w:noWrap/>
            <w:tcMar>
              <w:top w:w="15" w:type="dxa"/>
              <w:left w:w="15" w:type="dxa"/>
              <w:bottom w:w="0" w:type="dxa"/>
              <w:right w:w="15" w:type="dxa"/>
            </w:tcMar>
            <w:hideMark/>
          </w:tcPr>
          <w:p w:rsidR="008B4FB6" w:rsidRPr="007176EF" w:rsidRDefault="008B4FB6" w:rsidP="00243642">
            <w:pPr>
              <w:pStyle w:val="Tablehead2"/>
              <w:jc w:val="center"/>
              <w:rPr>
                <w:lang w:eastAsia="en-AU"/>
              </w:rPr>
            </w:pPr>
            <w:r w:rsidRPr="00564AA9">
              <w:rPr>
                <w:lang w:eastAsia="en-AU"/>
              </w:rPr>
              <w:t>Cluster C</w:t>
            </w:r>
          </w:p>
        </w:tc>
        <w:tc>
          <w:tcPr>
            <w:tcW w:w="536" w:type="dxa"/>
            <w:tcBorders>
              <w:right w:val="nil"/>
            </w:tcBorders>
            <w:shd w:val="clear" w:color="000000" w:fill="FFFFFF"/>
            <w:noWrap/>
            <w:tcMar>
              <w:top w:w="15" w:type="dxa"/>
              <w:left w:w="15" w:type="dxa"/>
              <w:bottom w:w="0" w:type="dxa"/>
              <w:right w:w="15" w:type="dxa"/>
            </w:tcMar>
            <w:hideMark/>
          </w:tcPr>
          <w:p w:rsidR="008B4FB6" w:rsidRPr="007176EF" w:rsidRDefault="008B4FB6" w:rsidP="00243642">
            <w:pPr>
              <w:pStyle w:val="Tablehead2"/>
              <w:jc w:val="center"/>
              <w:rPr>
                <w:lang w:eastAsia="en-AU"/>
              </w:rPr>
            </w:pPr>
            <w:r w:rsidRPr="00564AA9">
              <w:rPr>
                <w:lang w:eastAsia="en-AU"/>
              </w:rPr>
              <w:t>All</w:t>
            </w:r>
          </w:p>
        </w:tc>
      </w:tr>
      <w:tr w:rsidR="008B4FB6" w:rsidRPr="007176EF" w:rsidTr="003E6C8F">
        <w:tc>
          <w:tcPr>
            <w:tcW w:w="1801" w:type="dxa"/>
            <w:vMerge/>
            <w:tcBorders>
              <w:left w:val="nil"/>
              <w:bottom w:val="single" w:sz="4" w:space="0" w:color="auto"/>
            </w:tcBorders>
            <w:shd w:val="clear" w:color="000000" w:fill="FFFFFF"/>
            <w:noWrap/>
            <w:tcMar>
              <w:top w:w="15" w:type="dxa"/>
              <w:left w:w="15" w:type="dxa"/>
              <w:bottom w:w="0" w:type="dxa"/>
              <w:right w:w="15" w:type="dxa"/>
            </w:tcMar>
            <w:hideMark/>
          </w:tcPr>
          <w:p w:rsidR="008B4FB6" w:rsidRPr="007176EF" w:rsidRDefault="008B4FB6" w:rsidP="00243642">
            <w:pPr>
              <w:pStyle w:val="Tablehead3"/>
            </w:pPr>
          </w:p>
        </w:tc>
        <w:tc>
          <w:tcPr>
            <w:tcW w:w="705" w:type="dxa"/>
            <w:tcBorders>
              <w:bottom w:val="single" w:sz="4" w:space="0" w:color="auto"/>
            </w:tcBorders>
            <w:shd w:val="clear" w:color="000000" w:fill="FFFFFF"/>
            <w:noWrap/>
            <w:tcMar>
              <w:top w:w="15" w:type="dxa"/>
              <w:left w:w="15" w:type="dxa"/>
              <w:bottom w:w="0" w:type="dxa"/>
              <w:right w:w="15" w:type="dxa"/>
            </w:tcMar>
            <w:vAlign w:val="bottom"/>
            <w:hideMark/>
          </w:tcPr>
          <w:p w:rsidR="008B4FB6" w:rsidRPr="007176EF" w:rsidRDefault="008B4FB6" w:rsidP="003E6C8F">
            <w:pPr>
              <w:pStyle w:val="Tablehead3"/>
              <w:jc w:val="center"/>
              <w:rPr>
                <w:lang w:eastAsia="en-AU"/>
              </w:rPr>
            </w:pPr>
            <w:proofErr w:type="gramStart"/>
            <w:r w:rsidRPr="007176EF">
              <w:rPr>
                <w:lang w:eastAsia="en-AU"/>
              </w:rPr>
              <w:t>FOE08</w:t>
            </w:r>
            <w:proofErr w:type="gramEnd"/>
            <w:r>
              <w:rPr>
                <w:lang w:eastAsia="en-AU"/>
              </w:rPr>
              <w:br/>
            </w:r>
            <w:r w:rsidRPr="007176EF">
              <w:rPr>
                <w:lang w:eastAsia="en-AU"/>
              </w:rPr>
              <w:t>(13%)</w:t>
            </w:r>
          </w:p>
        </w:tc>
        <w:tc>
          <w:tcPr>
            <w:tcW w:w="639" w:type="dxa"/>
            <w:tcBorders>
              <w:bottom w:val="single" w:sz="4" w:space="0" w:color="auto"/>
            </w:tcBorders>
            <w:shd w:val="clear" w:color="000000" w:fill="FFFFFF"/>
            <w:noWrap/>
            <w:tcMar>
              <w:top w:w="15" w:type="dxa"/>
              <w:left w:w="15" w:type="dxa"/>
              <w:bottom w:w="0" w:type="dxa"/>
              <w:right w:w="15" w:type="dxa"/>
            </w:tcMar>
            <w:vAlign w:val="bottom"/>
            <w:hideMark/>
          </w:tcPr>
          <w:p w:rsidR="008B4FB6" w:rsidRPr="007176EF" w:rsidRDefault="008B4FB6" w:rsidP="003E6C8F">
            <w:pPr>
              <w:pStyle w:val="Tablehead3"/>
              <w:jc w:val="center"/>
              <w:rPr>
                <w:lang w:eastAsia="en-AU"/>
              </w:rPr>
            </w:pPr>
            <w:proofErr w:type="gramStart"/>
            <w:r w:rsidRPr="007176EF">
              <w:rPr>
                <w:lang w:eastAsia="en-AU"/>
              </w:rPr>
              <w:t>FOE10</w:t>
            </w:r>
            <w:proofErr w:type="gramEnd"/>
            <w:r>
              <w:rPr>
                <w:lang w:eastAsia="en-AU"/>
              </w:rPr>
              <w:br/>
            </w:r>
            <w:r w:rsidRPr="007176EF">
              <w:rPr>
                <w:lang w:eastAsia="en-AU"/>
              </w:rPr>
              <w:t>(8%)</w:t>
            </w:r>
          </w:p>
        </w:tc>
        <w:tc>
          <w:tcPr>
            <w:tcW w:w="638" w:type="dxa"/>
            <w:tcBorders>
              <w:bottom w:val="single" w:sz="4" w:space="0" w:color="auto"/>
            </w:tcBorders>
            <w:shd w:val="clear" w:color="000000" w:fill="FFFFFF"/>
            <w:noWrap/>
            <w:tcMar>
              <w:top w:w="15" w:type="dxa"/>
              <w:left w:w="15" w:type="dxa"/>
              <w:bottom w:w="0" w:type="dxa"/>
              <w:right w:w="15" w:type="dxa"/>
            </w:tcMar>
            <w:vAlign w:val="bottom"/>
            <w:hideMark/>
          </w:tcPr>
          <w:p w:rsidR="008B4FB6" w:rsidRPr="007176EF" w:rsidRDefault="008B4FB6" w:rsidP="003E6C8F">
            <w:pPr>
              <w:pStyle w:val="Tablehead3"/>
              <w:jc w:val="center"/>
              <w:rPr>
                <w:lang w:eastAsia="en-AU"/>
              </w:rPr>
            </w:pPr>
            <w:proofErr w:type="gramStart"/>
            <w:r w:rsidRPr="007176EF">
              <w:rPr>
                <w:lang w:eastAsia="en-AU"/>
              </w:rPr>
              <w:t>FOE06</w:t>
            </w:r>
            <w:proofErr w:type="gramEnd"/>
            <w:r>
              <w:rPr>
                <w:lang w:eastAsia="en-AU"/>
              </w:rPr>
              <w:br/>
            </w:r>
            <w:r w:rsidRPr="007176EF">
              <w:rPr>
                <w:lang w:eastAsia="en-AU"/>
              </w:rPr>
              <w:t>(12%)</w:t>
            </w:r>
          </w:p>
        </w:tc>
        <w:tc>
          <w:tcPr>
            <w:tcW w:w="639" w:type="dxa"/>
            <w:tcBorders>
              <w:bottom w:val="single" w:sz="4" w:space="0" w:color="auto"/>
            </w:tcBorders>
            <w:shd w:val="clear" w:color="000000" w:fill="FFFFFF"/>
            <w:noWrap/>
            <w:tcMar>
              <w:top w:w="15" w:type="dxa"/>
              <w:left w:w="15" w:type="dxa"/>
              <w:bottom w:w="0" w:type="dxa"/>
              <w:right w:w="15" w:type="dxa"/>
            </w:tcMar>
            <w:vAlign w:val="bottom"/>
            <w:hideMark/>
          </w:tcPr>
          <w:p w:rsidR="008B4FB6" w:rsidRPr="007176EF" w:rsidRDefault="008B4FB6" w:rsidP="003E6C8F">
            <w:pPr>
              <w:pStyle w:val="Tablehead3"/>
              <w:jc w:val="center"/>
              <w:rPr>
                <w:lang w:eastAsia="en-AU"/>
              </w:rPr>
            </w:pPr>
            <w:proofErr w:type="gramStart"/>
            <w:r w:rsidRPr="007176EF">
              <w:rPr>
                <w:lang w:eastAsia="en-AU"/>
              </w:rPr>
              <w:t>FOE07</w:t>
            </w:r>
            <w:proofErr w:type="gramEnd"/>
            <w:r>
              <w:rPr>
                <w:lang w:eastAsia="en-AU"/>
              </w:rPr>
              <w:br/>
            </w:r>
            <w:r w:rsidRPr="007176EF">
              <w:rPr>
                <w:lang w:eastAsia="en-AU"/>
              </w:rPr>
              <w:t>(15%)</w:t>
            </w:r>
          </w:p>
        </w:tc>
        <w:tc>
          <w:tcPr>
            <w:tcW w:w="638" w:type="dxa"/>
            <w:tcBorders>
              <w:bottom w:val="single" w:sz="4" w:space="0" w:color="auto"/>
            </w:tcBorders>
            <w:shd w:val="clear" w:color="000000" w:fill="FFFFFF"/>
            <w:noWrap/>
            <w:tcMar>
              <w:top w:w="15" w:type="dxa"/>
              <w:left w:w="15" w:type="dxa"/>
              <w:bottom w:w="0" w:type="dxa"/>
              <w:right w:w="15" w:type="dxa"/>
            </w:tcMar>
            <w:vAlign w:val="bottom"/>
            <w:hideMark/>
          </w:tcPr>
          <w:p w:rsidR="008B4FB6" w:rsidRPr="007176EF" w:rsidRDefault="008B4FB6" w:rsidP="003E6C8F">
            <w:pPr>
              <w:pStyle w:val="Tablehead3"/>
              <w:jc w:val="center"/>
              <w:rPr>
                <w:lang w:eastAsia="en-AU"/>
              </w:rPr>
            </w:pPr>
            <w:proofErr w:type="gramStart"/>
            <w:r w:rsidRPr="007176EF">
              <w:rPr>
                <w:lang w:eastAsia="en-AU"/>
              </w:rPr>
              <w:t>FOE02</w:t>
            </w:r>
            <w:proofErr w:type="gramEnd"/>
            <w:r>
              <w:rPr>
                <w:lang w:eastAsia="en-AU"/>
              </w:rPr>
              <w:br/>
            </w:r>
            <w:r w:rsidRPr="007176EF">
              <w:rPr>
                <w:lang w:eastAsia="en-AU"/>
              </w:rPr>
              <w:t>(14%)</w:t>
            </w:r>
          </w:p>
        </w:tc>
        <w:tc>
          <w:tcPr>
            <w:tcW w:w="639" w:type="dxa"/>
            <w:tcBorders>
              <w:bottom w:val="single" w:sz="4" w:space="0" w:color="auto"/>
            </w:tcBorders>
            <w:shd w:val="clear" w:color="000000" w:fill="FFFFFF"/>
            <w:noWrap/>
            <w:tcMar>
              <w:top w:w="15" w:type="dxa"/>
              <w:left w:w="15" w:type="dxa"/>
              <w:bottom w:w="0" w:type="dxa"/>
              <w:right w:w="15" w:type="dxa"/>
            </w:tcMar>
            <w:vAlign w:val="bottom"/>
            <w:hideMark/>
          </w:tcPr>
          <w:p w:rsidR="008B4FB6" w:rsidRPr="007176EF" w:rsidRDefault="008B4FB6" w:rsidP="003E6C8F">
            <w:pPr>
              <w:pStyle w:val="Tablehead3"/>
              <w:jc w:val="center"/>
              <w:rPr>
                <w:lang w:eastAsia="en-AU"/>
              </w:rPr>
            </w:pPr>
            <w:proofErr w:type="gramStart"/>
            <w:r w:rsidRPr="007176EF">
              <w:rPr>
                <w:lang w:eastAsia="en-AU"/>
              </w:rPr>
              <w:t>FOE03</w:t>
            </w:r>
            <w:proofErr w:type="gramEnd"/>
            <w:r>
              <w:rPr>
                <w:lang w:eastAsia="en-AU"/>
              </w:rPr>
              <w:br/>
            </w:r>
            <w:r w:rsidRPr="007176EF">
              <w:rPr>
                <w:lang w:eastAsia="en-AU"/>
              </w:rPr>
              <w:t>(7%)</w:t>
            </w:r>
          </w:p>
        </w:tc>
        <w:tc>
          <w:tcPr>
            <w:tcW w:w="638" w:type="dxa"/>
            <w:tcBorders>
              <w:bottom w:val="single" w:sz="4" w:space="0" w:color="auto"/>
            </w:tcBorders>
            <w:shd w:val="clear" w:color="000000" w:fill="FFFFFF"/>
            <w:noWrap/>
            <w:tcMar>
              <w:top w:w="15" w:type="dxa"/>
              <w:left w:w="15" w:type="dxa"/>
              <w:bottom w:w="0" w:type="dxa"/>
              <w:right w:w="15" w:type="dxa"/>
            </w:tcMar>
            <w:vAlign w:val="bottom"/>
            <w:hideMark/>
          </w:tcPr>
          <w:p w:rsidR="008B4FB6" w:rsidRPr="007176EF" w:rsidRDefault="008B4FB6" w:rsidP="003E6C8F">
            <w:pPr>
              <w:pStyle w:val="Tablehead3"/>
              <w:jc w:val="center"/>
              <w:rPr>
                <w:lang w:eastAsia="en-AU"/>
              </w:rPr>
            </w:pPr>
            <w:proofErr w:type="gramStart"/>
            <w:r w:rsidRPr="007176EF">
              <w:rPr>
                <w:lang w:eastAsia="en-AU"/>
              </w:rPr>
              <w:t>FOE04</w:t>
            </w:r>
            <w:proofErr w:type="gramEnd"/>
            <w:r>
              <w:rPr>
                <w:lang w:eastAsia="en-AU"/>
              </w:rPr>
              <w:br/>
            </w:r>
            <w:r w:rsidRPr="007176EF">
              <w:rPr>
                <w:lang w:eastAsia="en-AU"/>
              </w:rPr>
              <w:t>(10%)</w:t>
            </w:r>
          </w:p>
        </w:tc>
        <w:tc>
          <w:tcPr>
            <w:tcW w:w="639" w:type="dxa"/>
            <w:tcBorders>
              <w:bottom w:val="single" w:sz="4" w:space="0" w:color="auto"/>
            </w:tcBorders>
            <w:shd w:val="clear" w:color="000000" w:fill="FFFFFF"/>
            <w:noWrap/>
            <w:tcMar>
              <w:top w:w="15" w:type="dxa"/>
              <w:left w:w="15" w:type="dxa"/>
              <w:bottom w:w="0" w:type="dxa"/>
              <w:right w:w="15" w:type="dxa"/>
            </w:tcMar>
            <w:vAlign w:val="bottom"/>
            <w:hideMark/>
          </w:tcPr>
          <w:p w:rsidR="008B4FB6" w:rsidRPr="007176EF" w:rsidRDefault="008B4FB6" w:rsidP="003E6C8F">
            <w:pPr>
              <w:pStyle w:val="Tablehead3"/>
              <w:jc w:val="center"/>
              <w:rPr>
                <w:lang w:eastAsia="en-AU"/>
              </w:rPr>
            </w:pPr>
            <w:proofErr w:type="gramStart"/>
            <w:r w:rsidRPr="007176EF">
              <w:rPr>
                <w:lang w:eastAsia="en-AU"/>
              </w:rPr>
              <w:t>FOE05</w:t>
            </w:r>
            <w:proofErr w:type="gramEnd"/>
            <w:r>
              <w:rPr>
                <w:lang w:eastAsia="en-AU"/>
              </w:rPr>
              <w:br/>
            </w:r>
            <w:r w:rsidRPr="007176EF">
              <w:rPr>
                <w:lang w:eastAsia="en-AU"/>
              </w:rPr>
              <w:t>(6%)</w:t>
            </w:r>
          </w:p>
        </w:tc>
        <w:tc>
          <w:tcPr>
            <w:tcW w:w="638" w:type="dxa"/>
            <w:tcBorders>
              <w:bottom w:val="single" w:sz="4" w:space="0" w:color="auto"/>
            </w:tcBorders>
            <w:shd w:val="clear" w:color="000000" w:fill="FFFFFF"/>
            <w:noWrap/>
            <w:tcMar>
              <w:top w:w="15" w:type="dxa"/>
              <w:left w:w="15" w:type="dxa"/>
              <w:bottom w:w="0" w:type="dxa"/>
              <w:right w:w="15" w:type="dxa"/>
            </w:tcMar>
            <w:vAlign w:val="bottom"/>
            <w:hideMark/>
          </w:tcPr>
          <w:p w:rsidR="008B4FB6" w:rsidRPr="007176EF" w:rsidRDefault="008B4FB6" w:rsidP="003E6C8F">
            <w:pPr>
              <w:pStyle w:val="Tablehead3"/>
              <w:jc w:val="center"/>
              <w:rPr>
                <w:lang w:eastAsia="en-AU"/>
              </w:rPr>
            </w:pPr>
            <w:proofErr w:type="gramStart"/>
            <w:r w:rsidRPr="007176EF">
              <w:rPr>
                <w:lang w:eastAsia="en-AU"/>
              </w:rPr>
              <w:t>FOE09</w:t>
            </w:r>
            <w:proofErr w:type="gramEnd"/>
            <w:r>
              <w:rPr>
                <w:lang w:eastAsia="en-AU"/>
              </w:rPr>
              <w:br/>
            </w:r>
            <w:r w:rsidRPr="007176EF">
              <w:rPr>
                <w:lang w:eastAsia="en-AU"/>
              </w:rPr>
              <w:t>(8%)</w:t>
            </w:r>
          </w:p>
        </w:tc>
        <w:tc>
          <w:tcPr>
            <w:tcW w:w="639" w:type="dxa"/>
            <w:tcBorders>
              <w:bottom w:val="single" w:sz="4" w:space="0" w:color="auto"/>
            </w:tcBorders>
            <w:shd w:val="clear" w:color="000000" w:fill="FFFFFF"/>
            <w:noWrap/>
            <w:tcMar>
              <w:top w:w="15" w:type="dxa"/>
              <w:left w:w="15" w:type="dxa"/>
              <w:bottom w:w="0" w:type="dxa"/>
              <w:right w:w="15" w:type="dxa"/>
            </w:tcMar>
            <w:vAlign w:val="bottom"/>
            <w:hideMark/>
          </w:tcPr>
          <w:p w:rsidR="008B4FB6" w:rsidRPr="007176EF" w:rsidRDefault="008B4FB6" w:rsidP="003E6C8F">
            <w:pPr>
              <w:pStyle w:val="Tablehead3"/>
              <w:jc w:val="center"/>
              <w:rPr>
                <w:lang w:eastAsia="en-AU"/>
              </w:rPr>
            </w:pPr>
            <w:proofErr w:type="gramStart"/>
            <w:r w:rsidRPr="007176EF">
              <w:rPr>
                <w:lang w:eastAsia="en-AU"/>
              </w:rPr>
              <w:t>FOE01</w:t>
            </w:r>
            <w:proofErr w:type="gramEnd"/>
            <w:r>
              <w:rPr>
                <w:lang w:eastAsia="en-AU"/>
              </w:rPr>
              <w:br/>
            </w:r>
            <w:r w:rsidRPr="007176EF">
              <w:rPr>
                <w:lang w:eastAsia="en-AU"/>
              </w:rPr>
              <w:t>(4%)</w:t>
            </w:r>
          </w:p>
        </w:tc>
        <w:tc>
          <w:tcPr>
            <w:tcW w:w="536" w:type="dxa"/>
            <w:tcBorders>
              <w:bottom w:val="single" w:sz="4" w:space="0" w:color="auto"/>
              <w:right w:val="nil"/>
            </w:tcBorders>
            <w:shd w:val="clear" w:color="000000" w:fill="FFFFFF"/>
            <w:noWrap/>
            <w:tcMar>
              <w:top w:w="15" w:type="dxa"/>
              <w:left w:w="15" w:type="dxa"/>
              <w:bottom w:w="0" w:type="dxa"/>
              <w:right w:w="15" w:type="dxa"/>
            </w:tcMar>
            <w:hideMark/>
          </w:tcPr>
          <w:p w:rsidR="008B4FB6" w:rsidRPr="007176EF" w:rsidRDefault="008B4FB6" w:rsidP="00243642">
            <w:pPr>
              <w:pStyle w:val="Tablehead3"/>
              <w:jc w:val="center"/>
              <w:rPr>
                <w:lang w:eastAsia="en-AU"/>
              </w:rPr>
            </w:pPr>
          </w:p>
        </w:tc>
      </w:tr>
      <w:tr w:rsidR="007176EF" w:rsidRPr="007176EF" w:rsidTr="008B4FB6">
        <w:tc>
          <w:tcPr>
            <w:tcW w:w="1801" w:type="dxa"/>
            <w:tcBorders>
              <w:top w:val="single" w:sz="4" w:space="0" w:color="auto"/>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243642">
            <w:pPr>
              <w:pStyle w:val="Tabletext"/>
            </w:pPr>
            <w:r w:rsidRPr="007176EF">
              <w:t>Flinders University of South Australia</w:t>
            </w:r>
          </w:p>
        </w:tc>
        <w:tc>
          <w:tcPr>
            <w:tcW w:w="705" w:type="dxa"/>
            <w:tcBorders>
              <w:top w:val="single" w:sz="4" w:space="0" w:color="auto"/>
              <w:left w:val="dashed" w:sz="4" w:space="0" w:color="auto"/>
              <w:bottom w:val="nil"/>
              <w:right w:val="nil"/>
            </w:tcBorders>
            <w:shd w:val="clear" w:color="auto" w:fill="BFBFBF" w:themeFill="background1" w:themeFillShade="B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15</w:t>
            </w:r>
          </w:p>
        </w:tc>
        <w:tc>
          <w:tcPr>
            <w:tcW w:w="639" w:type="dxa"/>
            <w:tcBorders>
              <w:top w:val="single" w:sz="4" w:space="0" w:color="auto"/>
              <w:left w:val="nil"/>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0</w:t>
            </w:r>
          </w:p>
        </w:tc>
        <w:tc>
          <w:tcPr>
            <w:tcW w:w="638" w:type="dxa"/>
            <w:tcBorders>
              <w:top w:val="single" w:sz="4" w:space="0" w:color="auto"/>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7</w:t>
            </w:r>
          </w:p>
        </w:tc>
        <w:tc>
          <w:tcPr>
            <w:tcW w:w="639" w:type="dxa"/>
            <w:tcBorders>
              <w:top w:val="single" w:sz="4" w:space="0" w:color="auto"/>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5</w:t>
            </w:r>
          </w:p>
        </w:tc>
        <w:tc>
          <w:tcPr>
            <w:tcW w:w="638" w:type="dxa"/>
            <w:tcBorders>
              <w:top w:val="single" w:sz="4" w:space="0" w:color="auto"/>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0</w:t>
            </w:r>
          </w:p>
        </w:tc>
        <w:tc>
          <w:tcPr>
            <w:tcW w:w="639" w:type="dxa"/>
            <w:tcBorders>
              <w:top w:val="single" w:sz="4" w:space="0" w:color="auto"/>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0</w:t>
            </w:r>
          </w:p>
        </w:tc>
        <w:tc>
          <w:tcPr>
            <w:tcW w:w="638" w:type="dxa"/>
            <w:tcBorders>
              <w:top w:val="single" w:sz="4" w:space="0" w:color="auto"/>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 </w:t>
            </w:r>
          </w:p>
        </w:tc>
        <w:tc>
          <w:tcPr>
            <w:tcW w:w="639" w:type="dxa"/>
            <w:tcBorders>
              <w:top w:val="single" w:sz="4" w:space="0" w:color="auto"/>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0</w:t>
            </w:r>
          </w:p>
        </w:tc>
        <w:tc>
          <w:tcPr>
            <w:tcW w:w="638" w:type="dxa"/>
            <w:tcBorders>
              <w:top w:val="single" w:sz="4" w:space="0" w:color="auto"/>
              <w:left w:val="nil"/>
              <w:bottom w:val="nil"/>
              <w:right w:val="nil"/>
            </w:tcBorders>
            <w:shd w:val="clear" w:color="auto" w:fill="BFBFBF" w:themeFill="background1" w:themeFillShade="B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9</w:t>
            </w:r>
          </w:p>
        </w:tc>
        <w:tc>
          <w:tcPr>
            <w:tcW w:w="639" w:type="dxa"/>
            <w:tcBorders>
              <w:top w:val="single" w:sz="4" w:space="0" w:color="auto"/>
              <w:left w:val="nil"/>
              <w:bottom w:val="nil"/>
              <w:right w:val="dashed" w:sz="4" w:space="0" w:color="auto"/>
            </w:tcBorders>
            <w:shd w:val="clear" w:color="auto" w:fill="BFBFBF" w:themeFill="background1" w:themeFillShade="B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5</w:t>
            </w:r>
          </w:p>
        </w:tc>
        <w:tc>
          <w:tcPr>
            <w:tcW w:w="536" w:type="dxa"/>
            <w:tcBorders>
              <w:top w:val="single" w:sz="4" w:space="0" w:color="auto"/>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284"/>
              </w:tabs>
            </w:pPr>
            <w:r w:rsidRPr="007176EF">
              <w:t>7</w:t>
            </w:r>
          </w:p>
        </w:tc>
      </w:tr>
      <w:tr w:rsidR="007176EF" w:rsidRPr="007176EF" w:rsidTr="008B4FB6">
        <w:tc>
          <w:tcPr>
            <w:tcW w:w="1801"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243642">
            <w:pPr>
              <w:pStyle w:val="Tabletext"/>
            </w:pPr>
            <w:r w:rsidRPr="007176EF">
              <w:t>University of Southern Queensland</w:t>
            </w:r>
          </w:p>
        </w:tc>
        <w:tc>
          <w:tcPr>
            <w:tcW w:w="705"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6</w:t>
            </w:r>
          </w:p>
        </w:tc>
        <w:tc>
          <w:tcPr>
            <w:tcW w:w="639" w:type="dxa"/>
            <w:tcBorders>
              <w:top w:val="nil"/>
              <w:left w:val="nil"/>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1</w:t>
            </w:r>
          </w:p>
        </w:tc>
        <w:tc>
          <w:tcPr>
            <w:tcW w:w="638" w:type="dxa"/>
            <w:tcBorders>
              <w:top w:val="nil"/>
              <w:left w:val="nil"/>
              <w:bottom w:val="nil"/>
              <w:right w:val="dashed" w:sz="4" w:space="0" w:color="auto"/>
            </w:tcBorders>
            <w:shd w:val="clear" w:color="auto" w:fill="BFBFBF" w:themeFill="background1" w:themeFillShade="B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13</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12</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0</w:t>
            </w:r>
          </w:p>
        </w:tc>
        <w:tc>
          <w:tcPr>
            <w:tcW w:w="639" w:type="dxa"/>
            <w:tcBorders>
              <w:top w:val="nil"/>
              <w:left w:val="dashed" w:sz="4" w:space="0" w:color="auto"/>
              <w:bottom w:val="nil"/>
              <w:right w:val="nil"/>
            </w:tcBorders>
            <w:shd w:val="clear" w:color="auto" w:fill="BFBFBF" w:themeFill="background1" w:themeFillShade="B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14</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 </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 </w:t>
            </w:r>
          </w:p>
        </w:tc>
        <w:tc>
          <w:tcPr>
            <w:tcW w:w="638" w:type="dxa"/>
            <w:tcBorders>
              <w:top w:val="nil"/>
              <w:left w:val="nil"/>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8</w:t>
            </w:r>
          </w:p>
        </w:tc>
        <w:tc>
          <w:tcPr>
            <w:tcW w:w="639"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4</w:t>
            </w:r>
          </w:p>
        </w:tc>
        <w:tc>
          <w:tcPr>
            <w:tcW w:w="536"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284"/>
              </w:tabs>
            </w:pPr>
            <w:r w:rsidRPr="007176EF">
              <w:t>6</w:t>
            </w:r>
          </w:p>
        </w:tc>
      </w:tr>
      <w:tr w:rsidR="007176EF" w:rsidRPr="007176EF" w:rsidTr="008B4FB6">
        <w:tc>
          <w:tcPr>
            <w:tcW w:w="1801"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243642">
            <w:pPr>
              <w:pStyle w:val="Tabletext"/>
            </w:pPr>
            <w:r w:rsidRPr="007176EF">
              <w:t>Australian National University</w:t>
            </w:r>
          </w:p>
        </w:tc>
        <w:tc>
          <w:tcPr>
            <w:tcW w:w="705"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11</w:t>
            </w:r>
          </w:p>
        </w:tc>
        <w:tc>
          <w:tcPr>
            <w:tcW w:w="639" w:type="dxa"/>
            <w:tcBorders>
              <w:top w:val="nil"/>
              <w:left w:val="nil"/>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0</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0</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 </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0</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5</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 </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0</w:t>
            </w:r>
          </w:p>
        </w:tc>
        <w:tc>
          <w:tcPr>
            <w:tcW w:w="638" w:type="dxa"/>
            <w:tcBorders>
              <w:top w:val="nil"/>
              <w:left w:val="nil"/>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5</w:t>
            </w:r>
          </w:p>
        </w:tc>
        <w:tc>
          <w:tcPr>
            <w:tcW w:w="639" w:type="dxa"/>
            <w:tcBorders>
              <w:top w:val="nil"/>
              <w:left w:val="nil"/>
              <w:bottom w:val="nil"/>
              <w:right w:val="dashed" w:sz="4" w:space="0" w:color="auto"/>
            </w:tcBorders>
            <w:shd w:val="clear" w:color="auto" w:fill="BFBFBF" w:themeFill="background1" w:themeFillShade="B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5</w:t>
            </w:r>
          </w:p>
        </w:tc>
        <w:tc>
          <w:tcPr>
            <w:tcW w:w="536"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284"/>
              </w:tabs>
            </w:pPr>
            <w:r w:rsidRPr="007176EF">
              <w:t>5</w:t>
            </w:r>
          </w:p>
        </w:tc>
      </w:tr>
      <w:tr w:rsidR="007176EF" w:rsidRPr="007176EF" w:rsidTr="008B4FB6">
        <w:tc>
          <w:tcPr>
            <w:tcW w:w="1801"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243642">
            <w:pPr>
              <w:pStyle w:val="Tabletext"/>
            </w:pPr>
            <w:r w:rsidRPr="007176EF">
              <w:t>James Cook University</w:t>
            </w:r>
          </w:p>
        </w:tc>
        <w:tc>
          <w:tcPr>
            <w:tcW w:w="705"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4</w:t>
            </w:r>
          </w:p>
        </w:tc>
        <w:tc>
          <w:tcPr>
            <w:tcW w:w="639" w:type="dxa"/>
            <w:tcBorders>
              <w:top w:val="nil"/>
              <w:left w:val="nil"/>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6</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5</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15</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0</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0</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0</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 </w:t>
            </w:r>
          </w:p>
        </w:tc>
        <w:tc>
          <w:tcPr>
            <w:tcW w:w="638" w:type="dxa"/>
            <w:tcBorders>
              <w:top w:val="nil"/>
              <w:left w:val="nil"/>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7</w:t>
            </w:r>
          </w:p>
        </w:tc>
        <w:tc>
          <w:tcPr>
            <w:tcW w:w="639"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0</w:t>
            </w:r>
          </w:p>
        </w:tc>
        <w:tc>
          <w:tcPr>
            <w:tcW w:w="536"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284"/>
              </w:tabs>
            </w:pPr>
            <w:r w:rsidRPr="007176EF">
              <w:t>4</w:t>
            </w:r>
          </w:p>
        </w:tc>
      </w:tr>
      <w:tr w:rsidR="007176EF" w:rsidRPr="007176EF" w:rsidTr="008B4FB6">
        <w:tc>
          <w:tcPr>
            <w:tcW w:w="1801"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243642">
            <w:pPr>
              <w:pStyle w:val="Tabletext"/>
            </w:pPr>
            <w:r w:rsidRPr="007176EF">
              <w:t>University of the Sunshine Coast</w:t>
            </w:r>
          </w:p>
        </w:tc>
        <w:tc>
          <w:tcPr>
            <w:tcW w:w="705"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7</w:t>
            </w:r>
          </w:p>
        </w:tc>
        <w:tc>
          <w:tcPr>
            <w:tcW w:w="639" w:type="dxa"/>
            <w:tcBorders>
              <w:top w:val="nil"/>
              <w:left w:val="nil"/>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6</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8</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8</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0</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0</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0</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0</w:t>
            </w:r>
          </w:p>
        </w:tc>
        <w:tc>
          <w:tcPr>
            <w:tcW w:w="638" w:type="dxa"/>
            <w:tcBorders>
              <w:top w:val="nil"/>
              <w:left w:val="nil"/>
              <w:bottom w:val="nil"/>
              <w:right w:val="nil"/>
            </w:tcBorders>
            <w:shd w:val="clear" w:color="auto" w:fill="BFBFBF" w:themeFill="background1" w:themeFillShade="B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9</w:t>
            </w:r>
          </w:p>
        </w:tc>
        <w:tc>
          <w:tcPr>
            <w:tcW w:w="639"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0</w:t>
            </w:r>
          </w:p>
        </w:tc>
        <w:tc>
          <w:tcPr>
            <w:tcW w:w="536"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284"/>
              </w:tabs>
            </w:pPr>
            <w:r w:rsidRPr="007176EF">
              <w:t>4</w:t>
            </w:r>
          </w:p>
        </w:tc>
      </w:tr>
      <w:tr w:rsidR="007176EF" w:rsidRPr="007176EF" w:rsidTr="008B4FB6">
        <w:tc>
          <w:tcPr>
            <w:tcW w:w="1801"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243642">
            <w:pPr>
              <w:pStyle w:val="Tabletext"/>
            </w:pPr>
            <w:r w:rsidRPr="007176EF">
              <w:t>Monash University</w:t>
            </w:r>
          </w:p>
        </w:tc>
        <w:tc>
          <w:tcPr>
            <w:tcW w:w="705"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2</w:t>
            </w:r>
          </w:p>
        </w:tc>
        <w:tc>
          <w:tcPr>
            <w:tcW w:w="639" w:type="dxa"/>
            <w:tcBorders>
              <w:top w:val="nil"/>
              <w:left w:val="nil"/>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7</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10</w:t>
            </w:r>
          </w:p>
        </w:tc>
        <w:tc>
          <w:tcPr>
            <w:tcW w:w="639" w:type="dxa"/>
            <w:tcBorders>
              <w:top w:val="nil"/>
              <w:left w:val="dashed" w:sz="4" w:space="0" w:color="auto"/>
              <w:bottom w:val="nil"/>
              <w:right w:val="nil"/>
            </w:tcBorders>
            <w:shd w:val="clear" w:color="auto" w:fill="BFBFBF" w:themeFill="background1" w:themeFillShade="B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24</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8</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0</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0</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0</w:t>
            </w:r>
          </w:p>
        </w:tc>
        <w:tc>
          <w:tcPr>
            <w:tcW w:w="638" w:type="dxa"/>
            <w:tcBorders>
              <w:top w:val="nil"/>
              <w:left w:val="nil"/>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3</w:t>
            </w:r>
          </w:p>
        </w:tc>
        <w:tc>
          <w:tcPr>
            <w:tcW w:w="639"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1</w:t>
            </w:r>
          </w:p>
        </w:tc>
        <w:tc>
          <w:tcPr>
            <w:tcW w:w="536"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284"/>
              </w:tabs>
            </w:pPr>
            <w:r w:rsidRPr="007176EF">
              <w:t>4</w:t>
            </w:r>
          </w:p>
        </w:tc>
      </w:tr>
      <w:tr w:rsidR="007176EF" w:rsidRPr="007176EF" w:rsidTr="008B4FB6">
        <w:tc>
          <w:tcPr>
            <w:tcW w:w="1801"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243642">
            <w:pPr>
              <w:pStyle w:val="Tabletext"/>
            </w:pPr>
            <w:r w:rsidRPr="007176EF">
              <w:t>Macquarie University</w:t>
            </w:r>
          </w:p>
        </w:tc>
        <w:tc>
          <w:tcPr>
            <w:tcW w:w="705"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4</w:t>
            </w:r>
          </w:p>
        </w:tc>
        <w:tc>
          <w:tcPr>
            <w:tcW w:w="639" w:type="dxa"/>
            <w:tcBorders>
              <w:top w:val="nil"/>
              <w:left w:val="nil"/>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8</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0</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8</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5</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0</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0</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0</w:t>
            </w:r>
          </w:p>
        </w:tc>
        <w:tc>
          <w:tcPr>
            <w:tcW w:w="638" w:type="dxa"/>
            <w:tcBorders>
              <w:top w:val="nil"/>
              <w:left w:val="nil"/>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3</w:t>
            </w:r>
          </w:p>
        </w:tc>
        <w:tc>
          <w:tcPr>
            <w:tcW w:w="639"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3</w:t>
            </w:r>
          </w:p>
        </w:tc>
        <w:tc>
          <w:tcPr>
            <w:tcW w:w="536"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284"/>
              </w:tabs>
            </w:pPr>
            <w:r w:rsidRPr="007176EF">
              <w:t>4</w:t>
            </w:r>
          </w:p>
        </w:tc>
      </w:tr>
      <w:tr w:rsidR="007176EF" w:rsidRPr="007176EF" w:rsidTr="008B4FB6">
        <w:tc>
          <w:tcPr>
            <w:tcW w:w="1801"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243642">
            <w:pPr>
              <w:pStyle w:val="Tabletext"/>
            </w:pPr>
            <w:r w:rsidRPr="007176EF">
              <w:t xml:space="preserve">Curtin University </w:t>
            </w:r>
          </w:p>
        </w:tc>
        <w:tc>
          <w:tcPr>
            <w:tcW w:w="705"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2</w:t>
            </w:r>
          </w:p>
        </w:tc>
        <w:tc>
          <w:tcPr>
            <w:tcW w:w="639" w:type="dxa"/>
            <w:tcBorders>
              <w:top w:val="nil"/>
              <w:left w:val="nil"/>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2</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6</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8</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0</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2</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5</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0</w:t>
            </w:r>
          </w:p>
        </w:tc>
        <w:tc>
          <w:tcPr>
            <w:tcW w:w="638" w:type="dxa"/>
            <w:tcBorders>
              <w:top w:val="nil"/>
              <w:left w:val="nil"/>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4</w:t>
            </w:r>
          </w:p>
        </w:tc>
        <w:tc>
          <w:tcPr>
            <w:tcW w:w="639"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4</w:t>
            </w:r>
          </w:p>
        </w:tc>
        <w:tc>
          <w:tcPr>
            <w:tcW w:w="536"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284"/>
              </w:tabs>
            </w:pPr>
            <w:r w:rsidRPr="007176EF">
              <w:t>3</w:t>
            </w:r>
          </w:p>
        </w:tc>
      </w:tr>
      <w:tr w:rsidR="007176EF" w:rsidRPr="007176EF" w:rsidTr="008B4FB6">
        <w:tc>
          <w:tcPr>
            <w:tcW w:w="1801"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243642">
            <w:pPr>
              <w:pStyle w:val="Tabletext"/>
            </w:pPr>
            <w:r w:rsidRPr="007176EF">
              <w:t>University of New South Wales</w:t>
            </w:r>
          </w:p>
        </w:tc>
        <w:tc>
          <w:tcPr>
            <w:tcW w:w="705"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1</w:t>
            </w:r>
          </w:p>
        </w:tc>
        <w:tc>
          <w:tcPr>
            <w:tcW w:w="639" w:type="dxa"/>
            <w:tcBorders>
              <w:top w:val="nil"/>
              <w:left w:val="nil"/>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8</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0</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3</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0</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1</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10</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0</w:t>
            </w:r>
          </w:p>
        </w:tc>
        <w:tc>
          <w:tcPr>
            <w:tcW w:w="638" w:type="dxa"/>
            <w:tcBorders>
              <w:top w:val="nil"/>
              <w:left w:val="nil"/>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3</w:t>
            </w:r>
          </w:p>
        </w:tc>
        <w:tc>
          <w:tcPr>
            <w:tcW w:w="639"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lang w:eastAsia="en-AU"/>
              </w:rPr>
            </w:pPr>
            <w:r w:rsidRPr="007176EF">
              <w:rPr>
                <w:lang w:eastAsia="en-AU"/>
              </w:rPr>
              <w:t>1</w:t>
            </w:r>
          </w:p>
        </w:tc>
        <w:tc>
          <w:tcPr>
            <w:tcW w:w="536"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284"/>
              </w:tabs>
            </w:pPr>
            <w:r w:rsidRPr="007176EF">
              <w:t>3</w:t>
            </w:r>
          </w:p>
        </w:tc>
      </w:tr>
      <w:tr w:rsidR="007176EF" w:rsidRPr="007176EF" w:rsidTr="008B4FB6">
        <w:tc>
          <w:tcPr>
            <w:tcW w:w="1801"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243642">
            <w:pPr>
              <w:pStyle w:val="Tabletext"/>
            </w:pPr>
            <w:r w:rsidRPr="007176EF">
              <w:t>University of Sydney</w:t>
            </w:r>
          </w:p>
        </w:tc>
        <w:tc>
          <w:tcPr>
            <w:tcW w:w="705"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2</w:t>
            </w:r>
          </w:p>
        </w:tc>
        <w:tc>
          <w:tcPr>
            <w:tcW w:w="639" w:type="dxa"/>
            <w:tcBorders>
              <w:top w:val="nil"/>
              <w:left w:val="nil"/>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0</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1</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3</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9</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2</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7</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0</w:t>
            </w:r>
          </w:p>
        </w:tc>
        <w:tc>
          <w:tcPr>
            <w:tcW w:w="638" w:type="dxa"/>
            <w:tcBorders>
              <w:top w:val="nil"/>
              <w:left w:val="nil"/>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2</w:t>
            </w:r>
          </w:p>
        </w:tc>
        <w:tc>
          <w:tcPr>
            <w:tcW w:w="639"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1</w:t>
            </w:r>
          </w:p>
        </w:tc>
        <w:tc>
          <w:tcPr>
            <w:tcW w:w="536"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284"/>
              </w:tabs>
            </w:pPr>
            <w:r w:rsidRPr="007176EF">
              <w:t>2</w:t>
            </w:r>
          </w:p>
        </w:tc>
      </w:tr>
      <w:tr w:rsidR="007176EF" w:rsidRPr="007176EF" w:rsidTr="008B4FB6">
        <w:tc>
          <w:tcPr>
            <w:tcW w:w="1801"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243642">
            <w:pPr>
              <w:pStyle w:val="Tabletext"/>
            </w:pPr>
            <w:r w:rsidRPr="007176EF">
              <w:t>University of Adelaide</w:t>
            </w:r>
          </w:p>
        </w:tc>
        <w:tc>
          <w:tcPr>
            <w:tcW w:w="705"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2</w:t>
            </w:r>
          </w:p>
        </w:tc>
        <w:tc>
          <w:tcPr>
            <w:tcW w:w="639" w:type="dxa"/>
            <w:tcBorders>
              <w:top w:val="nil"/>
              <w:left w:val="nil"/>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0</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0</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0</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0</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0</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0</w:t>
            </w:r>
          </w:p>
        </w:tc>
        <w:tc>
          <w:tcPr>
            <w:tcW w:w="639" w:type="dxa"/>
            <w:tcBorders>
              <w:top w:val="nil"/>
              <w:left w:val="dashed" w:sz="4" w:space="0" w:color="auto"/>
              <w:bottom w:val="nil"/>
              <w:right w:val="nil"/>
            </w:tcBorders>
            <w:shd w:val="clear" w:color="auto" w:fill="BFBFBF" w:themeFill="background1" w:themeFillShade="B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7</w:t>
            </w:r>
          </w:p>
        </w:tc>
        <w:tc>
          <w:tcPr>
            <w:tcW w:w="638" w:type="dxa"/>
            <w:tcBorders>
              <w:top w:val="nil"/>
              <w:left w:val="nil"/>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3</w:t>
            </w:r>
          </w:p>
        </w:tc>
        <w:tc>
          <w:tcPr>
            <w:tcW w:w="639"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0</w:t>
            </w:r>
          </w:p>
        </w:tc>
        <w:tc>
          <w:tcPr>
            <w:tcW w:w="536"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284"/>
              </w:tabs>
            </w:pPr>
            <w:r w:rsidRPr="007176EF">
              <w:t>1</w:t>
            </w:r>
          </w:p>
        </w:tc>
      </w:tr>
      <w:tr w:rsidR="007176EF" w:rsidRPr="007176EF" w:rsidTr="008B4FB6">
        <w:tc>
          <w:tcPr>
            <w:tcW w:w="1801"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243642">
            <w:pPr>
              <w:pStyle w:val="Tabletext"/>
            </w:pPr>
            <w:r w:rsidRPr="007176EF">
              <w:t>University of Melbourne</w:t>
            </w:r>
          </w:p>
        </w:tc>
        <w:tc>
          <w:tcPr>
            <w:tcW w:w="705"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1</w:t>
            </w:r>
          </w:p>
        </w:tc>
        <w:tc>
          <w:tcPr>
            <w:tcW w:w="639" w:type="dxa"/>
            <w:tcBorders>
              <w:top w:val="nil"/>
              <w:left w:val="nil"/>
              <w:bottom w:val="nil"/>
              <w:right w:val="nil"/>
            </w:tcBorders>
            <w:shd w:val="clear" w:color="auto" w:fill="BFBFBF" w:themeFill="background1" w:themeFillShade="B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9</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0</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 </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 </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0</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0</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2</w:t>
            </w:r>
          </w:p>
        </w:tc>
        <w:tc>
          <w:tcPr>
            <w:tcW w:w="638" w:type="dxa"/>
            <w:tcBorders>
              <w:top w:val="nil"/>
              <w:left w:val="nil"/>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1</w:t>
            </w:r>
          </w:p>
        </w:tc>
        <w:tc>
          <w:tcPr>
            <w:tcW w:w="639"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0</w:t>
            </w:r>
          </w:p>
        </w:tc>
        <w:tc>
          <w:tcPr>
            <w:tcW w:w="536"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284"/>
              </w:tabs>
            </w:pPr>
            <w:r w:rsidRPr="007176EF">
              <w:t>1</w:t>
            </w:r>
          </w:p>
        </w:tc>
      </w:tr>
      <w:tr w:rsidR="007176EF" w:rsidRPr="007176EF" w:rsidTr="008B4FB6">
        <w:tc>
          <w:tcPr>
            <w:tcW w:w="1801"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243642">
            <w:pPr>
              <w:pStyle w:val="Tabletext"/>
            </w:pPr>
            <w:r w:rsidRPr="007176EF">
              <w:t>University of Queensland</w:t>
            </w:r>
          </w:p>
        </w:tc>
        <w:tc>
          <w:tcPr>
            <w:tcW w:w="705"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1</w:t>
            </w:r>
          </w:p>
        </w:tc>
        <w:tc>
          <w:tcPr>
            <w:tcW w:w="639" w:type="dxa"/>
            <w:tcBorders>
              <w:top w:val="nil"/>
              <w:left w:val="nil"/>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2</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1</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4</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0</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0</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0</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3</w:t>
            </w:r>
          </w:p>
        </w:tc>
        <w:tc>
          <w:tcPr>
            <w:tcW w:w="638" w:type="dxa"/>
            <w:tcBorders>
              <w:top w:val="nil"/>
              <w:left w:val="nil"/>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2</w:t>
            </w:r>
          </w:p>
        </w:tc>
        <w:tc>
          <w:tcPr>
            <w:tcW w:w="639"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1</w:t>
            </w:r>
          </w:p>
        </w:tc>
        <w:tc>
          <w:tcPr>
            <w:tcW w:w="536"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284"/>
              </w:tabs>
            </w:pPr>
            <w:r w:rsidRPr="007176EF">
              <w:t>1</w:t>
            </w:r>
          </w:p>
        </w:tc>
      </w:tr>
      <w:tr w:rsidR="007176EF" w:rsidRPr="007176EF" w:rsidTr="008B4FB6">
        <w:tc>
          <w:tcPr>
            <w:tcW w:w="1801"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243642">
            <w:pPr>
              <w:pStyle w:val="Tabletext"/>
            </w:pPr>
            <w:r w:rsidRPr="007176EF">
              <w:t>University of Western Australia</w:t>
            </w:r>
          </w:p>
        </w:tc>
        <w:tc>
          <w:tcPr>
            <w:tcW w:w="705"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0</w:t>
            </w:r>
          </w:p>
        </w:tc>
        <w:tc>
          <w:tcPr>
            <w:tcW w:w="639" w:type="dxa"/>
            <w:tcBorders>
              <w:top w:val="nil"/>
              <w:left w:val="nil"/>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0</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0</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0</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0</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0</w:t>
            </w:r>
          </w:p>
        </w:tc>
        <w:tc>
          <w:tcPr>
            <w:tcW w:w="638"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5</w:t>
            </w:r>
          </w:p>
        </w:tc>
        <w:tc>
          <w:tcPr>
            <w:tcW w:w="639"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0</w:t>
            </w:r>
          </w:p>
        </w:tc>
        <w:tc>
          <w:tcPr>
            <w:tcW w:w="638" w:type="dxa"/>
            <w:tcBorders>
              <w:top w:val="nil"/>
              <w:left w:val="nil"/>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0</w:t>
            </w:r>
          </w:p>
        </w:tc>
        <w:tc>
          <w:tcPr>
            <w:tcW w:w="639" w:type="dxa"/>
            <w:tcBorders>
              <w:top w:val="nil"/>
              <w:left w:val="nil"/>
              <w:bottom w:val="nil"/>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pPr>
            <w:r w:rsidRPr="007176EF">
              <w:t>0</w:t>
            </w:r>
          </w:p>
        </w:tc>
        <w:tc>
          <w:tcPr>
            <w:tcW w:w="536" w:type="dxa"/>
            <w:tcBorders>
              <w:top w:val="nil"/>
              <w:left w:val="dashed" w:sz="4" w:space="0" w:color="auto"/>
              <w:bottom w:val="nil"/>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284"/>
              </w:tabs>
            </w:pPr>
            <w:r w:rsidRPr="007176EF">
              <w:t>0</w:t>
            </w:r>
          </w:p>
        </w:tc>
      </w:tr>
      <w:tr w:rsidR="007176EF" w:rsidRPr="007176EF" w:rsidTr="008B4FB6">
        <w:tc>
          <w:tcPr>
            <w:tcW w:w="1801" w:type="dxa"/>
            <w:tcBorders>
              <w:top w:val="nil"/>
              <w:left w:val="nil"/>
              <w:bottom w:val="single" w:sz="4" w:space="0" w:color="auto"/>
              <w:right w:val="dashed" w:sz="4" w:space="0" w:color="auto"/>
            </w:tcBorders>
            <w:shd w:val="clear" w:color="000000" w:fill="FFFFFF"/>
            <w:noWrap/>
            <w:tcMar>
              <w:top w:w="15" w:type="dxa"/>
              <w:left w:w="15" w:type="dxa"/>
              <w:bottom w:w="0" w:type="dxa"/>
              <w:right w:w="15" w:type="dxa"/>
            </w:tcMar>
            <w:hideMark/>
          </w:tcPr>
          <w:p w:rsidR="007176EF" w:rsidRPr="007176EF" w:rsidRDefault="007176EF" w:rsidP="00243642">
            <w:pPr>
              <w:pStyle w:val="Tabletext"/>
              <w:rPr>
                <w:b/>
                <w:bCs/>
              </w:rPr>
            </w:pPr>
            <w:r w:rsidRPr="007176EF">
              <w:rPr>
                <w:b/>
                <w:bCs/>
              </w:rPr>
              <w:t>Total Cluster 3</w:t>
            </w:r>
          </w:p>
        </w:tc>
        <w:tc>
          <w:tcPr>
            <w:tcW w:w="705" w:type="dxa"/>
            <w:tcBorders>
              <w:top w:val="nil"/>
              <w:left w:val="dashed" w:sz="4" w:space="0" w:color="auto"/>
              <w:bottom w:val="single" w:sz="4" w:space="0" w:color="auto"/>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b/>
                <w:bCs/>
              </w:rPr>
            </w:pPr>
            <w:r w:rsidRPr="007176EF">
              <w:rPr>
                <w:b/>
                <w:bCs/>
              </w:rPr>
              <w:t>3</w:t>
            </w:r>
          </w:p>
        </w:tc>
        <w:tc>
          <w:tcPr>
            <w:tcW w:w="639" w:type="dxa"/>
            <w:tcBorders>
              <w:top w:val="nil"/>
              <w:left w:val="nil"/>
              <w:bottom w:val="single" w:sz="4" w:space="0" w:color="auto"/>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b/>
                <w:bCs/>
              </w:rPr>
            </w:pPr>
            <w:r w:rsidRPr="007176EF">
              <w:rPr>
                <w:b/>
                <w:bCs/>
              </w:rPr>
              <w:t>4</w:t>
            </w:r>
          </w:p>
        </w:tc>
        <w:tc>
          <w:tcPr>
            <w:tcW w:w="638" w:type="dxa"/>
            <w:tcBorders>
              <w:top w:val="nil"/>
              <w:left w:val="nil"/>
              <w:bottom w:val="single" w:sz="4" w:space="0" w:color="auto"/>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b/>
                <w:bCs/>
              </w:rPr>
            </w:pPr>
            <w:r w:rsidRPr="007176EF">
              <w:rPr>
                <w:b/>
                <w:bCs/>
              </w:rPr>
              <w:t>4</w:t>
            </w:r>
          </w:p>
        </w:tc>
        <w:tc>
          <w:tcPr>
            <w:tcW w:w="639" w:type="dxa"/>
            <w:tcBorders>
              <w:top w:val="nil"/>
              <w:left w:val="dashed" w:sz="4" w:space="0" w:color="auto"/>
              <w:bottom w:val="single" w:sz="4" w:space="0" w:color="auto"/>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b/>
                <w:bCs/>
              </w:rPr>
            </w:pPr>
            <w:r w:rsidRPr="007176EF">
              <w:rPr>
                <w:b/>
                <w:bCs/>
              </w:rPr>
              <w:t>9</w:t>
            </w:r>
          </w:p>
        </w:tc>
        <w:tc>
          <w:tcPr>
            <w:tcW w:w="638" w:type="dxa"/>
            <w:tcBorders>
              <w:top w:val="nil"/>
              <w:left w:val="nil"/>
              <w:bottom w:val="single" w:sz="4" w:space="0" w:color="auto"/>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b/>
                <w:bCs/>
              </w:rPr>
            </w:pPr>
            <w:r w:rsidRPr="007176EF">
              <w:rPr>
                <w:b/>
                <w:bCs/>
              </w:rPr>
              <w:t>3</w:t>
            </w:r>
          </w:p>
        </w:tc>
        <w:tc>
          <w:tcPr>
            <w:tcW w:w="639" w:type="dxa"/>
            <w:tcBorders>
              <w:top w:val="nil"/>
              <w:left w:val="dashed" w:sz="4" w:space="0" w:color="auto"/>
              <w:bottom w:val="single" w:sz="4" w:space="0" w:color="auto"/>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b/>
                <w:bCs/>
              </w:rPr>
            </w:pPr>
            <w:r w:rsidRPr="007176EF">
              <w:rPr>
                <w:b/>
                <w:bCs/>
              </w:rPr>
              <w:t>2</w:t>
            </w:r>
          </w:p>
        </w:tc>
        <w:tc>
          <w:tcPr>
            <w:tcW w:w="638" w:type="dxa"/>
            <w:tcBorders>
              <w:top w:val="nil"/>
              <w:left w:val="nil"/>
              <w:bottom w:val="single" w:sz="4" w:space="0" w:color="auto"/>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b/>
                <w:bCs/>
              </w:rPr>
            </w:pPr>
            <w:r w:rsidRPr="007176EF">
              <w:rPr>
                <w:b/>
                <w:bCs/>
              </w:rPr>
              <w:t>5</w:t>
            </w:r>
          </w:p>
        </w:tc>
        <w:tc>
          <w:tcPr>
            <w:tcW w:w="639" w:type="dxa"/>
            <w:tcBorders>
              <w:top w:val="nil"/>
              <w:left w:val="dashed" w:sz="4" w:space="0" w:color="auto"/>
              <w:bottom w:val="single" w:sz="4" w:space="0" w:color="auto"/>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b/>
                <w:bCs/>
              </w:rPr>
            </w:pPr>
            <w:r w:rsidRPr="007176EF">
              <w:rPr>
                <w:b/>
                <w:bCs/>
              </w:rPr>
              <w:t>3</w:t>
            </w:r>
          </w:p>
        </w:tc>
        <w:tc>
          <w:tcPr>
            <w:tcW w:w="638" w:type="dxa"/>
            <w:tcBorders>
              <w:top w:val="nil"/>
              <w:left w:val="nil"/>
              <w:bottom w:val="single" w:sz="4" w:space="0" w:color="auto"/>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b/>
                <w:bCs/>
              </w:rPr>
            </w:pPr>
            <w:r w:rsidRPr="007176EF">
              <w:rPr>
                <w:b/>
                <w:bCs/>
              </w:rPr>
              <w:t>3</w:t>
            </w:r>
          </w:p>
        </w:tc>
        <w:tc>
          <w:tcPr>
            <w:tcW w:w="639" w:type="dxa"/>
            <w:tcBorders>
              <w:top w:val="nil"/>
              <w:left w:val="nil"/>
              <w:bottom w:val="single" w:sz="4" w:space="0" w:color="auto"/>
              <w:right w:val="dashed" w:sz="4" w:space="0" w:color="auto"/>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340"/>
              </w:tabs>
              <w:rPr>
                <w:b/>
                <w:bCs/>
              </w:rPr>
            </w:pPr>
            <w:r w:rsidRPr="007176EF">
              <w:rPr>
                <w:b/>
                <w:bCs/>
              </w:rPr>
              <w:t>1</w:t>
            </w:r>
          </w:p>
        </w:tc>
        <w:tc>
          <w:tcPr>
            <w:tcW w:w="536" w:type="dxa"/>
            <w:tcBorders>
              <w:top w:val="nil"/>
              <w:left w:val="dashed" w:sz="4" w:space="0" w:color="auto"/>
              <w:bottom w:val="single" w:sz="4" w:space="0" w:color="auto"/>
              <w:right w:val="nil"/>
            </w:tcBorders>
            <w:shd w:val="clear" w:color="000000" w:fill="FFFFFF"/>
            <w:noWrap/>
            <w:tcMar>
              <w:top w:w="15" w:type="dxa"/>
              <w:left w:w="15" w:type="dxa"/>
              <w:bottom w:w="0" w:type="dxa"/>
              <w:right w:w="15" w:type="dxa"/>
            </w:tcMar>
            <w:hideMark/>
          </w:tcPr>
          <w:p w:rsidR="007176EF" w:rsidRPr="007176EF" w:rsidRDefault="007176EF" w:rsidP="009230BC">
            <w:pPr>
              <w:pStyle w:val="Tabletext"/>
              <w:tabs>
                <w:tab w:val="decimal" w:pos="284"/>
              </w:tabs>
              <w:rPr>
                <w:b/>
                <w:bCs/>
              </w:rPr>
            </w:pPr>
            <w:r w:rsidRPr="007176EF">
              <w:rPr>
                <w:b/>
                <w:bCs/>
              </w:rPr>
              <w:t>3</w:t>
            </w:r>
          </w:p>
        </w:tc>
      </w:tr>
    </w:tbl>
    <w:p w:rsidR="007176EF" w:rsidRPr="00407BC2" w:rsidRDefault="007176EF" w:rsidP="00243642">
      <w:pPr>
        <w:pStyle w:val="Source"/>
      </w:pPr>
      <w:r w:rsidRPr="00407BC2">
        <w:t>Notes:</w:t>
      </w:r>
      <w:r w:rsidR="00243642">
        <w:tab/>
      </w:r>
      <w:r w:rsidRPr="00407BC2">
        <w:t xml:space="preserve">Shaded areas denote instances where the percentage admission is above the sector average. Blank cells indicate </w:t>
      </w:r>
      <w:r w:rsidR="00875452">
        <w:t xml:space="preserve">that </w:t>
      </w:r>
      <w:r w:rsidRPr="00407BC2">
        <w:t xml:space="preserve">the university offered no courses in this </w:t>
      </w:r>
      <w:r w:rsidR="00875452">
        <w:t>field of education</w:t>
      </w:r>
      <w:r w:rsidRPr="00407BC2">
        <w:t xml:space="preserve">. A score of 0% may indicate that total enrolments </w:t>
      </w:r>
      <w:r w:rsidR="004F70D8">
        <w:t>are fewer</w:t>
      </w:r>
      <w:r w:rsidR="004F70D8" w:rsidRPr="00286FC9">
        <w:t xml:space="preserve"> than </w:t>
      </w:r>
      <w:r w:rsidR="004F70D8">
        <w:t>ten</w:t>
      </w:r>
      <w:r w:rsidRPr="00407BC2">
        <w:t xml:space="preserve">. Table excludes non-award and mixed field. </w:t>
      </w:r>
    </w:p>
    <w:p w:rsidR="009023FD" w:rsidRDefault="001659DA" w:rsidP="00243642">
      <w:pPr>
        <w:pStyle w:val="Textmorebefore"/>
      </w:pPr>
      <w:r>
        <w:t xml:space="preserve">Overall, this analysis suggests that </w:t>
      </w:r>
      <w:r w:rsidR="009023FD">
        <w:t xml:space="preserve">universities within each of the Clusters 1, 2 and 3 are more similar than different in terms of their rates of admission of VET </w:t>
      </w:r>
      <w:r w:rsidR="00B87FBB">
        <w:t>award holders</w:t>
      </w:r>
      <w:r w:rsidR="009023FD">
        <w:t xml:space="preserve"> by field of education. </w:t>
      </w:r>
      <w:r>
        <w:t xml:space="preserve">For example, in the four fields of education with the lowest national rates of admission of VET </w:t>
      </w:r>
      <w:r w:rsidR="00B87FBB">
        <w:t>award holders</w:t>
      </w:r>
      <w:r>
        <w:t xml:space="preserve"> (FOE 01, FOE 05, FOE 03 and FOE 09), </w:t>
      </w:r>
      <w:r w:rsidR="002C250C">
        <w:t xml:space="preserve">the seven </w:t>
      </w:r>
      <w:r>
        <w:t xml:space="preserve">Cluster 1 universities report admission rates above the national average in </w:t>
      </w:r>
      <w:r w:rsidR="00E94CFD">
        <w:t>all</w:t>
      </w:r>
      <w:r w:rsidR="002C250C">
        <w:t xml:space="preserve"> of</w:t>
      </w:r>
      <w:r w:rsidR="00E94CFD">
        <w:t xml:space="preserve"> </w:t>
      </w:r>
      <w:r w:rsidR="00875452">
        <w:t>these fields (t</w:t>
      </w:r>
      <w:r>
        <w:t>able 5)</w:t>
      </w:r>
      <w:r w:rsidR="00E94CFD">
        <w:t>. Th</w:t>
      </w:r>
      <w:r w:rsidR="002C250C">
        <w:t>is contrasts with the</w:t>
      </w:r>
      <w:r w:rsidR="00E94CFD">
        <w:t xml:space="preserve"> uniformly low rate of admission </w:t>
      </w:r>
      <w:r w:rsidR="005567AB">
        <w:t xml:space="preserve">rates </w:t>
      </w:r>
      <w:r w:rsidR="00E94CFD">
        <w:t xml:space="preserve">of VET </w:t>
      </w:r>
      <w:r w:rsidR="00B87FBB">
        <w:t>award holders</w:t>
      </w:r>
      <w:r w:rsidR="00E94CFD">
        <w:t xml:space="preserve"> by</w:t>
      </w:r>
      <w:r w:rsidR="00AE55F2">
        <w:t xml:space="preserve"> Cluster 3 institutions </w:t>
      </w:r>
      <w:r w:rsidR="00875452">
        <w:t>in most fields (t</w:t>
      </w:r>
      <w:r w:rsidR="00E94CFD">
        <w:t>able 7)</w:t>
      </w:r>
      <w:r w:rsidR="002C250C">
        <w:t xml:space="preserve">. </w:t>
      </w:r>
      <w:r w:rsidR="009023FD">
        <w:t xml:space="preserve">The </w:t>
      </w:r>
      <w:r w:rsidR="00B90A8D">
        <w:t xml:space="preserve">influence of the three clusters on admission rates of VET </w:t>
      </w:r>
      <w:r w:rsidR="00B87FBB">
        <w:t>award holders</w:t>
      </w:r>
      <w:r w:rsidR="00B90A8D">
        <w:t xml:space="preserve"> in specific fields is </w:t>
      </w:r>
      <w:r w:rsidR="009023FD">
        <w:t xml:space="preserve">explored in more detail </w:t>
      </w:r>
      <w:r w:rsidR="00407BC2">
        <w:t>in the next section of this report</w:t>
      </w:r>
      <w:r w:rsidR="009023FD">
        <w:t xml:space="preserve">. </w:t>
      </w:r>
    </w:p>
    <w:p w:rsidR="002C250C" w:rsidRDefault="002C250C">
      <w:pPr>
        <w:spacing w:before="0" w:line="240" w:lineRule="auto"/>
      </w:pPr>
      <w:r>
        <w:br w:type="page"/>
      </w:r>
    </w:p>
    <w:p w:rsidR="000978C1" w:rsidRDefault="00B80BDF" w:rsidP="004103E0">
      <w:pPr>
        <w:pStyle w:val="Heading1"/>
      </w:pPr>
      <w:bookmarkStart w:id="49" w:name="_Toc367450620"/>
      <w:r>
        <w:lastRenderedPageBreak/>
        <w:t xml:space="preserve">VET to higher education pathways </w:t>
      </w:r>
      <w:r w:rsidR="001659DA">
        <w:t>within</w:t>
      </w:r>
      <w:r w:rsidR="000978C1">
        <w:t xml:space="preserve"> field</w:t>
      </w:r>
      <w:r w:rsidR="001659DA">
        <w:t>s</w:t>
      </w:r>
      <w:r w:rsidR="000978C1">
        <w:t xml:space="preserve"> of education</w:t>
      </w:r>
      <w:bookmarkEnd w:id="49"/>
    </w:p>
    <w:p w:rsidR="00B16943" w:rsidRDefault="00B16943" w:rsidP="002132C0">
      <w:pPr>
        <w:pStyle w:val="Quote"/>
      </w:pPr>
      <w:r w:rsidRPr="000E4C89">
        <w:t xml:space="preserve">IT and Business </w:t>
      </w:r>
      <w:r w:rsidRPr="002132C0">
        <w:t>are</w:t>
      </w:r>
      <w:r w:rsidRPr="000E4C89">
        <w:t xml:space="preserve"> more practical degrees and VET lends itself </w:t>
      </w:r>
      <w:r w:rsidR="00875452">
        <w:t>best to these types of courses.</w:t>
      </w:r>
      <w:r w:rsidR="002132C0">
        <w:br/>
      </w:r>
      <w:r w:rsidR="00875452">
        <w:tab/>
        <w:t>(Respondent, Cluster 1)</w:t>
      </w:r>
    </w:p>
    <w:p w:rsidR="009F6552" w:rsidRDefault="00000C08" w:rsidP="002132C0">
      <w:pPr>
        <w:pStyle w:val="Text"/>
      </w:pPr>
      <w:r>
        <w:t xml:space="preserve">The variation in rates of admission of VET </w:t>
      </w:r>
      <w:r w:rsidR="00B87FBB">
        <w:t>award holders</w:t>
      </w:r>
      <w:r>
        <w:t xml:space="preserve"> by </w:t>
      </w:r>
      <w:r w:rsidR="00D75CB2">
        <w:t xml:space="preserve">broad </w:t>
      </w:r>
      <w:r>
        <w:t xml:space="preserve">field of education </w:t>
      </w:r>
      <w:r w:rsidR="00D75CB2">
        <w:t xml:space="preserve">could </w:t>
      </w:r>
      <w:r w:rsidR="00B92370">
        <w:t xml:space="preserve">suggest that </w:t>
      </w:r>
      <w:r w:rsidR="00875452">
        <w:t>in some fields of study</w:t>
      </w:r>
      <w:r w:rsidR="003E6239">
        <w:t xml:space="preserve"> the traditional barriers to </w:t>
      </w:r>
      <w:r w:rsidR="00B80BDF">
        <w:t xml:space="preserve">VET to higher education pathways </w:t>
      </w:r>
      <w:r w:rsidR="003E6239">
        <w:t xml:space="preserve">have been </w:t>
      </w:r>
      <w:r w:rsidR="009F4FC6">
        <w:t xml:space="preserve">addressed more effectively than </w:t>
      </w:r>
      <w:r w:rsidR="00875452">
        <w:t xml:space="preserve">in </w:t>
      </w:r>
      <w:r w:rsidR="009F4FC6">
        <w:t>others</w:t>
      </w:r>
      <w:r w:rsidR="00791A51">
        <w:t xml:space="preserve">. </w:t>
      </w:r>
      <w:r w:rsidR="00D75CB2">
        <w:t>On the other hand</w:t>
      </w:r>
      <w:r w:rsidR="00791A51">
        <w:t>,</w:t>
      </w:r>
      <w:r w:rsidR="0026707E">
        <w:t xml:space="preserve"> </w:t>
      </w:r>
      <w:r w:rsidR="00D75CB2">
        <w:t xml:space="preserve">Australian universities fall into three distinct clusters with very different rates of admission of VET </w:t>
      </w:r>
      <w:r w:rsidR="00B87FBB">
        <w:t>award holders</w:t>
      </w:r>
      <w:r w:rsidR="004F70D8">
        <w:t>, which</w:t>
      </w:r>
      <w:r w:rsidR="00D75CB2">
        <w:t xml:space="preserve"> appear to override any </w:t>
      </w:r>
      <w:r w:rsidR="00B20FA8">
        <w:t>other factors in most fields</w:t>
      </w:r>
      <w:r w:rsidR="00D75CB2">
        <w:t>. This is particularly the case among universities in Cluster 1 and Cluster 3</w:t>
      </w:r>
      <w:r w:rsidR="00875452">
        <w:t>,</w:t>
      </w:r>
      <w:r w:rsidR="00D75CB2">
        <w:t xml:space="preserve"> which demonstrate rates of admission </w:t>
      </w:r>
      <w:r w:rsidR="00D75CB2" w:rsidRPr="002132C0">
        <w:t>of</w:t>
      </w:r>
      <w:r w:rsidR="00D75CB2">
        <w:t xml:space="preserve"> VET </w:t>
      </w:r>
      <w:r w:rsidR="00B87FBB">
        <w:t>award holders</w:t>
      </w:r>
      <w:r w:rsidR="00D75CB2">
        <w:t xml:space="preserve"> that are </w:t>
      </w:r>
      <w:r w:rsidR="00B20FA8">
        <w:t xml:space="preserve">either </w:t>
      </w:r>
      <w:r w:rsidR="00D75CB2">
        <w:t xml:space="preserve">consistently high or consistently low across all fields, respectively. </w:t>
      </w:r>
      <w:r w:rsidR="00CA72AE">
        <w:t xml:space="preserve">As </w:t>
      </w:r>
      <w:r w:rsidR="00B20FA8">
        <w:t xml:space="preserve">the clusters of </w:t>
      </w:r>
      <w:r w:rsidR="00D75CB2">
        <w:t>universities</w:t>
      </w:r>
      <w:r w:rsidR="00CA72AE">
        <w:t xml:space="preserve"> have differing shares of undergraduate student load in each field of education, it is possible that these differences in enrolment shares are influencing the national admission rates of VET award holders in each broad field of education.</w:t>
      </w:r>
      <w:r w:rsidR="009F6552">
        <w:t xml:space="preserve"> </w:t>
      </w:r>
      <w:r w:rsidR="00B20FA8">
        <w:t>In t</w:t>
      </w:r>
      <w:r w:rsidR="0015572F" w:rsidRPr="007A0D91">
        <w:t xml:space="preserve">his section </w:t>
      </w:r>
      <w:r w:rsidR="00B20FA8">
        <w:t xml:space="preserve">we </w:t>
      </w:r>
      <w:r w:rsidR="00FF13BA">
        <w:t xml:space="preserve">explore this issue by </w:t>
      </w:r>
      <w:r w:rsidR="0015572F" w:rsidRPr="007A0D91">
        <w:t>exa</w:t>
      </w:r>
      <w:r w:rsidR="00FF13BA">
        <w:t>mining</w:t>
      </w:r>
      <w:r w:rsidR="0015572F" w:rsidRPr="007A0D91">
        <w:t xml:space="preserve"> </w:t>
      </w:r>
      <w:r w:rsidR="00875452">
        <w:t xml:space="preserve">the </w:t>
      </w:r>
      <w:r w:rsidR="0015572F">
        <w:t>rates of admission of</w:t>
      </w:r>
      <w:r w:rsidR="0015572F" w:rsidRPr="007A0D91">
        <w:t xml:space="preserve"> VET </w:t>
      </w:r>
      <w:r w:rsidR="00B87FBB">
        <w:t>award holders</w:t>
      </w:r>
      <w:r w:rsidR="0015572F">
        <w:t xml:space="preserve"> </w:t>
      </w:r>
      <w:r w:rsidR="0015572F" w:rsidRPr="007A0D91">
        <w:t>by broad field of education</w:t>
      </w:r>
      <w:r w:rsidR="00875452">
        <w:t>,</w:t>
      </w:r>
      <w:r w:rsidR="0015572F">
        <w:t xml:space="preserve"> using the </w:t>
      </w:r>
      <w:r w:rsidR="00B20FA8">
        <w:t xml:space="preserve">three </w:t>
      </w:r>
      <w:r w:rsidR="0015572F">
        <w:t>institutional clusters</w:t>
      </w:r>
      <w:r w:rsidR="00FF13BA">
        <w:t xml:space="preserve"> as an organising tool</w:t>
      </w:r>
      <w:r w:rsidR="0015572F">
        <w:t>.</w:t>
      </w:r>
      <w:r w:rsidR="00837079">
        <w:t xml:space="preserve"> </w:t>
      </w:r>
    </w:p>
    <w:p w:rsidR="00726174" w:rsidRDefault="00726174" w:rsidP="002132C0">
      <w:pPr>
        <w:pStyle w:val="Heading2"/>
      </w:pPr>
      <w:bookmarkStart w:id="50" w:name="_Toc367450621"/>
      <w:r>
        <w:t xml:space="preserve">The influence of </w:t>
      </w:r>
      <w:r w:rsidR="00EA01A4">
        <w:t xml:space="preserve">clusters </w:t>
      </w:r>
      <w:r w:rsidR="00E34816">
        <w:t xml:space="preserve">on fields of </w:t>
      </w:r>
      <w:r w:rsidR="00E34816" w:rsidRPr="002132C0">
        <w:t>education</w:t>
      </w:r>
      <w:bookmarkEnd w:id="50"/>
    </w:p>
    <w:p w:rsidR="00ED19AF" w:rsidRDefault="00A27822" w:rsidP="002132C0">
      <w:pPr>
        <w:pStyle w:val="Text"/>
      </w:pPr>
      <w:r>
        <w:t>The</w:t>
      </w:r>
      <w:r w:rsidR="00307CBB">
        <w:t xml:space="preserve"> rates of </w:t>
      </w:r>
      <w:r w:rsidR="00ED19AF">
        <w:t xml:space="preserve">admission </w:t>
      </w:r>
      <w:r>
        <w:t xml:space="preserve">to higher education </w:t>
      </w:r>
      <w:r w:rsidR="00ED19AF">
        <w:t xml:space="preserve">on the basis of a VET award in 2010 for </w:t>
      </w:r>
      <w:r>
        <w:t xml:space="preserve">the three clusters of universities in each </w:t>
      </w:r>
      <w:r w:rsidR="00ED19AF">
        <w:t xml:space="preserve">of the </w:t>
      </w:r>
      <w:r>
        <w:t xml:space="preserve">ten broad </w:t>
      </w:r>
      <w:r w:rsidR="00ED19AF">
        <w:t xml:space="preserve">fields of education </w:t>
      </w:r>
      <w:r>
        <w:t xml:space="preserve">are illustrated in </w:t>
      </w:r>
      <w:r w:rsidR="00875452">
        <w:t>f</w:t>
      </w:r>
      <w:r w:rsidR="00ED19AF">
        <w:t xml:space="preserve">igure </w:t>
      </w:r>
      <w:r w:rsidR="00C36656">
        <w:t>2</w:t>
      </w:r>
      <w:r w:rsidR="00ED19AF" w:rsidRPr="00C27E99">
        <w:t xml:space="preserve">. </w:t>
      </w:r>
    </w:p>
    <w:p w:rsidR="00ED19AF" w:rsidRDefault="00ED19AF" w:rsidP="002132C0">
      <w:pPr>
        <w:pStyle w:val="Figuretitle"/>
      </w:pPr>
      <w:bookmarkStart w:id="51" w:name="_Toc367362966"/>
      <w:r>
        <w:t xml:space="preserve">Figure </w:t>
      </w:r>
      <w:r w:rsidR="00C36656">
        <w:t>2</w:t>
      </w:r>
      <w:r>
        <w:tab/>
        <w:t xml:space="preserve">Average admissions on the basis of a VET award for each institutional cluster by broad </w:t>
      </w:r>
      <w:r w:rsidR="00875452">
        <w:t>field of education</w:t>
      </w:r>
      <w:r>
        <w:t xml:space="preserve">, </w:t>
      </w:r>
      <w:r w:rsidRPr="002132C0">
        <w:t>Australia</w:t>
      </w:r>
      <w:r w:rsidR="00875452">
        <w:t>,</w:t>
      </w:r>
      <w:r>
        <w:t xml:space="preserve"> 2010</w:t>
      </w:r>
      <w:bookmarkEnd w:id="51"/>
      <w:r>
        <w:t xml:space="preserve"> </w:t>
      </w:r>
    </w:p>
    <w:p w:rsidR="000478D8" w:rsidRDefault="003929AE" w:rsidP="002132C0">
      <w:pPr>
        <w:pStyle w:val="Figuretitle"/>
      </w:pPr>
      <w:r w:rsidRPr="003929AE">
        <w:rPr>
          <w:noProof/>
          <w:lang w:eastAsia="en-AU"/>
        </w:rPr>
        <w:drawing>
          <wp:inline distT="0" distB="0" distL="0" distR="0">
            <wp:extent cx="4572000" cy="2743200"/>
            <wp:effectExtent l="19050" t="0" r="19050" b="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478D8" w:rsidRDefault="000478D8" w:rsidP="002132C0">
      <w:pPr>
        <w:pStyle w:val="Textmorebefore"/>
      </w:pPr>
    </w:p>
    <w:p w:rsidR="00870DB9" w:rsidRDefault="00875452" w:rsidP="002132C0">
      <w:pPr>
        <w:pStyle w:val="Textmorebefore"/>
      </w:pPr>
      <w:r>
        <w:lastRenderedPageBreak/>
        <w:t>As shown in f</w:t>
      </w:r>
      <w:r w:rsidR="00ED19AF">
        <w:t xml:space="preserve">igure </w:t>
      </w:r>
      <w:r w:rsidR="00C36656">
        <w:t>2</w:t>
      </w:r>
      <w:r w:rsidR="00D26C68">
        <w:t>, the</w:t>
      </w:r>
      <w:r w:rsidR="00ED19AF" w:rsidRPr="00C27E99">
        <w:t xml:space="preserve"> pattern of </w:t>
      </w:r>
      <w:r w:rsidR="00ED19AF">
        <w:t>admission rates</w:t>
      </w:r>
      <w:r w:rsidR="0009584D">
        <w:t xml:space="preserve"> of VET </w:t>
      </w:r>
      <w:r w:rsidR="00B87FBB">
        <w:t>award holders</w:t>
      </w:r>
      <w:r w:rsidR="0009584D">
        <w:t xml:space="preserve"> for </w:t>
      </w:r>
      <w:r w:rsidR="0061404C">
        <w:t>each</w:t>
      </w:r>
      <w:r w:rsidR="00ED19AF" w:rsidRPr="00C27E99">
        <w:t xml:space="preserve"> </w:t>
      </w:r>
      <w:r w:rsidR="00ED19AF">
        <w:t>field of education</w:t>
      </w:r>
      <w:r w:rsidR="00D26C68">
        <w:t xml:space="preserve"> is similar for Cluster</w:t>
      </w:r>
      <w:r w:rsidR="004F70D8">
        <w:t>s</w:t>
      </w:r>
      <w:r w:rsidR="00D26C68">
        <w:t xml:space="preserve"> 1 and 2</w:t>
      </w:r>
      <w:r w:rsidR="007325C4">
        <w:t xml:space="preserve"> universities</w:t>
      </w:r>
      <w:r w:rsidR="00D26C68">
        <w:t xml:space="preserve">. The </w:t>
      </w:r>
      <w:r w:rsidR="00ED19AF" w:rsidRPr="00C27E99">
        <w:t xml:space="preserve">main difference </w:t>
      </w:r>
      <w:r w:rsidR="00ED19AF">
        <w:t>is that the rate of admission</w:t>
      </w:r>
      <w:r w:rsidR="00ED19AF" w:rsidRPr="00C27E99">
        <w:t xml:space="preserve"> </w:t>
      </w:r>
      <w:r w:rsidR="00ED19AF">
        <w:t xml:space="preserve">on the basis of a VET award in each field is </w:t>
      </w:r>
      <w:r w:rsidR="00ED19AF" w:rsidRPr="00C27E99">
        <w:t xml:space="preserve">consistently higher </w:t>
      </w:r>
      <w:r w:rsidR="00D26C68">
        <w:t xml:space="preserve">in Cluster 1 </w:t>
      </w:r>
      <w:r w:rsidR="00ED19AF" w:rsidRPr="00C27E99">
        <w:t xml:space="preserve">than </w:t>
      </w:r>
      <w:r w:rsidR="004F70D8">
        <w:t xml:space="preserve">in </w:t>
      </w:r>
      <w:r w:rsidR="00ED19AF">
        <w:t>Cluster 2</w:t>
      </w:r>
      <w:r w:rsidR="00ED19AF" w:rsidRPr="00C27E99">
        <w:t>.</w:t>
      </w:r>
      <w:r w:rsidR="00ED19AF">
        <w:t xml:space="preserve"> For Cluster 3</w:t>
      </w:r>
      <w:r w:rsidR="007325C4">
        <w:t xml:space="preserve"> universities</w:t>
      </w:r>
      <w:r w:rsidR="00ED19AF">
        <w:t xml:space="preserve">, </w:t>
      </w:r>
      <w:r>
        <w:t xml:space="preserve">by </w:t>
      </w:r>
      <w:r w:rsidR="00B81212">
        <w:t xml:space="preserve">contrast, </w:t>
      </w:r>
      <w:r w:rsidR="00ED19AF">
        <w:t xml:space="preserve">not only are VET award admission rates lower than Clusters 1 and 2 on all </w:t>
      </w:r>
      <w:r>
        <w:t>fields of education</w:t>
      </w:r>
      <w:r w:rsidR="00ED19AF">
        <w:t xml:space="preserve"> but they are </w:t>
      </w:r>
      <w:r w:rsidR="00D26C68">
        <w:t xml:space="preserve">more </w:t>
      </w:r>
      <w:r w:rsidR="00ED19AF">
        <w:t>uniformly lo</w:t>
      </w:r>
      <w:r w:rsidR="00C848C8">
        <w:t>w</w:t>
      </w:r>
      <w:r w:rsidR="00900485">
        <w:t>,</w:t>
      </w:r>
      <w:r w:rsidR="00C848C8">
        <w:t xml:space="preserve"> with the exception of FOE07 (e</w:t>
      </w:r>
      <w:r w:rsidR="00ED19AF">
        <w:t>ducation)</w:t>
      </w:r>
      <w:r w:rsidR="00E34816">
        <w:t>. Moreover</w:t>
      </w:r>
      <w:r>
        <w:t>,</w:t>
      </w:r>
      <w:r w:rsidR="00E34816">
        <w:t xml:space="preserve"> the pattern of admission rates between fields for Cluster 3 universities is not the same as the patterns evident for Clusters 1 and 2. For example, Cluster 3 universities do not report the relatively high rates of admission of VET </w:t>
      </w:r>
      <w:r w:rsidR="00B87FBB">
        <w:t>award holders</w:t>
      </w:r>
      <w:r w:rsidR="00E34816">
        <w:t xml:space="preserve"> in </w:t>
      </w:r>
      <w:r>
        <w:t xml:space="preserve">information technology </w:t>
      </w:r>
      <w:r w:rsidR="00E34816">
        <w:t xml:space="preserve">(FOE 02) as the other two clusters. </w:t>
      </w:r>
    </w:p>
    <w:p w:rsidR="00E34816" w:rsidRPr="002132C0" w:rsidRDefault="00875452" w:rsidP="002132C0">
      <w:pPr>
        <w:pStyle w:val="Text"/>
      </w:pPr>
      <w:r>
        <w:t>The patterns in f</w:t>
      </w:r>
      <w:r w:rsidR="00C36656">
        <w:t>igure 2</w:t>
      </w:r>
      <w:r w:rsidR="00D25DEC">
        <w:t xml:space="preserve"> </w:t>
      </w:r>
      <w:r w:rsidR="00C72A3A">
        <w:t>appear to</w:t>
      </w:r>
      <w:r w:rsidR="00D25DEC">
        <w:t xml:space="preserve"> support the assumption</w:t>
      </w:r>
      <w:r w:rsidR="007508D4">
        <w:t xml:space="preserve"> that some fields of </w:t>
      </w:r>
      <w:r w:rsidR="00C72A3A">
        <w:t>education</w:t>
      </w:r>
      <w:r w:rsidR="007508D4">
        <w:t xml:space="preserve"> ‘lend themselves’ more</w:t>
      </w:r>
      <w:r w:rsidR="00D25DEC">
        <w:t xml:space="preserve"> to </w:t>
      </w:r>
      <w:r w:rsidR="00B80BDF">
        <w:t xml:space="preserve">VET to higher education pathways </w:t>
      </w:r>
      <w:r w:rsidR="00D25DEC">
        <w:t xml:space="preserve">than others, at least in </w:t>
      </w:r>
      <w:r w:rsidR="00C848C8">
        <w:t>relation to the</w:t>
      </w:r>
      <w:r w:rsidR="00D25DEC">
        <w:t xml:space="preserve"> universities in Clusters 1 and 2, where the pattern of admission rates is broadly similar. However</w:t>
      </w:r>
      <w:r w:rsidR="00C848C8">
        <w:t>,</w:t>
      </w:r>
      <w:r w:rsidR="00D25DEC">
        <w:t xml:space="preserve"> any characteristics of </w:t>
      </w:r>
      <w:r w:rsidR="004F70D8">
        <w:t xml:space="preserve">the </w:t>
      </w:r>
      <w:r w:rsidR="00D25DEC">
        <w:t xml:space="preserve">fields of education that ‘lend themselves’ to </w:t>
      </w:r>
      <w:r w:rsidR="00B80BDF">
        <w:t xml:space="preserve">VET to higher education pathways </w:t>
      </w:r>
      <w:r w:rsidR="00D25DEC">
        <w:t xml:space="preserve">appear to have little influence on the rates of admission of VET </w:t>
      </w:r>
      <w:r w:rsidR="00B87FBB">
        <w:t>award holders</w:t>
      </w:r>
      <w:r w:rsidR="00D25DEC">
        <w:t xml:space="preserve"> by </w:t>
      </w:r>
      <w:r w:rsidR="00900485">
        <w:t xml:space="preserve">the </w:t>
      </w:r>
      <w:r w:rsidR="00D25DEC">
        <w:t xml:space="preserve">institutions in Cluster 3, which </w:t>
      </w:r>
      <w:r w:rsidR="00E34816">
        <w:t xml:space="preserve">have </w:t>
      </w:r>
      <w:r w:rsidR="00D25DEC">
        <w:t xml:space="preserve">consistently low </w:t>
      </w:r>
      <w:r w:rsidR="00E34816">
        <w:t xml:space="preserve">admission </w:t>
      </w:r>
      <w:r w:rsidR="00E34816" w:rsidRPr="002132C0">
        <w:t xml:space="preserve">rates of VET </w:t>
      </w:r>
      <w:r w:rsidR="00B87FBB" w:rsidRPr="002132C0">
        <w:t>award holders</w:t>
      </w:r>
      <w:r w:rsidR="00E34816" w:rsidRPr="002132C0">
        <w:t xml:space="preserve"> </w:t>
      </w:r>
      <w:r w:rsidR="00D25DEC" w:rsidRPr="002132C0">
        <w:t xml:space="preserve">in </w:t>
      </w:r>
      <w:r w:rsidR="00E34816" w:rsidRPr="002132C0">
        <w:t>most</w:t>
      </w:r>
      <w:r w:rsidR="00D25DEC" w:rsidRPr="002132C0">
        <w:t xml:space="preserve"> fields</w:t>
      </w:r>
      <w:r w:rsidR="007325C4" w:rsidRPr="002132C0">
        <w:t xml:space="preserve">. </w:t>
      </w:r>
    </w:p>
    <w:p w:rsidR="007674FA" w:rsidRPr="002132C0" w:rsidRDefault="007325C4" w:rsidP="002132C0">
      <w:pPr>
        <w:pStyle w:val="Text"/>
      </w:pPr>
      <w:r w:rsidRPr="002132C0">
        <w:t xml:space="preserve">The low rates of admission of VET </w:t>
      </w:r>
      <w:r w:rsidR="00B87FBB" w:rsidRPr="002132C0">
        <w:t>award holders</w:t>
      </w:r>
      <w:r w:rsidRPr="002132C0">
        <w:t xml:space="preserve"> </w:t>
      </w:r>
      <w:r w:rsidR="007674FA" w:rsidRPr="002132C0">
        <w:t>in</w:t>
      </w:r>
      <w:r w:rsidRPr="002132C0">
        <w:t xml:space="preserve"> Cluster 3 includes fields such as </w:t>
      </w:r>
      <w:r w:rsidR="00C848C8" w:rsidRPr="002132C0">
        <w:t>information technology (FOE 02), h</w:t>
      </w:r>
      <w:r w:rsidRPr="002132C0">
        <w:t xml:space="preserve">ealth (FOE 06) and </w:t>
      </w:r>
      <w:r w:rsidR="00C848C8" w:rsidRPr="002132C0">
        <w:t xml:space="preserve">management and commerce </w:t>
      </w:r>
      <w:r w:rsidRPr="002132C0">
        <w:t>(FOE 08)</w:t>
      </w:r>
      <w:r w:rsidR="000C1499" w:rsidRPr="002132C0">
        <w:t>,</w:t>
      </w:r>
      <w:r w:rsidRPr="002132C0">
        <w:t xml:space="preserve"> which admit VET </w:t>
      </w:r>
      <w:r w:rsidR="00B87FBB" w:rsidRPr="002132C0">
        <w:t>award holders</w:t>
      </w:r>
      <w:r w:rsidRPr="002132C0">
        <w:t xml:space="preserve"> at rates </w:t>
      </w:r>
      <w:r w:rsidR="007674FA" w:rsidRPr="002132C0">
        <w:t xml:space="preserve">above </w:t>
      </w:r>
      <w:r w:rsidR="00C848C8" w:rsidRPr="002132C0">
        <w:t>the national average (t</w:t>
      </w:r>
      <w:r w:rsidRPr="002132C0">
        <w:t>able 2)</w:t>
      </w:r>
      <w:r w:rsidR="00D25DEC" w:rsidRPr="002132C0">
        <w:t>.</w:t>
      </w:r>
      <w:r w:rsidRPr="002132C0">
        <w:t xml:space="preserve"> Of these three fields, </w:t>
      </w:r>
      <w:r w:rsidR="00C848C8" w:rsidRPr="002132C0">
        <w:t>management and commerce</w:t>
      </w:r>
      <w:r w:rsidRPr="002132C0">
        <w:t xml:space="preserve"> </w:t>
      </w:r>
      <w:r w:rsidR="007674FA" w:rsidRPr="002132C0">
        <w:t>(FOE 08) has</w:t>
      </w:r>
      <w:r w:rsidRPr="002132C0">
        <w:t xml:space="preserve"> </w:t>
      </w:r>
      <w:r w:rsidR="007674FA" w:rsidRPr="002132C0">
        <w:t>very large undergraduate intake</w:t>
      </w:r>
      <w:r w:rsidR="00C848C8" w:rsidRPr="002132C0">
        <w:t>,</w:t>
      </w:r>
      <w:r w:rsidRPr="002132C0">
        <w:t xml:space="preserve"> representing </w:t>
      </w:r>
      <w:r w:rsidR="007674FA" w:rsidRPr="002132C0">
        <w:t>23</w:t>
      </w:r>
      <w:r w:rsidR="008134F7" w:rsidRPr="002132C0">
        <w:t xml:space="preserve">% </w:t>
      </w:r>
      <w:r w:rsidRPr="002132C0">
        <w:t>of all undergraduate commencing student load</w:t>
      </w:r>
      <w:r w:rsidR="007674FA" w:rsidRPr="002132C0">
        <w:t xml:space="preserve">. As all Australian universities offer undergraduate programs in </w:t>
      </w:r>
      <w:r w:rsidR="00C848C8" w:rsidRPr="002132C0">
        <w:t>management and commerce</w:t>
      </w:r>
      <w:r w:rsidR="007674FA" w:rsidRPr="002132C0">
        <w:t xml:space="preserve">, it is useful to examine the patterns of admission of VET </w:t>
      </w:r>
      <w:r w:rsidR="00B87FBB" w:rsidRPr="002132C0">
        <w:t>award holders</w:t>
      </w:r>
      <w:r w:rsidR="007674FA" w:rsidRPr="002132C0">
        <w:t xml:space="preserve"> by institutional cluster within </w:t>
      </w:r>
      <w:r w:rsidR="00774D73" w:rsidRPr="002132C0">
        <w:t>this field</w:t>
      </w:r>
      <w:r w:rsidR="00E675BA" w:rsidRPr="002132C0">
        <w:t>, taking into account universities’ enrolment share</w:t>
      </w:r>
      <w:r w:rsidR="007674FA" w:rsidRPr="002132C0">
        <w:t xml:space="preserve">. </w:t>
      </w:r>
    </w:p>
    <w:p w:rsidR="00683015" w:rsidRDefault="00C848C8" w:rsidP="002132C0">
      <w:pPr>
        <w:pStyle w:val="Text"/>
      </w:pPr>
      <w:r w:rsidRPr="002132C0">
        <w:t>In t</w:t>
      </w:r>
      <w:r w:rsidR="007674FA" w:rsidRPr="002132C0">
        <w:t>able 8,</w:t>
      </w:r>
      <w:r w:rsidR="00D25DEC" w:rsidRPr="002132C0">
        <w:t xml:space="preserve"> </w:t>
      </w:r>
      <w:r w:rsidR="007674FA" w:rsidRPr="002132C0">
        <w:t xml:space="preserve">we </w:t>
      </w:r>
      <w:r w:rsidR="00284968" w:rsidRPr="002132C0">
        <w:t>present the top ten providers in the</w:t>
      </w:r>
      <w:r w:rsidR="00284968">
        <w:t xml:space="preserve"> field of </w:t>
      </w:r>
      <w:r>
        <w:t xml:space="preserve">management and commerce </w:t>
      </w:r>
      <w:r w:rsidR="00284968">
        <w:t>(FOE 08)</w:t>
      </w:r>
      <w:r>
        <w:t>,</w:t>
      </w:r>
      <w:r w:rsidR="00284968">
        <w:t xml:space="preserve"> which together account for over 51</w:t>
      </w:r>
      <w:r w:rsidR="008134F7">
        <w:t xml:space="preserve">% </w:t>
      </w:r>
      <w:r w:rsidR="00284968">
        <w:t>of all enrolments, and the rate at which each university admits students to this field on the basis of a VET award.</w:t>
      </w:r>
      <w:r w:rsidR="00837079">
        <w:t xml:space="preserve"> </w:t>
      </w:r>
    </w:p>
    <w:p w:rsidR="00870DB9" w:rsidRDefault="00870DB9" w:rsidP="00870DB9">
      <w:pPr>
        <w:pStyle w:val="tabletitle"/>
      </w:pPr>
      <w:bookmarkStart w:id="52" w:name="_Toc364688858"/>
      <w:r>
        <w:t xml:space="preserve">Table </w:t>
      </w:r>
      <w:r w:rsidR="00683015">
        <w:t>8</w:t>
      </w:r>
      <w:r>
        <w:tab/>
        <w:t xml:space="preserve">VET </w:t>
      </w:r>
      <w:r w:rsidR="00B87FBB">
        <w:t>award holders</w:t>
      </w:r>
      <w:r>
        <w:t xml:space="preserve"> and all undergraduate commencements, by top ten providers of undergraduate programs in</w:t>
      </w:r>
      <w:r w:rsidRPr="00CE2F6B">
        <w:t xml:space="preserve"> </w:t>
      </w:r>
      <w:r w:rsidR="00C848C8">
        <w:t xml:space="preserve">management and commerce </w:t>
      </w:r>
      <w:r w:rsidRPr="00CE2F6B">
        <w:t xml:space="preserve">(FOE </w:t>
      </w:r>
      <w:r>
        <w:t>08), Australia</w:t>
      </w:r>
      <w:r w:rsidR="00C848C8">
        <w:t>,</w:t>
      </w:r>
      <w:r>
        <w:t xml:space="preserve"> 2010</w:t>
      </w:r>
      <w:bookmarkEnd w:id="52"/>
    </w:p>
    <w:tbl>
      <w:tblPr>
        <w:tblW w:w="8789" w:type="dxa"/>
        <w:tblInd w:w="108" w:type="dxa"/>
        <w:tblLayout w:type="fixed"/>
        <w:tblLook w:val="04A0" w:firstRow="1" w:lastRow="0" w:firstColumn="1" w:lastColumn="0" w:noHBand="0" w:noVBand="1"/>
      </w:tblPr>
      <w:tblGrid>
        <w:gridCol w:w="3686"/>
        <w:gridCol w:w="1275"/>
        <w:gridCol w:w="1276"/>
        <w:gridCol w:w="1276"/>
        <w:gridCol w:w="1276"/>
      </w:tblGrid>
      <w:tr w:rsidR="00870DB9" w:rsidRPr="002132C0" w:rsidTr="002132C0">
        <w:tc>
          <w:tcPr>
            <w:tcW w:w="3686" w:type="dxa"/>
            <w:tcBorders>
              <w:top w:val="single" w:sz="4" w:space="0" w:color="auto"/>
              <w:left w:val="nil"/>
              <w:bottom w:val="nil"/>
              <w:right w:val="nil"/>
            </w:tcBorders>
            <w:shd w:val="clear" w:color="auto" w:fill="auto"/>
            <w:noWrap/>
            <w:hideMark/>
          </w:tcPr>
          <w:p w:rsidR="00870DB9" w:rsidRPr="002132C0" w:rsidRDefault="004270FD" w:rsidP="002132C0">
            <w:pPr>
              <w:pStyle w:val="Tablehead1"/>
            </w:pPr>
            <w:r>
              <w:t>Institution (c</w:t>
            </w:r>
            <w:r w:rsidR="008B4FB6" w:rsidRPr="002132C0">
              <w:t>luster)</w:t>
            </w:r>
          </w:p>
        </w:tc>
        <w:tc>
          <w:tcPr>
            <w:tcW w:w="2551" w:type="dxa"/>
            <w:gridSpan w:val="2"/>
            <w:tcBorders>
              <w:top w:val="single" w:sz="4" w:space="0" w:color="auto"/>
              <w:left w:val="nil"/>
              <w:bottom w:val="nil"/>
              <w:right w:val="nil"/>
            </w:tcBorders>
            <w:shd w:val="clear" w:color="auto" w:fill="auto"/>
            <w:noWrap/>
            <w:hideMark/>
          </w:tcPr>
          <w:p w:rsidR="00870DB9" w:rsidRPr="002132C0" w:rsidRDefault="00286FC9" w:rsidP="002132C0">
            <w:pPr>
              <w:pStyle w:val="Tablehead1"/>
              <w:jc w:val="center"/>
            </w:pPr>
            <w:r w:rsidRPr="002132C0">
              <w:t>All undergraduate commencements</w:t>
            </w:r>
          </w:p>
        </w:tc>
        <w:tc>
          <w:tcPr>
            <w:tcW w:w="2552" w:type="dxa"/>
            <w:gridSpan w:val="2"/>
            <w:tcBorders>
              <w:top w:val="single" w:sz="4" w:space="0" w:color="auto"/>
              <w:left w:val="nil"/>
              <w:bottom w:val="nil"/>
              <w:right w:val="nil"/>
            </w:tcBorders>
          </w:tcPr>
          <w:p w:rsidR="00870DB9" w:rsidRPr="002132C0" w:rsidRDefault="00286FC9" w:rsidP="002132C0">
            <w:pPr>
              <w:pStyle w:val="Tablehead1"/>
              <w:jc w:val="center"/>
            </w:pPr>
            <w:r w:rsidRPr="002132C0">
              <w:t xml:space="preserve">VET </w:t>
            </w:r>
            <w:r w:rsidR="00B87FBB" w:rsidRPr="002132C0">
              <w:t>award holders</w:t>
            </w:r>
          </w:p>
        </w:tc>
      </w:tr>
      <w:tr w:rsidR="00870DB9" w:rsidRPr="002132C0" w:rsidTr="002132C0">
        <w:tc>
          <w:tcPr>
            <w:tcW w:w="3686" w:type="dxa"/>
            <w:tcBorders>
              <w:top w:val="nil"/>
              <w:left w:val="nil"/>
              <w:bottom w:val="single" w:sz="4" w:space="0" w:color="auto"/>
              <w:right w:val="nil"/>
            </w:tcBorders>
            <w:shd w:val="clear" w:color="auto" w:fill="auto"/>
            <w:noWrap/>
            <w:hideMark/>
          </w:tcPr>
          <w:p w:rsidR="00870DB9" w:rsidRPr="002132C0" w:rsidRDefault="00870DB9" w:rsidP="002132C0">
            <w:pPr>
              <w:pStyle w:val="Tablehead2"/>
            </w:pPr>
          </w:p>
        </w:tc>
        <w:tc>
          <w:tcPr>
            <w:tcW w:w="1275" w:type="dxa"/>
            <w:tcBorders>
              <w:top w:val="nil"/>
              <w:left w:val="nil"/>
              <w:bottom w:val="single" w:sz="4" w:space="0" w:color="auto"/>
              <w:right w:val="nil"/>
            </w:tcBorders>
            <w:shd w:val="clear" w:color="auto" w:fill="auto"/>
            <w:noWrap/>
            <w:hideMark/>
          </w:tcPr>
          <w:p w:rsidR="00870DB9" w:rsidRPr="002132C0" w:rsidRDefault="00286FC9" w:rsidP="002132C0">
            <w:pPr>
              <w:pStyle w:val="Tablehead2"/>
              <w:jc w:val="center"/>
            </w:pPr>
            <w:r w:rsidRPr="002132C0">
              <w:t>Students</w:t>
            </w:r>
          </w:p>
        </w:tc>
        <w:tc>
          <w:tcPr>
            <w:tcW w:w="1276" w:type="dxa"/>
            <w:tcBorders>
              <w:top w:val="nil"/>
              <w:left w:val="nil"/>
              <w:bottom w:val="single" w:sz="4" w:space="0" w:color="auto"/>
              <w:right w:val="nil"/>
            </w:tcBorders>
            <w:shd w:val="clear" w:color="auto" w:fill="auto"/>
            <w:noWrap/>
            <w:hideMark/>
          </w:tcPr>
          <w:p w:rsidR="00870DB9" w:rsidRPr="002132C0" w:rsidRDefault="00286FC9" w:rsidP="002132C0">
            <w:pPr>
              <w:pStyle w:val="Tablehead2"/>
              <w:jc w:val="center"/>
            </w:pPr>
            <w:r w:rsidRPr="002132C0">
              <w:t>% total</w:t>
            </w:r>
          </w:p>
        </w:tc>
        <w:tc>
          <w:tcPr>
            <w:tcW w:w="1276" w:type="dxa"/>
            <w:tcBorders>
              <w:top w:val="nil"/>
              <w:left w:val="nil"/>
              <w:bottom w:val="single" w:sz="4" w:space="0" w:color="auto"/>
              <w:right w:val="nil"/>
            </w:tcBorders>
          </w:tcPr>
          <w:p w:rsidR="00870DB9" w:rsidRPr="002132C0" w:rsidRDefault="00286FC9" w:rsidP="002132C0">
            <w:pPr>
              <w:pStyle w:val="Tablehead2"/>
              <w:jc w:val="center"/>
            </w:pPr>
            <w:r w:rsidRPr="002132C0">
              <w:t>Students</w:t>
            </w:r>
          </w:p>
        </w:tc>
        <w:tc>
          <w:tcPr>
            <w:tcW w:w="1276" w:type="dxa"/>
            <w:tcBorders>
              <w:top w:val="nil"/>
              <w:left w:val="nil"/>
              <w:bottom w:val="single" w:sz="4" w:space="0" w:color="auto"/>
              <w:right w:val="nil"/>
            </w:tcBorders>
          </w:tcPr>
          <w:p w:rsidR="00870DB9" w:rsidRPr="002132C0" w:rsidRDefault="00286FC9" w:rsidP="002132C0">
            <w:pPr>
              <w:pStyle w:val="Tablehead2"/>
              <w:jc w:val="center"/>
            </w:pPr>
            <w:r w:rsidRPr="002132C0">
              <w:t>% all U/G</w:t>
            </w:r>
          </w:p>
        </w:tc>
      </w:tr>
      <w:tr w:rsidR="00870DB9" w:rsidRPr="00BC10D7" w:rsidTr="002132C0">
        <w:tc>
          <w:tcPr>
            <w:tcW w:w="3686" w:type="dxa"/>
            <w:tcBorders>
              <w:top w:val="single" w:sz="4" w:space="0" w:color="auto"/>
              <w:left w:val="nil"/>
              <w:bottom w:val="nil"/>
              <w:right w:val="nil"/>
            </w:tcBorders>
            <w:shd w:val="clear" w:color="auto" w:fill="auto"/>
            <w:noWrap/>
            <w:hideMark/>
          </w:tcPr>
          <w:p w:rsidR="00870DB9" w:rsidRPr="00937A24" w:rsidRDefault="00286FC9" w:rsidP="002132C0">
            <w:pPr>
              <w:pStyle w:val="Tabletext"/>
            </w:pPr>
            <w:r w:rsidRPr="00286FC9">
              <w:t>RMIT University (1)</w:t>
            </w:r>
          </w:p>
        </w:tc>
        <w:tc>
          <w:tcPr>
            <w:tcW w:w="1275" w:type="dxa"/>
            <w:tcBorders>
              <w:top w:val="single" w:sz="4" w:space="0" w:color="auto"/>
              <w:left w:val="nil"/>
              <w:bottom w:val="nil"/>
              <w:right w:val="nil"/>
            </w:tcBorders>
            <w:shd w:val="clear" w:color="auto" w:fill="auto"/>
            <w:noWrap/>
            <w:hideMark/>
          </w:tcPr>
          <w:p w:rsidR="00D0565C" w:rsidRDefault="00286FC9" w:rsidP="002132C0">
            <w:pPr>
              <w:pStyle w:val="Tabletext"/>
              <w:ind w:right="340"/>
              <w:jc w:val="right"/>
              <w:rPr>
                <w:color w:val="000000"/>
              </w:rPr>
            </w:pPr>
            <w:r w:rsidRPr="00286FC9">
              <w:rPr>
                <w:color w:val="000000"/>
              </w:rPr>
              <w:t>6</w:t>
            </w:r>
            <w:r w:rsidR="002132C0">
              <w:rPr>
                <w:color w:val="000000"/>
              </w:rPr>
              <w:t xml:space="preserve"> </w:t>
            </w:r>
            <w:r w:rsidRPr="00286FC9">
              <w:rPr>
                <w:color w:val="000000"/>
              </w:rPr>
              <w:t>674</w:t>
            </w:r>
          </w:p>
        </w:tc>
        <w:tc>
          <w:tcPr>
            <w:tcW w:w="1276" w:type="dxa"/>
            <w:tcBorders>
              <w:top w:val="single" w:sz="4" w:space="0" w:color="auto"/>
              <w:left w:val="nil"/>
              <w:bottom w:val="nil"/>
              <w:right w:val="nil"/>
            </w:tcBorders>
            <w:shd w:val="clear" w:color="auto" w:fill="auto"/>
            <w:noWrap/>
            <w:hideMark/>
          </w:tcPr>
          <w:p w:rsidR="00870DB9" w:rsidRPr="00937A24" w:rsidRDefault="00286FC9" w:rsidP="002132C0">
            <w:pPr>
              <w:pStyle w:val="Tabletext"/>
              <w:tabs>
                <w:tab w:val="decimal" w:pos="567"/>
              </w:tabs>
              <w:rPr>
                <w:color w:val="000000"/>
              </w:rPr>
            </w:pPr>
            <w:r w:rsidRPr="00286FC9">
              <w:rPr>
                <w:color w:val="000000"/>
              </w:rPr>
              <w:t>9</w:t>
            </w:r>
          </w:p>
        </w:tc>
        <w:tc>
          <w:tcPr>
            <w:tcW w:w="1276" w:type="dxa"/>
            <w:tcBorders>
              <w:top w:val="single" w:sz="4" w:space="0" w:color="auto"/>
              <w:left w:val="nil"/>
              <w:bottom w:val="nil"/>
              <w:right w:val="nil"/>
            </w:tcBorders>
          </w:tcPr>
          <w:p w:rsidR="00D0565C" w:rsidRDefault="00286FC9" w:rsidP="002132C0">
            <w:pPr>
              <w:pStyle w:val="Tabletext"/>
              <w:ind w:right="340"/>
              <w:jc w:val="right"/>
              <w:rPr>
                <w:color w:val="000000"/>
              </w:rPr>
            </w:pPr>
            <w:r w:rsidRPr="00286FC9">
              <w:rPr>
                <w:color w:val="000000"/>
              </w:rPr>
              <w:t>1</w:t>
            </w:r>
            <w:r w:rsidR="002132C0">
              <w:rPr>
                <w:color w:val="000000"/>
              </w:rPr>
              <w:t xml:space="preserve"> </w:t>
            </w:r>
            <w:r w:rsidRPr="00286FC9">
              <w:rPr>
                <w:color w:val="000000"/>
              </w:rPr>
              <w:t xml:space="preserve">595 </w:t>
            </w:r>
          </w:p>
        </w:tc>
        <w:tc>
          <w:tcPr>
            <w:tcW w:w="1276" w:type="dxa"/>
            <w:tcBorders>
              <w:top w:val="single" w:sz="4" w:space="0" w:color="auto"/>
              <w:left w:val="nil"/>
              <w:bottom w:val="nil"/>
              <w:right w:val="nil"/>
            </w:tcBorders>
          </w:tcPr>
          <w:p w:rsidR="00870DB9" w:rsidRPr="00937A24" w:rsidRDefault="00286FC9" w:rsidP="002132C0">
            <w:pPr>
              <w:pStyle w:val="Tabletext"/>
              <w:tabs>
                <w:tab w:val="decimal" w:pos="567"/>
              </w:tabs>
              <w:rPr>
                <w:color w:val="000000"/>
              </w:rPr>
            </w:pPr>
            <w:r w:rsidRPr="00286FC9">
              <w:rPr>
                <w:color w:val="000000"/>
              </w:rPr>
              <w:t>24</w:t>
            </w:r>
          </w:p>
        </w:tc>
      </w:tr>
      <w:tr w:rsidR="00870DB9" w:rsidRPr="00BC10D7" w:rsidTr="002132C0">
        <w:tc>
          <w:tcPr>
            <w:tcW w:w="3686" w:type="dxa"/>
            <w:tcBorders>
              <w:top w:val="nil"/>
              <w:left w:val="nil"/>
              <w:bottom w:val="nil"/>
              <w:right w:val="nil"/>
            </w:tcBorders>
            <w:shd w:val="clear" w:color="auto" w:fill="auto"/>
            <w:noWrap/>
            <w:hideMark/>
          </w:tcPr>
          <w:p w:rsidR="00870DB9" w:rsidRPr="00937A24" w:rsidRDefault="00286FC9" w:rsidP="002132C0">
            <w:pPr>
              <w:pStyle w:val="Tabletext"/>
            </w:pPr>
            <w:r w:rsidRPr="00286FC9">
              <w:t>Monash University (3)</w:t>
            </w:r>
          </w:p>
        </w:tc>
        <w:tc>
          <w:tcPr>
            <w:tcW w:w="1275" w:type="dxa"/>
            <w:tcBorders>
              <w:top w:val="nil"/>
              <w:left w:val="nil"/>
              <w:bottom w:val="nil"/>
              <w:right w:val="nil"/>
            </w:tcBorders>
            <w:shd w:val="clear" w:color="auto" w:fill="auto"/>
            <w:noWrap/>
            <w:hideMark/>
          </w:tcPr>
          <w:p w:rsidR="00D0565C" w:rsidRDefault="00286FC9" w:rsidP="002132C0">
            <w:pPr>
              <w:pStyle w:val="Tabletext"/>
              <w:ind w:right="340"/>
              <w:jc w:val="right"/>
              <w:rPr>
                <w:color w:val="000000"/>
              </w:rPr>
            </w:pPr>
            <w:r w:rsidRPr="00286FC9">
              <w:rPr>
                <w:color w:val="000000"/>
              </w:rPr>
              <w:t>4</w:t>
            </w:r>
            <w:r w:rsidR="002132C0">
              <w:rPr>
                <w:color w:val="000000"/>
              </w:rPr>
              <w:t xml:space="preserve"> </w:t>
            </w:r>
            <w:r w:rsidRPr="00286FC9">
              <w:rPr>
                <w:color w:val="000000"/>
              </w:rPr>
              <w:t>576</w:t>
            </w:r>
          </w:p>
        </w:tc>
        <w:tc>
          <w:tcPr>
            <w:tcW w:w="1276" w:type="dxa"/>
            <w:tcBorders>
              <w:top w:val="nil"/>
              <w:left w:val="nil"/>
              <w:bottom w:val="nil"/>
              <w:right w:val="nil"/>
            </w:tcBorders>
            <w:shd w:val="clear" w:color="auto" w:fill="auto"/>
            <w:noWrap/>
            <w:hideMark/>
          </w:tcPr>
          <w:p w:rsidR="00870DB9" w:rsidRPr="00937A24" w:rsidRDefault="00286FC9" w:rsidP="002132C0">
            <w:pPr>
              <w:pStyle w:val="Tabletext"/>
              <w:tabs>
                <w:tab w:val="decimal" w:pos="567"/>
              </w:tabs>
              <w:rPr>
                <w:color w:val="000000"/>
              </w:rPr>
            </w:pPr>
            <w:r w:rsidRPr="00286FC9">
              <w:rPr>
                <w:color w:val="000000"/>
              </w:rPr>
              <w:t>6</w:t>
            </w:r>
          </w:p>
        </w:tc>
        <w:tc>
          <w:tcPr>
            <w:tcW w:w="1276" w:type="dxa"/>
            <w:tcBorders>
              <w:top w:val="nil"/>
              <w:left w:val="nil"/>
              <w:bottom w:val="nil"/>
              <w:right w:val="nil"/>
            </w:tcBorders>
          </w:tcPr>
          <w:p w:rsidR="00D0565C" w:rsidRDefault="00286FC9" w:rsidP="002132C0">
            <w:pPr>
              <w:pStyle w:val="Tabletext"/>
              <w:ind w:right="340"/>
              <w:jc w:val="right"/>
              <w:rPr>
                <w:color w:val="000000"/>
              </w:rPr>
            </w:pPr>
            <w:r w:rsidRPr="00286FC9">
              <w:rPr>
                <w:color w:val="000000"/>
              </w:rPr>
              <w:t xml:space="preserve">90 </w:t>
            </w:r>
          </w:p>
        </w:tc>
        <w:tc>
          <w:tcPr>
            <w:tcW w:w="1276" w:type="dxa"/>
            <w:tcBorders>
              <w:top w:val="nil"/>
              <w:left w:val="nil"/>
              <w:bottom w:val="nil"/>
              <w:right w:val="nil"/>
            </w:tcBorders>
          </w:tcPr>
          <w:p w:rsidR="00870DB9" w:rsidRPr="00937A24" w:rsidRDefault="00286FC9" w:rsidP="002132C0">
            <w:pPr>
              <w:pStyle w:val="Tabletext"/>
              <w:tabs>
                <w:tab w:val="decimal" w:pos="567"/>
              </w:tabs>
              <w:rPr>
                <w:color w:val="000000"/>
              </w:rPr>
            </w:pPr>
            <w:r w:rsidRPr="00286FC9">
              <w:rPr>
                <w:color w:val="000000"/>
              </w:rPr>
              <w:t>2</w:t>
            </w:r>
          </w:p>
        </w:tc>
      </w:tr>
      <w:tr w:rsidR="00870DB9" w:rsidRPr="00BC10D7" w:rsidTr="002132C0">
        <w:tc>
          <w:tcPr>
            <w:tcW w:w="3686" w:type="dxa"/>
            <w:tcBorders>
              <w:top w:val="nil"/>
              <w:left w:val="nil"/>
              <w:bottom w:val="nil"/>
              <w:right w:val="nil"/>
            </w:tcBorders>
            <w:shd w:val="clear" w:color="auto" w:fill="auto"/>
            <w:noWrap/>
            <w:hideMark/>
          </w:tcPr>
          <w:p w:rsidR="00870DB9" w:rsidRPr="00937A24" w:rsidRDefault="00286FC9" w:rsidP="002132C0">
            <w:pPr>
              <w:pStyle w:val="Tabletext"/>
            </w:pPr>
            <w:r w:rsidRPr="00286FC9">
              <w:t>Curtin University</w:t>
            </w:r>
            <w:r w:rsidR="00837079">
              <w:t xml:space="preserve"> </w:t>
            </w:r>
            <w:r w:rsidRPr="00286FC9">
              <w:t>(3)</w:t>
            </w:r>
          </w:p>
        </w:tc>
        <w:tc>
          <w:tcPr>
            <w:tcW w:w="1275" w:type="dxa"/>
            <w:tcBorders>
              <w:top w:val="nil"/>
              <w:left w:val="nil"/>
              <w:bottom w:val="nil"/>
              <w:right w:val="nil"/>
            </w:tcBorders>
            <w:shd w:val="clear" w:color="auto" w:fill="auto"/>
            <w:noWrap/>
            <w:hideMark/>
          </w:tcPr>
          <w:p w:rsidR="00D0565C" w:rsidRDefault="00286FC9" w:rsidP="002132C0">
            <w:pPr>
              <w:pStyle w:val="Tabletext"/>
              <w:ind w:right="340"/>
              <w:jc w:val="right"/>
              <w:rPr>
                <w:color w:val="000000"/>
              </w:rPr>
            </w:pPr>
            <w:r w:rsidRPr="00286FC9">
              <w:rPr>
                <w:color w:val="000000"/>
              </w:rPr>
              <w:t>4</w:t>
            </w:r>
            <w:r w:rsidR="002132C0">
              <w:rPr>
                <w:color w:val="000000"/>
              </w:rPr>
              <w:t xml:space="preserve"> </w:t>
            </w:r>
            <w:r w:rsidRPr="00286FC9">
              <w:rPr>
                <w:color w:val="000000"/>
              </w:rPr>
              <w:t>325</w:t>
            </w:r>
          </w:p>
        </w:tc>
        <w:tc>
          <w:tcPr>
            <w:tcW w:w="1276" w:type="dxa"/>
            <w:tcBorders>
              <w:top w:val="nil"/>
              <w:left w:val="nil"/>
              <w:bottom w:val="nil"/>
              <w:right w:val="nil"/>
            </w:tcBorders>
            <w:shd w:val="clear" w:color="auto" w:fill="auto"/>
            <w:noWrap/>
            <w:hideMark/>
          </w:tcPr>
          <w:p w:rsidR="00870DB9" w:rsidRPr="00937A24" w:rsidRDefault="00286FC9" w:rsidP="002132C0">
            <w:pPr>
              <w:pStyle w:val="Tabletext"/>
              <w:tabs>
                <w:tab w:val="decimal" w:pos="567"/>
              </w:tabs>
              <w:rPr>
                <w:color w:val="000000"/>
              </w:rPr>
            </w:pPr>
            <w:r w:rsidRPr="00286FC9">
              <w:rPr>
                <w:color w:val="000000"/>
              </w:rPr>
              <w:t>6</w:t>
            </w:r>
          </w:p>
        </w:tc>
        <w:tc>
          <w:tcPr>
            <w:tcW w:w="1276" w:type="dxa"/>
            <w:tcBorders>
              <w:top w:val="nil"/>
              <w:left w:val="nil"/>
              <w:bottom w:val="nil"/>
              <w:right w:val="nil"/>
            </w:tcBorders>
          </w:tcPr>
          <w:p w:rsidR="00D0565C" w:rsidRDefault="00286FC9" w:rsidP="002132C0">
            <w:pPr>
              <w:pStyle w:val="Tabletext"/>
              <w:ind w:right="340"/>
              <w:jc w:val="right"/>
              <w:rPr>
                <w:color w:val="000000"/>
              </w:rPr>
            </w:pPr>
            <w:r w:rsidRPr="00286FC9">
              <w:rPr>
                <w:color w:val="000000"/>
              </w:rPr>
              <w:t xml:space="preserve">88 </w:t>
            </w:r>
          </w:p>
        </w:tc>
        <w:tc>
          <w:tcPr>
            <w:tcW w:w="1276" w:type="dxa"/>
            <w:tcBorders>
              <w:top w:val="nil"/>
              <w:left w:val="nil"/>
              <w:bottom w:val="nil"/>
              <w:right w:val="nil"/>
            </w:tcBorders>
          </w:tcPr>
          <w:p w:rsidR="00870DB9" w:rsidRPr="00937A24" w:rsidRDefault="00286FC9" w:rsidP="002132C0">
            <w:pPr>
              <w:pStyle w:val="Tabletext"/>
              <w:tabs>
                <w:tab w:val="decimal" w:pos="567"/>
              </w:tabs>
              <w:rPr>
                <w:color w:val="000000"/>
              </w:rPr>
            </w:pPr>
            <w:r w:rsidRPr="00286FC9">
              <w:rPr>
                <w:color w:val="000000"/>
              </w:rPr>
              <w:t>2</w:t>
            </w:r>
          </w:p>
        </w:tc>
      </w:tr>
      <w:tr w:rsidR="00870DB9" w:rsidRPr="00BC10D7" w:rsidTr="002132C0">
        <w:tc>
          <w:tcPr>
            <w:tcW w:w="3686" w:type="dxa"/>
            <w:tcBorders>
              <w:top w:val="nil"/>
              <w:left w:val="nil"/>
              <w:bottom w:val="nil"/>
              <w:right w:val="nil"/>
            </w:tcBorders>
            <w:shd w:val="clear" w:color="auto" w:fill="auto"/>
            <w:noWrap/>
            <w:hideMark/>
          </w:tcPr>
          <w:p w:rsidR="00870DB9" w:rsidRPr="00937A24" w:rsidRDefault="00286FC9" w:rsidP="002132C0">
            <w:pPr>
              <w:pStyle w:val="Tabletext"/>
            </w:pPr>
            <w:r w:rsidRPr="00286FC9">
              <w:t>Griffith University (2)</w:t>
            </w:r>
          </w:p>
        </w:tc>
        <w:tc>
          <w:tcPr>
            <w:tcW w:w="1275" w:type="dxa"/>
            <w:tcBorders>
              <w:top w:val="nil"/>
              <w:left w:val="nil"/>
              <w:bottom w:val="nil"/>
              <w:right w:val="nil"/>
            </w:tcBorders>
            <w:shd w:val="clear" w:color="auto" w:fill="auto"/>
            <w:noWrap/>
            <w:hideMark/>
          </w:tcPr>
          <w:p w:rsidR="00D0565C" w:rsidRDefault="00286FC9" w:rsidP="002132C0">
            <w:pPr>
              <w:pStyle w:val="Tabletext"/>
              <w:ind w:right="340"/>
              <w:jc w:val="right"/>
              <w:rPr>
                <w:color w:val="000000"/>
              </w:rPr>
            </w:pPr>
            <w:r w:rsidRPr="00286FC9">
              <w:rPr>
                <w:color w:val="000000"/>
              </w:rPr>
              <w:t>3</w:t>
            </w:r>
            <w:r w:rsidR="002132C0">
              <w:rPr>
                <w:color w:val="000000"/>
              </w:rPr>
              <w:t xml:space="preserve"> </w:t>
            </w:r>
            <w:r w:rsidRPr="00286FC9">
              <w:rPr>
                <w:color w:val="000000"/>
              </w:rPr>
              <w:t>998</w:t>
            </w:r>
          </w:p>
        </w:tc>
        <w:tc>
          <w:tcPr>
            <w:tcW w:w="1276" w:type="dxa"/>
            <w:tcBorders>
              <w:top w:val="nil"/>
              <w:left w:val="nil"/>
              <w:bottom w:val="nil"/>
              <w:right w:val="nil"/>
            </w:tcBorders>
            <w:shd w:val="clear" w:color="auto" w:fill="auto"/>
            <w:noWrap/>
            <w:hideMark/>
          </w:tcPr>
          <w:p w:rsidR="00870DB9" w:rsidRPr="00937A24" w:rsidRDefault="00286FC9" w:rsidP="002132C0">
            <w:pPr>
              <w:pStyle w:val="Tabletext"/>
              <w:tabs>
                <w:tab w:val="decimal" w:pos="567"/>
              </w:tabs>
              <w:rPr>
                <w:color w:val="000000"/>
              </w:rPr>
            </w:pPr>
            <w:r w:rsidRPr="00286FC9">
              <w:rPr>
                <w:color w:val="000000"/>
              </w:rPr>
              <w:t>6</w:t>
            </w:r>
          </w:p>
        </w:tc>
        <w:tc>
          <w:tcPr>
            <w:tcW w:w="1276" w:type="dxa"/>
            <w:tcBorders>
              <w:top w:val="nil"/>
              <w:left w:val="nil"/>
              <w:bottom w:val="nil"/>
              <w:right w:val="nil"/>
            </w:tcBorders>
          </w:tcPr>
          <w:p w:rsidR="00D0565C" w:rsidRDefault="00286FC9" w:rsidP="002132C0">
            <w:pPr>
              <w:pStyle w:val="Tabletext"/>
              <w:ind w:right="340"/>
              <w:jc w:val="right"/>
              <w:rPr>
                <w:color w:val="000000"/>
              </w:rPr>
            </w:pPr>
            <w:r w:rsidRPr="00286FC9">
              <w:rPr>
                <w:color w:val="000000"/>
              </w:rPr>
              <w:t xml:space="preserve">681 </w:t>
            </w:r>
          </w:p>
        </w:tc>
        <w:tc>
          <w:tcPr>
            <w:tcW w:w="1276" w:type="dxa"/>
            <w:tcBorders>
              <w:top w:val="nil"/>
              <w:left w:val="nil"/>
              <w:bottom w:val="nil"/>
              <w:right w:val="nil"/>
            </w:tcBorders>
          </w:tcPr>
          <w:p w:rsidR="00870DB9" w:rsidRPr="00937A24" w:rsidRDefault="00286FC9" w:rsidP="002132C0">
            <w:pPr>
              <w:pStyle w:val="Tabletext"/>
              <w:tabs>
                <w:tab w:val="decimal" w:pos="567"/>
              </w:tabs>
              <w:rPr>
                <w:color w:val="000000"/>
              </w:rPr>
            </w:pPr>
            <w:r w:rsidRPr="00286FC9">
              <w:rPr>
                <w:color w:val="000000"/>
              </w:rPr>
              <w:t>17</w:t>
            </w:r>
          </w:p>
        </w:tc>
      </w:tr>
      <w:tr w:rsidR="00870DB9" w:rsidRPr="00BC10D7" w:rsidTr="002132C0">
        <w:tc>
          <w:tcPr>
            <w:tcW w:w="3686" w:type="dxa"/>
            <w:tcBorders>
              <w:top w:val="nil"/>
              <w:left w:val="nil"/>
              <w:bottom w:val="nil"/>
              <w:right w:val="nil"/>
            </w:tcBorders>
            <w:shd w:val="clear" w:color="auto" w:fill="auto"/>
            <w:noWrap/>
            <w:hideMark/>
          </w:tcPr>
          <w:p w:rsidR="00870DB9" w:rsidRPr="00937A24" w:rsidRDefault="00286FC9" w:rsidP="002132C0">
            <w:pPr>
              <w:pStyle w:val="Tabletext"/>
            </w:pPr>
            <w:r w:rsidRPr="00286FC9">
              <w:t>Macquarie University (3)</w:t>
            </w:r>
          </w:p>
        </w:tc>
        <w:tc>
          <w:tcPr>
            <w:tcW w:w="1275" w:type="dxa"/>
            <w:tcBorders>
              <w:top w:val="nil"/>
              <w:left w:val="nil"/>
              <w:bottom w:val="nil"/>
              <w:right w:val="nil"/>
            </w:tcBorders>
            <w:shd w:val="clear" w:color="auto" w:fill="auto"/>
            <w:noWrap/>
            <w:hideMark/>
          </w:tcPr>
          <w:p w:rsidR="00D0565C" w:rsidRDefault="00286FC9" w:rsidP="002132C0">
            <w:pPr>
              <w:pStyle w:val="Tabletext"/>
              <w:ind w:right="340"/>
              <w:jc w:val="right"/>
              <w:rPr>
                <w:color w:val="000000"/>
              </w:rPr>
            </w:pPr>
            <w:r w:rsidRPr="00286FC9">
              <w:rPr>
                <w:color w:val="000000"/>
              </w:rPr>
              <w:t>3</w:t>
            </w:r>
            <w:r w:rsidR="002132C0">
              <w:rPr>
                <w:color w:val="000000"/>
              </w:rPr>
              <w:t xml:space="preserve"> </w:t>
            </w:r>
            <w:r w:rsidRPr="00286FC9">
              <w:rPr>
                <w:color w:val="000000"/>
              </w:rPr>
              <w:t>644</w:t>
            </w:r>
          </w:p>
        </w:tc>
        <w:tc>
          <w:tcPr>
            <w:tcW w:w="1276" w:type="dxa"/>
            <w:tcBorders>
              <w:top w:val="nil"/>
              <w:left w:val="nil"/>
              <w:bottom w:val="nil"/>
              <w:right w:val="nil"/>
            </w:tcBorders>
            <w:shd w:val="clear" w:color="auto" w:fill="auto"/>
            <w:noWrap/>
            <w:hideMark/>
          </w:tcPr>
          <w:p w:rsidR="00870DB9" w:rsidRPr="00937A24" w:rsidRDefault="00286FC9" w:rsidP="002132C0">
            <w:pPr>
              <w:pStyle w:val="Tabletext"/>
              <w:tabs>
                <w:tab w:val="decimal" w:pos="567"/>
              </w:tabs>
              <w:rPr>
                <w:color w:val="000000"/>
              </w:rPr>
            </w:pPr>
            <w:r w:rsidRPr="00286FC9">
              <w:rPr>
                <w:color w:val="000000"/>
              </w:rPr>
              <w:t>5</w:t>
            </w:r>
          </w:p>
        </w:tc>
        <w:tc>
          <w:tcPr>
            <w:tcW w:w="1276" w:type="dxa"/>
            <w:tcBorders>
              <w:top w:val="nil"/>
              <w:left w:val="nil"/>
              <w:bottom w:val="nil"/>
              <w:right w:val="nil"/>
            </w:tcBorders>
          </w:tcPr>
          <w:p w:rsidR="00D0565C" w:rsidRDefault="00286FC9" w:rsidP="002132C0">
            <w:pPr>
              <w:pStyle w:val="Tabletext"/>
              <w:ind w:right="340"/>
              <w:jc w:val="right"/>
              <w:rPr>
                <w:color w:val="000000"/>
              </w:rPr>
            </w:pPr>
            <w:r w:rsidRPr="00286FC9">
              <w:rPr>
                <w:color w:val="000000"/>
              </w:rPr>
              <w:t xml:space="preserve">140 </w:t>
            </w:r>
          </w:p>
        </w:tc>
        <w:tc>
          <w:tcPr>
            <w:tcW w:w="1276" w:type="dxa"/>
            <w:tcBorders>
              <w:top w:val="nil"/>
              <w:left w:val="nil"/>
              <w:bottom w:val="nil"/>
              <w:right w:val="nil"/>
            </w:tcBorders>
          </w:tcPr>
          <w:p w:rsidR="00870DB9" w:rsidRPr="00937A24" w:rsidRDefault="00286FC9" w:rsidP="002132C0">
            <w:pPr>
              <w:pStyle w:val="Tabletext"/>
              <w:tabs>
                <w:tab w:val="decimal" w:pos="567"/>
              </w:tabs>
              <w:rPr>
                <w:color w:val="000000"/>
              </w:rPr>
            </w:pPr>
            <w:r w:rsidRPr="00286FC9">
              <w:rPr>
                <w:color w:val="000000"/>
              </w:rPr>
              <w:t>4</w:t>
            </w:r>
          </w:p>
        </w:tc>
      </w:tr>
      <w:tr w:rsidR="00870DB9" w:rsidRPr="00BC10D7" w:rsidTr="002132C0">
        <w:tc>
          <w:tcPr>
            <w:tcW w:w="3686" w:type="dxa"/>
            <w:tcBorders>
              <w:top w:val="nil"/>
              <w:left w:val="nil"/>
              <w:bottom w:val="nil"/>
              <w:right w:val="nil"/>
            </w:tcBorders>
            <w:shd w:val="clear" w:color="auto" w:fill="auto"/>
            <w:noWrap/>
            <w:hideMark/>
          </w:tcPr>
          <w:p w:rsidR="00870DB9" w:rsidRPr="00937A24" w:rsidRDefault="00286FC9" w:rsidP="002132C0">
            <w:pPr>
              <w:pStyle w:val="Tabletext"/>
            </w:pPr>
            <w:r w:rsidRPr="00286FC9">
              <w:t>University of Western Sydney (1)</w:t>
            </w:r>
          </w:p>
        </w:tc>
        <w:tc>
          <w:tcPr>
            <w:tcW w:w="1275" w:type="dxa"/>
            <w:tcBorders>
              <w:top w:val="nil"/>
              <w:left w:val="nil"/>
              <w:bottom w:val="nil"/>
              <w:right w:val="nil"/>
            </w:tcBorders>
            <w:shd w:val="clear" w:color="auto" w:fill="auto"/>
            <w:noWrap/>
            <w:hideMark/>
          </w:tcPr>
          <w:p w:rsidR="00D0565C" w:rsidRDefault="00286FC9" w:rsidP="002132C0">
            <w:pPr>
              <w:pStyle w:val="Tabletext"/>
              <w:ind w:right="340"/>
              <w:jc w:val="right"/>
              <w:rPr>
                <w:color w:val="000000"/>
              </w:rPr>
            </w:pPr>
            <w:r w:rsidRPr="00286FC9">
              <w:rPr>
                <w:color w:val="000000"/>
              </w:rPr>
              <w:t>3</w:t>
            </w:r>
            <w:r w:rsidR="002132C0">
              <w:rPr>
                <w:color w:val="000000"/>
              </w:rPr>
              <w:t xml:space="preserve"> </w:t>
            </w:r>
            <w:r w:rsidRPr="00286FC9">
              <w:rPr>
                <w:color w:val="000000"/>
              </w:rPr>
              <w:t>298</w:t>
            </w:r>
          </w:p>
        </w:tc>
        <w:tc>
          <w:tcPr>
            <w:tcW w:w="1276" w:type="dxa"/>
            <w:tcBorders>
              <w:top w:val="nil"/>
              <w:left w:val="nil"/>
              <w:bottom w:val="nil"/>
              <w:right w:val="nil"/>
            </w:tcBorders>
            <w:shd w:val="clear" w:color="auto" w:fill="auto"/>
            <w:noWrap/>
            <w:hideMark/>
          </w:tcPr>
          <w:p w:rsidR="00870DB9" w:rsidRPr="00937A24" w:rsidRDefault="00286FC9" w:rsidP="002132C0">
            <w:pPr>
              <w:pStyle w:val="Tabletext"/>
              <w:tabs>
                <w:tab w:val="decimal" w:pos="567"/>
              </w:tabs>
              <w:rPr>
                <w:color w:val="000000"/>
              </w:rPr>
            </w:pPr>
            <w:r w:rsidRPr="00286FC9">
              <w:rPr>
                <w:color w:val="000000"/>
              </w:rPr>
              <w:t>5</w:t>
            </w:r>
          </w:p>
        </w:tc>
        <w:tc>
          <w:tcPr>
            <w:tcW w:w="1276" w:type="dxa"/>
            <w:tcBorders>
              <w:top w:val="nil"/>
              <w:left w:val="nil"/>
              <w:bottom w:val="nil"/>
              <w:right w:val="nil"/>
            </w:tcBorders>
          </w:tcPr>
          <w:p w:rsidR="00D0565C" w:rsidRDefault="00286FC9" w:rsidP="002132C0">
            <w:pPr>
              <w:pStyle w:val="Tabletext"/>
              <w:ind w:right="340"/>
              <w:jc w:val="right"/>
              <w:rPr>
                <w:color w:val="000000"/>
              </w:rPr>
            </w:pPr>
            <w:r w:rsidRPr="00286FC9">
              <w:rPr>
                <w:color w:val="000000"/>
              </w:rPr>
              <w:t xml:space="preserve">772 </w:t>
            </w:r>
          </w:p>
        </w:tc>
        <w:tc>
          <w:tcPr>
            <w:tcW w:w="1276" w:type="dxa"/>
            <w:tcBorders>
              <w:top w:val="nil"/>
              <w:left w:val="nil"/>
              <w:bottom w:val="nil"/>
              <w:right w:val="nil"/>
            </w:tcBorders>
          </w:tcPr>
          <w:p w:rsidR="00870DB9" w:rsidRPr="00937A24" w:rsidRDefault="00286FC9" w:rsidP="002132C0">
            <w:pPr>
              <w:pStyle w:val="Tabletext"/>
              <w:tabs>
                <w:tab w:val="decimal" w:pos="567"/>
              </w:tabs>
              <w:rPr>
                <w:color w:val="000000"/>
              </w:rPr>
            </w:pPr>
            <w:r w:rsidRPr="00286FC9">
              <w:rPr>
                <w:color w:val="000000"/>
              </w:rPr>
              <w:t>23</w:t>
            </w:r>
          </w:p>
        </w:tc>
      </w:tr>
      <w:tr w:rsidR="00870DB9" w:rsidRPr="00BC10D7" w:rsidTr="002132C0">
        <w:tc>
          <w:tcPr>
            <w:tcW w:w="3686" w:type="dxa"/>
            <w:tcBorders>
              <w:top w:val="nil"/>
              <w:left w:val="nil"/>
              <w:bottom w:val="nil"/>
              <w:right w:val="nil"/>
            </w:tcBorders>
            <w:shd w:val="clear" w:color="auto" w:fill="auto"/>
            <w:noWrap/>
            <w:hideMark/>
          </w:tcPr>
          <w:p w:rsidR="00870DB9" w:rsidRPr="00937A24" w:rsidRDefault="00286FC9" w:rsidP="002132C0">
            <w:pPr>
              <w:pStyle w:val="Tabletext"/>
            </w:pPr>
            <w:r w:rsidRPr="00286FC9">
              <w:t>La Trobe University (2)</w:t>
            </w:r>
          </w:p>
        </w:tc>
        <w:tc>
          <w:tcPr>
            <w:tcW w:w="1275" w:type="dxa"/>
            <w:tcBorders>
              <w:top w:val="nil"/>
              <w:left w:val="nil"/>
              <w:bottom w:val="nil"/>
              <w:right w:val="nil"/>
            </w:tcBorders>
            <w:shd w:val="clear" w:color="auto" w:fill="auto"/>
            <w:noWrap/>
            <w:hideMark/>
          </w:tcPr>
          <w:p w:rsidR="00D0565C" w:rsidRDefault="00286FC9" w:rsidP="002132C0">
            <w:pPr>
              <w:pStyle w:val="Tabletext"/>
              <w:ind w:right="340"/>
              <w:jc w:val="right"/>
              <w:rPr>
                <w:color w:val="000000"/>
              </w:rPr>
            </w:pPr>
            <w:r w:rsidRPr="00286FC9">
              <w:rPr>
                <w:color w:val="000000"/>
              </w:rPr>
              <w:t>2</w:t>
            </w:r>
            <w:r w:rsidR="002132C0">
              <w:rPr>
                <w:color w:val="000000"/>
              </w:rPr>
              <w:t xml:space="preserve"> </w:t>
            </w:r>
            <w:r w:rsidRPr="00286FC9">
              <w:rPr>
                <w:color w:val="000000"/>
              </w:rPr>
              <w:t>698</w:t>
            </w:r>
          </w:p>
        </w:tc>
        <w:tc>
          <w:tcPr>
            <w:tcW w:w="1276" w:type="dxa"/>
            <w:tcBorders>
              <w:top w:val="nil"/>
              <w:left w:val="nil"/>
              <w:bottom w:val="nil"/>
              <w:right w:val="nil"/>
            </w:tcBorders>
            <w:shd w:val="clear" w:color="auto" w:fill="auto"/>
            <w:noWrap/>
            <w:hideMark/>
          </w:tcPr>
          <w:p w:rsidR="00870DB9" w:rsidRPr="00937A24" w:rsidRDefault="00286FC9" w:rsidP="002132C0">
            <w:pPr>
              <w:pStyle w:val="Tabletext"/>
              <w:tabs>
                <w:tab w:val="decimal" w:pos="567"/>
              </w:tabs>
              <w:rPr>
                <w:color w:val="000000"/>
              </w:rPr>
            </w:pPr>
            <w:r w:rsidRPr="00286FC9">
              <w:rPr>
                <w:color w:val="000000"/>
              </w:rPr>
              <w:t>4</w:t>
            </w:r>
          </w:p>
        </w:tc>
        <w:tc>
          <w:tcPr>
            <w:tcW w:w="1276" w:type="dxa"/>
            <w:tcBorders>
              <w:top w:val="nil"/>
              <w:left w:val="nil"/>
              <w:bottom w:val="nil"/>
              <w:right w:val="nil"/>
            </w:tcBorders>
          </w:tcPr>
          <w:p w:rsidR="00D0565C" w:rsidRDefault="00286FC9" w:rsidP="002132C0">
            <w:pPr>
              <w:pStyle w:val="Tabletext"/>
              <w:ind w:right="340"/>
              <w:jc w:val="right"/>
              <w:rPr>
                <w:color w:val="000000"/>
              </w:rPr>
            </w:pPr>
            <w:r w:rsidRPr="00286FC9">
              <w:rPr>
                <w:color w:val="000000"/>
              </w:rPr>
              <w:t xml:space="preserve">617 </w:t>
            </w:r>
          </w:p>
        </w:tc>
        <w:tc>
          <w:tcPr>
            <w:tcW w:w="1276" w:type="dxa"/>
            <w:tcBorders>
              <w:top w:val="nil"/>
              <w:left w:val="nil"/>
              <w:bottom w:val="nil"/>
              <w:right w:val="nil"/>
            </w:tcBorders>
          </w:tcPr>
          <w:p w:rsidR="00870DB9" w:rsidRPr="00937A24" w:rsidRDefault="00286FC9" w:rsidP="002132C0">
            <w:pPr>
              <w:pStyle w:val="Tabletext"/>
              <w:tabs>
                <w:tab w:val="decimal" w:pos="567"/>
              </w:tabs>
              <w:rPr>
                <w:color w:val="000000"/>
              </w:rPr>
            </w:pPr>
            <w:r w:rsidRPr="00286FC9">
              <w:rPr>
                <w:color w:val="000000"/>
              </w:rPr>
              <w:t>23</w:t>
            </w:r>
          </w:p>
        </w:tc>
      </w:tr>
      <w:tr w:rsidR="00870DB9" w:rsidRPr="00BC10D7" w:rsidTr="002132C0">
        <w:tc>
          <w:tcPr>
            <w:tcW w:w="3686" w:type="dxa"/>
            <w:tcBorders>
              <w:top w:val="nil"/>
              <w:left w:val="nil"/>
              <w:bottom w:val="nil"/>
              <w:right w:val="nil"/>
            </w:tcBorders>
            <w:shd w:val="clear" w:color="auto" w:fill="auto"/>
            <w:noWrap/>
            <w:hideMark/>
          </w:tcPr>
          <w:p w:rsidR="00870DB9" w:rsidRPr="00937A24" w:rsidRDefault="00286FC9" w:rsidP="002132C0">
            <w:pPr>
              <w:pStyle w:val="Tabletext"/>
              <w:rPr>
                <w:color w:val="000000"/>
              </w:rPr>
            </w:pPr>
            <w:r w:rsidRPr="00286FC9">
              <w:rPr>
                <w:color w:val="000000"/>
              </w:rPr>
              <w:t>Deakin University (1)</w:t>
            </w:r>
          </w:p>
        </w:tc>
        <w:tc>
          <w:tcPr>
            <w:tcW w:w="1275" w:type="dxa"/>
            <w:tcBorders>
              <w:top w:val="nil"/>
              <w:left w:val="nil"/>
              <w:bottom w:val="nil"/>
              <w:right w:val="nil"/>
            </w:tcBorders>
            <w:shd w:val="clear" w:color="auto" w:fill="auto"/>
            <w:noWrap/>
            <w:hideMark/>
          </w:tcPr>
          <w:p w:rsidR="00D0565C" w:rsidRDefault="00286FC9" w:rsidP="002132C0">
            <w:pPr>
              <w:pStyle w:val="Tabletext"/>
              <w:ind w:right="340"/>
              <w:jc w:val="right"/>
              <w:rPr>
                <w:color w:val="000000"/>
              </w:rPr>
            </w:pPr>
            <w:r w:rsidRPr="00286FC9">
              <w:rPr>
                <w:color w:val="000000"/>
              </w:rPr>
              <w:t>2</w:t>
            </w:r>
            <w:r w:rsidR="002132C0">
              <w:rPr>
                <w:color w:val="000000"/>
              </w:rPr>
              <w:t xml:space="preserve"> </w:t>
            </w:r>
            <w:r w:rsidRPr="00286FC9">
              <w:rPr>
                <w:color w:val="000000"/>
              </w:rPr>
              <w:t>660</w:t>
            </w:r>
          </w:p>
        </w:tc>
        <w:tc>
          <w:tcPr>
            <w:tcW w:w="1276" w:type="dxa"/>
            <w:tcBorders>
              <w:top w:val="nil"/>
              <w:left w:val="nil"/>
              <w:bottom w:val="nil"/>
              <w:right w:val="nil"/>
            </w:tcBorders>
            <w:shd w:val="clear" w:color="auto" w:fill="auto"/>
            <w:noWrap/>
            <w:hideMark/>
          </w:tcPr>
          <w:p w:rsidR="00870DB9" w:rsidRPr="00937A24" w:rsidRDefault="00286FC9" w:rsidP="002132C0">
            <w:pPr>
              <w:pStyle w:val="Tabletext"/>
              <w:tabs>
                <w:tab w:val="decimal" w:pos="567"/>
              </w:tabs>
              <w:rPr>
                <w:color w:val="000000"/>
              </w:rPr>
            </w:pPr>
            <w:r w:rsidRPr="00286FC9">
              <w:rPr>
                <w:color w:val="000000"/>
              </w:rPr>
              <w:t>4</w:t>
            </w:r>
          </w:p>
        </w:tc>
        <w:tc>
          <w:tcPr>
            <w:tcW w:w="1276" w:type="dxa"/>
            <w:tcBorders>
              <w:top w:val="nil"/>
              <w:left w:val="nil"/>
              <w:bottom w:val="nil"/>
              <w:right w:val="nil"/>
            </w:tcBorders>
          </w:tcPr>
          <w:p w:rsidR="00D0565C" w:rsidRDefault="00286FC9" w:rsidP="002132C0">
            <w:pPr>
              <w:pStyle w:val="Tabletext"/>
              <w:ind w:right="340"/>
              <w:jc w:val="right"/>
              <w:rPr>
                <w:color w:val="000000"/>
              </w:rPr>
            </w:pPr>
            <w:r w:rsidRPr="00286FC9">
              <w:rPr>
                <w:color w:val="000000"/>
              </w:rPr>
              <w:t xml:space="preserve">464 </w:t>
            </w:r>
          </w:p>
        </w:tc>
        <w:tc>
          <w:tcPr>
            <w:tcW w:w="1276" w:type="dxa"/>
            <w:tcBorders>
              <w:top w:val="nil"/>
              <w:left w:val="nil"/>
              <w:bottom w:val="nil"/>
              <w:right w:val="nil"/>
            </w:tcBorders>
          </w:tcPr>
          <w:p w:rsidR="00870DB9" w:rsidRPr="00937A24" w:rsidRDefault="00286FC9" w:rsidP="002132C0">
            <w:pPr>
              <w:pStyle w:val="Tabletext"/>
              <w:tabs>
                <w:tab w:val="decimal" w:pos="567"/>
              </w:tabs>
              <w:rPr>
                <w:color w:val="000000"/>
              </w:rPr>
            </w:pPr>
            <w:r w:rsidRPr="00286FC9">
              <w:rPr>
                <w:color w:val="000000"/>
              </w:rPr>
              <w:t>17</w:t>
            </w:r>
          </w:p>
        </w:tc>
      </w:tr>
      <w:tr w:rsidR="00870DB9" w:rsidRPr="00BC10D7" w:rsidTr="002132C0">
        <w:tc>
          <w:tcPr>
            <w:tcW w:w="3686" w:type="dxa"/>
            <w:tcBorders>
              <w:top w:val="nil"/>
              <w:left w:val="nil"/>
              <w:bottom w:val="nil"/>
              <w:right w:val="nil"/>
            </w:tcBorders>
            <w:shd w:val="clear" w:color="auto" w:fill="auto"/>
            <w:noWrap/>
            <w:hideMark/>
          </w:tcPr>
          <w:p w:rsidR="00870DB9" w:rsidRPr="00937A24" w:rsidRDefault="00286FC9" w:rsidP="002132C0">
            <w:pPr>
              <w:pStyle w:val="Tabletext"/>
              <w:rPr>
                <w:color w:val="000000"/>
              </w:rPr>
            </w:pPr>
            <w:r w:rsidRPr="00286FC9">
              <w:rPr>
                <w:color w:val="000000"/>
              </w:rPr>
              <w:t>University of South Australia (2)</w:t>
            </w:r>
          </w:p>
        </w:tc>
        <w:tc>
          <w:tcPr>
            <w:tcW w:w="1275" w:type="dxa"/>
            <w:tcBorders>
              <w:top w:val="nil"/>
              <w:left w:val="nil"/>
              <w:bottom w:val="nil"/>
              <w:right w:val="nil"/>
            </w:tcBorders>
            <w:shd w:val="clear" w:color="auto" w:fill="auto"/>
            <w:noWrap/>
            <w:hideMark/>
          </w:tcPr>
          <w:p w:rsidR="00D0565C" w:rsidRDefault="00286FC9" w:rsidP="002132C0">
            <w:pPr>
              <w:pStyle w:val="Tabletext"/>
              <w:ind w:right="340"/>
              <w:jc w:val="right"/>
              <w:rPr>
                <w:color w:val="000000"/>
              </w:rPr>
            </w:pPr>
            <w:r w:rsidRPr="00286FC9">
              <w:rPr>
                <w:color w:val="000000"/>
              </w:rPr>
              <w:t>2</w:t>
            </w:r>
            <w:r w:rsidR="002132C0">
              <w:rPr>
                <w:color w:val="000000"/>
              </w:rPr>
              <w:t xml:space="preserve"> </w:t>
            </w:r>
            <w:r w:rsidRPr="00286FC9">
              <w:rPr>
                <w:color w:val="000000"/>
              </w:rPr>
              <w:t>525</w:t>
            </w:r>
          </w:p>
        </w:tc>
        <w:tc>
          <w:tcPr>
            <w:tcW w:w="1276" w:type="dxa"/>
            <w:tcBorders>
              <w:top w:val="nil"/>
              <w:left w:val="nil"/>
              <w:bottom w:val="nil"/>
              <w:right w:val="nil"/>
            </w:tcBorders>
            <w:shd w:val="clear" w:color="auto" w:fill="auto"/>
            <w:noWrap/>
            <w:hideMark/>
          </w:tcPr>
          <w:p w:rsidR="00870DB9" w:rsidRPr="00937A24" w:rsidRDefault="00286FC9" w:rsidP="002132C0">
            <w:pPr>
              <w:pStyle w:val="Tabletext"/>
              <w:tabs>
                <w:tab w:val="decimal" w:pos="567"/>
              </w:tabs>
              <w:rPr>
                <w:color w:val="000000"/>
              </w:rPr>
            </w:pPr>
            <w:r w:rsidRPr="00286FC9">
              <w:rPr>
                <w:color w:val="000000"/>
              </w:rPr>
              <w:t>4</w:t>
            </w:r>
          </w:p>
        </w:tc>
        <w:tc>
          <w:tcPr>
            <w:tcW w:w="1276" w:type="dxa"/>
            <w:tcBorders>
              <w:top w:val="nil"/>
              <w:left w:val="nil"/>
              <w:bottom w:val="nil"/>
              <w:right w:val="nil"/>
            </w:tcBorders>
          </w:tcPr>
          <w:p w:rsidR="00D0565C" w:rsidRDefault="00286FC9" w:rsidP="002132C0">
            <w:pPr>
              <w:pStyle w:val="Tabletext"/>
              <w:ind w:right="340"/>
              <w:jc w:val="right"/>
              <w:rPr>
                <w:color w:val="000000"/>
              </w:rPr>
            </w:pPr>
            <w:r w:rsidRPr="00286FC9">
              <w:rPr>
                <w:color w:val="000000"/>
              </w:rPr>
              <w:t xml:space="preserve">409 </w:t>
            </w:r>
          </w:p>
        </w:tc>
        <w:tc>
          <w:tcPr>
            <w:tcW w:w="1276" w:type="dxa"/>
            <w:tcBorders>
              <w:top w:val="nil"/>
              <w:left w:val="nil"/>
              <w:bottom w:val="nil"/>
              <w:right w:val="nil"/>
            </w:tcBorders>
          </w:tcPr>
          <w:p w:rsidR="00870DB9" w:rsidRPr="00937A24" w:rsidRDefault="00286FC9" w:rsidP="002132C0">
            <w:pPr>
              <w:pStyle w:val="Tabletext"/>
              <w:tabs>
                <w:tab w:val="decimal" w:pos="567"/>
              </w:tabs>
              <w:rPr>
                <w:color w:val="000000"/>
              </w:rPr>
            </w:pPr>
            <w:r w:rsidRPr="00286FC9">
              <w:rPr>
                <w:color w:val="000000"/>
              </w:rPr>
              <w:t>16</w:t>
            </w:r>
          </w:p>
        </w:tc>
      </w:tr>
      <w:tr w:rsidR="00870DB9" w:rsidRPr="00BC10D7" w:rsidTr="002132C0">
        <w:tc>
          <w:tcPr>
            <w:tcW w:w="3686" w:type="dxa"/>
            <w:tcBorders>
              <w:top w:val="nil"/>
              <w:left w:val="nil"/>
              <w:right w:val="nil"/>
            </w:tcBorders>
            <w:shd w:val="clear" w:color="auto" w:fill="auto"/>
            <w:noWrap/>
            <w:hideMark/>
          </w:tcPr>
          <w:p w:rsidR="00870DB9" w:rsidRPr="00937A24" w:rsidRDefault="00286FC9" w:rsidP="002132C0">
            <w:pPr>
              <w:pStyle w:val="Tabletext"/>
              <w:rPr>
                <w:color w:val="000000"/>
              </w:rPr>
            </w:pPr>
            <w:r w:rsidRPr="00286FC9">
              <w:rPr>
                <w:color w:val="000000"/>
              </w:rPr>
              <w:t>Queensland University of Technology (2)</w:t>
            </w:r>
          </w:p>
        </w:tc>
        <w:tc>
          <w:tcPr>
            <w:tcW w:w="1275" w:type="dxa"/>
            <w:tcBorders>
              <w:top w:val="nil"/>
              <w:left w:val="nil"/>
              <w:right w:val="nil"/>
            </w:tcBorders>
            <w:shd w:val="clear" w:color="auto" w:fill="auto"/>
            <w:noWrap/>
            <w:hideMark/>
          </w:tcPr>
          <w:p w:rsidR="00D0565C" w:rsidRDefault="00286FC9" w:rsidP="002132C0">
            <w:pPr>
              <w:pStyle w:val="Tabletext"/>
              <w:ind w:right="340"/>
              <w:jc w:val="right"/>
              <w:rPr>
                <w:color w:val="000000"/>
              </w:rPr>
            </w:pPr>
            <w:r w:rsidRPr="00286FC9">
              <w:rPr>
                <w:color w:val="000000"/>
              </w:rPr>
              <w:t>2</w:t>
            </w:r>
            <w:r w:rsidR="002132C0">
              <w:rPr>
                <w:color w:val="000000"/>
              </w:rPr>
              <w:t xml:space="preserve"> </w:t>
            </w:r>
            <w:r w:rsidRPr="00286FC9">
              <w:rPr>
                <w:color w:val="000000"/>
              </w:rPr>
              <w:t>443</w:t>
            </w:r>
          </w:p>
        </w:tc>
        <w:tc>
          <w:tcPr>
            <w:tcW w:w="1276" w:type="dxa"/>
            <w:tcBorders>
              <w:top w:val="nil"/>
              <w:left w:val="nil"/>
              <w:right w:val="nil"/>
            </w:tcBorders>
            <w:shd w:val="clear" w:color="auto" w:fill="auto"/>
            <w:noWrap/>
            <w:hideMark/>
          </w:tcPr>
          <w:p w:rsidR="00870DB9" w:rsidRPr="00937A24" w:rsidRDefault="00286FC9" w:rsidP="002132C0">
            <w:pPr>
              <w:pStyle w:val="Tabletext"/>
              <w:tabs>
                <w:tab w:val="decimal" w:pos="567"/>
              </w:tabs>
              <w:rPr>
                <w:color w:val="000000"/>
              </w:rPr>
            </w:pPr>
            <w:r w:rsidRPr="00286FC9">
              <w:rPr>
                <w:color w:val="000000"/>
              </w:rPr>
              <w:t>3</w:t>
            </w:r>
          </w:p>
        </w:tc>
        <w:tc>
          <w:tcPr>
            <w:tcW w:w="1276" w:type="dxa"/>
            <w:tcBorders>
              <w:top w:val="nil"/>
              <w:left w:val="nil"/>
              <w:right w:val="nil"/>
            </w:tcBorders>
          </w:tcPr>
          <w:p w:rsidR="00D0565C" w:rsidRDefault="00286FC9" w:rsidP="002132C0">
            <w:pPr>
              <w:pStyle w:val="Tabletext"/>
              <w:ind w:right="340"/>
              <w:jc w:val="right"/>
              <w:rPr>
                <w:color w:val="000000"/>
              </w:rPr>
            </w:pPr>
            <w:r w:rsidRPr="00286FC9">
              <w:rPr>
                <w:color w:val="000000"/>
              </w:rPr>
              <w:t xml:space="preserve">196 </w:t>
            </w:r>
          </w:p>
        </w:tc>
        <w:tc>
          <w:tcPr>
            <w:tcW w:w="1276" w:type="dxa"/>
            <w:tcBorders>
              <w:top w:val="nil"/>
              <w:left w:val="nil"/>
              <w:right w:val="nil"/>
            </w:tcBorders>
          </w:tcPr>
          <w:p w:rsidR="00870DB9" w:rsidRPr="00937A24" w:rsidRDefault="00286FC9" w:rsidP="002132C0">
            <w:pPr>
              <w:pStyle w:val="Tabletext"/>
              <w:tabs>
                <w:tab w:val="decimal" w:pos="567"/>
              </w:tabs>
              <w:rPr>
                <w:color w:val="000000"/>
              </w:rPr>
            </w:pPr>
            <w:r w:rsidRPr="00286FC9">
              <w:rPr>
                <w:color w:val="000000"/>
              </w:rPr>
              <w:t>8</w:t>
            </w:r>
          </w:p>
        </w:tc>
      </w:tr>
      <w:tr w:rsidR="00870DB9" w:rsidRPr="00DC0BC6" w:rsidTr="002132C0">
        <w:tc>
          <w:tcPr>
            <w:tcW w:w="3686" w:type="dxa"/>
            <w:tcBorders>
              <w:top w:val="nil"/>
              <w:left w:val="nil"/>
              <w:right w:val="nil"/>
            </w:tcBorders>
            <w:shd w:val="clear" w:color="auto" w:fill="auto"/>
            <w:noWrap/>
            <w:hideMark/>
          </w:tcPr>
          <w:p w:rsidR="00870DB9" w:rsidRPr="00937A24" w:rsidRDefault="000C1499" w:rsidP="002132C0">
            <w:pPr>
              <w:pStyle w:val="Tabletext"/>
              <w:rPr>
                <w:i/>
                <w:color w:val="000000"/>
              </w:rPr>
            </w:pPr>
            <w:r>
              <w:rPr>
                <w:i/>
                <w:color w:val="000000"/>
              </w:rPr>
              <w:t>Sub-t</w:t>
            </w:r>
            <w:r w:rsidR="00286FC9" w:rsidRPr="00286FC9">
              <w:rPr>
                <w:i/>
                <w:color w:val="000000"/>
              </w:rPr>
              <w:t>otal</w:t>
            </w:r>
          </w:p>
        </w:tc>
        <w:tc>
          <w:tcPr>
            <w:tcW w:w="1275" w:type="dxa"/>
            <w:tcBorders>
              <w:top w:val="nil"/>
              <w:left w:val="nil"/>
              <w:right w:val="nil"/>
            </w:tcBorders>
            <w:shd w:val="clear" w:color="auto" w:fill="auto"/>
            <w:noWrap/>
            <w:hideMark/>
          </w:tcPr>
          <w:p w:rsidR="00D0565C" w:rsidRDefault="00286FC9" w:rsidP="002132C0">
            <w:pPr>
              <w:pStyle w:val="Tabletext"/>
              <w:ind w:right="340"/>
              <w:jc w:val="right"/>
              <w:rPr>
                <w:i/>
                <w:color w:val="000000"/>
              </w:rPr>
            </w:pPr>
            <w:r w:rsidRPr="00286FC9">
              <w:rPr>
                <w:i/>
                <w:color w:val="000000"/>
              </w:rPr>
              <w:t>36</w:t>
            </w:r>
            <w:r w:rsidR="002132C0">
              <w:rPr>
                <w:i/>
                <w:color w:val="000000"/>
              </w:rPr>
              <w:t xml:space="preserve"> </w:t>
            </w:r>
            <w:r w:rsidRPr="00286FC9">
              <w:rPr>
                <w:i/>
                <w:color w:val="000000"/>
              </w:rPr>
              <w:t>841</w:t>
            </w:r>
          </w:p>
        </w:tc>
        <w:tc>
          <w:tcPr>
            <w:tcW w:w="1276" w:type="dxa"/>
            <w:tcBorders>
              <w:top w:val="nil"/>
              <w:left w:val="nil"/>
              <w:right w:val="nil"/>
            </w:tcBorders>
            <w:shd w:val="clear" w:color="auto" w:fill="auto"/>
            <w:noWrap/>
            <w:hideMark/>
          </w:tcPr>
          <w:p w:rsidR="00870DB9" w:rsidRPr="00937A24" w:rsidRDefault="00286FC9" w:rsidP="002132C0">
            <w:pPr>
              <w:pStyle w:val="Tabletext"/>
              <w:tabs>
                <w:tab w:val="decimal" w:pos="567"/>
              </w:tabs>
              <w:rPr>
                <w:i/>
                <w:color w:val="000000"/>
              </w:rPr>
            </w:pPr>
            <w:r w:rsidRPr="00286FC9">
              <w:rPr>
                <w:i/>
                <w:color w:val="000000"/>
              </w:rPr>
              <w:t>51</w:t>
            </w:r>
          </w:p>
        </w:tc>
        <w:tc>
          <w:tcPr>
            <w:tcW w:w="1276" w:type="dxa"/>
            <w:tcBorders>
              <w:top w:val="nil"/>
              <w:left w:val="nil"/>
              <w:right w:val="nil"/>
            </w:tcBorders>
          </w:tcPr>
          <w:p w:rsidR="00870DB9" w:rsidRPr="00937A24" w:rsidRDefault="00286FC9" w:rsidP="002132C0">
            <w:pPr>
              <w:pStyle w:val="Tabletext"/>
              <w:ind w:right="340"/>
              <w:jc w:val="right"/>
              <w:rPr>
                <w:i/>
                <w:color w:val="000000"/>
              </w:rPr>
            </w:pPr>
            <w:r w:rsidRPr="00286FC9">
              <w:rPr>
                <w:i/>
                <w:color w:val="000000"/>
              </w:rPr>
              <w:t>5</w:t>
            </w:r>
            <w:r w:rsidR="002132C0">
              <w:rPr>
                <w:i/>
                <w:color w:val="000000"/>
              </w:rPr>
              <w:t xml:space="preserve"> </w:t>
            </w:r>
            <w:r w:rsidRPr="00286FC9">
              <w:rPr>
                <w:i/>
                <w:color w:val="000000"/>
              </w:rPr>
              <w:t>052</w:t>
            </w:r>
          </w:p>
        </w:tc>
        <w:tc>
          <w:tcPr>
            <w:tcW w:w="1276" w:type="dxa"/>
            <w:tcBorders>
              <w:top w:val="nil"/>
              <w:left w:val="nil"/>
              <w:right w:val="nil"/>
            </w:tcBorders>
          </w:tcPr>
          <w:p w:rsidR="00870DB9" w:rsidRPr="00937A24" w:rsidRDefault="00286FC9" w:rsidP="002132C0">
            <w:pPr>
              <w:pStyle w:val="Tabletext"/>
              <w:tabs>
                <w:tab w:val="decimal" w:pos="567"/>
              </w:tabs>
              <w:rPr>
                <w:i/>
                <w:color w:val="000000"/>
              </w:rPr>
            </w:pPr>
            <w:r w:rsidRPr="00286FC9">
              <w:rPr>
                <w:i/>
                <w:color w:val="000000"/>
              </w:rPr>
              <w:t>14</w:t>
            </w:r>
          </w:p>
        </w:tc>
      </w:tr>
      <w:tr w:rsidR="00870DB9" w:rsidRPr="00DC0BC6" w:rsidTr="002132C0">
        <w:tc>
          <w:tcPr>
            <w:tcW w:w="3686" w:type="dxa"/>
            <w:tcBorders>
              <w:top w:val="nil"/>
              <w:left w:val="nil"/>
              <w:bottom w:val="single" w:sz="4" w:space="0" w:color="auto"/>
              <w:right w:val="nil"/>
            </w:tcBorders>
            <w:shd w:val="clear" w:color="auto" w:fill="auto"/>
            <w:noWrap/>
            <w:hideMark/>
          </w:tcPr>
          <w:p w:rsidR="00870DB9" w:rsidRPr="00937A24" w:rsidRDefault="00286FC9" w:rsidP="002132C0">
            <w:pPr>
              <w:pStyle w:val="Tabletext"/>
              <w:rPr>
                <w:b/>
                <w:color w:val="000000"/>
              </w:rPr>
            </w:pPr>
            <w:r w:rsidRPr="00286FC9">
              <w:rPr>
                <w:b/>
                <w:color w:val="000000"/>
              </w:rPr>
              <w:t>Australia</w:t>
            </w:r>
          </w:p>
        </w:tc>
        <w:tc>
          <w:tcPr>
            <w:tcW w:w="1275" w:type="dxa"/>
            <w:tcBorders>
              <w:top w:val="nil"/>
              <w:left w:val="nil"/>
              <w:bottom w:val="single" w:sz="4" w:space="0" w:color="auto"/>
              <w:right w:val="nil"/>
            </w:tcBorders>
            <w:shd w:val="clear" w:color="auto" w:fill="auto"/>
            <w:noWrap/>
            <w:hideMark/>
          </w:tcPr>
          <w:p w:rsidR="00870DB9" w:rsidRPr="00937A24" w:rsidRDefault="00286FC9" w:rsidP="002132C0">
            <w:pPr>
              <w:pStyle w:val="Tabletext"/>
              <w:ind w:right="340"/>
              <w:jc w:val="right"/>
              <w:rPr>
                <w:b/>
                <w:bCs/>
                <w:color w:val="000000"/>
              </w:rPr>
            </w:pPr>
            <w:r w:rsidRPr="00286FC9">
              <w:rPr>
                <w:b/>
                <w:bCs/>
                <w:color w:val="000000"/>
              </w:rPr>
              <w:t>71</w:t>
            </w:r>
            <w:r w:rsidR="002132C0">
              <w:rPr>
                <w:b/>
                <w:bCs/>
                <w:color w:val="000000"/>
              </w:rPr>
              <w:t xml:space="preserve"> </w:t>
            </w:r>
            <w:r w:rsidRPr="00286FC9">
              <w:rPr>
                <w:b/>
                <w:bCs/>
                <w:color w:val="000000"/>
              </w:rPr>
              <w:t>650</w:t>
            </w:r>
          </w:p>
        </w:tc>
        <w:tc>
          <w:tcPr>
            <w:tcW w:w="1276" w:type="dxa"/>
            <w:tcBorders>
              <w:top w:val="nil"/>
              <w:left w:val="nil"/>
              <w:bottom w:val="single" w:sz="4" w:space="0" w:color="auto"/>
              <w:right w:val="nil"/>
            </w:tcBorders>
            <w:shd w:val="clear" w:color="auto" w:fill="auto"/>
            <w:noWrap/>
            <w:hideMark/>
          </w:tcPr>
          <w:p w:rsidR="00870DB9" w:rsidRPr="00937A24" w:rsidRDefault="008D2A63" w:rsidP="002132C0">
            <w:pPr>
              <w:pStyle w:val="Tabletext"/>
              <w:tabs>
                <w:tab w:val="decimal" w:pos="567"/>
              </w:tabs>
              <w:rPr>
                <w:b/>
                <w:bCs/>
                <w:color w:val="000000"/>
              </w:rPr>
            </w:pPr>
            <w:r w:rsidRPr="00C36656">
              <w:rPr>
                <w:b/>
                <w:bCs/>
                <w:color w:val="000000"/>
              </w:rPr>
              <w:t>100</w:t>
            </w:r>
          </w:p>
        </w:tc>
        <w:tc>
          <w:tcPr>
            <w:tcW w:w="1276" w:type="dxa"/>
            <w:tcBorders>
              <w:top w:val="nil"/>
              <w:left w:val="nil"/>
              <w:bottom w:val="single" w:sz="4" w:space="0" w:color="auto"/>
              <w:right w:val="nil"/>
            </w:tcBorders>
          </w:tcPr>
          <w:p w:rsidR="00870DB9" w:rsidRPr="00937A24" w:rsidRDefault="00286FC9" w:rsidP="002132C0">
            <w:pPr>
              <w:pStyle w:val="Tabletext"/>
              <w:ind w:right="340"/>
              <w:jc w:val="right"/>
              <w:rPr>
                <w:b/>
                <w:color w:val="000000"/>
              </w:rPr>
            </w:pPr>
            <w:r w:rsidRPr="00286FC9">
              <w:rPr>
                <w:b/>
                <w:color w:val="000000"/>
              </w:rPr>
              <w:t>9</w:t>
            </w:r>
            <w:r w:rsidR="002132C0">
              <w:rPr>
                <w:b/>
                <w:color w:val="000000"/>
              </w:rPr>
              <w:t xml:space="preserve"> </w:t>
            </w:r>
            <w:r w:rsidRPr="00286FC9">
              <w:rPr>
                <w:b/>
                <w:color w:val="000000"/>
              </w:rPr>
              <w:t>288</w:t>
            </w:r>
          </w:p>
        </w:tc>
        <w:tc>
          <w:tcPr>
            <w:tcW w:w="1276" w:type="dxa"/>
            <w:tcBorders>
              <w:top w:val="nil"/>
              <w:left w:val="nil"/>
              <w:bottom w:val="single" w:sz="4" w:space="0" w:color="auto"/>
              <w:right w:val="nil"/>
            </w:tcBorders>
          </w:tcPr>
          <w:p w:rsidR="00870DB9" w:rsidRPr="00937A24" w:rsidRDefault="00286FC9" w:rsidP="002132C0">
            <w:pPr>
              <w:pStyle w:val="Tabletext"/>
              <w:tabs>
                <w:tab w:val="decimal" w:pos="567"/>
              </w:tabs>
              <w:rPr>
                <w:b/>
                <w:color w:val="000000"/>
              </w:rPr>
            </w:pPr>
            <w:r w:rsidRPr="00286FC9">
              <w:rPr>
                <w:b/>
                <w:color w:val="000000"/>
              </w:rPr>
              <w:t>13</w:t>
            </w:r>
          </w:p>
        </w:tc>
      </w:tr>
    </w:tbl>
    <w:p w:rsidR="00870DB9" w:rsidRPr="002132C0" w:rsidRDefault="00870DB9" w:rsidP="002132C0">
      <w:pPr>
        <w:pStyle w:val="Source"/>
      </w:pPr>
      <w:r>
        <w:t>Notes:</w:t>
      </w:r>
      <w:r w:rsidR="002132C0">
        <w:tab/>
      </w:r>
      <w:r>
        <w:t xml:space="preserve">Due to the coding of some students in combined programs to two fields of education, the totals can be higher than the total number of students and the </w:t>
      </w:r>
      <w:r w:rsidRPr="002132C0">
        <w:t>size of the difference varies between fields of education.</w:t>
      </w:r>
      <w:r w:rsidR="00837079">
        <w:t xml:space="preserve"> </w:t>
      </w:r>
    </w:p>
    <w:p w:rsidR="00C848C8" w:rsidRDefault="00C848C8" w:rsidP="002132C0">
      <w:pPr>
        <w:pStyle w:val="Source"/>
      </w:pPr>
      <w:r w:rsidRPr="002132C0">
        <w:t>Source:</w:t>
      </w:r>
      <w:r w:rsidR="002132C0">
        <w:tab/>
      </w:r>
      <w:r w:rsidRPr="002132C0">
        <w:t>Department of Education, E</w:t>
      </w:r>
      <w:r>
        <w:t>mployment and Workplace Relations, Higher Education Statistics Collection, unpublished data (2010).</w:t>
      </w:r>
    </w:p>
    <w:p w:rsidR="00D25DEC" w:rsidRDefault="00C848C8" w:rsidP="002132C0">
      <w:pPr>
        <w:pStyle w:val="Textmorebefore"/>
      </w:pPr>
      <w:r>
        <w:lastRenderedPageBreak/>
        <w:t>As shown in t</w:t>
      </w:r>
      <w:r w:rsidR="00683015">
        <w:t xml:space="preserve">able 8, institutions from all three clusters are represented in the top ten providers </w:t>
      </w:r>
      <w:r w:rsidR="00774D73">
        <w:t xml:space="preserve">of undergraduate programs </w:t>
      </w:r>
      <w:r w:rsidR="00683015">
        <w:t xml:space="preserve">in </w:t>
      </w:r>
      <w:r>
        <w:t xml:space="preserve">management and commerce </w:t>
      </w:r>
      <w:r w:rsidR="00774D73">
        <w:t>(FOE 08)</w:t>
      </w:r>
      <w:r w:rsidR="00683015">
        <w:t>. However</w:t>
      </w:r>
      <w:r>
        <w:t>,</w:t>
      </w:r>
      <w:r w:rsidR="00683015">
        <w:t xml:space="preserve"> the admission rates of VET </w:t>
      </w:r>
      <w:r w:rsidR="00B87FBB">
        <w:t>award holders</w:t>
      </w:r>
      <w:r w:rsidR="00683015">
        <w:t xml:space="preserve"> between </w:t>
      </w:r>
      <w:r w:rsidR="00683015" w:rsidRPr="00D10721">
        <w:t>the largest providers are polarised. Several large providers, such as RMIT</w:t>
      </w:r>
      <w:r w:rsidR="0090547D">
        <w:t> </w:t>
      </w:r>
      <w:r w:rsidR="00683015" w:rsidRPr="00D10721">
        <w:t xml:space="preserve">University, Griffith University, University of Western Sydney and La Trobe University, admit VET </w:t>
      </w:r>
      <w:r w:rsidR="00B87FBB">
        <w:t>award holders</w:t>
      </w:r>
      <w:r w:rsidR="00683015" w:rsidRPr="00D10721">
        <w:t xml:space="preserve"> at rates </w:t>
      </w:r>
      <w:r w:rsidR="00C72A3A">
        <w:t xml:space="preserve">of </w:t>
      </w:r>
      <w:r w:rsidR="00683015" w:rsidRPr="00D10721">
        <w:t>bet</w:t>
      </w:r>
      <w:r>
        <w:t>ween 17 and 24%</w:t>
      </w:r>
      <w:r w:rsidR="00683015" w:rsidRPr="00D10721">
        <w:t>. In contrast, the second, third and fifth largest providers</w:t>
      </w:r>
      <w:r w:rsidR="00E675BA">
        <w:t xml:space="preserve"> </w:t>
      </w:r>
      <w:r>
        <w:t>—</w:t>
      </w:r>
      <w:r w:rsidR="00683015" w:rsidRPr="00D10721">
        <w:t xml:space="preserve"> Monash University, Curtin Unive</w:t>
      </w:r>
      <w:r>
        <w:t>rsity and Macquarie University —</w:t>
      </w:r>
      <w:r w:rsidR="00683015" w:rsidRPr="00D10721">
        <w:t xml:space="preserve"> admit VET award holders at rates of </w:t>
      </w:r>
      <w:r w:rsidR="000C1499">
        <w:t>2—4%</w:t>
      </w:r>
      <w:r w:rsidR="00683015" w:rsidRPr="00D10721">
        <w:t>.</w:t>
      </w:r>
      <w:r w:rsidR="00683015">
        <w:t xml:space="preserve"> </w:t>
      </w:r>
      <w:r w:rsidR="00870DB9">
        <w:t xml:space="preserve">Thus the relatively high </w:t>
      </w:r>
      <w:r w:rsidR="00870DB9" w:rsidRPr="00297C06">
        <w:t xml:space="preserve">national admission rate of VET </w:t>
      </w:r>
      <w:r w:rsidR="00B87FBB">
        <w:t>award holders</w:t>
      </w:r>
      <w:r w:rsidR="00870DB9" w:rsidRPr="00297C06">
        <w:t xml:space="preserve"> </w:t>
      </w:r>
      <w:r w:rsidR="00870DB9">
        <w:t>(13.0</w:t>
      </w:r>
      <w:r w:rsidR="00610F2F">
        <w:t>%</w:t>
      </w:r>
      <w:r w:rsidR="00870DB9">
        <w:t xml:space="preserve">) </w:t>
      </w:r>
      <w:r w:rsidR="00870DB9" w:rsidRPr="00297C06">
        <w:t xml:space="preserve">in </w:t>
      </w:r>
      <w:r w:rsidR="00870DB9">
        <w:t xml:space="preserve">the field of </w:t>
      </w:r>
      <w:r>
        <w:t>management and c</w:t>
      </w:r>
      <w:r w:rsidRPr="00297C06">
        <w:t xml:space="preserve">ommerce </w:t>
      </w:r>
      <w:r w:rsidR="00870DB9">
        <w:t xml:space="preserve">(FOE 08) reflects </w:t>
      </w:r>
      <w:r w:rsidR="00870DB9" w:rsidRPr="00297C06">
        <w:t xml:space="preserve">the </w:t>
      </w:r>
      <w:r w:rsidR="00DA0AE6">
        <w:t xml:space="preserve">average </w:t>
      </w:r>
      <w:r w:rsidR="00870DB9" w:rsidRPr="00297C06">
        <w:t xml:space="preserve">of </w:t>
      </w:r>
      <w:r w:rsidR="00870DB9">
        <w:t xml:space="preserve">a few large providers </w:t>
      </w:r>
      <w:r w:rsidR="00DA0AE6">
        <w:t xml:space="preserve">from each cluster with vastly different admission rates of VET </w:t>
      </w:r>
      <w:r w:rsidR="00B87FBB">
        <w:t>award holders</w:t>
      </w:r>
      <w:r w:rsidR="000C1499">
        <w:t>, ranging from two to 24%</w:t>
      </w:r>
      <w:r w:rsidR="00DA0AE6">
        <w:t xml:space="preserve">. </w:t>
      </w:r>
    </w:p>
    <w:p w:rsidR="00D25DEC" w:rsidRPr="009F6552" w:rsidRDefault="00D25DEC" w:rsidP="00D25DEC">
      <w:pPr>
        <w:pStyle w:val="tabletitle"/>
      </w:pPr>
      <w:bookmarkStart w:id="53" w:name="_Toc364688859"/>
      <w:r>
        <w:t xml:space="preserve">Table </w:t>
      </w:r>
      <w:r w:rsidR="00683015">
        <w:t>9</w:t>
      </w:r>
      <w:r>
        <w:tab/>
        <w:t xml:space="preserve">Enrolment share and admission rates of VET </w:t>
      </w:r>
      <w:r w:rsidR="00B87FBB">
        <w:t>award holders</w:t>
      </w:r>
      <w:r>
        <w:t xml:space="preserve"> by institutional clusters in </w:t>
      </w:r>
      <w:r w:rsidR="00C848C8">
        <w:t xml:space="preserve">management and commerce </w:t>
      </w:r>
      <w:r>
        <w:t>(FOE 08), Australia</w:t>
      </w:r>
      <w:r w:rsidR="00C848C8">
        <w:t>,</w:t>
      </w:r>
      <w:r>
        <w:t xml:space="preserve"> 2010</w:t>
      </w:r>
      <w:bookmarkEnd w:id="53"/>
    </w:p>
    <w:tbl>
      <w:tblPr>
        <w:tblW w:w="8789" w:type="dxa"/>
        <w:tblInd w:w="108" w:type="dxa"/>
        <w:tblLayout w:type="fixed"/>
        <w:tblLook w:val="04A0" w:firstRow="1" w:lastRow="0" w:firstColumn="1" w:lastColumn="0" w:noHBand="0" w:noVBand="1"/>
      </w:tblPr>
      <w:tblGrid>
        <w:gridCol w:w="2279"/>
        <w:gridCol w:w="1627"/>
        <w:gridCol w:w="1628"/>
        <w:gridCol w:w="1627"/>
        <w:gridCol w:w="1628"/>
      </w:tblGrid>
      <w:tr w:rsidR="00D25DEC" w:rsidRPr="00950C0A" w:rsidTr="00950C0A">
        <w:tc>
          <w:tcPr>
            <w:tcW w:w="2279" w:type="dxa"/>
            <w:tcBorders>
              <w:top w:val="single" w:sz="4" w:space="0" w:color="auto"/>
              <w:left w:val="nil"/>
              <w:bottom w:val="nil"/>
              <w:right w:val="nil"/>
            </w:tcBorders>
            <w:shd w:val="clear" w:color="auto" w:fill="auto"/>
            <w:noWrap/>
            <w:hideMark/>
          </w:tcPr>
          <w:p w:rsidR="00D25DEC" w:rsidRPr="00950C0A" w:rsidRDefault="008B4FB6" w:rsidP="00950C0A">
            <w:pPr>
              <w:pStyle w:val="Tablehead1"/>
            </w:pPr>
            <w:r w:rsidRPr="00950C0A">
              <w:t>University cluster</w:t>
            </w:r>
          </w:p>
        </w:tc>
        <w:tc>
          <w:tcPr>
            <w:tcW w:w="3255" w:type="dxa"/>
            <w:gridSpan w:val="2"/>
            <w:tcBorders>
              <w:top w:val="single" w:sz="4" w:space="0" w:color="auto"/>
              <w:left w:val="nil"/>
              <w:bottom w:val="nil"/>
              <w:right w:val="nil"/>
            </w:tcBorders>
            <w:shd w:val="clear" w:color="auto" w:fill="auto"/>
            <w:noWrap/>
            <w:hideMark/>
          </w:tcPr>
          <w:p w:rsidR="00D25DEC" w:rsidRPr="00950C0A" w:rsidRDefault="00D25DEC" w:rsidP="00950C0A">
            <w:pPr>
              <w:pStyle w:val="Tablehead1"/>
              <w:jc w:val="center"/>
              <w:rPr>
                <w:szCs w:val="17"/>
              </w:rPr>
            </w:pPr>
            <w:r w:rsidRPr="00950C0A">
              <w:rPr>
                <w:szCs w:val="17"/>
              </w:rPr>
              <w:t>All undergraduates</w:t>
            </w:r>
          </w:p>
        </w:tc>
        <w:tc>
          <w:tcPr>
            <w:tcW w:w="3255" w:type="dxa"/>
            <w:gridSpan w:val="2"/>
            <w:tcBorders>
              <w:top w:val="single" w:sz="4" w:space="0" w:color="auto"/>
              <w:left w:val="nil"/>
              <w:bottom w:val="nil"/>
              <w:right w:val="nil"/>
            </w:tcBorders>
          </w:tcPr>
          <w:p w:rsidR="00D25DEC" w:rsidRPr="00950C0A" w:rsidRDefault="00D25DEC" w:rsidP="00950C0A">
            <w:pPr>
              <w:pStyle w:val="Tablehead1"/>
              <w:jc w:val="center"/>
              <w:rPr>
                <w:szCs w:val="17"/>
              </w:rPr>
            </w:pPr>
            <w:r w:rsidRPr="00950C0A">
              <w:rPr>
                <w:szCs w:val="17"/>
              </w:rPr>
              <w:t xml:space="preserve">VET </w:t>
            </w:r>
            <w:r w:rsidR="00B87FBB" w:rsidRPr="00950C0A">
              <w:rPr>
                <w:szCs w:val="17"/>
              </w:rPr>
              <w:t>award holders</w:t>
            </w:r>
          </w:p>
        </w:tc>
      </w:tr>
      <w:tr w:rsidR="00D25DEC" w:rsidRPr="00950C0A" w:rsidTr="00950C0A">
        <w:tc>
          <w:tcPr>
            <w:tcW w:w="2279" w:type="dxa"/>
            <w:tcBorders>
              <w:top w:val="nil"/>
              <w:left w:val="nil"/>
              <w:bottom w:val="single" w:sz="4" w:space="0" w:color="auto"/>
              <w:right w:val="nil"/>
            </w:tcBorders>
            <w:shd w:val="clear" w:color="auto" w:fill="auto"/>
            <w:noWrap/>
            <w:hideMark/>
          </w:tcPr>
          <w:p w:rsidR="00D25DEC" w:rsidRPr="00950C0A" w:rsidRDefault="00D25DEC" w:rsidP="00950C0A">
            <w:pPr>
              <w:pStyle w:val="Tablehead2"/>
            </w:pPr>
          </w:p>
        </w:tc>
        <w:tc>
          <w:tcPr>
            <w:tcW w:w="1627" w:type="dxa"/>
            <w:tcBorders>
              <w:top w:val="nil"/>
              <w:left w:val="nil"/>
              <w:bottom w:val="single" w:sz="4" w:space="0" w:color="auto"/>
              <w:right w:val="nil"/>
            </w:tcBorders>
            <w:shd w:val="clear" w:color="auto" w:fill="auto"/>
            <w:noWrap/>
            <w:hideMark/>
          </w:tcPr>
          <w:p w:rsidR="00D25DEC" w:rsidRPr="00950C0A" w:rsidRDefault="00D25DEC" w:rsidP="00950C0A">
            <w:pPr>
              <w:pStyle w:val="Tablehead2"/>
              <w:jc w:val="center"/>
            </w:pPr>
            <w:r w:rsidRPr="00950C0A">
              <w:t>Students</w:t>
            </w:r>
          </w:p>
        </w:tc>
        <w:tc>
          <w:tcPr>
            <w:tcW w:w="1628" w:type="dxa"/>
            <w:tcBorders>
              <w:top w:val="nil"/>
              <w:left w:val="nil"/>
              <w:bottom w:val="single" w:sz="4" w:space="0" w:color="auto"/>
              <w:right w:val="nil"/>
            </w:tcBorders>
            <w:shd w:val="clear" w:color="auto" w:fill="auto"/>
            <w:noWrap/>
            <w:hideMark/>
          </w:tcPr>
          <w:p w:rsidR="00D25DEC" w:rsidRPr="00950C0A" w:rsidRDefault="00452450" w:rsidP="00950C0A">
            <w:pPr>
              <w:pStyle w:val="Tablehead2"/>
              <w:jc w:val="center"/>
            </w:pPr>
            <w:r w:rsidRPr="00950C0A">
              <w:t>Share (%)</w:t>
            </w:r>
          </w:p>
        </w:tc>
        <w:tc>
          <w:tcPr>
            <w:tcW w:w="1627" w:type="dxa"/>
            <w:tcBorders>
              <w:top w:val="nil"/>
              <w:left w:val="nil"/>
              <w:bottom w:val="single" w:sz="4" w:space="0" w:color="auto"/>
              <w:right w:val="nil"/>
            </w:tcBorders>
          </w:tcPr>
          <w:p w:rsidR="00D25DEC" w:rsidRPr="00950C0A" w:rsidRDefault="00D25DEC" w:rsidP="00950C0A">
            <w:pPr>
              <w:pStyle w:val="Tablehead2"/>
              <w:jc w:val="center"/>
            </w:pPr>
            <w:r w:rsidRPr="00950C0A">
              <w:t>Students</w:t>
            </w:r>
          </w:p>
        </w:tc>
        <w:tc>
          <w:tcPr>
            <w:tcW w:w="1628" w:type="dxa"/>
            <w:tcBorders>
              <w:top w:val="nil"/>
              <w:left w:val="nil"/>
              <w:bottom w:val="single" w:sz="4" w:space="0" w:color="auto"/>
              <w:right w:val="nil"/>
            </w:tcBorders>
          </w:tcPr>
          <w:p w:rsidR="00D25DEC" w:rsidRPr="00950C0A" w:rsidRDefault="00D25DEC" w:rsidP="00950C0A">
            <w:pPr>
              <w:pStyle w:val="Tablehead2"/>
              <w:jc w:val="center"/>
            </w:pPr>
            <w:r w:rsidRPr="00950C0A">
              <w:t>% of all students</w:t>
            </w:r>
          </w:p>
        </w:tc>
      </w:tr>
      <w:tr w:rsidR="00D25DEC" w:rsidRPr="005F61BD" w:rsidTr="00950C0A">
        <w:tc>
          <w:tcPr>
            <w:tcW w:w="2279" w:type="dxa"/>
            <w:tcBorders>
              <w:top w:val="single" w:sz="4" w:space="0" w:color="auto"/>
              <w:left w:val="nil"/>
              <w:bottom w:val="nil"/>
              <w:right w:val="nil"/>
            </w:tcBorders>
            <w:shd w:val="clear" w:color="auto" w:fill="auto"/>
            <w:noWrap/>
            <w:hideMark/>
          </w:tcPr>
          <w:p w:rsidR="00D25DEC" w:rsidRPr="005F61BD" w:rsidRDefault="00D25DEC" w:rsidP="00950C0A">
            <w:pPr>
              <w:pStyle w:val="Tabletext"/>
              <w:rPr>
                <w:lang w:val="en-US"/>
              </w:rPr>
            </w:pPr>
            <w:r w:rsidRPr="005F61BD">
              <w:rPr>
                <w:lang w:val="en-US"/>
              </w:rPr>
              <w:t>Cluster 1</w:t>
            </w:r>
          </w:p>
        </w:tc>
        <w:tc>
          <w:tcPr>
            <w:tcW w:w="1627" w:type="dxa"/>
            <w:tcBorders>
              <w:top w:val="single" w:sz="4" w:space="0" w:color="auto"/>
              <w:left w:val="nil"/>
              <w:bottom w:val="nil"/>
              <w:right w:val="nil"/>
            </w:tcBorders>
            <w:shd w:val="clear" w:color="auto" w:fill="auto"/>
            <w:noWrap/>
            <w:hideMark/>
          </w:tcPr>
          <w:p w:rsidR="00D25DEC" w:rsidRPr="005F61BD" w:rsidRDefault="00D25DEC" w:rsidP="00950C0A">
            <w:pPr>
              <w:pStyle w:val="Tabletext"/>
              <w:ind w:right="454"/>
              <w:jc w:val="right"/>
              <w:rPr>
                <w:color w:val="000000"/>
              </w:rPr>
            </w:pPr>
            <w:r w:rsidRPr="005F61BD">
              <w:rPr>
                <w:color w:val="000000"/>
              </w:rPr>
              <w:t>28</w:t>
            </w:r>
            <w:r w:rsidR="00950C0A">
              <w:rPr>
                <w:color w:val="000000"/>
              </w:rPr>
              <w:t xml:space="preserve"> </w:t>
            </w:r>
            <w:r w:rsidRPr="005F61BD">
              <w:rPr>
                <w:color w:val="000000"/>
              </w:rPr>
              <w:t>053</w:t>
            </w:r>
          </w:p>
        </w:tc>
        <w:tc>
          <w:tcPr>
            <w:tcW w:w="1628" w:type="dxa"/>
            <w:tcBorders>
              <w:top w:val="single" w:sz="4" w:space="0" w:color="auto"/>
              <w:left w:val="nil"/>
              <w:bottom w:val="nil"/>
              <w:right w:val="nil"/>
            </w:tcBorders>
            <w:shd w:val="clear" w:color="auto" w:fill="auto"/>
            <w:noWrap/>
            <w:hideMark/>
          </w:tcPr>
          <w:p w:rsidR="00D25DEC" w:rsidRPr="005F61BD" w:rsidRDefault="00D25DEC" w:rsidP="00950C0A">
            <w:pPr>
              <w:pStyle w:val="Tabletext"/>
              <w:tabs>
                <w:tab w:val="decimal" w:pos="765"/>
              </w:tabs>
              <w:rPr>
                <w:color w:val="000000"/>
              </w:rPr>
            </w:pPr>
            <w:r w:rsidRPr="005F61BD">
              <w:rPr>
                <w:color w:val="000000"/>
              </w:rPr>
              <w:t>28</w:t>
            </w:r>
          </w:p>
        </w:tc>
        <w:tc>
          <w:tcPr>
            <w:tcW w:w="1627" w:type="dxa"/>
            <w:tcBorders>
              <w:top w:val="single" w:sz="4" w:space="0" w:color="auto"/>
              <w:left w:val="nil"/>
              <w:bottom w:val="nil"/>
              <w:right w:val="nil"/>
            </w:tcBorders>
          </w:tcPr>
          <w:p w:rsidR="00D25DEC" w:rsidRPr="005F61BD" w:rsidRDefault="00D25DEC" w:rsidP="00950C0A">
            <w:pPr>
              <w:pStyle w:val="Tabletext"/>
              <w:ind w:right="510"/>
              <w:jc w:val="right"/>
              <w:rPr>
                <w:color w:val="000000"/>
              </w:rPr>
            </w:pPr>
            <w:r w:rsidRPr="005F61BD">
              <w:rPr>
                <w:color w:val="000000"/>
              </w:rPr>
              <w:t>4</w:t>
            </w:r>
            <w:r w:rsidR="00950C0A">
              <w:rPr>
                <w:color w:val="000000"/>
              </w:rPr>
              <w:t xml:space="preserve"> </w:t>
            </w:r>
            <w:r w:rsidRPr="005F61BD">
              <w:rPr>
                <w:color w:val="000000"/>
              </w:rPr>
              <w:t>824</w:t>
            </w:r>
          </w:p>
        </w:tc>
        <w:tc>
          <w:tcPr>
            <w:tcW w:w="1628" w:type="dxa"/>
            <w:tcBorders>
              <w:top w:val="single" w:sz="4" w:space="0" w:color="auto"/>
              <w:left w:val="nil"/>
              <w:bottom w:val="nil"/>
              <w:right w:val="nil"/>
            </w:tcBorders>
          </w:tcPr>
          <w:p w:rsidR="00D25DEC" w:rsidRPr="005F61BD" w:rsidRDefault="00D25DEC" w:rsidP="00950C0A">
            <w:pPr>
              <w:pStyle w:val="Tabletext"/>
              <w:tabs>
                <w:tab w:val="decimal" w:pos="765"/>
              </w:tabs>
              <w:rPr>
                <w:color w:val="000000"/>
              </w:rPr>
            </w:pPr>
            <w:r w:rsidRPr="005F61BD">
              <w:rPr>
                <w:color w:val="000000"/>
              </w:rPr>
              <w:t>23</w:t>
            </w:r>
          </w:p>
        </w:tc>
      </w:tr>
      <w:tr w:rsidR="00D25DEC" w:rsidRPr="005F61BD" w:rsidTr="00950C0A">
        <w:tc>
          <w:tcPr>
            <w:tcW w:w="2279" w:type="dxa"/>
            <w:tcBorders>
              <w:top w:val="nil"/>
              <w:left w:val="nil"/>
              <w:bottom w:val="nil"/>
              <w:right w:val="nil"/>
            </w:tcBorders>
            <w:shd w:val="clear" w:color="auto" w:fill="auto"/>
            <w:noWrap/>
            <w:hideMark/>
          </w:tcPr>
          <w:p w:rsidR="00D25DEC" w:rsidRPr="005F61BD" w:rsidRDefault="00D25DEC" w:rsidP="00950C0A">
            <w:pPr>
              <w:pStyle w:val="Tabletext"/>
              <w:rPr>
                <w:lang w:val="en-US"/>
              </w:rPr>
            </w:pPr>
            <w:r w:rsidRPr="005F61BD">
              <w:rPr>
                <w:lang w:val="en-US"/>
              </w:rPr>
              <w:t>Cluster 2</w:t>
            </w:r>
          </w:p>
        </w:tc>
        <w:tc>
          <w:tcPr>
            <w:tcW w:w="1627" w:type="dxa"/>
            <w:tcBorders>
              <w:top w:val="nil"/>
              <w:left w:val="nil"/>
              <w:bottom w:val="nil"/>
              <w:right w:val="nil"/>
            </w:tcBorders>
            <w:shd w:val="clear" w:color="auto" w:fill="auto"/>
            <w:noWrap/>
            <w:hideMark/>
          </w:tcPr>
          <w:p w:rsidR="00D25DEC" w:rsidRPr="005F61BD" w:rsidRDefault="00D25DEC" w:rsidP="00950C0A">
            <w:pPr>
              <w:pStyle w:val="Tabletext"/>
              <w:ind w:right="454"/>
              <w:jc w:val="right"/>
              <w:rPr>
                <w:color w:val="000000"/>
              </w:rPr>
            </w:pPr>
            <w:r w:rsidRPr="005F61BD">
              <w:rPr>
                <w:color w:val="000000"/>
              </w:rPr>
              <w:t>26</w:t>
            </w:r>
            <w:r w:rsidR="00950C0A">
              <w:rPr>
                <w:color w:val="000000"/>
              </w:rPr>
              <w:t xml:space="preserve"> </w:t>
            </w:r>
            <w:r w:rsidRPr="005F61BD">
              <w:rPr>
                <w:color w:val="000000"/>
              </w:rPr>
              <w:t>968</w:t>
            </w:r>
          </w:p>
        </w:tc>
        <w:tc>
          <w:tcPr>
            <w:tcW w:w="1628" w:type="dxa"/>
            <w:tcBorders>
              <w:top w:val="nil"/>
              <w:left w:val="nil"/>
              <w:bottom w:val="nil"/>
              <w:right w:val="nil"/>
            </w:tcBorders>
            <w:shd w:val="clear" w:color="auto" w:fill="auto"/>
            <w:noWrap/>
            <w:hideMark/>
          </w:tcPr>
          <w:p w:rsidR="00D25DEC" w:rsidRPr="005F61BD" w:rsidRDefault="00D25DEC" w:rsidP="00950C0A">
            <w:pPr>
              <w:pStyle w:val="Tabletext"/>
              <w:tabs>
                <w:tab w:val="decimal" w:pos="765"/>
              </w:tabs>
              <w:rPr>
                <w:color w:val="000000"/>
              </w:rPr>
            </w:pPr>
            <w:r w:rsidRPr="005F61BD">
              <w:rPr>
                <w:color w:val="000000"/>
              </w:rPr>
              <w:t>37</w:t>
            </w:r>
          </w:p>
        </w:tc>
        <w:tc>
          <w:tcPr>
            <w:tcW w:w="1627" w:type="dxa"/>
            <w:tcBorders>
              <w:top w:val="nil"/>
              <w:left w:val="nil"/>
              <w:bottom w:val="nil"/>
              <w:right w:val="nil"/>
            </w:tcBorders>
          </w:tcPr>
          <w:p w:rsidR="00D25DEC" w:rsidRPr="005F61BD" w:rsidRDefault="00D25DEC" w:rsidP="00950C0A">
            <w:pPr>
              <w:pStyle w:val="Tabletext"/>
              <w:ind w:right="510"/>
              <w:jc w:val="right"/>
              <w:rPr>
                <w:color w:val="000000"/>
              </w:rPr>
            </w:pPr>
            <w:r w:rsidRPr="005F61BD">
              <w:rPr>
                <w:color w:val="000000"/>
              </w:rPr>
              <w:t>3</w:t>
            </w:r>
            <w:r w:rsidR="00950C0A">
              <w:rPr>
                <w:color w:val="000000"/>
              </w:rPr>
              <w:t xml:space="preserve"> </w:t>
            </w:r>
            <w:r w:rsidRPr="005F61BD">
              <w:rPr>
                <w:color w:val="000000"/>
              </w:rPr>
              <w:t>778</w:t>
            </w:r>
          </w:p>
        </w:tc>
        <w:tc>
          <w:tcPr>
            <w:tcW w:w="1628" w:type="dxa"/>
            <w:tcBorders>
              <w:top w:val="nil"/>
              <w:left w:val="nil"/>
              <w:bottom w:val="nil"/>
              <w:right w:val="nil"/>
            </w:tcBorders>
          </w:tcPr>
          <w:p w:rsidR="00D25DEC" w:rsidRPr="005F61BD" w:rsidRDefault="00D25DEC" w:rsidP="00950C0A">
            <w:pPr>
              <w:pStyle w:val="Tabletext"/>
              <w:tabs>
                <w:tab w:val="decimal" w:pos="765"/>
              </w:tabs>
              <w:rPr>
                <w:color w:val="000000"/>
              </w:rPr>
            </w:pPr>
            <w:r w:rsidRPr="005F61BD">
              <w:rPr>
                <w:color w:val="000000"/>
              </w:rPr>
              <w:t>14</w:t>
            </w:r>
          </w:p>
        </w:tc>
      </w:tr>
      <w:tr w:rsidR="00D25DEC" w:rsidRPr="005F61BD" w:rsidTr="00950C0A">
        <w:tc>
          <w:tcPr>
            <w:tcW w:w="2279" w:type="dxa"/>
            <w:tcBorders>
              <w:top w:val="nil"/>
              <w:left w:val="nil"/>
              <w:bottom w:val="nil"/>
              <w:right w:val="nil"/>
            </w:tcBorders>
            <w:shd w:val="clear" w:color="auto" w:fill="auto"/>
            <w:noWrap/>
            <w:hideMark/>
          </w:tcPr>
          <w:p w:rsidR="00D25DEC" w:rsidRPr="005F61BD" w:rsidRDefault="00D25DEC" w:rsidP="00950C0A">
            <w:pPr>
              <w:pStyle w:val="Tabletext"/>
              <w:rPr>
                <w:lang w:val="en-US"/>
              </w:rPr>
            </w:pPr>
            <w:r w:rsidRPr="005F61BD">
              <w:rPr>
                <w:lang w:val="en-US"/>
              </w:rPr>
              <w:t>Cluster 3</w:t>
            </w:r>
          </w:p>
        </w:tc>
        <w:tc>
          <w:tcPr>
            <w:tcW w:w="1627" w:type="dxa"/>
            <w:tcBorders>
              <w:top w:val="nil"/>
              <w:left w:val="nil"/>
              <w:bottom w:val="nil"/>
              <w:right w:val="nil"/>
            </w:tcBorders>
            <w:shd w:val="clear" w:color="auto" w:fill="auto"/>
            <w:noWrap/>
            <w:hideMark/>
          </w:tcPr>
          <w:p w:rsidR="00D25DEC" w:rsidRPr="005F61BD" w:rsidRDefault="00D25DEC" w:rsidP="00950C0A">
            <w:pPr>
              <w:pStyle w:val="Tabletext"/>
              <w:ind w:right="454"/>
              <w:jc w:val="right"/>
              <w:rPr>
                <w:color w:val="000000"/>
              </w:rPr>
            </w:pPr>
            <w:r w:rsidRPr="005F61BD">
              <w:rPr>
                <w:color w:val="000000"/>
              </w:rPr>
              <w:t>25</w:t>
            </w:r>
            <w:r w:rsidR="00950C0A">
              <w:rPr>
                <w:color w:val="000000"/>
              </w:rPr>
              <w:t xml:space="preserve"> </w:t>
            </w:r>
            <w:r w:rsidRPr="005F61BD">
              <w:rPr>
                <w:color w:val="000000"/>
              </w:rPr>
              <w:t>905</w:t>
            </w:r>
          </w:p>
        </w:tc>
        <w:tc>
          <w:tcPr>
            <w:tcW w:w="1628" w:type="dxa"/>
            <w:tcBorders>
              <w:top w:val="nil"/>
              <w:left w:val="nil"/>
              <w:bottom w:val="nil"/>
              <w:right w:val="nil"/>
            </w:tcBorders>
            <w:shd w:val="clear" w:color="auto" w:fill="auto"/>
            <w:noWrap/>
            <w:hideMark/>
          </w:tcPr>
          <w:p w:rsidR="00D25DEC" w:rsidRPr="005F61BD" w:rsidRDefault="00D25DEC" w:rsidP="00950C0A">
            <w:pPr>
              <w:pStyle w:val="Tabletext"/>
              <w:tabs>
                <w:tab w:val="decimal" w:pos="765"/>
              </w:tabs>
              <w:rPr>
                <w:color w:val="000000"/>
              </w:rPr>
            </w:pPr>
            <w:r w:rsidRPr="005F61BD">
              <w:rPr>
                <w:color w:val="000000"/>
              </w:rPr>
              <w:t>35</w:t>
            </w:r>
          </w:p>
        </w:tc>
        <w:tc>
          <w:tcPr>
            <w:tcW w:w="1627" w:type="dxa"/>
            <w:tcBorders>
              <w:top w:val="nil"/>
              <w:left w:val="nil"/>
              <w:bottom w:val="nil"/>
              <w:right w:val="nil"/>
            </w:tcBorders>
          </w:tcPr>
          <w:p w:rsidR="00D25DEC" w:rsidRPr="005F61BD" w:rsidRDefault="00D25DEC" w:rsidP="00950C0A">
            <w:pPr>
              <w:pStyle w:val="Tabletext"/>
              <w:ind w:right="510"/>
              <w:jc w:val="right"/>
              <w:rPr>
                <w:color w:val="000000"/>
              </w:rPr>
            </w:pPr>
            <w:r w:rsidRPr="005F61BD">
              <w:rPr>
                <w:color w:val="000000"/>
              </w:rPr>
              <w:t>728</w:t>
            </w:r>
          </w:p>
        </w:tc>
        <w:tc>
          <w:tcPr>
            <w:tcW w:w="1628" w:type="dxa"/>
            <w:tcBorders>
              <w:top w:val="nil"/>
              <w:left w:val="nil"/>
              <w:bottom w:val="nil"/>
              <w:right w:val="nil"/>
            </w:tcBorders>
          </w:tcPr>
          <w:p w:rsidR="00D25DEC" w:rsidRPr="005F61BD" w:rsidRDefault="00950C0A" w:rsidP="00950C0A">
            <w:pPr>
              <w:pStyle w:val="Tabletext"/>
              <w:tabs>
                <w:tab w:val="decimal" w:pos="765"/>
              </w:tabs>
              <w:rPr>
                <w:color w:val="000000"/>
              </w:rPr>
            </w:pPr>
            <w:r>
              <w:rPr>
                <w:color w:val="000000"/>
              </w:rPr>
              <w:t>3</w:t>
            </w:r>
          </w:p>
        </w:tc>
      </w:tr>
      <w:tr w:rsidR="00D25DEC" w:rsidRPr="00950C0A" w:rsidTr="00950C0A">
        <w:tc>
          <w:tcPr>
            <w:tcW w:w="2279" w:type="dxa"/>
            <w:tcBorders>
              <w:top w:val="nil"/>
              <w:left w:val="nil"/>
              <w:bottom w:val="single" w:sz="4" w:space="0" w:color="auto"/>
              <w:right w:val="nil"/>
            </w:tcBorders>
            <w:shd w:val="clear" w:color="auto" w:fill="auto"/>
            <w:noWrap/>
            <w:hideMark/>
          </w:tcPr>
          <w:p w:rsidR="00D25DEC" w:rsidRPr="00950C0A" w:rsidRDefault="00D25DEC" w:rsidP="00950C0A">
            <w:pPr>
              <w:pStyle w:val="Tabletext"/>
              <w:rPr>
                <w:b/>
                <w:lang w:val="en-US"/>
              </w:rPr>
            </w:pPr>
            <w:r w:rsidRPr="00950C0A">
              <w:rPr>
                <w:b/>
                <w:lang w:val="en-US"/>
              </w:rPr>
              <w:t>Total</w:t>
            </w:r>
          </w:p>
        </w:tc>
        <w:tc>
          <w:tcPr>
            <w:tcW w:w="1627" w:type="dxa"/>
            <w:tcBorders>
              <w:top w:val="nil"/>
              <w:left w:val="nil"/>
              <w:bottom w:val="single" w:sz="4" w:space="0" w:color="auto"/>
              <w:right w:val="nil"/>
            </w:tcBorders>
            <w:shd w:val="clear" w:color="auto" w:fill="auto"/>
            <w:noWrap/>
            <w:hideMark/>
          </w:tcPr>
          <w:p w:rsidR="00D25DEC" w:rsidRPr="00950C0A" w:rsidRDefault="00D25DEC" w:rsidP="00950C0A">
            <w:pPr>
              <w:pStyle w:val="Tabletext"/>
              <w:ind w:right="454"/>
              <w:jc w:val="right"/>
              <w:rPr>
                <w:b/>
                <w:lang w:val="en-US"/>
              </w:rPr>
            </w:pPr>
            <w:r w:rsidRPr="00950C0A">
              <w:rPr>
                <w:b/>
                <w:lang w:val="en-US"/>
              </w:rPr>
              <w:t>71</w:t>
            </w:r>
            <w:r w:rsidR="00950C0A">
              <w:rPr>
                <w:b/>
                <w:lang w:val="en-US"/>
              </w:rPr>
              <w:t xml:space="preserve"> </w:t>
            </w:r>
            <w:r w:rsidRPr="00950C0A">
              <w:rPr>
                <w:b/>
                <w:lang w:val="en-US"/>
              </w:rPr>
              <w:t>650</w:t>
            </w:r>
          </w:p>
        </w:tc>
        <w:tc>
          <w:tcPr>
            <w:tcW w:w="1628" w:type="dxa"/>
            <w:tcBorders>
              <w:top w:val="nil"/>
              <w:left w:val="nil"/>
              <w:bottom w:val="single" w:sz="4" w:space="0" w:color="auto"/>
              <w:right w:val="nil"/>
            </w:tcBorders>
            <w:shd w:val="clear" w:color="auto" w:fill="auto"/>
            <w:noWrap/>
            <w:hideMark/>
          </w:tcPr>
          <w:p w:rsidR="00D25DEC" w:rsidRPr="00950C0A" w:rsidRDefault="00BC510F" w:rsidP="00950C0A">
            <w:pPr>
              <w:pStyle w:val="Tabletext"/>
              <w:tabs>
                <w:tab w:val="decimal" w:pos="765"/>
              </w:tabs>
              <w:rPr>
                <w:b/>
                <w:lang w:val="en-US"/>
              </w:rPr>
            </w:pPr>
            <w:r w:rsidRPr="00D07C62">
              <w:rPr>
                <w:b/>
                <w:lang w:val="en-US"/>
              </w:rPr>
              <w:t>100</w:t>
            </w:r>
          </w:p>
        </w:tc>
        <w:tc>
          <w:tcPr>
            <w:tcW w:w="1627" w:type="dxa"/>
            <w:tcBorders>
              <w:top w:val="nil"/>
              <w:left w:val="nil"/>
              <w:bottom w:val="single" w:sz="4" w:space="0" w:color="auto"/>
              <w:right w:val="nil"/>
            </w:tcBorders>
          </w:tcPr>
          <w:p w:rsidR="00D25DEC" w:rsidRPr="00950C0A" w:rsidRDefault="00D25DEC" w:rsidP="00950C0A">
            <w:pPr>
              <w:pStyle w:val="Tabletext"/>
              <w:ind w:right="510"/>
              <w:jc w:val="right"/>
              <w:rPr>
                <w:b/>
                <w:lang w:val="en-US"/>
              </w:rPr>
            </w:pPr>
            <w:r w:rsidRPr="00950C0A">
              <w:rPr>
                <w:b/>
                <w:lang w:val="en-US"/>
              </w:rPr>
              <w:t>9</w:t>
            </w:r>
            <w:r w:rsidR="00950C0A">
              <w:rPr>
                <w:b/>
                <w:lang w:val="en-US"/>
              </w:rPr>
              <w:t xml:space="preserve"> </w:t>
            </w:r>
            <w:r w:rsidRPr="00950C0A">
              <w:rPr>
                <w:b/>
                <w:lang w:val="en-US"/>
              </w:rPr>
              <w:t>288</w:t>
            </w:r>
          </w:p>
        </w:tc>
        <w:tc>
          <w:tcPr>
            <w:tcW w:w="1628" w:type="dxa"/>
            <w:tcBorders>
              <w:top w:val="nil"/>
              <w:left w:val="nil"/>
              <w:bottom w:val="single" w:sz="4" w:space="0" w:color="auto"/>
              <w:right w:val="nil"/>
            </w:tcBorders>
          </w:tcPr>
          <w:p w:rsidR="00D25DEC" w:rsidRPr="00950C0A" w:rsidRDefault="004A30BE" w:rsidP="00950C0A">
            <w:pPr>
              <w:pStyle w:val="Tabletext"/>
              <w:tabs>
                <w:tab w:val="decimal" w:pos="765"/>
              </w:tabs>
              <w:rPr>
                <w:b/>
              </w:rPr>
            </w:pPr>
            <w:r>
              <w:rPr>
                <w:b/>
              </w:rPr>
              <w:t>13</w:t>
            </w:r>
          </w:p>
        </w:tc>
      </w:tr>
    </w:tbl>
    <w:p w:rsidR="00C848C8" w:rsidRDefault="00D25DEC" w:rsidP="00D25DEC">
      <w:pPr>
        <w:pStyle w:val="Source"/>
      </w:pPr>
      <w:r>
        <w:t>Notes:</w:t>
      </w:r>
      <w:r w:rsidR="00950C0A">
        <w:tab/>
      </w:r>
      <w:r>
        <w:t>Due to the coding of some students in combined programs to two fields of education, the totals can be higher than</w:t>
      </w:r>
      <w:r w:rsidR="00C848C8">
        <w:t xml:space="preserve"> the total number of students.</w:t>
      </w:r>
    </w:p>
    <w:p w:rsidR="00C848C8" w:rsidRDefault="00C848C8" w:rsidP="00C848C8">
      <w:pPr>
        <w:pStyle w:val="Source"/>
      </w:pPr>
      <w:r>
        <w:t>Source:</w:t>
      </w:r>
      <w:r w:rsidR="00950C0A">
        <w:tab/>
      </w:r>
      <w:r>
        <w:t>Department of Education, Employment and Workplace Relations, Higher Education Statistics Collection, unpublished data (2010).</w:t>
      </w:r>
    </w:p>
    <w:p w:rsidR="00A72227" w:rsidRDefault="00A327E6" w:rsidP="002132C0">
      <w:pPr>
        <w:pStyle w:val="Textmorebefore"/>
      </w:pPr>
      <w:r>
        <w:t>As shown in t</w:t>
      </w:r>
      <w:r w:rsidR="00683015" w:rsidRPr="005C3D85">
        <w:t xml:space="preserve">able </w:t>
      </w:r>
      <w:r w:rsidR="00683015">
        <w:t>9</w:t>
      </w:r>
      <w:r w:rsidR="00683015" w:rsidRPr="005C3D85">
        <w:t xml:space="preserve">, total student load in </w:t>
      </w:r>
      <w:r w:rsidRPr="005C3D85">
        <w:t xml:space="preserve">management and commerce </w:t>
      </w:r>
      <w:r w:rsidR="00683015" w:rsidRPr="005C3D85">
        <w:t xml:space="preserve">programs is spread quite evenly between the </w:t>
      </w:r>
      <w:r w:rsidR="00683015">
        <w:t xml:space="preserve">three </w:t>
      </w:r>
      <w:r w:rsidR="00683015" w:rsidRPr="005C3D85">
        <w:t xml:space="preserve">clusters, with Clusters 2 and 3 </w:t>
      </w:r>
      <w:r w:rsidR="00683015">
        <w:t xml:space="preserve">each </w:t>
      </w:r>
      <w:r w:rsidR="00683015" w:rsidRPr="005C3D85">
        <w:t xml:space="preserve">enrolling around one-third of total </w:t>
      </w:r>
      <w:r w:rsidR="00683015">
        <w:t xml:space="preserve">undergraduate commencing </w:t>
      </w:r>
      <w:r w:rsidR="00683015" w:rsidRPr="005C3D85">
        <w:t>students, and Cluster 1 un</w:t>
      </w:r>
      <w:r>
        <w:t>iversities enrolling 28%</w:t>
      </w:r>
      <w:r w:rsidR="00683015" w:rsidRPr="005C3D85">
        <w:t>.</w:t>
      </w:r>
      <w:r w:rsidR="00657A42">
        <w:t xml:space="preserve"> </w:t>
      </w:r>
      <w:r w:rsidR="00C72A3A">
        <w:t xml:space="preserve">However </w:t>
      </w:r>
      <w:r w:rsidR="00DA0AE6">
        <w:t>Cluster 1 univ</w:t>
      </w:r>
      <w:r>
        <w:t>ersities in this field are over</w:t>
      </w:r>
      <w:r w:rsidR="00DA0AE6">
        <w:t xml:space="preserve">represented </w:t>
      </w:r>
      <w:r w:rsidR="00E34816">
        <w:t xml:space="preserve">in terms of their enrolment share </w:t>
      </w:r>
      <w:r w:rsidR="00DA0AE6">
        <w:t xml:space="preserve">(with 28% of </w:t>
      </w:r>
      <w:r>
        <w:t xml:space="preserve">management and commerce </w:t>
      </w:r>
      <w:r w:rsidR="00DA0AE6">
        <w:t>students compar</w:t>
      </w:r>
      <w:r>
        <w:t>ed with 24</w:t>
      </w:r>
      <w:r w:rsidR="00DA0AE6">
        <w:t>% of all students) and C</w:t>
      </w:r>
      <w:r>
        <w:t>luster 3 universities are under</w:t>
      </w:r>
      <w:r w:rsidR="00DA0AE6">
        <w:t xml:space="preserve">represented (with 35% of </w:t>
      </w:r>
      <w:r>
        <w:t xml:space="preserve">management and commerce </w:t>
      </w:r>
      <w:r w:rsidR="00DA0AE6">
        <w:t xml:space="preserve">students compared </w:t>
      </w:r>
      <w:r>
        <w:t>with</w:t>
      </w:r>
      <w:r w:rsidR="00DA0AE6">
        <w:t xml:space="preserve"> 38% of all students)</w:t>
      </w:r>
      <w:r w:rsidR="00C72A3A">
        <w:t>. Th</w:t>
      </w:r>
      <w:r>
        <w:t>e over</w:t>
      </w:r>
      <w:r w:rsidR="00E34816">
        <w:t>representation of Cluster 1 universities is therefore influenc</w:t>
      </w:r>
      <w:r w:rsidR="00A72227">
        <w:t>ing</w:t>
      </w:r>
      <w:r w:rsidR="00E34816">
        <w:t xml:space="preserve"> the national rate and </w:t>
      </w:r>
      <w:r w:rsidR="00463865">
        <w:t>ma</w:t>
      </w:r>
      <w:r w:rsidR="00A72227">
        <w:t>king</w:t>
      </w:r>
      <w:r w:rsidR="00463865">
        <w:t xml:space="preserve"> it higher than it would be if univer</w:t>
      </w:r>
      <w:r>
        <w:t>sities from Cluster 3 were over</w:t>
      </w:r>
      <w:r w:rsidR="00463865">
        <w:t>represented</w:t>
      </w:r>
      <w:r w:rsidR="00BF596D">
        <w:t xml:space="preserve"> in terms of their enrolment share</w:t>
      </w:r>
      <w:r w:rsidR="00DA0AE6">
        <w:t xml:space="preserve">. </w:t>
      </w:r>
    </w:p>
    <w:p w:rsidR="00870DB9" w:rsidRDefault="00463865" w:rsidP="00D25DEC">
      <w:pPr>
        <w:pStyle w:val="Text"/>
      </w:pPr>
      <w:r>
        <w:t xml:space="preserve">From these data, we can </w:t>
      </w:r>
      <w:r w:rsidR="00BF596D">
        <w:t>infer</w:t>
      </w:r>
      <w:r>
        <w:t xml:space="preserve"> that</w:t>
      </w:r>
      <w:r w:rsidR="00A327E6">
        <w:t>,</w:t>
      </w:r>
      <w:r>
        <w:t xml:space="preserve"> i</w:t>
      </w:r>
      <w:r w:rsidR="00CD31E4">
        <w:t xml:space="preserve">f </w:t>
      </w:r>
      <w:r w:rsidR="00870DB9">
        <w:t>Cluster 1 and 2 universities ceased to offer underg</w:t>
      </w:r>
      <w:r>
        <w:t xml:space="preserve">raduate programs in this field, </w:t>
      </w:r>
      <w:r w:rsidR="00870DB9">
        <w:t xml:space="preserve">the proportion of VET </w:t>
      </w:r>
      <w:r w:rsidR="00B87FBB">
        <w:t>award holders</w:t>
      </w:r>
      <w:r w:rsidR="00870DB9">
        <w:t xml:space="preserve"> admitted to </w:t>
      </w:r>
      <w:r w:rsidR="00A327E6">
        <w:t xml:space="preserve">management and commerce </w:t>
      </w:r>
      <w:r w:rsidR="00870DB9">
        <w:t xml:space="preserve">programs </w:t>
      </w:r>
      <w:r w:rsidR="00CD31E4">
        <w:t xml:space="preserve">nationally </w:t>
      </w:r>
      <w:r>
        <w:t xml:space="preserve">would be </w:t>
      </w:r>
      <w:r w:rsidR="00A327E6">
        <w:t>only 3%</w:t>
      </w:r>
      <w:r w:rsidR="00870DB9">
        <w:t>.</w:t>
      </w:r>
      <w:r w:rsidR="00BF596D">
        <w:t xml:space="preserve"> Such an event would mean that the field of </w:t>
      </w:r>
      <w:r w:rsidR="00A327E6">
        <w:t>management and commerce</w:t>
      </w:r>
      <w:r w:rsidR="00BF596D">
        <w:t xml:space="preserve"> would move from </w:t>
      </w:r>
      <w:r w:rsidR="00A72227">
        <w:t>reporting</w:t>
      </w:r>
      <w:r w:rsidR="00A327E6">
        <w:t xml:space="preserve"> the second </w:t>
      </w:r>
      <w:r w:rsidR="00BF596D">
        <w:t xml:space="preserve">highest rate of admission of VET </w:t>
      </w:r>
      <w:r w:rsidR="00B87FBB">
        <w:t>award holders</w:t>
      </w:r>
      <w:r w:rsidR="00BF596D">
        <w:t xml:space="preserve"> (13</w:t>
      </w:r>
      <w:r w:rsidR="00A327E6">
        <w:t>%</w:t>
      </w:r>
      <w:r w:rsidR="00BF596D">
        <w:t>) in Australia, to having the lowest rate of all fields.</w:t>
      </w:r>
    </w:p>
    <w:p w:rsidR="00EE4D70" w:rsidRDefault="00EE4D70" w:rsidP="002132C0">
      <w:pPr>
        <w:pStyle w:val="Heading3"/>
      </w:pPr>
      <w:r>
        <w:t>Influence of discipline mix at the sub-field level</w:t>
      </w:r>
    </w:p>
    <w:p w:rsidR="008F1696" w:rsidRDefault="00657A42" w:rsidP="002132C0">
      <w:pPr>
        <w:pStyle w:val="Textlessbefore"/>
      </w:pPr>
      <w:r>
        <w:t>A</w:t>
      </w:r>
      <w:r w:rsidR="00EE4D70">
        <w:t>nother</w:t>
      </w:r>
      <w:r>
        <w:t xml:space="preserve"> possible </w:t>
      </w:r>
      <w:r w:rsidR="00870DB9">
        <w:t xml:space="preserve">explanation for </w:t>
      </w:r>
      <w:r w:rsidR="00787D0D">
        <w:t>observed variation</w:t>
      </w:r>
      <w:r w:rsidR="00EB2D8A">
        <w:t xml:space="preserve"> in admission rate</w:t>
      </w:r>
      <w:r w:rsidR="00870DB9">
        <w:t xml:space="preserve"> of VET </w:t>
      </w:r>
      <w:r w:rsidR="00B87FBB">
        <w:t>award holders</w:t>
      </w:r>
      <w:r w:rsidR="00870DB9">
        <w:t xml:space="preserve"> between </w:t>
      </w:r>
      <w:r>
        <w:t xml:space="preserve">clusters </w:t>
      </w:r>
      <w:r w:rsidR="00870DB9">
        <w:t xml:space="preserve">might be </w:t>
      </w:r>
      <w:r w:rsidR="00900485">
        <w:t xml:space="preserve">the </w:t>
      </w:r>
      <w:r w:rsidR="00870DB9">
        <w:t xml:space="preserve">differences in the discipline mix </w:t>
      </w:r>
      <w:r w:rsidR="00802BC8">
        <w:t xml:space="preserve">of undergraduate programs. </w:t>
      </w:r>
      <w:r w:rsidR="00DE1042">
        <w:t>I</w:t>
      </w:r>
      <w:r w:rsidR="008F1696">
        <w:t>f</w:t>
      </w:r>
      <w:r w:rsidR="00DE1042">
        <w:t xml:space="preserve"> the universities</w:t>
      </w:r>
      <w:r w:rsidR="00870DB9">
        <w:t xml:space="preserve"> </w:t>
      </w:r>
      <w:r w:rsidR="00DE1042">
        <w:t xml:space="preserve">in Cluster 3 </w:t>
      </w:r>
      <w:r w:rsidR="008F1696">
        <w:t>are</w:t>
      </w:r>
      <w:r w:rsidR="00DE1042">
        <w:t xml:space="preserve"> offering distinctly different c</w:t>
      </w:r>
      <w:r w:rsidR="000C1499">
        <w:t>ourses</w:t>
      </w:r>
      <w:r w:rsidR="00DE1042">
        <w:t xml:space="preserve"> in terms </w:t>
      </w:r>
      <w:r w:rsidR="000C1499">
        <w:t>of subjects and specialisations</w:t>
      </w:r>
      <w:r w:rsidR="008F1696">
        <w:t xml:space="preserve"> than other universities, this may be the reason for the low admission rates of VET </w:t>
      </w:r>
      <w:r w:rsidR="00B87FBB">
        <w:t>award holders</w:t>
      </w:r>
      <w:r w:rsidR="008F1696">
        <w:t xml:space="preserve"> in Cluster 3 universities. We can explore this by examining universities’ enrolment shares and rates of admission of VET </w:t>
      </w:r>
      <w:r w:rsidR="00B87FBB">
        <w:t>award holders</w:t>
      </w:r>
      <w:r w:rsidR="008F1696">
        <w:t xml:space="preserve"> in narrow and detailed sub-fields within the broad fields of education. </w:t>
      </w:r>
    </w:p>
    <w:p w:rsidR="007508D4" w:rsidRDefault="001803AB" w:rsidP="002132C0">
      <w:pPr>
        <w:pStyle w:val="Text"/>
      </w:pPr>
      <w:r>
        <w:t>Under</w:t>
      </w:r>
      <w:r w:rsidR="00657A42" w:rsidRPr="009D3A74">
        <w:t xml:space="preserve"> the </w:t>
      </w:r>
      <w:r w:rsidR="00A327E6">
        <w:t>Australian Standard Classification of Education</w:t>
      </w:r>
      <w:r w:rsidR="00657A42" w:rsidRPr="009D3A74">
        <w:t>, each of the ten broad fields of education contain</w:t>
      </w:r>
      <w:r w:rsidR="00A327E6">
        <w:t>s</w:t>
      </w:r>
      <w:r w:rsidR="00657A42" w:rsidRPr="009D3A74">
        <w:t xml:space="preserve"> two further levels of disaggregation: narrow and detailed sub-fields. For example, </w:t>
      </w:r>
      <w:r w:rsidR="00230C1A">
        <w:t xml:space="preserve">the broad field of </w:t>
      </w:r>
      <w:r w:rsidR="00A327E6">
        <w:t xml:space="preserve">management and commerce </w:t>
      </w:r>
      <w:r w:rsidR="00230C1A">
        <w:t xml:space="preserve">(FOE 08) comprises the sub-fields of: </w:t>
      </w:r>
      <w:r w:rsidR="00A327E6">
        <w:t xml:space="preserve">accounting (0801); sales and </w:t>
      </w:r>
      <w:r w:rsidR="00A327E6">
        <w:lastRenderedPageBreak/>
        <w:t>marketing (0803); tourism (0807); banking, finance and related fields (0811); and other management and commerce</w:t>
      </w:r>
      <w:r w:rsidR="00230C1A">
        <w:t xml:space="preserve"> (0899). </w:t>
      </w:r>
      <w:r>
        <w:t xml:space="preserve">To explore the extent to which </w:t>
      </w:r>
      <w:r w:rsidR="00900485">
        <w:t xml:space="preserve">the </w:t>
      </w:r>
      <w:r>
        <w:t xml:space="preserve">differences in </w:t>
      </w:r>
      <w:r w:rsidR="00230C1A">
        <w:t xml:space="preserve">universities’ </w:t>
      </w:r>
      <w:r>
        <w:t>specialised course offerings</w:t>
      </w:r>
      <w:r w:rsidR="00657A42">
        <w:t xml:space="preserve"> </w:t>
      </w:r>
      <w:r>
        <w:t>by</w:t>
      </w:r>
      <w:r w:rsidR="00657A42">
        <w:t xml:space="preserve"> sub-fields m</w:t>
      </w:r>
      <w:r>
        <w:t>ight</w:t>
      </w:r>
      <w:r w:rsidR="00657A42">
        <w:t xml:space="preserve"> influence the overall rate of admission of VET </w:t>
      </w:r>
      <w:r w:rsidR="00B87FBB">
        <w:t>award holders</w:t>
      </w:r>
      <w:r>
        <w:t xml:space="preserve"> by a university or cluster, we</w:t>
      </w:r>
      <w:r w:rsidR="00870DB9">
        <w:t xml:space="preserve"> analysed admissions data </w:t>
      </w:r>
      <w:r w:rsidR="00230C1A">
        <w:t>at this level</w:t>
      </w:r>
      <w:r>
        <w:t xml:space="preserve">. The detailed analysis of sub-fields within </w:t>
      </w:r>
      <w:r w:rsidR="00230C1A">
        <w:t xml:space="preserve">four </w:t>
      </w:r>
      <w:r w:rsidR="00870DB9">
        <w:t xml:space="preserve">broad fields of education </w:t>
      </w:r>
      <w:r w:rsidR="007508D4">
        <w:t>i</w:t>
      </w:r>
      <w:r w:rsidR="0090547D">
        <w:t>s</w:t>
      </w:r>
      <w:r w:rsidR="007508D4">
        <w:t xml:space="preserve"> </w:t>
      </w:r>
      <w:r>
        <w:t xml:space="preserve">provided in </w:t>
      </w:r>
      <w:r w:rsidR="007508D4">
        <w:t xml:space="preserve">the </w:t>
      </w:r>
      <w:r w:rsidR="000C1499">
        <w:t>support document</w:t>
      </w:r>
      <w:r>
        <w:t>.</w:t>
      </w:r>
      <w:r w:rsidR="00230C1A">
        <w:t xml:space="preserve"> </w:t>
      </w:r>
      <w:r>
        <w:t xml:space="preserve">Our examination of the </w:t>
      </w:r>
      <w:r w:rsidR="00230C1A">
        <w:t xml:space="preserve">influence of course mix on admission rates of VET </w:t>
      </w:r>
      <w:r w:rsidR="00B87FBB">
        <w:t>award holders</w:t>
      </w:r>
      <w:r w:rsidR="00230C1A">
        <w:t xml:space="preserve"> </w:t>
      </w:r>
      <w:r w:rsidR="00870DB9">
        <w:t>reinforce</w:t>
      </w:r>
      <w:r>
        <w:t>s</w:t>
      </w:r>
      <w:r w:rsidR="00870DB9">
        <w:t xml:space="preserve"> the </w:t>
      </w:r>
      <w:r w:rsidR="0018795D">
        <w:t>role</w:t>
      </w:r>
      <w:r w:rsidR="00657A42">
        <w:t xml:space="preserve"> </w:t>
      </w:r>
      <w:r w:rsidR="00870DB9">
        <w:t>of institution</w:t>
      </w:r>
      <w:r w:rsidR="00657A42">
        <w:t xml:space="preserve"> and cluster</w:t>
      </w:r>
      <w:r w:rsidR="00870DB9">
        <w:t xml:space="preserve"> rather than </w:t>
      </w:r>
      <w:r w:rsidR="00A327E6">
        <w:t xml:space="preserve">the </w:t>
      </w:r>
      <w:r w:rsidR="008E7D20">
        <w:t xml:space="preserve">characteristics of </w:t>
      </w:r>
      <w:r w:rsidR="00870DB9">
        <w:t>field</w:t>
      </w:r>
      <w:r w:rsidR="008E7D20">
        <w:t>s</w:t>
      </w:r>
      <w:r w:rsidR="00870DB9">
        <w:t xml:space="preserve"> o</w:t>
      </w:r>
      <w:r w:rsidR="00787D0D">
        <w:t>r sub-fields</w:t>
      </w:r>
      <w:r w:rsidR="00870DB9">
        <w:t xml:space="preserve"> on rates of admission of VET </w:t>
      </w:r>
      <w:r w:rsidR="00B87FBB">
        <w:t>award holders</w:t>
      </w:r>
      <w:r w:rsidR="00657A42">
        <w:t xml:space="preserve"> </w:t>
      </w:r>
      <w:r w:rsidR="0009697C">
        <w:t>into higher education</w:t>
      </w:r>
      <w:r w:rsidR="00192D8F">
        <w:t>.</w:t>
      </w:r>
      <w:r w:rsidR="007508D4">
        <w:rPr>
          <w:rStyle w:val="FootnoteReference"/>
        </w:rPr>
        <w:footnoteReference w:id="7"/>
      </w:r>
      <w:r w:rsidR="007508D4">
        <w:t xml:space="preserve"> </w:t>
      </w:r>
    </w:p>
    <w:p w:rsidR="00657A42" w:rsidRDefault="00192D8F" w:rsidP="00657A42">
      <w:pPr>
        <w:pStyle w:val="Text"/>
      </w:pPr>
      <w:r>
        <w:t xml:space="preserve">For example, </w:t>
      </w:r>
      <w:r w:rsidR="006A310B">
        <w:t>within</w:t>
      </w:r>
      <w:r w:rsidR="0079415E">
        <w:t xml:space="preserve"> the broad field </w:t>
      </w:r>
      <w:r w:rsidR="00A327E6">
        <w:t xml:space="preserve">of engineering and related technologies (FOE 03), in the sub-field of </w:t>
      </w:r>
      <w:r w:rsidR="00A327E6" w:rsidRPr="005C3D85">
        <w:t xml:space="preserve">electrical and electronic engineering </w:t>
      </w:r>
      <w:r>
        <w:t>(FOE 0305)</w:t>
      </w:r>
      <w:r w:rsidR="0079415E">
        <w:t xml:space="preserve"> </w:t>
      </w:r>
      <w:r>
        <w:t xml:space="preserve">VET </w:t>
      </w:r>
      <w:r w:rsidR="00B87FBB">
        <w:t>award holders</w:t>
      </w:r>
      <w:r>
        <w:t xml:space="preserve"> </w:t>
      </w:r>
      <w:r w:rsidR="0079415E">
        <w:t xml:space="preserve">are admitted </w:t>
      </w:r>
      <w:r>
        <w:t>at almost twice the rate of the broad field</w:t>
      </w:r>
      <w:r w:rsidR="0079415E">
        <w:t xml:space="preserve"> (13.7% compared </w:t>
      </w:r>
      <w:r w:rsidR="00A327E6">
        <w:t>with 7.4%). As shown in t</w:t>
      </w:r>
      <w:r w:rsidR="0079415E">
        <w:t>able 10, universities from Clusters 1,</w:t>
      </w:r>
      <w:r w:rsidR="00A327E6">
        <w:t xml:space="preserve"> </w:t>
      </w:r>
      <w:r w:rsidR="0079415E">
        <w:t xml:space="preserve">2 and 3 are all represented in the top ten providers of </w:t>
      </w:r>
      <w:r w:rsidR="00A327E6">
        <w:t xml:space="preserve">electrical and electronic engineering </w:t>
      </w:r>
      <w:r w:rsidR="0079415E">
        <w:t xml:space="preserve">and these </w:t>
      </w:r>
      <w:r w:rsidR="00A327E6">
        <w:t>ten</w:t>
      </w:r>
      <w:r w:rsidR="0079415E">
        <w:t xml:space="preserve"> universities</w:t>
      </w:r>
      <w:r w:rsidRPr="005C3D85">
        <w:t xml:space="preserve"> enrol well over three-quarters of all </w:t>
      </w:r>
      <w:r w:rsidR="00657A42">
        <w:t xml:space="preserve">commencing students. </w:t>
      </w:r>
    </w:p>
    <w:p w:rsidR="00192D8F" w:rsidRDefault="00192D8F" w:rsidP="00B24BC7">
      <w:pPr>
        <w:pStyle w:val="tabletitle"/>
      </w:pPr>
      <w:bookmarkStart w:id="54" w:name="_Toc328945215"/>
      <w:bookmarkStart w:id="55" w:name="_Toc364688860"/>
      <w:r>
        <w:t xml:space="preserve">Table </w:t>
      </w:r>
      <w:r w:rsidR="00657A42">
        <w:t>10</w:t>
      </w:r>
      <w:r>
        <w:tab/>
        <w:t xml:space="preserve">VET </w:t>
      </w:r>
      <w:r w:rsidR="00B87FBB">
        <w:t>award holders</w:t>
      </w:r>
      <w:r>
        <w:t xml:space="preserve"> and all undergraduate commencements, by top ten providers of undergraduate programs in</w:t>
      </w:r>
      <w:r w:rsidRPr="00CE2F6B">
        <w:t xml:space="preserve"> </w:t>
      </w:r>
      <w:r w:rsidR="00A327E6" w:rsidRPr="00CE2F6B">
        <w:t xml:space="preserve">electrical and electronic engineering and technology </w:t>
      </w:r>
      <w:r w:rsidRPr="00CE2F6B">
        <w:t>(FOE 0305)</w:t>
      </w:r>
      <w:r w:rsidR="00E6652F">
        <w:t xml:space="preserve">, </w:t>
      </w:r>
      <w:r>
        <w:t>Australia</w:t>
      </w:r>
      <w:r w:rsidR="00A327E6">
        <w:t>,</w:t>
      </w:r>
      <w:r>
        <w:t xml:space="preserve"> 2010</w:t>
      </w:r>
      <w:bookmarkEnd w:id="54"/>
      <w:bookmarkEnd w:id="55"/>
    </w:p>
    <w:tbl>
      <w:tblPr>
        <w:tblW w:w="8789" w:type="dxa"/>
        <w:tblInd w:w="108" w:type="dxa"/>
        <w:tblLayout w:type="fixed"/>
        <w:tblLook w:val="04A0" w:firstRow="1" w:lastRow="0" w:firstColumn="1" w:lastColumn="0" w:noHBand="0" w:noVBand="1"/>
      </w:tblPr>
      <w:tblGrid>
        <w:gridCol w:w="3686"/>
        <w:gridCol w:w="1275"/>
        <w:gridCol w:w="1276"/>
        <w:gridCol w:w="1276"/>
        <w:gridCol w:w="1276"/>
      </w:tblGrid>
      <w:tr w:rsidR="00192D8F" w:rsidRPr="00B24BC7" w:rsidTr="00696289">
        <w:tc>
          <w:tcPr>
            <w:tcW w:w="3686" w:type="dxa"/>
            <w:tcBorders>
              <w:top w:val="single" w:sz="4" w:space="0" w:color="auto"/>
              <w:left w:val="nil"/>
              <w:bottom w:val="nil"/>
              <w:right w:val="nil"/>
            </w:tcBorders>
            <w:shd w:val="clear" w:color="auto" w:fill="auto"/>
            <w:noWrap/>
            <w:hideMark/>
          </w:tcPr>
          <w:p w:rsidR="00192D8F" w:rsidRPr="00B24BC7" w:rsidRDefault="004270FD" w:rsidP="00B24BC7">
            <w:pPr>
              <w:pStyle w:val="Tablehead1"/>
            </w:pPr>
            <w:r>
              <w:t>Institution (c</w:t>
            </w:r>
            <w:r w:rsidR="008B4FB6" w:rsidRPr="00B24BC7">
              <w:t>luster)</w:t>
            </w:r>
          </w:p>
        </w:tc>
        <w:tc>
          <w:tcPr>
            <w:tcW w:w="2551" w:type="dxa"/>
            <w:gridSpan w:val="2"/>
            <w:tcBorders>
              <w:top w:val="single" w:sz="4" w:space="0" w:color="auto"/>
              <w:left w:val="nil"/>
              <w:bottom w:val="nil"/>
              <w:right w:val="nil"/>
            </w:tcBorders>
            <w:shd w:val="clear" w:color="auto" w:fill="auto"/>
            <w:noWrap/>
            <w:hideMark/>
          </w:tcPr>
          <w:p w:rsidR="00192D8F" w:rsidRPr="00B24BC7" w:rsidRDefault="00192D8F" w:rsidP="00696289">
            <w:pPr>
              <w:pStyle w:val="Tablehead1"/>
              <w:jc w:val="center"/>
              <w:rPr>
                <w:szCs w:val="17"/>
              </w:rPr>
            </w:pPr>
            <w:r w:rsidRPr="00B24BC7">
              <w:rPr>
                <w:szCs w:val="17"/>
              </w:rPr>
              <w:t>All undergraduate commencements</w:t>
            </w:r>
          </w:p>
        </w:tc>
        <w:tc>
          <w:tcPr>
            <w:tcW w:w="2552" w:type="dxa"/>
            <w:gridSpan w:val="2"/>
            <w:tcBorders>
              <w:top w:val="single" w:sz="4" w:space="0" w:color="auto"/>
              <w:left w:val="nil"/>
              <w:bottom w:val="nil"/>
              <w:right w:val="nil"/>
            </w:tcBorders>
          </w:tcPr>
          <w:p w:rsidR="00192D8F" w:rsidRPr="00B24BC7" w:rsidRDefault="00192D8F" w:rsidP="00696289">
            <w:pPr>
              <w:pStyle w:val="Tablehead1"/>
              <w:jc w:val="center"/>
              <w:rPr>
                <w:szCs w:val="17"/>
              </w:rPr>
            </w:pPr>
            <w:r w:rsidRPr="00B24BC7">
              <w:rPr>
                <w:szCs w:val="17"/>
              </w:rPr>
              <w:t xml:space="preserve">VET </w:t>
            </w:r>
            <w:r w:rsidR="00B87FBB" w:rsidRPr="00B24BC7">
              <w:rPr>
                <w:szCs w:val="17"/>
              </w:rPr>
              <w:t>award holders</w:t>
            </w:r>
          </w:p>
        </w:tc>
      </w:tr>
      <w:tr w:rsidR="00192D8F" w:rsidRPr="00B24BC7" w:rsidTr="00696289">
        <w:tc>
          <w:tcPr>
            <w:tcW w:w="3686" w:type="dxa"/>
            <w:tcBorders>
              <w:top w:val="nil"/>
              <w:left w:val="nil"/>
              <w:bottom w:val="single" w:sz="4" w:space="0" w:color="auto"/>
              <w:right w:val="nil"/>
            </w:tcBorders>
            <w:shd w:val="clear" w:color="auto" w:fill="auto"/>
            <w:noWrap/>
            <w:hideMark/>
          </w:tcPr>
          <w:p w:rsidR="00192D8F" w:rsidRPr="00B24BC7" w:rsidRDefault="00192D8F" w:rsidP="00B24BC7">
            <w:pPr>
              <w:pStyle w:val="Tablehead2"/>
            </w:pPr>
          </w:p>
        </w:tc>
        <w:tc>
          <w:tcPr>
            <w:tcW w:w="1275" w:type="dxa"/>
            <w:tcBorders>
              <w:top w:val="nil"/>
              <w:left w:val="nil"/>
              <w:bottom w:val="single" w:sz="4" w:space="0" w:color="auto"/>
              <w:right w:val="nil"/>
            </w:tcBorders>
            <w:shd w:val="clear" w:color="auto" w:fill="auto"/>
            <w:noWrap/>
            <w:hideMark/>
          </w:tcPr>
          <w:p w:rsidR="00192D8F" w:rsidRPr="00B24BC7" w:rsidRDefault="00192D8F" w:rsidP="00696289">
            <w:pPr>
              <w:pStyle w:val="Tablehead2"/>
              <w:jc w:val="center"/>
            </w:pPr>
            <w:r w:rsidRPr="00B24BC7">
              <w:t>Students</w:t>
            </w:r>
          </w:p>
        </w:tc>
        <w:tc>
          <w:tcPr>
            <w:tcW w:w="1276" w:type="dxa"/>
            <w:tcBorders>
              <w:top w:val="nil"/>
              <w:left w:val="nil"/>
              <w:bottom w:val="single" w:sz="4" w:space="0" w:color="auto"/>
              <w:right w:val="nil"/>
            </w:tcBorders>
            <w:shd w:val="clear" w:color="auto" w:fill="auto"/>
            <w:noWrap/>
            <w:hideMark/>
          </w:tcPr>
          <w:p w:rsidR="00192D8F" w:rsidRPr="00B24BC7" w:rsidRDefault="00192D8F" w:rsidP="00696289">
            <w:pPr>
              <w:pStyle w:val="Tablehead2"/>
              <w:jc w:val="center"/>
            </w:pPr>
            <w:r w:rsidRPr="00B24BC7">
              <w:t>% total</w:t>
            </w:r>
          </w:p>
        </w:tc>
        <w:tc>
          <w:tcPr>
            <w:tcW w:w="1276" w:type="dxa"/>
            <w:tcBorders>
              <w:top w:val="nil"/>
              <w:left w:val="nil"/>
              <w:bottom w:val="single" w:sz="4" w:space="0" w:color="auto"/>
              <w:right w:val="nil"/>
            </w:tcBorders>
          </w:tcPr>
          <w:p w:rsidR="00192D8F" w:rsidRPr="00B24BC7" w:rsidRDefault="00192D8F" w:rsidP="00696289">
            <w:pPr>
              <w:pStyle w:val="Tablehead2"/>
              <w:jc w:val="center"/>
            </w:pPr>
            <w:r w:rsidRPr="00B24BC7">
              <w:t>Students</w:t>
            </w:r>
          </w:p>
        </w:tc>
        <w:tc>
          <w:tcPr>
            <w:tcW w:w="1276" w:type="dxa"/>
            <w:tcBorders>
              <w:top w:val="nil"/>
              <w:left w:val="nil"/>
              <w:bottom w:val="single" w:sz="4" w:space="0" w:color="auto"/>
              <w:right w:val="nil"/>
            </w:tcBorders>
          </w:tcPr>
          <w:p w:rsidR="00192D8F" w:rsidRPr="00B24BC7" w:rsidRDefault="00192D8F" w:rsidP="00696289">
            <w:pPr>
              <w:pStyle w:val="Tablehead2"/>
              <w:jc w:val="center"/>
            </w:pPr>
            <w:r w:rsidRPr="00B24BC7">
              <w:t>% all U/G</w:t>
            </w:r>
          </w:p>
        </w:tc>
      </w:tr>
      <w:tr w:rsidR="00192D8F" w:rsidRPr="00A96F8F" w:rsidTr="00696289">
        <w:tc>
          <w:tcPr>
            <w:tcW w:w="3686" w:type="dxa"/>
            <w:tcBorders>
              <w:top w:val="single" w:sz="4" w:space="0" w:color="auto"/>
              <w:left w:val="nil"/>
              <w:bottom w:val="nil"/>
              <w:right w:val="nil"/>
            </w:tcBorders>
            <w:shd w:val="clear" w:color="auto" w:fill="auto"/>
            <w:noWrap/>
            <w:hideMark/>
          </w:tcPr>
          <w:p w:rsidR="00192D8F" w:rsidRPr="00A96F8F" w:rsidRDefault="00192D8F" w:rsidP="00B24BC7">
            <w:pPr>
              <w:pStyle w:val="Tabletext"/>
            </w:pPr>
            <w:r w:rsidRPr="00A96F8F">
              <w:t>RMIT University</w:t>
            </w:r>
            <w:r>
              <w:t xml:space="preserve"> (1)</w:t>
            </w:r>
          </w:p>
        </w:tc>
        <w:tc>
          <w:tcPr>
            <w:tcW w:w="1275" w:type="dxa"/>
            <w:tcBorders>
              <w:top w:val="single" w:sz="4" w:space="0" w:color="auto"/>
              <w:left w:val="nil"/>
              <w:bottom w:val="nil"/>
              <w:right w:val="nil"/>
            </w:tcBorders>
            <w:shd w:val="clear" w:color="auto" w:fill="auto"/>
            <w:noWrap/>
            <w:hideMark/>
          </w:tcPr>
          <w:p w:rsidR="00192D8F" w:rsidRPr="00A96F8F" w:rsidRDefault="00192D8F" w:rsidP="00696289">
            <w:pPr>
              <w:pStyle w:val="Tabletext"/>
              <w:ind w:right="397"/>
              <w:jc w:val="right"/>
            </w:pPr>
            <w:r w:rsidRPr="00A96F8F">
              <w:t>406</w:t>
            </w:r>
          </w:p>
        </w:tc>
        <w:tc>
          <w:tcPr>
            <w:tcW w:w="1276" w:type="dxa"/>
            <w:tcBorders>
              <w:top w:val="single" w:sz="4" w:space="0" w:color="auto"/>
              <w:left w:val="nil"/>
              <w:bottom w:val="nil"/>
              <w:right w:val="nil"/>
            </w:tcBorders>
            <w:shd w:val="clear" w:color="auto" w:fill="auto"/>
            <w:noWrap/>
            <w:hideMark/>
          </w:tcPr>
          <w:p w:rsidR="00192D8F" w:rsidRPr="00A96F8F" w:rsidRDefault="00192D8F" w:rsidP="00696289">
            <w:pPr>
              <w:pStyle w:val="Tabletext"/>
              <w:tabs>
                <w:tab w:val="decimal" w:pos="539"/>
              </w:tabs>
            </w:pPr>
            <w:r w:rsidRPr="00A96F8F">
              <w:t>16.4</w:t>
            </w:r>
          </w:p>
        </w:tc>
        <w:tc>
          <w:tcPr>
            <w:tcW w:w="1276" w:type="dxa"/>
            <w:tcBorders>
              <w:top w:val="single" w:sz="4" w:space="0" w:color="auto"/>
              <w:left w:val="nil"/>
              <w:bottom w:val="nil"/>
              <w:right w:val="nil"/>
            </w:tcBorders>
          </w:tcPr>
          <w:p w:rsidR="00192D8F" w:rsidRPr="00A96F8F" w:rsidRDefault="00192D8F" w:rsidP="00696289">
            <w:pPr>
              <w:pStyle w:val="Tabletext"/>
              <w:ind w:right="397"/>
              <w:jc w:val="right"/>
            </w:pPr>
            <w:r w:rsidRPr="00A96F8F">
              <w:t>144</w:t>
            </w:r>
          </w:p>
        </w:tc>
        <w:tc>
          <w:tcPr>
            <w:tcW w:w="1276" w:type="dxa"/>
            <w:tcBorders>
              <w:top w:val="single" w:sz="4" w:space="0" w:color="auto"/>
              <w:left w:val="nil"/>
              <w:bottom w:val="nil"/>
              <w:right w:val="nil"/>
            </w:tcBorders>
          </w:tcPr>
          <w:p w:rsidR="00192D8F" w:rsidRPr="00A96F8F" w:rsidRDefault="00192D8F" w:rsidP="00696289">
            <w:pPr>
              <w:pStyle w:val="Tabletext"/>
              <w:tabs>
                <w:tab w:val="decimal" w:pos="539"/>
              </w:tabs>
            </w:pPr>
            <w:r w:rsidRPr="00A96F8F">
              <w:t>35.5</w:t>
            </w:r>
          </w:p>
        </w:tc>
      </w:tr>
      <w:tr w:rsidR="00192D8F" w:rsidRPr="00A96F8F" w:rsidTr="00696289">
        <w:tc>
          <w:tcPr>
            <w:tcW w:w="3686" w:type="dxa"/>
            <w:tcBorders>
              <w:top w:val="nil"/>
              <w:left w:val="nil"/>
              <w:bottom w:val="nil"/>
              <w:right w:val="nil"/>
            </w:tcBorders>
            <w:shd w:val="clear" w:color="auto" w:fill="auto"/>
            <w:noWrap/>
            <w:hideMark/>
          </w:tcPr>
          <w:p w:rsidR="00192D8F" w:rsidRPr="00A96F8F" w:rsidRDefault="00192D8F" w:rsidP="00B24BC7">
            <w:pPr>
              <w:pStyle w:val="Tabletext"/>
            </w:pPr>
            <w:r w:rsidRPr="00A96F8F">
              <w:t>Swinburne University</w:t>
            </w:r>
            <w:r w:rsidR="00837079">
              <w:t xml:space="preserve"> </w:t>
            </w:r>
            <w:r w:rsidRPr="004A3B4F">
              <w:t>(1)</w:t>
            </w:r>
          </w:p>
        </w:tc>
        <w:tc>
          <w:tcPr>
            <w:tcW w:w="1275" w:type="dxa"/>
            <w:tcBorders>
              <w:top w:val="nil"/>
              <w:left w:val="nil"/>
              <w:bottom w:val="nil"/>
              <w:right w:val="nil"/>
            </w:tcBorders>
            <w:shd w:val="clear" w:color="auto" w:fill="auto"/>
            <w:noWrap/>
            <w:hideMark/>
          </w:tcPr>
          <w:p w:rsidR="00192D8F" w:rsidRPr="00A96F8F" w:rsidRDefault="00192D8F" w:rsidP="00696289">
            <w:pPr>
              <w:pStyle w:val="Tabletext"/>
              <w:ind w:right="397"/>
              <w:jc w:val="right"/>
            </w:pPr>
            <w:r w:rsidRPr="00A96F8F">
              <w:t>305</w:t>
            </w:r>
          </w:p>
        </w:tc>
        <w:tc>
          <w:tcPr>
            <w:tcW w:w="1276" w:type="dxa"/>
            <w:tcBorders>
              <w:top w:val="nil"/>
              <w:left w:val="nil"/>
              <w:bottom w:val="nil"/>
              <w:right w:val="nil"/>
            </w:tcBorders>
            <w:shd w:val="clear" w:color="auto" w:fill="auto"/>
            <w:noWrap/>
            <w:hideMark/>
          </w:tcPr>
          <w:p w:rsidR="00192D8F" w:rsidRPr="00A96F8F" w:rsidRDefault="00192D8F" w:rsidP="00696289">
            <w:pPr>
              <w:pStyle w:val="Tabletext"/>
              <w:tabs>
                <w:tab w:val="decimal" w:pos="539"/>
              </w:tabs>
            </w:pPr>
            <w:r w:rsidRPr="00A96F8F">
              <w:t>12.3</w:t>
            </w:r>
          </w:p>
        </w:tc>
        <w:tc>
          <w:tcPr>
            <w:tcW w:w="1276" w:type="dxa"/>
            <w:tcBorders>
              <w:top w:val="nil"/>
              <w:left w:val="nil"/>
              <w:bottom w:val="nil"/>
              <w:right w:val="nil"/>
            </w:tcBorders>
          </w:tcPr>
          <w:p w:rsidR="00192D8F" w:rsidRPr="00A96F8F" w:rsidRDefault="00192D8F" w:rsidP="00696289">
            <w:pPr>
              <w:pStyle w:val="Tabletext"/>
              <w:ind w:right="397"/>
              <w:jc w:val="right"/>
            </w:pPr>
            <w:r w:rsidRPr="00A96F8F">
              <w:t>58</w:t>
            </w:r>
          </w:p>
        </w:tc>
        <w:tc>
          <w:tcPr>
            <w:tcW w:w="1276" w:type="dxa"/>
            <w:tcBorders>
              <w:top w:val="nil"/>
              <w:left w:val="nil"/>
              <w:bottom w:val="nil"/>
              <w:right w:val="nil"/>
            </w:tcBorders>
          </w:tcPr>
          <w:p w:rsidR="00192D8F" w:rsidRPr="00A96F8F" w:rsidRDefault="00192D8F" w:rsidP="00696289">
            <w:pPr>
              <w:pStyle w:val="Tabletext"/>
              <w:tabs>
                <w:tab w:val="decimal" w:pos="539"/>
              </w:tabs>
            </w:pPr>
            <w:r w:rsidRPr="00A96F8F">
              <w:t>19.0</w:t>
            </w:r>
          </w:p>
        </w:tc>
      </w:tr>
      <w:tr w:rsidR="00192D8F" w:rsidRPr="00A96F8F" w:rsidTr="00696289">
        <w:tc>
          <w:tcPr>
            <w:tcW w:w="3686" w:type="dxa"/>
            <w:tcBorders>
              <w:top w:val="nil"/>
              <w:left w:val="nil"/>
              <w:bottom w:val="nil"/>
              <w:right w:val="nil"/>
            </w:tcBorders>
            <w:shd w:val="clear" w:color="auto" w:fill="auto"/>
            <w:noWrap/>
            <w:hideMark/>
          </w:tcPr>
          <w:p w:rsidR="00192D8F" w:rsidRPr="00A96F8F" w:rsidRDefault="00192D8F" w:rsidP="00B24BC7">
            <w:pPr>
              <w:pStyle w:val="Tabletext"/>
            </w:pPr>
            <w:r w:rsidRPr="00A96F8F">
              <w:t>University of New South Wales</w:t>
            </w:r>
            <w:r>
              <w:t xml:space="preserve"> (3)</w:t>
            </w:r>
          </w:p>
        </w:tc>
        <w:tc>
          <w:tcPr>
            <w:tcW w:w="1275" w:type="dxa"/>
            <w:tcBorders>
              <w:top w:val="nil"/>
              <w:left w:val="nil"/>
              <w:bottom w:val="nil"/>
              <w:right w:val="nil"/>
            </w:tcBorders>
            <w:shd w:val="clear" w:color="auto" w:fill="auto"/>
            <w:noWrap/>
            <w:hideMark/>
          </w:tcPr>
          <w:p w:rsidR="00192D8F" w:rsidRPr="00A96F8F" w:rsidRDefault="00192D8F" w:rsidP="00696289">
            <w:pPr>
              <w:pStyle w:val="Tabletext"/>
              <w:ind w:right="397"/>
              <w:jc w:val="right"/>
            </w:pPr>
            <w:r w:rsidRPr="00A96F8F">
              <w:t>275</w:t>
            </w:r>
          </w:p>
        </w:tc>
        <w:tc>
          <w:tcPr>
            <w:tcW w:w="1276" w:type="dxa"/>
            <w:tcBorders>
              <w:top w:val="nil"/>
              <w:left w:val="nil"/>
              <w:bottom w:val="nil"/>
              <w:right w:val="nil"/>
            </w:tcBorders>
            <w:shd w:val="clear" w:color="auto" w:fill="auto"/>
            <w:noWrap/>
            <w:hideMark/>
          </w:tcPr>
          <w:p w:rsidR="00192D8F" w:rsidRPr="00A96F8F" w:rsidRDefault="00192D8F" w:rsidP="00696289">
            <w:pPr>
              <w:pStyle w:val="Tabletext"/>
              <w:tabs>
                <w:tab w:val="decimal" w:pos="539"/>
              </w:tabs>
            </w:pPr>
            <w:r w:rsidRPr="00A96F8F">
              <w:t>11.1</w:t>
            </w:r>
          </w:p>
        </w:tc>
        <w:tc>
          <w:tcPr>
            <w:tcW w:w="1276" w:type="dxa"/>
            <w:tcBorders>
              <w:top w:val="nil"/>
              <w:left w:val="nil"/>
              <w:bottom w:val="nil"/>
              <w:right w:val="nil"/>
            </w:tcBorders>
          </w:tcPr>
          <w:p w:rsidR="00192D8F" w:rsidRPr="00A96F8F" w:rsidRDefault="00192D8F" w:rsidP="00696289">
            <w:pPr>
              <w:pStyle w:val="Tabletext"/>
              <w:ind w:right="397"/>
              <w:jc w:val="right"/>
            </w:pPr>
            <w:r>
              <w:t>&lt;10</w:t>
            </w:r>
          </w:p>
        </w:tc>
        <w:tc>
          <w:tcPr>
            <w:tcW w:w="1276" w:type="dxa"/>
            <w:tcBorders>
              <w:top w:val="nil"/>
              <w:left w:val="nil"/>
              <w:bottom w:val="nil"/>
              <w:right w:val="nil"/>
            </w:tcBorders>
          </w:tcPr>
          <w:p w:rsidR="00192D8F" w:rsidRPr="00A96F8F" w:rsidRDefault="00192D8F" w:rsidP="00696289">
            <w:pPr>
              <w:pStyle w:val="Tabletext"/>
              <w:tabs>
                <w:tab w:val="decimal" w:pos="539"/>
              </w:tabs>
            </w:pPr>
            <w:proofErr w:type="spellStart"/>
            <w:r>
              <w:t>n.a</w:t>
            </w:r>
            <w:proofErr w:type="spellEnd"/>
          </w:p>
        </w:tc>
      </w:tr>
      <w:tr w:rsidR="00192D8F" w:rsidRPr="00A96F8F" w:rsidTr="00696289">
        <w:tc>
          <w:tcPr>
            <w:tcW w:w="3686" w:type="dxa"/>
            <w:tcBorders>
              <w:top w:val="nil"/>
              <w:left w:val="nil"/>
              <w:bottom w:val="nil"/>
              <w:right w:val="nil"/>
            </w:tcBorders>
            <w:shd w:val="clear" w:color="auto" w:fill="auto"/>
            <w:noWrap/>
            <w:hideMark/>
          </w:tcPr>
          <w:p w:rsidR="00192D8F" w:rsidRPr="00A96F8F" w:rsidRDefault="00192D8F" w:rsidP="00B24BC7">
            <w:pPr>
              <w:pStyle w:val="Tabletext"/>
            </w:pPr>
            <w:r w:rsidRPr="00A96F8F">
              <w:t>Curtin University</w:t>
            </w:r>
            <w:r w:rsidR="00837079">
              <w:t xml:space="preserve"> </w:t>
            </w:r>
            <w:r>
              <w:t>(3)</w:t>
            </w:r>
          </w:p>
        </w:tc>
        <w:tc>
          <w:tcPr>
            <w:tcW w:w="1275" w:type="dxa"/>
            <w:tcBorders>
              <w:top w:val="nil"/>
              <w:left w:val="nil"/>
              <w:bottom w:val="nil"/>
              <w:right w:val="nil"/>
            </w:tcBorders>
            <w:shd w:val="clear" w:color="auto" w:fill="auto"/>
            <w:noWrap/>
            <w:hideMark/>
          </w:tcPr>
          <w:p w:rsidR="00192D8F" w:rsidRPr="00A96F8F" w:rsidRDefault="00192D8F" w:rsidP="00696289">
            <w:pPr>
              <w:pStyle w:val="Tabletext"/>
              <w:ind w:right="397"/>
              <w:jc w:val="right"/>
            </w:pPr>
            <w:r w:rsidRPr="00A96F8F">
              <w:t>236</w:t>
            </w:r>
          </w:p>
        </w:tc>
        <w:tc>
          <w:tcPr>
            <w:tcW w:w="1276" w:type="dxa"/>
            <w:tcBorders>
              <w:top w:val="nil"/>
              <w:left w:val="nil"/>
              <w:bottom w:val="nil"/>
              <w:right w:val="nil"/>
            </w:tcBorders>
            <w:shd w:val="clear" w:color="auto" w:fill="auto"/>
            <w:noWrap/>
            <w:hideMark/>
          </w:tcPr>
          <w:p w:rsidR="00192D8F" w:rsidRPr="00A96F8F" w:rsidRDefault="00192D8F" w:rsidP="00696289">
            <w:pPr>
              <w:pStyle w:val="Tabletext"/>
              <w:tabs>
                <w:tab w:val="decimal" w:pos="539"/>
              </w:tabs>
            </w:pPr>
            <w:r w:rsidRPr="00A96F8F">
              <w:t>9.5</w:t>
            </w:r>
          </w:p>
        </w:tc>
        <w:tc>
          <w:tcPr>
            <w:tcW w:w="1276" w:type="dxa"/>
            <w:tcBorders>
              <w:top w:val="nil"/>
              <w:left w:val="nil"/>
              <w:bottom w:val="nil"/>
              <w:right w:val="nil"/>
            </w:tcBorders>
          </w:tcPr>
          <w:p w:rsidR="00192D8F" w:rsidRPr="00A96F8F" w:rsidRDefault="00192D8F" w:rsidP="00696289">
            <w:pPr>
              <w:pStyle w:val="Tabletext"/>
              <w:ind w:right="397"/>
              <w:jc w:val="right"/>
            </w:pPr>
            <w:r>
              <w:t>&lt;10</w:t>
            </w:r>
          </w:p>
        </w:tc>
        <w:tc>
          <w:tcPr>
            <w:tcW w:w="1276" w:type="dxa"/>
            <w:tcBorders>
              <w:top w:val="nil"/>
              <w:left w:val="nil"/>
              <w:bottom w:val="nil"/>
              <w:right w:val="nil"/>
            </w:tcBorders>
          </w:tcPr>
          <w:p w:rsidR="00192D8F" w:rsidRPr="00A96F8F" w:rsidRDefault="00192D8F" w:rsidP="00696289">
            <w:pPr>
              <w:pStyle w:val="Tabletext"/>
              <w:tabs>
                <w:tab w:val="decimal" w:pos="539"/>
              </w:tabs>
            </w:pPr>
            <w:proofErr w:type="spellStart"/>
            <w:r>
              <w:t>n.a</w:t>
            </w:r>
            <w:proofErr w:type="spellEnd"/>
          </w:p>
        </w:tc>
      </w:tr>
      <w:tr w:rsidR="00192D8F" w:rsidRPr="00A96F8F" w:rsidTr="00696289">
        <w:tc>
          <w:tcPr>
            <w:tcW w:w="3686" w:type="dxa"/>
            <w:tcBorders>
              <w:top w:val="nil"/>
              <w:left w:val="nil"/>
              <w:bottom w:val="nil"/>
              <w:right w:val="nil"/>
            </w:tcBorders>
            <w:shd w:val="clear" w:color="auto" w:fill="auto"/>
            <w:noWrap/>
            <w:hideMark/>
          </w:tcPr>
          <w:p w:rsidR="00192D8F" w:rsidRPr="00A96F8F" w:rsidRDefault="00192D8F" w:rsidP="00B24BC7">
            <w:pPr>
              <w:pStyle w:val="Tabletext"/>
            </w:pPr>
            <w:r w:rsidRPr="00A96F8F">
              <w:t>University of South Australia</w:t>
            </w:r>
            <w:r>
              <w:t xml:space="preserve"> (2)</w:t>
            </w:r>
          </w:p>
        </w:tc>
        <w:tc>
          <w:tcPr>
            <w:tcW w:w="1275" w:type="dxa"/>
            <w:tcBorders>
              <w:top w:val="nil"/>
              <w:left w:val="nil"/>
              <w:bottom w:val="nil"/>
              <w:right w:val="nil"/>
            </w:tcBorders>
            <w:shd w:val="clear" w:color="auto" w:fill="auto"/>
            <w:noWrap/>
            <w:hideMark/>
          </w:tcPr>
          <w:p w:rsidR="00192D8F" w:rsidRPr="00A96F8F" w:rsidRDefault="00192D8F" w:rsidP="00696289">
            <w:pPr>
              <w:pStyle w:val="Tabletext"/>
              <w:ind w:right="397"/>
              <w:jc w:val="right"/>
            </w:pPr>
            <w:r w:rsidRPr="00A96F8F">
              <w:t>152</w:t>
            </w:r>
          </w:p>
        </w:tc>
        <w:tc>
          <w:tcPr>
            <w:tcW w:w="1276" w:type="dxa"/>
            <w:tcBorders>
              <w:top w:val="nil"/>
              <w:left w:val="nil"/>
              <w:bottom w:val="nil"/>
              <w:right w:val="nil"/>
            </w:tcBorders>
            <w:shd w:val="clear" w:color="auto" w:fill="auto"/>
            <w:noWrap/>
            <w:hideMark/>
          </w:tcPr>
          <w:p w:rsidR="00192D8F" w:rsidRPr="00A96F8F" w:rsidRDefault="00192D8F" w:rsidP="00696289">
            <w:pPr>
              <w:pStyle w:val="Tabletext"/>
              <w:tabs>
                <w:tab w:val="decimal" w:pos="539"/>
              </w:tabs>
            </w:pPr>
            <w:r w:rsidRPr="00A96F8F">
              <w:t>6.1</w:t>
            </w:r>
          </w:p>
        </w:tc>
        <w:tc>
          <w:tcPr>
            <w:tcW w:w="1276" w:type="dxa"/>
            <w:tcBorders>
              <w:top w:val="nil"/>
              <w:left w:val="nil"/>
              <w:bottom w:val="nil"/>
              <w:right w:val="nil"/>
            </w:tcBorders>
          </w:tcPr>
          <w:p w:rsidR="00192D8F" w:rsidRPr="00A96F8F" w:rsidRDefault="00192D8F" w:rsidP="00696289">
            <w:pPr>
              <w:pStyle w:val="Tabletext"/>
              <w:ind w:right="397"/>
              <w:jc w:val="right"/>
            </w:pPr>
            <w:r w:rsidRPr="00A96F8F">
              <w:t>13</w:t>
            </w:r>
          </w:p>
        </w:tc>
        <w:tc>
          <w:tcPr>
            <w:tcW w:w="1276" w:type="dxa"/>
            <w:tcBorders>
              <w:top w:val="nil"/>
              <w:left w:val="nil"/>
              <w:bottom w:val="nil"/>
              <w:right w:val="nil"/>
            </w:tcBorders>
          </w:tcPr>
          <w:p w:rsidR="00192D8F" w:rsidRPr="00A96F8F" w:rsidRDefault="00192D8F" w:rsidP="00696289">
            <w:pPr>
              <w:pStyle w:val="Tabletext"/>
              <w:tabs>
                <w:tab w:val="decimal" w:pos="539"/>
              </w:tabs>
            </w:pPr>
            <w:r w:rsidRPr="00A96F8F">
              <w:t>8.6</w:t>
            </w:r>
          </w:p>
        </w:tc>
      </w:tr>
      <w:tr w:rsidR="00192D8F" w:rsidRPr="00A96F8F" w:rsidTr="00696289">
        <w:tc>
          <w:tcPr>
            <w:tcW w:w="3686" w:type="dxa"/>
            <w:tcBorders>
              <w:top w:val="nil"/>
              <w:left w:val="nil"/>
              <w:bottom w:val="nil"/>
              <w:right w:val="nil"/>
            </w:tcBorders>
            <w:shd w:val="clear" w:color="auto" w:fill="auto"/>
            <w:noWrap/>
            <w:hideMark/>
          </w:tcPr>
          <w:p w:rsidR="00192D8F" w:rsidRPr="00A96F8F" w:rsidRDefault="00192D8F" w:rsidP="00B24BC7">
            <w:pPr>
              <w:pStyle w:val="Tabletext"/>
            </w:pPr>
            <w:r w:rsidRPr="00A96F8F">
              <w:t>University of Adelaide</w:t>
            </w:r>
            <w:r>
              <w:t xml:space="preserve"> (3)</w:t>
            </w:r>
          </w:p>
        </w:tc>
        <w:tc>
          <w:tcPr>
            <w:tcW w:w="1275" w:type="dxa"/>
            <w:tcBorders>
              <w:top w:val="nil"/>
              <w:left w:val="nil"/>
              <w:bottom w:val="nil"/>
              <w:right w:val="nil"/>
            </w:tcBorders>
            <w:shd w:val="clear" w:color="auto" w:fill="auto"/>
            <w:noWrap/>
            <w:hideMark/>
          </w:tcPr>
          <w:p w:rsidR="00192D8F" w:rsidRPr="00A96F8F" w:rsidRDefault="00192D8F" w:rsidP="00696289">
            <w:pPr>
              <w:pStyle w:val="Tabletext"/>
              <w:ind w:right="397"/>
              <w:jc w:val="right"/>
            </w:pPr>
            <w:r w:rsidRPr="00A96F8F">
              <w:t>145</w:t>
            </w:r>
          </w:p>
        </w:tc>
        <w:tc>
          <w:tcPr>
            <w:tcW w:w="1276" w:type="dxa"/>
            <w:tcBorders>
              <w:top w:val="nil"/>
              <w:left w:val="nil"/>
              <w:bottom w:val="nil"/>
              <w:right w:val="nil"/>
            </w:tcBorders>
            <w:shd w:val="clear" w:color="auto" w:fill="auto"/>
            <w:noWrap/>
            <w:hideMark/>
          </w:tcPr>
          <w:p w:rsidR="00192D8F" w:rsidRPr="00A96F8F" w:rsidRDefault="00192D8F" w:rsidP="00696289">
            <w:pPr>
              <w:pStyle w:val="Tabletext"/>
              <w:tabs>
                <w:tab w:val="decimal" w:pos="539"/>
              </w:tabs>
            </w:pPr>
            <w:r w:rsidRPr="00A96F8F">
              <w:t>5.9</w:t>
            </w:r>
          </w:p>
        </w:tc>
        <w:tc>
          <w:tcPr>
            <w:tcW w:w="1276" w:type="dxa"/>
            <w:tcBorders>
              <w:top w:val="nil"/>
              <w:left w:val="nil"/>
              <w:bottom w:val="nil"/>
              <w:right w:val="nil"/>
            </w:tcBorders>
          </w:tcPr>
          <w:p w:rsidR="00192D8F" w:rsidRPr="00A96F8F" w:rsidRDefault="00192D8F" w:rsidP="00696289">
            <w:pPr>
              <w:pStyle w:val="Tabletext"/>
              <w:ind w:right="397"/>
              <w:jc w:val="right"/>
            </w:pPr>
            <w:r w:rsidRPr="00A96F8F">
              <w:t>0</w:t>
            </w:r>
          </w:p>
        </w:tc>
        <w:tc>
          <w:tcPr>
            <w:tcW w:w="1276" w:type="dxa"/>
            <w:tcBorders>
              <w:top w:val="nil"/>
              <w:left w:val="nil"/>
              <w:bottom w:val="nil"/>
              <w:right w:val="nil"/>
            </w:tcBorders>
          </w:tcPr>
          <w:p w:rsidR="00192D8F" w:rsidRPr="00A96F8F" w:rsidRDefault="00192D8F" w:rsidP="00696289">
            <w:pPr>
              <w:pStyle w:val="Tabletext"/>
              <w:tabs>
                <w:tab w:val="decimal" w:pos="539"/>
              </w:tabs>
            </w:pPr>
            <w:r w:rsidRPr="00A96F8F">
              <w:t>0.0</w:t>
            </w:r>
          </w:p>
        </w:tc>
      </w:tr>
      <w:tr w:rsidR="00192D8F" w:rsidRPr="00A96F8F" w:rsidTr="00696289">
        <w:tc>
          <w:tcPr>
            <w:tcW w:w="3686" w:type="dxa"/>
            <w:tcBorders>
              <w:top w:val="nil"/>
              <w:left w:val="nil"/>
              <w:bottom w:val="nil"/>
              <w:right w:val="nil"/>
            </w:tcBorders>
            <w:shd w:val="clear" w:color="auto" w:fill="auto"/>
            <w:noWrap/>
            <w:hideMark/>
          </w:tcPr>
          <w:p w:rsidR="00192D8F" w:rsidRPr="00A96F8F" w:rsidRDefault="00192D8F" w:rsidP="00B24BC7">
            <w:pPr>
              <w:pStyle w:val="Tabletext"/>
            </w:pPr>
            <w:r w:rsidRPr="00A96F8F">
              <w:t>University of Wollongong</w:t>
            </w:r>
            <w:r>
              <w:t xml:space="preserve"> (2)</w:t>
            </w:r>
          </w:p>
        </w:tc>
        <w:tc>
          <w:tcPr>
            <w:tcW w:w="1275" w:type="dxa"/>
            <w:tcBorders>
              <w:top w:val="nil"/>
              <w:left w:val="nil"/>
              <w:bottom w:val="nil"/>
              <w:right w:val="nil"/>
            </w:tcBorders>
            <w:shd w:val="clear" w:color="auto" w:fill="auto"/>
            <w:noWrap/>
            <w:hideMark/>
          </w:tcPr>
          <w:p w:rsidR="00192D8F" w:rsidRPr="00A96F8F" w:rsidRDefault="00192D8F" w:rsidP="00696289">
            <w:pPr>
              <w:pStyle w:val="Tabletext"/>
              <w:ind w:right="397"/>
              <w:jc w:val="right"/>
            </w:pPr>
            <w:r w:rsidRPr="00A96F8F">
              <w:t>145</w:t>
            </w:r>
          </w:p>
        </w:tc>
        <w:tc>
          <w:tcPr>
            <w:tcW w:w="1276" w:type="dxa"/>
            <w:tcBorders>
              <w:top w:val="nil"/>
              <w:left w:val="nil"/>
              <w:bottom w:val="nil"/>
              <w:right w:val="nil"/>
            </w:tcBorders>
            <w:shd w:val="clear" w:color="auto" w:fill="auto"/>
            <w:noWrap/>
            <w:hideMark/>
          </w:tcPr>
          <w:p w:rsidR="00192D8F" w:rsidRPr="00A96F8F" w:rsidRDefault="00192D8F" w:rsidP="00696289">
            <w:pPr>
              <w:pStyle w:val="Tabletext"/>
              <w:tabs>
                <w:tab w:val="decimal" w:pos="539"/>
              </w:tabs>
            </w:pPr>
            <w:r w:rsidRPr="00A96F8F">
              <w:t>5.9</w:t>
            </w:r>
          </w:p>
        </w:tc>
        <w:tc>
          <w:tcPr>
            <w:tcW w:w="1276" w:type="dxa"/>
            <w:tcBorders>
              <w:top w:val="nil"/>
              <w:left w:val="nil"/>
              <w:bottom w:val="nil"/>
              <w:right w:val="nil"/>
            </w:tcBorders>
          </w:tcPr>
          <w:p w:rsidR="00192D8F" w:rsidRPr="00A96F8F" w:rsidRDefault="00192D8F" w:rsidP="00696289">
            <w:pPr>
              <w:pStyle w:val="Tabletext"/>
              <w:ind w:right="397"/>
              <w:jc w:val="right"/>
            </w:pPr>
            <w:r w:rsidRPr="00A96F8F">
              <w:t>13</w:t>
            </w:r>
          </w:p>
        </w:tc>
        <w:tc>
          <w:tcPr>
            <w:tcW w:w="1276" w:type="dxa"/>
            <w:tcBorders>
              <w:top w:val="nil"/>
              <w:left w:val="nil"/>
              <w:bottom w:val="nil"/>
              <w:right w:val="nil"/>
            </w:tcBorders>
          </w:tcPr>
          <w:p w:rsidR="00192D8F" w:rsidRPr="00A96F8F" w:rsidRDefault="00192D8F" w:rsidP="00696289">
            <w:pPr>
              <w:pStyle w:val="Tabletext"/>
              <w:tabs>
                <w:tab w:val="decimal" w:pos="539"/>
              </w:tabs>
            </w:pPr>
            <w:r w:rsidRPr="00A96F8F">
              <w:t>9.0</w:t>
            </w:r>
          </w:p>
        </w:tc>
      </w:tr>
      <w:tr w:rsidR="00192D8F" w:rsidRPr="00A96F8F" w:rsidTr="00696289">
        <w:tc>
          <w:tcPr>
            <w:tcW w:w="3686" w:type="dxa"/>
            <w:tcBorders>
              <w:top w:val="nil"/>
              <w:left w:val="nil"/>
              <w:bottom w:val="nil"/>
              <w:right w:val="nil"/>
            </w:tcBorders>
            <w:shd w:val="clear" w:color="auto" w:fill="auto"/>
            <w:noWrap/>
            <w:hideMark/>
          </w:tcPr>
          <w:p w:rsidR="00192D8F" w:rsidRPr="00A96F8F" w:rsidRDefault="00192D8F" w:rsidP="00B24BC7">
            <w:pPr>
              <w:pStyle w:val="Tabletext"/>
            </w:pPr>
            <w:r w:rsidRPr="00A96F8F">
              <w:t>University of Newcastle</w:t>
            </w:r>
            <w:r>
              <w:t xml:space="preserve"> (2)</w:t>
            </w:r>
          </w:p>
        </w:tc>
        <w:tc>
          <w:tcPr>
            <w:tcW w:w="1275" w:type="dxa"/>
            <w:tcBorders>
              <w:top w:val="nil"/>
              <w:left w:val="nil"/>
              <w:bottom w:val="nil"/>
              <w:right w:val="nil"/>
            </w:tcBorders>
            <w:shd w:val="clear" w:color="auto" w:fill="auto"/>
            <w:noWrap/>
            <w:hideMark/>
          </w:tcPr>
          <w:p w:rsidR="00192D8F" w:rsidRPr="00A96F8F" w:rsidRDefault="00192D8F" w:rsidP="00696289">
            <w:pPr>
              <w:pStyle w:val="Tabletext"/>
              <w:ind w:right="397"/>
              <w:jc w:val="right"/>
            </w:pPr>
            <w:r w:rsidRPr="00A96F8F">
              <w:t>142</w:t>
            </w:r>
          </w:p>
        </w:tc>
        <w:tc>
          <w:tcPr>
            <w:tcW w:w="1276" w:type="dxa"/>
            <w:tcBorders>
              <w:top w:val="nil"/>
              <w:left w:val="nil"/>
              <w:bottom w:val="nil"/>
              <w:right w:val="nil"/>
            </w:tcBorders>
            <w:shd w:val="clear" w:color="auto" w:fill="auto"/>
            <w:noWrap/>
            <w:hideMark/>
          </w:tcPr>
          <w:p w:rsidR="00192D8F" w:rsidRPr="00A96F8F" w:rsidRDefault="00192D8F" w:rsidP="00696289">
            <w:pPr>
              <w:pStyle w:val="Tabletext"/>
              <w:tabs>
                <w:tab w:val="decimal" w:pos="539"/>
              </w:tabs>
            </w:pPr>
            <w:r w:rsidRPr="00A96F8F">
              <w:t>5.7</w:t>
            </w:r>
          </w:p>
        </w:tc>
        <w:tc>
          <w:tcPr>
            <w:tcW w:w="1276" w:type="dxa"/>
            <w:tcBorders>
              <w:top w:val="nil"/>
              <w:left w:val="nil"/>
              <w:bottom w:val="nil"/>
              <w:right w:val="nil"/>
            </w:tcBorders>
          </w:tcPr>
          <w:p w:rsidR="00192D8F" w:rsidRPr="00A96F8F" w:rsidRDefault="00192D8F" w:rsidP="00696289">
            <w:pPr>
              <w:pStyle w:val="Tabletext"/>
              <w:ind w:right="397"/>
              <w:jc w:val="right"/>
            </w:pPr>
            <w:r w:rsidRPr="00A96F8F">
              <w:t>40</w:t>
            </w:r>
          </w:p>
        </w:tc>
        <w:tc>
          <w:tcPr>
            <w:tcW w:w="1276" w:type="dxa"/>
            <w:tcBorders>
              <w:top w:val="nil"/>
              <w:left w:val="nil"/>
              <w:bottom w:val="nil"/>
              <w:right w:val="nil"/>
            </w:tcBorders>
          </w:tcPr>
          <w:p w:rsidR="00192D8F" w:rsidRPr="00A96F8F" w:rsidRDefault="00192D8F" w:rsidP="00696289">
            <w:pPr>
              <w:pStyle w:val="Tabletext"/>
              <w:tabs>
                <w:tab w:val="decimal" w:pos="539"/>
              </w:tabs>
            </w:pPr>
            <w:r w:rsidRPr="00A96F8F">
              <w:t>28.2</w:t>
            </w:r>
          </w:p>
        </w:tc>
      </w:tr>
      <w:tr w:rsidR="00192D8F" w:rsidRPr="00A96F8F" w:rsidTr="00696289">
        <w:tc>
          <w:tcPr>
            <w:tcW w:w="3686" w:type="dxa"/>
            <w:tcBorders>
              <w:top w:val="nil"/>
              <w:left w:val="nil"/>
              <w:bottom w:val="nil"/>
              <w:right w:val="nil"/>
            </w:tcBorders>
            <w:shd w:val="clear" w:color="auto" w:fill="auto"/>
            <w:noWrap/>
            <w:hideMark/>
          </w:tcPr>
          <w:p w:rsidR="00192D8F" w:rsidRPr="00A96F8F" w:rsidRDefault="00192D8F" w:rsidP="00B24BC7">
            <w:pPr>
              <w:pStyle w:val="Tabletext"/>
            </w:pPr>
            <w:r w:rsidRPr="00A96F8F">
              <w:t>University of Queensland</w:t>
            </w:r>
            <w:r>
              <w:t xml:space="preserve"> (3)</w:t>
            </w:r>
          </w:p>
        </w:tc>
        <w:tc>
          <w:tcPr>
            <w:tcW w:w="1275" w:type="dxa"/>
            <w:tcBorders>
              <w:top w:val="nil"/>
              <w:left w:val="nil"/>
              <w:bottom w:val="nil"/>
              <w:right w:val="nil"/>
            </w:tcBorders>
            <w:shd w:val="clear" w:color="auto" w:fill="auto"/>
            <w:noWrap/>
            <w:hideMark/>
          </w:tcPr>
          <w:p w:rsidR="00192D8F" w:rsidRPr="00A96F8F" w:rsidRDefault="00192D8F" w:rsidP="00696289">
            <w:pPr>
              <w:pStyle w:val="Tabletext"/>
              <w:ind w:right="397"/>
              <w:jc w:val="right"/>
            </w:pPr>
            <w:r w:rsidRPr="00A96F8F">
              <w:t>133</w:t>
            </w:r>
          </w:p>
        </w:tc>
        <w:tc>
          <w:tcPr>
            <w:tcW w:w="1276" w:type="dxa"/>
            <w:tcBorders>
              <w:top w:val="nil"/>
              <w:left w:val="nil"/>
              <w:bottom w:val="nil"/>
              <w:right w:val="nil"/>
            </w:tcBorders>
            <w:shd w:val="clear" w:color="auto" w:fill="auto"/>
            <w:noWrap/>
            <w:hideMark/>
          </w:tcPr>
          <w:p w:rsidR="00192D8F" w:rsidRPr="00A96F8F" w:rsidRDefault="00192D8F" w:rsidP="00696289">
            <w:pPr>
              <w:pStyle w:val="Tabletext"/>
              <w:tabs>
                <w:tab w:val="decimal" w:pos="539"/>
              </w:tabs>
            </w:pPr>
            <w:r w:rsidRPr="00A96F8F">
              <w:t>5.4</w:t>
            </w:r>
          </w:p>
        </w:tc>
        <w:tc>
          <w:tcPr>
            <w:tcW w:w="1276" w:type="dxa"/>
            <w:tcBorders>
              <w:top w:val="nil"/>
              <w:left w:val="nil"/>
              <w:bottom w:val="nil"/>
              <w:right w:val="nil"/>
            </w:tcBorders>
          </w:tcPr>
          <w:p w:rsidR="00192D8F" w:rsidRPr="00A96F8F" w:rsidRDefault="00192D8F" w:rsidP="00696289">
            <w:pPr>
              <w:pStyle w:val="Tabletext"/>
              <w:ind w:right="397"/>
              <w:jc w:val="right"/>
            </w:pPr>
            <w:r>
              <w:t>&lt;10</w:t>
            </w:r>
          </w:p>
        </w:tc>
        <w:tc>
          <w:tcPr>
            <w:tcW w:w="1276" w:type="dxa"/>
            <w:tcBorders>
              <w:top w:val="nil"/>
              <w:left w:val="nil"/>
              <w:bottom w:val="nil"/>
              <w:right w:val="nil"/>
            </w:tcBorders>
          </w:tcPr>
          <w:p w:rsidR="00192D8F" w:rsidRPr="00A96F8F" w:rsidRDefault="00192D8F" w:rsidP="00696289">
            <w:pPr>
              <w:pStyle w:val="Tabletext"/>
              <w:tabs>
                <w:tab w:val="decimal" w:pos="539"/>
              </w:tabs>
            </w:pPr>
            <w:proofErr w:type="spellStart"/>
            <w:r>
              <w:t>n.a</w:t>
            </w:r>
            <w:proofErr w:type="spellEnd"/>
          </w:p>
        </w:tc>
      </w:tr>
      <w:tr w:rsidR="00192D8F" w:rsidRPr="00A96F8F" w:rsidTr="00696289">
        <w:tc>
          <w:tcPr>
            <w:tcW w:w="3686" w:type="dxa"/>
            <w:tcBorders>
              <w:top w:val="nil"/>
              <w:left w:val="nil"/>
              <w:right w:val="nil"/>
            </w:tcBorders>
            <w:shd w:val="clear" w:color="auto" w:fill="auto"/>
            <w:noWrap/>
            <w:hideMark/>
          </w:tcPr>
          <w:p w:rsidR="00192D8F" w:rsidRPr="00A96F8F" w:rsidRDefault="00192D8F" w:rsidP="00B24BC7">
            <w:pPr>
              <w:pStyle w:val="Tabletext"/>
            </w:pPr>
            <w:r w:rsidRPr="00A96F8F">
              <w:t>University of Sydney</w:t>
            </w:r>
            <w:r>
              <w:t xml:space="preserve"> (3)</w:t>
            </w:r>
          </w:p>
        </w:tc>
        <w:tc>
          <w:tcPr>
            <w:tcW w:w="1275" w:type="dxa"/>
            <w:tcBorders>
              <w:top w:val="nil"/>
              <w:left w:val="nil"/>
              <w:right w:val="nil"/>
            </w:tcBorders>
            <w:shd w:val="clear" w:color="auto" w:fill="auto"/>
            <w:noWrap/>
            <w:hideMark/>
          </w:tcPr>
          <w:p w:rsidR="00192D8F" w:rsidRPr="00A96F8F" w:rsidRDefault="00192D8F" w:rsidP="00696289">
            <w:pPr>
              <w:pStyle w:val="Tabletext"/>
              <w:ind w:right="397"/>
              <w:jc w:val="right"/>
            </w:pPr>
            <w:r w:rsidRPr="00A96F8F">
              <w:t>98</w:t>
            </w:r>
          </w:p>
        </w:tc>
        <w:tc>
          <w:tcPr>
            <w:tcW w:w="1276" w:type="dxa"/>
            <w:tcBorders>
              <w:top w:val="nil"/>
              <w:left w:val="nil"/>
              <w:right w:val="nil"/>
            </w:tcBorders>
            <w:shd w:val="clear" w:color="auto" w:fill="auto"/>
            <w:noWrap/>
            <w:hideMark/>
          </w:tcPr>
          <w:p w:rsidR="00192D8F" w:rsidRPr="00A96F8F" w:rsidRDefault="00192D8F" w:rsidP="00696289">
            <w:pPr>
              <w:pStyle w:val="Tabletext"/>
              <w:tabs>
                <w:tab w:val="decimal" w:pos="539"/>
              </w:tabs>
            </w:pPr>
            <w:r w:rsidRPr="00A96F8F">
              <w:t>4.0</w:t>
            </w:r>
          </w:p>
        </w:tc>
        <w:tc>
          <w:tcPr>
            <w:tcW w:w="1276" w:type="dxa"/>
            <w:tcBorders>
              <w:top w:val="nil"/>
              <w:left w:val="nil"/>
              <w:right w:val="nil"/>
            </w:tcBorders>
          </w:tcPr>
          <w:p w:rsidR="00192D8F" w:rsidRPr="00A96F8F" w:rsidRDefault="00192D8F" w:rsidP="00696289">
            <w:pPr>
              <w:pStyle w:val="Tabletext"/>
              <w:ind w:right="397"/>
              <w:jc w:val="right"/>
            </w:pPr>
            <w:r>
              <w:t>&lt;10</w:t>
            </w:r>
          </w:p>
        </w:tc>
        <w:tc>
          <w:tcPr>
            <w:tcW w:w="1276" w:type="dxa"/>
            <w:tcBorders>
              <w:top w:val="nil"/>
              <w:left w:val="nil"/>
              <w:right w:val="nil"/>
            </w:tcBorders>
          </w:tcPr>
          <w:p w:rsidR="00192D8F" w:rsidRPr="00A96F8F" w:rsidRDefault="00192D8F" w:rsidP="00696289">
            <w:pPr>
              <w:pStyle w:val="Tabletext"/>
              <w:tabs>
                <w:tab w:val="decimal" w:pos="539"/>
              </w:tabs>
            </w:pPr>
            <w:proofErr w:type="spellStart"/>
            <w:r>
              <w:t>n.a</w:t>
            </w:r>
            <w:proofErr w:type="spellEnd"/>
          </w:p>
        </w:tc>
      </w:tr>
      <w:tr w:rsidR="00192D8F" w:rsidRPr="00B24BC7" w:rsidTr="00696289">
        <w:tc>
          <w:tcPr>
            <w:tcW w:w="3686" w:type="dxa"/>
            <w:tcBorders>
              <w:top w:val="nil"/>
              <w:left w:val="nil"/>
              <w:right w:val="nil"/>
            </w:tcBorders>
            <w:shd w:val="clear" w:color="auto" w:fill="auto"/>
            <w:noWrap/>
            <w:hideMark/>
          </w:tcPr>
          <w:p w:rsidR="00192D8F" w:rsidRPr="00B24BC7" w:rsidRDefault="000C1499" w:rsidP="00B24BC7">
            <w:pPr>
              <w:pStyle w:val="Tabletext"/>
              <w:rPr>
                <w:i/>
              </w:rPr>
            </w:pPr>
            <w:r w:rsidRPr="00B24BC7">
              <w:rPr>
                <w:i/>
              </w:rPr>
              <w:t>Sub-t</w:t>
            </w:r>
            <w:r w:rsidR="00192D8F" w:rsidRPr="00B24BC7">
              <w:rPr>
                <w:i/>
              </w:rPr>
              <w:t>otal</w:t>
            </w:r>
          </w:p>
        </w:tc>
        <w:tc>
          <w:tcPr>
            <w:tcW w:w="1275" w:type="dxa"/>
            <w:tcBorders>
              <w:top w:val="nil"/>
              <w:left w:val="nil"/>
              <w:right w:val="nil"/>
            </w:tcBorders>
            <w:shd w:val="clear" w:color="auto" w:fill="auto"/>
            <w:noWrap/>
            <w:hideMark/>
          </w:tcPr>
          <w:p w:rsidR="00192D8F" w:rsidRPr="00B24BC7" w:rsidRDefault="00192D8F" w:rsidP="00696289">
            <w:pPr>
              <w:pStyle w:val="Tabletext"/>
              <w:ind w:right="397"/>
              <w:jc w:val="right"/>
              <w:rPr>
                <w:i/>
              </w:rPr>
            </w:pPr>
            <w:r w:rsidRPr="00B24BC7">
              <w:rPr>
                <w:i/>
              </w:rPr>
              <w:t>2</w:t>
            </w:r>
            <w:r w:rsidR="00696289">
              <w:rPr>
                <w:i/>
              </w:rPr>
              <w:t xml:space="preserve"> </w:t>
            </w:r>
            <w:r w:rsidRPr="00B24BC7">
              <w:rPr>
                <w:i/>
              </w:rPr>
              <w:t>037</w:t>
            </w:r>
          </w:p>
        </w:tc>
        <w:tc>
          <w:tcPr>
            <w:tcW w:w="1276" w:type="dxa"/>
            <w:tcBorders>
              <w:top w:val="nil"/>
              <w:left w:val="nil"/>
              <w:right w:val="nil"/>
            </w:tcBorders>
            <w:shd w:val="clear" w:color="auto" w:fill="auto"/>
            <w:noWrap/>
            <w:hideMark/>
          </w:tcPr>
          <w:p w:rsidR="00192D8F" w:rsidRPr="00B24BC7" w:rsidRDefault="00192D8F" w:rsidP="00696289">
            <w:pPr>
              <w:pStyle w:val="Tabletext"/>
              <w:tabs>
                <w:tab w:val="decimal" w:pos="539"/>
              </w:tabs>
              <w:rPr>
                <w:i/>
              </w:rPr>
            </w:pPr>
            <w:r w:rsidRPr="00B24BC7">
              <w:rPr>
                <w:i/>
              </w:rPr>
              <w:t>82.4</w:t>
            </w:r>
          </w:p>
        </w:tc>
        <w:tc>
          <w:tcPr>
            <w:tcW w:w="1276" w:type="dxa"/>
            <w:tcBorders>
              <w:top w:val="nil"/>
              <w:left w:val="nil"/>
              <w:right w:val="nil"/>
            </w:tcBorders>
          </w:tcPr>
          <w:p w:rsidR="00192D8F" w:rsidRPr="00B24BC7" w:rsidRDefault="00192D8F" w:rsidP="00696289">
            <w:pPr>
              <w:pStyle w:val="Tabletext"/>
              <w:ind w:right="397"/>
              <w:jc w:val="right"/>
              <w:rPr>
                <w:i/>
              </w:rPr>
            </w:pPr>
            <w:r w:rsidRPr="00B24BC7">
              <w:rPr>
                <w:i/>
              </w:rPr>
              <w:t>268</w:t>
            </w:r>
          </w:p>
        </w:tc>
        <w:tc>
          <w:tcPr>
            <w:tcW w:w="1276" w:type="dxa"/>
            <w:tcBorders>
              <w:top w:val="nil"/>
              <w:left w:val="nil"/>
              <w:right w:val="nil"/>
            </w:tcBorders>
          </w:tcPr>
          <w:p w:rsidR="00192D8F" w:rsidRPr="00B24BC7" w:rsidRDefault="00192D8F" w:rsidP="00696289">
            <w:pPr>
              <w:pStyle w:val="Tabletext"/>
              <w:tabs>
                <w:tab w:val="decimal" w:pos="539"/>
              </w:tabs>
              <w:rPr>
                <w:i/>
              </w:rPr>
            </w:pPr>
            <w:r w:rsidRPr="00B24BC7">
              <w:rPr>
                <w:i/>
              </w:rPr>
              <w:t>13.2</w:t>
            </w:r>
          </w:p>
        </w:tc>
      </w:tr>
      <w:tr w:rsidR="00192D8F" w:rsidRPr="00B24BC7" w:rsidTr="00696289">
        <w:tc>
          <w:tcPr>
            <w:tcW w:w="3686" w:type="dxa"/>
            <w:tcBorders>
              <w:top w:val="nil"/>
              <w:left w:val="nil"/>
              <w:bottom w:val="single" w:sz="4" w:space="0" w:color="auto"/>
              <w:right w:val="nil"/>
            </w:tcBorders>
            <w:shd w:val="clear" w:color="auto" w:fill="auto"/>
            <w:noWrap/>
            <w:hideMark/>
          </w:tcPr>
          <w:p w:rsidR="00192D8F" w:rsidRPr="00B24BC7" w:rsidRDefault="00192D8F" w:rsidP="00B24BC7">
            <w:pPr>
              <w:pStyle w:val="Tabletext"/>
              <w:rPr>
                <w:b/>
              </w:rPr>
            </w:pPr>
            <w:r w:rsidRPr="00B24BC7">
              <w:rPr>
                <w:b/>
              </w:rPr>
              <w:t>Australia</w:t>
            </w:r>
          </w:p>
        </w:tc>
        <w:tc>
          <w:tcPr>
            <w:tcW w:w="1275" w:type="dxa"/>
            <w:tcBorders>
              <w:top w:val="nil"/>
              <w:left w:val="nil"/>
              <w:bottom w:val="single" w:sz="4" w:space="0" w:color="auto"/>
              <w:right w:val="nil"/>
            </w:tcBorders>
            <w:shd w:val="clear" w:color="auto" w:fill="auto"/>
            <w:noWrap/>
            <w:hideMark/>
          </w:tcPr>
          <w:p w:rsidR="00192D8F" w:rsidRPr="00B24BC7" w:rsidRDefault="00192D8F" w:rsidP="00696289">
            <w:pPr>
              <w:pStyle w:val="Tabletext"/>
              <w:ind w:right="397"/>
              <w:jc w:val="right"/>
              <w:rPr>
                <w:b/>
              </w:rPr>
            </w:pPr>
            <w:r w:rsidRPr="00B24BC7">
              <w:rPr>
                <w:b/>
              </w:rPr>
              <w:t>2</w:t>
            </w:r>
            <w:r w:rsidR="00696289">
              <w:rPr>
                <w:b/>
              </w:rPr>
              <w:t xml:space="preserve"> </w:t>
            </w:r>
            <w:r w:rsidRPr="00B24BC7">
              <w:rPr>
                <w:b/>
              </w:rPr>
              <w:t>472</w:t>
            </w:r>
          </w:p>
        </w:tc>
        <w:tc>
          <w:tcPr>
            <w:tcW w:w="1276" w:type="dxa"/>
            <w:tcBorders>
              <w:top w:val="nil"/>
              <w:left w:val="nil"/>
              <w:bottom w:val="single" w:sz="4" w:space="0" w:color="auto"/>
              <w:right w:val="nil"/>
            </w:tcBorders>
            <w:shd w:val="clear" w:color="auto" w:fill="auto"/>
            <w:noWrap/>
            <w:hideMark/>
          </w:tcPr>
          <w:p w:rsidR="00192D8F" w:rsidRPr="00B24BC7" w:rsidRDefault="00192D8F" w:rsidP="00696289">
            <w:pPr>
              <w:pStyle w:val="Tabletext"/>
              <w:tabs>
                <w:tab w:val="decimal" w:pos="539"/>
              </w:tabs>
              <w:rPr>
                <w:b/>
              </w:rPr>
            </w:pPr>
            <w:r w:rsidRPr="00D07C62">
              <w:rPr>
                <w:b/>
              </w:rPr>
              <w:t>100</w:t>
            </w:r>
            <w:r w:rsidR="00BC510F" w:rsidRPr="00D07C62">
              <w:rPr>
                <w:b/>
              </w:rPr>
              <w:t>.0</w:t>
            </w:r>
          </w:p>
        </w:tc>
        <w:tc>
          <w:tcPr>
            <w:tcW w:w="1276" w:type="dxa"/>
            <w:tcBorders>
              <w:top w:val="nil"/>
              <w:left w:val="nil"/>
              <w:bottom w:val="single" w:sz="4" w:space="0" w:color="auto"/>
              <w:right w:val="nil"/>
            </w:tcBorders>
          </w:tcPr>
          <w:p w:rsidR="00192D8F" w:rsidRPr="00B24BC7" w:rsidRDefault="00192D8F" w:rsidP="00696289">
            <w:pPr>
              <w:pStyle w:val="Tabletext"/>
              <w:ind w:right="397"/>
              <w:jc w:val="right"/>
              <w:rPr>
                <w:b/>
              </w:rPr>
            </w:pPr>
            <w:r w:rsidRPr="00B24BC7">
              <w:rPr>
                <w:b/>
              </w:rPr>
              <w:t>338</w:t>
            </w:r>
          </w:p>
        </w:tc>
        <w:tc>
          <w:tcPr>
            <w:tcW w:w="1276" w:type="dxa"/>
            <w:tcBorders>
              <w:top w:val="nil"/>
              <w:left w:val="nil"/>
              <w:bottom w:val="single" w:sz="4" w:space="0" w:color="auto"/>
              <w:right w:val="nil"/>
            </w:tcBorders>
          </w:tcPr>
          <w:p w:rsidR="00192D8F" w:rsidRPr="00B24BC7" w:rsidRDefault="00192D8F" w:rsidP="00696289">
            <w:pPr>
              <w:pStyle w:val="Tabletext"/>
              <w:tabs>
                <w:tab w:val="decimal" w:pos="539"/>
              </w:tabs>
              <w:rPr>
                <w:b/>
              </w:rPr>
            </w:pPr>
            <w:r w:rsidRPr="00B24BC7">
              <w:rPr>
                <w:b/>
              </w:rPr>
              <w:t>13.7</w:t>
            </w:r>
          </w:p>
        </w:tc>
      </w:tr>
    </w:tbl>
    <w:p w:rsidR="00192D8F" w:rsidRPr="00B24BC7" w:rsidRDefault="00192D8F" w:rsidP="00B24BC7">
      <w:pPr>
        <w:pStyle w:val="Source"/>
      </w:pPr>
      <w:r>
        <w:t>Notes:</w:t>
      </w:r>
      <w:r w:rsidR="00B24BC7">
        <w:tab/>
      </w:r>
      <w:r>
        <w:t xml:space="preserve">Due to the coding of some students in </w:t>
      </w:r>
      <w:r w:rsidRPr="00B24BC7">
        <w:t>combined programs to two fields of education, the totals can be higher than the total number of students and the size of the difference varies between fields of education.</w:t>
      </w:r>
      <w:r w:rsidR="00837079">
        <w:t xml:space="preserve"> </w:t>
      </w:r>
    </w:p>
    <w:p w:rsidR="005D34EB" w:rsidRDefault="00B24BC7" w:rsidP="00B24BC7">
      <w:pPr>
        <w:pStyle w:val="Source"/>
      </w:pPr>
      <w:r>
        <w:t>Source:</w:t>
      </w:r>
      <w:r>
        <w:tab/>
      </w:r>
      <w:r w:rsidR="005D34EB" w:rsidRPr="00B24BC7">
        <w:t>Department of Education, Employment</w:t>
      </w:r>
      <w:r w:rsidR="005D34EB">
        <w:t xml:space="preserve"> and Workplace Relations, Higher Education Statistics Collection, unpublished data (2010).</w:t>
      </w:r>
    </w:p>
    <w:p w:rsidR="0079415E" w:rsidRDefault="005D34EB" w:rsidP="00696289">
      <w:pPr>
        <w:pStyle w:val="Textmorebefore"/>
      </w:pPr>
      <w:r>
        <w:t>As indicated in t</w:t>
      </w:r>
      <w:r w:rsidR="0079415E" w:rsidRPr="0079415E">
        <w:t xml:space="preserve">able 10, half of the </w:t>
      </w:r>
      <w:r>
        <w:t>ten</w:t>
      </w:r>
      <w:r w:rsidR="0079415E" w:rsidRPr="0079415E">
        <w:t xml:space="preserve"> major providers of </w:t>
      </w:r>
      <w:r w:rsidRPr="0079415E">
        <w:t xml:space="preserve">electrical and electronic engineering </w:t>
      </w:r>
      <w:r w:rsidR="0079415E" w:rsidRPr="0079415E">
        <w:t>courses (all Cluster 3 institutions) admit no students on the basis of a VET award. Among the four biggest providers of courses in this sub-fie</w:t>
      </w:r>
      <w:r>
        <w:t>ld, two Cluster 1 institutions —</w:t>
      </w:r>
      <w:r w:rsidR="0079415E" w:rsidRPr="0079415E">
        <w:t xml:space="preserve"> RMIT Unive</w:t>
      </w:r>
      <w:r>
        <w:t>rsity and Swinburne University —</w:t>
      </w:r>
      <w:r w:rsidR="0079415E" w:rsidRPr="0079415E">
        <w:t xml:space="preserve"> admit students on the basis of a VET award at well above the national rate (35</w:t>
      </w:r>
      <w:r w:rsidR="008134F7">
        <w:t xml:space="preserve">% </w:t>
      </w:r>
      <w:r w:rsidR="0079415E" w:rsidRPr="0079415E">
        <w:t>and 19</w:t>
      </w:r>
      <w:r w:rsidR="008134F7">
        <w:t xml:space="preserve">% </w:t>
      </w:r>
      <w:r w:rsidR="0079415E" w:rsidRPr="0079415E">
        <w:t xml:space="preserve">respectively), whereas </w:t>
      </w:r>
      <w:r>
        <w:t>the next two largest providers —</w:t>
      </w:r>
      <w:r w:rsidR="0079415E" w:rsidRPr="0079415E">
        <w:t xml:space="preserve"> the University of New South Wales and Curt</w:t>
      </w:r>
      <w:r>
        <w:t>in University (both Cluster 3) —</w:t>
      </w:r>
      <w:r w:rsidR="0079415E" w:rsidRPr="0079415E">
        <w:t xml:space="preserve"> admit none</w:t>
      </w:r>
      <w:r w:rsidR="003777DE">
        <w:t>.</w:t>
      </w:r>
    </w:p>
    <w:p w:rsidR="00ED7971" w:rsidRDefault="003F5F47" w:rsidP="00696289">
      <w:pPr>
        <w:pStyle w:val="Text"/>
      </w:pPr>
      <w:r>
        <w:t xml:space="preserve">As in </w:t>
      </w:r>
      <w:r w:rsidR="00ED7971">
        <w:t xml:space="preserve">the broad field of </w:t>
      </w:r>
      <w:r w:rsidR="005D34EB">
        <w:t xml:space="preserve">management and commerce </w:t>
      </w:r>
      <w:r w:rsidR="00ED7971">
        <w:t>(FOE 08), the relatively high admission rate</w:t>
      </w:r>
      <w:r w:rsidR="00900485">
        <w:t>s</w:t>
      </w:r>
      <w:r w:rsidR="00ED7971">
        <w:t xml:space="preserve"> of VET </w:t>
      </w:r>
      <w:r w:rsidR="00B87FBB">
        <w:t>award holders</w:t>
      </w:r>
      <w:r w:rsidR="00ED7971">
        <w:t xml:space="preserve"> in </w:t>
      </w:r>
      <w:r w:rsidR="005D34EB">
        <w:t xml:space="preserve">electrical and electronic engineering </w:t>
      </w:r>
      <w:r w:rsidR="00ED7971">
        <w:t xml:space="preserve">(FOE 0305) </w:t>
      </w:r>
      <w:r w:rsidR="00720F76">
        <w:t>are</w:t>
      </w:r>
      <w:r w:rsidR="002312A9">
        <w:t xml:space="preserve"> associated with a</w:t>
      </w:r>
      <w:r w:rsidR="00ED7971">
        <w:t xml:space="preserve"> relatively high enrolment share held by universities in Clusters 1 and 2 compared </w:t>
      </w:r>
      <w:r w:rsidR="005D34EB">
        <w:t>with</w:t>
      </w:r>
      <w:r w:rsidR="00ED7971">
        <w:t xml:space="preserve"> Cluster 3</w:t>
      </w:r>
      <w:r w:rsidR="00F17FD9">
        <w:t>.</w:t>
      </w:r>
      <w:r w:rsidR="002312A9">
        <w:t xml:space="preserve"> </w:t>
      </w:r>
      <w:r w:rsidR="00720F76">
        <w:t xml:space="preserve">In both cases, </w:t>
      </w:r>
      <w:r w:rsidR="00276411">
        <w:lastRenderedPageBreak/>
        <w:t xml:space="preserve">the enrolment share held by Cluster 1 and Cluster 3 providers </w:t>
      </w:r>
      <w:r w:rsidR="002312A9">
        <w:t>appear</w:t>
      </w:r>
      <w:r w:rsidR="00276411">
        <w:t>s</w:t>
      </w:r>
      <w:r w:rsidR="002312A9">
        <w:t xml:space="preserve"> to influence the</w:t>
      </w:r>
      <w:r w:rsidR="00F17FD9">
        <w:t xml:space="preserve"> </w:t>
      </w:r>
      <w:r w:rsidR="00A07B71">
        <w:t xml:space="preserve">national </w:t>
      </w:r>
      <w:r w:rsidR="00F17FD9">
        <w:t xml:space="preserve">admission </w:t>
      </w:r>
      <w:r w:rsidR="00720F76">
        <w:t xml:space="preserve">rate </w:t>
      </w:r>
      <w:r w:rsidR="00F17FD9">
        <w:t xml:space="preserve">of VET </w:t>
      </w:r>
      <w:r w:rsidR="00B87FBB">
        <w:t>award holders</w:t>
      </w:r>
      <w:r w:rsidR="00F17FD9">
        <w:t xml:space="preserve"> within </w:t>
      </w:r>
      <w:r w:rsidR="00720F76">
        <w:t>the</w:t>
      </w:r>
      <w:r w:rsidR="00F17FD9">
        <w:t xml:space="preserve"> field</w:t>
      </w:r>
      <w:r w:rsidR="00720F76">
        <w:t xml:space="preserve">. </w:t>
      </w:r>
    </w:p>
    <w:p w:rsidR="002312A9" w:rsidRDefault="00706058" w:rsidP="002312A9">
      <w:pPr>
        <w:pStyle w:val="Heading3"/>
      </w:pPr>
      <w:r>
        <w:t>The i</w:t>
      </w:r>
      <w:r w:rsidR="002312A9">
        <w:t>nfluence of Cluster 3 universities</w:t>
      </w:r>
    </w:p>
    <w:p w:rsidR="00870DB9" w:rsidRDefault="00ED7971" w:rsidP="008A4AC7">
      <w:pPr>
        <w:pStyle w:val="Textlessbefore"/>
      </w:pPr>
      <w:r>
        <w:t xml:space="preserve">The </w:t>
      </w:r>
      <w:r w:rsidR="00192D8F">
        <w:t>analysi</w:t>
      </w:r>
      <w:r w:rsidR="00A07B71">
        <w:t xml:space="preserve">s of sub-fields in the </w:t>
      </w:r>
      <w:r w:rsidR="005D34EB">
        <w:t xml:space="preserve">support document </w:t>
      </w:r>
      <w:r w:rsidR="00192D8F">
        <w:t>suggests</w:t>
      </w:r>
      <w:r w:rsidR="00870DB9" w:rsidRPr="00870DB9">
        <w:t xml:space="preserve"> that the enrolment share held by Cluster</w:t>
      </w:r>
      <w:r w:rsidR="0090547D">
        <w:t> </w:t>
      </w:r>
      <w:r w:rsidR="00870DB9" w:rsidRPr="00870DB9">
        <w:t xml:space="preserve">3 universities </w:t>
      </w:r>
      <w:r w:rsidR="002312A9">
        <w:t>influences</w:t>
      </w:r>
      <w:r w:rsidR="00870DB9" w:rsidRPr="00870DB9">
        <w:t xml:space="preserve"> the admission rate</w:t>
      </w:r>
      <w:r w:rsidR="0035591B">
        <w:t>s</w:t>
      </w:r>
      <w:r w:rsidR="00870DB9" w:rsidRPr="00870DB9">
        <w:t xml:space="preserve"> of VET </w:t>
      </w:r>
      <w:r w:rsidR="00B87FBB">
        <w:t>award holders</w:t>
      </w:r>
      <w:r w:rsidR="00870DB9" w:rsidRPr="00870DB9">
        <w:t xml:space="preserve"> in most </w:t>
      </w:r>
      <w:r>
        <w:t xml:space="preserve">broad </w:t>
      </w:r>
      <w:r w:rsidR="00870DB9" w:rsidRPr="00870DB9">
        <w:t xml:space="preserve">fields </w:t>
      </w:r>
      <w:r>
        <w:t xml:space="preserve">and sub-fields of education. </w:t>
      </w:r>
      <w:r w:rsidR="00706058">
        <w:t>In</w:t>
      </w:r>
      <w:r w:rsidR="00706058" w:rsidRPr="00706058">
        <w:t xml:space="preserve"> a field or sub-field</w:t>
      </w:r>
      <w:r w:rsidR="00706058">
        <w:t xml:space="preserve"> where</w:t>
      </w:r>
      <w:r>
        <w:t xml:space="preserve"> </w:t>
      </w:r>
      <w:r w:rsidR="00870DB9" w:rsidRPr="00870DB9">
        <w:t>one or more Cluster 1 universities are major providers</w:t>
      </w:r>
      <w:r w:rsidR="00706058">
        <w:t>,</w:t>
      </w:r>
      <w:r w:rsidR="00870DB9" w:rsidRPr="00870DB9">
        <w:t xml:space="preserve"> the admission rate of VET </w:t>
      </w:r>
      <w:r w:rsidR="00B87FBB">
        <w:t>award holders</w:t>
      </w:r>
      <w:r w:rsidR="00870DB9" w:rsidRPr="00870DB9">
        <w:t xml:space="preserve"> in that field </w:t>
      </w:r>
      <w:r w:rsidR="002312A9">
        <w:t xml:space="preserve">is likely </w:t>
      </w:r>
      <w:r>
        <w:t xml:space="preserve">to </w:t>
      </w:r>
      <w:r w:rsidR="00870DB9" w:rsidRPr="00870DB9">
        <w:t>be above average. However</w:t>
      </w:r>
      <w:r w:rsidR="005D34EB">
        <w:t>,</w:t>
      </w:r>
      <w:r w:rsidR="00870DB9" w:rsidRPr="00870DB9">
        <w:t xml:space="preserve"> if Cluster 3 institutions </w:t>
      </w:r>
      <w:r>
        <w:t xml:space="preserve">are </w:t>
      </w:r>
      <w:r w:rsidR="005D34EB">
        <w:t>over</w:t>
      </w:r>
      <w:r w:rsidR="002312A9">
        <w:t>represented in terms of their enrolment share</w:t>
      </w:r>
      <w:r w:rsidR="00870DB9" w:rsidRPr="00870DB9">
        <w:t xml:space="preserve">, the overall admission rates of VET </w:t>
      </w:r>
      <w:r w:rsidR="00B87FBB">
        <w:t>award holders</w:t>
      </w:r>
      <w:r w:rsidR="00870DB9" w:rsidRPr="00870DB9">
        <w:t xml:space="preserve"> in that field or sub-field </w:t>
      </w:r>
      <w:r w:rsidR="00706058">
        <w:t>are likely to be depressed</w:t>
      </w:r>
      <w:r w:rsidR="00870DB9" w:rsidRPr="00870DB9">
        <w:t>.</w:t>
      </w:r>
    </w:p>
    <w:p w:rsidR="00551C7B" w:rsidRDefault="0004656D" w:rsidP="00696289">
      <w:pPr>
        <w:pStyle w:val="Text"/>
      </w:pPr>
      <w:r>
        <w:t xml:space="preserve">To </w:t>
      </w:r>
      <w:r w:rsidR="00ED7971">
        <w:t>illustrate</w:t>
      </w:r>
      <w:r>
        <w:t xml:space="preserve">, we </w:t>
      </w:r>
      <w:r w:rsidR="00ED7971">
        <w:t>display</w:t>
      </w:r>
      <w:r>
        <w:t xml:space="preserve"> </w:t>
      </w:r>
      <w:r w:rsidR="005D34EB">
        <w:t>each c</w:t>
      </w:r>
      <w:r w:rsidR="00ED7971">
        <w:t xml:space="preserve">luster’s share of </w:t>
      </w:r>
      <w:r w:rsidR="000C1499">
        <w:t xml:space="preserve">the </w:t>
      </w:r>
      <w:r w:rsidR="00ED7971">
        <w:t xml:space="preserve">undergraduate commencing student load by </w:t>
      </w:r>
      <w:r>
        <w:t>broad field of education</w:t>
      </w:r>
      <w:r w:rsidR="00706058">
        <w:t>. F</w:t>
      </w:r>
      <w:r w:rsidR="00C36656">
        <w:t>igure 3</w:t>
      </w:r>
      <w:r w:rsidR="00706058">
        <w:t xml:space="preserve"> </w:t>
      </w:r>
      <w:r w:rsidR="00192D8F">
        <w:t xml:space="preserve">indicates </w:t>
      </w:r>
      <w:r w:rsidR="006512F3">
        <w:t>the</w:t>
      </w:r>
      <w:r w:rsidR="00192D8F">
        <w:t xml:space="preserve"> share of </w:t>
      </w:r>
      <w:r w:rsidR="000C1499">
        <w:t xml:space="preserve">the </w:t>
      </w:r>
      <w:r w:rsidR="00192D8F">
        <w:t>total undergraduate commencing student</w:t>
      </w:r>
      <w:r w:rsidR="008B3F52">
        <w:t xml:space="preserve"> load</w:t>
      </w:r>
      <w:r w:rsidR="00192D8F">
        <w:t xml:space="preserve"> </w:t>
      </w:r>
      <w:r w:rsidR="006512F3">
        <w:t xml:space="preserve">held by </w:t>
      </w:r>
      <w:r w:rsidR="008B3F52">
        <w:t xml:space="preserve">each of the </w:t>
      </w:r>
      <w:r w:rsidR="006512F3">
        <w:t>three clusters of institution</w:t>
      </w:r>
      <w:r w:rsidR="00900485">
        <w:t>s</w:t>
      </w:r>
      <w:r w:rsidR="006512F3">
        <w:t xml:space="preserve"> </w:t>
      </w:r>
      <w:r w:rsidR="00192D8F">
        <w:t xml:space="preserve">in each broad field of education. </w:t>
      </w:r>
      <w:r w:rsidR="00551C7B">
        <w:t xml:space="preserve">The </w:t>
      </w:r>
      <w:r w:rsidR="008B3F52">
        <w:t xml:space="preserve">broad </w:t>
      </w:r>
      <w:r w:rsidR="00551C7B">
        <w:t xml:space="preserve">fields of education are ranked in order of the rate at which VET </w:t>
      </w:r>
      <w:r w:rsidR="00B87FBB">
        <w:t>award holders</w:t>
      </w:r>
      <w:r w:rsidR="00551C7B">
        <w:t xml:space="preserve"> are admitted in each field (indicated in parentheses</w:t>
      </w:r>
      <w:r w:rsidR="008B3F52">
        <w:t xml:space="preserve"> on the vertical axis</w:t>
      </w:r>
      <w:r w:rsidR="00551C7B">
        <w:t>).</w:t>
      </w:r>
    </w:p>
    <w:p w:rsidR="00551C7B" w:rsidRDefault="0058469F" w:rsidP="00696289">
      <w:pPr>
        <w:pStyle w:val="Figuretitle"/>
      </w:pPr>
      <w:r>
        <w:rPr>
          <w:noProof/>
          <w:lang w:eastAsia="en-AU"/>
        </w:rPr>
        <w:drawing>
          <wp:anchor distT="0" distB="0" distL="114300" distR="114300" simplePos="0" relativeHeight="251685376" behindDoc="0" locked="0" layoutInCell="1" allowOverlap="1">
            <wp:simplePos x="0" y="0"/>
            <wp:positionH relativeFrom="column">
              <wp:posOffset>15240</wp:posOffset>
            </wp:positionH>
            <wp:positionV relativeFrom="paragraph">
              <wp:posOffset>678815</wp:posOffset>
            </wp:positionV>
            <wp:extent cx="5943600" cy="3539490"/>
            <wp:effectExtent l="19050" t="0" r="19050" b="3810"/>
            <wp:wrapSquare wrapText="bothSides"/>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58469F">
        <w:t xml:space="preserve"> </w:t>
      </w:r>
      <w:bookmarkStart w:id="56" w:name="_Toc367362967"/>
      <w:r w:rsidR="00C36656">
        <w:t>Figure 3</w:t>
      </w:r>
      <w:r w:rsidR="005D34EB">
        <w:tab/>
        <w:t xml:space="preserve">Institutional </w:t>
      </w:r>
      <w:r w:rsidR="005D34EB" w:rsidRPr="00696289">
        <w:t>cluster</w:t>
      </w:r>
      <w:r w:rsidR="00551C7B" w:rsidRPr="00696289">
        <w:t>s</w:t>
      </w:r>
      <w:r w:rsidR="005D34EB" w:rsidRPr="00696289">
        <w:t>’</w:t>
      </w:r>
      <w:r w:rsidR="00551C7B">
        <w:t xml:space="preserve"> share of undergraduate commencing students b</w:t>
      </w:r>
      <w:r w:rsidR="005D34EB">
        <w:t>y broad field of education</w:t>
      </w:r>
      <w:r w:rsidR="00551C7B">
        <w:t xml:space="preserve">, </w:t>
      </w:r>
      <w:r w:rsidR="00706058">
        <w:t xml:space="preserve">and rate of admission of students on the basis of a VET award, </w:t>
      </w:r>
      <w:r w:rsidR="00551C7B">
        <w:t>Australia</w:t>
      </w:r>
      <w:r w:rsidR="005D34EB">
        <w:t>,</w:t>
      </w:r>
      <w:r w:rsidR="00551C7B">
        <w:t xml:space="preserve"> 2010</w:t>
      </w:r>
      <w:bookmarkEnd w:id="56"/>
      <w:r w:rsidR="00551C7B">
        <w:t xml:space="preserve"> </w:t>
      </w:r>
    </w:p>
    <w:p w:rsidR="00297E9E" w:rsidRDefault="005D34EB" w:rsidP="003C7AB4">
      <w:pPr>
        <w:pStyle w:val="Textmorebefore"/>
        <w:spacing w:before="500"/>
      </w:pPr>
      <w:r>
        <w:t>As shown in f</w:t>
      </w:r>
      <w:r w:rsidR="00C36656">
        <w:t>igure 3</w:t>
      </w:r>
      <w:r w:rsidR="00551C7B">
        <w:t xml:space="preserve">, the fields of education where Cluster 3 universities have the largest enrolment share are those where the admission rates of VET </w:t>
      </w:r>
      <w:r w:rsidR="00B87FBB">
        <w:t>award holders</w:t>
      </w:r>
      <w:r w:rsidR="00551C7B">
        <w:t xml:space="preserve"> are lowest. In the fields of </w:t>
      </w:r>
      <w:r>
        <w:t xml:space="preserve">agriculture, environmental and related studies </w:t>
      </w:r>
      <w:r w:rsidR="00551C7B">
        <w:t xml:space="preserve">(FOE 05) and the </w:t>
      </w:r>
      <w:r>
        <w:t xml:space="preserve">natural and physical sciences </w:t>
      </w:r>
      <w:r w:rsidR="00551C7B">
        <w:t>(FOE 01), wh</w:t>
      </w:r>
      <w:r w:rsidR="006E6515">
        <w:t xml:space="preserve">ere only </w:t>
      </w:r>
      <w:r>
        <w:t>4—</w:t>
      </w:r>
      <w:r w:rsidR="00551C7B">
        <w:t>6</w:t>
      </w:r>
      <w:r w:rsidR="008134F7">
        <w:t xml:space="preserve">% </w:t>
      </w:r>
      <w:r w:rsidR="006E6515">
        <w:t>of commencing undergraduates are admitted on the basis of a VET award</w:t>
      </w:r>
      <w:r w:rsidR="00551C7B">
        <w:t xml:space="preserve">, Cluster 3 universities </w:t>
      </w:r>
      <w:r w:rsidR="006E6515">
        <w:t>account for</w:t>
      </w:r>
      <w:r w:rsidR="00551C7B">
        <w:t xml:space="preserve"> 60</w:t>
      </w:r>
      <w:r w:rsidR="008134F7">
        <w:t xml:space="preserve">% </w:t>
      </w:r>
      <w:r w:rsidR="00551C7B">
        <w:t xml:space="preserve">of </w:t>
      </w:r>
      <w:r w:rsidR="000C1499">
        <w:t xml:space="preserve">the </w:t>
      </w:r>
      <w:r w:rsidR="00551C7B">
        <w:t>undergraduate commencing student</w:t>
      </w:r>
      <w:r w:rsidR="006E6515">
        <w:t xml:space="preserve"> load</w:t>
      </w:r>
      <w:r w:rsidR="00551C7B">
        <w:t xml:space="preserve">. </w:t>
      </w:r>
      <w:r w:rsidR="00297E9E">
        <w:t xml:space="preserve">In </w:t>
      </w:r>
      <w:r>
        <w:t>engineering and related technologies</w:t>
      </w:r>
      <w:r w:rsidR="00297E9E">
        <w:t xml:space="preserve"> (FOE 03), Cluster 3 universities are </w:t>
      </w:r>
      <w:r>
        <w:t>also over</w:t>
      </w:r>
      <w:r w:rsidR="00297E9E">
        <w:t xml:space="preserve">represented, </w:t>
      </w:r>
      <w:r w:rsidR="00C73AA6">
        <w:t xml:space="preserve">enrolling </w:t>
      </w:r>
      <w:r w:rsidR="00E0079C">
        <w:t>51</w:t>
      </w:r>
      <w:r w:rsidR="008134F7">
        <w:t xml:space="preserve">% </w:t>
      </w:r>
      <w:r w:rsidR="00297E9E">
        <w:t xml:space="preserve">of </w:t>
      </w:r>
      <w:r w:rsidR="000C1499">
        <w:t xml:space="preserve">the </w:t>
      </w:r>
      <w:r w:rsidR="00297E9E">
        <w:t xml:space="preserve">total undergraduate student load, compared </w:t>
      </w:r>
      <w:r>
        <w:t>with</w:t>
      </w:r>
      <w:r w:rsidR="00297E9E">
        <w:t xml:space="preserve"> their share of 38</w:t>
      </w:r>
      <w:r w:rsidR="008134F7">
        <w:t xml:space="preserve">% </w:t>
      </w:r>
      <w:r w:rsidR="00297E9E">
        <w:t xml:space="preserve">across all fields. This field </w:t>
      </w:r>
      <w:r w:rsidR="00297E9E">
        <w:lastRenderedPageBreak/>
        <w:t>has the third lowest rate of admission of studen</w:t>
      </w:r>
      <w:r>
        <w:t>ts on the basis of a VET award —</w:t>
      </w:r>
      <w:r w:rsidR="00297E9E">
        <w:t xml:space="preserve"> 7.</w:t>
      </w:r>
      <w:r w:rsidR="005362FE">
        <w:t>4</w:t>
      </w:r>
      <w:r w:rsidR="008134F7">
        <w:t xml:space="preserve">% </w:t>
      </w:r>
      <w:r>
        <w:t xml:space="preserve">— </w:t>
      </w:r>
      <w:r w:rsidR="005362FE">
        <w:t>and Australia is experiencing a national shortage of graduates in this field.</w:t>
      </w:r>
    </w:p>
    <w:p w:rsidR="00F522D9" w:rsidRDefault="000C1499" w:rsidP="00696289">
      <w:pPr>
        <w:pStyle w:val="Text"/>
      </w:pPr>
      <w:r>
        <w:t>By</w:t>
      </w:r>
      <w:r w:rsidR="00551C7B">
        <w:t xml:space="preserve"> contrast, in the field</w:t>
      </w:r>
      <w:r w:rsidR="005362FE">
        <w:t>s</w:t>
      </w:r>
      <w:r w:rsidR="005D34EB">
        <w:t xml:space="preserve"> of e</w:t>
      </w:r>
      <w:r w:rsidR="00551C7B">
        <w:t xml:space="preserve">ducation (FOE 07) and </w:t>
      </w:r>
      <w:r w:rsidR="005D34EB">
        <w:t xml:space="preserve">information technology </w:t>
      </w:r>
      <w:r w:rsidR="00551C7B">
        <w:t xml:space="preserve">(FOE 02), which admit </w:t>
      </w:r>
      <w:proofErr w:type="gramStart"/>
      <w:r w:rsidR="00551C7B">
        <w:t>V</w:t>
      </w:r>
      <w:r w:rsidR="005D34EB">
        <w:t>ET</w:t>
      </w:r>
      <w:proofErr w:type="gramEnd"/>
      <w:r w:rsidR="005D34EB">
        <w:t xml:space="preserve"> award holders at rates of 14—15%</w:t>
      </w:r>
      <w:r w:rsidR="00195200">
        <w:t>, C</w:t>
      </w:r>
      <w:r w:rsidR="005D34EB">
        <w:t>luster 3 universities are under</w:t>
      </w:r>
      <w:r w:rsidR="00195200">
        <w:t>represented, with only 25</w:t>
      </w:r>
      <w:r w:rsidR="008134F7">
        <w:t xml:space="preserve">% </w:t>
      </w:r>
      <w:r w:rsidR="00195200">
        <w:t xml:space="preserve">of </w:t>
      </w:r>
      <w:r>
        <w:t xml:space="preserve">the </w:t>
      </w:r>
      <w:r w:rsidR="009224DD">
        <w:t xml:space="preserve">total </w:t>
      </w:r>
      <w:r w:rsidR="00551C7B">
        <w:t>undergraduate student load</w:t>
      </w:r>
      <w:r w:rsidR="001361E6">
        <w:t xml:space="preserve"> </w:t>
      </w:r>
      <w:r w:rsidR="005362FE">
        <w:t>enrolled</w:t>
      </w:r>
      <w:r w:rsidR="00FB48B9">
        <w:t>.</w:t>
      </w:r>
      <w:r w:rsidR="005362FE">
        <w:t xml:space="preserve"> Hence the admission rates of VET </w:t>
      </w:r>
      <w:r w:rsidR="00B87FBB">
        <w:t>award holders</w:t>
      </w:r>
      <w:r w:rsidR="005362FE">
        <w:t xml:space="preserve"> are highest in these two fields.</w:t>
      </w:r>
      <w:r w:rsidR="00F522D9">
        <w:t xml:space="preserve"> </w:t>
      </w:r>
    </w:p>
    <w:p w:rsidR="00AD52B0" w:rsidRDefault="00AD52B0" w:rsidP="00AD52B0">
      <w:pPr>
        <w:pStyle w:val="Heading2"/>
      </w:pPr>
      <w:bookmarkStart w:id="57" w:name="_Toc367450622"/>
      <w:r>
        <w:t>Discussion</w:t>
      </w:r>
      <w:bookmarkEnd w:id="57"/>
    </w:p>
    <w:p w:rsidR="0064479F" w:rsidRDefault="0064479F" w:rsidP="00696289">
      <w:pPr>
        <w:pStyle w:val="Text"/>
      </w:pPr>
      <w:r>
        <w:t xml:space="preserve">It is beyond the scope of this study to examine the relationship between admission rates of VET </w:t>
      </w:r>
      <w:r w:rsidR="00B87FBB">
        <w:t>award holders</w:t>
      </w:r>
      <w:r>
        <w:t xml:space="preserve"> and </w:t>
      </w:r>
      <w:r w:rsidR="005D34EB">
        <w:t xml:space="preserve">Australian Tertiary </w:t>
      </w:r>
      <w:r w:rsidR="005D34EB" w:rsidRPr="00696289">
        <w:t>Admission</w:t>
      </w:r>
      <w:r w:rsidR="005D34EB">
        <w:t xml:space="preserve"> Rank</w:t>
      </w:r>
      <w:r w:rsidR="00A66FD0">
        <w:t xml:space="preserve"> </w:t>
      </w:r>
      <w:r w:rsidR="005D34EB">
        <w:t>(</w:t>
      </w:r>
      <w:r>
        <w:t>ATAR</w:t>
      </w:r>
      <w:r w:rsidR="00A66FD0">
        <w:t>)</w:t>
      </w:r>
      <w:r>
        <w:t xml:space="preserve"> cut-off scores</w:t>
      </w:r>
      <w:r w:rsidR="00A66FD0">
        <w:t xml:space="preserve"> or </w:t>
      </w:r>
      <w:r w:rsidR="000C1499">
        <w:t xml:space="preserve">the </w:t>
      </w:r>
      <w:r w:rsidR="00A66FD0">
        <w:t xml:space="preserve">first preferences of school </w:t>
      </w:r>
      <w:r>
        <w:t>leavers. However</w:t>
      </w:r>
      <w:r w:rsidR="00A66FD0">
        <w:t>,</w:t>
      </w:r>
      <w:r w:rsidRPr="00944282">
        <w:t xml:space="preserve"> we question the assumption that undergraduate programs which attract school leavers with high ATARs should not be expected to admit students on the basis of a VET award. All publicly funded universities operate within </w:t>
      </w:r>
      <w:r>
        <w:t>a</w:t>
      </w:r>
      <w:r w:rsidRPr="00944282">
        <w:t xml:space="preserve"> national policy framework </w:t>
      </w:r>
      <w:r>
        <w:t xml:space="preserve">that endorses the provision of </w:t>
      </w:r>
      <w:r w:rsidRPr="00944282">
        <w:t>VET</w:t>
      </w:r>
      <w:r w:rsidR="00A66FD0">
        <w:t xml:space="preserve"> to higher education</w:t>
      </w:r>
      <w:r w:rsidRPr="00944282">
        <w:t xml:space="preserve"> pathways</w:t>
      </w:r>
      <w:r>
        <w:t xml:space="preserve">. </w:t>
      </w:r>
      <w:r w:rsidRPr="00944282">
        <w:t xml:space="preserve">There </w:t>
      </w:r>
      <w:r>
        <w:t>is currently no policy that suggests a</w:t>
      </w:r>
      <w:r w:rsidR="00A245D0">
        <w:t xml:space="preserve"> publicly funded</w:t>
      </w:r>
      <w:r>
        <w:t xml:space="preserve"> university should be relieved of its </w:t>
      </w:r>
      <w:r w:rsidRPr="00944282">
        <w:t xml:space="preserve">responsibility to develop </w:t>
      </w:r>
      <w:r w:rsidR="00B80BDF">
        <w:t xml:space="preserve">VET to higher education pathways </w:t>
      </w:r>
      <w:r w:rsidRPr="00944282">
        <w:t xml:space="preserve">due to </w:t>
      </w:r>
      <w:r w:rsidR="00CA7403">
        <w:t xml:space="preserve">its </w:t>
      </w:r>
      <w:r w:rsidRPr="00944282">
        <w:t xml:space="preserve">perceived </w:t>
      </w:r>
      <w:r>
        <w:t>‘</w:t>
      </w:r>
      <w:r w:rsidRPr="00944282">
        <w:t>competitive position</w:t>
      </w:r>
      <w:r>
        <w:t>’</w:t>
      </w:r>
      <w:r w:rsidRPr="00944282">
        <w:t>.</w:t>
      </w:r>
    </w:p>
    <w:p w:rsidR="00AD52B0" w:rsidRDefault="00FB48B9" w:rsidP="00696289">
      <w:pPr>
        <w:pStyle w:val="Text"/>
      </w:pPr>
      <w:r>
        <w:t xml:space="preserve">The </w:t>
      </w:r>
      <w:r w:rsidR="00A245D0">
        <w:t xml:space="preserve">apparent </w:t>
      </w:r>
      <w:r>
        <w:t>influence of institution</w:t>
      </w:r>
      <w:r w:rsidR="00A245D0">
        <w:t xml:space="preserve">al policies and practices </w:t>
      </w:r>
      <w:r>
        <w:t xml:space="preserve">on the admission rates of VET </w:t>
      </w:r>
      <w:r w:rsidR="00B87FBB">
        <w:t>award holders</w:t>
      </w:r>
      <w:r w:rsidR="00ED19AF">
        <w:t xml:space="preserve"> </w:t>
      </w:r>
      <w:r w:rsidR="00A245D0">
        <w:t xml:space="preserve">in Australian universities in all fields of study </w:t>
      </w:r>
      <w:r w:rsidR="00AD52B0">
        <w:t>has implications</w:t>
      </w:r>
      <w:r w:rsidR="00ED19AF">
        <w:t xml:space="preserve"> for </w:t>
      </w:r>
      <w:r w:rsidR="00A245D0">
        <w:t xml:space="preserve">both </w:t>
      </w:r>
      <w:r w:rsidR="00AD52B0">
        <w:t xml:space="preserve">VET </w:t>
      </w:r>
      <w:r w:rsidR="00B87FBB">
        <w:t>award holders</w:t>
      </w:r>
      <w:r w:rsidR="00AD52B0">
        <w:t xml:space="preserve"> and</w:t>
      </w:r>
      <w:r w:rsidR="00696289">
        <w:t> </w:t>
      </w:r>
      <w:r w:rsidR="00AD52B0">
        <w:t>employers.</w:t>
      </w:r>
    </w:p>
    <w:p w:rsidR="00AD52B0" w:rsidRDefault="00AD52B0" w:rsidP="00696289">
      <w:pPr>
        <w:pStyle w:val="Text"/>
      </w:pPr>
      <w:r>
        <w:t xml:space="preserve">Within any field of education, VET </w:t>
      </w:r>
      <w:r w:rsidR="00B87FBB">
        <w:t>award holders</w:t>
      </w:r>
      <w:r>
        <w:t xml:space="preserve"> seeking admission to undergraduate programs will have different levels of access to university. This means that their chances of being admitted to a university in any given field will depend on the type of university to which they apply. For example, VET graduates seeking admission to hi</w:t>
      </w:r>
      <w:r w:rsidR="00A66FD0">
        <w:t>gher education in the field of engineering (FOE 03)</w:t>
      </w:r>
      <w:r>
        <w:t xml:space="preserve"> are on average four times more likely to gain entry to a university in Cluster 2 than a university in Cluster 3, and eight times more likely to be offered a place in a university in Cluster 1 compared </w:t>
      </w:r>
      <w:r w:rsidR="00A66FD0">
        <w:t>with</w:t>
      </w:r>
      <w:r>
        <w:t xml:space="preserve"> Cluster 3. In the field of </w:t>
      </w:r>
      <w:r w:rsidR="000C1499">
        <w:t xml:space="preserve">management and commerce </w:t>
      </w:r>
      <w:r>
        <w:t xml:space="preserve">(FOE 08), VET </w:t>
      </w:r>
      <w:r w:rsidR="00B87FBB">
        <w:t>award holders</w:t>
      </w:r>
      <w:r>
        <w:t xml:space="preserve"> are three times more likely to be admitted to Cluster 2 institutions and six times more likely to be admitted to a university in Cluster 1, compared </w:t>
      </w:r>
      <w:r w:rsidR="000C1499">
        <w:t>with</w:t>
      </w:r>
      <w:r>
        <w:t xml:space="preserve"> a university in Cluster 3. </w:t>
      </w:r>
      <w:r w:rsidR="009C57D5">
        <w:t xml:space="preserve">As the </w:t>
      </w:r>
      <w:r w:rsidR="000C1499">
        <w:t>institution to which they apply</w:t>
      </w:r>
      <w:r w:rsidR="009C57D5">
        <w:t xml:space="preserve"> is likely to be </w:t>
      </w:r>
      <w:r w:rsidR="00900485">
        <w:t>determined</w:t>
      </w:r>
      <w:r w:rsidR="009C57D5">
        <w:t xml:space="preserve"> by the state or region in which they live and work, VET </w:t>
      </w:r>
      <w:r w:rsidR="00B87FBB">
        <w:t>award holders</w:t>
      </w:r>
      <w:r w:rsidR="009C57D5">
        <w:t xml:space="preserve"> </w:t>
      </w:r>
      <w:r w:rsidR="00420B15">
        <w:t xml:space="preserve">will </w:t>
      </w:r>
      <w:r w:rsidR="009C57D5">
        <w:t>face different levels of access to VET</w:t>
      </w:r>
      <w:r w:rsidR="00A66FD0">
        <w:t xml:space="preserve"> to higher education</w:t>
      </w:r>
      <w:r w:rsidR="009C57D5">
        <w:t xml:space="preserve"> pathways.</w:t>
      </w:r>
    </w:p>
    <w:p w:rsidR="009C57D5" w:rsidRDefault="00A245D0" w:rsidP="00696289">
      <w:pPr>
        <w:pStyle w:val="Text"/>
      </w:pPr>
      <w:r>
        <w:t>Employers may be concerned about</w:t>
      </w:r>
      <w:r w:rsidR="009C57D5">
        <w:t xml:space="preserve"> the </w:t>
      </w:r>
      <w:r w:rsidR="009D1AC9">
        <w:t xml:space="preserve">disproportionately high enrolment share </w:t>
      </w:r>
      <w:r w:rsidR="009C57D5">
        <w:t xml:space="preserve">of Cluster 3 </w:t>
      </w:r>
      <w:r w:rsidR="00E114F0">
        <w:t>institutions</w:t>
      </w:r>
      <w:r>
        <w:t xml:space="preserve"> </w:t>
      </w:r>
      <w:r w:rsidR="00E114F0">
        <w:t xml:space="preserve">in fields </w:t>
      </w:r>
      <w:r w:rsidR="000C1499">
        <w:t>in which</w:t>
      </w:r>
      <w:r w:rsidR="00B8637C">
        <w:t xml:space="preserve"> Australia </w:t>
      </w:r>
      <w:r>
        <w:t>is experiencing a</w:t>
      </w:r>
      <w:r w:rsidR="00E114F0">
        <w:t xml:space="preserve"> national skills shortage</w:t>
      </w:r>
      <w:r>
        <w:t>. In key fields such as engineering</w:t>
      </w:r>
      <w:r w:rsidR="000C1499">
        <w:t>,</w:t>
      </w:r>
      <w:r>
        <w:t xml:space="preserve"> for example, t</w:t>
      </w:r>
      <w:r w:rsidR="00B8637C">
        <w:t>he</w:t>
      </w:r>
      <w:r>
        <w:t xml:space="preserve"> policies and practices of </w:t>
      </w:r>
      <w:r w:rsidR="00B8637C">
        <w:t xml:space="preserve">Cluster 3 universities </w:t>
      </w:r>
      <w:r w:rsidR="009C57D5">
        <w:t xml:space="preserve">may </w:t>
      </w:r>
      <w:r>
        <w:t xml:space="preserve">be constraining </w:t>
      </w:r>
      <w:r w:rsidR="009D1AC9">
        <w:t xml:space="preserve">Australia’s capacity to increase </w:t>
      </w:r>
      <w:r w:rsidR="00712E6D">
        <w:t xml:space="preserve">the </w:t>
      </w:r>
      <w:r>
        <w:t xml:space="preserve">output of graduates </w:t>
      </w:r>
      <w:r w:rsidR="00900485">
        <w:t>through the creation of</w:t>
      </w:r>
      <w:r>
        <w:t xml:space="preserve"> pathways for VET </w:t>
      </w:r>
      <w:r w:rsidR="00B87FBB">
        <w:t>award holders</w:t>
      </w:r>
      <w:r>
        <w:t xml:space="preserve"> into higher education degrees. </w:t>
      </w:r>
    </w:p>
    <w:p w:rsidR="009023FD" w:rsidRDefault="009023FD" w:rsidP="00696289">
      <w:pPr>
        <w:pStyle w:val="Text"/>
      </w:pPr>
      <w:r>
        <w:t>Overall, this analysis</w:t>
      </w:r>
      <w:r w:rsidR="0019302A" w:rsidRPr="0019302A">
        <w:t xml:space="preserve"> suggests that institutional policies and practices, rather than </w:t>
      </w:r>
      <w:r w:rsidR="00945A9C">
        <w:t xml:space="preserve">any </w:t>
      </w:r>
      <w:r w:rsidR="0019302A" w:rsidRPr="0019302A">
        <w:t xml:space="preserve">characteristics of the field of study, are </w:t>
      </w:r>
      <w:r w:rsidR="00945A9C">
        <w:t xml:space="preserve">a key </w:t>
      </w:r>
      <w:r w:rsidR="0019302A" w:rsidRPr="0019302A">
        <w:t xml:space="preserve">influence on the admission rates of VET </w:t>
      </w:r>
      <w:r w:rsidR="00B87FBB">
        <w:t>award holders</w:t>
      </w:r>
      <w:r w:rsidR="0019302A" w:rsidRPr="0019302A">
        <w:t xml:space="preserve"> to </w:t>
      </w:r>
      <w:r w:rsidR="007219C5">
        <w:t xml:space="preserve">Australian </w:t>
      </w:r>
      <w:r w:rsidR="0019302A" w:rsidRPr="0019302A">
        <w:t xml:space="preserve">universities. </w:t>
      </w:r>
      <w:r w:rsidR="00945A9C">
        <w:t xml:space="preserve">The consistently high rate of admission of VET </w:t>
      </w:r>
      <w:r w:rsidR="00B87FBB">
        <w:t>award holders</w:t>
      </w:r>
      <w:r w:rsidR="00945A9C">
        <w:t xml:space="preserve"> in all fields of education by Cluster 1 universities supports this conclusion. </w:t>
      </w:r>
      <w:r>
        <w:t xml:space="preserve">Among Cluster </w:t>
      </w:r>
      <w:r w:rsidR="00945A9C">
        <w:t xml:space="preserve">2 and Cluster </w:t>
      </w:r>
      <w:r>
        <w:t xml:space="preserve">3 institutions, the </w:t>
      </w:r>
      <w:r w:rsidR="00945A9C">
        <w:t xml:space="preserve">more haphazard admission </w:t>
      </w:r>
      <w:r>
        <w:t xml:space="preserve">rates of VET </w:t>
      </w:r>
      <w:r w:rsidR="00B87FBB">
        <w:t>award holders</w:t>
      </w:r>
      <w:r>
        <w:t xml:space="preserve"> </w:t>
      </w:r>
      <w:r w:rsidR="00A66FD0">
        <w:t>between fields</w:t>
      </w:r>
      <w:r w:rsidR="00945A9C">
        <w:t xml:space="preserve"> </w:t>
      </w:r>
      <w:r>
        <w:t>suggest</w:t>
      </w:r>
      <w:r w:rsidR="00945A9C">
        <w:t>s</w:t>
      </w:r>
      <w:r>
        <w:t xml:space="preserve"> that the drivers for </w:t>
      </w:r>
      <w:r w:rsidR="00B80BDF">
        <w:t xml:space="preserve">VET to higher education pathways </w:t>
      </w:r>
      <w:r>
        <w:t xml:space="preserve">within these universities may </w:t>
      </w:r>
      <w:r w:rsidR="00945A9C">
        <w:t xml:space="preserve">reside </w:t>
      </w:r>
      <w:r w:rsidR="00A66FD0">
        <w:t>at the f</w:t>
      </w:r>
      <w:r>
        <w:t xml:space="preserve">aculty </w:t>
      </w:r>
      <w:r w:rsidR="00945A9C">
        <w:t xml:space="preserve">level </w:t>
      </w:r>
      <w:r>
        <w:t xml:space="preserve">rather than </w:t>
      </w:r>
      <w:r w:rsidR="00945A9C">
        <w:t xml:space="preserve">the </w:t>
      </w:r>
      <w:r>
        <w:t>university level. Th</w:t>
      </w:r>
      <w:r w:rsidR="0038445E">
        <w:t>e i</w:t>
      </w:r>
      <w:r>
        <w:t xml:space="preserve">nstitutional policies and practices </w:t>
      </w:r>
      <w:r w:rsidR="0038445E">
        <w:t xml:space="preserve">of universities </w:t>
      </w:r>
      <w:r>
        <w:t>are therefore the focus of the final section below.</w:t>
      </w:r>
    </w:p>
    <w:p w:rsidR="00733754" w:rsidRPr="005E3C2A" w:rsidRDefault="00733754" w:rsidP="00733754">
      <w:pPr>
        <w:pStyle w:val="Heading1"/>
      </w:pPr>
      <w:bookmarkStart w:id="58" w:name="_Toc367450623"/>
      <w:bookmarkStart w:id="59" w:name="_Toc456000800"/>
      <w:bookmarkStart w:id="60" w:name="_Toc457122465"/>
      <w:bookmarkStart w:id="61" w:name="_Toc188077643"/>
      <w:r>
        <w:lastRenderedPageBreak/>
        <w:t xml:space="preserve">Institutional policies and </w:t>
      </w:r>
      <w:r w:rsidR="003929AE">
        <w:br/>
      </w:r>
      <w:r>
        <w:t>practices for VET</w:t>
      </w:r>
      <w:r w:rsidR="00A66FD0">
        <w:t xml:space="preserve"> to higher education</w:t>
      </w:r>
      <w:r>
        <w:t xml:space="preserve"> </w:t>
      </w:r>
      <w:r w:rsidRPr="005E3C2A">
        <w:t>pathways</w:t>
      </w:r>
      <w:bookmarkEnd w:id="58"/>
    </w:p>
    <w:p w:rsidR="00733754" w:rsidRDefault="00791A51" w:rsidP="00791A51">
      <w:pPr>
        <w:pStyle w:val="Text"/>
      </w:pPr>
      <w:r>
        <w:t xml:space="preserve">There are </w:t>
      </w:r>
      <w:r w:rsidR="00900485">
        <w:t>substantial</w:t>
      </w:r>
      <w:r>
        <w:t xml:space="preserve"> barriers to creating a ‘seamless’ transition from vocational to higher education (</w:t>
      </w:r>
      <w:proofErr w:type="spellStart"/>
      <w:r>
        <w:t>Wheelahan</w:t>
      </w:r>
      <w:proofErr w:type="spellEnd"/>
      <w:r>
        <w:t xml:space="preserve"> 2000), and institutional policies and practices play a</w:t>
      </w:r>
      <w:r w:rsidR="00D51DB7">
        <w:t>n</w:t>
      </w:r>
      <w:r>
        <w:t xml:space="preserve"> important role</w:t>
      </w:r>
      <w:r w:rsidR="00A84A3F">
        <w:t xml:space="preserve"> in addressing these obstacles (</w:t>
      </w:r>
      <w:proofErr w:type="spellStart"/>
      <w:r w:rsidR="00A84A3F">
        <w:t>Caterell</w:t>
      </w:r>
      <w:proofErr w:type="spellEnd"/>
      <w:r w:rsidR="00A84A3F">
        <w:t xml:space="preserve"> </w:t>
      </w:r>
      <w:r w:rsidR="00A66FD0">
        <w:t>&amp;</w:t>
      </w:r>
      <w:r w:rsidR="00A84A3F">
        <w:t xml:space="preserve"> Davis 2012; </w:t>
      </w:r>
      <w:r w:rsidR="00D51DB7">
        <w:t xml:space="preserve">Cram </w:t>
      </w:r>
      <w:r w:rsidR="00A66FD0">
        <w:t>&amp;</w:t>
      </w:r>
      <w:r w:rsidR="00D51DB7">
        <w:t xml:space="preserve">Watson 2008; </w:t>
      </w:r>
      <w:proofErr w:type="spellStart"/>
      <w:r w:rsidR="00A84A3F">
        <w:t>PhillipsKPA</w:t>
      </w:r>
      <w:proofErr w:type="spellEnd"/>
      <w:r w:rsidR="00A84A3F">
        <w:t xml:space="preserve"> 2006a</w:t>
      </w:r>
      <w:r w:rsidR="00D51DB7">
        <w:t>; Watson 2008</w:t>
      </w:r>
      <w:r w:rsidR="00A84A3F">
        <w:t>)</w:t>
      </w:r>
      <w:r w:rsidR="00FC5DB5">
        <w:t>.</w:t>
      </w:r>
      <w:r w:rsidR="00EE7058">
        <w:t xml:space="preserve"> </w:t>
      </w:r>
      <w:r w:rsidR="00FC5DB5">
        <w:t>T</w:t>
      </w:r>
      <w:r>
        <w:t xml:space="preserve">his section discusses </w:t>
      </w:r>
      <w:r w:rsidR="00733754" w:rsidRPr="00283841">
        <w:t xml:space="preserve">the </w:t>
      </w:r>
      <w:r w:rsidR="00733754">
        <w:t xml:space="preserve">policies and practices </w:t>
      </w:r>
      <w:r w:rsidR="00A66FD0">
        <w:t xml:space="preserve">that </w:t>
      </w:r>
      <w:r w:rsidR="00733754">
        <w:t>universities</w:t>
      </w:r>
      <w:r w:rsidR="00B36CC7">
        <w:t xml:space="preserve"> </w:t>
      </w:r>
      <w:r w:rsidR="00733754">
        <w:t xml:space="preserve">employ </w:t>
      </w:r>
      <w:r w:rsidR="008C7F80">
        <w:t xml:space="preserve">to attract and support </w:t>
      </w:r>
      <w:r w:rsidR="00733754">
        <w:t xml:space="preserve">VET </w:t>
      </w:r>
      <w:r w:rsidR="00B87FBB">
        <w:t>award holders</w:t>
      </w:r>
      <w:r w:rsidR="00733754">
        <w:t xml:space="preserve"> </w:t>
      </w:r>
      <w:r w:rsidR="00A66FD0">
        <w:t xml:space="preserve">on VET to higher education </w:t>
      </w:r>
      <w:r w:rsidR="00461569">
        <w:t>pathways</w:t>
      </w:r>
      <w:r w:rsidR="00733754">
        <w:t>. In undertaking this analysis, we aim</w:t>
      </w:r>
      <w:r w:rsidR="00EE7058">
        <w:t>ed</w:t>
      </w:r>
      <w:r w:rsidR="00733754">
        <w:t xml:space="preserve"> to understand </w:t>
      </w:r>
      <w:r w:rsidR="000C1499">
        <w:t xml:space="preserve">the </w:t>
      </w:r>
      <w:r w:rsidR="00EE7058">
        <w:t xml:space="preserve">variations in </w:t>
      </w:r>
      <w:r w:rsidR="000C1499">
        <w:t>universities’</w:t>
      </w:r>
      <w:r w:rsidR="00733754">
        <w:t xml:space="preserve"> polic</w:t>
      </w:r>
      <w:r w:rsidR="00EE7058">
        <w:t>i</w:t>
      </w:r>
      <w:r w:rsidR="00733754">
        <w:t xml:space="preserve">es and practices </w:t>
      </w:r>
      <w:r w:rsidR="00A66FD0">
        <w:t>that</w:t>
      </w:r>
      <w:r w:rsidR="00733754">
        <w:t xml:space="preserve"> </w:t>
      </w:r>
      <w:r w:rsidR="00EE7058">
        <w:t xml:space="preserve">differ in terms of the proportion of </w:t>
      </w:r>
      <w:r w:rsidR="00733754">
        <w:t xml:space="preserve">students </w:t>
      </w:r>
      <w:r w:rsidR="00EE7058">
        <w:t>admit</w:t>
      </w:r>
      <w:r w:rsidR="00900485">
        <w:t>ted</w:t>
      </w:r>
      <w:r w:rsidR="00EE7058">
        <w:t xml:space="preserve"> on </w:t>
      </w:r>
      <w:r w:rsidR="00733754">
        <w:t xml:space="preserve">the basis of </w:t>
      </w:r>
      <w:r w:rsidR="00EE7058">
        <w:t xml:space="preserve">a </w:t>
      </w:r>
      <w:r w:rsidR="00733754">
        <w:t xml:space="preserve">VET </w:t>
      </w:r>
      <w:r w:rsidR="00EE7058">
        <w:t>award. The t</w:t>
      </w:r>
      <w:r w:rsidR="00733754">
        <w:t xml:space="preserve">hree institutional clusters </w:t>
      </w:r>
      <w:r w:rsidR="00EE7058">
        <w:t xml:space="preserve">are used </w:t>
      </w:r>
      <w:r w:rsidR="00733754">
        <w:t>as an organising framework</w:t>
      </w:r>
      <w:r w:rsidR="00323537">
        <w:t xml:space="preserve"> to analyse data collected from institutions</w:t>
      </w:r>
      <w:r w:rsidR="00B36CC7">
        <w:t xml:space="preserve"> </w:t>
      </w:r>
      <w:r w:rsidR="00323537">
        <w:t>by survey and interview</w:t>
      </w:r>
      <w:r w:rsidR="00733754">
        <w:t>.</w:t>
      </w:r>
      <w:r w:rsidR="00323537">
        <w:rPr>
          <w:rStyle w:val="FootnoteReference"/>
        </w:rPr>
        <w:footnoteReference w:id="8"/>
      </w:r>
      <w:r w:rsidR="00733754">
        <w:t xml:space="preserve"> </w:t>
      </w:r>
    </w:p>
    <w:p w:rsidR="00EE7058" w:rsidRDefault="00EE7058" w:rsidP="00EE7058">
      <w:pPr>
        <w:pStyle w:val="Heading2"/>
      </w:pPr>
      <w:bookmarkStart w:id="62" w:name="_Toc367450624"/>
      <w:r>
        <w:t xml:space="preserve">Influence of government </w:t>
      </w:r>
      <w:r w:rsidR="00A16EA5">
        <w:t>funding</w:t>
      </w:r>
      <w:r w:rsidR="00B037AF">
        <w:t xml:space="preserve"> initiatives</w:t>
      </w:r>
      <w:bookmarkEnd w:id="62"/>
    </w:p>
    <w:p w:rsidR="00EE7058" w:rsidRDefault="000C1499" w:rsidP="00696289">
      <w:pPr>
        <w:pStyle w:val="Text"/>
      </w:pPr>
      <w:r>
        <w:t xml:space="preserve">For several universities </w:t>
      </w:r>
      <w:r w:rsidR="00733754">
        <w:t>in Clusters 1 and 2, expanding VET admissions is clearly consistent with</w:t>
      </w:r>
      <w:r>
        <w:t xml:space="preserve"> their established missions, which</w:t>
      </w:r>
      <w:r w:rsidR="00733754">
        <w:t xml:space="preserve"> emphasise lifelong learning, inclusiveness and student diversity. However, for other universities it seems that their interest in VET admissions and partnerships has been sparked by recent </w:t>
      </w:r>
      <w:r w:rsidR="00A66FD0">
        <w:t xml:space="preserve">federal </w:t>
      </w:r>
      <w:r w:rsidR="00A66FD0" w:rsidRPr="00696289">
        <w:t>government’s</w:t>
      </w:r>
      <w:r w:rsidR="00A66FD0">
        <w:t xml:space="preserve"> </w:t>
      </w:r>
      <w:r w:rsidR="00733754">
        <w:t>policies</w:t>
      </w:r>
      <w:r w:rsidR="00EE7058">
        <w:t>, such as the avail</w:t>
      </w:r>
      <w:r w:rsidR="00A66FD0">
        <w:t>ability of funding through the g</w:t>
      </w:r>
      <w:r w:rsidR="00EE7058">
        <w:t>overnment’s Higher Education Participation and Partnership Program participation (HEPPP).</w:t>
      </w:r>
      <w:r w:rsidR="00837079">
        <w:t xml:space="preserve"> </w:t>
      </w:r>
    </w:p>
    <w:p w:rsidR="00733754" w:rsidRDefault="00733754" w:rsidP="00696289">
      <w:pPr>
        <w:pStyle w:val="Quote"/>
      </w:pPr>
      <w:r>
        <w:t>We have little TAFE. We are not dual sector</w:t>
      </w:r>
      <w:r w:rsidR="00A66FD0">
        <w:t xml:space="preserve"> </w:t>
      </w:r>
      <w:r w:rsidR="00696289">
        <w:t>…</w:t>
      </w:r>
      <w:r w:rsidR="00A66FD0">
        <w:t xml:space="preserve"> </w:t>
      </w:r>
      <w:r>
        <w:t>we haven’t been in a position where we need to seek students.</w:t>
      </w:r>
      <w:r w:rsidR="00696289">
        <w:t xml:space="preserve"> </w:t>
      </w:r>
      <w:r>
        <w:t>But we are start</w:t>
      </w:r>
      <w:r w:rsidR="00A66FD0">
        <w:t xml:space="preserve">ing to look at what is possible </w:t>
      </w:r>
      <w:r w:rsidR="00696289">
        <w:t>…</w:t>
      </w:r>
      <w:r w:rsidR="00A66FD0">
        <w:t xml:space="preserve"> </w:t>
      </w:r>
      <w:r>
        <w:t xml:space="preserve">arrangements for pathways for </w:t>
      </w:r>
      <w:r w:rsidR="00A66FD0">
        <w:t xml:space="preserve">indigenous and low SES students </w:t>
      </w:r>
      <w:r w:rsidR="00696289">
        <w:t>…</w:t>
      </w:r>
      <w:r w:rsidR="00837079">
        <w:t xml:space="preserve"> </w:t>
      </w:r>
      <w:r>
        <w:t xml:space="preserve">there is a change here. It’s motivated by funding. We are reacting to initiatives at the Government level. </w:t>
      </w:r>
      <w:r w:rsidR="00A66FD0">
        <w:tab/>
      </w:r>
      <w:r>
        <w:t>(Respondent, Cluster 3)</w:t>
      </w:r>
    </w:p>
    <w:p w:rsidR="00733754" w:rsidRDefault="00733754" w:rsidP="00733754">
      <w:pPr>
        <w:pStyle w:val="Heading2"/>
      </w:pPr>
      <w:bookmarkStart w:id="63" w:name="_Toc367450625"/>
      <w:r>
        <w:t>Institutional practices to support VET</w:t>
      </w:r>
      <w:r w:rsidR="00900485">
        <w:t xml:space="preserve"> to higher education</w:t>
      </w:r>
      <w:r>
        <w:t xml:space="preserve"> pathways</w:t>
      </w:r>
      <w:bookmarkEnd w:id="63"/>
    </w:p>
    <w:p w:rsidR="00733754" w:rsidRDefault="00733754" w:rsidP="00696289">
      <w:pPr>
        <w:pStyle w:val="Text"/>
      </w:pPr>
      <w:r>
        <w:t xml:space="preserve">The </w:t>
      </w:r>
      <w:r w:rsidR="00093FAA">
        <w:t>2009</w:t>
      </w:r>
      <w:r>
        <w:t xml:space="preserve"> </w:t>
      </w:r>
      <w:r>
        <w:rPr>
          <w:i/>
        </w:rPr>
        <w:t xml:space="preserve">AQF </w:t>
      </w:r>
      <w:r w:rsidR="00093FAA">
        <w:rPr>
          <w:i/>
        </w:rPr>
        <w:t>national policy and guidelines on credit arrangements</w:t>
      </w:r>
      <w:r>
        <w:t xml:space="preserve"> identified operational guidelines for credit policies and procedures. These guidelines have incorporated the </w:t>
      </w:r>
      <w:r w:rsidR="00093FAA">
        <w:t>Ministerial Council on Education, Employment, Training and Youth Affairs (</w:t>
      </w:r>
      <w:r>
        <w:t>MCEETYA</w:t>
      </w:r>
      <w:r w:rsidR="00093FAA">
        <w:t>)</w:t>
      </w:r>
      <w:r>
        <w:t xml:space="preserve"> good practice principles </w:t>
      </w:r>
      <w:r w:rsidR="000C1499">
        <w:t>relating</w:t>
      </w:r>
      <w:r>
        <w:t xml:space="preserve"> to credit transfer</w:t>
      </w:r>
      <w:r w:rsidR="00900485">
        <w:t>,</w:t>
      </w:r>
      <w:r>
        <w:t xml:space="preserve"> articulation and information </w:t>
      </w:r>
      <w:r w:rsidRPr="00696289">
        <w:t>provision</w:t>
      </w:r>
      <w:r>
        <w:t xml:space="preserve"> previously used by universities to guide their development of practices for VET</w:t>
      </w:r>
      <w:r w:rsidR="00093FAA">
        <w:t xml:space="preserve"> to higher education</w:t>
      </w:r>
      <w:r>
        <w:t xml:space="preserve"> pathways. Many universities mentioned that they were currently examining the ways </w:t>
      </w:r>
      <w:r w:rsidR="00093FAA">
        <w:t>by</w:t>
      </w:r>
      <w:r>
        <w:t xml:space="preserve"> which they could meet the expectations of th</w:t>
      </w:r>
      <w:r w:rsidR="00093FAA">
        <w:t>e AQF credit transfer policy, with</w:t>
      </w:r>
      <w:r>
        <w:t xml:space="preserve"> one </w:t>
      </w:r>
      <w:r w:rsidR="00093FAA">
        <w:t>university describing itself as ‘AQF-compliant’</w:t>
      </w:r>
      <w:r>
        <w:t xml:space="preserve">. </w:t>
      </w:r>
    </w:p>
    <w:p w:rsidR="00733754" w:rsidRDefault="00733754" w:rsidP="00733754">
      <w:pPr>
        <w:pStyle w:val="Heading3"/>
      </w:pPr>
      <w:r>
        <w:t>Central leadership and line management</w:t>
      </w:r>
    </w:p>
    <w:p w:rsidR="00733754" w:rsidRDefault="00093FAA" w:rsidP="00696289">
      <w:pPr>
        <w:pStyle w:val="Textlessbefore"/>
      </w:pPr>
      <w:r>
        <w:t>Having dedicated central pathway officers or their equivalent</w:t>
      </w:r>
      <w:r w:rsidR="00733754">
        <w:t xml:space="preserve"> signals the strength of an institution’s commitment to VET pathways to its faculties, potential students and TAFE </w:t>
      </w:r>
      <w:r>
        <w:t xml:space="preserve">(technical and further education) </w:t>
      </w:r>
      <w:r w:rsidR="00733754">
        <w:t>partners. A central position or office also provides a focal point for faculties that require support and resources to develop their own initiatives. Central pathways staff can also help to ensure that coherent and cost-effective processes and s</w:t>
      </w:r>
      <w:r>
        <w:t>ystems are developed at a whole-of-</w:t>
      </w:r>
      <w:r w:rsidR="00733754">
        <w:t xml:space="preserve">institution level. </w:t>
      </w:r>
    </w:p>
    <w:p w:rsidR="00733754" w:rsidRDefault="00733754" w:rsidP="00696289">
      <w:pPr>
        <w:pStyle w:val="Text"/>
      </w:pPr>
      <w:r>
        <w:lastRenderedPageBreak/>
        <w:t xml:space="preserve">All respondents from the Cluster 1 group of universities reported a high level of central leadership in regard to </w:t>
      </w:r>
      <w:r w:rsidR="00B80BDF">
        <w:t xml:space="preserve">VET to higher education pathways </w:t>
      </w:r>
      <w:r>
        <w:t>through</w:t>
      </w:r>
      <w:r w:rsidR="00900485">
        <w:t xml:space="preserve"> the provision of</w:t>
      </w:r>
      <w:r>
        <w:t xml:space="preserve"> a dedicated </w:t>
      </w:r>
      <w:r w:rsidRPr="00696289">
        <w:t>pathway</w:t>
      </w:r>
      <w:r>
        <w:t xml:space="preserve"> officer/articulation coordinator (or equivalent title) situated in a central division</w:t>
      </w:r>
      <w:r w:rsidR="005A2EDA">
        <w:t>,</w:t>
      </w:r>
      <w:r>
        <w:t xml:space="preserve"> often supported by pathway or credit for prior learning officers in each faculty. For example, one Cluster 1 institution reported having:</w:t>
      </w:r>
    </w:p>
    <w:p w:rsidR="00733754" w:rsidRDefault="00733754" w:rsidP="00733754">
      <w:pPr>
        <w:pStyle w:val="Quote"/>
      </w:pPr>
      <w:proofErr w:type="gramStart"/>
      <w:r>
        <w:t>a</w:t>
      </w:r>
      <w:proofErr w:type="gramEnd"/>
      <w:r>
        <w:t xml:space="preserve"> senior position, the Dean of Studies, whose portfolio includes oversight of TAFE cooperation and agreements; sub-Deans in each Faculty for TAFE pathways; dedicated officers in the Division of Marketing.</w:t>
      </w:r>
      <w:r w:rsidR="00837079">
        <w:t xml:space="preserve"> </w:t>
      </w:r>
      <w:r>
        <w:t xml:space="preserve">The Dean of Studies office includes a team of staff who manage [the University’s] agreements with TAFE Institutes. </w:t>
      </w:r>
      <w:r w:rsidR="00660A55">
        <w:tab/>
      </w:r>
      <w:r>
        <w:t>(Respondent, Cluster 1)</w:t>
      </w:r>
    </w:p>
    <w:p w:rsidR="00733754" w:rsidRDefault="00733754" w:rsidP="00147C23">
      <w:pPr>
        <w:pStyle w:val="Text"/>
      </w:pPr>
      <w:r>
        <w:t xml:space="preserve">The commitment of Cluster 1 universities to </w:t>
      </w:r>
      <w:r w:rsidR="00B80BDF">
        <w:t xml:space="preserve">VET to higher education pathways </w:t>
      </w:r>
      <w:r>
        <w:t>and to forging</w:t>
      </w:r>
      <w:r w:rsidR="000C1499">
        <w:t xml:space="preserve"> the</w:t>
      </w:r>
      <w:r>
        <w:t xml:space="preserve"> relationships that deliver them is evident in the number of central staff that these universities reported were involved in pathways and the lines of reporting associated with these positions. For responding universities in Cluster 1, central/dedicated pathway officers reported directly to positions such as the D</w:t>
      </w:r>
      <w:r w:rsidR="000C1499">
        <w:t>eputy Vice-</w:t>
      </w:r>
      <w:r w:rsidR="00660A55">
        <w:t>Chancellor</w:t>
      </w:r>
      <w:r>
        <w:t xml:space="preserve"> (Academic); </w:t>
      </w:r>
      <w:r w:rsidR="00782418">
        <w:t>Deputy Vice-</w:t>
      </w:r>
      <w:r w:rsidR="00EB2D8A" w:rsidRPr="00EB2D8A">
        <w:t>Chancellor</w:t>
      </w:r>
      <w:r w:rsidRPr="00EB2D8A">
        <w:t xml:space="preserve"> (</w:t>
      </w:r>
      <w:r>
        <w:t xml:space="preserve">International and Regional Partnerships) and Head of Marketing. </w:t>
      </w:r>
    </w:p>
    <w:p w:rsidR="00733754" w:rsidRDefault="00733754" w:rsidP="00147C23">
      <w:pPr>
        <w:pStyle w:val="Text"/>
      </w:pPr>
      <w:r>
        <w:t>Among Cluster 2 and Cluster 3 institutions, a smaller percentage (38</w:t>
      </w:r>
      <w:r w:rsidR="007A2C97">
        <w:t>%</w:t>
      </w:r>
      <w:r>
        <w:t xml:space="preserve"> and 21</w:t>
      </w:r>
      <w:r w:rsidR="007A2C97">
        <w:t>%</w:t>
      </w:r>
      <w:r>
        <w:t>) also reported having a central person or office responsible for pathways, VET partnerships or articulation arrangements. However</w:t>
      </w:r>
      <w:r w:rsidR="00660A55">
        <w:t>,</w:t>
      </w:r>
      <w:r>
        <w:t xml:space="preserve"> the line management and reporting relationships were not as clearly defined.</w:t>
      </w:r>
      <w:r w:rsidR="00837079">
        <w:t xml:space="preserve"> </w:t>
      </w:r>
    </w:p>
    <w:p w:rsidR="0022132B" w:rsidRPr="0022132B" w:rsidRDefault="0022132B" w:rsidP="0022132B">
      <w:pPr>
        <w:pStyle w:val="Heading3"/>
      </w:pPr>
      <w:r>
        <w:t xml:space="preserve">Systems for monitoring </w:t>
      </w:r>
      <w:r w:rsidRPr="0022132B">
        <w:t>student progression and achievement</w:t>
      </w:r>
    </w:p>
    <w:p w:rsidR="0022132B" w:rsidRDefault="0022132B" w:rsidP="00147C23">
      <w:pPr>
        <w:pStyle w:val="Textlessbefore"/>
      </w:pPr>
      <w:r w:rsidRPr="0022132B">
        <w:t>The majority of universities</w:t>
      </w:r>
      <w:r>
        <w:t xml:space="preserve"> in all clusters reported that they had systems for monitoring the performance and progression of students and were able to identify those who </w:t>
      </w:r>
      <w:r w:rsidR="00B037AF">
        <w:t>we</w:t>
      </w:r>
      <w:r>
        <w:t xml:space="preserve">re admitted on the basis of VET studies. Respondents with access to such data reported that the performance of students admitted on the basis of VET is largely comparable with school leavers. </w:t>
      </w:r>
    </w:p>
    <w:p w:rsidR="0022132B" w:rsidRDefault="0022132B" w:rsidP="0022132B">
      <w:pPr>
        <w:pStyle w:val="Text"/>
      </w:pPr>
      <w:r>
        <w:t xml:space="preserve">However, several institutions in Cluster 3 reported that they </w:t>
      </w:r>
      <w:r w:rsidR="00B037AF">
        <w:t>implemented</w:t>
      </w:r>
      <w:r>
        <w:t xml:space="preserve"> little or no monitoring:</w:t>
      </w:r>
    </w:p>
    <w:p w:rsidR="0022132B" w:rsidRPr="00147C23" w:rsidRDefault="0022132B" w:rsidP="00147C23">
      <w:pPr>
        <w:pStyle w:val="Quote"/>
      </w:pPr>
      <w:r>
        <w:t xml:space="preserve">There has been no central </w:t>
      </w:r>
      <w:r w:rsidRPr="00147C23">
        <w:t xml:space="preserve">monitoring. </w:t>
      </w:r>
      <w:r w:rsidR="00660A55" w:rsidRPr="00147C23">
        <w:tab/>
      </w:r>
      <w:r w:rsidRPr="00147C23">
        <w:t>(Respondent, Cluster 2)</w:t>
      </w:r>
    </w:p>
    <w:p w:rsidR="0022132B" w:rsidRPr="00147C23" w:rsidRDefault="0022132B" w:rsidP="00147C23">
      <w:pPr>
        <w:pStyle w:val="Quote"/>
      </w:pPr>
      <w:r w:rsidRPr="00147C23">
        <w:t>No. We are just moving into it now. We simply don’t know enough</w:t>
      </w:r>
      <w:r w:rsidR="00660A55" w:rsidRPr="00147C23">
        <w:t xml:space="preserve"> about attrition and retention.</w:t>
      </w:r>
      <w:r w:rsidR="00147C23">
        <w:br/>
      </w:r>
      <w:r w:rsidR="00660A55" w:rsidRPr="00147C23">
        <w:tab/>
      </w:r>
      <w:r w:rsidR="000C1499" w:rsidRPr="00147C23">
        <w:t>(Respondent, Cluster 3)</w:t>
      </w:r>
      <w:r w:rsidRPr="00147C23">
        <w:t xml:space="preserve"> </w:t>
      </w:r>
    </w:p>
    <w:p w:rsidR="0022132B" w:rsidRDefault="0022132B" w:rsidP="00147C23">
      <w:pPr>
        <w:pStyle w:val="Quote"/>
      </w:pPr>
      <w:r w:rsidRPr="00147C23">
        <w:t>There is no formal monitoring of these students. To date, they have not been identified as a cohort at risk and there have been</w:t>
      </w:r>
      <w:r>
        <w:t xml:space="preserve"> no recurring indicators at t</w:t>
      </w:r>
      <w:r w:rsidR="00660A55">
        <w:t>he Academic Progress Committee.</w:t>
      </w:r>
      <w:r w:rsidR="00147C23">
        <w:br/>
      </w:r>
      <w:r w:rsidR="00660A55">
        <w:tab/>
      </w:r>
      <w:r>
        <w:t>(Respondent, Cluster 3)</w:t>
      </w:r>
    </w:p>
    <w:p w:rsidR="0022132B" w:rsidRDefault="0022132B" w:rsidP="0022132B">
      <w:pPr>
        <w:pStyle w:val="Text"/>
      </w:pPr>
      <w:r>
        <w:t>Resource constraints were identified by several institutions as limiting the development of more effective monitoring systems for VET pathways. However, for others, their systems were conceived as ‘work in progress’</w:t>
      </w:r>
      <w:r w:rsidR="00660A55">
        <w:t>,</w:t>
      </w:r>
      <w:r>
        <w:t xml:space="preserve"> with improvements being driven not only by the growth in VET admissions and articulation arrangements but also by the need to demonstrate their inst</w:t>
      </w:r>
      <w:r w:rsidR="00660A55">
        <w:t>itution</w:t>
      </w:r>
      <w:r w:rsidR="00900485">
        <w:t>’</w:t>
      </w:r>
      <w:r w:rsidR="00660A55">
        <w:t>s contribution to the g</w:t>
      </w:r>
      <w:r>
        <w:t>overnment’s broader participation and performance goals for the sector.</w:t>
      </w:r>
      <w:r w:rsidR="00837079">
        <w:t xml:space="preserve"> </w:t>
      </w:r>
    </w:p>
    <w:p w:rsidR="0022132B" w:rsidRDefault="0022132B" w:rsidP="0022132B">
      <w:pPr>
        <w:pStyle w:val="Text"/>
      </w:pPr>
      <w:r>
        <w:t>Several respondents were very articulate about the limitations of their existing systems in terms of effectively monitoring student pathways and evaluating the impact of particular credit transfer and articulation arrangements.</w:t>
      </w:r>
      <w:r w:rsidR="00837079">
        <w:t xml:space="preserve"> </w:t>
      </w:r>
      <w:r>
        <w:t>These institutions were clearly inter</w:t>
      </w:r>
      <w:r w:rsidR="000C1499">
        <w:t>ested in investigating the cost-</w:t>
      </w:r>
      <w:r>
        <w:t>effectiveness of different approaches and therefore n</w:t>
      </w:r>
      <w:r w:rsidR="00660A55">
        <w:t>eeded a more sophisticated data</w:t>
      </w:r>
      <w:r>
        <w:t>set than one which simply flags students admitted on the basis of a VET award. A key issue identified by many respondents was the difficulty in obtaining more specific details about the VET award holder’s prior learning and</w:t>
      </w:r>
      <w:r w:rsidR="000C1499">
        <w:t>,</w:t>
      </w:r>
      <w:r>
        <w:t xml:space="preserve"> in particular, the name of the feeder institution. Several complained about the way </w:t>
      </w:r>
      <w:r>
        <w:lastRenderedPageBreak/>
        <w:t xml:space="preserve">their state admissions bodies record the VET institution of enrolment, which does not provide adequate details of the applicant’s VET provider. </w:t>
      </w:r>
    </w:p>
    <w:p w:rsidR="0022132B" w:rsidRDefault="0022132B" w:rsidP="0022132B">
      <w:pPr>
        <w:pStyle w:val="Quote"/>
      </w:pPr>
      <w:r>
        <w:t>The university is currently working on a program that will provide more in-depth data that will assist with monitoring of different student cohorts and track the impacts of credit tr</w:t>
      </w:r>
      <w:r w:rsidR="00660A55">
        <w:t>ansfer, transition support etc.</w:t>
      </w:r>
      <w:r w:rsidR="00660A55">
        <w:tab/>
      </w:r>
      <w:r>
        <w:t>(Respondent, Cluster 1)</w:t>
      </w:r>
    </w:p>
    <w:p w:rsidR="0022132B" w:rsidRDefault="0022132B" w:rsidP="0022132B">
      <w:pPr>
        <w:pStyle w:val="Quote"/>
      </w:pPr>
      <w:r>
        <w:t>The VET basis of admission does not easily allow for identification of different VET providers i.e. TAFE therefore it is necessary for us to undertake lower level analysis and data recording to specific</w:t>
      </w:r>
      <w:r w:rsidR="00660A55">
        <w:t>ally highlight TAFE statistics.</w:t>
      </w:r>
      <w:r w:rsidR="00660A55">
        <w:tab/>
      </w:r>
      <w:r>
        <w:t>(Respondent, Cluster 2)</w:t>
      </w:r>
    </w:p>
    <w:p w:rsidR="0022132B" w:rsidRDefault="0022132B" w:rsidP="00147C23">
      <w:pPr>
        <w:pStyle w:val="Text"/>
      </w:pPr>
      <w:r>
        <w:t xml:space="preserve">One respondent highlighted the need for a unique student identifier to track students moving between </w:t>
      </w:r>
      <w:r w:rsidR="000C1499">
        <w:t xml:space="preserve">the </w:t>
      </w:r>
      <w:r>
        <w:t>VET and higher education sectors. This respondent pointed out that a unique student code would not only enable universities to better monitor students and evaluate the effectiveness of different VET</w:t>
      </w:r>
      <w:r w:rsidR="00660A55">
        <w:t xml:space="preserve"> to higher education</w:t>
      </w:r>
      <w:r>
        <w:t xml:space="preserve"> </w:t>
      </w:r>
      <w:proofErr w:type="gramStart"/>
      <w:r>
        <w:t>pathways,</w:t>
      </w:r>
      <w:proofErr w:type="gramEnd"/>
      <w:r>
        <w:t xml:space="preserve"> it </w:t>
      </w:r>
      <w:r w:rsidR="00900485">
        <w:t>would</w:t>
      </w:r>
      <w:r>
        <w:t xml:space="preserve"> also assist in developing reverse pathways to improve student outcomes. </w:t>
      </w:r>
    </w:p>
    <w:p w:rsidR="0022132B" w:rsidRDefault="0022132B" w:rsidP="0022132B">
      <w:pPr>
        <w:pStyle w:val="Quote"/>
      </w:pPr>
      <w:r>
        <w:t xml:space="preserve">This will also enable us to track students moving from university to TAFE and to identify which TAFE courses they undertake. We can use this information to offer relevant VET units as elective subjects within our degrees to assist students achieve </w:t>
      </w:r>
      <w:r w:rsidR="00660A55">
        <w:t>vocational skills more quickly.</w:t>
      </w:r>
      <w:r w:rsidR="00147C23">
        <w:br/>
      </w:r>
      <w:r w:rsidR="00660A55">
        <w:tab/>
      </w:r>
      <w:r>
        <w:t>(Respondent, Cluster 3)</w:t>
      </w:r>
    </w:p>
    <w:p w:rsidR="00B64CAC" w:rsidRDefault="00B64CAC" w:rsidP="00B64CAC">
      <w:pPr>
        <w:pStyle w:val="Text"/>
      </w:pPr>
      <w:r>
        <w:t xml:space="preserve">The ability of universities to monitor the outcomes of </w:t>
      </w:r>
      <w:r w:rsidR="00B80BDF">
        <w:t xml:space="preserve">VET to higher education pathways </w:t>
      </w:r>
      <w:r>
        <w:t>is critical to the improve</w:t>
      </w:r>
      <w:r w:rsidR="00660A55">
        <w:t>ment and extension of pathways —</w:t>
      </w:r>
      <w:r>
        <w:t xml:space="preserve"> in both directions. Further, without a sophisticated capability to monitor outcomes, institutions can find it difficult to persuade its internal stakeholders that pathways should be developed</w:t>
      </w:r>
      <w:r w:rsidR="00900485">
        <w:t>,</w:t>
      </w:r>
      <w:r>
        <w:t xml:space="preserve"> or that it is worthwhile admitting VET award students. As one respondent commented:</w:t>
      </w:r>
    </w:p>
    <w:p w:rsidR="00B64CAC" w:rsidRDefault="00B64CAC" w:rsidP="00B64CAC">
      <w:pPr>
        <w:pStyle w:val="Quote"/>
      </w:pPr>
      <w:r>
        <w:t>We generate reports annually on the progress of those admitted on the basis of VET qualifications.</w:t>
      </w:r>
      <w:r w:rsidR="00837079">
        <w:t xml:space="preserve"> </w:t>
      </w:r>
      <w:r>
        <w:t>These reports measure performance (grade point average), grade distributions, progress and attrition rates for those admitted on the basis of VET studies compared to those admitted through other criteria.</w:t>
      </w:r>
    </w:p>
    <w:p w:rsidR="00B64CAC" w:rsidRDefault="00B64CAC" w:rsidP="00B64CAC">
      <w:pPr>
        <w:pStyle w:val="Quote"/>
      </w:pPr>
      <w:r>
        <w:t xml:space="preserve">Given that overall performance by those admitted on the basis of VET is comparable to those admitted with an ATAR of 70+, this evidence has been useful in generating cultural change within Faculties to be more supportive of students </w:t>
      </w:r>
      <w:r w:rsidR="00660A55">
        <w:t>entering through this pathway.</w:t>
      </w:r>
      <w:r w:rsidR="00147C23">
        <w:br/>
      </w:r>
      <w:r w:rsidR="00660A55">
        <w:tab/>
      </w:r>
      <w:r>
        <w:t>(Respondent, Cluster 3)</w:t>
      </w:r>
    </w:p>
    <w:p w:rsidR="00733754" w:rsidRDefault="00733754" w:rsidP="00733754">
      <w:pPr>
        <w:pStyle w:val="Heading3"/>
      </w:pPr>
      <w:r>
        <w:t xml:space="preserve">Admissions </w:t>
      </w:r>
      <w:r w:rsidR="00040904">
        <w:t>policies and practices</w:t>
      </w:r>
      <w:r w:rsidR="0022132B">
        <w:t xml:space="preserve"> </w:t>
      </w:r>
    </w:p>
    <w:p w:rsidR="00733754" w:rsidRDefault="00733754" w:rsidP="00147C23">
      <w:pPr>
        <w:pStyle w:val="Textlessbefore"/>
      </w:pPr>
      <w:r>
        <w:t>The Cluster 1 institutions who responded to the survey all have specific policies about VET admissions.</w:t>
      </w:r>
      <w:r w:rsidR="00837079">
        <w:t xml:space="preserve"> </w:t>
      </w:r>
      <w:r>
        <w:t xml:space="preserve">For example, one university responded that it had: </w:t>
      </w:r>
    </w:p>
    <w:p w:rsidR="00733754" w:rsidRDefault="00733754" w:rsidP="00733754">
      <w:pPr>
        <w:pStyle w:val="Quote"/>
      </w:pPr>
      <w:proofErr w:type="gramStart"/>
      <w:r>
        <w:t>quantitative</w:t>
      </w:r>
      <w:proofErr w:type="gramEnd"/>
      <w:r>
        <w:t xml:space="preserve"> growth targets in relation to</w:t>
      </w:r>
      <w:r>
        <w:rPr>
          <w:rFonts w:asciiTheme="minorHAnsi" w:hAnsiTheme="minorHAnsi" w:cstheme="minorHAnsi"/>
          <w:sz w:val="20"/>
        </w:rPr>
        <w:t xml:space="preserve"> </w:t>
      </w:r>
      <w:r>
        <w:t xml:space="preserve">growing first round </w:t>
      </w:r>
      <w:r w:rsidR="00165B03">
        <w:t>(state admissions body)</w:t>
      </w:r>
      <w:r>
        <w:t xml:space="preserve"> offers for TAFE pathway students; increasing enrolments from identified low SES regions via TAFE partners; growing domestic and international studen</w:t>
      </w:r>
      <w:r w:rsidR="00660A55">
        <w:t>ts coming via TAFE partners.</w:t>
      </w:r>
      <w:r w:rsidR="00660A55">
        <w:tab/>
      </w:r>
      <w:r>
        <w:t>(Respondent, Cluster 1)</w:t>
      </w:r>
    </w:p>
    <w:p w:rsidR="00733754" w:rsidRDefault="00733754" w:rsidP="00147C23">
      <w:pPr>
        <w:pStyle w:val="Text"/>
      </w:pPr>
      <w:r>
        <w:t xml:space="preserve">Similarly, several Cluster 2 universities had some policies </w:t>
      </w:r>
      <w:r w:rsidR="00660A55">
        <w:t>relating to</w:t>
      </w:r>
      <w:r>
        <w:t xml:space="preserve"> VET admissions and most had partnerships with VET institutions</w:t>
      </w:r>
      <w:r w:rsidR="00900485">
        <w:t>,</w:t>
      </w:r>
      <w:r>
        <w:t xml:space="preserve"> particularly in their local region: </w:t>
      </w:r>
    </w:p>
    <w:p w:rsidR="00733754" w:rsidRDefault="00733754" w:rsidP="00147C23">
      <w:pPr>
        <w:pStyle w:val="Quote"/>
      </w:pPr>
      <w:r>
        <w:t xml:space="preserve">Given our location in [region] we engage with </w:t>
      </w:r>
      <w:r w:rsidRPr="00147C23">
        <w:t>VET</w:t>
      </w:r>
      <w:r>
        <w:t xml:space="preserve"> pr</w:t>
      </w:r>
      <w:r w:rsidR="006068BB">
        <w:t>oviders to design pathways for c</w:t>
      </w:r>
      <w:r>
        <w:t xml:space="preserve">ert. IV and diploma students for all </w:t>
      </w:r>
      <w:r w:rsidR="00AE6472">
        <w:t>(our)</w:t>
      </w:r>
      <w:r w:rsidR="006068BB">
        <w:t xml:space="preserve"> campuses.</w:t>
      </w:r>
      <w:r w:rsidR="006068BB">
        <w:tab/>
      </w:r>
      <w:r>
        <w:t>(Respondent, Cluster 2)</w:t>
      </w:r>
    </w:p>
    <w:p w:rsidR="00733754" w:rsidRDefault="00733754" w:rsidP="00147C23">
      <w:pPr>
        <w:pStyle w:val="Text"/>
        <w:rPr>
          <w:lang w:eastAsia="en-AU"/>
        </w:rPr>
      </w:pPr>
      <w:r>
        <w:t>One Cluster 1 institution reported guaranteed entry (with no credit granted) into many undergraduate programs on the basis of applic</w:t>
      </w:r>
      <w:r w:rsidR="006068BB">
        <w:t>ants having completed a c</w:t>
      </w:r>
      <w:r>
        <w:t>ertificate IV at any TAFE</w:t>
      </w:r>
      <w:r w:rsidR="00900485">
        <w:t xml:space="preserve"> institute</w:t>
      </w:r>
      <w:r>
        <w:t xml:space="preserve">, private </w:t>
      </w:r>
      <w:r>
        <w:lastRenderedPageBreak/>
        <w:t>provider or college. Another</w:t>
      </w:r>
      <w:r w:rsidR="00900485">
        <w:t xml:space="preserve"> institution in this category</w:t>
      </w:r>
      <w:r>
        <w:t xml:space="preserve"> reported </w:t>
      </w:r>
      <w:r>
        <w:rPr>
          <w:lang w:eastAsia="en-AU"/>
        </w:rPr>
        <w:t xml:space="preserve">guaranteed entry for </w:t>
      </w:r>
      <w:r w:rsidR="006068BB">
        <w:rPr>
          <w:lang w:eastAsia="en-AU"/>
        </w:rPr>
        <w:t xml:space="preserve">diploma and advanced diploma </w:t>
      </w:r>
      <w:r w:rsidR="007B3C2A">
        <w:rPr>
          <w:lang w:eastAsia="en-AU"/>
        </w:rPr>
        <w:t>TAFE graduates who had</w:t>
      </w:r>
      <w:r>
        <w:rPr>
          <w:lang w:eastAsia="en-AU"/>
        </w:rPr>
        <w:t xml:space="preserve"> completed their TAFE qualification within the last </w:t>
      </w:r>
      <w:r w:rsidR="006068BB">
        <w:rPr>
          <w:lang w:eastAsia="en-AU"/>
        </w:rPr>
        <w:t>ten</w:t>
      </w:r>
      <w:r>
        <w:rPr>
          <w:lang w:eastAsia="en-AU"/>
        </w:rPr>
        <w:t xml:space="preserve"> years. In both these cases, the </w:t>
      </w:r>
      <w:r w:rsidR="00F17FED">
        <w:rPr>
          <w:lang w:eastAsia="en-AU"/>
        </w:rPr>
        <w:t xml:space="preserve">VET </w:t>
      </w:r>
      <w:r>
        <w:rPr>
          <w:lang w:eastAsia="en-AU"/>
        </w:rPr>
        <w:t>qualifications d</w:t>
      </w:r>
      <w:r w:rsidR="00F17FED">
        <w:rPr>
          <w:lang w:eastAsia="en-AU"/>
        </w:rPr>
        <w:t>id</w:t>
      </w:r>
      <w:r>
        <w:rPr>
          <w:lang w:eastAsia="en-AU"/>
        </w:rPr>
        <w:t xml:space="preserve"> not have to be relevant to the field of education in which </w:t>
      </w:r>
      <w:r w:rsidR="00900485">
        <w:rPr>
          <w:lang w:eastAsia="en-AU"/>
        </w:rPr>
        <w:t xml:space="preserve">the </w:t>
      </w:r>
      <w:r>
        <w:rPr>
          <w:lang w:eastAsia="en-AU"/>
        </w:rPr>
        <w:t xml:space="preserve">students seek admission. </w:t>
      </w:r>
    </w:p>
    <w:p w:rsidR="00733754" w:rsidRDefault="00733754" w:rsidP="00797A22">
      <w:pPr>
        <w:pStyle w:val="Text"/>
        <w:ind w:right="-284"/>
      </w:pPr>
      <w:r>
        <w:rPr>
          <w:lang w:eastAsia="en-AU"/>
        </w:rPr>
        <w:t xml:space="preserve">Most other institutions offered </w:t>
      </w:r>
      <w:r w:rsidR="00F17FED">
        <w:rPr>
          <w:lang w:eastAsia="en-AU"/>
        </w:rPr>
        <w:t>more limited g</w:t>
      </w:r>
      <w:r>
        <w:t xml:space="preserve">uaranteed entry </w:t>
      </w:r>
      <w:r w:rsidR="007B3C2A">
        <w:t>provisions</w:t>
      </w:r>
      <w:r w:rsidR="00F17FED">
        <w:t xml:space="preserve"> </w:t>
      </w:r>
      <w:r w:rsidR="006068BB">
        <w:t>to VET graduates with c</w:t>
      </w:r>
      <w:r>
        <w:t xml:space="preserve">ertificate IV, </w:t>
      </w:r>
      <w:r w:rsidR="006068BB">
        <w:t xml:space="preserve">diploma or advanced diploma </w:t>
      </w:r>
      <w:r>
        <w:t xml:space="preserve">qualifications </w:t>
      </w:r>
      <w:r>
        <w:rPr>
          <w:i/>
        </w:rPr>
        <w:t>from any of their partnership institutions</w:t>
      </w:r>
      <w:r>
        <w:t xml:space="preserve">. Several also </w:t>
      </w:r>
      <w:r w:rsidR="00900485">
        <w:t>indicated</w:t>
      </w:r>
      <w:r>
        <w:t xml:space="preserve"> that </w:t>
      </w:r>
      <w:r w:rsidR="006068BB">
        <w:t>students needed to meet the pre</w:t>
      </w:r>
      <w:r>
        <w:t xml:space="preserve">requisites for entry for any particular course. </w:t>
      </w:r>
    </w:p>
    <w:p w:rsidR="00733754" w:rsidRDefault="007B3C2A" w:rsidP="00733754">
      <w:pPr>
        <w:pStyle w:val="Heading3"/>
      </w:pPr>
      <w:r>
        <w:t>Credit t</w:t>
      </w:r>
      <w:r w:rsidR="00733754">
        <w:t>ransfer policies and practices</w:t>
      </w:r>
    </w:p>
    <w:p w:rsidR="00733754" w:rsidRDefault="006068BB" w:rsidP="00147C23">
      <w:pPr>
        <w:pStyle w:val="Textlessbefore"/>
        <w:rPr>
          <w:lang w:eastAsia="en-AU"/>
        </w:rPr>
      </w:pPr>
      <w:r>
        <w:rPr>
          <w:lang w:eastAsia="en-AU"/>
        </w:rPr>
        <w:t>The AQF</w:t>
      </w:r>
      <w:r w:rsidR="00797A22">
        <w:rPr>
          <w:lang w:eastAsia="en-AU"/>
        </w:rPr>
        <w:t xml:space="preserve"> Council</w:t>
      </w:r>
      <w:r>
        <w:rPr>
          <w:lang w:eastAsia="en-AU"/>
        </w:rPr>
        <w:t xml:space="preserve"> (2009, p.</w:t>
      </w:r>
      <w:r w:rsidR="00733754">
        <w:rPr>
          <w:lang w:eastAsia="en-AU"/>
        </w:rPr>
        <w:t>13) suggests general credit values for AQF qualifications</w:t>
      </w:r>
      <w:r w:rsidR="00797A22">
        <w:rPr>
          <w:lang w:eastAsia="en-AU"/>
        </w:rPr>
        <w:t>,</w:t>
      </w:r>
      <w:r w:rsidR="00733754">
        <w:rPr>
          <w:lang w:eastAsia="en-AU"/>
        </w:rPr>
        <w:t xml:space="preserve"> </w:t>
      </w:r>
      <w:r w:rsidR="00797A22">
        <w:rPr>
          <w:lang w:eastAsia="en-AU"/>
        </w:rPr>
        <w:t>which</w:t>
      </w:r>
      <w:r w:rsidR="00733754">
        <w:rPr>
          <w:lang w:eastAsia="en-AU"/>
        </w:rPr>
        <w:t xml:space="preserve"> universities can use to guide their determination of how much credit to grant. For example, it suggests a minimum credit value of 50</w:t>
      </w:r>
      <w:r w:rsidR="008134F7">
        <w:rPr>
          <w:lang w:eastAsia="en-AU"/>
        </w:rPr>
        <w:t xml:space="preserve">% </w:t>
      </w:r>
      <w:r w:rsidR="00733754">
        <w:rPr>
          <w:lang w:eastAsia="en-AU"/>
        </w:rPr>
        <w:t xml:space="preserve">for an </w:t>
      </w:r>
      <w:r>
        <w:rPr>
          <w:lang w:eastAsia="en-AU"/>
        </w:rPr>
        <w:t>advanced diploma linked to a three-year b</w:t>
      </w:r>
      <w:r w:rsidR="00733754">
        <w:rPr>
          <w:lang w:eastAsia="en-AU"/>
        </w:rPr>
        <w:t>achelor (in the same education fields). However, universities can choose credit levels greater or less than the recommended level</w:t>
      </w:r>
      <w:r w:rsidR="00797A22">
        <w:rPr>
          <w:lang w:eastAsia="en-AU"/>
        </w:rPr>
        <w:t>,</w:t>
      </w:r>
      <w:r w:rsidR="00733754">
        <w:rPr>
          <w:lang w:eastAsia="en-AU"/>
        </w:rPr>
        <w:t xml:space="preserve"> </w:t>
      </w:r>
      <w:r w:rsidR="00797A22">
        <w:rPr>
          <w:lang w:eastAsia="en-AU"/>
        </w:rPr>
        <w:t>with</w:t>
      </w:r>
      <w:r w:rsidR="00733754">
        <w:rPr>
          <w:lang w:eastAsia="en-AU"/>
        </w:rPr>
        <w:t xml:space="preserve"> most present</w:t>
      </w:r>
      <w:r w:rsidR="00797A22">
        <w:rPr>
          <w:lang w:eastAsia="en-AU"/>
        </w:rPr>
        <w:t>ing</w:t>
      </w:r>
      <w:r w:rsidR="00733754">
        <w:rPr>
          <w:lang w:eastAsia="en-AU"/>
        </w:rPr>
        <w:t xml:space="preserve"> their policies in the following terms:</w:t>
      </w:r>
    </w:p>
    <w:p w:rsidR="00733754" w:rsidRDefault="006068BB" w:rsidP="00733754">
      <w:pPr>
        <w:pStyle w:val="Quote"/>
        <w:rPr>
          <w:lang w:eastAsia="en-AU"/>
        </w:rPr>
      </w:pPr>
      <w:r>
        <w:rPr>
          <w:rFonts w:cstheme="minorHAnsi"/>
          <w:szCs w:val="19"/>
        </w:rPr>
        <w:t>[The u</w:t>
      </w:r>
      <w:r w:rsidR="00733754">
        <w:rPr>
          <w:rFonts w:cstheme="minorHAnsi"/>
          <w:szCs w:val="19"/>
        </w:rPr>
        <w:t xml:space="preserve">niversity] </w:t>
      </w:r>
      <w:r w:rsidR="00733754">
        <w:rPr>
          <w:lang w:eastAsia="en-AU"/>
        </w:rPr>
        <w:t>has a formal art</w:t>
      </w:r>
      <w:r>
        <w:rPr>
          <w:lang w:eastAsia="en-AU"/>
        </w:rPr>
        <w:t>iculation agreement with TAFE [s</w:t>
      </w:r>
      <w:r w:rsidR="00733754">
        <w:rPr>
          <w:lang w:eastAsia="en-AU"/>
        </w:rPr>
        <w:t>tate]. If you completed an Australian Qualifications Framework (AQF) Diploma or Advanced Diploma within the last five</w:t>
      </w:r>
      <w:r>
        <w:rPr>
          <w:lang w:eastAsia="en-AU"/>
        </w:rPr>
        <w:t xml:space="preserve"> years, and are enrolled in a [u</w:t>
      </w:r>
      <w:r w:rsidR="00733754">
        <w:rPr>
          <w:lang w:eastAsia="en-AU"/>
        </w:rPr>
        <w:t>niversity] program in the same or a directly relevant discipline area, you may be eligible to recei</w:t>
      </w:r>
      <w:r>
        <w:rPr>
          <w:lang w:eastAsia="en-AU"/>
        </w:rPr>
        <w:t>ve credit towards your program.</w:t>
      </w:r>
      <w:r w:rsidR="00147C23">
        <w:rPr>
          <w:lang w:eastAsia="en-AU"/>
        </w:rPr>
        <w:br/>
      </w:r>
      <w:r>
        <w:rPr>
          <w:lang w:eastAsia="en-AU"/>
        </w:rPr>
        <w:tab/>
      </w:r>
      <w:r w:rsidR="007B3C2A">
        <w:rPr>
          <w:lang w:eastAsia="en-AU"/>
        </w:rPr>
        <w:t>(</w:t>
      </w:r>
      <w:r w:rsidR="00733754">
        <w:rPr>
          <w:lang w:eastAsia="en-AU"/>
        </w:rPr>
        <w:t>Internal</w:t>
      </w:r>
      <w:r w:rsidR="007B3C2A">
        <w:rPr>
          <w:lang w:eastAsia="en-AU"/>
        </w:rPr>
        <w:t xml:space="preserve"> university document, Cluster 3)</w:t>
      </w:r>
    </w:p>
    <w:p w:rsidR="009D3E88" w:rsidRDefault="00733754" w:rsidP="00147C23">
      <w:pPr>
        <w:pStyle w:val="Text"/>
      </w:pPr>
      <w:r>
        <w:t xml:space="preserve">Many universities, more typically those in Cluster 3, have a suite of even tighter conditions: neither admission nor credit is guaranteed; there is an expectation that the VET qualification was </w:t>
      </w:r>
      <w:r w:rsidR="006068BB">
        <w:t>completed in a more recent time</w:t>
      </w:r>
      <w:r>
        <w:t>frame; and students must be enrolled in the same or a relevant discipline area.</w:t>
      </w:r>
      <w:r w:rsidR="00837079">
        <w:t xml:space="preserve"> </w:t>
      </w:r>
      <w:r w:rsidR="009D3E88" w:rsidRPr="009D3E88">
        <w:t xml:space="preserve">The universities with more restrictive admissions policies typically have entry ranks or </w:t>
      </w:r>
      <w:r w:rsidR="006068BB">
        <w:t>Australian Tertiary Admission Rank scores, which</w:t>
      </w:r>
      <w:r w:rsidR="009D3E88" w:rsidRPr="009D3E88">
        <w:t xml:space="preserve"> they calculate for AQF </w:t>
      </w:r>
      <w:r w:rsidR="006068BB">
        <w:t>certificate III through to AQF d</w:t>
      </w:r>
      <w:r w:rsidR="009D3E88" w:rsidRPr="009D3E88">
        <w:t>iplomas, and many requir</w:t>
      </w:r>
      <w:r w:rsidR="006068BB">
        <w:t xml:space="preserve">e the VET award </w:t>
      </w:r>
      <w:r w:rsidR="009D3E88" w:rsidRPr="009D3E88">
        <w:t>holder to have received a graded assessment for some or all of their VET studies.</w:t>
      </w:r>
      <w:r w:rsidR="00310BD1">
        <w:t xml:space="preserve"> T</w:t>
      </w:r>
      <w:r w:rsidR="00310BD1" w:rsidRPr="00310BD1">
        <w:t xml:space="preserve">he justification for restrictive credit transfer policies is usually provided in terms of the expectations of the field </w:t>
      </w:r>
      <w:r w:rsidR="006068BB">
        <w:t>of study and/or not wanting to ‘set [VET] students up to fail’</w:t>
      </w:r>
      <w:r w:rsidR="00310BD1" w:rsidRPr="00310BD1">
        <w:t>.</w:t>
      </w:r>
    </w:p>
    <w:p w:rsidR="00733754" w:rsidRPr="00147C23" w:rsidRDefault="00733754" w:rsidP="00147C23">
      <w:pPr>
        <w:pStyle w:val="Quote"/>
      </w:pPr>
      <w:r>
        <w:t>M</w:t>
      </w:r>
      <w:r w:rsidR="006068BB">
        <w:t>any bachelor level courses at [u</w:t>
      </w:r>
      <w:r>
        <w:t xml:space="preserve">niversity] require a </w:t>
      </w:r>
      <w:proofErr w:type="gramStart"/>
      <w:r>
        <w:t>very</w:t>
      </w:r>
      <w:proofErr w:type="gramEnd"/>
      <w:r>
        <w:t xml:space="preserve"> specialised disciplinary focus from year one, e.g. Science, Engineering, Design. This makes it difficult to match cont</w:t>
      </w:r>
      <w:r w:rsidR="006068BB">
        <w:t>ent from a VET award with the [u</w:t>
      </w:r>
      <w:r>
        <w:t xml:space="preserve">niversity] award and thus give credit </w:t>
      </w:r>
      <w:r w:rsidRPr="00147C23">
        <w:t>recog</w:t>
      </w:r>
      <w:r w:rsidR="006068BB" w:rsidRPr="00147C23">
        <w:t>nition.</w:t>
      </w:r>
      <w:r w:rsidR="006068BB" w:rsidRPr="00147C23">
        <w:tab/>
        <w:t>(Respondent, Cluster 2)</w:t>
      </w:r>
    </w:p>
    <w:p w:rsidR="00733754" w:rsidRDefault="006068BB" w:rsidP="00147C23">
      <w:pPr>
        <w:pStyle w:val="Quote"/>
      </w:pPr>
      <w:r w:rsidRPr="00147C23">
        <w:t>S</w:t>
      </w:r>
      <w:r w:rsidR="00733754" w:rsidRPr="00147C23">
        <w:t>taff are very concerned about not disadvantaging</w:t>
      </w:r>
      <w:r w:rsidR="00733754">
        <w:t xml:space="preserve"> students and setting them up to fail, so they need to be sure that if students a</w:t>
      </w:r>
      <w:r>
        <w:t>re exempted from a subject at [u</w:t>
      </w:r>
      <w:r w:rsidR="00733754">
        <w:t>niversity]</w:t>
      </w:r>
      <w:r w:rsidR="00837079">
        <w:t xml:space="preserve"> </w:t>
      </w:r>
      <w:r w:rsidR="00733754">
        <w:t>because of their VET qualification, they have acquired the knowledge in their VET studies to progress satisfactorily</w:t>
      </w:r>
      <w:r w:rsidR="00797A22">
        <w:t>.</w:t>
      </w:r>
      <w:r w:rsidR="00147C23">
        <w:br/>
      </w:r>
      <w:r>
        <w:tab/>
      </w:r>
      <w:r w:rsidR="00733754">
        <w:t>(Respondent, Cluster 2)</w:t>
      </w:r>
    </w:p>
    <w:p w:rsidR="00733754" w:rsidRDefault="00EC665D" w:rsidP="00147C23">
      <w:pPr>
        <w:pStyle w:val="Text"/>
        <w:ind w:right="-143"/>
        <w:rPr>
          <w:color w:val="000000" w:themeColor="text1"/>
          <w:lang w:eastAsia="en-AU"/>
        </w:rPr>
      </w:pPr>
      <w:r>
        <w:t xml:space="preserve">Such justifications </w:t>
      </w:r>
      <w:r w:rsidR="00733754">
        <w:t>for restrictive credit transfer policies i</w:t>
      </w:r>
      <w:r w:rsidR="00310BD1">
        <w:t xml:space="preserve">n terms of </w:t>
      </w:r>
      <w:r w:rsidR="00733754">
        <w:t xml:space="preserve">the expectations of the field </w:t>
      </w:r>
      <w:r w:rsidR="006068BB">
        <w:t>of study and/or not wanting to ‘set (VET) students up to fail’</w:t>
      </w:r>
      <w:r w:rsidR="00310BD1">
        <w:t xml:space="preserve"> suggest that some </w:t>
      </w:r>
      <w:r w:rsidR="00733754">
        <w:t xml:space="preserve">universities still have little or no understanding of the ways in which </w:t>
      </w:r>
      <w:r w:rsidR="00B80BDF">
        <w:t xml:space="preserve">VET to higher education pathways </w:t>
      </w:r>
      <w:r w:rsidR="00733754">
        <w:t xml:space="preserve">can address such issues. Articulated programs and dual awards, for example, were mentioned by respondents from Clusters 1 and 2 in very positive terms. Dual awards (or dual offers) are arrangements whereby students receive an offer that </w:t>
      </w:r>
      <w:r w:rsidR="00733754">
        <w:rPr>
          <w:color w:val="000000" w:themeColor="text1"/>
          <w:lang w:eastAsia="en-AU"/>
        </w:rPr>
        <w:t>provides a place in both of the partnership institutions’ programs, and upon successful completion of the VET award, the student is gu</w:t>
      </w:r>
      <w:r w:rsidR="00091109">
        <w:rPr>
          <w:color w:val="000000" w:themeColor="text1"/>
          <w:lang w:eastAsia="en-AU"/>
        </w:rPr>
        <w:t>aranteed direct entry into the u</w:t>
      </w:r>
      <w:r w:rsidR="00733754">
        <w:rPr>
          <w:color w:val="000000" w:themeColor="text1"/>
          <w:lang w:eastAsia="en-AU"/>
        </w:rPr>
        <w:t xml:space="preserve">niversity’s undergraduate program. </w:t>
      </w:r>
      <w:r w:rsidR="00040904">
        <w:rPr>
          <w:color w:val="000000" w:themeColor="text1"/>
          <w:lang w:eastAsia="en-AU"/>
        </w:rPr>
        <w:t xml:space="preserve">These types of arrangements can only be developed in the context of strong partnerships between universities and VET providers. Universities in Clusters 1 and 2 were more likely to refer to such partnerships in operational terms than respondents from universities in Cluster 3. </w:t>
      </w:r>
    </w:p>
    <w:p w:rsidR="00310A0F" w:rsidRDefault="00733754" w:rsidP="00147C23">
      <w:pPr>
        <w:pStyle w:val="Text"/>
      </w:pPr>
      <w:r>
        <w:lastRenderedPageBreak/>
        <w:t>In the absence of structured VET</w:t>
      </w:r>
      <w:r w:rsidR="00091109">
        <w:t xml:space="preserve"> to higher education</w:t>
      </w:r>
      <w:r>
        <w:t xml:space="preserve"> pathways, the default position for universities is to invite VET </w:t>
      </w:r>
      <w:r w:rsidR="00B87FBB">
        <w:t>award holders</w:t>
      </w:r>
      <w:r>
        <w:t xml:space="preserve"> to apply for admission to a university on the basis of thei</w:t>
      </w:r>
      <w:r w:rsidR="000075E0">
        <w:t>r completed VET qualification (c</w:t>
      </w:r>
      <w:r>
        <w:t>ertificate IV and above) and to apply for credit points. This process requires some understanding of the applicant’s previous stu</w:t>
      </w:r>
      <w:r w:rsidR="000075E0">
        <w:t>dies and can involve a resource-</w:t>
      </w:r>
      <w:r>
        <w:t>intensive mapping of VET subjects to university courses. For the applicant, the granting of credit is not guarant</w:t>
      </w:r>
      <w:r w:rsidR="000075E0">
        <w:t>eed and is determined on a case-by-</w:t>
      </w:r>
      <w:r>
        <w:t>case basis</w:t>
      </w:r>
      <w:r w:rsidR="00310A0F">
        <w:t>.</w:t>
      </w:r>
    </w:p>
    <w:p w:rsidR="00310A0F" w:rsidRDefault="00310A0F" w:rsidP="00147C23">
      <w:pPr>
        <w:pStyle w:val="Text"/>
      </w:pPr>
      <w:r>
        <w:t>The way in which credit is granted</w:t>
      </w:r>
      <w:r w:rsidR="000075E0">
        <w:t xml:space="preserve"> can help or hinder a VET award </w:t>
      </w:r>
      <w:r>
        <w:t>holder’s transition to</w:t>
      </w:r>
      <w:r w:rsidR="000075E0">
        <w:t xml:space="preserve"> higher education (</w:t>
      </w:r>
      <w:proofErr w:type="spellStart"/>
      <w:r w:rsidR="000075E0">
        <w:t>PhillipsKPA</w:t>
      </w:r>
      <w:proofErr w:type="spellEnd"/>
      <w:r w:rsidR="000075E0">
        <w:t xml:space="preserve"> </w:t>
      </w:r>
      <w:r>
        <w:t>2006b). There was evidence of an appreciation of these issues in one response to the survey:</w:t>
      </w:r>
    </w:p>
    <w:p w:rsidR="00310A0F" w:rsidRDefault="00310A0F" w:rsidP="00310A0F">
      <w:pPr>
        <w:pStyle w:val="Quote"/>
      </w:pPr>
      <w:r>
        <w:t>Academic staff in faculties report that because of the 'competencies' emphasis in VET, students coming from VET may not have the more generic skills and abilities focused upon in t</w:t>
      </w:r>
      <w:r w:rsidR="000075E0">
        <w:t>he first year of a [u</w:t>
      </w:r>
      <w:r>
        <w:t>niversity] program, e.g. academic literacies, critical thinking, essay-writing, reflective practice. If students are given credit recognition for first year subjects when articulating from VET they can miss this generic skills focus at</w:t>
      </w:r>
      <w:r w:rsidR="000075E0">
        <w:t xml:space="preserve"> [university].</w:t>
      </w:r>
      <w:r w:rsidR="000075E0">
        <w:tab/>
      </w:r>
      <w:r>
        <w:t>(Respondent, Cluster 2)</w:t>
      </w:r>
    </w:p>
    <w:p w:rsidR="00310A0F" w:rsidRDefault="00310A0F" w:rsidP="00310A0F">
      <w:pPr>
        <w:pStyle w:val="Text"/>
      </w:pPr>
      <w:r>
        <w:t xml:space="preserve">Other responses revealed a more highly developed understanding of these issues and indicated the university’s approach to addressing them: </w:t>
      </w:r>
    </w:p>
    <w:p w:rsidR="00310A0F" w:rsidRDefault="000075E0" w:rsidP="00310A0F">
      <w:pPr>
        <w:pStyle w:val="Quote"/>
      </w:pPr>
      <w:r>
        <w:t>The majority of [u</w:t>
      </w:r>
      <w:r w:rsidR="00310A0F">
        <w:t>niversity’s] articulation arrangements include a combination of first year core and unsp</w:t>
      </w:r>
      <w:r>
        <w:t xml:space="preserve">ecified free choice electives. </w:t>
      </w:r>
      <w:r w:rsidR="00310A0F">
        <w:t>As a</w:t>
      </w:r>
      <w:r>
        <w:t xml:space="preserve"> result VET students entering [u</w:t>
      </w:r>
      <w:r w:rsidR="00310A0F">
        <w:t>niversity] will be enrolled in some first year classes combined with second year classes in their first year of s</w:t>
      </w:r>
      <w:r>
        <w:t>tudy at university. Therefore [u</w:t>
      </w:r>
      <w:r w:rsidR="00310A0F">
        <w:t>niversity’s] VET students, to some extent, are</w:t>
      </w:r>
      <w:r>
        <w:t xml:space="preserve"> helped to settle into life at u</w:t>
      </w:r>
      <w:r w:rsidR="00310A0F">
        <w:t>niversity with the same support as all other first year students from First Year Advisors</w:t>
      </w:r>
      <w:r w:rsidR="00797A22">
        <w:t>,</w:t>
      </w:r>
      <w:r w:rsidR="00310A0F">
        <w:t xml:space="preserve"> who direct students to all kinds of support services and assist with the development of strategies to </w:t>
      </w:r>
      <w:r>
        <w:t>solve academic problems.</w:t>
      </w:r>
      <w:r>
        <w:tab/>
      </w:r>
      <w:r w:rsidR="00310A0F">
        <w:t>(Respondent, Cluster 2)</w:t>
      </w:r>
    </w:p>
    <w:p w:rsidR="00733754" w:rsidRDefault="00D43E04" w:rsidP="00733754">
      <w:pPr>
        <w:pStyle w:val="Heading3"/>
      </w:pPr>
      <w:r>
        <w:t xml:space="preserve">Accessibility of information for VET </w:t>
      </w:r>
      <w:r w:rsidR="00B87FBB">
        <w:t>award holders</w:t>
      </w:r>
    </w:p>
    <w:p w:rsidR="00733754" w:rsidRDefault="00733754" w:rsidP="00147C23">
      <w:pPr>
        <w:pStyle w:val="Textlessbefore"/>
      </w:pPr>
      <w:r>
        <w:t>The AQF</w:t>
      </w:r>
      <w:r w:rsidR="00797A22">
        <w:t xml:space="preserve"> Council</w:t>
      </w:r>
      <w:r>
        <w:t xml:space="preserve"> (2009) guidelines state that universities should promote their current credit arrangements to potential students and other stakeholders</w:t>
      </w:r>
      <w:r w:rsidR="00D43E04">
        <w:t xml:space="preserve"> in a way that facilitates </w:t>
      </w:r>
      <w:r>
        <w:t xml:space="preserve">accessibility, transparency, comprehensiveness and currency. While information provision can take several forms and be delivered through different forums, </w:t>
      </w:r>
      <w:proofErr w:type="spellStart"/>
      <w:r>
        <w:t>PhillipsKPA</w:t>
      </w:r>
      <w:proofErr w:type="spellEnd"/>
      <w:r>
        <w:t xml:space="preserve"> (2006b, </w:t>
      </w:r>
      <w:proofErr w:type="spellStart"/>
      <w:r w:rsidR="000075E0">
        <w:t>p.</w:t>
      </w:r>
      <w:r>
        <w:t>iv</w:t>
      </w:r>
      <w:proofErr w:type="spellEnd"/>
      <w:r>
        <w:t xml:space="preserve">) </w:t>
      </w:r>
      <w:r w:rsidR="00D43E04">
        <w:t>identified eight key features of an effective institutional website</w:t>
      </w:r>
      <w:r>
        <w:t>:</w:t>
      </w:r>
    </w:p>
    <w:p w:rsidR="00733754" w:rsidRDefault="00733754" w:rsidP="00147C23">
      <w:pPr>
        <w:pStyle w:val="Dotpoint1"/>
      </w:pPr>
      <w:r>
        <w:t>readily accessible from the webpage specifically for prospective students, which in turn is accessible from the institution home page</w:t>
      </w:r>
    </w:p>
    <w:p w:rsidR="00733754" w:rsidRDefault="00733754" w:rsidP="00147C23">
      <w:pPr>
        <w:pStyle w:val="Dotpoint1"/>
      </w:pPr>
      <w:r>
        <w:t>attractive and user-friendly to students</w:t>
      </w:r>
    </w:p>
    <w:p w:rsidR="00733754" w:rsidRDefault="00733754" w:rsidP="00147C23">
      <w:pPr>
        <w:pStyle w:val="Dotpoint1"/>
      </w:pPr>
      <w:r>
        <w:t>free of jargon, with clear definitions and consistent use of terminology</w:t>
      </w:r>
    </w:p>
    <w:p w:rsidR="00733754" w:rsidRDefault="00733754" w:rsidP="00147C23">
      <w:pPr>
        <w:pStyle w:val="Dotpoint1"/>
      </w:pPr>
      <w:r>
        <w:t xml:space="preserve">clear about the nature of </w:t>
      </w:r>
      <w:r w:rsidR="00797A22">
        <w:t xml:space="preserve">the </w:t>
      </w:r>
      <w:r>
        <w:t xml:space="preserve">credit </w:t>
      </w:r>
      <w:r w:rsidR="00797A22">
        <w:t>that</w:t>
      </w:r>
      <w:r>
        <w:t xml:space="preserve"> will be granted for various courses based on a range of V</w:t>
      </w:r>
      <w:r w:rsidR="00797A22">
        <w:t>E</w:t>
      </w:r>
      <w:r>
        <w:t>T qualifications</w:t>
      </w:r>
    </w:p>
    <w:p w:rsidR="00733754" w:rsidRDefault="00733754" w:rsidP="00147C23">
      <w:pPr>
        <w:pStyle w:val="Dotpoint1"/>
      </w:pPr>
      <w:r>
        <w:t xml:space="preserve">searchable using either a </w:t>
      </w:r>
      <w:r w:rsidR="007B3C2A">
        <w:t>VET</w:t>
      </w:r>
      <w:r>
        <w:t xml:space="preserve"> course or higher education course or discipline as a starting point</w:t>
      </w:r>
    </w:p>
    <w:p w:rsidR="00733754" w:rsidRDefault="00733754" w:rsidP="00147C23">
      <w:pPr>
        <w:pStyle w:val="Dotpoint1"/>
      </w:pPr>
      <w:r>
        <w:t>link</w:t>
      </w:r>
      <w:r w:rsidR="00797A22">
        <w:t>s</w:t>
      </w:r>
      <w:r>
        <w:t xml:space="preserve"> to application forms and details of application and admission procedures</w:t>
      </w:r>
    </w:p>
    <w:p w:rsidR="00733754" w:rsidRDefault="00733754" w:rsidP="00147C23">
      <w:pPr>
        <w:pStyle w:val="Dotpoint1"/>
      </w:pPr>
      <w:r>
        <w:t>specific about a single contact point for further information and assistance</w:t>
      </w:r>
    </w:p>
    <w:p w:rsidR="00733754" w:rsidRDefault="00733754" w:rsidP="00147C23">
      <w:pPr>
        <w:pStyle w:val="Dotpoint1"/>
      </w:pPr>
      <w:proofErr w:type="gramStart"/>
      <w:r>
        <w:t>current</w:t>
      </w:r>
      <w:proofErr w:type="gramEnd"/>
      <w:r>
        <w:t>, with an explicit mechanism to maintain the website</w:t>
      </w:r>
      <w:r w:rsidR="00147C23">
        <w:t>.</w:t>
      </w:r>
    </w:p>
    <w:p w:rsidR="00733754" w:rsidRDefault="00733754" w:rsidP="00147C23">
      <w:pPr>
        <w:pStyle w:val="Text"/>
      </w:pPr>
      <w:r>
        <w:t>From a scan of institutional websites, we note that most universities comply with the criteria</w:t>
      </w:r>
      <w:r w:rsidR="00797A22">
        <w:t xml:space="preserve"> above</w:t>
      </w:r>
      <w:r>
        <w:t xml:space="preserve"> in making credit information available through their websites and providing information to students </w:t>
      </w:r>
      <w:r>
        <w:lastRenderedPageBreak/>
        <w:t>about application and appeals processes. However, universities in Cluster 1 tend to have websites that include more advanced features such as a sea</w:t>
      </w:r>
      <w:r w:rsidR="000075E0">
        <w:t>rchable ‘credit precedent’ data</w:t>
      </w:r>
      <w:r>
        <w:t xml:space="preserve">base, online application forms, online inquiry forms and links to specific support and information for potential students </w:t>
      </w:r>
      <w:r w:rsidR="00797A22">
        <w:t>seeking</w:t>
      </w:r>
      <w:r>
        <w:t xml:space="preserve"> admission on the basis of </w:t>
      </w:r>
      <w:r w:rsidR="000075E0">
        <w:t>vocational education and training</w:t>
      </w:r>
      <w:r>
        <w:t xml:space="preserve">. </w:t>
      </w:r>
      <w:r>
        <w:rPr>
          <w:shd w:val="clear" w:color="auto" w:fill="FFFFFF" w:themeFill="background1"/>
        </w:rPr>
        <w:t>Further, reference to TAFE students</w:t>
      </w:r>
      <w:r w:rsidR="00432DB8">
        <w:rPr>
          <w:rStyle w:val="FootnoteReference"/>
          <w:shd w:val="clear" w:color="auto" w:fill="FFFFFF" w:themeFill="background1"/>
        </w:rPr>
        <w:footnoteReference w:id="9"/>
      </w:r>
      <w:r>
        <w:rPr>
          <w:shd w:val="clear" w:color="auto" w:fill="FFFFFF" w:themeFill="background1"/>
        </w:rPr>
        <w:t xml:space="preserve"> is easily found on the home page of the university’s website and further information in one or two links from the home page.</w:t>
      </w:r>
      <w:r>
        <w:t xml:space="preserve"> </w:t>
      </w:r>
      <w:r w:rsidR="00FA58A2">
        <w:t>The</w:t>
      </w:r>
      <w:r>
        <w:t xml:space="preserve"> structure of the Charles Sturt University website is outlined</w:t>
      </w:r>
      <w:r w:rsidR="00797A22">
        <w:t xml:space="preserve"> in the support document</w:t>
      </w:r>
      <w:r>
        <w:t xml:space="preserve"> </w:t>
      </w:r>
      <w:r w:rsidR="00FA58A2">
        <w:t xml:space="preserve">as </w:t>
      </w:r>
      <w:r w:rsidR="000075E0">
        <w:t>an example of an accessible web</w:t>
      </w:r>
      <w:r w:rsidR="00FA58A2">
        <w:t xml:space="preserve">site. </w:t>
      </w:r>
    </w:p>
    <w:p w:rsidR="00733754" w:rsidRDefault="00733754" w:rsidP="00733754">
      <w:pPr>
        <w:pStyle w:val="Text"/>
      </w:pPr>
      <w:r>
        <w:t>In contrast to the clear and accessible style of the Charles Sturt University website</w:t>
      </w:r>
      <w:r w:rsidR="00FA58A2">
        <w:t xml:space="preserve">, </w:t>
      </w:r>
      <w:r>
        <w:t xml:space="preserve">some universities use the term ‘mature-aged’ as an entry point for all non-school leavers. This assumes that students seeking admission on the basis of a VET award will understand the definition of ‘mature-aged’ and see themselves in this category, which is unlikely. </w:t>
      </w:r>
    </w:p>
    <w:p w:rsidR="0087672C" w:rsidRDefault="0087672C" w:rsidP="0087672C">
      <w:pPr>
        <w:pStyle w:val="Heading3"/>
      </w:pPr>
      <w:r>
        <w:t xml:space="preserve">Targeted support </w:t>
      </w:r>
    </w:p>
    <w:p w:rsidR="00733754" w:rsidRDefault="00733754" w:rsidP="00147C23">
      <w:pPr>
        <w:pStyle w:val="Textlessbefore"/>
      </w:pPr>
      <w:r>
        <w:t>A recent project at Charles Sturt University and</w:t>
      </w:r>
      <w:r w:rsidR="00797A22">
        <w:t xml:space="preserve"> the</w:t>
      </w:r>
      <w:r>
        <w:t xml:space="preserve"> University of Western Sydney</w:t>
      </w:r>
      <w:r w:rsidR="00FA7AA5">
        <w:t>, funded by the Australian Learning and Teaching Council (ALTC)</w:t>
      </w:r>
      <w:r w:rsidR="000075E0">
        <w:t>,</w:t>
      </w:r>
      <w:r w:rsidR="00FA7AA5">
        <w:t xml:space="preserve"> </w:t>
      </w:r>
      <w:r>
        <w:t>found that articulating VET students can experience conside</w:t>
      </w:r>
      <w:r w:rsidR="000075E0">
        <w:t xml:space="preserve">rable stress </w:t>
      </w:r>
      <w:r w:rsidR="00797A22">
        <w:t>when</w:t>
      </w:r>
      <w:r w:rsidR="000075E0">
        <w:t xml:space="preserve"> finding heavier-than-</w:t>
      </w:r>
      <w:r>
        <w:t>expected study loads in higher education, having to balance study and work demands, learning academic conventions and negotiating new administrative processes and online lear</w:t>
      </w:r>
      <w:r w:rsidR="00F47AE4">
        <w:t>ning systems (</w:t>
      </w:r>
      <w:proofErr w:type="spellStart"/>
      <w:r w:rsidR="00F47AE4">
        <w:t>Catterall</w:t>
      </w:r>
      <w:proofErr w:type="spellEnd"/>
      <w:r w:rsidR="00F47AE4">
        <w:t xml:space="preserve"> &amp; Davis</w:t>
      </w:r>
      <w:r>
        <w:t xml:space="preserve"> 2012). This project identified four areas of support required for these students: academic literacy; numeracy; familiarisation with the learning environment of higher education; and general pastoral care</w:t>
      </w:r>
      <w:r w:rsidR="000075E0">
        <w:t xml:space="preserve"> (</w:t>
      </w:r>
      <w:proofErr w:type="spellStart"/>
      <w:r w:rsidR="000075E0">
        <w:t>Catterall</w:t>
      </w:r>
      <w:proofErr w:type="spellEnd"/>
      <w:r w:rsidR="000075E0">
        <w:t xml:space="preserve"> &amp; Davis</w:t>
      </w:r>
      <w:r>
        <w:t xml:space="preserve"> 2012).</w:t>
      </w:r>
    </w:p>
    <w:p w:rsidR="00250D0D" w:rsidRDefault="00366E5B" w:rsidP="00733754">
      <w:pPr>
        <w:pStyle w:val="Text"/>
      </w:pPr>
      <w:r w:rsidRPr="00366E5B">
        <w:t>Universities need to address these issues through institutional policies and practices that focus on how the VET</w:t>
      </w:r>
      <w:r w:rsidR="000075E0">
        <w:t xml:space="preserve"> to higher education</w:t>
      </w:r>
      <w:r w:rsidRPr="00366E5B">
        <w:t xml:space="preserve"> pathway is constructed, as well as provide extensive academic and pastoral support for VET </w:t>
      </w:r>
      <w:r w:rsidR="00B87FBB">
        <w:t>award holders</w:t>
      </w:r>
      <w:r w:rsidRPr="00366E5B">
        <w:t>, particularly during their first year of study.</w:t>
      </w:r>
      <w:r>
        <w:t xml:space="preserve"> </w:t>
      </w:r>
      <w:r w:rsidRPr="00366E5B">
        <w:t xml:space="preserve">Universities </w:t>
      </w:r>
      <w:r w:rsidR="007B3C2A">
        <w:t xml:space="preserve">that </w:t>
      </w:r>
      <w:r w:rsidRPr="00366E5B">
        <w:t xml:space="preserve">take responsibility for addressing these issues </w:t>
      </w:r>
      <w:r>
        <w:t>may be more successful in supporting</w:t>
      </w:r>
      <w:r w:rsidRPr="00366E5B">
        <w:t xml:space="preserve"> </w:t>
      </w:r>
      <w:r>
        <w:t xml:space="preserve">VET </w:t>
      </w:r>
      <w:r w:rsidR="00B87FBB">
        <w:t>award holders</w:t>
      </w:r>
      <w:r>
        <w:t xml:space="preserve"> through to </w:t>
      </w:r>
      <w:r w:rsidR="007B3C2A">
        <w:t xml:space="preserve">the </w:t>
      </w:r>
      <w:r>
        <w:t>com</w:t>
      </w:r>
      <w:r w:rsidR="00166246">
        <w:t>pletion of a degree</w:t>
      </w:r>
      <w:r w:rsidR="000075E0">
        <w:t>.</w:t>
      </w:r>
      <w:r w:rsidR="00166246">
        <w:rPr>
          <w:rStyle w:val="FootnoteReference"/>
        </w:rPr>
        <w:footnoteReference w:id="10"/>
      </w:r>
    </w:p>
    <w:p w:rsidR="00733754" w:rsidRDefault="00733754" w:rsidP="00733754">
      <w:pPr>
        <w:pStyle w:val="Text"/>
      </w:pPr>
      <w:r>
        <w:t xml:space="preserve">All respondents from Cluster 1 universities identified well-developed systems </w:t>
      </w:r>
      <w:r w:rsidR="0087672C">
        <w:t>of</w:t>
      </w:r>
      <w:r>
        <w:t xml:space="preserve"> support </w:t>
      </w:r>
      <w:r w:rsidR="0087672C">
        <w:t>for</w:t>
      </w:r>
      <w:r>
        <w:t xml:space="preserve"> students, with an emphasis on structured pathways and specific transition programs for all VET </w:t>
      </w:r>
      <w:r w:rsidR="00B87FBB">
        <w:t>award holders</w:t>
      </w:r>
      <w:r>
        <w:t xml:space="preserve"> as well as articulating students. </w:t>
      </w:r>
    </w:p>
    <w:p w:rsidR="00733754" w:rsidRDefault="000075E0" w:rsidP="00733754">
      <w:pPr>
        <w:pStyle w:val="Text"/>
      </w:pPr>
      <w:r>
        <w:t>By</w:t>
      </w:r>
      <w:r w:rsidR="00733754">
        <w:t xml:space="preserve"> contrast, respondents from universities in Clusters 2 and 3 were less likely to be able to identify institutional policies or practices designed specifically to support students admitted on the basis of a VET award. Typical responses from these universities emphasised </w:t>
      </w:r>
      <w:r w:rsidR="00797A22">
        <w:t xml:space="preserve">that </w:t>
      </w:r>
      <w:r w:rsidR="00733754">
        <w:t>VET graduates ha</w:t>
      </w:r>
      <w:r w:rsidR="00797A22">
        <w:t>d</w:t>
      </w:r>
      <w:r w:rsidR="00733754">
        <w:t xml:space="preserve"> access to the support services available to all students:</w:t>
      </w:r>
      <w:r w:rsidR="00837079">
        <w:t xml:space="preserve"> </w:t>
      </w:r>
    </w:p>
    <w:p w:rsidR="00733754" w:rsidRDefault="00733754" w:rsidP="00733754">
      <w:pPr>
        <w:pStyle w:val="Quote"/>
      </w:pPr>
      <w:r>
        <w:t>[University] does not have any specific strategies to support students who have undertaken VET studies. All student cohorts have access to a wide range of support and engagement initiatives however, and these are widely promoted. [University] has no specific learning support for a VET graduate, aside from the usual services provided to all students through Campus Wellbeing, The First Year Experience, St</w:t>
      </w:r>
      <w:r w:rsidR="00D974AF">
        <w:t>udy Skills and Student Mentors.</w:t>
      </w:r>
      <w:r w:rsidR="00D974AF">
        <w:tab/>
      </w:r>
      <w:r>
        <w:t>(Respondent, Cluster 3)</w:t>
      </w:r>
    </w:p>
    <w:p w:rsidR="00344AF9" w:rsidRDefault="00344AF9" w:rsidP="00344AF9">
      <w:pPr>
        <w:pStyle w:val="Heading4"/>
      </w:pPr>
      <w:r>
        <w:t>Customised courses</w:t>
      </w:r>
    </w:p>
    <w:p w:rsidR="00344AF9" w:rsidRDefault="00344AF9" w:rsidP="00147C23">
      <w:pPr>
        <w:pStyle w:val="Textlessbefore"/>
      </w:pPr>
      <w:r>
        <w:t xml:space="preserve">Where VET </w:t>
      </w:r>
      <w:r w:rsidR="00B87FBB">
        <w:t>award holders</w:t>
      </w:r>
      <w:r>
        <w:t xml:space="preserve"> are enrolled in sufficient numbers in particular fields of education, </w:t>
      </w:r>
      <w:r w:rsidR="007B3C2A">
        <w:t>they</w:t>
      </w:r>
      <w:r>
        <w:t xml:space="preserve"> may be able to progress through their </w:t>
      </w:r>
      <w:r w:rsidR="00D974AF">
        <w:t>higher education</w:t>
      </w:r>
      <w:r>
        <w:t xml:space="preserve"> studies within a customised course for VET </w:t>
      </w:r>
      <w:r w:rsidR="00B87FBB">
        <w:lastRenderedPageBreak/>
        <w:t>award holders</w:t>
      </w:r>
      <w:r>
        <w:t xml:space="preserve"> only, either for the whole course or </w:t>
      </w:r>
      <w:r w:rsidR="00797A22">
        <w:t xml:space="preserve">for </w:t>
      </w:r>
      <w:r>
        <w:t>just the first year of study. In such models, all forms of support, such as academic literacy</w:t>
      </w:r>
      <w:r w:rsidR="00797A22">
        <w:t>,</w:t>
      </w:r>
      <w:r>
        <w:t xml:space="preserve"> numeracy</w:t>
      </w:r>
      <w:r w:rsidR="00797A22">
        <w:t>,</w:t>
      </w:r>
      <w:r>
        <w:t xml:space="preserve"> familiarisation with the learning environment of higher education</w:t>
      </w:r>
      <w:r w:rsidR="00797A22">
        <w:t>,</w:t>
      </w:r>
      <w:r>
        <w:t xml:space="preserve"> and general pastoral care</w:t>
      </w:r>
      <w:r w:rsidR="00797A22">
        <w:t>,</w:t>
      </w:r>
      <w:r>
        <w:t xml:space="preserve"> can be provided as part of the curriculum. Thus by customising a course to meet the specific needs of VET </w:t>
      </w:r>
      <w:r w:rsidR="00B87FBB">
        <w:t>award holders</w:t>
      </w:r>
      <w:r>
        <w:t>, the need for the university’s central administration to provide students with access to support is greatly reduced.</w:t>
      </w:r>
      <w:r w:rsidR="00837079">
        <w:t xml:space="preserve"> </w:t>
      </w:r>
    </w:p>
    <w:p w:rsidR="00733754" w:rsidRDefault="00344AF9" w:rsidP="00344AF9">
      <w:pPr>
        <w:pStyle w:val="Text"/>
      </w:pPr>
      <w:r>
        <w:t xml:space="preserve">The development of such customised courses may explain </w:t>
      </w:r>
      <w:r w:rsidR="00B02578">
        <w:t xml:space="preserve">the relatively high admission rates of VET </w:t>
      </w:r>
      <w:r w:rsidR="00B87FBB">
        <w:t>award holders</w:t>
      </w:r>
      <w:r w:rsidR="00B02578">
        <w:t xml:space="preserve"> in a few specific fields by universities in Clusters 2 and 3. </w:t>
      </w:r>
      <w:r w:rsidR="000C3900">
        <w:t>Several survey respondents</w:t>
      </w:r>
      <w:r w:rsidR="00733754">
        <w:t xml:space="preserve"> </w:t>
      </w:r>
      <w:r w:rsidR="00B02578">
        <w:t>referred to</w:t>
      </w:r>
      <w:r w:rsidR="00733754">
        <w:t xml:space="preserve"> discipline-specific support programs offered in faculties or for particular courses </w:t>
      </w:r>
      <w:r w:rsidR="00797A22">
        <w:t>to</w:t>
      </w:r>
      <w:r w:rsidR="00733754">
        <w:t xml:space="preserve"> which a substantial number of VET students are admitted, for example: </w:t>
      </w:r>
    </w:p>
    <w:p w:rsidR="00733754" w:rsidRDefault="00733754" w:rsidP="00733754">
      <w:pPr>
        <w:pStyle w:val="Quote"/>
      </w:pPr>
      <w:r>
        <w:t>Some faculties have specific transition programs for VET students, for example</w:t>
      </w:r>
      <w:r w:rsidR="00797A22">
        <w:t>,</w:t>
      </w:r>
      <w:r>
        <w:t xml:space="preserve"> </w:t>
      </w:r>
      <w:r w:rsidR="007B3C2A">
        <w:t>nursing</w:t>
      </w:r>
      <w:r>
        <w:t xml:space="preserve"> provides preparation classes delivered by the Libra</w:t>
      </w:r>
      <w:r w:rsidR="00D974AF">
        <w:t>ry’s Learning Support Advisors.</w:t>
      </w:r>
      <w:r w:rsidR="00D974AF">
        <w:tab/>
      </w:r>
      <w:r>
        <w:t>(Respondent, Cluster 3)</w:t>
      </w:r>
    </w:p>
    <w:p w:rsidR="00733754" w:rsidRDefault="00733754" w:rsidP="00733754">
      <w:pPr>
        <w:pStyle w:val="Quote"/>
      </w:pPr>
      <w:proofErr w:type="gramStart"/>
      <w:r>
        <w:t>Specific programs such as the Associate Degree in the Faculty of Science is</w:t>
      </w:r>
      <w:proofErr w:type="gramEnd"/>
      <w:r>
        <w:t xml:space="preserve"> designed to address the </w:t>
      </w:r>
      <w:r w:rsidR="00D974AF">
        <w:t>needs of articulating students.</w:t>
      </w:r>
      <w:r w:rsidR="00D974AF">
        <w:tab/>
      </w:r>
      <w:r>
        <w:t>(Respondent, Cluster 3)</w:t>
      </w:r>
    </w:p>
    <w:p w:rsidR="00733754" w:rsidRDefault="00733754" w:rsidP="00733754">
      <w:pPr>
        <w:pStyle w:val="Heading3"/>
      </w:pPr>
      <w:r>
        <w:t>Early intervention for students ‘at risk’</w:t>
      </w:r>
    </w:p>
    <w:p w:rsidR="00733754" w:rsidRDefault="00733754" w:rsidP="00147C23">
      <w:pPr>
        <w:pStyle w:val="Textlessbefore"/>
      </w:pPr>
      <w:r>
        <w:t>Survey responses indicated that universities appreciated the challenges of admitting an increasingly divers</w:t>
      </w:r>
      <w:r w:rsidR="00D974AF">
        <w:t>e</w:t>
      </w:r>
      <w:r>
        <w:t xml:space="preserve"> undergraduate student body. In addition to traditional school leavers are those who may</w:t>
      </w:r>
      <w:r w:rsidR="007B3C2A">
        <w:t xml:space="preserve"> be international students, or I</w:t>
      </w:r>
      <w:r>
        <w:t>ndigenous Australians, mature-aged, or from low</w:t>
      </w:r>
      <w:r w:rsidR="00D974AF">
        <w:t xml:space="preserve"> socioeconomic status</w:t>
      </w:r>
      <w:r>
        <w:t xml:space="preserve">, rural or remote backgrounds and VET graduates. Many universities are recognising the diversity of their student population by offering an increasing array of support services, </w:t>
      </w:r>
      <w:r w:rsidR="00D3564E">
        <w:t xml:space="preserve">some </w:t>
      </w:r>
      <w:r>
        <w:t xml:space="preserve">of which </w:t>
      </w:r>
      <w:r w:rsidR="00F42C29">
        <w:t>may</w:t>
      </w:r>
      <w:r>
        <w:t xml:space="preserve"> assist VET </w:t>
      </w:r>
      <w:r w:rsidR="00B87FBB">
        <w:t>award holders</w:t>
      </w:r>
      <w:r>
        <w:t xml:space="preserve"> who are struggling to make a successful transition: </w:t>
      </w:r>
    </w:p>
    <w:p w:rsidR="00733754" w:rsidRDefault="00733754" w:rsidP="00733754">
      <w:pPr>
        <w:pStyle w:val="Quote"/>
      </w:pPr>
      <w:r>
        <w:t xml:space="preserve">There are no specific programs targeted to support VET students; however, the University has a system that flags students who are struggling </w:t>
      </w:r>
      <w:r w:rsidR="00D974AF">
        <w:t>with their academic work. [The u</w:t>
      </w:r>
      <w:r>
        <w:t>niversity] also offers students free bridging courses at the beginning of each semester and online diagnostic tools so that students can test their level of competency in key areas such as English and maths. Academic support is available to all students through the Centre for Teaching and Learning and a range of additional support service</w:t>
      </w:r>
      <w:r w:rsidR="00D974AF">
        <w:t>s and programs can be accessed.</w:t>
      </w:r>
      <w:r w:rsidR="00D974AF">
        <w:tab/>
      </w:r>
      <w:r>
        <w:t>(Respondent, Cluster 2)</w:t>
      </w:r>
    </w:p>
    <w:p w:rsidR="00675CD3" w:rsidRDefault="00675CD3" w:rsidP="00675CD3">
      <w:pPr>
        <w:pStyle w:val="Heading2"/>
      </w:pPr>
      <w:bookmarkStart w:id="64" w:name="_Toc367450626"/>
      <w:r>
        <w:t>Discussion</w:t>
      </w:r>
      <w:bookmarkEnd w:id="64"/>
    </w:p>
    <w:p w:rsidR="00675CD3" w:rsidRPr="007F256A" w:rsidRDefault="00675CD3" w:rsidP="00675CD3">
      <w:pPr>
        <w:pStyle w:val="Text"/>
        <w:rPr>
          <w:rFonts w:cstheme="minorHAnsi"/>
        </w:rPr>
      </w:pPr>
      <w:r>
        <w:rPr>
          <w:rFonts w:cstheme="minorHAnsi"/>
        </w:rPr>
        <w:t>Our examination of universities’ policies and practices reveals that u</w:t>
      </w:r>
      <w:r w:rsidRPr="007F256A">
        <w:rPr>
          <w:rFonts w:cstheme="minorHAnsi"/>
        </w:rPr>
        <w:t xml:space="preserve">niversities </w:t>
      </w:r>
      <w:r w:rsidR="007B3C2A">
        <w:rPr>
          <w:rFonts w:cstheme="minorHAnsi"/>
        </w:rPr>
        <w:t>that</w:t>
      </w:r>
      <w:r>
        <w:rPr>
          <w:rFonts w:cstheme="minorHAnsi"/>
        </w:rPr>
        <w:t xml:space="preserve"> </w:t>
      </w:r>
      <w:r w:rsidRPr="007F256A">
        <w:rPr>
          <w:rFonts w:cstheme="minorHAnsi"/>
        </w:rPr>
        <w:t>admit high proportions of students on the basis of a VET award across most f</w:t>
      </w:r>
      <w:r w:rsidR="00A07B71">
        <w:rPr>
          <w:rFonts w:cstheme="minorHAnsi"/>
        </w:rPr>
        <w:t>ields of education (</w:t>
      </w:r>
      <w:r w:rsidR="00D974AF">
        <w:rPr>
          <w:rFonts w:cstheme="minorHAnsi"/>
        </w:rPr>
        <w:t>that is,</w:t>
      </w:r>
      <w:r w:rsidR="00A07B71">
        <w:rPr>
          <w:rFonts w:cstheme="minorHAnsi"/>
        </w:rPr>
        <w:t xml:space="preserve"> Cluster </w:t>
      </w:r>
      <w:r w:rsidRPr="007F256A">
        <w:rPr>
          <w:rFonts w:cstheme="minorHAnsi"/>
        </w:rPr>
        <w:t>1) demonstrate a strong institutional commitment to pathways</w:t>
      </w:r>
      <w:r>
        <w:rPr>
          <w:rFonts w:cstheme="minorHAnsi"/>
        </w:rPr>
        <w:t xml:space="preserve">. This institutional commitment </w:t>
      </w:r>
      <w:r w:rsidRPr="007F256A">
        <w:rPr>
          <w:rFonts w:cstheme="minorHAnsi"/>
        </w:rPr>
        <w:t xml:space="preserve">is manifested in policies and practices that influence </w:t>
      </w:r>
      <w:r w:rsidR="00B80BDF">
        <w:rPr>
          <w:rFonts w:cstheme="minorHAnsi"/>
        </w:rPr>
        <w:t xml:space="preserve">VET to higher education pathways </w:t>
      </w:r>
      <w:r w:rsidRPr="007F256A">
        <w:rPr>
          <w:rFonts w:cstheme="minorHAnsi"/>
        </w:rPr>
        <w:t xml:space="preserve">at all levels of the </w:t>
      </w:r>
      <w:r>
        <w:rPr>
          <w:rFonts w:cstheme="minorHAnsi"/>
        </w:rPr>
        <w:t>university</w:t>
      </w:r>
      <w:r w:rsidRPr="007F256A">
        <w:rPr>
          <w:rFonts w:cstheme="minorHAnsi"/>
        </w:rPr>
        <w:t>. Through strong central</w:t>
      </w:r>
      <w:r w:rsidR="007B3C2A">
        <w:rPr>
          <w:rFonts w:cstheme="minorHAnsi"/>
        </w:rPr>
        <w:t xml:space="preserve"> leadership and line management</w:t>
      </w:r>
      <w:r w:rsidR="00797A22">
        <w:rPr>
          <w:rFonts w:cstheme="minorHAnsi"/>
        </w:rPr>
        <w:t>,</w:t>
      </w:r>
      <w:r w:rsidRPr="007F256A">
        <w:rPr>
          <w:rFonts w:cstheme="minorHAnsi"/>
        </w:rPr>
        <w:t xml:space="preserve"> as well as close monitoring of st</w:t>
      </w:r>
      <w:r w:rsidR="007B3C2A">
        <w:rPr>
          <w:rFonts w:cstheme="minorHAnsi"/>
        </w:rPr>
        <w:t>udent admission and progression</w:t>
      </w:r>
      <w:r w:rsidR="00797A22">
        <w:rPr>
          <w:rFonts w:cstheme="minorHAnsi"/>
        </w:rPr>
        <w:t>,</w:t>
      </w:r>
      <w:r w:rsidRPr="007F256A">
        <w:rPr>
          <w:rFonts w:cstheme="minorHAnsi"/>
        </w:rPr>
        <w:t xml:space="preserve"> these universities ensure that </w:t>
      </w:r>
      <w:r w:rsidR="00797A22">
        <w:rPr>
          <w:rFonts w:cstheme="minorHAnsi"/>
        </w:rPr>
        <w:t xml:space="preserve">the </w:t>
      </w:r>
      <w:r w:rsidRPr="007F256A">
        <w:rPr>
          <w:rFonts w:cstheme="minorHAnsi"/>
        </w:rPr>
        <w:t xml:space="preserve">appropriate policies and practices are implemented both to attract VET </w:t>
      </w:r>
      <w:r w:rsidR="00B87FBB">
        <w:rPr>
          <w:rFonts w:cstheme="minorHAnsi"/>
        </w:rPr>
        <w:t>award holders</w:t>
      </w:r>
      <w:r w:rsidRPr="007F256A">
        <w:rPr>
          <w:rFonts w:cstheme="minorHAnsi"/>
        </w:rPr>
        <w:t xml:space="preserve"> and to support them in their studies. Many of the universities in Cluster 1 also have a highly accessible website, which leads VET </w:t>
      </w:r>
      <w:r w:rsidR="00B87FBB">
        <w:rPr>
          <w:rFonts w:cstheme="minorHAnsi"/>
        </w:rPr>
        <w:t>award holders</w:t>
      </w:r>
      <w:r w:rsidRPr="007F256A">
        <w:rPr>
          <w:rFonts w:cstheme="minorHAnsi"/>
        </w:rPr>
        <w:t xml:space="preserve"> through a set of transparent procedures for the purposes of gaining admission and applying for credit. Cluster</w:t>
      </w:r>
      <w:r w:rsidR="00BC43BC">
        <w:rPr>
          <w:rFonts w:cstheme="minorHAnsi"/>
        </w:rPr>
        <w:t> </w:t>
      </w:r>
      <w:r w:rsidRPr="007F256A">
        <w:rPr>
          <w:rFonts w:cstheme="minorHAnsi"/>
        </w:rPr>
        <w:t xml:space="preserve">1 institutions are also more likely to have consistent approaches to awarding credit for prior studies </w:t>
      </w:r>
      <w:r w:rsidR="007B3C2A">
        <w:rPr>
          <w:rFonts w:cstheme="minorHAnsi"/>
        </w:rPr>
        <w:t>and which</w:t>
      </w:r>
      <w:r w:rsidRPr="007F256A">
        <w:rPr>
          <w:rFonts w:cstheme="minorHAnsi"/>
        </w:rPr>
        <w:t xml:space="preserve"> apply across the university. They are also more likely to appreciate the complexity of providing effective forms of support for students admitted on the basis of a VET award. </w:t>
      </w:r>
    </w:p>
    <w:p w:rsidR="00675CD3" w:rsidRPr="007F256A" w:rsidRDefault="00A07B71" w:rsidP="00675CD3">
      <w:pPr>
        <w:pStyle w:val="Text"/>
        <w:rPr>
          <w:rFonts w:cstheme="minorHAnsi"/>
        </w:rPr>
      </w:pPr>
      <w:r>
        <w:rPr>
          <w:rFonts w:cstheme="minorHAnsi"/>
        </w:rPr>
        <w:t xml:space="preserve">The institutions that </w:t>
      </w:r>
      <w:r w:rsidR="00675CD3" w:rsidRPr="007F256A">
        <w:rPr>
          <w:rFonts w:cstheme="minorHAnsi"/>
        </w:rPr>
        <w:t>demonstrat</w:t>
      </w:r>
      <w:r>
        <w:rPr>
          <w:rFonts w:cstheme="minorHAnsi"/>
        </w:rPr>
        <w:t>e</w:t>
      </w:r>
      <w:r w:rsidR="00675CD3" w:rsidRPr="007F256A">
        <w:rPr>
          <w:rFonts w:cstheme="minorHAnsi"/>
        </w:rPr>
        <w:t xml:space="preserve"> lower and less consistent rates of admission of VET </w:t>
      </w:r>
      <w:r w:rsidR="00B87FBB">
        <w:rPr>
          <w:rFonts w:cstheme="minorHAnsi"/>
        </w:rPr>
        <w:t>award holders</w:t>
      </w:r>
      <w:r w:rsidR="00675CD3" w:rsidRPr="007F256A">
        <w:rPr>
          <w:rFonts w:cstheme="minorHAnsi"/>
        </w:rPr>
        <w:t xml:space="preserve"> (</w:t>
      </w:r>
      <w:r w:rsidR="00D974AF">
        <w:rPr>
          <w:rFonts w:cstheme="minorHAnsi"/>
        </w:rPr>
        <w:t>that is,</w:t>
      </w:r>
      <w:r w:rsidR="00675CD3" w:rsidRPr="007F256A">
        <w:rPr>
          <w:rFonts w:cstheme="minorHAnsi"/>
        </w:rPr>
        <w:t xml:space="preserve"> Cluster 2) appear less able to translate a central policy</w:t>
      </w:r>
      <w:r w:rsidR="00D974AF">
        <w:rPr>
          <w:rFonts w:cstheme="minorHAnsi"/>
        </w:rPr>
        <w:t xml:space="preserve"> commitment into action at the f</w:t>
      </w:r>
      <w:r w:rsidR="00675CD3" w:rsidRPr="007F256A">
        <w:rPr>
          <w:rFonts w:cstheme="minorHAnsi"/>
        </w:rPr>
        <w:t>aculty and student level. While these institutions have similar polic</w:t>
      </w:r>
      <w:r w:rsidR="00D974AF">
        <w:rPr>
          <w:rFonts w:cstheme="minorHAnsi"/>
        </w:rPr>
        <w:t xml:space="preserve">ies and practices to Cluster 1 </w:t>
      </w:r>
      <w:r w:rsidR="00D974AF">
        <w:rPr>
          <w:rFonts w:cstheme="minorHAnsi"/>
        </w:rPr>
        <w:lastRenderedPageBreak/>
        <w:t>u</w:t>
      </w:r>
      <w:r w:rsidR="00675CD3" w:rsidRPr="007F256A">
        <w:rPr>
          <w:rFonts w:cstheme="minorHAnsi"/>
        </w:rPr>
        <w:t xml:space="preserve">niversities, there is less evidence of the strong central leadership and line management in regard to </w:t>
      </w:r>
      <w:r w:rsidR="007B3C2A">
        <w:rPr>
          <w:rFonts w:cstheme="minorHAnsi"/>
        </w:rPr>
        <w:t xml:space="preserve">the </w:t>
      </w:r>
      <w:r w:rsidR="00675CD3" w:rsidRPr="007F256A">
        <w:rPr>
          <w:rFonts w:cstheme="minorHAnsi"/>
        </w:rPr>
        <w:t xml:space="preserve">pathways policies observed in responses from institutions in Cluster 1. </w:t>
      </w:r>
    </w:p>
    <w:p w:rsidR="00675CD3" w:rsidRPr="007F256A" w:rsidRDefault="00675CD3" w:rsidP="00675CD3">
      <w:pPr>
        <w:pStyle w:val="Text"/>
        <w:rPr>
          <w:rFonts w:cstheme="minorHAnsi"/>
        </w:rPr>
      </w:pPr>
      <w:r w:rsidRPr="007F256A">
        <w:rPr>
          <w:rFonts w:cstheme="minorHAnsi"/>
        </w:rPr>
        <w:t xml:space="preserve">Institutions </w:t>
      </w:r>
      <w:r w:rsidR="00A07B71">
        <w:rPr>
          <w:rFonts w:cstheme="minorHAnsi"/>
        </w:rPr>
        <w:t xml:space="preserve">with </w:t>
      </w:r>
      <w:r w:rsidRPr="007F256A">
        <w:rPr>
          <w:rFonts w:cstheme="minorHAnsi"/>
        </w:rPr>
        <w:t>consist</w:t>
      </w:r>
      <w:r w:rsidR="00797A22">
        <w:rPr>
          <w:rFonts w:cstheme="minorHAnsi"/>
        </w:rPr>
        <w:t xml:space="preserve">ently low rates of </w:t>
      </w:r>
      <w:r w:rsidR="00797A22" w:rsidRPr="007F256A">
        <w:rPr>
          <w:rFonts w:cstheme="minorHAnsi"/>
        </w:rPr>
        <w:t xml:space="preserve">VET </w:t>
      </w:r>
      <w:r w:rsidR="00797A22">
        <w:rPr>
          <w:rFonts w:cstheme="minorHAnsi"/>
        </w:rPr>
        <w:t>award holder</w:t>
      </w:r>
      <w:r w:rsidR="00797A22" w:rsidRPr="007F256A">
        <w:rPr>
          <w:rFonts w:cstheme="minorHAnsi"/>
        </w:rPr>
        <w:t xml:space="preserve"> </w:t>
      </w:r>
      <w:r w:rsidR="00797A22">
        <w:rPr>
          <w:rFonts w:cstheme="minorHAnsi"/>
        </w:rPr>
        <w:t xml:space="preserve">admission </w:t>
      </w:r>
      <w:r w:rsidRPr="007F256A">
        <w:rPr>
          <w:rFonts w:cstheme="minorHAnsi"/>
        </w:rPr>
        <w:t>(</w:t>
      </w:r>
      <w:r w:rsidR="00D974AF">
        <w:rPr>
          <w:rFonts w:cstheme="minorHAnsi"/>
        </w:rPr>
        <w:t>that is,</w:t>
      </w:r>
      <w:r w:rsidRPr="007F256A">
        <w:rPr>
          <w:rFonts w:cstheme="minorHAnsi"/>
        </w:rPr>
        <w:t xml:space="preserve"> Cluster 3) also espouse a central commitment to supporting pathways from VET to higher education, although often with reference to the need to meet government policy expectations regarding increasing diversity in student populations. These institutions’ policies and practices emphasise the criteria that a VE</w:t>
      </w:r>
      <w:r w:rsidR="00D974AF">
        <w:rPr>
          <w:rFonts w:cstheme="minorHAnsi"/>
        </w:rPr>
        <w:t xml:space="preserve">T award </w:t>
      </w:r>
      <w:r w:rsidRPr="007F256A">
        <w:rPr>
          <w:rFonts w:cstheme="minorHAnsi"/>
        </w:rPr>
        <w:t xml:space="preserve">holder needs to meet for </w:t>
      </w:r>
      <w:r w:rsidR="00797A22">
        <w:rPr>
          <w:rFonts w:cstheme="minorHAnsi"/>
        </w:rPr>
        <w:t xml:space="preserve">successful </w:t>
      </w:r>
      <w:r w:rsidRPr="007F256A">
        <w:rPr>
          <w:rFonts w:cstheme="minorHAnsi"/>
        </w:rPr>
        <w:t>entry to the institution</w:t>
      </w:r>
      <w:r w:rsidR="007B3C2A">
        <w:rPr>
          <w:rFonts w:cstheme="minorHAnsi"/>
        </w:rPr>
        <w:t>,</w:t>
      </w:r>
      <w:r w:rsidRPr="007F256A">
        <w:rPr>
          <w:rFonts w:cstheme="minorHAnsi"/>
        </w:rPr>
        <w:t xml:space="preserve"> and their processes for granting credit for previous studies are more likely to be conducted on a case-by-case basis. </w:t>
      </w:r>
    </w:p>
    <w:p w:rsidR="00675CD3" w:rsidRDefault="00675CD3" w:rsidP="00675CD3">
      <w:pPr>
        <w:pStyle w:val="Text"/>
      </w:pPr>
      <w:r w:rsidRPr="007F256A">
        <w:rPr>
          <w:rFonts w:cstheme="minorHAnsi"/>
        </w:rPr>
        <w:t xml:space="preserve">The majority of universities in all clusters reported that they had systems for monitoring the performance and progression of students and were able to identify those admitted on the basis of VET studies. Respondents with access to outcomes data reported that the performance of students admitted on the basis of a VET award is largely comparable with school leavers. Only a few institutions in Cluster 3 said that they performed little or no monitoring of the progress of VET </w:t>
      </w:r>
      <w:r w:rsidR="00B87FBB">
        <w:rPr>
          <w:rFonts w:cstheme="minorHAnsi"/>
        </w:rPr>
        <w:t>award holders</w:t>
      </w:r>
      <w:r w:rsidRPr="007F256A">
        <w:rPr>
          <w:rFonts w:cstheme="minorHAnsi"/>
        </w:rPr>
        <w:t>. Universities in all sectors mentioned the limitations of their monitoring systems, particularly in terms of providing more specific details about the VET award holder’s prior learning and the name of the feeder institution.</w:t>
      </w:r>
    </w:p>
    <w:p w:rsidR="00147C23" w:rsidRDefault="00147C23">
      <w:pPr>
        <w:spacing w:before="0" w:line="240" w:lineRule="auto"/>
        <w:rPr>
          <w:rFonts w:ascii="Tahoma" w:hAnsi="Tahoma" w:cs="Tahoma"/>
          <w:color w:val="000000"/>
          <w:kern w:val="28"/>
          <w:sz w:val="56"/>
          <w:szCs w:val="56"/>
        </w:rPr>
      </w:pPr>
      <w:r>
        <w:br w:type="page"/>
      </w:r>
    </w:p>
    <w:p w:rsidR="00E75F67" w:rsidRDefault="00E75F67" w:rsidP="00147C23">
      <w:pPr>
        <w:pStyle w:val="Heading1"/>
      </w:pPr>
      <w:bookmarkStart w:id="65" w:name="_Toc367450627"/>
      <w:r>
        <w:lastRenderedPageBreak/>
        <w:t>Summary</w:t>
      </w:r>
      <w:bookmarkEnd w:id="65"/>
    </w:p>
    <w:p w:rsidR="0045555D" w:rsidRPr="00147C23" w:rsidRDefault="005F16A8" w:rsidP="00147C23">
      <w:pPr>
        <w:pStyle w:val="Text"/>
      </w:pPr>
      <w:r>
        <w:t>Although Australia has a national policy framework to promote student pathways from vocational to higher education, there are substantial differences between universities in the proportion of undergraduate commencing students they admit on the basis of a VET award. While the proportion of students admitted on the basis of a VET award nati</w:t>
      </w:r>
      <w:r w:rsidR="00D974AF">
        <w:t>onally is now around 10%</w:t>
      </w:r>
      <w:r>
        <w:t xml:space="preserve">, some universities admit VET </w:t>
      </w:r>
      <w:r w:rsidR="00B87FBB">
        <w:t>award holders</w:t>
      </w:r>
      <w:r>
        <w:t xml:space="preserve"> at well over twice this rate</w:t>
      </w:r>
      <w:r w:rsidR="00D974AF">
        <w:t>,</w:t>
      </w:r>
      <w:r>
        <w:t xml:space="preserve"> whereas others admit negligible numbers. </w:t>
      </w:r>
      <w:r w:rsidR="00797A22">
        <w:t>Twelve</w:t>
      </w:r>
      <w:r w:rsidR="0045555D">
        <w:t xml:space="preserve"> universities enrol 68</w:t>
      </w:r>
      <w:r w:rsidR="008134F7">
        <w:t xml:space="preserve">% </w:t>
      </w:r>
      <w:r w:rsidR="0045555D">
        <w:t>of all students admitted to undergraduate programs on the basis of a</w:t>
      </w:r>
      <w:r w:rsidR="00D974AF">
        <w:t xml:space="preserve"> VET award. In </w:t>
      </w:r>
      <w:r w:rsidR="00D974AF" w:rsidRPr="00147C23">
        <w:t>other words, one-</w:t>
      </w:r>
      <w:r w:rsidR="0045555D" w:rsidRPr="00147C23">
        <w:t xml:space="preserve">third of Australian universities provide two-thirds of the </w:t>
      </w:r>
      <w:r w:rsidR="00B80BDF" w:rsidRPr="00147C23">
        <w:t>V</w:t>
      </w:r>
      <w:r w:rsidR="007B3C2A" w:rsidRPr="00147C23">
        <w:t>ET to higher education pathways</w:t>
      </w:r>
      <w:r w:rsidR="0045555D" w:rsidRPr="00147C23">
        <w:t xml:space="preserve">. </w:t>
      </w:r>
    </w:p>
    <w:p w:rsidR="005F16A8" w:rsidRPr="00147C23" w:rsidRDefault="005F16A8" w:rsidP="00147C23">
      <w:pPr>
        <w:pStyle w:val="Text"/>
        <w:ind w:right="-284"/>
      </w:pPr>
      <w:r w:rsidRPr="00147C23">
        <w:t xml:space="preserve">This report </w:t>
      </w:r>
      <w:r w:rsidR="00C82E07" w:rsidRPr="00147C23">
        <w:t>concludes</w:t>
      </w:r>
      <w:r w:rsidRPr="00147C23">
        <w:t xml:space="preserve"> that these differences are due </w:t>
      </w:r>
      <w:r w:rsidR="00A07B71" w:rsidRPr="00147C23">
        <w:t xml:space="preserve">primarily </w:t>
      </w:r>
      <w:r w:rsidRPr="00147C23">
        <w:t xml:space="preserve">to the policies and practices of universities rather than </w:t>
      </w:r>
      <w:r w:rsidR="007B3C2A" w:rsidRPr="00147C23">
        <w:t xml:space="preserve">to </w:t>
      </w:r>
      <w:r w:rsidRPr="00147C23">
        <w:t xml:space="preserve">the characteristics of VET </w:t>
      </w:r>
      <w:r w:rsidR="00B87FBB" w:rsidRPr="00147C23">
        <w:t>award holders</w:t>
      </w:r>
      <w:r w:rsidRPr="00147C23">
        <w:t xml:space="preserve"> or differences between fields of study.</w:t>
      </w:r>
    </w:p>
    <w:p w:rsidR="005F16A8" w:rsidRPr="00147C23" w:rsidRDefault="005F16A8" w:rsidP="00147C23">
      <w:pPr>
        <w:pStyle w:val="Text"/>
      </w:pPr>
      <w:r w:rsidRPr="00147C23">
        <w:t>The number of students admitted to Australian universities on the basis of a VET award has increased by 75</w:t>
      </w:r>
      <w:r w:rsidR="008134F7" w:rsidRPr="00147C23">
        <w:t xml:space="preserve">% </w:t>
      </w:r>
      <w:r w:rsidRPr="00147C23">
        <w:t>over the past decade to around 10</w:t>
      </w:r>
      <w:r w:rsidR="008134F7" w:rsidRPr="00147C23">
        <w:t xml:space="preserve">% </w:t>
      </w:r>
      <w:r w:rsidRPr="00147C23">
        <w:t>of total admissions tod</w:t>
      </w:r>
      <w:r w:rsidR="00D974AF" w:rsidRPr="00147C23">
        <w:t xml:space="preserve">ay. In 2010, some 30 </w:t>
      </w:r>
      <w:r w:rsidRPr="00147C23">
        <w:t>000 students were admitted to higher education programs on the basis of</w:t>
      </w:r>
      <w:r w:rsidR="001B039F" w:rsidRPr="00147C23">
        <w:t xml:space="preserve"> a VET award, </w:t>
      </w:r>
      <w:r w:rsidR="000A3DD5" w:rsidRPr="00147C23">
        <w:t xml:space="preserve">of whom </w:t>
      </w:r>
      <w:r w:rsidR="00D974AF" w:rsidRPr="00147C23">
        <w:t>one-</w:t>
      </w:r>
      <w:r w:rsidR="001B039F" w:rsidRPr="00147C23">
        <w:t xml:space="preserve">quarter </w:t>
      </w:r>
      <w:r w:rsidR="000A3DD5" w:rsidRPr="00147C23">
        <w:t xml:space="preserve">were </w:t>
      </w:r>
      <w:r w:rsidR="00D974AF" w:rsidRPr="00147C23">
        <w:t xml:space="preserve">overseas students. </w:t>
      </w:r>
      <w:r w:rsidRPr="00147C23">
        <w:t xml:space="preserve">Students admitted to Australian universities on the basis of </w:t>
      </w:r>
      <w:r w:rsidR="00797A22">
        <w:t>their</w:t>
      </w:r>
      <w:r w:rsidRPr="00147C23">
        <w:t xml:space="preserve"> VET </w:t>
      </w:r>
      <w:r w:rsidR="00797A22">
        <w:t>qualification</w:t>
      </w:r>
      <w:r w:rsidRPr="00147C23">
        <w:t xml:space="preserve"> are broadly similar to students admitted </w:t>
      </w:r>
      <w:r w:rsidR="007B3C2A" w:rsidRPr="00147C23">
        <w:t>according to</w:t>
      </w:r>
      <w:r w:rsidRPr="00147C23">
        <w:t xml:space="preserve"> other criteria, except that they are slightly older and more likely to be studying part-time. These characteristics may </w:t>
      </w:r>
      <w:r w:rsidR="006B705C" w:rsidRPr="00147C23">
        <w:t>serve to compound</w:t>
      </w:r>
      <w:r w:rsidRPr="00147C23">
        <w:t xml:space="preserve"> the challenges that VET </w:t>
      </w:r>
      <w:r w:rsidR="00B87FBB" w:rsidRPr="00147C23">
        <w:t>award holders</w:t>
      </w:r>
      <w:r w:rsidRPr="00147C23">
        <w:t xml:space="preserve"> </w:t>
      </w:r>
      <w:r w:rsidR="000A3DD5" w:rsidRPr="00147C23">
        <w:t>often</w:t>
      </w:r>
      <w:r w:rsidR="00FF040C" w:rsidRPr="00147C23">
        <w:t xml:space="preserve"> </w:t>
      </w:r>
      <w:r w:rsidRPr="00147C23">
        <w:t>face in making a successful transition to higher education</w:t>
      </w:r>
      <w:r w:rsidR="000A3DD5" w:rsidRPr="00147C23">
        <w:t xml:space="preserve">. Universities thus need to provide customised support services for VET </w:t>
      </w:r>
      <w:r w:rsidR="00B87FBB" w:rsidRPr="00147C23">
        <w:t>award holders</w:t>
      </w:r>
      <w:r w:rsidR="000A3DD5" w:rsidRPr="00147C23">
        <w:t>, particularly during their first year of undergraduate study</w:t>
      </w:r>
      <w:r w:rsidRPr="00147C23">
        <w:t xml:space="preserve">. </w:t>
      </w:r>
    </w:p>
    <w:p w:rsidR="005A5191" w:rsidRPr="00147C23" w:rsidRDefault="00BC783E" w:rsidP="00147C23">
      <w:pPr>
        <w:pStyle w:val="Text"/>
      </w:pPr>
      <w:r w:rsidRPr="00147C23">
        <w:t>The an</w:t>
      </w:r>
      <w:r w:rsidR="000A3DD5" w:rsidRPr="00147C23">
        <w:t>alysis</w:t>
      </w:r>
      <w:r w:rsidR="007A5961" w:rsidRPr="00147C23">
        <w:t xml:space="preserve"> of university admission rates </w:t>
      </w:r>
      <w:r w:rsidR="000A3DD5" w:rsidRPr="00147C23">
        <w:t xml:space="preserve">of VET </w:t>
      </w:r>
      <w:r w:rsidR="00B87FBB" w:rsidRPr="00147C23">
        <w:t>award holders</w:t>
      </w:r>
      <w:r w:rsidR="000A3DD5" w:rsidRPr="00147C23">
        <w:t xml:space="preserve"> </w:t>
      </w:r>
      <w:r w:rsidR="007A5961" w:rsidRPr="00147C23">
        <w:t>by field of education indicates that Australian universities fall into three distinct clusters</w:t>
      </w:r>
      <w:r w:rsidRPr="00147C23">
        <w:t>: s</w:t>
      </w:r>
      <w:r w:rsidR="007A5961" w:rsidRPr="00147C23">
        <w:t xml:space="preserve">even universities admit VET </w:t>
      </w:r>
      <w:r w:rsidR="00B87FBB" w:rsidRPr="00147C23">
        <w:t>award holders</w:t>
      </w:r>
      <w:r w:rsidR="007A5961" w:rsidRPr="00147C23">
        <w:t xml:space="preserve"> at consistently high rate</w:t>
      </w:r>
      <w:r w:rsidR="000A3DD5" w:rsidRPr="00147C23">
        <w:t>s</w:t>
      </w:r>
      <w:r w:rsidR="007A5961" w:rsidRPr="00147C23">
        <w:t xml:space="preserve"> </w:t>
      </w:r>
      <w:r w:rsidR="00D76DEF" w:rsidRPr="00147C23">
        <w:t>in all fields</w:t>
      </w:r>
      <w:r w:rsidR="007B3C2A" w:rsidRPr="00147C23">
        <w:t>,</w:t>
      </w:r>
      <w:r w:rsidR="00D76DEF" w:rsidRPr="00147C23">
        <w:t xml:space="preserve"> </w:t>
      </w:r>
      <w:r w:rsidR="007A5961" w:rsidRPr="00147C23">
        <w:t>with an average rate of 18.7</w:t>
      </w:r>
      <w:r w:rsidR="008134F7" w:rsidRPr="00147C23">
        <w:t xml:space="preserve">% </w:t>
      </w:r>
      <w:r w:rsidR="007A5961" w:rsidRPr="00147C23">
        <w:t xml:space="preserve">(Cluster 1); </w:t>
      </w:r>
      <w:r w:rsidR="000A3DD5" w:rsidRPr="00147C23">
        <w:t>t</w:t>
      </w:r>
      <w:r w:rsidR="00D76DEF" w:rsidRPr="00147C23">
        <w:t xml:space="preserve">he </w:t>
      </w:r>
      <w:r w:rsidR="007A5961" w:rsidRPr="00147C23">
        <w:t xml:space="preserve">16 universities </w:t>
      </w:r>
      <w:r w:rsidR="00D76DEF" w:rsidRPr="00147C23">
        <w:t xml:space="preserve">in Cluster 2 </w:t>
      </w:r>
      <w:r w:rsidR="007A5961" w:rsidRPr="00147C23">
        <w:t>have more haphazard rates of admission between fields, with a</w:t>
      </w:r>
      <w:r w:rsidR="00D76DEF" w:rsidRPr="00147C23">
        <w:t xml:space="preserve">n overall </w:t>
      </w:r>
      <w:r w:rsidR="007A5961" w:rsidRPr="00147C23">
        <w:t>rate of 10</w:t>
      </w:r>
      <w:r w:rsidRPr="00147C23">
        <w:t>%</w:t>
      </w:r>
      <w:r w:rsidR="007A5961" w:rsidRPr="00147C23">
        <w:t>; and</w:t>
      </w:r>
      <w:r w:rsidR="00797A22">
        <w:t xml:space="preserve"> the</w:t>
      </w:r>
      <w:r w:rsidR="007A5961" w:rsidRPr="00147C23">
        <w:t xml:space="preserve"> 14 universities </w:t>
      </w:r>
      <w:r w:rsidR="00675CD3" w:rsidRPr="00147C23">
        <w:t xml:space="preserve">in Cluster 3 </w:t>
      </w:r>
      <w:r w:rsidR="007A5961" w:rsidRPr="00147C23">
        <w:t xml:space="preserve">admit VET </w:t>
      </w:r>
      <w:r w:rsidR="00B87FBB" w:rsidRPr="00147C23">
        <w:t>award holders</w:t>
      </w:r>
      <w:r w:rsidR="007A5961" w:rsidRPr="00147C23">
        <w:t xml:space="preserve"> at rates consistently below the national average for almost every field of study</w:t>
      </w:r>
      <w:r w:rsidR="007B3C2A" w:rsidRPr="00147C23">
        <w:t>,</w:t>
      </w:r>
      <w:r w:rsidR="007A5961" w:rsidRPr="00147C23">
        <w:t xml:space="preserve"> with a</w:t>
      </w:r>
      <w:r w:rsidR="00675CD3" w:rsidRPr="00147C23">
        <w:t xml:space="preserve">n overall </w:t>
      </w:r>
      <w:r w:rsidRPr="00147C23">
        <w:t>rate of 3.2%</w:t>
      </w:r>
      <w:r w:rsidR="000A3DD5" w:rsidRPr="00147C23">
        <w:t>.</w:t>
      </w:r>
      <w:r w:rsidR="007A5961" w:rsidRPr="00147C23">
        <w:t xml:space="preserve"> </w:t>
      </w:r>
    </w:p>
    <w:p w:rsidR="0045555D" w:rsidRPr="00147C23" w:rsidRDefault="0045555D" w:rsidP="00147C23">
      <w:pPr>
        <w:pStyle w:val="Text"/>
        <w:ind w:right="-143"/>
      </w:pPr>
      <w:r w:rsidRPr="00147C23">
        <w:t>While all Australian universities have policies to promote VET</w:t>
      </w:r>
      <w:r w:rsidR="00BC783E" w:rsidRPr="00147C23">
        <w:t xml:space="preserve"> to higher education</w:t>
      </w:r>
      <w:r w:rsidRPr="00147C23">
        <w:t xml:space="preserve"> pathways, there are subtle differences in the way in which pathways policies are implemented. Strong central leadership and </w:t>
      </w:r>
      <w:proofErr w:type="gramStart"/>
      <w:r w:rsidRPr="00147C23">
        <w:t>accountable</w:t>
      </w:r>
      <w:proofErr w:type="gramEnd"/>
      <w:r w:rsidRPr="00147C23">
        <w:t xml:space="preserve"> line management as well as close monitoring of student </w:t>
      </w:r>
      <w:r w:rsidR="00BC783E" w:rsidRPr="00147C23">
        <w:t>admission and progression rates</w:t>
      </w:r>
      <w:r w:rsidRPr="00147C23">
        <w:t xml:space="preserve"> are </w:t>
      </w:r>
      <w:r w:rsidR="000A3DD5" w:rsidRPr="00147C23">
        <w:t>common</w:t>
      </w:r>
      <w:r w:rsidRPr="00147C23">
        <w:t xml:space="preserve"> institutional practice in </w:t>
      </w:r>
      <w:r w:rsidR="00BC783E" w:rsidRPr="00147C23">
        <w:t xml:space="preserve">the </w:t>
      </w:r>
      <w:r w:rsidRPr="00147C23">
        <w:t xml:space="preserve">universities </w:t>
      </w:r>
      <w:r w:rsidR="00797A22">
        <w:t>that</w:t>
      </w:r>
      <w:r w:rsidRPr="00147C23">
        <w:t xml:space="preserve"> admit high proportions of VET </w:t>
      </w:r>
      <w:r w:rsidR="00B87FBB" w:rsidRPr="00147C23">
        <w:t>award holders</w:t>
      </w:r>
      <w:r w:rsidRPr="00147C23">
        <w:t xml:space="preserve"> in all fields. While these features are clearly defined in the policies and practices of universities in Cluster 1, they are less evident in the policies and practices of institutions in Clusters 2 and 3. </w:t>
      </w:r>
    </w:p>
    <w:p w:rsidR="0045555D" w:rsidRDefault="0045555D" w:rsidP="00147C23">
      <w:pPr>
        <w:pStyle w:val="Text"/>
      </w:pPr>
      <w:r w:rsidRPr="00147C23">
        <w:t xml:space="preserve">Policy </w:t>
      </w:r>
      <w:r w:rsidR="000A3DD5" w:rsidRPr="00147C23">
        <w:t>issue</w:t>
      </w:r>
      <w:r w:rsidRPr="00147C23">
        <w:t xml:space="preserve">s </w:t>
      </w:r>
      <w:r w:rsidR="000A3DD5" w:rsidRPr="00147C23">
        <w:t>for gov</w:t>
      </w:r>
      <w:r w:rsidR="000A3DD5">
        <w:t xml:space="preserve">ernment, industry and employers </w:t>
      </w:r>
      <w:r>
        <w:t>arising from th</w:t>
      </w:r>
      <w:r w:rsidR="000A3DD5">
        <w:t xml:space="preserve">is study </w:t>
      </w:r>
      <w:r>
        <w:t>include:</w:t>
      </w:r>
    </w:p>
    <w:p w:rsidR="0045555D" w:rsidRDefault="007B3C2A" w:rsidP="00147C23">
      <w:pPr>
        <w:pStyle w:val="Dotpoint1"/>
      </w:pPr>
      <w:r>
        <w:t>I</w:t>
      </w:r>
      <w:r w:rsidR="0045555D">
        <w:t xml:space="preserve">nequalities </w:t>
      </w:r>
      <w:r>
        <w:t xml:space="preserve">will exist </w:t>
      </w:r>
      <w:r w:rsidR="0045555D">
        <w:t xml:space="preserve">in access to higher education for VET </w:t>
      </w:r>
      <w:r w:rsidR="00B87FBB">
        <w:t>award holders</w:t>
      </w:r>
      <w:r>
        <w:t>.</w:t>
      </w:r>
    </w:p>
    <w:p w:rsidR="0045555D" w:rsidRDefault="007B3C2A" w:rsidP="00147C23">
      <w:pPr>
        <w:pStyle w:val="Dotpoint1"/>
      </w:pPr>
      <w:r>
        <w:t>T</w:t>
      </w:r>
      <w:r w:rsidR="0045555D">
        <w:t xml:space="preserve">he financial burden of supporting VET </w:t>
      </w:r>
      <w:r w:rsidR="00B87FBB">
        <w:t>award holders</w:t>
      </w:r>
      <w:r w:rsidR="0045555D">
        <w:t xml:space="preserve"> during</w:t>
      </w:r>
      <w:r>
        <w:t xml:space="preserve"> their first year of study falls </w:t>
      </w:r>
      <w:r w:rsidR="0045555D">
        <w:t>more heavily on some universities than others</w:t>
      </w:r>
      <w:r>
        <w:t>.</w:t>
      </w:r>
      <w:r w:rsidR="0045555D">
        <w:t xml:space="preserve"> </w:t>
      </w:r>
    </w:p>
    <w:p w:rsidR="00BC783E" w:rsidRDefault="0045555D" w:rsidP="00147C23">
      <w:pPr>
        <w:pStyle w:val="Dotpoint1"/>
      </w:pPr>
      <w:r>
        <w:t xml:space="preserve">Australia’s capacity to alleviate national skills shortages through </w:t>
      </w:r>
      <w:r w:rsidR="000A3DD5">
        <w:t xml:space="preserve">strengthening </w:t>
      </w:r>
      <w:r w:rsidR="00B80BDF">
        <w:t xml:space="preserve">VET to higher education pathways </w:t>
      </w:r>
      <w:r w:rsidR="000A3DD5">
        <w:t>will be</w:t>
      </w:r>
      <w:r>
        <w:t xml:space="preserve"> compromised in fields where Cluster 3 universities are </w:t>
      </w:r>
      <w:r w:rsidR="00BC783E">
        <w:t>over</w:t>
      </w:r>
      <w:r w:rsidR="00606E4F">
        <w:t>represented.</w:t>
      </w:r>
    </w:p>
    <w:p w:rsidR="00BC783E" w:rsidRDefault="00BC783E">
      <w:pPr>
        <w:spacing w:before="0" w:line="240" w:lineRule="auto"/>
      </w:pPr>
      <w:r>
        <w:br w:type="page"/>
      </w:r>
    </w:p>
    <w:p w:rsidR="00A50895" w:rsidRDefault="00A50895" w:rsidP="00147C23">
      <w:pPr>
        <w:pStyle w:val="Heading1"/>
      </w:pPr>
      <w:bookmarkStart w:id="66" w:name="_Toc367450628"/>
      <w:r>
        <w:lastRenderedPageBreak/>
        <w:t>References</w:t>
      </w:r>
      <w:bookmarkEnd w:id="59"/>
      <w:bookmarkEnd w:id="60"/>
      <w:bookmarkEnd w:id="61"/>
      <w:bookmarkEnd w:id="66"/>
    </w:p>
    <w:p w:rsidR="00773B29" w:rsidRPr="003647FB" w:rsidRDefault="0037022E" w:rsidP="00FE4A0D">
      <w:pPr>
        <w:pStyle w:val="References"/>
        <w:rPr>
          <w:i/>
          <w:szCs w:val="18"/>
        </w:rPr>
      </w:pPr>
      <w:r>
        <w:rPr>
          <w:szCs w:val="18"/>
        </w:rPr>
        <w:t xml:space="preserve">Australian Government </w:t>
      </w:r>
      <w:r w:rsidR="00773B29" w:rsidRPr="003647FB">
        <w:rPr>
          <w:szCs w:val="18"/>
        </w:rPr>
        <w:t>2011</w:t>
      </w:r>
      <w:r>
        <w:rPr>
          <w:szCs w:val="18"/>
        </w:rPr>
        <w:t>,</w:t>
      </w:r>
      <w:r w:rsidR="00773B29" w:rsidRPr="003647FB">
        <w:rPr>
          <w:szCs w:val="18"/>
        </w:rPr>
        <w:t xml:space="preserve"> </w:t>
      </w:r>
      <w:r w:rsidR="00773B29" w:rsidRPr="003647FB">
        <w:rPr>
          <w:i/>
          <w:szCs w:val="18"/>
        </w:rPr>
        <w:t xml:space="preserve">VET Fee-Help </w:t>
      </w:r>
      <w:r w:rsidRPr="003647FB">
        <w:rPr>
          <w:i/>
          <w:szCs w:val="18"/>
        </w:rPr>
        <w:t>information booklet</w:t>
      </w:r>
      <w:r>
        <w:rPr>
          <w:i/>
          <w:szCs w:val="18"/>
        </w:rPr>
        <w:t>,</w:t>
      </w:r>
      <w:r w:rsidR="00773B29" w:rsidRPr="003647FB">
        <w:rPr>
          <w:i/>
          <w:szCs w:val="18"/>
        </w:rPr>
        <w:t xml:space="preserve"> </w:t>
      </w:r>
      <w:r w:rsidR="00773B29" w:rsidRPr="0037022E">
        <w:rPr>
          <w:szCs w:val="18"/>
        </w:rPr>
        <w:t xml:space="preserve">2011 </w:t>
      </w:r>
      <w:proofErr w:type="spellStart"/>
      <w:r>
        <w:rPr>
          <w:szCs w:val="18"/>
        </w:rPr>
        <w:t>edn</w:t>
      </w:r>
      <w:proofErr w:type="spellEnd"/>
      <w:r>
        <w:rPr>
          <w:szCs w:val="18"/>
        </w:rPr>
        <w:t>, Department of Education, Employment and Workplace Relations, Canberra.</w:t>
      </w:r>
    </w:p>
    <w:p w:rsidR="00773B29" w:rsidRPr="003647FB" w:rsidRDefault="00773B29" w:rsidP="00F40545">
      <w:pPr>
        <w:spacing w:before="80" w:line="240" w:lineRule="auto"/>
        <w:ind w:left="284" w:hanging="284"/>
        <w:rPr>
          <w:sz w:val="18"/>
          <w:szCs w:val="18"/>
        </w:rPr>
      </w:pPr>
      <w:r w:rsidRPr="003647FB">
        <w:rPr>
          <w:sz w:val="18"/>
          <w:szCs w:val="18"/>
        </w:rPr>
        <w:t xml:space="preserve">Australian Qualifications Framework (AQF) Council, 2009, </w:t>
      </w:r>
      <w:r w:rsidRPr="003647FB">
        <w:rPr>
          <w:i/>
          <w:sz w:val="18"/>
          <w:szCs w:val="18"/>
        </w:rPr>
        <w:t xml:space="preserve">AQF </w:t>
      </w:r>
      <w:r w:rsidR="0037022E" w:rsidRPr="003647FB">
        <w:rPr>
          <w:i/>
          <w:sz w:val="18"/>
          <w:szCs w:val="18"/>
        </w:rPr>
        <w:t>national policy and guidelines on credit arrangements</w:t>
      </w:r>
      <w:r w:rsidRPr="003647FB">
        <w:rPr>
          <w:sz w:val="18"/>
          <w:szCs w:val="18"/>
        </w:rPr>
        <w:t xml:space="preserve">, </w:t>
      </w:r>
      <w:r w:rsidR="0037022E" w:rsidRPr="003647FB">
        <w:rPr>
          <w:sz w:val="18"/>
          <w:szCs w:val="18"/>
        </w:rPr>
        <w:t>final draft</w:t>
      </w:r>
      <w:r w:rsidRPr="003647FB">
        <w:rPr>
          <w:sz w:val="18"/>
          <w:szCs w:val="18"/>
        </w:rPr>
        <w:t>, May</w:t>
      </w:r>
      <w:r w:rsidR="0037022E">
        <w:rPr>
          <w:sz w:val="18"/>
          <w:szCs w:val="18"/>
        </w:rPr>
        <w:t>, AQF</w:t>
      </w:r>
      <w:r w:rsidR="00B8653B">
        <w:rPr>
          <w:sz w:val="18"/>
          <w:szCs w:val="18"/>
        </w:rPr>
        <w:t xml:space="preserve"> Council</w:t>
      </w:r>
      <w:r w:rsidR="0037022E">
        <w:rPr>
          <w:sz w:val="18"/>
          <w:szCs w:val="18"/>
        </w:rPr>
        <w:t>, Adelaide</w:t>
      </w:r>
      <w:r w:rsidRPr="003647FB">
        <w:rPr>
          <w:sz w:val="18"/>
          <w:szCs w:val="18"/>
        </w:rPr>
        <w:t>.</w:t>
      </w:r>
    </w:p>
    <w:p w:rsidR="00773B29" w:rsidRPr="003647FB" w:rsidRDefault="0037022E" w:rsidP="00E73EAC">
      <w:pPr>
        <w:spacing w:before="80" w:line="240" w:lineRule="auto"/>
        <w:ind w:left="284" w:hanging="284"/>
        <w:rPr>
          <w:sz w:val="18"/>
          <w:szCs w:val="18"/>
        </w:rPr>
      </w:pPr>
      <w:proofErr w:type="gramStart"/>
      <w:r>
        <w:rPr>
          <w:sz w:val="18"/>
          <w:szCs w:val="18"/>
        </w:rPr>
        <w:t>——</w:t>
      </w:r>
      <w:r w:rsidR="00773B29" w:rsidRPr="003647FB">
        <w:rPr>
          <w:sz w:val="18"/>
          <w:szCs w:val="18"/>
        </w:rPr>
        <w:t xml:space="preserve">2011, </w:t>
      </w:r>
      <w:r w:rsidR="00773B29" w:rsidRPr="003647FB">
        <w:rPr>
          <w:i/>
          <w:sz w:val="18"/>
          <w:szCs w:val="18"/>
        </w:rPr>
        <w:t>Australian Qualifications Framework</w:t>
      </w:r>
      <w:r w:rsidR="00773B29" w:rsidRPr="003647FB">
        <w:rPr>
          <w:sz w:val="18"/>
          <w:szCs w:val="18"/>
        </w:rPr>
        <w:t xml:space="preserve">, 2011, </w:t>
      </w:r>
      <w:r w:rsidRPr="0037022E">
        <w:rPr>
          <w:sz w:val="18"/>
          <w:szCs w:val="18"/>
        </w:rPr>
        <w:t>1st</w:t>
      </w:r>
      <w:r>
        <w:rPr>
          <w:sz w:val="18"/>
          <w:szCs w:val="18"/>
        </w:rPr>
        <w:t xml:space="preserve"> </w:t>
      </w:r>
      <w:proofErr w:type="spellStart"/>
      <w:r>
        <w:rPr>
          <w:sz w:val="18"/>
          <w:szCs w:val="18"/>
        </w:rPr>
        <w:t>edn</w:t>
      </w:r>
      <w:proofErr w:type="spellEnd"/>
      <w:r>
        <w:rPr>
          <w:sz w:val="18"/>
          <w:szCs w:val="18"/>
        </w:rPr>
        <w:t>,</w:t>
      </w:r>
      <w:r w:rsidR="00773B29" w:rsidRPr="003647FB">
        <w:rPr>
          <w:sz w:val="18"/>
          <w:szCs w:val="18"/>
        </w:rPr>
        <w:t xml:space="preserve"> July</w:t>
      </w:r>
      <w:r>
        <w:rPr>
          <w:sz w:val="18"/>
          <w:szCs w:val="18"/>
        </w:rPr>
        <w:t>, AQF</w:t>
      </w:r>
      <w:r w:rsidR="00B8653B">
        <w:rPr>
          <w:sz w:val="18"/>
          <w:szCs w:val="18"/>
        </w:rPr>
        <w:t xml:space="preserve"> Council</w:t>
      </w:r>
      <w:r>
        <w:rPr>
          <w:sz w:val="18"/>
          <w:szCs w:val="18"/>
        </w:rPr>
        <w:t>, Adelaide</w:t>
      </w:r>
      <w:r w:rsidR="00773B29" w:rsidRPr="003647FB">
        <w:rPr>
          <w:sz w:val="18"/>
          <w:szCs w:val="18"/>
        </w:rPr>
        <w:t>.</w:t>
      </w:r>
      <w:proofErr w:type="gramEnd"/>
      <w:r w:rsidR="00773B29" w:rsidRPr="003647FB">
        <w:rPr>
          <w:sz w:val="18"/>
          <w:szCs w:val="18"/>
        </w:rPr>
        <w:t xml:space="preserve"> </w:t>
      </w:r>
    </w:p>
    <w:p w:rsidR="00773B29" w:rsidRPr="003647FB" w:rsidRDefault="00773B29" w:rsidP="00A50895">
      <w:pPr>
        <w:pStyle w:val="References"/>
        <w:rPr>
          <w:szCs w:val="18"/>
        </w:rPr>
      </w:pPr>
      <w:proofErr w:type="spellStart"/>
      <w:r w:rsidRPr="003647FB">
        <w:rPr>
          <w:szCs w:val="18"/>
        </w:rPr>
        <w:t>Catterall</w:t>
      </w:r>
      <w:proofErr w:type="spellEnd"/>
      <w:r w:rsidRPr="003647FB">
        <w:rPr>
          <w:szCs w:val="18"/>
        </w:rPr>
        <w:t xml:space="preserve">, J &amp; Davis, J 2012, </w:t>
      </w:r>
      <w:proofErr w:type="gramStart"/>
      <w:r w:rsidRPr="003647FB">
        <w:rPr>
          <w:i/>
          <w:szCs w:val="18"/>
        </w:rPr>
        <w:t>Enhancing</w:t>
      </w:r>
      <w:proofErr w:type="gramEnd"/>
      <w:r w:rsidRPr="003647FB">
        <w:rPr>
          <w:i/>
          <w:szCs w:val="18"/>
        </w:rPr>
        <w:t xml:space="preserve"> the student experience: transition from vocational education and training to higher education</w:t>
      </w:r>
      <w:r w:rsidRPr="003647FB">
        <w:rPr>
          <w:szCs w:val="18"/>
        </w:rPr>
        <w:t xml:space="preserve">, </w:t>
      </w:r>
      <w:r w:rsidR="0037022E" w:rsidRPr="003647FB">
        <w:rPr>
          <w:szCs w:val="18"/>
        </w:rPr>
        <w:t>final report</w:t>
      </w:r>
      <w:r w:rsidRPr="003647FB">
        <w:rPr>
          <w:szCs w:val="18"/>
        </w:rPr>
        <w:t>, Australian Teaching and Learning Council (ALTC)</w:t>
      </w:r>
      <w:r w:rsidR="0037022E">
        <w:rPr>
          <w:szCs w:val="18"/>
        </w:rPr>
        <w:t>, Sydney</w:t>
      </w:r>
      <w:r w:rsidRPr="003647FB">
        <w:rPr>
          <w:szCs w:val="18"/>
        </w:rPr>
        <w:t>.</w:t>
      </w:r>
    </w:p>
    <w:p w:rsidR="00773B29" w:rsidRPr="003647FB" w:rsidRDefault="00773B29" w:rsidP="00FE4A0D">
      <w:pPr>
        <w:pStyle w:val="References"/>
        <w:rPr>
          <w:szCs w:val="18"/>
        </w:rPr>
      </w:pPr>
      <w:r w:rsidRPr="003647FB">
        <w:rPr>
          <w:szCs w:val="18"/>
        </w:rPr>
        <w:t xml:space="preserve">Cram, B </w:t>
      </w:r>
      <w:r w:rsidR="0037022E">
        <w:rPr>
          <w:szCs w:val="18"/>
        </w:rPr>
        <w:t>&amp;</w:t>
      </w:r>
      <w:r w:rsidRPr="003647FB">
        <w:rPr>
          <w:szCs w:val="18"/>
        </w:rPr>
        <w:t xml:space="preserve"> Watson, L 2008</w:t>
      </w:r>
      <w:r w:rsidR="00B8653B">
        <w:rPr>
          <w:szCs w:val="18"/>
        </w:rPr>
        <w:t>,</w:t>
      </w:r>
      <w:r w:rsidRPr="003647FB">
        <w:rPr>
          <w:szCs w:val="18"/>
        </w:rPr>
        <w:t xml:space="preserve"> ‘Managing </w:t>
      </w:r>
      <w:r w:rsidR="0037022E" w:rsidRPr="003647FB">
        <w:rPr>
          <w:szCs w:val="18"/>
        </w:rPr>
        <w:t xml:space="preserve">credit transfer </w:t>
      </w:r>
      <w:r w:rsidRPr="003647FB">
        <w:rPr>
          <w:szCs w:val="18"/>
        </w:rPr>
        <w:t xml:space="preserve">from TAFE to university: the case for </w:t>
      </w:r>
      <w:r w:rsidR="00FB658D">
        <w:rPr>
          <w:szCs w:val="18"/>
        </w:rPr>
        <w:t>cross-sectoral collaboration’, p</w:t>
      </w:r>
      <w:r w:rsidRPr="003647FB">
        <w:rPr>
          <w:szCs w:val="18"/>
        </w:rPr>
        <w:t>aper presented to the Eleventh</w:t>
      </w:r>
      <w:r w:rsidR="00FB658D">
        <w:rPr>
          <w:szCs w:val="18"/>
        </w:rPr>
        <w:t xml:space="preserve"> Australian Vocational Education and Training Research Association (</w:t>
      </w:r>
      <w:r w:rsidRPr="003647FB">
        <w:rPr>
          <w:szCs w:val="18"/>
        </w:rPr>
        <w:t>AVETRA</w:t>
      </w:r>
      <w:r w:rsidR="00FB658D">
        <w:rPr>
          <w:szCs w:val="18"/>
        </w:rPr>
        <w:t>) Conference,</w:t>
      </w:r>
      <w:r w:rsidRPr="003647FB">
        <w:rPr>
          <w:szCs w:val="18"/>
        </w:rPr>
        <w:t xml:space="preserve"> Adelaide. </w:t>
      </w:r>
    </w:p>
    <w:p w:rsidR="00773B29" w:rsidRPr="003647FB" w:rsidRDefault="00773B29" w:rsidP="00FE4A0D">
      <w:pPr>
        <w:pStyle w:val="References"/>
        <w:rPr>
          <w:szCs w:val="18"/>
        </w:rPr>
      </w:pPr>
      <w:r w:rsidRPr="003647FB">
        <w:rPr>
          <w:szCs w:val="18"/>
        </w:rPr>
        <w:t>Harris, R, Sumner, R</w:t>
      </w:r>
      <w:r w:rsidR="00BC783E">
        <w:rPr>
          <w:szCs w:val="18"/>
        </w:rPr>
        <w:t xml:space="preserve"> &amp;</w:t>
      </w:r>
      <w:r w:rsidRPr="003647FB">
        <w:rPr>
          <w:szCs w:val="18"/>
        </w:rPr>
        <w:t xml:space="preserve"> Rainey, L 2005,</w:t>
      </w:r>
      <w:r w:rsidR="00FB658D">
        <w:rPr>
          <w:szCs w:val="18"/>
        </w:rPr>
        <w:t xml:space="preserve"> </w:t>
      </w:r>
      <w:r w:rsidRPr="003647FB">
        <w:rPr>
          <w:i/>
          <w:szCs w:val="18"/>
        </w:rPr>
        <w:t xml:space="preserve">Student </w:t>
      </w:r>
      <w:r w:rsidR="00FB658D" w:rsidRPr="003647FB">
        <w:rPr>
          <w:i/>
          <w:szCs w:val="18"/>
        </w:rPr>
        <w:t>traffic: two-</w:t>
      </w:r>
      <w:r w:rsidRPr="003647FB">
        <w:rPr>
          <w:i/>
          <w:szCs w:val="18"/>
        </w:rPr>
        <w:t>way movement between vocational education and training and higher education</w:t>
      </w:r>
      <w:r w:rsidRPr="003647FB">
        <w:rPr>
          <w:szCs w:val="18"/>
        </w:rPr>
        <w:t>, NCVER, Adelaide.</w:t>
      </w:r>
    </w:p>
    <w:p w:rsidR="00773B29" w:rsidRPr="003647FB" w:rsidRDefault="00773B29" w:rsidP="00FE4A0D">
      <w:pPr>
        <w:pStyle w:val="References"/>
        <w:rPr>
          <w:i/>
          <w:szCs w:val="18"/>
        </w:rPr>
      </w:pPr>
      <w:proofErr w:type="gramStart"/>
      <w:r w:rsidRPr="003647FB">
        <w:rPr>
          <w:szCs w:val="18"/>
        </w:rPr>
        <w:t>Ministerial Council on Education, Employm</w:t>
      </w:r>
      <w:r w:rsidR="00BC783E">
        <w:rPr>
          <w:szCs w:val="18"/>
        </w:rPr>
        <w:t>ent, Training and Youth Affairs (MCEETYA)</w:t>
      </w:r>
      <w:r w:rsidRPr="003647FB">
        <w:rPr>
          <w:szCs w:val="18"/>
        </w:rPr>
        <w:t xml:space="preserve"> 2006, </w:t>
      </w:r>
      <w:r w:rsidRPr="003647FB">
        <w:rPr>
          <w:i/>
          <w:szCs w:val="18"/>
        </w:rPr>
        <w:t xml:space="preserve">Principles for good practice information provision on credit transfer and articulation from </w:t>
      </w:r>
      <w:r w:rsidR="002A3367" w:rsidRPr="003647FB">
        <w:rPr>
          <w:i/>
          <w:szCs w:val="18"/>
        </w:rPr>
        <w:t>vocational training an</w:t>
      </w:r>
      <w:r w:rsidR="002A3367">
        <w:rPr>
          <w:i/>
          <w:szCs w:val="18"/>
        </w:rPr>
        <w:t>d education to higher educa</w:t>
      </w:r>
      <w:r w:rsidR="00FB658D">
        <w:rPr>
          <w:i/>
          <w:szCs w:val="18"/>
        </w:rPr>
        <w:t>tion</w:t>
      </w:r>
      <w:r w:rsidR="00FB658D">
        <w:rPr>
          <w:szCs w:val="18"/>
        </w:rPr>
        <w:t>, MCEETYA, Canberra.</w:t>
      </w:r>
      <w:proofErr w:type="gramEnd"/>
      <w:r w:rsidRPr="003647FB">
        <w:rPr>
          <w:i/>
          <w:szCs w:val="18"/>
        </w:rPr>
        <w:t xml:space="preserve"> </w:t>
      </w:r>
    </w:p>
    <w:p w:rsidR="00773B29" w:rsidRPr="003647FB" w:rsidRDefault="00FB658D" w:rsidP="00A50895">
      <w:pPr>
        <w:pStyle w:val="References"/>
        <w:rPr>
          <w:szCs w:val="18"/>
        </w:rPr>
      </w:pPr>
      <w:proofErr w:type="spellStart"/>
      <w:r>
        <w:rPr>
          <w:szCs w:val="18"/>
        </w:rPr>
        <w:t>PhillipsKPA</w:t>
      </w:r>
      <w:proofErr w:type="spellEnd"/>
      <w:r w:rsidR="00773B29" w:rsidRPr="003647FB">
        <w:rPr>
          <w:szCs w:val="18"/>
        </w:rPr>
        <w:t xml:space="preserve"> 2006a, </w:t>
      </w:r>
      <w:r w:rsidR="00773B29" w:rsidRPr="003647FB">
        <w:rPr>
          <w:i/>
          <w:szCs w:val="18"/>
        </w:rPr>
        <w:t>Gi</w:t>
      </w:r>
      <w:r>
        <w:rPr>
          <w:i/>
          <w:szCs w:val="18"/>
        </w:rPr>
        <w:t>ving credit where credit is due:</w:t>
      </w:r>
      <w:r w:rsidRPr="003647FB">
        <w:rPr>
          <w:i/>
          <w:szCs w:val="18"/>
        </w:rPr>
        <w:t xml:space="preserve"> a national study to improve outcomes in credit transfer and articulation from vocational and technical education to higher education</w:t>
      </w:r>
      <w:r w:rsidR="00773B29" w:rsidRPr="003647FB">
        <w:rPr>
          <w:szCs w:val="18"/>
        </w:rPr>
        <w:t xml:space="preserve">, </w:t>
      </w:r>
      <w:r w:rsidR="002A3367" w:rsidRPr="003647FB">
        <w:rPr>
          <w:szCs w:val="18"/>
        </w:rPr>
        <w:t>final report</w:t>
      </w:r>
      <w:r w:rsidR="00773B29" w:rsidRPr="003647FB">
        <w:rPr>
          <w:szCs w:val="18"/>
        </w:rPr>
        <w:t>, Department of Ed</w:t>
      </w:r>
      <w:r>
        <w:rPr>
          <w:szCs w:val="18"/>
        </w:rPr>
        <w:t>ucation, Science and Training, Canberra</w:t>
      </w:r>
      <w:r w:rsidR="00773B29" w:rsidRPr="003647FB">
        <w:rPr>
          <w:szCs w:val="18"/>
        </w:rPr>
        <w:t>.</w:t>
      </w:r>
    </w:p>
    <w:p w:rsidR="00773B29" w:rsidRPr="003647FB" w:rsidRDefault="00FB658D" w:rsidP="00A50895">
      <w:pPr>
        <w:pStyle w:val="References"/>
        <w:rPr>
          <w:szCs w:val="18"/>
        </w:rPr>
      </w:pPr>
      <w:r>
        <w:rPr>
          <w:szCs w:val="18"/>
        </w:rPr>
        <w:t>——</w:t>
      </w:r>
      <w:r w:rsidR="00773B29" w:rsidRPr="003647FB">
        <w:rPr>
          <w:szCs w:val="18"/>
        </w:rPr>
        <w:t xml:space="preserve">2006b, </w:t>
      </w:r>
      <w:r w:rsidR="00773B29" w:rsidRPr="003647FB">
        <w:rPr>
          <w:i/>
          <w:szCs w:val="18"/>
        </w:rPr>
        <w:t xml:space="preserve">National </w:t>
      </w:r>
      <w:r w:rsidRPr="003647FB">
        <w:rPr>
          <w:i/>
          <w:szCs w:val="18"/>
        </w:rPr>
        <w:t>study to improve outcomes in credit transfer and articulation from vocational and technical education to higher education</w:t>
      </w:r>
      <w:r w:rsidR="00773B29" w:rsidRPr="003647FB">
        <w:rPr>
          <w:szCs w:val="18"/>
        </w:rPr>
        <w:t xml:space="preserve">, Stage 1 </w:t>
      </w:r>
      <w:r w:rsidR="002A3367" w:rsidRPr="003647FB">
        <w:rPr>
          <w:szCs w:val="18"/>
        </w:rPr>
        <w:t>r</w:t>
      </w:r>
      <w:r w:rsidR="00773B29" w:rsidRPr="003647FB">
        <w:rPr>
          <w:szCs w:val="18"/>
        </w:rPr>
        <w:t>eport, Department of Education</w:t>
      </w:r>
      <w:r>
        <w:rPr>
          <w:szCs w:val="18"/>
        </w:rPr>
        <w:t>, Science and Training, Canberra</w:t>
      </w:r>
      <w:r w:rsidR="00773B29" w:rsidRPr="003647FB">
        <w:rPr>
          <w:szCs w:val="18"/>
        </w:rPr>
        <w:t>.</w:t>
      </w:r>
    </w:p>
    <w:p w:rsidR="00773B29" w:rsidRPr="003647FB" w:rsidRDefault="00773B29" w:rsidP="00FE4A0D">
      <w:pPr>
        <w:pStyle w:val="References"/>
        <w:rPr>
          <w:szCs w:val="18"/>
        </w:rPr>
      </w:pPr>
      <w:r w:rsidRPr="003647FB">
        <w:rPr>
          <w:szCs w:val="18"/>
        </w:rPr>
        <w:t xml:space="preserve">Walls, S </w:t>
      </w:r>
      <w:r w:rsidR="00FB658D">
        <w:rPr>
          <w:szCs w:val="18"/>
        </w:rPr>
        <w:t>&amp;</w:t>
      </w:r>
      <w:r w:rsidRPr="003647FB">
        <w:rPr>
          <w:szCs w:val="18"/>
        </w:rPr>
        <w:t xml:space="preserve"> </w:t>
      </w:r>
      <w:proofErr w:type="spellStart"/>
      <w:r w:rsidRPr="003647FB">
        <w:rPr>
          <w:szCs w:val="18"/>
        </w:rPr>
        <w:t>Pardy</w:t>
      </w:r>
      <w:proofErr w:type="spellEnd"/>
      <w:r w:rsidRPr="003647FB">
        <w:rPr>
          <w:szCs w:val="18"/>
        </w:rPr>
        <w:t xml:space="preserve">, J 2010, </w:t>
      </w:r>
      <w:proofErr w:type="gramStart"/>
      <w:r w:rsidRPr="003647FB">
        <w:rPr>
          <w:i/>
          <w:szCs w:val="18"/>
        </w:rPr>
        <w:t>Crediting</w:t>
      </w:r>
      <w:proofErr w:type="gramEnd"/>
      <w:r w:rsidRPr="003647FB">
        <w:rPr>
          <w:i/>
          <w:szCs w:val="18"/>
        </w:rPr>
        <w:t xml:space="preserve"> vocational education and training for learner mobility</w:t>
      </w:r>
      <w:r w:rsidR="00FB658D">
        <w:rPr>
          <w:szCs w:val="18"/>
        </w:rPr>
        <w:t>,</w:t>
      </w:r>
      <w:r w:rsidRPr="003647FB">
        <w:rPr>
          <w:szCs w:val="18"/>
        </w:rPr>
        <w:t xml:space="preserve"> NCVER</w:t>
      </w:r>
      <w:r w:rsidR="00FB658D">
        <w:rPr>
          <w:szCs w:val="18"/>
        </w:rPr>
        <w:t>, Adelaide</w:t>
      </w:r>
      <w:r w:rsidRPr="003647FB">
        <w:rPr>
          <w:szCs w:val="18"/>
        </w:rPr>
        <w:t>.</w:t>
      </w:r>
    </w:p>
    <w:p w:rsidR="00773B29" w:rsidRPr="003647FB" w:rsidRDefault="00773B29" w:rsidP="00FE4A0D">
      <w:pPr>
        <w:pStyle w:val="References"/>
        <w:rPr>
          <w:szCs w:val="18"/>
        </w:rPr>
      </w:pPr>
      <w:proofErr w:type="gramStart"/>
      <w:r w:rsidRPr="003647FB">
        <w:rPr>
          <w:szCs w:val="18"/>
        </w:rPr>
        <w:t>Watson</w:t>
      </w:r>
      <w:r w:rsidR="002A3367">
        <w:rPr>
          <w:szCs w:val="18"/>
        </w:rPr>
        <w:t>,</w:t>
      </w:r>
      <w:r w:rsidRPr="003647FB">
        <w:rPr>
          <w:szCs w:val="18"/>
        </w:rPr>
        <w:t xml:space="preserve"> L 2006, </w:t>
      </w:r>
      <w:r w:rsidR="00FB658D">
        <w:rPr>
          <w:szCs w:val="18"/>
        </w:rPr>
        <w:t>‘</w:t>
      </w:r>
      <w:r w:rsidRPr="00FB658D">
        <w:rPr>
          <w:szCs w:val="18"/>
        </w:rPr>
        <w:t>Barriers to successful transitions from V</w:t>
      </w:r>
      <w:r w:rsidR="00FB658D" w:rsidRPr="00FB658D">
        <w:rPr>
          <w:szCs w:val="18"/>
        </w:rPr>
        <w:t>ET to HE —</w:t>
      </w:r>
      <w:r w:rsidRPr="00FB658D">
        <w:rPr>
          <w:szCs w:val="18"/>
        </w:rPr>
        <w:t xml:space="preserve"> a case study of student pathways in early childhood education and care</w:t>
      </w:r>
      <w:r w:rsidR="00FB658D" w:rsidRPr="002A3367">
        <w:rPr>
          <w:szCs w:val="18"/>
        </w:rPr>
        <w:t>’, p</w:t>
      </w:r>
      <w:r w:rsidRPr="003647FB">
        <w:rPr>
          <w:szCs w:val="18"/>
        </w:rPr>
        <w:t xml:space="preserve">aper presented to Ninth </w:t>
      </w:r>
      <w:r w:rsidR="00FB658D">
        <w:rPr>
          <w:szCs w:val="18"/>
        </w:rPr>
        <w:t>Australian Vocational Education and Training Research Association (</w:t>
      </w:r>
      <w:r w:rsidRPr="003647FB">
        <w:rPr>
          <w:szCs w:val="18"/>
        </w:rPr>
        <w:t>AVETRA</w:t>
      </w:r>
      <w:r w:rsidR="00FB658D">
        <w:rPr>
          <w:szCs w:val="18"/>
        </w:rPr>
        <w:t>) Conference,</w:t>
      </w:r>
      <w:r w:rsidRPr="003647FB">
        <w:rPr>
          <w:szCs w:val="18"/>
        </w:rPr>
        <w:t xml:space="preserve"> Wollongong</w:t>
      </w:r>
      <w:r w:rsidR="00FB658D">
        <w:rPr>
          <w:szCs w:val="18"/>
        </w:rPr>
        <w:t>.</w:t>
      </w:r>
      <w:proofErr w:type="gramEnd"/>
      <w:r w:rsidR="00837079">
        <w:rPr>
          <w:szCs w:val="18"/>
        </w:rPr>
        <w:t xml:space="preserve"> </w:t>
      </w:r>
    </w:p>
    <w:p w:rsidR="00FB658D" w:rsidRPr="003647FB" w:rsidRDefault="002A3367" w:rsidP="00FB658D">
      <w:pPr>
        <w:pStyle w:val="References"/>
        <w:rPr>
          <w:szCs w:val="18"/>
        </w:rPr>
      </w:pPr>
      <w:r>
        <w:rPr>
          <w:szCs w:val="18"/>
        </w:rPr>
        <w:t>——</w:t>
      </w:r>
      <w:r w:rsidR="00FB658D" w:rsidRPr="003647FB">
        <w:rPr>
          <w:szCs w:val="18"/>
        </w:rPr>
        <w:t xml:space="preserve">2008, ‘Improving the experience of TAFE </w:t>
      </w:r>
      <w:r w:rsidR="00FB658D">
        <w:rPr>
          <w:szCs w:val="18"/>
        </w:rPr>
        <w:t>award holders</w:t>
      </w:r>
      <w:r w:rsidR="00FB658D" w:rsidRPr="003647FB">
        <w:rPr>
          <w:szCs w:val="18"/>
        </w:rPr>
        <w:t xml:space="preserve"> in higher education</w:t>
      </w:r>
      <w:r w:rsidR="00FB658D">
        <w:rPr>
          <w:szCs w:val="18"/>
        </w:rPr>
        <w:t>’,</w:t>
      </w:r>
      <w:r w:rsidR="00FB658D" w:rsidRPr="003647FB">
        <w:rPr>
          <w:szCs w:val="18"/>
        </w:rPr>
        <w:t xml:space="preserve"> in </w:t>
      </w:r>
      <w:r w:rsidR="00FB658D" w:rsidRPr="00773B29">
        <w:rPr>
          <w:i/>
          <w:szCs w:val="18"/>
        </w:rPr>
        <w:t>International J</w:t>
      </w:r>
      <w:r w:rsidR="00FB658D" w:rsidRPr="003647FB">
        <w:rPr>
          <w:i/>
          <w:szCs w:val="18"/>
        </w:rPr>
        <w:t>ournal of Training Research</w:t>
      </w:r>
      <w:r w:rsidR="00FB658D">
        <w:rPr>
          <w:szCs w:val="18"/>
        </w:rPr>
        <w:t>, vol.6, no.2, pp.40—</w:t>
      </w:r>
      <w:r w:rsidR="00FB658D" w:rsidRPr="003647FB">
        <w:rPr>
          <w:szCs w:val="18"/>
        </w:rPr>
        <w:t>53.</w:t>
      </w:r>
    </w:p>
    <w:p w:rsidR="00C7041A" w:rsidRDefault="00773B29" w:rsidP="00CE52CA">
      <w:pPr>
        <w:pStyle w:val="References"/>
        <w:rPr>
          <w:szCs w:val="18"/>
        </w:rPr>
      </w:pPr>
      <w:proofErr w:type="spellStart"/>
      <w:r w:rsidRPr="003647FB">
        <w:rPr>
          <w:szCs w:val="18"/>
        </w:rPr>
        <w:t>Wheelahan</w:t>
      </w:r>
      <w:proofErr w:type="spellEnd"/>
      <w:r w:rsidRPr="003647FB">
        <w:rPr>
          <w:szCs w:val="18"/>
        </w:rPr>
        <w:t xml:space="preserve">, L 2000, </w:t>
      </w:r>
      <w:proofErr w:type="gramStart"/>
      <w:r w:rsidR="00FB658D">
        <w:rPr>
          <w:i/>
          <w:szCs w:val="18"/>
        </w:rPr>
        <w:t>Bridging</w:t>
      </w:r>
      <w:proofErr w:type="gramEnd"/>
      <w:r w:rsidR="00FB658D">
        <w:rPr>
          <w:i/>
          <w:szCs w:val="18"/>
        </w:rPr>
        <w:t xml:space="preserve"> the d</w:t>
      </w:r>
      <w:r w:rsidRPr="003647FB">
        <w:rPr>
          <w:i/>
          <w:szCs w:val="18"/>
        </w:rPr>
        <w:t>ivide: developing the institutional structures that most effectively deliver cross-sectoral education and training,</w:t>
      </w:r>
      <w:r w:rsidRPr="003647FB">
        <w:rPr>
          <w:szCs w:val="18"/>
        </w:rPr>
        <w:t xml:space="preserve"> </w:t>
      </w:r>
      <w:r w:rsidR="00CE52CA">
        <w:rPr>
          <w:szCs w:val="18"/>
        </w:rPr>
        <w:t xml:space="preserve">NCVER, </w:t>
      </w:r>
      <w:r w:rsidRPr="003647FB">
        <w:rPr>
          <w:szCs w:val="18"/>
        </w:rPr>
        <w:t>Adelaide</w:t>
      </w:r>
      <w:r w:rsidR="00CE52CA">
        <w:rPr>
          <w:szCs w:val="18"/>
        </w:rPr>
        <w:t>.</w:t>
      </w:r>
      <w:r w:rsidR="00CE52CA" w:rsidRPr="003647FB">
        <w:rPr>
          <w:szCs w:val="18"/>
        </w:rPr>
        <w:t xml:space="preserve"> </w:t>
      </w:r>
    </w:p>
    <w:p w:rsidR="00C7041A" w:rsidRDefault="00C7041A">
      <w:pPr>
        <w:spacing w:before="0" w:line="240" w:lineRule="auto"/>
        <w:rPr>
          <w:sz w:val="18"/>
          <w:szCs w:val="18"/>
        </w:rPr>
      </w:pPr>
      <w:r>
        <w:rPr>
          <w:szCs w:val="18"/>
        </w:rPr>
        <w:br w:type="page"/>
      </w:r>
    </w:p>
    <w:p w:rsidR="0039232C" w:rsidRPr="0039232C" w:rsidRDefault="0039232C" w:rsidP="0039232C">
      <w:pPr>
        <w:pStyle w:val="Heading1"/>
      </w:pPr>
      <w:bookmarkStart w:id="67" w:name="_Toc188077644"/>
      <w:bookmarkStart w:id="68" w:name="_Toc316371589"/>
      <w:bookmarkStart w:id="69" w:name="_Toc367450629"/>
      <w:bookmarkStart w:id="70" w:name="_Toc316371590"/>
      <w:r w:rsidRPr="0039232C">
        <w:lastRenderedPageBreak/>
        <w:t>Support document details</w:t>
      </w:r>
      <w:bookmarkEnd w:id="67"/>
      <w:bookmarkEnd w:id="68"/>
      <w:bookmarkEnd w:id="69"/>
    </w:p>
    <w:p w:rsidR="0039232C" w:rsidRDefault="0039232C" w:rsidP="0039232C">
      <w:pPr>
        <w:pStyle w:val="Text"/>
      </w:pPr>
      <w:r w:rsidRPr="0039232C">
        <w:t xml:space="preserve">Additional information relating to this research is available in </w:t>
      </w:r>
      <w:proofErr w:type="gramStart"/>
      <w:r>
        <w:rPr>
          <w:i/>
        </w:rPr>
        <w:t>A</w:t>
      </w:r>
      <w:proofErr w:type="gramEnd"/>
      <w:r>
        <w:rPr>
          <w:i/>
        </w:rPr>
        <w:t xml:space="preserve"> half-open door</w:t>
      </w:r>
      <w:r w:rsidRPr="0039232C">
        <w:rPr>
          <w:i/>
        </w:rPr>
        <w:t>: support document</w:t>
      </w:r>
      <w:r w:rsidRPr="0039232C">
        <w:t xml:space="preserve">. It can be accessed from NCVER’s website </w:t>
      </w:r>
      <w:r>
        <w:t>&lt;</w:t>
      </w:r>
      <w:hyperlink r:id="rId17" w:history="1">
        <w:r w:rsidRPr="004E1816">
          <w:rPr>
            <w:rStyle w:val="Hyperlink"/>
          </w:rPr>
          <w:t>http://www.ncver.edu.au/publications/2659.html</w:t>
        </w:r>
      </w:hyperlink>
      <w:r>
        <w:t>&gt;</w:t>
      </w:r>
      <w:r w:rsidR="00C2583B">
        <w:t xml:space="preserve"> and</w:t>
      </w:r>
      <w:r>
        <w:t xml:space="preserve"> contains the following:</w:t>
      </w:r>
    </w:p>
    <w:p w:rsidR="0039232C" w:rsidRPr="0039232C" w:rsidRDefault="0039232C" w:rsidP="0039232C">
      <w:pPr>
        <w:pStyle w:val="Dotpoint1"/>
      </w:pPr>
      <w:r w:rsidRPr="0039232C">
        <w:t>Introduction</w:t>
      </w:r>
    </w:p>
    <w:p w:rsidR="0039232C" w:rsidRPr="0039232C" w:rsidRDefault="0039232C" w:rsidP="00D25E68">
      <w:pPr>
        <w:pStyle w:val="Dotpoint1"/>
        <w:spacing w:before="60"/>
      </w:pPr>
      <w:r w:rsidRPr="0039232C">
        <w:t xml:space="preserve">Data </w:t>
      </w:r>
      <w:r w:rsidR="00C2583B">
        <w:t>s</w:t>
      </w:r>
      <w:r w:rsidRPr="0039232C">
        <w:t xml:space="preserve">ources and </w:t>
      </w:r>
      <w:r w:rsidR="00C2583B">
        <w:t>l</w:t>
      </w:r>
      <w:r w:rsidRPr="0039232C">
        <w:t>imitations</w:t>
      </w:r>
    </w:p>
    <w:p w:rsidR="0039232C" w:rsidRPr="0039232C" w:rsidRDefault="0039232C" w:rsidP="00D25E68">
      <w:pPr>
        <w:pStyle w:val="Dotpoint1"/>
        <w:spacing w:before="60"/>
      </w:pPr>
      <w:r w:rsidRPr="0039232C">
        <w:t>VET award-holders in Australian universities</w:t>
      </w:r>
    </w:p>
    <w:p w:rsidR="0039232C" w:rsidRPr="0039232C" w:rsidRDefault="0039232C" w:rsidP="00D25E68">
      <w:pPr>
        <w:pStyle w:val="Dotpoint1"/>
        <w:spacing w:before="60"/>
      </w:pPr>
      <w:r w:rsidRPr="0039232C">
        <w:t>Differences between states and territories</w:t>
      </w:r>
    </w:p>
    <w:p w:rsidR="0039232C" w:rsidRPr="0039232C" w:rsidRDefault="0039232C" w:rsidP="00D25E68">
      <w:pPr>
        <w:pStyle w:val="Dotpoint1"/>
        <w:spacing w:before="60"/>
      </w:pPr>
      <w:r w:rsidRPr="0039232C">
        <w:t>Distribution of VET award</w:t>
      </w:r>
      <w:r w:rsidR="00D25E68">
        <w:t xml:space="preserve"> </w:t>
      </w:r>
      <w:r w:rsidRPr="0039232C">
        <w:t>holders between universities</w:t>
      </w:r>
    </w:p>
    <w:p w:rsidR="0039232C" w:rsidRPr="0039232C" w:rsidRDefault="00D25E68" w:rsidP="00D25E68">
      <w:pPr>
        <w:pStyle w:val="Dotpoint1"/>
        <w:spacing w:before="60"/>
      </w:pPr>
      <w:r>
        <w:t xml:space="preserve">Rate of admission of VET award </w:t>
      </w:r>
      <w:r w:rsidR="0039232C" w:rsidRPr="0039232C">
        <w:t>holders by university</w:t>
      </w:r>
    </w:p>
    <w:p w:rsidR="0039232C" w:rsidRPr="0039232C" w:rsidRDefault="0039232C" w:rsidP="00D25E68">
      <w:pPr>
        <w:pStyle w:val="Dotpoint1"/>
        <w:spacing w:before="60"/>
      </w:pPr>
      <w:r w:rsidRPr="0039232C">
        <w:t xml:space="preserve">Student </w:t>
      </w:r>
      <w:r w:rsidR="00D25E68">
        <w:t>c</w:t>
      </w:r>
      <w:r w:rsidRPr="0039232C">
        <w:t>haracteristics</w:t>
      </w:r>
    </w:p>
    <w:p w:rsidR="0039232C" w:rsidRPr="0039232C" w:rsidRDefault="0039232C" w:rsidP="00D25E68">
      <w:pPr>
        <w:pStyle w:val="Dotpoint1"/>
        <w:spacing w:before="60"/>
      </w:pPr>
      <w:r w:rsidRPr="0039232C">
        <w:t>Qualifications pathways from vocational to higher education</w:t>
      </w:r>
    </w:p>
    <w:p w:rsidR="0039232C" w:rsidRPr="0039232C" w:rsidRDefault="00D25E68" w:rsidP="00D25E68">
      <w:pPr>
        <w:pStyle w:val="Dotpoint1"/>
        <w:spacing w:before="60"/>
      </w:pPr>
      <w:r>
        <w:t xml:space="preserve">Admission of VET award </w:t>
      </w:r>
      <w:r w:rsidR="0039232C" w:rsidRPr="0039232C">
        <w:t>holders by field of education</w:t>
      </w:r>
    </w:p>
    <w:p w:rsidR="0039232C" w:rsidRPr="0039232C" w:rsidRDefault="0039232C" w:rsidP="00D25E68">
      <w:pPr>
        <w:pStyle w:val="Dotpoint1"/>
        <w:spacing w:before="60"/>
      </w:pPr>
      <w:r w:rsidRPr="0039232C">
        <w:t>VE</w:t>
      </w:r>
      <w:r w:rsidR="00D25E68">
        <w:t>T—</w:t>
      </w:r>
      <w:r w:rsidRPr="0039232C">
        <w:t>HE pathways by university</w:t>
      </w:r>
    </w:p>
    <w:p w:rsidR="0039232C" w:rsidRPr="0039232C" w:rsidRDefault="0039232C" w:rsidP="00D25E68">
      <w:pPr>
        <w:pStyle w:val="Dotpoint1"/>
        <w:spacing w:before="60"/>
      </w:pPr>
      <w:r w:rsidRPr="0039232C">
        <w:t xml:space="preserve">Clusters of broad fields of education (FOEs) </w:t>
      </w:r>
    </w:p>
    <w:p w:rsidR="0039232C" w:rsidRPr="0039232C" w:rsidRDefault="0039232C" w:rsidP="00D25E68">
      <w:pPr>
        <w:pStyle w:val="Dotpoint1"/>
        <w:spacing w:before="60"/>
      </w:pPr>
      <w:r w:rsidRPr="0039232C">
        <w:t>Clusters of FOEs</w:t>
      </w:r>
    </w:p>
    <w:p w:rsidR="0039232C" w:rsidRDefault="0039232C" w:rsidP="00D25E68">
      <w:pPr>
        <w:pStyle w:val="Dotpoint1"/>
        <w:spacing w:before="60"/>
      </w:pPr>
      <w:r>
        <w:t>Discussion</w:t>
      </w:r>
    </w:p>
    <w:p w:rsidR="0039232C" w:rsidRPr="0039232C" w:rsidRDefault="0039232C" w:rsidP="00D25E68">
      <w:pPr>
        <w:pStyle w:val="Dotpoint1"/>
        <w:spacing w:before="60"/>
      </w:pPr>
      <w:r w:rsidRPr="0039232C">
        <w:t>Secondary school admissions</w:t>
      </w:r>
    </w:p>
    <w:p w:rsidR="0039232C" w:rsidRPr="0039232C" w:rsidRDefault="00D25E68" w:rsidP="00D25E68">
      <w:pPr>
        <w:pStyle w:val="Dotpoint1"/>
        <w:spacing w:before="60"/>
      </w:pPr>
      <w:r>
        <w:t>VET—</w:t>
      </w:r>
      <w:r w:rsidR="0039232C" w:rsidRPr="0039232C">
        <w:t>HE pathways by field of education</w:t>
      </w:r>
    </w:p>
    <w:p w:rsidR="0039232C" w:rsidRPr="0039232C" w:rsidRDefault="0039232C" w:rsidP="00D25E68">
      <w:pPr>
        <w:pStyle w:val="Dotpoint1"/>
        <w:spacing w:before="60"/>
      </w:pPr>
      <w:r w:rsidRPr="0039232C">
        <w:t>Institutional policies an</w:t>
      </w:r>
      <w:r w:rsidR="00D25E68">
        <w:t>d practices for VET—</w:t>
      </w:r>
      <w:r>
        <w:t>HE pathways</w:t>
      </w:r>
    </w:p>
    <w:p w:rsidR="0039232C" w:rsidRPr="0039232C" w:rsidRDefault="0039232C" w:rsidP="00D25E68">
      <w:pPr>
        <w:pStyle w:val="Dotpoint1"/>
        <w:spacing w:before="60"/>
      </w:pPr>
      <w:r>
        <w:t>Method</w:t>
      </w:r>
    </w:p>
    <w:p w:rsidR="0039232C" w:rsidRPr="0039232C" w:rsidRDefault="0039232C" w:rsidP="00D25E68">
      <w:pPr>
        <w:pStyle w:val="Dotpoint1"/>
        <w:spacing w:before="60"/>
      </w:pPr>
      <w:r>
        <w:t>Pathway policies and targets</w:t>
      </w:r>
    </w:p>
    <w:p w:rsidR="0039232C" w:rsidRPr="0039232C" w:rsidRDefault="0039232C" w:rsidP="00D25E68">
      <w:pPr>
        <w:pStyle w:val="Dotpoint1"/>
        <w:spacing w:before="60"/>
      </w:pPr>
      <w:r w:rsidRPr="0039232C">
        <w:t>Institutional pract</w:t>
      </w:r>
      <w:r w:rsidR="00D25E68">
        <w:t>ices to support VET—</w:t>
      </w:r>
      <w:r>
        <w:t>HE pathways</w:t>
      </w:r>
    </w:p>
    <w:p w:rsidR="0039232C" w:rsidRPr="0039232C" w:rsidRDefault="0039232C" w:rsidP="00D25E68">
      <w:pPr>
        <w:pStyle w:val="Dotpoint1"/>
        <w:spacing w:before="60"/>
      </w:pPr>
      <w:r w:rsidRPr="0039232C">
        <w:t>S</w:t>
      </w:r>
      <w:r>
        <w:t>upport for VET pathway students</w:t>
      </w:r>
    </w:p>
    <w:p w:rsidR="0039232C" w:rsidRPr="0039232C" w:rsidRDefault="0039232C" w:rsidP="00D25E68">
      <w:pPr>
        <w:pStyle w:val="Dotpoint1"/>
        <w:spacing w:before="60"/>
      </w:pPr>
      <w:r w:rsidRPr="0039232C">
        <w:t>Monitoring stud</w:t>
      </w:r>
      <w:r>
        <w:t>ent progression and achievement</w:t>
      </w:r>
    </w:p>
    <w:p w:rsidR="0039232C" w:rsidRPr="0039232C" w:rsidRDefault="0039232C" w:rsidP="00D25E68">
      <w:pPr>
        <w:pStyle w:val="Dotpoint1"/>
        <w:spacing w:before="60"/>
      </w:pPr>
      <w:r>
        <w:t>References</w:t>
      </w:r>
    </w:p>
    <w:p w:rsidR="0039232C" w:rsidRPr="0039232C" w:rsidRDefault="0039232C" w:rsidP="0039232C">
      <w:pPr>
        <w:pStyle w:val="Text"/>
      </w:pPr>
      <w:r>
        <w:br w:type="page"/>
      </w:r>
    </w:p>
    <w:p w:rsidR="00C7041A" w:rsidRDefault="00C7041A" w:rsidP="00C7041A">
      <w:pPr>
        <w:pStyle w:val="Heading1"/>
      </w:pPr>
      <w:bookmarkStart w:id="71" w:name="_Toc367450630"/>
      <w:r>
        <w:lastRenderedPageBreak/>
        <w:t>NVETR Program funding</w:t>
      </w:r>
      <w:bookmarkEnd w:id="70"/>
      <w:bookmarkEnd w:id="71"/>
      <w:r>
        <w:t xml:space="preserve"> </w:t>
      </w:r>
    </w:p>
    <w:p w:rsidR="00C7041A" w:rsidRPr="00157690" w:rsidRDefault="00C7041A" w:rsidP="00C7041A">
      <w:pPr>
        <w:pStyle w:val="Text"/>
      </w:pPr>
      <w:r w:rsidRPr="00157690">
        <w:t>This work has been produced by NCVER under the National Vocational Education and Training Research (NVETR) Program, which is coordinated and managed by NCVER on behalf of the Australian Government and state and territory governments. Funding is provided through the Department of Industry</w:t>
      </w:r>
      <w:r w:rsidR="00A90D72">
        <w:t>.</w:t>
      </w:r>
      <w:r w:rsidRPr="00157690">
        <w:t xml:space="preserve"> </w:t>
      </w:r>
    </w:p>
    <w:p w:rsidR="00C7041A" w:rsidRPr="00157690" w:rsidRDefault="00C7041A" w:rsidP="00C7041A">
      <w:pPr>
        <w:pStyle w:val="Text"/>
      </w:pPr>
      <w:r w:rsidRPr="00157690">
        <w:t xml:space="preserve">The NVETR Program is based on national research priorities approved by ministers with responsibility for vocational education and training. </w:t>
      </w:r>
    </w:p>
    <w:p w:rsidR="00C7041A" w:rsidRPr="00157690" w:rsidRDefault="00C7041A" w:rsidP="00C7041A">
      <w:pPr>
        <w:pStyle w:val="Text"/>
      </w:pPr>
      <w:r>
        <w:t>Authors/project teams are</w:t>
      </w:r>
      <w:r w:rsidRPr="00157690">
        <w:t xml:space="preserve"> funded to undertake this research via a grant under the NVETR Program. The research grants are awarded to organisations through a competitive process, in which NCVER does not participate. To ensure the quality and relevance of the research</w:t>
      </w:r>
      <w:r>
        <w:t>,</w:t>
      </w:r>
      <w:r w:rsidRPr="00157690">
        <w:t xml:space="preserve"> projects are selected using an independent and transparent process and researc</w:t>
      </w:r>
      <w:r>
        <w:t>h reports are peer-</w:t>
      </w:r>
      <w:r w:rsidRPr="00157690">
        <w:t>reviewed.</w:t>
      </w:r>
    </w:p>
    <w:p w:rsidR="00C7041A" w:rsidRPr="00157690" w:rsidRDefault="00C7041A" w:rsidP="00C7041A">
      <w:pPr>
        <w:pStyle w:val="Text"/>
      </w:pPr>
      <w:r w:rsidRPr="00157690">
        <w:t xml:space="preserve">The NVETR </w:t>
      </w:r>
      <w:r>
        <w:t>P</w:t>
      </w:r>
      <w:r w:rsidRPr="00157690">
        <w:t xml:space="preserve">rogram aims to improve policy and practice in the VET sector. The research effort itself is collaborative </w:t>
      </w:r>
      <w:r>
        <w:t>and</w:t>
      </w:r>
      <w:r w:rsidRPr="00157690">
        <w:t xml:space="preserve"> requires strong relationships with the research community in Australia’s universities and beyond. NCVER may also involve various stakeholders</w:t>
      </w:r>
      <w:r>
        <w:t>,</w:t>
      </w:r>
      <w:r w:rsidRPr="00157690">
        <w:t xml:space="preserve"> including state and territory governments, industry and practitioners</w:t>
      </w:r>
      <w:r>
        <w:t>,</w:t>
      </w:r>
      <w:r w:rsidRPr="00157690">
        <w:t xml:space="preserve"> to inform the commissioned </w:t>
      </w:r>
      <w:proofErr w:type="gramStart"/>
      <w:r w:rsidRPr="00157690">
        <w:t>research,</w:t>
      </w:r>
      <w:proofErr w:type="gramEnd"/>
      <w:r w:rsidRPr="00157690">
        <w:t xml:space="preserve"> </w:t>
      </w:r>
      <w:r>
        <w:t xml:space="preserve">and </w:t>
      </w:r>
      <w:r w:rsidRPr="00157690">
        <w:t xml:space="preserve">using a variety of mechanisms such as project roundtables and forums. </w:t>
      </w:r>
    </w:p>
    <w:p w:rsidR="00C7041A" w:rsidRDefault="00C7041A" w:rsidP="00C7041A">
      <w:pPr>
        <w:pStyle w:val="Text"/>
      </w:pPr>
      <w:proofErr w:type="gramStart"/>
      <w:r w:rsidRPr="00157690">
        <w:t>For further information about the program go to the NCVER website &lt;www.ncver.edu.au&gt;.</w:t>
      </w:r>
      <w:proofErr w:type="gramEnd"/>
    </w:p>
    <w:p w:rsidR="00CE52CA" w:rsidRPr="003647FB" w:rsidRDefault="00CE52CA" w:rsidP="00CE52CA">
      <w:pPr>
        <w:pStyle w:val="References"/>
        <w:rPr>
          <w:szCs w:val="18"/>
        </w:rPr>
      </w:pPr>
    </w:p>
    <w:sectPr w:rsidR="00CE52CA" w:rsidRPr="003647FB" w:rsidSect="00452450">
      <w:footerReference w:type="even" r:id="rId18"/>
      <w:footerReference w:type="default" r:id="rId19"/>
      <w:pgSz w:w="11907" w:h="16840" w:code="9"/>
      <w:pgMar w:top="1276" w:right="1701" w:bottom="1276" w:left="1418"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DEC" w:rsidRDefault="00F93DEC">
      <w:r>
        <w:separator/>
      </w:r>
    </w:p>
  </w:endnote>
  <w:endnote w:type="continuationSeparator" w:id="0">
    <w:p w:rsidR="00F93DEC" w:rsidRDefault="00F9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EC" w:rsidRPr="008C0A74" w:rsidRDefault="007E3EF2" w:rsidP="00FF5931">
    <w:pPr>
      <w:pStyle w:val="Footer"/>
      <w:tabs>
        <w:tab w:val="clear" w:pos="8505"/>
        <w:tab w:val="right" w:pos="8789"/>
      </w:tabs>
      <w:rPr>
        <w:b/>
      </w:rPr>
    </w:pPr>
    <w:r>
      <w:rPr>
        <w:b/>
        <w:noProof/>
        <w:color w:val="FFFFFF" w:themeColor="background1"/>
        <w:lang w:eastAsia="en-AU"/>
      </w:rPr>
      <w:pict>
        <v:rect id="_x0000_s2051" style="position:absolute;margin-left:-85.05pt;margin-top:-2.45pt;width:99pt;height:18.75pt;z-index:-251655168" fillcolor="black [3213]" stroked="f" strokecolor="#bfbfbf [2412]"/>
      </w:pict>
    </w:r>
    <w:r w:rsidR="00FC0DD1" w:rsidRPr="008C0A74">
      <w:rPr>
        <w:b/>
        <w:color w:val="FFFFFF" w:themeColor="background1"/>
      </w:rPr>
      <w:fldChar w:fldCharType="begin"/>
    </w:r>
    <w:r w:rsidR="00F93DEC" w:rsidRPr="008C0A74">
      <w:rPr>
        <w:b/>
        <w:color w:val="FFFFFF" w:themeColor="background1"/>
      </w:rPr>
      <w:instrText xml:space="preserve"> PAGE </w:instrText>
    </w:r>
    <w:r w:rsidR="00FC0DD1" w:rsidRPr="008C0A74">
      <w:rPr>
        <w:b/>
        <w:color w:val="FFFFFF" w:themeColor="background1"/>
      </w:rPr>
      <w:fldChar w:fldCharType="separate"/>
    </w:r>
    <w:r>
      <w:rPr>
        <w:b/>
        <w:noProof/>
        <w:color w:val="FFFFFF" w:themeColor="background1"/>
      </w:rPr>
      <w:t>36</w:t>
    </w:r>
    <w:r w:rsidR="00FC0DD1" w:rsidRPr="008C0A74">
      <w:rPr>
        <w:b/>
        <w:color w:val="FFFFFF" w:themeColor="background1"/>
      </w:rPr>
      <w:fldChar w:fldCharType="end"/>
    </w:r>
    <w:r w:rsidR="00F93DEC" w:rsidRPr="008C0A74">
      <w:rPr>
        <w:b/>
        <w:color w:val="FFFFFF" w:themeColor="background1"/>
      </w:rPr>
      <w:tab/>
    </w:r>
    <w:r w:rsidR="00F93DEC">
      <w:rPr>
        <w:b/>
      </w:rPr>
      <w:t>A half-open door: pathways for VET award holders into Australian universities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EC" w:rsidRPr="009775C7" w:rsidRDefault="007E3EF2" w:rsidP="008C0A74">
    <w:pPr>
      <w:pStyle w:val="Footer"/>
      <w:tabs>
        <w:tab w:val="clear" w:pos="8505"/>
        <w:tab w:val="right" w:pos="8789"/>
      </w:tabs>
      <w:rPr>
        <w:color w:val="FFFFFF" w:themeColor="background1"/>
      </w:rPr>
    </w:pPr>
    <w:r>
      <w:rPr>
        <w:b/>
        <w:noProof/>
        <w:lang w:eastAsia="en-AU"/>
      </w:rPr>
      <w:pict>
        <v:rect id="_x0000_s2052" style="position:absolute;margin-left:425.6pt;margin-top:-2.45pt;width:99pt;height:18.75pt;z-index:-251653120" fillcolor="black [3213]" stroked="f" strokecolor="#bfbfbf [2412]"/>
      </w:pict>
    </w:r>
    <w:r w:rsidR="00F93DEC" w:rsidRPr="009775C7">
      <w:rPr>
        <w:b/>
      </w:rPr>
      <w:t>NCVER</w:t>
    </w:r>
    <w:r w:rsidR="00F93DEC" w:rsidRPr="009775C7">
      <w:tab/>
    </w:r>
    <w:r w:rsidR="00FC0DD1" w:rsidRPr="009775C7">
      <w:rPr>
        <w:rStyle w:val="PageNumber"/>
        <w:rFonts w:cs="Tahoma"/>
        <w:b/>
        <w:color w:val="FFFFFF" w:themeColor="background1"/>
        <w:sz w:val="17"/>
      </w:rPr>
      <w:fldChar w:fldCharType="begin"/>
    </w:r>
    <w:r w:rsidR="00F93DEC" w:rsidRPr="009775C7">
      <w:rPr>
        <w:rStyle w:val="PageNumber"/>
        <w:rFonts w:cs="Tahoma"/>
        <w:b/>
        <w:color w:val="FFFFFF" w:themeColor="background1"/>
        <w:sz w:val="17"/>
      </w:rPr>
      <w:instrText xml:space="preserve"> PAGE </w:instrText>
    </w:r>
    <w:r w:rsidR="00FC0DD1" w:rsidRPr="009775C7">
      <w:rPr>
        <w:rStyle w:val="PageNumber"/>
        <w:rFonts w:cs="Tahoma"/>
        <w:b/>
        <w:color w:val="FFFFFF" w:themeColor="background1"/>
        <w:sz w:val="17"/>
      </w:rPr>
      <w:fldChar w:fldCharType="separate"/>
    </w:r>
    <w:r>
      <w:rPr>
        <w:rStyle w:val="PageNumber"/>
        <w:rFonts w:cs="Tahoma"/>
        <w:b/>
        <w:noProof/>
        <w:color w:val="FFFFFF" w:themeColor="background1"/>
        <w:sz w:val="17"/>
      </w:rPr>
      <w:t>35</w:t>
    </w:r>
    <w:r w:rsidR="00FC0DD1" w:rsidRPr="009775C7">
      <w:rPr>
        <w:rStyle w:val="PageNumber"/>
        <w:rFonts w:cs="Tahoma"/>
        <w:b/>
        <w:color w:val="FFFFFF" w:themeColor="background1"/>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DEC" w:rsidRDefault="00F93DEC">
      <w:r>
        <w:separator/>
      </w:r>
    </w:p>
  </w:footnote>
  <w:footnote w:type="continuationSeparator" w:id="0">
    <w:p w:rsidR="00F93DEC" w:rsidRDefault="00F93DEC">
      <w:r>
        <w:continuationSeparator/>
      </w:r>
    </w:p>
  </w:footnote>
  <w:footnote w:id="1">
    <w:p w:rsidR="00F93DEC" w:rsidRPr="000C259A" w:rsidRDefault="00F93DEC" w:rsidP="000C259A">
      <w:pPr>
        <w:pStyle w:val="FootnoteText"/>
      </w:pPr>
      <w:r>
        <w:rPr>
          <w:rStyle w:val="FootnoteReference"/>
        </w:rPr>
        <w:footnoteRef/>
      </w:r>
      <w:r>
        <w:t xml:space="preserve"> </w:t>
      </w:r>
      <w:r>
        <w:tab/>
      </w:r>
      <w:r w:rsidRPr="00077FA7">
        <w:t>The authors used the NCVER Student Outcomes Survey and Commonwealth data on admission rates for commencing undergraduates in the 12 broad fields of education (FOEs) identified by the Australian Bureau of Statistics</w:t>
      </w:r>
      <w:r>
        <w:t xml:space="preserve"> (ABS)</w:t>
      </w:r>
      <w:r w:rsidRPr="00077FA7">
        <w:t xml:space="preserve"> in its Australian Standard </w:t>
      </w:r>
      <w:r w:rsidRPr="000C259A">
        <w:t>Classification of Education (ASCED) 2001.</w:t>
      </w:r>
    </w:p>
  </w:footnote>
  <w:footnote w:id="2">
    <w:p w:rsidR="00F93DEC" w:rsidRPr="00164DEA" w:rsidRDefault="00F93DEC" w:rsidP="000C259A">
      <w:pPr>
        <w:pStyle w:val="FootnoteText"/>
        <w:rPr>
          <w:lang w:val="en-US"/>
        </w:rPr>
      </w:pPr>
      <w:r w:rsidRPr="000C259A">
        <w:rPr>
          <w:rStyle w:val="FootnoteReference"/>
        </w:rPr>
        <w:footnoteRef/>
      </w:r>
      <w:r w:rsidRPr="000C259A">
        <w:rPr>
          <w:vertAlign w:val="superscript"/>
        </w:rPr>
        <w:t xml:space="preserve"> </w:t>
      </w:r>
      <w:r>
        <w:rPr>
          <w:vertAlign w:val="superscript"/>
        </w:rPr>
        <w:tab/>
      </w:r>
      <w:r w:rsidRPr="000C259A">
        <w:rPr>
          <w:szCs w:val="19"/>
        </w:rPr>
        <w:t>These exceptions include</w:t>
      </w:r>
      <w:r>
        <w:rPr>
          <w:szCs w:val="19"/>
        </w:rPr>
        <w:t xml:space="preserve"> Monash University’s e</w:t>
      </w:r>
      <w:r w:rsidRPr="005C748C">
        <w:rPr>
          <w:szCs w:val="19"/>
        </w:rPr>
        <w:t xml:space="preserve">ducation degree </w:t>
      </w:r>
      <w:r>
        <w:rPr>
          <w:szCs w:val="19"/>
        </w:rPr>
        <w:t>(FOE 7) where 24%</w:t>
      </w:r>
      <w:r w:rsidRPr="005C748C">
        <w:rPr>
          <w:szCs w:val="19"/>
        </w:rPr>
        <w:t xml:space="preserve"> of undergraduate commencements are admitted on the basis of a VET award</w:t>
      </w:r>
      <w:r>
        <w:rPr>
          <w:szCs w:val="19"/>
        </w:rPr>
        <w:t xml:space="preserve"> and the University of Southern Queensland’s engineering program (FOE 3) where 14% of commencing students are VET award holders — rates that are significantly higher than the national average rate for these fields.</w:t>
      </w:r>
    </w:p>
  </w:footnote>
  <w:footnote w:id="3">
    <w:p w:rsidR="00F93DEC" w:rsidRPr="002C54B4" w:rsidRDefault="00F93DEC" w:rsidP="002C54B4">
      <w:pPr>
        <w:pStyle w:val="FootnoteText"/>
      </w:pPr>
      <w:r>
        <w:rPr>
          <w:rStyle w:val="FootnoteReference"/>
        </w:rPr>
        <w:footnoteRef/>
      </w:r>
      <w:r>
        <w:t xml:space="preserve"> </w:t>
      </w:r>
      <w:r>
        <w:tab/>
        <w:t xml:space="preserve">This study excludes </w:t>
      </w:r>
      <w:proofErr w:type="spellStart"/>
      <w:r>
        <w:t>Batchelor</w:t>
      </w:r>
      <w:proofErr w:type="spellEnd"/>
      <w:r>
        <w:t xml:space="preserve"> Institute of Indigenous Tertiary Education, which admits no VET award holders.</w:t>
      </w:r>
    </w:p>
  </w:footnote>
  <w:footnote w:id="4">
    <w:p w:rsidR="00F93DEC" w:rsidRDefault="00F93DEC" w:rsidP="00470D50">
      <w:pPr>
        <w:pStyle w:val="FootnoteText"/>
      </w:pPr>
      <w:r>
        <w:rPr>
          <w:rStyle w:val="FootnoteReference"/>
        </w:rPr>
        <w:footnoteRef/>
      </w:r>
      <w:r>
        <w:t xml:space="preserve"> </w:t>
      </w:r>
      <w:r>
        <w:tab/>
        <w:t>Comment by an anonymous reviewer.</w:t>
      </w:r>
    </w:p>
  </w:footnote>
  <w:footnote w:id="5">
    <w:p w:rsidR="00F93DEC" w:rsidRDefault="00F93DEC" w:rsidP="00BA3532">
      <w:pPr>
        <w:pStyle w:val="FootnoteText"/>
      </w:pPr>
      <w:r>
        <w:rPr>
          <w:rStyle w:val="FootnoteReference"/>
        </w:rPr>
        <w:footnoteRef/>
      </w:r>
      <w:r>
        <w:t xml:space="preserve"> </w:t>
      </w:r>
      <w:r>
        <w:tab/>
      </w:r>
      <w:r w:rsidRPr="006A6D83">
        <w:t>The Commonwealth higher education collection uses ASCED definitions to classify student enrolments as wel</w:t>
      </w:r>
      <w:r>
        <w:t>l as a further category called ‘non-award courses’</w:t>
      </w:r>
      <w:r w:rsidRPr="006A6D83">
        <w:t>.</w:t>
      </w:r>
    </w:p>
  </w:footnote>
  <w:footnote w:id="6">
    <w:p w:rsidR="00F93DEC" w:rsidRPr="0073173B" w:rsidRDefault="00F93DEC" w:rsidP="007105CE">
      <w:pPr>
        <w:pStyle w:val="FootnoteText"/>
      </w:pPr>
      <w:r>
        <w:rPr>
          <w:rStyle w:val="FootnoteReference"/>
        </w:rPr>
        <w:footnoteRef/>
      </w:r>
      <w:r>
        <w:t xml:space="preserve"> </w:t>
      </w:r>
      <w:r>
        <w:tab/>
      </w:r>
      <w:r w:rsidRPr="00467AD7">
        <w:t xml:space="preserve">The </w:t>
      </w:r>
      <w:proofErr w:type="spellStart"/>
      <w:r w:rsidRPr="00467AD7">
        <w:t>dendrogram</w:t>
      </w:r>
      <w:proofErr w:type="spellEnd"/>
      <w:r w:rsidRPr="00467AD7">
        <w:t xml:space="preserve"> produced through the clustering proced</w:t>
      </w:r>
      <w:r>
        <w:t>ure is provided in appendix A.4 of the support document.</w:t>
      </w:r>
    </w:p>
  </w:footnote>
  <w:footnote w:id="7">
    <w:p w:rsidR="00F93DEC" w:rsidRDefault="00F93DEC" w:rsidP="00696289">
      <w:pPr>
        <w:pStyle w:val="FootnoteText"/>
      </w:pPr>
      <w:r>
        <w:rPr>
          <w:rStyle w:val="FootnoteReference"/>
        </w:rPr>
        <w:footnoteRef/>
      </w:r>
      <w:r>
        <w:t xml:space="preserve"> </w:t>
      </w:r>
      <w:r>
        <w:tab/>
        <w:t xml:space="preserve">Two exceptions to this pattern, civil engineering (FOE 0309) and teacher education: early childhood (FOE 070101), are discussed in the support document. </w:t>
      </w:r>
    </w:p>
  </w:footnote>
  <w:footnote w:id="8">
    <w:p w:rsidR="00F93DEC" w:rsidRDefault="00F93DEC">
      <w:pPr>
        <w:pStyle w:val="FootnoteText"/>
      </w:pPr>
      <w:r>
        <w:rPr>
          <w:rStyle w:val="FootnoteReference"/>
        </w:rPr>
        <w:footnoteRef/>
      </w:r>
      <w:r>
        <w:t xml:space="preserve"> </w:t>
      </w:r>
      <w:r>
        <w:tab/>
        <w:t>Details of the m</w:t>
      </w:r>
      <w:r w:rsidRPr="00323537">
        <w:t xml:space="preserve">ethodology </w:t>
      </w:r>
      <w:r>
        <w:t xml:space="preserve">and a full discussion of the findings </w:t>
      </w:r>
      <w:r w:rsidRPr="00323537">
        <w:t>are provided in the support document.</w:t>
      </w:r>
    </w:p>
  </w:footnote>
  <w:footnote w:id="9">
    <w:p w:rsidR="00F93DEC" w:rsidRDefault="00F93DEC">
      <w:pPr>
        <w:pStyle w:val="FootnoteText"/>
      </w:pPr>
      <w:r>
        <w:rPr>
          <w:rStyle w:val="FootnoteReference"/>
        </w:rPr>
        <w:footnoteRef/>
      </w:r>
      <w:r>
        <w:t xml:space="preserve"> </w:t>
      </w:r>
      <w:r>
        <w:tab/>
        <w:t>Illustrating the university’s understanding that VET graduates are more likely to identify themselves in these terms.</w:t>
      </w:r>
    </w:p>
  </w:footnote>
  <w:footnote w:id="10">
    <w:p w:rsidR="00F93DEC" w:rsidRDefault="00F93DEC">
      <w:pPr>
        <w:pStyle w:val="FootnoteText"/>
      </w:pPr>
      <w:r>
        <w:rPr>
          <w:rStyle w:val="FootnoteReference"/>
        </w:rPr>
        <w:footnoteRef/>
      </w:r>
      <w:r>
        <w:t xml:space="preserve"> </w:t>
      </w:r>
      <w:r>
        <w:tab/>
        <w:t xml:space="preserve">The authors note that without access to Commonwealth-held data on higher education student completions, it is impossible to establish what types of support policies and programs are most successful.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8E74206"/>
    <w:multiLevelType w:val="hybridMultilevel"/>
    <w:tmpl w:val="41DAD80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0B3E7000"/>
    <w:multiLevelType w:val="hybridMultilevel"/>
    <w:tmpl w:val="05862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85451E"/>
    <w:multiLevelType w:val="hybridMultilevel"/>
    <w:tmpl w:val="5862260A"/>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772EB0"/>
    <w:multiLevelType w:val="hybridMultilevel"/>
    <w:tmpl w:val="B0449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637923"/>
    <w:multiLevelType w:val="hybridMultilevel"/>
    <w:tmpl w:val="2D2433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172D5732"/>
    <w:multiLevelType w:val="hybridMultilevel"/>
    <w:tmpl w:val="A712EC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70D699C"/>
    <w:multiLevelType w:val="hybridMultilevel"/>
    <w:tmpl w:val="B7A612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7535EBB"/>
    <w:multiLevelType w:val="hybridMultilevel"/>
    <w:tmpl w:val="345C1F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8BB4AB0"/>
    <w:multiLevelType w:val="multilevel"/>
    <w:tmpl w:val="0BF0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F02957"/>
    <w:multiLevelType w:val="hybridMultilevel"/>
    <w:tmpl w:val="427AD3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B290418"/>
    <w:multiLevelType w:val="hybridMultilevel"/>
    <w:tmpl w:val="917E3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A95B5D"/>
    <w:multiLevelType w:val="hybridMultilevel"/>
    <w:tmpl w:val="928ED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6906C86"/>
    <w:multiLevelType w:val="hybridMultilevel"/>
    <w:tmpl w:val="42D689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nsid w:val="37C66AA5"/>
    <w:multiLevelType w:val="multilevel"/>
    <w:tmpl w:val="1640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E541BA"/>
    <w:multiLevelType w:val="hybridMultilevel"/>
    <w:tmpl w:val="8D50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8F7C5B"/>
    <w:multiLevelType w:val="hybridMultilevel"/>
    <w:tmpl w:val="18F0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4C5227"/>
    <w:multiLevelType w:val="hybridMultilevel"/>
    <w:tmpl w:val="E5D0F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AC77F38"/>
    <w:multiLevelType w:val="hybridMultilevel"/>
    <w:tmpl w:val="A3AE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1C6689"/>
    <w:multiLevelType w:val="hybridMultilevel"/>
    <w:tmpl w:val="C1D6D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5514552"/>
    <w:multiLevelType w:val="hybridMultilevel"/>
    <w:tmpl w:val="356A774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nsid w:val="58B149DB"/>
    <w:multiLevelType w:val="hybridMultilevel"/>
    <w:tmpl w:val="68701146"/>
    <w:lvl w:ilvl="0" w:tplc="51A81DCC">
      <w:start w:val="12"/>
      <w:numFmt w:val="bullet"/>
      <w:lvlText w:val="-"/>
      <w:lvlJc w:val="left"/>
      <w:pPr>
        <w:ind w:left="2226" w:hanging="360"/>
      </w:pPr>
      <w:rPr>
        <w:rFonts w:ascii="Tahoma" w:eastAsia="Times New Roman" w:hAnsi="Tahoma" w:cs="Tahoma" w:hint="default"/>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22">
    <w:nsid w:val="5E1A5C2D"/>
    <w:multiLevelType w:val="hybridMultilevel"/>
    <w:tmpl w:val="E9E2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260E11"/>
    <w:multiLevelType w:val="hybridMultilevel"/>
    <w:tmpl w:val="D69E1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nsid w:val="629F2844"/>
    <w:multiLevelType w:val="hybridMultilevel"/>
    <w:tmpl w:val="D200E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8E9132B"/>
    <w:multiLevelType w:val="hybridMultilevel"/>
    <w:tmpl w:val="0932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6B7C7E"/>
    <w:multiLevelType w:val="hybridMultilevel"/>
    <w:tmpl w:val="097E62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6E6568BB"/>
    <w:multiLevelType w:val="hybridMultilevel"/>
    <w:tmpl w:val="6DCA421E"/>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8FA4F0D"/>
    <w:multiLevelType w:val="hybridMultilevel"/>
    <w:tmpl w:val="C8E4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98722B"/>
    <w:multiLevelType w:val="hybridMultilevel"/>
    <w:tmpl w:val="63D6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5709A5"/>
    <w:multiLevelType w:val="hybridMultilevel"/>
    <w:tmpl w:val="5C965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0"/>
  </w:num>
  <w:num w:numId="4">
    <w:abstractNumId w:val="21"/>
  </w:num>
  <w:num w:numId="5">
    <w:abstractNumId w:val="25"/>
  </w:num>
  <w:num w:numId="6">
    <w:abstractNumId w:val="19"/>
  </w:num>
  <w:num w:numId="7">
    <w:abstractNumId w:val="2"/>
  </w:num>
  <w:num w:numId="8">
    <w:abstractNumId w:val="1"/>
  </w:num>
  <w:num w:numId="9">
    <w:abstractNumId w:val="13"/>
  </w:num>
  <w:num w:numId="10">
    <w:abstractNumId w:val="6"/>
  </w:num>
  <w:num w:numId="11">
    <w:abstractNumId w:val="26"/>
  </w:num>
  <w:num w:numId="12">
    <w:abstractNumId w:val="20"/>
  </w:num>
  <w:num w:numId="13">
    <w:abstractNumId w:val="15"/>
  </w:num>
  <w:num w:numId="14">
    <w:abstractNumId w:val="10"/>
  </w:num>
  <w:num w:numId="15">
    <w:abstractNumId w:val="31"/>
  </w:num>
  <w:num w:numId="16">
    <w:abstractNumId w:val="7"/>
  </w:num>
  <w:num w:numId="17">
    <w:abstractNumId w:val="27"/>
  </w:num>
  <w:num w:numId="18">
    <w:abstractNumId w:val="8"/>
  </w:num>
  <w:num w:numId="19">
    <w:abstractNumId w:val="17"/>
  </w:num>
  <w:num w:numId="20">
    <w:abstractNumId w:val="14"/>
  </w:num>
  <w:num w:numId="21">
    <w:abstractNumId w:val="3"/>
  </w:num>
  <w:num w:numId="22">
    <w:abstractNumId w:val="5"/>
  </w:num>
  <w:num w:numId="23">
    <w:abstractNumId w:val="9"/>
  </w:num>
  <w:num w:numId="24">
    <w:abstractNumId w:val="12"/>
  </w:num>
  <w:num w:numId="25">
    <w:abstractNumId w:val="23"/>
  </w:num>
  <w:num w:numId="26">
    <w:abstractNumId w:val="4"/>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1"/>
  </w:num>
  <w:num w:numId="32">
    <w:abstractNumId w:val="16"/>
  </w:num>
  <w:num w:numId="33">
    <w:abstractNumId w:val="22"/>
  </w:num>
  <w:num w:numId="34">
    <w:abstractNumId w:val="30"/>
  </w:num>
  <w:num w:numId="35">
    <w:abstractNumId w:val="29"/>
  </w:num>
  <w:num w:numId="36">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87B92"/>
    <w:rsid w:val="00000983"/>
    <w:rsid w:val="00000C08"/>
    <w:rsid w:val="00003071"/>
    <w:rsid w:val="000030B4"/>
    <w:rsid w:val="000054F4"/>
    <w:rsid w:val="000075E0"/>
    <w:rsid w:val="000108B2"/>
    <w:rsid w:val="00010DAA"/>
    <w:rsid w:val="00011116"/>
    <w:rsid w:val="00011463"/>
    <w:rsid w:val="00011F30"/>
    <w:rsid w:val="00013265"/>
    <w:rsid w:val="000138AB"/>
    <w:rsid w:val="00014DEB"/>
    <w:rsid w:val="00015944"/>
    <w:rsid w:val="00017A50"/>
    <w:rsid w:val="00020593"/>
    <w:rsid w:val="00022224"/>
    <w:rsid w:val="00022290"/>
    <w:rsid w:val="00026472"/>
    <w:rsid w:val="00026EB2"/>
    <w:rsid w:val="0002796D"/>
    <w:rsid w:val="00027CE1"/>
    <w:rsid w:val="00030236"/>
    <w:rsid w:val="000315D7"/>
    <w:rsid w:val="00034739"/>
    <w:rsid w:val="00035406"/>
    <w:rsid w:val="00035BAA"/>
    <w:rsid w:val="00036E7F"/>
    <w:rsid w:val="00037C58"/>
    <w:rsid w:val="00040904"/>
    <w:rsid w:val="00040D1E"/>
    <w:rsid w:val="0004150D"/>
    <w:rsid w:val="00041EAA"/>
    <w:rsid w:val="00042AB5"/>
    <w:rsid w:val="00043EA0"/>
    <w:rsid w:val="0004656D"/>
    <w:rsid w:val="0004772A"/>
    <w:rsid w:val="000478D8"/>
    <w:rsid w:val="00047A6B"/>
    <w:rsid w:val="00050CA3"/>
    <w:rsid w:val="00051BD9"/>
    <w:rsid w:val="00052974"/>
    <w:rsid w:val="00052E3D"/>
    <w:rsid w:val="00054D84"/>
    <w:rsid w:val="00056663"/>
    <w:rsid w:val="00057596"/>
    <w:rsid w:val="00057929"/>
    <w:rsid w:val="00057BE2"/>
    <w:rsid w:val="00060D82"/>
    <w:rsid w:val="0006113F"/>
    <w:rsid w:val="0006125F"/>
    <w:rsid w:val="00061879"/>
    <w:rsid w:val="00061D4A"/>
    <w:rsid w:val="000628D9"/>
    <w:rsid w:val="00064035"/>
    <w:rsid w:val="00064890"/>
    <w:rsid w:val="0006508A"/>
    <w:rsid w:val="00065454"/>
    <w:rsid w:val="000679FF"/>
    <w:rsid w:val="00067B14"/>
    <w:rsid w:val="000717EF"/>
    <w:rsid w:val="000723C4"/>
    <w:rsid w:val="00072DB6"/>
    <w:rsid w:val="0007406C"/>
    <w:rsid w:val="0007452F"/>
    <w:rsid w:val="0007483A"/>
    <w:rsid w:val="00074BD4"/>
    <w:rsid w:val="00076054"/>
    <w:rsid w:val="000760CD"/>
    <w:rsid w:val="000765AD"/>
    <w:rsid w:val="000773FA"/>
    <w:rsid w:val="0007752D"/>
    <w:rsid w:val="00077A0B"/>
    <w:rsid w:val="00077FA7"/>
    <w:rsid w:val="00081959"/>
    <w:rsid w:val="00082846"/>
    <w:rsid w:val="000832DD"/>
    <w:rsid w:val="0008386E"/>
    <w:rsid w:val="00084F13"/>
    <w:rsid w:val="00086965"/>
    <w:rsid w:val="00087D00"/>
    <w:rsid w:val="000903E3"/>
    <w:rsid w:val="00091109"/>
    <w:rsid w:val="00093C35"/>
    <w:rsid w:val="00093FAA"/>
    <w:rsid w:val="00095376"/>
    <w:rsid w:val="0009584D"/>
    <w:rsid w:val="00095DC4"/>
    <w:rsid w:val="00096389"/>
    <w:rsid w:val="0009697C"/>
    <w:rsid w:val="000978C1"/>
    <w:rsid w:val="000A0745"/>
    <w:rsid w:val="000A09E3"/>
    <w:rsid w:val="000A0A5A"/>
    <w:rsid w:val="000A106F"/>
    <w:rsid w:val="000A1AE5"/>
    <w:rsid w:val="000A2A3C"/>
    <w:rsid w:val="000A370F"/>
    <w:rsid w:val="000A39FF"/>
    <w:rsid w:val="000A3DD5"/>
    <w:rsid w:val="000A55A7"/>
    <w:rsid w:val="000A5A36"/>
    <w:rsid w:val="000B0E19"/>
    <w:rsid w:val="000B13B7"/>
    <w:rsid w:val="000B438A"/>
    <w:rsid w:val="000B4BFC"/>
    <w:rsid w:val="000B53B0"/>
    <w:rsid w:val="000B5C11"/>
    <w:rsid w:val="000B651B"/>
    <w:rsid w:val="000B702C"/>
    <w:rsid w:val="000B7646"/>
    <w:rsid w:val="000B7912"/>
    <w:rsid w:val="000C07E8"/>
    <w:rsid w:val="000C0A4B"/>
    <w:rsid w:val="000C1499"/>
    <w:rsid w:val="000C231D"/>
    <w:rsid w:val="000C259A"/>
    <w:rsid w:val="000C28FD"/>
    <w:rsid w:val="000C3900"/>
    <w:rsid w:val="000C5133"/>
    <w:rsid w:val="000C5549"/>
    <w:rsid w:val="000C57F2"/>
    <w:rsid w:val="000C5B38"/>
    <w:rsid w:val="000D0085"/>
    <w:rsid w:val="000D0CB2"/>
    <w:rsid w:val="000D1F74"/>
    <w:rsid w:val="000D1FA6"/>
    <w:rsid w:val="000D43CF"/>
    <w:rsid w:val="000D5721"/>
    <w:rsid w:val="000D5888"/>
    <w:rsid w:val="000D5CF5"/>
    <w:rsid w:val="000D74A1"/>
    <w:rsid w:val="000E0946"/>
    <w:rsid w:val="000E4C89"/>
    <w:rsid w:val="000F026D"/>
    <w:rsid w:val="000F37C3"/>
    <w:rsid w:val="000F5237"/>
    <w:rsid w:val="000F641C"/>
    <w:rsid w:val="000F6A81"/>
    <w:rsid w:val="000F7383"/>
    <w:rsid w:val="00100360"/>
    <w:rsid w:val="00102148"/>
    <w:rsid w:val="00102A1C"/>
    <w:rsid w:val="00104C17"/>
    <w:rsid w:val="00104C48"/>
    <w:rsid w:val="00104FF7"/>
    <w:rsid w:val="00107268"/>
    <w:rsid w:val="0010761A"/>
    <w:rsid w:val="0010781D"/>
    <w:rsid w:val="00110535"/>
    <w:rsid w:val="00114B0B"/>
    <w:rsid w:val="00115380"/>
    <w:rsid w:val="0011546B"/>
    <w:rsid w:val="00116F77"/>
    <w:rsid w:val="001171AF"/>
    <w:rsid w:val="00120016"/>
    <w:rsid w:val="001204E3"/>
    <w:rsid w:val="00120970"/>
    <w:rsid w:val="00121595"/>
    <w:rsid w:val="00121D8F"/>
    <w:rsid w:val="00122804"/>
    <w:rsid w:val="00123040"/>
    <w:rsid w:val="001234DE"/>
    <w:rsid w:val="00123B5C"/>
    <w:rsid w:val="00123F14"/>
    <w:rsid w:val="00124C6B"/>
    <w:rsid w:val="00125A7D"/>
    <w:rsid w:val="00126275"/>
    <w:rsid w:val="0012775A"/>
    <w:rsid w:val="00127DCD"/>
    <w:rsid w:val="0013173A"/>
    <w:rsid w:val="00132632"/>
    <w:rsid w:val="0013277B"/>
    <w:rsid w:val="001341B5"/>
    <w:rsid w:val="001357AC"/>
    <w:rsid w:val="00135C75"/>
    <w:rsid w:val="00135DCB"/>
    <w:rsid w:val="001361E6"/>
    <w:rsid w:val="00137975"/>
    <w:rsid w:val="0014019A"/>
    <w:rsid w:val="00140F17"/>
    <w:rsid w:val="001415BC"/>
    <w:rsid w:val="00141FDF"/>
    <w:rsid w:val="00145120"/>
    <w:rsid w:val="00145538"/>
    <w:rsid w:val="001477C0"/>
    <w:rsid w:val="00147C23"/>
    <w:rsid w:val="00150874"/>
    <w:rsid w:val="001509F3"/>
    <w:rsid w:val="001512B0"/>
    <w:rsid w:val="00154660"/>
    <w:rsid w:val="0015572F"/>
    <w:rsid w:val="00155839"/>
    <w:rsid w:val="00157974"/>
    <w:rsid w:val="0016013A"/>
    <w:rsid w:val="001601DE"/>
    <w:rsid w:val="00161DF5"/>
    <w:rsid w:val="00162239"/>
    <w:rsid w:val="00163451"/>
    <w:rsid w:val="00164172"/>
    <w:rsid w:val="00164DEA"/>
    <w:rsid w:val="0016505F"/>
    <w:rsid w:val="001659DA"/>
    <w:rsid w:val="00165B03"/>
    <w:rsid w:val="00165B7A"/>
    <w:rsid w:val="00166246"/>
    <w:rsid w:val="00166F0E"/>
    <w:rsid w:val="001675EA"/>
    <w:rsid w:val="00167F2D"/>
    <w:rsid w:val="00170054"/>
    <w:rsid w:val="001733C2"/>
    <w:rsid w:val="00173DF9"/>
    <w:rsid w:val="001742AB"/>
    <w:rsid w:val="001754AD"/>
    <w:rsid w:val="00175941"/>
    <w:rsid w:val="00177827"/>
    <w:rsid w:val="001779FF"/>
    <w:rsid w:val="0018022D"/>
    <w:rsid w:val="001803AB"/>
    <w:rsid w:val="00180D3F"/>
    <w:rsid w:val="001843B8"/>
    <w:rsid w:val="00184504"/>
    <w:rsid w:val="0018547D"/>
    <w:rsid w:val="00185628"/>
    <w:rsid w:val="0018795D"/>
    <w:rsid w:val="00190618"/>
    <w:rsid w:val="00191297"/>
    <w:rsid w:val="001918FF"/>
    <w:rsid w:val="00191BF0"/>
    <w:rsid w:val="00191E27"/>
    <w:rsid w:val="00192461"/>
    <w:rsid w:val="00192D8F"/>
    <w:rsid w:val="0019302A"/>
    <w:rsid w:val="00193F33"/>
    <w:rsid w:val="00193F9F"/>
    <w:rsid w:val="0019412F"/>
    <w:rsid w:val="00195200"/>
    <w:rsid w:val="00195B14"/>
    <w:rsid w:val="001965BC"/>
    <w:rsid w:val="00196E89"/>
    <w:rsid w:val="001A0CC9"/>
    <w:rsid w:val="001A1C33"/>
    <w:rsid w:val="001A37A9"/>
    <w:rsid w:val="001A384F"/>
    <w:rsid w:val="001A4C92"/>
    <w:rsid w:val="001A5164"/>
    <w:rsid w:val="001A5734"/>
    <w:rsid w:val="001A5897"/>
    <w:rsid w:val="001A6090"/>
    <w:rsid w:val="001A6F29"/>
    <w:rsid w:val="001A7956"/>
    <w:rsid w:val="001B039F"/>
    <w:rsid w:val="001B0B0A"/>
    <w:rsid w:val="001B0D23"/>
    <w:rsid w:val="001B3484"/>
    <w:rsid w:val="001B43CF"/>
    <w:rsid w:val="001C0081"/>
    <w:rsid w:val="001C0626"/>
    <w:rsid w:val="001C124F"/>
    <w:rsid w:val="001C30B1"/>
    <w:rsid w:val="001C519D"/>
    <w:rsid w:val="001C5231"/>
    <w:rsid w:val="001C6C81"/>
    <w:rsid w:val="001D06C2"/>
    <w:rsid w:val="001D4331"/>
    <w:rsid w:val="001D4C36"/>
    <w:rsid w:val="001D5023"/>
    <w:rsid w:val="001D6052"/>
    <w:rsid w:val="001D61AA"/>
    <w:rsid w:val="001D68D9"/>
    <w:rsid w:val="001D6AC0"/>
    <w:rsid w:val="001E0EFA"/>
    <w:rsid w:val="001E1B35"/>
    <w:rsid w:val="001E2733"/>
    <w:rsid w:val="001E3B01"/>
    <w:rsid w:val="001E4905"/>
    <w:rsid w:val="001E5157"/>
    <w:rsid w:val="001E69EE"/>
    <w:rsid w:val="001E7761"/>
    <w:rsid w:val="001E790F"/>
    <w:rsid w:val="001F0F32"/>
    <w:rsid w:val="001F28DC"/>
    <w:rsid w:val="001F2F5C"/>
    <w:rsid w:val="001F4B37"/>
    <w:rsid w:val="001F4BCF"/>
    <w:rsid w:val="001F63BA"/>
    <w:rsid w:val="001F6630"/>
    <w:rsid w:val="001F7D84"/>
    <w:rsid w:val="002006C5"/>
    <w:rsid w:val="00200CE8"/>
    <w:rsid w:val="00200E54"/>
    <w:rsid w:val="00200FFF"/>
    <w:rsid w:val="00203A1C"/>
    <w:rsid w:val="0020442F"/>
    <w:rsid w:val="002050AC"/>
    <w:rsid w:val="0020580B"/>
    <w:rsid w:val="00205DD8"/>
    <w:rsid w:val="00207DE8"/>
    <w:rsid w:val="00210719"/>
    <w:rsid w:val="00211963"/>
    <w:rsid w:val="00211A8F"/>
    <w:rsid w:val="00211BE0"/>
    <w:rsid w:val="00211CC0"/>
    <w:rsid w:val="00212521"/>
    <w:rsid w:val="00212CE2"/>
    <w:rsid w:val="002132C0"/>
    <w:rsid w:val="00214022"/>
    <w:rsid w:val="00215CB8"/>
    <w:rsid w:val="00216972"/>
    <w:rsid w:val="00216C59"/>
    <w:rsid w:val="00217115"/>
    <w:rsid w:val="00217401"/>
    <w:rsid w:val="00217D06"/>
    <w:rsid w:val="0022132B"/>
    <w:rsid w:val="00221699"/>
    <w:rsid w:val="0022230C"/>
    <w:rsid w:val="0022252B"/>
    <w:rsid w:val="002225E0"/>
    <w:rsid w:val="00222DBB"/>
    <w:rsid w:val="0022387A"/>
    <w:rsid w:val="00224867"/>
    <w:rsid w:val="002261AF"/>
    <w:rsid w:val="002267F2"/>
    <w:rsid w:val="00227079"/>
    <w:rsid w:val="002270C9"/>
    <w:rsid w:val="002277A9"/>
    <w:rsid w:val="00227C76"/>
    <w:rsid w:val="00230C1A"/>
    <w:rsid w:val="002312A9"/>
    <w:rsid w:val="00232607"/>
    <w:rsid w:val="00233BFA"/>
    <w:rsid w:val="00236430"/>
    <w:rsid w:val="00236F5D"/>
    <w:rsid w:val="00241FB0"/>
    <w:rsid w:val="00242D38"/>
    <w:rsid w:val="00243642"/>
    <w:rsid w:val="0024458D"/>
    <w:rsid w:val="002448FA"/>
    <w:rsid w:val="00244ABC"/>
    <w:rsid w:val="0024541F"/>
    <w:rsid w:val="002461F8"/>
    <w:rsid w:val="0024656D"/>
    <w:rsid w:val="00247A4A"/>
    <w:rsid w:val="00247CFF"/>
    <w:rsid w:val="00250D0D"/>
    <w:rsid w:val="00250D71"/>
    <w:rsid w:val="00253D8A"/>
    <w:rsid w:val="0025467D"/>
    <w:rsid w:val="00254D91"/>
    <w:rsid w:val="00254F9D"/>
    <w:rsid w:val="00255D95"/>
    <w:rsid w:val="00255F44"/>
    <w:rsid w:val="00257235"/>
    <w:rsid w:val="00260A56"/>
    <w:rsid w:val="002614BE"/>
    <w:rsid w:val="00262EC2"/>
    <w:rsid w:val="00265AC0"/>
    <w:rsid w:val="0026707E"/>
    <w:rsid w:val="002676DC"/>
    <w:rsid w:val="00270909"/>
    <w:rsid w:val="0027125E"/>
    <w:rsid w:val="00271918"/>
    <w:rsid w:val="00272910"/>
    <w:rsid w:val="002736A3"/>
    <w:rsid w:val="0027432A"/>
    <w:rsid w:val="0027458E"/>
    <w:rsid w:val="00274888"/>
    <w:rsid w:val="00274F8E"/>
    <w:rsid w:val="00275764"/>
    <w:rsid w:val="00276411"/>
    <w:rsid w:val="002768E1"/>
    <w:rsid w:val="00277416"/>
    <w:rsid w:val="0028004A"/>
    <w:rsid w:val="0028125A"/>
    <w:rsid w:val="00281680"/>
    <w:rsid w:val="00281ABE"/>
    <w:rsid w:val="002826CA"/>
    <w:rsid w:val="0028301C"/>
    <w:rsid w:val="00283841"/>
    <w:rsid w:val="002839C5"/>
    <w:rsid w:val="00283B0A"/>
    <w:rsid w:val="00283E8C"/>
    <w:rsid w:val="00284968"/>
    <w:rsid w:val="00284FCB"/>
    <w:rsid w:val="00285A26"/>
    <w:rsid w:val="002869B0"/>
    <w:rsid w:val="00286FC9"/>
    <w:rsid w:val="002875F1"/>
    <w:rsid w:val="00290373"/>
    <w:rsid w:val="00292AF3"/>
    <w:rsid w:val="002932F7"/>
    <w:rsid w:val="00293EBC"/>
    <w:rsid w:val="0029482C"/>
    <w:rsid w:val="00295A3D"/>
    <w:rsid w:val="00295B73"/>
    <w:rsid w:val="002967CE"/>
    <w:rsid w:val="0029727B"/>
    <w:rsid w:val="00297C06"/>
    <w:rsid w:val="00297DDB"/>
    <w:rsid w:val="00297E9E"/>
    <w:rsid w:val="002A1030"/>
    <w:rsid w:val="002A3367"/>
    <w:rsid w:val="002A3F5A"/>
    <w:rsid w:val="002A46DD"/>
    <w:rsid w:val="002A480C"/>
    <w:rsid w:val="002A4F4D"/>
    <w:rsid w:val="002A6384"/>
    <w:rsid w:val="002A7913"/>
    <w:rsid w:val="002B2EE5"/>
    <w:rsid w:val="002B4713"/>
    <w:rsid w:val="002B4C12"/>
    <w:rsid w:val="002B593D"/>
    <w:rsid w:val="002B77DE"/>
    <w:rsid w:val="002C14DD"/>
    <w:rsid w:val="002C250C"/>
    <w:rsid w:val="002C28CE"/>
    <w:rsid w:val="002C3FAD"/>
    <w:rsid w:val="002C4343"/>
    <w:rsid w:val="002C54B4"/>
    <w:rsid w:val="002C5652"/>
    <w:rsid w:val="002C6F5E"/>
    <w:rsid w:val="002D1CBA"/>
    <w:rsid w:val="002D1FC4"/>
    <w:rsid w:val="002E02FE"/>
    <w:rsid w:val="002E196B"/>
    <w:rsid w:val="002E2069"/>
    <w:rsid w:val="002E25D0"/>
    <w:rsid w:val="002E36C7"/>
    <w:rsid w:val="002E5C7F"/>
    <w:rsid w:val="002E7104"/>
    <w:rsid w:val="002E74C6"/>
    <w:rsid w:val="002F0BE9"/>
    <w:rsid w:val="002F24C0"/>
    <w:rsid w:val="002F3DEE"/>
    <w:rsid w:val="002F3F49"/>
    <w:rsid w:val="002F44E6"/>
    <w:rsid w:val="002F5BDB"/>
    <w:rsid w:val="002F5CDB"/>
    <w:rsid w:val="002F5F50"/>
    <w:rsid w:val="002F73C9"/>
    <w:rsid w:val="0030016A"/>
    <w:rsid w:val="0030254B"/>
    <w:rsid w:val="00304979"/>
    <w:rsid w:val="0030595B"/>
    <w:rsid w:val="00306E0B"/>
    <w:rsid w:val="00307B4A"/>
    <w:rsid w:val="00307CBB"/>
    <w:rsid w:val="00307CF4"/>
    <w:rsid w:val="00310A0F"/>
    <w:rsid w:val="00310B1E"/>
    <w:rsid w:val="00310BD1"/>
    <w:rsid w:val="00310D4F"/>
    <w:rsid w:val="00311755"/>
    <w:rsid w:val="00312CAA"/>
    <w:rsid w:val="00313938"/>
    <w:rsid w:val="003148DB"/>
    <w:rsid w:val="00314B8A"/>
    <w:rsid w:val="00315E13"/>
    <w:rsid w:val="00315F7D"/>
    <w:rsid w:val="00316767"/>
    <w:rsid w:val="0031738D"/>
    <w:rsid w:val="00320053"/>
    <w:rsid w:val="00320B5D"/>
    <w:rsid w:val="00321E37"/>
    <w:rsid w:val="003226B0"/>
    <w:rsid w:val="00322D4B"/>
    <w:rsid w:val="00323537"/>
    <w:rsid w:val="003243FE"/>
    <w:rsid w:val="00324806"/>
    <w:rsid w:val="00324C17"/>
    <w:rsid w:val="003266D2"/>
    <w:rsid w:val="003269D5"/>
    <w:rsid w:val="00326A20"/>
    <w:rsid w:val="003300DE"/>
    <w:rsid w:val="00330924"/>
    <w:rsid w:val="00330C80"/>
    <w:rsid w:val="00333A00"/>
    <w:rsid w:val="00333D08"/>
    <w:rsid w:val="00334122"/>
    <w:rsid w:val="00334CC1"/>
    <w:rsid w:val="00334CE3"/>
    <w:rsid w:val="00335E04"/>
    <w:rsid w:val="00337140"/>
    <w:rsid w:val="00340038"/>
    <w:rsid w:val="00340218"/>
    <w:rsid w:val="00340AF7"/>
    <w:rsid w:val="00340B4D"/>
    <w:rsid w:val="003414B8"/>
    <w:rsid w:val="00342A9F"/>
    <w:rsid w:val="003430FC"/>
    <w:rsid w:val="0034344E"/>
    <w:rsid w:val="00343553"/>
    <w:rsid w:val="003435E2"/>
    <w:rsid w:val="00344AF9"/>
    <w:rsid w:val="003469F3"/>
    <w:rsid w:val="00347148"/>
    <w:rsid w:val="00350247"/>
    <w:rsid w:val="00350AD5"/>
    <w:rsid w:val="00352034"/>
    <w:rsid w:val="003520C3"/>
    <w:rsid w:val="00352F42"/>
    <w:rsid w:val="00353564"/>
    <w:rsid w:val="00353E35"/>
    <w:rsid w:val="00354384"/>
    <w:rsid w:val="003550DB"/>
    <w:rsid w:val="00355476"/>
    <w:rsid w:val="0035591B"/>
    <w:rsid w:val="0035739C"/>
    <w:rsid w:val="003625E9"/>
    <w:rsid w:val="003631AB"/>
    <w:rsid w:val="00363CB0"/>
    <w:rsid w:val="0036474E"/>
    <w:rsid w:val="003647FB"/>
    <w:rsid w:val="00364991"/>
    <w:rsid w:val="00365479"/>
    <w:rsid w:val="00365BC0"/>
    <w:rsid w:val="00366E5B"/>
    <w:rsid w:val="003701EB"/>
    <w:rsid w:val="0037022E"/>
    <w:rsid w:val="00371DC7"/>
    <w:rsid w:val="00372BEC"/>
    <w:rsid w:val="00373938"/>
    <w:rsid w:val="00373BFD"/>
    <w:rsid w:val="00373EFC"/>
    <w:rsid w:val="00375A1C"/>
    <w:rsid w:val="00375FF6"/>
    <w:rsid w:val="003777DE"/>
    <w:rsid w:val="00380823"/>
    <w:rsid w:val="0038122A"/>
    <w:rsid w:val="0038138D"/>
    <w:rsid w:val="00382E54"/>
    <w:rsid w:val="00383426"/>
    <w:rsid w:val="0038445E"/>
    <w:rsid w:val="00385D1D"/>
    <w:rsid w:val="00387328"/>
    <w:rsid w:val="00387503"/>
    <w:rsid w:val="00387F40"/>
    <w:rsid w:val="00390846"/>
    <w:rsid w:val="00390BB2"/>
    <w:rsid w:val="0039232C"/>
    <w:rsid w:val="0039254F"/>
    <w:rsid w:val="003929AE"/>
    <w:rsid w:val="003932B6"/>
    <w:rsid w:val="003939EA"/>
    <w:rsid w:val="00394CDE"/>
    <w:rsid w:val="0039549A"/>
    <w:rsid w:val="003961A6"/>
    <w:rsid w:val="00396351"/>
    <w:rsid w:val="00396CC3"/>
    <w:rsid w:val="00397C94"/>
    <w:rsid w:val="003A11C9"/>
    <w:rsid w:val="003A248E"/>
    <w:rsid w:val="003A2865"/>
    <w:rsid w:val="003A5DB8"/>
    <w:rsid w:val="003A67C2"/>
    <w:rsid w:val="003A6A8D"/>
    <w:rsid w:val="003B0244"/>
    <w:rsid w:val="003B16DA"/>
    <w:rsid w:val="003B24CC"/>
    <w:rsid w:val="003B350D"/>
    <w:rsid w:val="003B3EB5"/>
    <w:rsid w:val="003B483E"/>
    <w:rsid w:val="003B528B"/>
    <w:rsid w:val="003C002C"/>
    <w:rsid w:val="003C2022"/>
    <w:rsid w:val="003C46B2"/>
    <w:rsid w:val="003C4D1C"/>
    <w:rsid w:val="003C522F"/>
    <w:rsid w:val="003C59C1"/>
    <w:rsid w:val="003C6721"/>
    <w:rsid w:val="003C7AB4"/>
    <w:rsid w:val="003D02F0"/>
    <w:rsid w:val="003D0575"/>
    <w:rsid w:val="003D1B17"/>
    <w:rsid w:val="003D3390"/>
    <w:rsid w:val="003D4BD0"/>
    <w:rsid w:val="003D5153"/>
    <w:rsid w:val="003D534E"/>
    <w:rsid w:val="003D57F8"/>
    <w:rsid w:val="003D756E"/>
    <w:rsid w:val="003E04B7"/>
    <w:rsid w:val="003E0B98"/>
    <w:rsid w:val="003E11D7"/>
    <w:rsid w:val="003E1B21"/>
    <w:rsid w:val="003E2DE1"/>
    <w:rsid w:val="003E39FC"/>
    <w:rsid w:val="003E42C2"/>
    <w:rsid w:val="003E6239"/>
    <w:rsid w:val="003E67CB"/>
    <w:rsid w:val="003E6C8F"/>
    <w:rsid w:val="003F08C9"/>
    <w:rsid w:val="003F0F37"/>
    <w:rsid w:val="003F192B"/>
    <w:rsid w:val="003F1A87"/>
    <w:rsid w:val="003F2E15"/>
    <w:rsid w:val="003F5054"/>
    <w:rsid w:val="003F55E1"/>
    <w:rsid w:val="003F5811"/>
    <w:rsid w:val="003F5CCD"/>
    <w:rsid w:val="003F5F47"/>
    <w:rsid w:val="003F638B"/>
    <w:rsid w:val="004004F1"/>
    <w:rsid w:val="00400F08"/>
    <w:rsid w:val="0040132B"/>
    <w:rsid w:val="00401FC4"/>
    <w:rsid w:val="00402BC9"/>
    <w:rsid w:val="00403AFB"/>
    <w:rsid w:val="00403E2F"/>
    <w:rsid w:val="004049A7"/>
    <w:rsid w:val="004056AA"/>
    <w:rsid w:val="00405845"/>
    <w:rsid w:val="00406EB5"/>
    <w:rsid w:val="00407BC2"/>
    <w:rsid w:val="00407C14"/>
    <w:rsid w:val="004103E0"/>
    <w:rsid w:val="00410411"/>
    <w:rsid w:val="00411155"/>
    <w:rsid w:val="004115DE"/>
    <w:rsid w:val="00413CA7"/>
    <w:rsid w:val="00413CF6"/>
    <w:rsid w:val="00414F97"/>
    <w:rsid w:val="0041605C"/>
    <w:rsid w:val="004164A0"/>
    <w:rsid w:val="00416DCD"/>
    <w:rsid w:val="004201C9"/>
    <w:rsid w:val="00420554"/>
    <w:rsid w:val="00420B15"/>
    <w:rsid w:val="00421AA7"/>
    <w:rsid w:val="00421CC5"/>
    <w:rsid w:val="00422565"/>
    <w:rsid w:val="004229D2"/>
    <w:rsid w:val="00424442"/>
    <w:rsid w:val="00424C7E"/>
    <w:rsid w:val="00425697"/>
    <w:rsid w:val="00425A61"/>
    <w:rsid w:val="004270FD"/>
    <w:rsid w:val="00427923"/>
    <w:rsid w:val="00430FD7"/>
    <w:rsid w:val="00432000"/>
    <w:rsid w:val="00432DB8"/>
    <w:rsid w:val="0043546B"/>
    <w:rsid w:val="004402C9"/>
    <w:rsid w:val="0044285E"/>
    <w:rsid w:val="00442ACA"/>
    <w:rsid w:val="00443591"/>
    <w:rsid w:val="004446C9"/>
    <w:rsid w:val="004454EE"/>
    <w:rsid w:val="00445ADF"/>
    <w:rsid w:val="00445D45"/>
    <w:rsid w:val="00445D80"/>
    <w:rsid w:val="0044743C"/>
    <w:rsid w:val="00447A59"/>
    <w:rsid w:val="00450B1B"/>
    <w:rsid w:val="00450B28"/>
    <w:rsid w:val="004511BD"/>
    <w:rsid w:val="00452450"/>
    <w:rsid w:val="0045265A"/>
    <w:rsid w:val="00452E1A"/>
    <w:rsid w:val="00454137"/>
    <w:rsid w:val="00454C2D"/>
    <w:rsid w:val="0045555D"/>
    <w:rsid w:val="00455C11"/>
    <w:rsid w:val="00455C20"/>
    <w:rsid w:val="00455CA8"/>
    <w:rsid w:val="00455F77"/>
    <w:rsid w:val="004573B8"/>
    <w:rsid w:val="0046102C"/>
    <w:rsid w:val="004612F2"/>
    <w:rsid w:val="00461569"/>
    <w:rsid w:val="00461C79"/>
    <w:rsid w:val="0046280A"/>
    <w:rsid w:val="00463865"/>
    <w:rsid w:val="00463F9F"/>
    <w:rsid w:val="0046417D"/>
    <w:rsid w:val="004644A5"/>
    <w:rsid w:val="00464877"/>
    <w:rsid w:val="00465DFF"/>
    <w:rsid w:val="004662A9"/>
    <w:rsid w:val="00467AD7"/>
    <w:rsid w:val="004703CF"/>
    <w:rsid w:val="00470D50"/>
    <w:rsid w:val="00472EDF"/>
    <w:rsid w:val="00473585"/>
    <w:rsid w:val="004745CE"/>
    <w:rsid w:val="00474E36"/>
    <w:rsid w:val="00481C4D"/>
    <w:rsid w:val="00481F79"/>
    <w:rsid w:val="004823D6"/>
    <w:rsid w:val="0048315D"/>
    <w:rsid w:val="00484157"/>
    <w:rsid w:val="00484568"/>
    <w:rsid w:val="0048473F"/>
    <w:rsid w:val="00484C3B"/>
    <w:rsid w:val="00485741"/>
    <w:rsid w:val="00485775"/>
    <w:rsid w:val="0048643A"/>
    <w:rsid w:val="0048672B"/>
    <w:rsid w:val="00490989"/>
    <w:rsid w:val="00492522"/>
    <w:rsid w:val="00492691"/>
    <w:rsid w:val="00493143"/>
    <w:rsid w:val="004940E5"/>
    <w:rsid w:val="0049453B"/>
    <w:rsid w:val="00494979"/>
    <w:rsid w:val="00494D6F"/>
    <w:rsid w:val="00494E7C"/>
    <w:rsid w:val="00494FD9"/>
    <w:rsid w:val="00495143"/>
    <w:rsid w:val="0049581A"/>
    <w:rsid w:val="004972EB"/>
    <w:rsid w:val="0049787B"/>
    <w:rsid w:val="00497DDF"/>
    <w:rsid w:val="004A051C"/>
    <w:rsid w:val="004A1209"/>
    <w:rsid w:val="004A18D8"/>
    <w:rsid w:val="004A2F8F"/>
    <w:rsid w:val="004A30BE"/>
    <w:rsid w:val="004A3542"/>
    <w:rsid w:val="004A3B4F"/>
    <w:rsid w:val="004A4720"/>
    <w:rsid w:val="004A4A28"/>
    <w:rsid w:val="004A5CBC"/>
    <w:rsid w:val="004B05A0"/>
    <w:rsid w:val="004B0988"/>
    <w:rsid w:val="004B2EC8"/>
    <w:rsid w:val="004B479F"/>
    <w:rsid w:val="004B5336"/>
    <w:rsid w:val="004B5502"/>
    <w:rsid w:val="004B5812"/>
    <w:rsid w:val="004B660C"/>
    <w:rsid w:val="004C1167"/>
    <w:rsid w:val="004C17DD"/>
    <w:rsid w:val="004C1CBD"/>
    <w:rsid w:val="004C22A4"/>
    <w:rsid w:val="004C4063"/>
    <w:rsid w:val="004C440F"/>
    <w:rsid w:val="004C5A00"/>
    <w:rsid w:val="004C62FF"/>
    <w:rsid w:val="004C6C26"/>
    <w:rsid w:val="004C6F7E"/>
    <w:rsid w:val="004C7127"/>
    <w:rsid w:val="004D1B3E"/>
    <w:rsid w:val="004D3BC4"/>
    <w:rsid w:val="004D4025"/>
    <w:rsid w:val="004D4802"/>
    <w:rsid w:val="004D4A22"/>
    <w:rsid w:val="004D4C29"/>
    <w:rsid w:val="004D7D04"/>
    <w:rsid w:val="004D7FCC"/>
    <w:rsid w:val="004E0167"/>
    <w:rsid w:val="004E2607"/>
    <w:rsid w:val="004E2A4D"/>
    <w:rsid w:val="004E3B81"/>
    <w:rsid w:val="004E50F2"/>
    <w:rsid w:val="004E57AC"/>
    <w:rsid w:val="004E630F"/>
    <w:rsid w:val="004E63D9"/>
    <w:rsid w:val="004E7227"/>
    <w:rsid w:val="004E7DF5"/>
    <w:rsid w:val="004F0021"/>
    <w:rsid w:val="004F0E20"/>
    <w:rsid w:val="004F158F"/>
    <w:rsid w:val="004F3A38"/>
    <w:rsid w:val="004F3C4C"/>
    <w:rsid w:val="004F4768"/>
    <w:rsid w:val="004F534E"/>
    <w:rsid w:val="004F5AE2"/>
    <w:rsid w:val="004F5F54"/>
    <w:rsid w:val="004F6579"/>
    <w:rsid w:val="004F6C6A"/>
    <w:rsid w:val="004F70D8"/>
    <w:rsid w:val="004F7CC9"/>
    <w:rsid w:val="00500D01"/>
    <w:rsid w:val="005024D7"/>
    <w:rsid w:val="0050295D"/>
    <w:rsid w:val="005046B0"/>
    <w:rsid w:val="005067E0"/>
    <w:rsid w:val="0050740F"/>
    <w:rsid w:val="005104B6"/>
    <w:rsid w:val="005123D5"/>
    <w:rsid w:val="00515E4A"/>
    <w:rsid w:val="0051653B"/>
    <w:rsid w:val="00516F9F"/>
    <w:rsid w:val="00520315"/>
    <w:rsid w:val="005207E6"/>
    <w:rsid w:val="00521FC7"/>
    <w:rsid w:val="0052276C"/>
    <w:rsid w:val="0052279D"/>
    <w:rsid w:val="00522A32"/>
    <w:rsid w:val="00522B24"/>
    <w:rsid w:val="005242E1"/>
    <w:rsid w:val="005243F6"/>
    <w:rsid w:val="00525B2D"/>
    <w:rsid w:val="00525C86"/>
    <w:rsid w:val="00526256"/>
    <w:rsid w:val="005264B0"/>
    <w:rsid w:val="00526686"/>
    <w:rsid w:val="00527B51"/>
    <w:rsid w:val="005307DC"/>
    <w:rsid w:val="00533B88"/>
    <w:rsid w:val="00533C75"/>
    <w:rsid w:val="005362FE"/>
    <w:rsid w:val="00536BDB"/>
    <w:rsid w:val="005377C0"/>
    <w:rsid w:val="00540CED"/>
    <w:rsid w:val="00541DF5"/>
    <w:rsid w:val="00543CA8"/>
    <w:rsid w:val="00545570"/>
    <w:rsid w:val="00546D2D"/>
    <w:rsid w:val="00547175"/>
    <w:rsid w:val="005479B5"/>
    <w:rsid w:val="00547F94"/>
    <w:rsid w:val="00550222"/>
    <w:rsid w:val="0055098A"/>
    <w:rsid w:val="00551C7B"/>
    <w:rsid w:val="0055290B"/>
    <w:rsid w:val="0055452C"/>
    <w:rsid w:val="005550A3"/>
    <w:rsid w:val="00555214"/>
    <w:rsid w:val="005567AB"/>
    <w:rsid w:val="005577B3"/>
    <w:rsid w:val="005615CE"/>
    <w:rsid w:val="00562161"/>
    <w:rsid w:val="005621C8"/>
    <w:rsid w:val="0056404E"/>
    <w:rsid w:val="00564AA9"/>
    <w:rsid w:val="0056533F"/>
    <w:rsid w:val="00566324"/>
    <w:rsid w:val="00566EBB"/>
    <w:rsid w:val="00570758"/>
    <w:rsid w:val="00571447"/>
    <w:rsid w:val="00571E2B"/>
    <w:rsid w:val="00572414"/>
    <w:rsid w:val="00572439"/>
    <w:rsid w:val="00572759"/>
    <w:rsid w:val="005728B6"/>
    <w:rsid w:val="00573818"/>
    <w:rsid w:val="00575A93"/>
    <w:rsid w:val="00576BEE"/>
    <w:rsid w:val="005770AD"/>
    <w:rsid w:val="00577E9B"/>
    <w:rsid w:val="005801CC"/>
    <w:rsid w:val="0058047D"/>
    <w:rsid w:val="005805D2"/>
    <w:rsid w:val="00581AAD"/>
    <w:rsid w:val="00581B30"/>
    <w:rsid w:val="00583774"/>
    <w:rsid w:val="0058469F"/>
    <w:rsid w:val="00584DF8"/>
    <w:rsid w:val="00584F5B"/>
    <w:rsid w:val="0058636B"/>
    <w:rsid w:val="005877D0"/>
    <w:rsid w:val="00587B92"/>
    <w:rsid w:val="005903C8"/>
    <w:rsid w:val="005907EE"/>
    <w:rsid w:val="00591139"/>
    <w:rsid w:val="005915FF"/>
    <w:rsid w:val="00593622"/>
    <w:rsid w:val="00593B4E"/>
    <w:rsid w:val="005946ED"/>
    <w:rsid w:val="00596468"/>
    <w:rsid w:val="00597C6E"/>
    <w:rsid w:val="005A196A"/>
    <w:rsid w:val="005A2B84"/>
    <w:rsid w:val="005A2EDA"/>
    <w:rsid w:val="005A3820"/>
    <w:rsid w:val="005A38E2"/>
    <w:rsid w:val="005A4180"/>
    <w:rsid w:val="005A46B7"/>
    <w:rsid w:val="005A5191"/>
    <w:rsid w:val="005A5EFF"/>
    <w:rsid w:val="005A78C5"/>
    <w:rsid w:val="005B6699"/>
    <w:rsid w:val="005C277E"/>
    <w:rsid w:val="005C354C"/>
    <w:rsid w:val="005C3850"/>
    <w:rsid w:val="005C3D4C"/>
    <w:rsid w:val="005C3D85"/>
    <w:rsid w:val="005C4DF7"/>
    <w:rsid w:val="005C5C1F"/>
    <w:rsid w:val="005C5C72"/>
    <w:rsid w:val="005C61F8"/>
    <w:rsid w:val="005C6812"/>
    <w:rsid w:val="005C6B8E"/>
    <w:rsid w:val="005C6D76"/>
    <w:rsid w:val="005C748C"/>
    <w:rsid w:val="005C7C32"/>
    <w:rsid w:val="005D0CC8"/>
    <w:rsid w:val="005D34EB"/>
    <w:rsid w:val="005D3655"/>
    <w:rsid w:val="005D420B"/>
    <w:rsid w:val="005D48AB"/>
    <w:rsid w:val="005D65B4"/>
    <w:rsid w:val="005D6DF4"/>
    <w:rsid w:val="005D7F4E"/>
    <w:rsid w:val="005E04FB"/>
    <w:rsid w:val="005E098B"/>
    <w:rsid w:val="005E3C2A"/>
    <w:rsid w:val="005E4764"/>
    <w:rsid w:val="005E57B5"/>
    <w:rsid w:val="005E5810"/>
    <w:rsid w:val="005E5CB9"/>
    <w:rsid w:val="005E6B11"/>
    <w:rsid w:val="005E714D"/>
    <w:rsid w:val="005E76A9"/>
    <w:rsid w:val="005F16A8"/>
    <w:rsid w:val="005F20A2"/>
    <w:rsid w:val="005F287C"/>
    <w:rsid w:val="005F33E1"/>
    <w:rsid w:val="005F3A4A"/>
    <w:rsid w:val="005F5243"/>
    <w:rsid w:val="005F61BD"/>
    <w:rsid w:val="00601956"/>
    <w:rsid w:val="006038BA"/>
    <w:rsid w:val="006068BB"/>
    <w:rsid w:val="00606E4F"/>
    <w:rsid w:val="00610196"/>
    <w:rsid w:val="006104B1"/>
    <w:rsid w:val="00610D02"/>
    <w:rsid w:val="00610F2F"/>
    <w:rsid w:val="006117B8"/>
    <w:rsid w:val="00611BE5"/>
    <w:rsid w:val="006124B3"/>
    <w:rsid w:val="00614019"/>
    <w:rsid w:val="0061404C"/>
    <w:rsid w:val="0061518E"/>
    <w:rsid w:val="00615661"/>
    <w:rsid w:val="00615C5D"/>
    <w:rsid w:val="006165C7"/>
    <w:rsid w:val="006167E3"/>
    <w:rsid w:val="00621078"/>
    <w:rsid w:val="0062177A"/>
    <w:rsid w:val="00621AB6"/>
    <w:rsid w:val="006238A5"/>
    <w:rsid w:val="006254D4"/>
    <w:rsid w:val="00626F6E"/>
    <w:rsid w:val="00627BDB"/>
    <w:rsid w:val="0063026B"/>
    <w:rsid w:val="00630C3D"/>
    <w:rsid w:val="0063108D"/>
    <w:rsid w:val="00631826"/>
    <w:rsid w:val="0063191A"/>
    <w:rsid w:val="00632CAD"/>
    <w:rsid w:val="00632E7B"/>
    <w:rsid w:val="006331AC"/>
    <w:rsid w:val="00636177"/>
    <w:rsid w:val="006367B0"/>
    <w:rsid w:val="00641F96"/>
    <w:rsid w:val="00642DF9"/>
    <w:rsid w:val="006437D5"/>
    <w:rsid w:val="00644647"/>
    <w:rsid w:val="0064479F"/>
    <w:rsid w:val="00644AAA"/>
    <w:rsid w:val="00645293"/>
    <w:rsid w:val="00645C28"/>
    <w:rsid w:val="00647A3A"/>
    <w:rsid w:val="006505DF"/>
    <w:rsid w:val="006509C3"/>
    <w:rsid w:val="006512F3"/>
    <w:rsid w:val="0065162C"/>
    <w:rsid w:val="006526CF"/>
    <w:rsid w:val="00652973"/>
    <w:rsid w:val="0065314C"/>
    <w:rsid w:val="00653828"/>
    <w:rsid w:val="00653F11"/>
    <w:rsid w:val="00656679"/>
    <w:rsid w:val="006566E3"/>
    <w:rsid w:val="00656B4E"/>
    <w:rsid w:val="00656E3F"/>
    <w:rsid w:val="00657A42"/>
    <w:rsid w:val="00660A55"/>
    <w:rsid w:val="00660F31"/>
    <w:rsid w:val="00661D60"/>
    <w:rsid w:val="00663DEB"/>
    <w:rsid w:val="0066528C"/>
    <w:rsid w:val="00666929"/>
    <w:rsid w:val="00667D18"/>
    <w:rsid w:val="00670D7A"/>
    <w:rsid w:val="006728F4"/>
    <w:rsid w:val="00672FAB"/>
    <w:rsid w:val="00674336"/>
    <w:rsid w:val="00675CD3"/>
    <w:rsid w:val="00676D66"/>
    <w:rsid w:val="0067712D"/>
    <w:rsid w:val="00682186"/>
    <w:rsid w:val="00682349"/>
    <w:rsid w:val="00682A97"/>
    <w:rsid w:val="00682F9C"/>
    <w:rsid w:val="00683015"/>
    <w:rsid w:val="006855A8"/>
    <w:rsid w:val="006904C6"/>
    <w:rsid w:val="00691B2C"/>
    <w:rsid w:val="0069242B"/>
    <w:rsid w:val="0069357B"/>
    <w:rsid w:val="00694816"/>
    <w:rsid w:val="006948BC"/>
    <w:rsid w:val="00694D7F"/>
    <w:rsid w:val="00696289"/>
    <w:rsid w:val="00696A48"/>
    <w:rsid w:val="006A0140"/>
    <w:rsid w:val="006A02BD"/>
    <w:rsid w:val="006A032E"/>
    <w:rsid w:val="006A0709"/>
    <w:rsid w:val="006A1467"/>
    <w:rsid w:val="006A158C"/>
    <w:rsid w:val="006A310B"/>
    <w:rsid w:val="006A3686"/>
    <w:rsid w:val="006A38E6"/>
    <w:rsid w:val="006A3F21"/>
    <w:rsid w:val="006A4211"/>
    <w:rsid w:val="006A57DE"/>
    <w:rsid w:val="006A60D6"/>
    <w:rsid w:val="006A6875"/>
    <w:rsid w:val="006A6D83"/>
    <w:rsid w:val="006A739B"/>
    <w:rsid w:val="006B08CA"/>
    <w:rsid w:val="006B0A3C"/>
    <w:rsid w:val="006B34FC"/>
    <w:rsid w:val="006B56D5"/>
    <w:rsid w:val="006B6679"/>
    <w:rsid w:val="006B6C20"/>
    <w:rsid w:val="006B705C"/>
    <w:rsid w:val="006B74F9"/>
    <w:rsid w:val="006B7EC7"/>
    <w:rsid w:val="006C4064"/>
    <w:rsid w:val="006C5A17"/>
    <w:rsid w:val="006C5DA9"/>
    <w:rsid w:val="006C69AA"/>
    <w:rsid w:val="006C6A6E"/>
    <w:rsid w:val="006C7218"/>
    <w:rsid w:val="006D19E4"/>
    <w:rsid w:val="006D660F"/>
    <w:rsid w:val="006E0A51"/>
    <w:rsid w:val="006E3230"/>
    <w:rsid w:val="006E56C9"/>
    <w:rsid w:val="006E5EE7"/>
    <w:rsid w:val="006E6515"/>
    <w:rsid w:val="006E6B74"/>
    <w:rsid w:val="006E6FC9"/>
    <w:rsid w:val="006E72D2"/>
    <w:rsid w:val="006E7895"/>
    <w:rsid w:val="006F0649"/>
    <w:rsid w:val="006F0FCD"/>
    <w:rsid w:val="006F1153"/>
    <w:rsid w:val="006F137A"/>
    <w:rsid w:val="006F14D2"/>
    <w:rsid w:val="006F340C"/>
    <w:rsid w:val="006F49B0"/>
    <w:rsid w:val="006F62C4"/>
    <w:rsid w:val="006F68A0"/>
    <w:rsid w:val="00700737"/>
    <w:rsid w:val="00700EEF"/>
    <w:rsid w:val="00701048"/>
    <w:rsid w:val="00701407"/>
    <w:rsid w:val="00702D1B"/>
    <w:rsid w:val="00703345"/>
    <w:rsid w:val="007037A4"/>
    <w:rsid w:val="00704A67"/>
    <w:rsid w:val="0070536B"/>
    <w:rsid w:val="00705579"/>
    <w:rsid w:val="00705E73"/>
    <w:rsid w:val="00706058"/>
    <w:rsid w:val="00707374"/>
    <w:rsid w:val="00710513"/>
    <w:rsid w:val="007105CE"/>
    <w:rsid w:val="0071085A"/>
    <w:rsid w:val="00710A86"/>
    <w:rsid w:val="00712E6D"/>
    <w:rsid w:val="00713C60"/>
    <w:rsid w:val="00714AD6"/>
    <w:rsid w:val="007154E9"/>
    <w:rsid w:val="007176EF"/>
    <w:rsid w:val="007178BF"/>
    <w:rsid w:val="00717BA5"/>
    <w:rsid w:val="0072029A"/>
    <w:rsid w:val="00720F76"/>
    <w:rsid w:val="007219C5"/>
    <w:rsid w:val="0072269A"/>
    <w:rsid w:val="00722B39"/>
    <w:rsid w:val="00725152"/>
    <w:rsid w:val="00725C38"/>
    <w:rsid w:val="00725D7A"/>
    <w:rsid w:val="00726174"/>
    <w:rsid w:val="00726BB7"/>
    <w:rsid w:val="0072771D"/>
    <w:rsid w:val="00727B50"/>
    <w:rsid w:val="00730752"/>
    <w:rsid w:val="0073173B"/>
    <w:rsid w:val="00731EC8"/>
    <w:rsid w:val="00732414"/>
    <w:rsid w:val="007325C4"/>
    <w:rsid w:val="0073261C"/>
    <w:rsid w:val="00732AB9"/>
    <w:rsid w:val="00733754"/>
    <w:rsid w:val="007352E5"/>
    <w:rsid w:val="007371B6"/>
    <w:rsid w:val="00740738"/>
    <w:rsid w:val="00741A70"/>
    <w:rsid w:val="0074275C"/>
    <w:rsid w:val="007446EB"/>
    <w:rsid w:val="00746169"/>
    <w:rsid w:val="007469DD"/>
    <w:rsid w:val="007475A9"/>
    <w:rsid w:val="007479DA"/>
    <w:rsid w:val="007508D4"/>
    <w:rsid w:val="00750EC4"/>
    <w:rsid w:val="00751936"/>
    <w:rsid w:val="00753BC9"/>
    <w:rsid w:val="00753E53"/>
    <w:rsid w:val="0075482F"/>
    <w:rsid w:val="00756325"/>
    <w:rsid w:val="007575E1"/>
    <w:rsid w:val="00757BCE"/>
    <w:rsid w:val="00757E75"/>
    <w:rsid w:val="007601B8"/>
    <w:rsid w:val="00760829"/>
    <w:rsid w:val="00761CAA"/>
    <w:rsid w:val="007624C1"/>
    <w:rsid w:val="007624E0"/>
    <w:rsid w:val="007674FA"/>
    <w:rsid w:val="00767718"/>
    <w:rsid w:val="00771C16"/>
    <w:rsid w:val="00773B29"/>
    <w:rsid w:val="00773DBC"/>
    <w:rsid w:val="00774C88"/>
    <w:rsid w:val="00774D73"/>
    <w:rsid w:val="007762A9"/>
    <w:rsid w:val="00777E24"/>
    <w:rsid w:val="00780071"/>
    <w:rsid w:val="00780BCB"/>
    <w:rsid w:val="007813C7"/>
    <w:rsid w:val="00781E2E"/>
    <w:rsid w:val="0078211F"/>
    <w:rsid w:val="00782418"/>
    <w:rsid w:val="00782C58"/>
    <w:rsid w:val="00783225"/>
    <w:rsid w:val="00783247"/>
    <w:rsid w:val="00783E69"/>
    <w:rsid w:val="00783F44"/>
    <w:rsid w:val="007849B3"/>
    <w:rsid w:val="00787494"/>
    <w:rsid w:val="00787D0D"/>
    <w:rsid w:val="007902C3"/>
    <w:rsid w:val="00790717"/>
    <w:rsid w:val="00791A51"/>
    <w:rsid w:val="00791D28"/>
    <w:rsid w:val="00792B4A"/>
    <w:rsid w:val="00792F07"/>
    <w:rsid w:val="0079415E"/>
    <w:rsid w:val="00795525"/>
    <w:rsid w:val="00795AF8"/>
    <w:rsid w:val="0079687B"/>
    <w:rsid w:val="00796A11"/>
    <w:rsid w:val="00797A22"/>
    <w:rsid w:val="007A0D91"/>
    <w:rsid w:val="007A2079"/>
    <w:rsid w:val="007A2C97"/>
    <w:rsid w:val="007A32F9"/>
    <w:rsid w:val="007A5961"/>
    <w:rsid w:val="007A7723"/>
    <w:rsid w:val="007B0466"/>
    <w:rsid w:val="007B22F5"/>
    <w:rsid w:val="007B241B"/>
    <w:rsid w:val="007B3B3A"/>
    <w:rsid w:val="007B3BD5"/>
    <w:rsid w:val="007B3C2A"/>
    <w:rsid w:val="007B47CE"/>
    <w:rsid w:val="007B6138"/>
    <w:rsid w:val="007C1E44"/>
    <w:rsid w:val="007C2858"/>
    <w:rsid w:val="007C2AE6"/>
    <w:rsid w:val="007C2BA4"/>
    <w:rsid w:val="007C3281"/>
    <w:rsid w:val="007C3378"/>
    <w:rsid w:val="007C473A"/>
    <w:rsid w:val="007C4E95"/>
    <w:rsid w:val="007C50A7"/>
    <w:rsid w:val="007D119B"/>
    <w:rsid w:val="007D2240"/>
    <w:rsid w:val="007D29AE"/>
    <w:rsid w:val="007D36DE"/>
    <w:rsid w:val="007D3C14"/>
    <w:rsid w:val="007D54AE"/>
    <w:rsid w:val="007D5C62"/>
    <w:rsid w:val="007D7F5B"/>
    <w:rsid w:val="007E0334"/>
    <w:rsid w:val="007E1133"/>
    <w:rsid w:val="007E207A"/>
    <w:rsid w:val="007E219B"/>
    <w:rsid w:val="007E2B38"/>
    <w:rsid w:val="007E2D8C"/>
    <w:rsid w:val="007E332C"/>
    <w:rsid w:val="007E3487"/>
    <w:rsid w:val="007E3EF2"/>
    <w:rsid w:val="007E455A"/>
    <w:rsid w:val="007E560C"/>
    <w:rsid w:val="007F1287"/>
    <w:rsid w:val="007F256A"/>
    <w:rsid w:val="007F3130"/>
    <w:rsid w:val="007F667A"/>
    <w:rsid w:val="007F704E"/>
    <w:rsid w:val="007F76D7"/>
    <w:rsid w:val="0080073E"/>
    <w:rsid w:val="00800A2B"/>
    <w:rsid w:val="00800BA4"/>
    <w:rsid w:val="00802BC8"/>
    <w:rsid w:val="0080449C"/>
    <w:rsid w:val="0080494B"/>
    <w:rsid w:val="008052A7"/>
    <w:rsid w:val="008069B3"/>
    <w:rsid w:val="00806A08"/>
    <w:rsid w:val="00806C1C"/>
    <w:rsid w:val="00810FAC"/>
    <w:rsid w:val="00811525"/>
    <w:rsid w:val="008117B1"/>
    <w:rsid w:val="00812843"/>
    <w:rsid w:val="008128D1"/>
    <w:rsid w:val="00813215"/>
    <w:rsid w:val="008134F7"/>
    <w:rsid w:val="00813664"/>
    <w:rsid w:val="0081515E"/>
    <w:rsid w:val="00815309"/>
    <w:rsid w:val="00816251"/>
    <w:rsid w:val="00817842"/>
    <w:rsid w:val="00817CEC"/>
    <w:rsid w:val="00817E11"/>
    <w:rsid w:val="00817E1B"/>
    <w:rsid w:val="00821329"/>
    <w:rsid w:val="00821B8A"/>
    <w:rsid w:val="008263F4"/>
    <w:rsid w:val="00826421"/>
    <w:rsid w:val="00826757"/>
    <w:rsid w:val="00826B0B"/>
    <w:rsid w:val="00830D3B"/>
    <w:rsid w:val="0083163D"/>
    <w:rsid w:val="00832024"/>
    <w:rsid w:val="00832030"/>
    <w:rsid w:val="00832E4B"/>
    <w:rsid w:val="00837079"/>
    <w:rsid w:val="00840B4F"/>
    <w:rsid w:val="00842044"/>
    <w:rsid w:val="0084211C"/>
    <w:rsid w:val="00845BFF"/>
    <w:rsid w:val="00845C32"/>
    <w:rsid w:val="00846209"/>
    <w:rsid w:val="00846746"/>
    <w:rsid w:val="00846E79"/>
    <w:rsid w:val="00852661"/>
    <w:rsid w:val="00853769"/>
    <w:rsid w:val="008545FD"/>
    <w:rsid w:val="0085473E"/>
    <w:rsid w:val="00854E48"/>
    <w:rsid w:val="008554B7"/>
    <w:rsid w:val="00857D3A"/>
    <w:rsid w:val="00860355"/>
    <w:rsid w:val="0086162E"/>
    <w:rsid w:val="00861B9E"/>
    <w:rsid w:val="00862EA8"/>
    <w:rsid w:val="008630A2"/>
    <w:rsid w:val="00864A37"/>
    <w:rsid w:val="00867124"/>
    <w:rsid w:val="008677C6"/>
    <w:rsid w:val="00870DB9"/>
    <w:rsid w:val="00871290"/>
    <w:rsid w:val="008712B1"/>
    <w:rsid w:val="00872D88"/>
    <w:rsid w:val="00873304"/>
    <w:rsid w:val="008743F8"/>
    <w:rsid w:val="00874DA5"/>
    <w:rsid w:val="00875452"/>
    <w:rsid w:val="00875774"/>
    <w:rsid w:val="0087672C"/>
    <w:rsid w:val="00881407"/>
    <w:rsid w:val="00882509"/>
    <w:rsid w:val="00883332"/>
    <w:rsid w:val="0088424D"/>
    <w:rsid w:val="0088489C"/>
    <w:rsid w:val="008856D6"/>
    <w:rsid w:val="0088592F"/>
    <w:rsid w:val="00885A76"/>
    <w:rsid w:val="00885D85"/>
    <w:rsid w:val="008914A9"/>
    <w:rsid w:val="008914B6"/>
    <w:rsid w:val="008923B6"/>
    <w:rsid w:val="00892D90"/>
    <w:rsid w:val="008930EC"/>
    <w:rsid w:val="00893317"/>
    <w:rsid w:val="00894271"/>
    <w:rsid w:val="008944F4"/>
    <w:rsid w:val="00894ECB"/>
    <w:rsid w:val="008958FE"/>
    <w:rsid w:val="00896083"/>
    <w:rsid w:val="00896DA7"/>
    <w:rsid w:val="008A0098"/>
    <w:rsid w:val="008A052C"/>
    <w:rsid w:val="008A2C24"/>
    <w:rsid w:val="008A2FC0"/>
    <w:rsid w:val="008A3CB2"/>
    <w:rsid w:val="008A4AC7"/>
    <w:rsid w:val="008A6141"/>
    <w:rsid w:val="008A74BB"/>
    <w:rsid w:val="008B1483"/>
    <w:rsid w:val="008B1694"/>
    <w:rsid w:val="008B209F"/>
    <w:rsid w:val="008B283C"/>
    <w:rsid w:val="008B3F52"/>
    <w:rsid w:val="008B4B17"/>
    <w:rsid w:val="008B4F05"/>
    <w:rsid w:val="008B4FB6"/>
    <w:rsid w:val="008B4FC0"/>
    <w:rsid w:val="008B5E0C"/>
    <w:rsid w:val="008B790F"/>
    <w:rsid w:val="008B7D1F"/>
    <w:rsid w:val="008C0A74"/>
    <w:rsid w:val="008C0B64"/>
    <w:rsid w:val="008C121F"/>
    <w:rsid w:val="008C26C9"/>
    <w:rsid w:val="008C2A6A"/>
    <w:rsid w:val="008C2C53"/>
    <w:rsid w:val="008C2D0E"/>
    <w:rsid w:val="008C3945"/>
    <w:rsid w:val="008C3BDA"/>
    <w:rsid w:val="008C50FD"/>
    <w:rsid w:val="008C57EA"/>
    <w:rsid w:val="008C5B99"/>
    <w:rsid w:val="008C7591"/>
    <w:rsid w:val="008C7BB8"/>
    <w:rsid w:val="008C7F80"/>
    <w:rsid w:val="008D0357"/>
    <w:rsid w:val="008D1352"/>
    <w:rsid w:val="008D23FF"/>
    <w:rsid w:val="008D252A"/>
    <w:rsid w:val="008D2A63"/>
    <w:rsid w:val="008D3858"/>
    <w:rsid w:val="008D3B45"/>
    <w:rsid w:val="008D4A4F"/>
    <w:rsid w:val="008D517F"/>
    <w:rsid w:val="008D5438"/>
    <w:rsid w:val="008D7BDC"/>
    <w:rsid w:val="008E06E8"/>
    <w:rsid w:val="008E24CC"/>
    <w:rsid w:val="008E71D4"/>
    <w:rsid w:val="008E7796"/>
    <w:rsid w:val="008E7D20"/>
    <w:rsid w:val="008F1365"/>
    <w:rsid w:val="008F1696"/>
    <w:rsid w:val="008F20BA"/>
    <w:rsid w:val="008F27B7"/>
    <w:rsid w:val="008F2F20"/>
    <w:rsid w:val="008F353D"/>
    <w:rsid w:val="008F43BC"/>
    <w:rsid w:val="008F5F58"/>
    <w:rsid w:val="00900485"/>
    <w:rsid w:val="009023FD"/>
    <w:rsid w:val="00903727"/>
    <w:rsid w:val="00903F75"/>
    <w:rsid w:val="00904C90"/>
    <w:rsid w:val="0090547D"/>
    <w:rsid w:val="009058B5"/>
    <w:rsid w:val="0090736C"/>
    <w:rsid w:val="009078AE"/>
    <w:rsid w:val="00910234"/>
    <w:rsid w:val="00910B61"/>
    <w:rsid w:val="00911E44"/>
    <w:rsid w:val="0091281A"/>
    <w:rsid w:val="00912CA2"/>
    <w:rsid w:val="0091324C"/>
    <w:rsid w:val="009159B2"/>
    <w:rsid w:val="00921199"/>
    <w:rsid w:val="009218D3"/>
    <w:rsid w:val="009224DD"/>
    <w:rsid w:val="009230BC"/>
    <w:rsid w:val="00924A6D"/>
    <w:rsid w:val="00926066"/>
    <w:rsid w:val="009278A3"/>
    <w:rsid w:val="00927E95"/>
    <w:rsid w:val="00930160"/>
    <w:rsid w:val="00933317"/>
    <w:rsid w:val="00934191"/>
    <w:rsid w:val="00936AB5"/>
    <w:rsid w:val="00936C5C"/>
    <w:rsid w:val="009374E8"/>
    <w:rsid w:val="00937A24"/>
    <w:rsid w:val="00937CAB"/>
    <w:rsid w:val="00937E98"/>
    <w:rsid w:val="009408AF"/>
    <w:rsid w:val="00944282"/>
    <w:rsid w:val="0094460F"/>
    <w:rsid w:val="0094515B"/>
    <w:rsid w:val="00945A9C"/>
    <w:rsid w:val="009461ED"/>
    <w:rsid w:val="00946901"/>
    <w:rsid w:val="00946DB1"/>
    <w:rsid w:val="00950C0A"/>
    <w:rsid w:val="009517B9"/>
    <w:rsid w:val="0095187A"/>
    <w:rsid w:val="00952A25"/>
    <w:rsid w:val="00952DCC"/>
    <w:rsid w:val="009538E6"/>
    <w:rsid w:val="00955C5F"/>
    <w:rsid w:val="0095641F"/>
    <w:rsid w:val="00956711"/>
    <w:rsid w:val="00960878"/>
    <w:rsid w:val="009627F1"/>
    <w:rsid w:val="009631BA"/>
    <w:rsid w:val="00963350"/>
    <w:rsid w:val="00963744"/>
    <w:rsid w:val="00964E2B"/>
    <w:rsid w:val="0096617D"/>
    <w:rsid w:val="00966F60"/>
    <w:rsid w:val="009704A0"/>
    <w:rsid w:val="009704E4"/>
    <w:rsid w:val="00974583"/>
    <w:rsid w:val="00974AA6"/>
    <w:rsid w:val="009775C7"/>
    <w:rsid w:val="00977A2B"/>
    <w:rsid w:val="00977FB5"/>
    <w:rsid w:val="0098085B"/>
    <w:rsid w:val="0098109F"/>
    <w:rsid w:val="00981170"/>
    <w:rsid w:val="0098146B"/>
    <w:rsid w:val="00982AD6"/>
    <w:rsid w:val="00985368"/>
    <w:rsid w:val="009853F4"/>
    <w:rsid w:val="00986666"/>
    <w:rsid w:val="0099041B"/>
    <w:rsid w:val="00990CE4"/>
    <w:rsid w:val="00991A52"/>
    <w:rsid w:val="009921C1"/>
    <w:rsid w:val="009928E7"/>
    <w:rsid w:val="009966B4"/>
    <w:rsid w:val="009966CA"/>
    <w:rsid w:val="00996BFD"/>
    <w:rsid w:val="009A008A"/>
    <w:rsid w:val="009A0E9F"/>
    <w:rsid w:val="009A1087"/>
    <w:rsid w:val="009A1B25"/>
    <w:rsid w:val="009A1B5C"/>
    <w:rsid w:val="009A20D3"/>
    <w:rsid w:val="009A2BED"/>
    <w:rsid w:val="009A3630"/>
    <w:rsid w:val="009A437C"/>
    <w:rsid w:val="009A4F49"/>
    <w:rsid w:val="009A50DA"/>
    <w:rsid w:val="009A6F6F"/>
    <w:rsid w:val="009A703E"/>
    <w:rsid w:val="009A740E"/>
    <w:rsid w:val="009B0108"/>
    <w:rsid w:val="009B1924"/>
    <w:rsid w:val="009B28C0"/>
    <w:rsid w:val="009B29BD"/>
    <w:rsid w:val="009B3633"/>
    <w:rsid w:val="009B434A"/>
    <w:rsid w:val="009B4756"/>
    <w:rsid w:val="009B4F01"/>
    <w:rsid w:val="009B7316"/>
    <w:rsid w:val="009C04F5"/>
    <w:rsid w:val="009C0525"/>
    <w:rsid w:val="009C1033"/>
    <w:rsid w:val="009C22BE"/>
    <w:rsid w:val="009C33BD"/>
    <w:rsid w:val="009C4235"/>
    <w:rsid w:val="009C4463"/>
    <w:rsid w:val="009C57D5"/>
    <w:rsid w:val="009C66B8"/>
    <w:rsid w:val="009C703C"/>
    <w:rsid w:val="009C77C4"/>
    <w:rsid w:val="009D0407"/>
    <w:rsid w:val="009D1AC9"/>
    <w:rsid w:val="009D2450"/>
    <w:rsid w:val="009D2BE4"/>
    <w:rsid w:val="009D3A74"/>
    <w:rsid w:val="009D3E88"/>
    <w:rsid w:val="009D4625"/>
    <w:rsid w:val="009D7FC6"/>
    <w:rsid w:val="009E0B58"/>
    <w:rsid w:val="009E1A1C"/>
    <w:rsid w:val="009E231A"/>
    <w:rsid w:val="009E2F64"/>
    <w:rsid w:val="009E3A9A"/>
    <w:rsid w:val="009E5025"/>
    <w:rsid w:val="009E5DE5"/>
    <w:rsid w:val="009E7AB9"/>
    <w:rsid w:val="009F0FD2"/>
    <w:rsid w:val="009F1504"/>
    <w:rsid w:val="009F1976"/>
    <w:rsid w:val="009F2FC3"/>
    <w:rsid w:val="009F3A1B"/>
    <w:rsid w:val="009F4162"/>
    <w:rsid w:val="009F4698"/>
    <w:rsid w:val="009F4FC6"/>
    <w:rsid w:val="009F58F8"/>
    <w:rsid w:val="009F6552"/>
    <w:rsid w:val="009F7914"/>
    <w:rsid w:val="00A0070E"/>
    <w:rsid w:val="00A00B2C"/>
    <w:rsid w:val="00A014CF"/>
    <w:rsid w:val="00A02C5B"/>
    <w:rsid w:val="00A02D08"/>
    <w:rsid w:val="00A04093"/>
    <w:rsid w:val="00A052CD"/>
    <w:rsid w:val="00A05614"/>
    <w:rsid w:val="00A067BD"/>
    <w:rsid w:val="00A07B71"/>
    <w:rsid w:val="00A10A6B"/>
    <w:rsid w:val="00A10E2B"/>
    <w:rsid w:val="00A10F77"/>
    <w:rsid w:val="00A11CD6"/>
    <w:rsid w:val="00A13133"/>
    <w:rsid w:val="00A13E51"/>
    <w:rsid w:val="00A15DC0"/>
    <w:rsid w:val="00A16EA5"/>
    <w:rsid w:val="00A172BE"/>
    <w:rsid w:val="00A17ADE"/>
    <w:rsid w:val="00A2119D"/>
    <w:rsid w:val="00A245D0"/>
    <w:rsid w:val="00A25932"/>
    <w:rsid w:val="00A25DBC"/>
    <w:rsid w:val="00A27822"/>
    <w:rsid w:val="00A30084"/>
    <w:rsid w:val="00A321EA"/>
    <w:rsid w:val="00A32218"/>
    <w:rsid w:val="00A327E6"/>
    <w:rsid w:val="00A33831"/>
    <w:rsid w:val="00A33BD4"/>
    <w:rsid w:val="00A37E39"/>
    <w:rsid w:val="00A41F58"/>
    <w:rsid w:val="00A42C07"/>
    <w:rsid w:val="00A4452D"/>
    <w:rsid w:val="00A47201"/>
    <w:rsid w:val="00A476D5"/>
    <w:rsid w:val="00A50895"/>
    <w:rsid w:val="00A508EA"/>
    <w:rsid w:val="00A515D1"/>
    <w:rsid w:val="00A5244C"/>
    <w:rsid w:val="00A52459"/>
    <w:rsid w:val="00A52F52"/>
    <w:rsid w:val="00A53C8A"/>
    <w:rsid w:val="00A54535"/>
    <w:rsid w:val="00A54FD1"/>
    <w:rsid w:val="00A55A49"/>
    <w:rsid w:val="00A55DE5"/>
    <w:rsid w:val="00A5671B"/>
    <w:rsid w:val="00A600A0"/>
    <w:rsid w:val="00A60393"/>
    <w:rsid w:val="00A616A2"/>
    <w:rsid w:val="00A61881"/>
    <w:rsid w:val="00A618B9"/>
    <w:rsid w:val="00A6193A"/>
    <w:rsid w:val="00A620B7"/>
    <w:rsid w:val="00A63786"/>
    <w:rsid w:val="00A63F26"/>
    <w:rsid w:val="00A64B05"/>
    <w:rsid w:val="00A662F6"/>
    <w:rsid w:val="00A66FD0"/>
    <w:rsid w:val="00A677AB"/>
    <w:rsid w:val="00A71985"/>
    <w:rsid w:val="00A71CCB"/>
    <w:rsid w:val="00A72227"/>
    <w:rsid w:val="00A73318"/>
    <w:rsid w:val="00A7524D"/>
    <w:rsid w:val="00A7586C"/>
    <w:rsid w:val="00A76D07"/>
    <w:rsid w:val="00A76E29"/>
    <w:rsid w:val="00A770C0"/>
    <w:rsid w:val="00A80E75"/>
    <w:rsid w:val="00A8277D"/>
    <w:rsid w:val="00A82F45"/>
    <w:rsid w:val="00A83E01"/>
    <w:rsid w:val="00A8479B"/>
    <w:rsid w:val="00A84A3F"/>
    <w:rsid w:val="00A84EDA"/>
    <w:rsid w:val="00A85121"/>
    <w:rsid w:val="00A85D21"/>
    <w:rsid w:val="00A86B1D"/>
    <w:rsid w:val="00A86C5F"/>
    <w:rsid w:val="00A87C32"/>
    <w:rsid w:val="00A9011B"/>
    <w:rsid w:val="00A90D72"/>
    <w:rsid w:val="00A92880"/>
    <w:rsid w:val="00A92E96"/>
    <w:rsid w:val="00A93867"/>
    <w:rsid w:val="00A9402B"/>
    <w:rsid w:val="00A95844"/>
    <w:rsid w:val="00A95997"/>
    <w:rsid w:val="00A970F1"/>
    <w:rsid w:val="00A97444"/>
    <w:rsid w:val="00AA2BED"/>
    <w:rsid w:val="00AA44D4"/>
    <w:rsid w:val="00AA4853"/>
    <w:rsid w:val="00AA59B5"/>
    <w:rsid w:val="00AA60E1"/>
    <w:rsid w:val="00AA6B2D"/>
    <w:rsid w:val="00AB1D74"/>
    <w:rsid w:val="00AB2CFE"/>
    <w:rsid w:val="00AB3FF3"/>
    <w:rsid w:val="00AB4567"/>
    <w:rsid w:val="00AB4DC6"/>
    <w:rsid w:val="00AB5B51"/>
    <w:rsid w:val="00AB5D1D"/>
    <w:rsid w:val="00AB6F72"/>
    <w:rsid w:val="00AB7FA3"/>
    <w:rsid w:val="00AC0B29"/>
    <w:rsid w:val="00AC129A"/>
    <w:rsid w:val="00AC1D2E"/>
    <w:rsid w:val="00AC1DAD"/>
    <w:rsid w:val="00AC2F80"/>
    <w:rsid w:val="00AC3748"/>
    <w:rsid w:val="00AC4FF1"/>
    <w:rsid w:val="00AC6733"/>
    <w:rsid w:val="00AC688A"/>
    <w:rsid w:val="00AC731D"/>
    <w:rsid w:val="00AD3A05"/>
    <w:rsid w:val="00AD3DF1"/>
    <w:rsid w:val="00AD52B0"/>
    <w:rsid w:val="00AD5A8B"/>
    <w:rsid w:val="00AD6B34"/>
    <w:rsid w:val="00AD6FEB"/>
    <w:rsid w:val="00AD7002"/>
    <w:rsid w:val="00AD7CC6"/>
    <w:rsid w:val="00AE0713"/>
    <w:rsid w:val="00AE0738"/>
    <w:rsid w:val="00AE0E1C"/>
    <w:rsid w:val="00AE2ED8"/>
    <w:rsid w:val="00AE390D"/>
    <w:rsid w:val="00AE5425"/>
    <w:rsid w:val="00AE5598"/>
    <w:rsid w:val="00AE55F2"/>
    <w:rsid w:val="00AE6472"/>
    <w:rsid w:val="00AE6D4D"/>
    <w:rsid w:val="00AE7054"/>
    <w:rsid w:val="00AE7742"/>
    <w:rsid w:val="00AF09EE"/>
    <w:rsid w:val="00AF1005"/>
    <w:rsid w:val="00AF1574"/>
    <w:rsid w:val="00AF1F26"/>
    <w:rsid w:val="00AF30C1"/>
    <w:rsid w:val="00AF4AF5"/>
    <w:rsid w:val="00AF4F79"/>
    <w:rsid w:val="00AF6A8B"/>
    <w:rsid w:val="00AF6AF7"/>
    <w:rsid w:val="00AF7200"/>
    <w:rsid w:val="00AF7380"/>
    <w:rsid w:val="00AF7794"/>
    <w:rsid w:val="00B00258"/>
    <w:rsid w:val="00B009D0"/>
    <w:rsid w:val="00B01E91"/>
    <w:rsid w:val="00B02578"/>
    <w:rsid w:val="00B025BE"/>
    <w:rsid w:val="00B037AF"/>
    <w:rsid w:val="00B05F5C"/>
    <w:rsid w:val="00B068A7"/>
    <w:rsid w:val="00B06DAF"/>
    <w:rsid w:val="00B07CF1"/>
    <w:rsid w:val="00B11175"/>
    <w:rsid w:val="00B11617"/>
    <w:rsid w:val="00B1194A"/>
    <w:rsid w:val="00B13836"/>
    <w:rsid w:val="00B13D63"/>
    <w:rsid w:val="00B140CB"/>
    <w:rsid w:val="00B1568C"/>
    <w:rsid w:val="00B16321"/>
    <w:rsid w:val="00B16943"/>
    <w:rsid w:val="00B20FA8"/>
    <w:rsid w:val="00B214A2"/>
    <w:rsid w:val="00B22DF6"/>
    <w:rsid w:val="00B2311D"/>
    <w:rsid w:val="00B239B3"/>
    <w:rsid w:val="00B2448D"/>
    <w:rsid w:val="00B24BC7"/>
    <w:rsid w:val="00B250D6"/>
    <w:rsid w:val="00B254A4"/>
    <w:rsid w:val="00B25FD5"/>
    <w:rsid w:val="00B26896"/>
    <w:rsid w:val="00B307AE"/>
    <w:rsid w:val="00B30EB3"/>
    <w:rsid w:val="00B3341A"/>
    <w:rsid w:val="00B35AE7"/>
    <w:rsid w:val="00B35C37"/>
    <w:rsid w:val="00B3626F"/>
    <w:rsid w:val="00B3632C"/>
    <w:rsid w:val="00B36CC7"/>
    <w:rsid w:val="00B374E5"/>
    <w:rsid w:val="00B4006F"/>
    <w:rsid w:val="00B40468"/>
    <w:rsid w:val="00B408C3"/>
    <w:rsid w:val="00B40925"/>
    <w:rsid w:val="00B40A83"/>
    <w:rsid w:val="00B41272"/>
    <w:rsid w:val="00B41601"/>
    <w:rsid w:val="00B426FE"/>
    <w:rsid w:val="00B442B9"/>
    <w:rsid w:val="00B44DE4"/>
    <w:rsid w:val="00B458F6"/>
    <w:rsid w:val="00B4619F"/>
    <w:rsid w:val="00B46AE3"/>
    <w:rsid w:val="00B4753B"/>
    <w:rsid w:val="00B47811"/>
    <w:rsid w:val="00B47C72"/>
    <w:rsid w:val="00B51828"/>
    <w:rsid w:val="00B52890"/>
    <w:rsid w:val="00B53594"/>
    <w:rsid w:val="00B55458"/>
    <w:rsid w:val="00B56745"/>
    <w:rsid w:val="00B61BDF"/>
    <w:rsid w:val="00B622DF"/>
    <w:rsid w:val="00B625A1"/>
    <w:rsid w:val="00B62B66"/>
    <w:rsid w:val="00B64B0D"/>
    <w:rsid w:val="00B64CAC"/>
    <w:rsid w:val="00B6505A"/>
    <w:rsid w:val="00B65F63"/>
    <w:rsid w:val="00B67663"/>
    <w:rsid w:val="00B67784"/>
    <w:rsid w:val="00B67D3F"/>
    <w:rsid w:val="00B71510"/>
    <w:rsid w:val="00B72B37"/>
    <w:rsid w:val="00B72D1A"/>
    <w:rsid w:val="00B7414A"/>
    <w:rsid w:val="00B74534"/>
    <w:rsid w:val="00B75BF0"/>
    <w:rsid w:val="00B75DE8"/>
    <w:rsid w:val="00B76178"/>
    <w:rsid w:val="00B77043"/>
    <w:rsid w:val="00B77074"/>
    <w:rsid w:val="00B80BDF"/>
    <w:rsid w:val="00B80ED0"/>
    <w:rsid w:val="00B81212"/>
    <w:rsid w:val="00B815F5"/>
    <w:rsid w:val="00B8175C"/>
    <w:rsid w:val="00B83646"/>
    <w:rsid w:val="00B84D0B"/>
    <w:rsid w:val="00B84D81"/>
    <w:rsid w:val="00B8590E"/>
    <w:rsid w:val="00B8637C"/>
    <w:rsid w:val="00B8653B"/>
    <w:rsid w:val="00B86D06"/>
    <w:rsid w:val="00B877AE"/>
    <w:rsid w:val="00B8793D"/>
    <w:rsid w:val="00B87FBB"/>
    <w:rsid w:val="00B90A8D"/>
    <w:rsid w:val="00B91E28"/>
    <w:rsid w:val="00B92370"/>
    <w:rsid w:val="00B929F9"/>
    <w:rsid w:val="00B93516"/>
    <w:rsid w:val="00B96588"/>
    <w:rsid w:val="00BA0080"/>
    <w:rsid w:val="00BA067D"/>
    <w:rsid w:val="00BA06FD"/>
    <w:rsid w:val="00BA0EA7"/>
    <w:rsid w:val="00BA143C"/>
    <w:rsid w:val="00BA23AC"/>
    <w:rsid w:val="00BA2C2D"/>
    <w:rsid w:val="00BA336F"/>
    <w:rsid w:val="00BA3532"/>
    <w:rsid w:val="00BA5DEA"/>
    <w:rsid w:val="00BA6579"/>
    <w:rsid w:val="00BA661B"/>
    <w:rsid w:val="00BA6B37"/>
    <w:rsid w:val="00BA769A"/>
    <w:rsid w:val="00BA7E9F"/>
    <w:rsid w:val="00BA7FFE"/>
    <w:rsid w:val="00BB08B2"/>
    <w:rsid w:val="00BB0F8C"/>
    <w:rsid w:val="00BB113D"/>
    <w:rsid w:val="00BB1C5B"/>
    <w:rsid w:val="00BB6B0E"/>
    <w:rsid w:val="00BB7528"/>
    <w:rsid w:val="00BB7697"/>
    <w:rsid w:val="00BC01B0"/>
    <w:rsid w:val="00BC10D7"/>
    <w:rsid w:val="00BC2335"/>
    <w:rsid w:val="00BC43BC"/>
    <w:rsid w:val="00BC4414"/>
    <w:rsid w:val="00BC510F"/>
    <w:rsid w:val="00BC54B7"/>
    <w:rsid w:val="00BC5733"/>
    <w:rsid w:val="00BC73CE"/>
    <w:rsid w:val="00BC770A"/>
    <w:rsid w:val="00BC783E"/>
    <w:rsid w:val="00BC7C47"/>
    <w:rsid w:val="00BD0734"/>
    <w:rsid w:val="00BD094B"/>
    <w:rsid w:val="00BD2842"/>
    <w:rsid w:val="00BD33F5"/>
    <w:rsid w:val="00BD598B"/>
    <w:rsid w:val="00BD6011"/>
    <w:rsid w:val="00BD7181"/>
    <w:rsid w:val="00BE02B8"/>
    <w:rsid w:val="00BE045E"/>
    <w:rsid w:val="00BE0DA0"/>
    <w:rsid w:val="00BE0E97"/>
    <w:rsid w:val="00BE15C9"/>
    <w:rsid w:val="00BE1852"/>
    <w:rsid w:val="00BE4A73"/>
    <w:rsid w:val="00BE5B07"/>
    <w:rsid w:val="00BE5CBD"/>
    <w:rsid w:val="00BE6132"/>
    <w:rsid w:val="00BE6FA4"/>
    <w:rsid w:val="00BE741C"/>
    <w:rsid w:val="00BE752D"/>
    <w:rsid w:val="00BE7DA3"/>
    <w:rsid w:val="00BF05D1"/>
    <w:rsid w:val="00BF080F"/>
    <w:rsid w:val="00BF0CEF"/>
    <w:rsid w:val="00BF0FCE"/>
    <w:rsid w:val="00BF12F1"/>
    <w:rsid w:val="00BF172F"/>
    <w:rsid w:val="00BF187A"/>
    <w:rsid w:val="00BF21BD"/>
    <w:rsid w:val="00BF28C0"/>
    <w:rsid w:val="00BF47D0"/>
    <w:rsid w:val="00BF4BD8"/>
    <w:rsid w:val="00BF54CE"/>
    <w:rsid w:val="00BF596D"/>
    <w:rsid w:val="00BF690E"/>
    <w:rsid w:val="00C00090"/>
    <w:rsid w:val="00C01B62"/>
    <w:rsid w:val="00C01BB8"/>
    <w:rsid w:val="00C02648"/>
    <w:rsid w:val="00C04DA7"/>
    <w:rsid w:val="00C053D5"/>
    <w:rsid w:val="00C05A77"/>
    <w:rsid w:val="00C06802"/>
    <w:rsid w:val="00C07214"/>
    <w:rsid w:val="00C10EA6"/>
    <w:rsid w:val="00C124B6"/>
    <w:rsid w:val="00C1341E"/>
    <w:rsid w:val="00C13C28"/>
    <w:rsid w:val="00C147CC"/>
    <w:rsid w:val="00C16BBC"/>
    <w:rsid w:val="00C20531"/>
    <w:rsid w:val="00C25829"/>
    <w:rsid w:val="00C2583B"/>
    <w:rsid w:val="00C26450"/>
    <w:rsid w:val="00C26C9C"/>
    <w:rsid w:val="00C336C5"/>
    <w:rsid w:val="00C35F43"/>
    <w:rsid w:val="00C36656"/>
    <w:rsid w:val="00C37003"/>
    <w:rsid w:val="00C373D5"/>
    <w:rsid w:val="00C37F5C"/>
    <w:rsid w:val="00C40545"/>
    <w:rsid w:val="00C406DA"/>
    <w:rsid w:val="00C419BE"/>
    <w:rsid w:val="00C43DCF"/>
    <w:rsid w:val="00C536F2"/>
    <w:rsid w:val="00C54125"/>
    <w:rsid w:val="00C5474A"/>
    <w:rsid w:val="00C6045A"/>
    <w:rsid w:val="00C6163B"/>
    <w:rsid w:val="00C61D52"/>
    <w:rsid w:val="00C61E8D"/>
    <w:rsid w:val="00C63020"/>
    <w:rsid w:val="00C63294"/>
    <w:rsid w:val="00C635EA"/>
    <w:rsid w:val="00C63903"/>
    <w:rsid w:val="00C65D0F"/>
    <w:rsid w:val="00C66BFD"/>
    <w:rsid w:val="00C6767D"/>
    <w:rsid w:val="00C7041A"/>
    <w:rsid w:val="00C70E1A"/>
    <w:rsid w:val="00C71914"/>
    <w:rsid w:val="00C71945"/>
    <w:rsid w:val="00C71BD4"/>
    <w:rsid w:val="00C72A3A"/>
    <w:rsid w:val="00C73AA6"/>
    <w:rsid w:val="00C75206"/>
    <w:rsid w:val="00C76160"/>
    <w:rsid w:val="00C77DC6"/>
    <w:rsid w:val="00C77EFD"/>
    <w:rsid w:val="00C801DA"/>
    <w:rsid w:val="00C81018"/>
    <w:rsid w:val="00C827AC"/>
    <w:rsid w:val="00C82E07"/>
    <w:rsid w:val="00C83488"/>
    <w:rsid w:val="00C8440E"/>
    <w:rsid w:val="00C848C8"/>
    <w:rsid w:val="00C87F4E"/>
    <w:rsid w:val="00C9022F"/>
    <w:rsid w:val="00C90CEA"/>
    <w:rsid w:val="00C91066"/>
    <w:rsid w:val="00C91069"/>
    <w:rsid w:val="00C924C4"/>
    <w:rsid w:val="00C926F0"/>
    <w:rsid w:val="00C94019"/>
    <w:rsid w:val="00C94869"/>
    <w:rsid w:val="00C9656D"/>
    <w:rsid w:val="00C97B96"/>
    <w:rsid w:val="00CA1158"/>
    <w:rsid w:val="00CA1459"/>
    <w:rsid w:val="00CA1AC3"/>
    <w:rsid w:val="00CA1B8E"/>
    <w:rsid w:val="00CA1FBD"/>
    <w:rsid w:val="00CA38BA"/>
    <w:rsid w:val="00CA4AFC"/>
    <w:rsid w:val="00CA51FB"/>
    <w:rsid w:val="00CA5F03"/>
    <w:rsid w:val="00CA72AE"/>
    <w:rsid w:val="00CA7403"/>
    <w:rsid w:val="00CB1CC6"/>
    <w:rsid w:val="00CB2D0F"/>
    <w:rsid w:val="00CB2F23"/>
    <w:rsid w:val="00CB3040"/>
    <w:rsid w:val="00CB3AB0"/>
    <w:rsid w:val="00CB3BC5"/>
    <w:rsid w:val="00CB56CA"/>
    <w:rsid w:val="00CB6328"/>
    <w:rsid w:val="00CB64DA"/>
    <w:rsid w:val="00CB6608"/>
    <w:rsid w:val="00CB6F76"/>
    <w:rsid w:val="00CC07B6"/>
    <w:rsid w:val="00CC0BA8"/>
    <w:rsid w:val="00CC7562"/>
    <w:rsid w:val="00CD030A"/>
    <w:rsid w:val="00CD1EE2"/>
    <w:rsid w:val="00CD31E4"/>
    <w:rsid w:val="00CD3F21"/>
    <w:rsid w:val="00CD482B"/>
    <w:rsid w:val="00CD5009"/>
    <w:rsid w:val="00CD50D6"/>
    <w:rsid w:val="00CD56C7"/>
    <w:rsid w:val="00CD57B6"/>
    <w:rsid w:val="00CD5EBA"/>
    <w:rsid w:val="00CD5F32"/>
    <w:rsid w:val="00CD6BF7"/>
    <w:rsid w:val="00CE0417"/>
    <w:rsid w:val="00CE0766"/>
    <w:rsid w:val="00CE24D5"/>
    <w:rsid w:val="00CE2A1E"/>
    <w:rsid w:val="00CE2C75"/>
    <w:rsid w:val="00CE2F6B"/>
    <w:rsid w:val="00CE3BDA"/>
    <w:rsid w:val="00CE41CB"/>
    <w:rsid w:val="00CE52CA"/>
    <w:rsid w:val="00CE6C0A"/>
    <w:rsid w:val="00CE6C81"/>
    <w:rsid w:val="00CF01A2"/>
    <w:rsid w:val="00CF13B8"/>
    <w:rsid w:val="00CF1461"/>
    <w:rsid w:val="00CF1791"/>
    <w:rsid w:val="00CF30F4"/>
    <w:rsid w:val="00CF3729"/>
    <w:rsid w:val="00CF3AC8"/>
    <w:rsid w:val="00CF47FE"/>
    <w:rsid w:val="00CF6089"/>
    <w:rsid w:val="00CF75E1"/>
    <w:rsid w:val="00D01A34"/>
    <w:rsid w:val="00D01C20"/>
    <w:rsid w:val="00D01FC9"/>
    <w:rsid w:val="00D02226"/>
    <w:rsid w:val="00D03996"/>
    <w:rsid w:val="00D03B24"/>
    <w:rsid w:val="00D04343"/>
    <w:rsid w:val="00D048E1"/>
    <w:rsid w:val="00D0565C"/>
    <w:rsid w:val="00D06B87"/>
    <w:rsid w:val="00D073E2"/>
    <w:rsid w:val="00D075C3"/>
    <w:rsid w:val="00D07C62"/>
    <w:rsid w:val="00D100BB"/>
    <w:rsid w:val="00D10721"/>
    <w:rsid w:val="00D108F5"/>
    <w:rsid w:val="00D10D6B"/>
    <w:rsid w:val="00D125FB"/>
    <w:rsid w:val="00D14079"/>
    <w:rsid w:val="00D16383"/>
    <w:rsid w:val="00D16459"/>
    <w:rsid w:val="00D16873"/>
    <w:rsid w:val="00D1753D"/>
    <w:rsid w:val="00D17BA1"/>
    <w:rsid w:val="00D20809"/>
    <w:rsid w:val="00D208F8"/>
    <w:rsid w:val="00D213CF"/>
    <w:rsid w:val="00D24ACA"/>
    <w:rsid w:val="00D25DEC"/>
    <w:rsid w:val="00D25E68"/>
    <w:rsid w:val="00D263CF"/>
    <w:rsid w:val="00D265F7"/>
    <w:rsid w:val="00D26998"/>
    <w:rsid w:val="00D26C68"/>
    <w:rsid w:val="00D27529"/>
    <w:rsid w:val="00D307CE"/>
    <w:rsid w:val="00D30E7A"/>
    <w:rsid w:val="00D31B27"/>
    <w:rsid w:val="00D349F8"/>
    <w:rsid w:val="00D3564E"/>
    <w:rsid w:val="00D3721D"/>
    <w:rsid w:val="00D377EF"/>
    <w:rsid w:val="00D37B97"/>
    <w:rsid w:val="00D413E2"/>
    <w:rsid w:val="00D43B5F"/>
    <w:rsid w:val="00D43D00"/>
    <w:rsid w:val="00D43E04"/>
    <w:rsid w:val="00D44909"/>
    <w:rsid w:val="00D4492B"/>
    <w:rsid w:val="00D45E7B"/>
    <w:rsid w:val="00D464BE"/>
    <w:rsid w:val="00D47522"/>
    <w:rsid w:val="00D51DB7"/>
    <w:rsid w:val="00D53914"/>
    <w:rsid w:val="00D53D7C"/>
    <w:rsid w:val="00D5407E"/>
    <w:rsid w:val="00D541DF"/>
    <w:rsid w:val="00D54EB6"/>
    <w:rsid w:val="00D55BA9"/>
    <w:rsid w:val="00D6002A"/>
    <w:rsid w:val="00D60A28"/>
    <w:rsid w:val="00D610CD"/>
    <w:rsid w:val="00D635B7"/>
    <w:rsid w:val="00D636F4"/>
    <w:rsid w:val="00D66BF0"/>
    <w:rsid w:val="00D679B2"/>
    <w:rsid w:val="00D67F28"/>
    <w:rsid w:val="00D70AA8"/>
    <w:rsid w:val="00D716BD"/>
    <w:rsid w:val="00D72407"/>
    <w:rsid w:val="00D7393F"/>
    <w:rsid w:val="00D74269"/>
    <w:rsid w:val="00D748A0"/>
    <w:rsid w:val="00D75CB2"/>
    <w:rsid w:val="00D75FB0"/>
    <w:rsid w:val="00D76428"/>
    <w:rsid w:val="00D76641"/>
    <w:rsid w:val="00D76DEF"/>
    <w:rsid w:val="00D77E35"/>
    <w:rsid w:val="00D80266"/>
    <w:rsid w:val="00D806B0"/>
    <w:rsid w:val="00D80AA6"/>
    <w:rsid w:val="00D830A4"/>
    <w:rsid w:val="00D863E8"/>
    <w:rsid w:val="00D86B4A"/>
    <w:rsid w:val="00D90972"/>
    <w:rsid w:val="00D9149D"/>
    <w:rsid w:val="00D91B64"/>
    <w:rsid w:val="00D927EB"/>
    <w:rsid w:val="00D92AD8"/>
    <w:rsid w:val="00D974AF"/>
    <w:rsid w:val="00D97798"/>
    <w:rsid w:val="00DA0AE6"/>
    <w:rsid w:val="00DA11D8"/>
    <w:rsid w:val="00DA1CF7"/>
    <w:rsid w:val="00DA337A"/>
    <w:rsid w:val="00DA4B69"/>
    <w:rsid w:val="00DB057C"/>
    <w:rsid w:val="00DB237E"/>
    <w:rsid w:val="00DB2773"/>
    <w:rsid w:val="00DB354A"/>
    <w:rsid w:val="00DB385D"/>
    <w:rsid w:val="00DB4A49"/>
    <w:rsid w:val="00DB599C"/>
    <w:rsid w:val="00DB5B21"/>
    <w:rsid w:val="00DB7AA2"/>
    <w:rsid w:val="00DC0BC6"/>
    <w:rsid w:val="00DC0FA7"/>
    <w:rsid w:val="00DC2D94"/>
    <w:rsid w:val="00DC3577"/>
    <w:rsid w:val="00DC397C"/>
    <w:rsid w:val="00DC3A39"/>
    <w:rsid w:val="00DC5F5C"/>
    <w:rsid w:val="00DC6020"/>
    <w:rsid w:val="00DD01B1"/>
    <w:rsid w:val="00DD0344"/>
    <w:rsid w:val="00DD1014"/>
    <w:rsid w:val="00DD1307"/>
    <w:rsid w:val="00DD1EBB"/>
    <w:rsid w:val="00DD2674"/>
    <w:rsid w:val="00DD45EE"/>
    <w:rsid w:val="00DD56A1"/>
    <w:rsid w:val="00DD5842"/>
    <w:rsid w:val="00DD74DC"/>
    <w:rsid w:val="00DE0B0C"/>
    <w:rsid w:val="00DE0C38"/>
    <w:rsid w:val="00DE102E"/>
    <w:rsid w:val="00DE1042"/>
    <w:rsid w:val="00DE1DB8"/>
    <w:rsid w:val="00DE2961"/>
    <w:rsid w:val="00DE2C71"/>
    <w:rsid w:val="00DE2F30"/>
    <w:rsid w:val="00DE4049"/>
    <w:rsid w:val="00DE4FC0"/>
    <w:rsid w:val="00DF0686"/>
    <w:rsid w:val="00DF1797"/>
    <w:rsid w:val="00DF2545"/>
    <w:rsid w:val="00DF29B7"/>
    <w:rsid w:val="00DF4479"/>
    <w:rsid w:val="00DF4FF8"/>
    <w:rsid w:val="00DF69DE"/>
    <w:rsid w:val="00DF74B1"/>
    <w:rsid w:val="00DF7BF9"/>
    <w:rsid w:val="00E0079C"/>
    <w:rsid w:val="00E00BDB"/>
    <w:rsid w:val="00E00D16"/>
    <w:rsid w:val="00E0341D"/>
    <w:rsid w:val="00E03AA0"/>
    <w:rsid w:val="00E03B06"/>
    <w:rsid w:val="00E03B52"/>
    <w:rsid w:val="00E03E5E"/>
    <w:rsid w:val="00E05A59"/>
    <w:rsid w:val="00E05C0B"/>
    <w:rsid w:val="00E05FBA"/>
    <w:rsid w:val="00E063E4"/>
    <w:rsid w:val="00E06B95"/>
    <w:rsid w:val="00E06E02"/>
    <w:rsid w:val="00E0785C"/>
    <w:rsid w:val="00E07984"/>
    <w:rsid w:val="00E10854"/>
    <w:rsid w:val="00E114F0"/>
    <w:rsid w:val="00E123CB"/>
    <w:rsid w:val="00E13D37"/>
    <w:rsid w:val="00E1436A"/>
    <w:rsid w:val="00E14CCD"/>
    <w:rsid w:val="00E14FA9"/>
    <w:rsid w:val="00E1746F"/>
    <w:rsid w:val="00E17ACB"/>
    <w:rsid w:val="00E17C0E"/>
    <w:rsid w:val="00E17D4F"/>
    <w:rsid w:val="00E20700"/>
    <w:rsid w:val="00E214C7"/>
    <w:rsid w:val="00E21B0B"/>
    <w:rsid w:val="00E21CCD"/>
    <w:rsid w:val="00E2206A"/>
    <w:rsid w:val="00E2333E"/>
    <w:rsid w:val="00E236D0"/>
    <w:rsid w:val="00E237DF"/>
    <w:rsid w:val="00E24A98"/>
    <w:rsid w:val="00E24C67"/>
    <w:rsid w:val="00E254F4"/>
    <w:rsid w:val="00E2711A"/>
    <w:rsid w:val="00E276D0"/>
    <w:rsid w:val="00E27B63"/>
    <w:rsid w:val="00E30B74"/>
    <w:rsid w:val="00E32C88"/>
    <w:rsid w:val="00E34797"/>
    <w:rsid w:val="00E34816"/>
    <w:rsid w:val="00E365F8"/>
    <w:rsid w:val="00E379DC"/>
    <w:rsid w:val="00E401C5"/>
    <w:rsid w:val="00E40425"/>
    <w:rsid w:val="00E43483"/>
    <w:rsid w:val="00E44318"/>
    <w:rsid w:val="00E4452C"/>
    <w:rsid w:val="00E45A10"/>
    <w:rsid w:val="00E45FFA"/>
    <w:rsid w:val="00E4660B"/>
    <w:rsid w:val="00E4692E"/>
    <w:rsid w:val="00E469CE"/>
    <w:rsid w:val="00E50724"/>
    <w:rsid w:val="00E50AC8"/>
    <w:rsid w:val="00E51219"/>
    <w:rsid w:val="00E52313"/>
    <w:rsid w:val="00E53426"/>
    <w:rsid w:val="00E54BEC"/>
    <w:rsid w:val="00E550FF"/>
    <w:rsid w:val="00E551CB"/>
    <w:rsid w:val="00E5687E"/>
    <w:rsid w:val="00E56EC1"/>
    <w:rsid w:val="00E57478"/>
    <w:rsid w:val="00E6045C"/>
    <w:rsid w:val="00E63DC0"/>
    <w:rsid w:val="00E63F5B"/>
    <w:rsid w:val="00E64CBB"/>
    <w:rsid w:val="00E65123"/>
    <w:rsid w:val="00E6652F"/>
    <w:rsid w:val="00E6703A"/>
    <w:rsid w:val="00E675BA"/>
    <w:rsid w:val="00E71A42"/>
    <w:rsid w:val="00E73EAC"/>
    <w:rsid w:val="00E7527E"/>
    <w:rsid w:val="00E75611"/>
    <w:rsid w:val="00E756CA"/>
    <w:rsid w:val="00E7570F"/>
    <w:rsid w:val="00E75908"/>
    <w:rsid w:val="00E75F67"/>
    <w:rsid w:val="00E76CF8"/>
    <w:rsid w:val="00E771C5"/>
    <w:rsid w:val="00E7746D"/>
    <w:rsid w:val="00E81021"/>
    <w:rsid w:val="00E81809"/>
    <w:rsid w:val="00E81A91"/>
    <w:rsid w:val="00E8340C"/>
    <w:rsid w:val="00E83B89"/>
    <w:rsid w:val="00E8444A"/>
    <w:rsid w:val="00E8484C"/>
    <w:rsid w:val="00E84948"/>
    <w:rsid w:val="00E86E8D"/>
    <w:rsid w:val="00E87634"/>
    <w:rsid w:val="00E90D81"/>
    <w:rsid w:val="00E910CC"/>
    <w:rsid w:val="00E927F1"/>
    <w:rsid w:val="00E9283F"/>
    <w:rsid w:val="00E9358A"/>
    <w:rsid w:val="00E94192"/>
    <w:rsid w:val="00E9429C"/>
    <w:rsid w:val="00E9463B"/>
    <w:rsid w:val="00E94C77"/>
    <w:rsid w:val="00E94CFD"/>
    <w:rsid w:val="00E95812"/>
    <w:rsid w:val="00E95930"/>
    <w:rsid w:val="00E95948"/>
    <w:rsid w:val="00E95E74"/>
    <w:rsid w:val="00E9643B"/>
    <w:rsid w:val="00E97B25"/>
    <w:rsid w:val="00E97DFE"/>
    <w:rsid w:val="00EA01A4"/>
    <w:rsid w:val="00EA3066"/>
    <w:rsid w:val="00EA3F3B"/>
    <w:rsid w:val="00EA4DE6"/>
    <w:rsid w:val="00EA6B28"/>
    <w:rsid w:val="00EB0536"/>
    <w:rsid w:val="00EB2702"/>
    <w:rsid w:val="00EB2B5D"/>
    <w:rsid w:val="00EB2D8A"/>
    <w:rsid w:val="00EB603C"/>
    <w:rsid w:val="00EB6045"/>
    <w:rsid w:val="00EB627A"/>
    <w:rsid w:val="00EB68A3"/>
    <w:rsid w:val="00EB71BA"/>
    <w:rsid w:val="00EB7516"/>
    <w:rsid w:val="00EB7E2A"/>
    <w:rsid w:val="00EC0E5A"/>
    <w:rsid w:val="00EC1499"/>
    <w:rsid w:val="00EC17C3"/>
    <w:rsid w:val="00EC1B78"/>
    <w:rsid w:val="00EC3B0F"/>
    <w:rsid w:val="00EC3B22"/>
    <w:rsid w:val="00EC42C3"/>
    <w:rsid w:val="00EC53C9"/>
    <w:rsid w:val="00EC6052"/>
    <w:rsid w:val="00EC665D"/>
    <w:rsid w:val="00EC7435"/>
    <w:rsid w:val="00EC7D39"/>
    <w:rsid w:val="00EC7D3D"/>
    <w:rsid w:val="00ED14FF"/>
    <w:rsid w:val="00ED19AF"/>
    <w:rsid w:val="00ED376D"/>
    <w:rsid w:val="00ED39F3"/>
    <w:rsid w:val="00ED4D6D"/>
    <w:rsid w:val="00ED5A56"/>
    <w:rsid w:val="00ED625A"/>
    <w:rsid w:val="00ED63A9"/>
    <w:rsid w:val="00ED6D9B"/>
    <w:rsid w:val="00ED711F"/>
    <w:rsid w:val="00ED716F"/>
    <w:rsid w:val="00ED7971"/>
    <w:rsid w:val="00ED7E2F"/>
    <w:rsid w:val="00ED7FDE"/>
    <w:rsid w:val="00EE07E4"/>
    <w:rsid w:val="00EE0FA8"/>
    <w:rsid w:val="00EE30AC"/>
    <w:rsid w:val="00EE3B9A"/>
    <w:rsid w:val="00EE42D9"/>
    <w:rsid w:val="00EE4366"/>
    <w:rsid w:val="00EE4D70"/>
    <w:rsid w:val="00EE5FBF"/>
    <w:rsid w:val="00EE67AC"/>
    <w:rsid w:val="00EE67B3"/>
    <w:rsid w:val="00EE7058"/>
    <w:rsid w:val="00EE74F9"/>
    <w:rsid w:val="00EF022C"/>
    <w:rsid w:val="00EF0937"/>
    <w:rsid w:val="00EF0CE2"/>
    <w:rsid w:val="00EF1675"/>
    <w:rsid w:val="00EF16FF"/>
    <w:rsid w:val="00EF1F07"/>
    <w:rsid w:val="00EF4B9C"/>
    <w:rsid w:val="00EF5F05"/>
    <w:rsid w:val="00EF615D"/>
    <w:rsid w:val="00EF6A2A"/>
    <w:rsid w:val="00F04DF5"/>
    <w:rsid w:val="00F058F9"/>
    <w:rsid w:val="00F06EA8"/>
    <w:rsid w:val="00F07EDC"/>
    <w:rsid w:val="00F11767"/>
    <w:rsid w:val="00F1505F"/>
    <w:rsid w:val="00F17FD9"/>
    <w:rsid w:val="00F17FED"/>
    <w:rsid w:val="00F203A3"/>
    <w:rsid w:val="00F20704"/>
    <w:rsid w:val="00F2227E"/>
    <w:rsid w:val="00F227FF"/>
    <w:rsid w:val="00F22B3E"/>
    <w:rsid w:val="00F22D03"/>
    <w:rsid w:val="00F238E6"/>
    <w:rsid w:val="00F24772"/>
    <w:rsid w:val="00F24E0E"/>
    <w:rsid w:val="00F261D5"/>
    <w:rsid w:val="00F30D60"/>
    <w:rsid w:val="00F32413"/>
    <w:rsid w:val="00F33A45"/>
    <w:rsid w:val="00F33F81"/>
    <w:rsid w:val="00F3419F"/>
    <w:rsid w:val="00F34739"/>
    <w:rsid w:val="00F3488A"/>
    <w:rsid w:val="00F36E5A"/>
    <w:rsid w:val="00F40545"/>
    <w:rsid w:val="00F41AA8"/>
    <w:rsid w:val="00F42C29"/>
    <w:rsid w:val="00F43024"/>
    <w:rsid w:val="00F43625"/>
    <w:rsid w:val="00F43894"/>
    <w:rsid w:val="00F45C57"/>
    <w:rsid w:val="00F46138"/>
    <w:rsid w:val="00F471A9"/>
    <w:rsid w:val="00F477BF"/>
    <w:rsid w:val="00F47AE4"/>
    <w:rsid w:val="00F51E37"/>
    <w:rsid w:val="00F522D9"/>
    <w:rsid w:val="00F54719"/>
    <w:rsid w:val="00F55749"/>
    <w:rsid w:val="00F55C0F"/>
    <w:rsid w:val="00F56354"/>
    <w:rsid w:val="00F57D54"/>
    <w:rsid w:val="00F60BA5"/>
    <w:rsid w:val="00F60D12"/>
    <w:rsid w:val="00F60D94"/>
    <w:rsid w:val="00F612CE"/>
    <w:rsid w:val="00F618B7"/>
    <w:rsid w:val="00F62290"/>
    <w:rsid w:val="00F62A62"/>
    <w:rsid w:val="00F63229"/>
    <w:rsid w:val="00F6332B"/>
    <w:rsid w:val="00F63A8F"/>
    <w:rsid w:val="00F642E9"/>
    <w:rsid w:val="00F661E2"/>
    <w:rsid w:val="00F700D4"/>
    <w:rsid w:val="00F705B5"/>
    <w:rsid w:val="00F70A3F"/>
    <w:rsid w:val="00F71749"/>
    <w:rsid w:val="00F71B20"/>
    <w:rsid w:val="00F72AD2"/>
    <w:rsid w:val="00F74122"/>
    <w:rsid w:val="00F7544F"/>
    <w:rsid w:val="00F77B97"/>
    <w:rsid w:val="00F8059C"/>
    <w:rsid w:val="00F80B3D"/>
    <w:rsid w:val="00F81D36"/>
    <w:rsid w:val="00F82D3A"/>
    <w:rsid w:val="00F8330D"/>
    <w:rsid w:val="00F858C9"/>
    <w:rsid w:val="00F863CD"/>
    <w:rsid w:val="00F877AE"/>
    <w:rsid w:val="00F90C98"/>
    <w:rsid w:val="00F9108E"/>
    <w:rsid w:val="00F91246"/>
    <w:rsid w:val="00F914E0"/>
    <w:rsid w:val="00F9198B"/>
    <w:rsid w:val="00F92918"/>
    <w:rsid w:val="00F93048"/>
    <w:rsid w:val="00F933D3"/>
    <w:rsid w:val="00F9341E"/>
    <w:rsid w:val="00F93DEC"/>
    <w:rsid w:val="00F94DDC"/>
    <w:rsid w:val="00F9658E"/>
    <w:rsid w:val="00F9659E"/>
    <w:rsid w:val="00F97864"/>
    <w:rsid w:val="00F97884"/>
    <w:rsid w:val="00F978DF"/>
    <w:rsid w:val="00FA0AFC"/>
    <w:rsid w:val="00FA0E9F"/>
    <w:rsid w:val="00FA1280"/>
    <w:rsid w:val="00FA1AF7"/>
    <w:rsid w:val="00FA2079"/>
    <w:rsid w:val="00FA2F9C"/>
    <w:rsid w:val="00FA31DD"/>
    <w:rsid w:val="00FA33CD"/>
    <w:rsid w:val="00FA42B7"/>
    <w:rsid w:val="00FA4B24"/>
    <w:rsid w:val="00FA58A2"/>
    <w:rsid w:val="00FA5CEF"/>
    <w:rsid w:val="00FA7941"/>
    <w:rsid w:val="00FA79F7"/>
    <w:rsid w:val="00FA7AA5"/>
    <w:rsid w:val="00FB0668"/>
    <w:rsid w:val="00FB0831"/>
    <w:rsid w:val="00FB09B9"/>
    <w:rsid w:val="00FB1170"/>
    <w:rsid w:val="00FB150B"/>
    <w:rsid w:val="00FB48B9"/>
    <w:rsid w:val="00FB4F71"/>
    <w:rsid w:val="00FB60AB"/>
    <w:rsid w:val="00FB658D"/>
    <w:rsid w:val="00FB7787"/>
    <w:rsid w:val="00FC09B6"/>
    <w:rsid w:val="00FC0A96"/>
    <w:rsid w:val="00FC0D12"/>
    <w:rsid w:val="00FC0DD1"/>
    <w:rsid w:val="00FC17B1"/>
    <w:rsid w:val="00FC19FD"/>
    <w:rsid w:val="00FC4369"/>
    <w:rsid w:val="00FC505C"/>
    <w:rsid w:val="00FC5DB5"/>
    <w:rsid w:val="00FC6D40"/>
    <w:rsid w:val="00FD045A"/>
    <w:rsid w:val="00FD0621"/>
    <w:rsid w:val="00FD09DC"/>
    <w:rsid w:val="00FD2C75"/>
    <w:rsid w:val="00FD3728"/>
    <w:rsid w:val="00FD3BAA"/>
    <w:rsid w:val="00FD4088"/>
    <w:rsid w:val="00FD4162"/>
    <w:rsid w:val="00FD6628"/>
    <w:rsid w:val="00FD758E"/>
    <w:rsid w:val="00FE01E2"/>
    <w:rsid w:val="00FE0254"/>
    <w:rsid w:val="00FE10C0"/>
    <w:rsid w:val="00FE3F74"/>
    <w:rsid w:val="00FE4A0D"/>
    <w:rsid w:val="00FE4A2D"/>
    <w:rsid w:val="00FE4DD8"/>
    <w:rsid w:val="00FE6A9F"/>
    <w:rsid w:val="00FE6FD4"/>
    <w:rsid w:val="00FE7AE0"/>
    <w:rsid w:val="00FE7FC3"/>
    <w:rsid w:val="00FF040C"/>
    <w:rsid w:val="00FF1324"/>
    <w:rsid w:val="00FF13BA"/>
    <w:rsid w:val="00FF47D8"/>
    <w:rsid w:val="00FF48B6"/>
    <w:rsid w:val="00FF5931"/>
    <w:rsid w:val="00FF76A3"/>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1" w:qFormat="1"/>
    <w:lsdException w:name="heading 1" w:semiHidden="0" w:uiPriority="0" w:qFormat="1"/>
    <w:lsdException w:name="heading 2" w:semiHidden="0" w:uiPriority="0" w:qFormat="1"/>
    <w:lsdException w:name="heading 3" w:semiHidden="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0" w:unhideWhenUsed="1"/>
    <w:lsdException w:name="toc 4" w:uiPriority="0"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iPriority="0"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iPriority="1"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qFormat/>
    <w:rsid w:val="00121595"/>
    <w:pPr>
      <w:spacing w:before="160" w:line="260" w:lineRule="exact"/>
    </w:pPr>
    <w:rPr>
      <w:rFonts w:ascii="Trebuchet MS" w:hAnsi="Trebuchet MS"/>
      <w:sz w:val="19"/>
      <w:lang w:val="en-AU"/>
    </w:rPr>
  </w:style>
  <w:style w:type="paragraph" w:styleId="Heading1">
    <w:name w:val="heading 1"/>
    <w:next w:val="Text"/>
    <w:link w:val="Heading1Char"/>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uiPriority w:val="99"/>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link w:val="QuoteChar"/>
    <w:qFormat/>
    <w:rsid w:val="002132C0"/>
    <w:pPr>
      <w:tabs>
        <w:tab w:val="right" w:pos="8136"/>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C121F"/>
    <w:pPr>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121595"/>
    <w:pPr>
      <w:numPr>
        <w:numId w:val="1"/>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ind w:left="568" w:hanging="284"/>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link w:val="FootnoteTextChar"/>
    <w:uiPriority w:val="99"/>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uiPriority w:val="99"/>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FootnoteReference">
    <w:name w:val="footnote reference"/>
    <w:basedOn w:val="DefaultParagraphFont"/>
    <w:uiPriority w:val="99"/>
    <w:semiHidden/>
    <w:rsid w:val="00DB2773"/>
    <w:rPr>
      <w:vertAlign w:val="superscript"/>
    </w:rPr>
  </w:style>
  <w:style w:type="character" w:customStyle="1" w:styleId="Heading1Char">
    <w:name w:val="Heading 1 Char"/>
    <w:basedOn w:val="DefaultParagraphFont"/>
    <w:link w:val="Heading1"/>
    <w:rsid w:val="00B84D81"/>
    <w:rPr>
      <w:rFonts w:ascii="Tahoma" w:hAnsi="Tahoma" w:cs="Tahoma"/>
      <w:color w:val="000000"/>
      <w:kern w:val="28"/>
      <w:sz w:val="56"/>
      <w:szCs w:val="56"/>
      <w:lang w:val="en-AU"/>
    </w:rPr>
  </w:style>
  <w:style w:type="character" w:customStyle="1" w:styleId="Heading2Char">
    <w:name w:val="Heading 2 Char"/>
    <w:basedOn w:val="DefaultParagraphFont"/>
    <w:link w:val="Heading2"/>
    <w:rsid w:val="00B84D81"/>
    <w:rPr>
      <w:rFonts w:ascii="Tahoma" w:hAnsi="Tahoma" w:cs="Tahoma"/>
      <w:sz w:val="28"/>
      <w:lang w:val="en-AU"/>
    </w:rPr>
  </w:style>
  <w:style w:type="paragraph" w:styleId="Caption">
    <w:name w:val="caption"/>
    <w:basedOn w:val="Normal"/>
    <w:next w:val="Normal"/>
    <w:uiPriority w:val="35"/>
    <w:semiHidden/>
    <w:qFormat/>
    <w:rsid w:val="004F5AE2"/>
    <w:pPr>
      <w:spacing w:before="0" w:after="200" w:line="240" w:lineRule="auto"/>
    </w:pPr>
    <w:rPr>
      <w:b/>
      <w:bCs/>
      <w:color w:val="4F81BD" w:themeColor="accent1"/>
      <w:sz w:val="18"/>
      <w:szCs w:val="18"/>
    </w:rPr>
  </w:style>
  <w:style w:type="character" w:styleId="CommentReference">
    <w:name w:val="annotation reference"/>
    <w:basedOn w:val="DefaultParagraphFont"/>
    <w:uiPriority w:val="99"/>
    <w:semiHidden/>
    <w:rsid w:val="00087D00"/>
    <w:rPr>
      <w:sz w:val="16"/>
      <w:szCs w:val="16"/>
    </w:rPr>
  </w:style>
  <w:style w:type="paragraph" w:styleId="CommentText">
    <w:name w:val="annotation text"/>
    <w:basedOn w:val="Normal"/>
    <w:link w:val="CommentTextChar"/>
    <w:uiPriority w:val="99"/>
    <w:semiHidden/>
    <w:rsid w:val="00087D00"/>
    <w:pPr>
      <w:spacing w:line="240" w:lineRule="auto"/>
    </w:pPr>
    <w:rPr>
      <w:sz w:val="20"/>
    </w:rPr>
  </w:style>
  <w:style w:type="character" w:customStyle="1" w:styleId="CommentTextChar">
    <w:name w:val="Comment Text Char"/>
    <w:basedOn w:val="DefaultParagraphFont"/>
    <w:link w:val="CommentText"/>
    <w:uiPriority w:val="99"/>
    <w:semiHidden/>
    <w:rsid w:val="00087D00"/>
    <w:rPr>
      <w:rFonts w:ascii="Trebuchet MS" w:hAnsi="Trebuchet MS"/>
      <w:lang w:val="en-AU"/>
    </w:rPr>
  </w:style>
  <w:style w:type="paragraph" w:styleId="CommentSubject">
    <w:name w:val="annotation subject"/>
    <w:basedOn w:val="CommentText"/>
    <w:next w:val="CommentText"/>
    <w:link w:val="CommentSubjectChar"/>
    <w:uiPriority w:val="99"/>
    <w:semiHidden/>
    <w:rsid w:val="00087D00"/>
    <w:rPr>
      <w:b/>
      <w:bCs/>
    </w:rPr>
  </w:style>
  <w:style w:type="character" w:customStyle="1" w:styleId="CommentSubjectChar">
    <w:name w:val="Comment Subject Char"/>
    <w:basedOn w:val="CommentTextChar"/>
    <w:link w:val="CommentSubject"/>
    <w:uiPriority w:val="99"/>
    <w:semiHidden/>
    <w:rsid w:val="00087D00"/>
    <w:rPr>
      <w:rFonts w:ascii="Trebuchet MS" w:hAnsi="Trebuchet MS"/>
      <w:b/>
      <w:bCs/>
      <w:lang w:val="en-AU"/>
    </w:rPr>
  </w:style>
  <w:style w:type="paragraph" w:styleId="PlainText">
    <w:name w:val="Plain Text"/>
    <w:basedOn w:val="Normal"/>
    <w:link w:val="PlainTextChar"/>
    <w:uiPriority w:val="99"/>
    <w:unhideWhenUsed/>
    <w:rsid w:val="00F863CD"/>
    <w:pPr>
      <w:spacing w:before="0"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F863CD"/>
    <w:rPr>
      <w:rFonts w:ascii="Calibri" w:eastAsiaTheme="minorHAnsi" w:hAnsi="Calibri" w:cs="Calibri"/>
      <w:sz w:val="22"/>
      <w:szCs w:val="22"/>
      <w:lang w:val="en-AU"/>
    </w:rPr>
  </w:style>
  <w:style w:type="character" w:customStyle="1" w:styleId="FootnoteTextChar">
    <w:name w:val="Footnote Text Char"/>
    <w:basedOn w:val="DefaultParagraphFont"/>
    <w:link w:val="FootnoteText"/>
    <w:uiPriority w:val="99"/>
    <w:rsid w:val="00C66BFD"/>
    <w:rPr>
      <w:rFonts w:ascii="Trebuchet MS" w:hAnsi="Trebuchet MS"/>
      <w:sz w:val="16"/>
      <w:lang w:val="en-AU"/>
    </w:rPr>
  </w:style>
  <w:style w:type="character" w:customStyle="1" w:styleId="QuoteChar">
    <w:name w:val="Quote Char"/>
    <w:basedOn w:val="DefaultParagraphFont"/>
    <w:link w:val="Quote"/>
    <w:rsid w:val="002132C0"/>
    <w:rPr>
      <w:rFonts w:ascii="Trebuchet MS" w:hAnsi="Trebuchet MS"/>
      <w:sz w:val="17"/>
      <w:lang w:val="en-AU"/>
    </w:rPr>
  </w:style>
  <w:style w:type="paragraph" w:styleId="Revision">
    <w:name w:val="Revision"/>
    <w:hidden/>
    <w:uiPriority w:val="99"/>
    <w:semiHidden/>
    <w:rsid w:val="00F2227E"/>
    <w:rPr>
      <w:rFonts w:ascii="Trebuchet MS" w:hAnsi="Trebuchet MS"/>
      <w:sz w:val="19"/>
      <w:lang w:val="en-AU"/>
    </w:rPr>
  </w:style>
  <w:style w:type="paragraph" w:customStyle="1" w:styleId="Textmorebefore">
    <w:name w:val="Text more # before"/>
    <w:basedOn w:val="Text"/>
    <w:uiPriority w:val="1"/>
    <w:qFormat/>
    <w:rsid w:val="006A739B"/>
    <w:pPr>
      <w:spacing w:before="360"/>
      <w:ind w:right="0"/>
    </w:pPr>
  </w:style>
  <w:style w:type="paragraph" w:customStyle="1" w:styleId="Textlessbefore">
    <w:name w:val="Text less # before"/>
    <w:basedOn w:val="Text"/>
    <w:uiPriority w:val="1"/>
    <w:qFormat/>
    <w:rsid w:val="002132C0"/>
    <w:pPr>
      <w:spacing w:before="80"/>
      <w:ind w:righ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05927">
      <w:bodyDiv w:val="1"/>
      <w:marLeft w:val="0"/>
      <w:marRight w:val="0"/>
      <w:marTop w:val="0"/>
      <w:marBottom w:val="0"/>
      <w:divBdr>
        <w:top w:val="none" w:sz="0" w:space="0" w:color="auto"/>
        <w:left w:val="none" w:sz="0" w:space="0" w:color="auto"/>
        <w:bottom w:val="none" w:sz="0" w:space="0" w:color="auto"/>
        <w:right w:val="none" w:sz="0" w:space="0" w:color="auto"/>
      </w:divBdr>
      <w:divsChild>
        <w:div w:id="1389647504">
          <w:marLeft w:val="0"/>
          <w:marRight w:val="0"/>
          <w:marTop w:val="0"/>
          <w:marBottom w:val="0"/>
          <w:divBdr>
            <w:top w:val="none" w:sz="0" w:space="0" w:color="auto"/>
            <w:left w:val="none" w:sz="0" w:space="0" w:color="auto"/>
            <w:bottom w:val="none" w:sz="0" w:space="0" w:color="auto"/>
            <w:right w:val="none" w:sz="0" w:space="0" w:color="auto"/>
          </w:divBdr>
          <w:divsChild>
            <w:div w:id="1515338882">
              <w:marLeft w:val="0"/>
              <w:marRight w:val="0"/>
              <w:marTop w:val="0"/>
              <w:marBottom w:val="0"/>
              <w:divBdr>
                <w:top w:val="none" w:sz="0" w:space="0" w:color="auto"/>
                <w:left w:val="none" w:sz="0" w:space="0" w:color="auto"/>
                <w:bottom w:val="none" w:sz="0" w:space="0" w:color="auto"/>
                <w:right w:val="none" w:sz="0" w:space="0" w:color="auto"/>
              </w:divBdr>
              <w:divsChild>
                <w:div w:id="754782842">
                  <w:marLeft w:val="0"/>
                  <w:marRight w:val="0"/>
                  <w:marTop w:val="0"/>
                  <w:marBottom w:val="0"/>
                  <w:divBdr>
                    <w:top w:val="none" w:sz="0" w:space="0" w:color="auto"/>
                    <w:left w:val="none" w:sz="0" w:space="0" w:color="auto"/>
                    <w:bottom w:val="none" w:sz="0" w:space="0" w:color="auto"/>
                    <w:right w:val="none" w:sz="0" w:space="0" w:color="auto"/>
                  </w:divBdr>
                  <w:divsChild>
                    <w:div w:id="1712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5692">
      <w:bodyDiv w:val="1"/>
      <w:marLeft w:val="0"/>
      <w:marRight w:val="0"/>
      <w:marTop w:val="0"/>
      <w:marBottom w:val="0"/>
      <w:divBdr>
        <w:top w:val="none" w:sz="0" w:space="0" w:color="auto"/>
        <w:left w:val="none" w:sz="0" w:space="0" w:color="auto"/>
        <w:bottom w:val="none" w:sz="0" w:space="0" w:color="auto"/>
        <w:right w:val="none" w:sz="0" w:space="0" w:color="auto"/>
      </w:divBdr>
    </w:div>
    <w:div w:id="200170430">
      <w:bodyDiv w:val="1"/>
      <w:marLeft w:val="0"/>
      <w:marRight w:val="0"/>
      <w:marTop w:val="0"/>
      <w:marBottom w:val="0"/>
      <w:divBdr>
        <w:top w:val="none" w:sz="0" w:space="0" w:color="auto"/>
        <w:left w:val="none" w:sz="0" w:space="0" w:color="auto"/>
        <w:bottom w:val="none" w:sz="0" w:space="0" w:color="auto"/>
        <w:right w:val="none" w:sz="0" w:space="0" w:color="auto"/>
      </w:divBdr>
    </w:div>
    <w:div w:id="244461592">
      <w:bodyDiv w:val="1"/>
      <w:marLeft w:val="0"/>
      <w:marRight w:val="0"/>
      <w:marTop w:val="0"/>
      <w:marBottom w:val="0"/>
      <w:divBdr>
        <w:top w:val="none" w:sz="0" w:space="0" w:color="auto"/>
        <w:left w:val="none" w:sz="0" w:space="0" w:color="auto"/>
        <w:bottom w:val="none" w:sz="0" w:space="0" w:color="auto"/>
        <w:right w:val="none" w:sz="0" w:space="0" w:color="auto"/>
      </w:divBdr>
    </w:div>
    <w:div w:id="710805409">
      <w:bodyDiv w:val="1"/>
      <w:marLeft w:val="0"/>
      <w:marRight w:val="0"/>
      <w:marTop w:val="0"/>
      <w:marBottom w:val="0"/>
      <w:divBdr>
        <w:top w:val="none" w:sz="0" w:space="0" w:color="auto"/>
        <w:left w:val="none" w:sz="0" w:space="0" w:color="auto"/>
        <w:bottom w:val="none" w:sz="0" w:space="0" w:color="auto"/>
        <w:right w:val="none" w:sz="0" w:space="0" w:color="auto"/>
      </w:divBdr>
    </w:div>
    <w:div w:id="761416839">
      <w:bodyDiv w:val="1"/>
      <w:marLeft w:val="0"/>
      <w:marRight w:val="0"/>
      <w:marTop w:val="0"/>
      <w:marBottom w:val="0"/>
      <w:divBdr>
        <w:top w:val="none" w:sz="0" w:space="0" w:color="auto"/>
        <w:left w:val="none" w:sz="0" w:space="0" w:color="auto"/>
        <w:bottom w:val="none" w:sz="0" w:space="0" w:color="auto"/>
        <w:right w:val="none" w:sz="0" w:space="0" w:color="auto"/>
      </w:divBdr>
    </w:div>
    <w:div w:id="815730870">
      <w:bodyDiv w:val="1"/>
      <w:marLeft w:val="0"/>
      <w:marRight w:val="0"/>
      <w:marTop w:val="0"/>
      <w:marBottom w:val="0"/>
      <w:divBdr>
        <w:top w:val="none" w:sz="0" w:space="0" w:color="auto"/>
        <w:left w:val="none" w:sz="0" w:space="0" w:color="auto"/>
        <w:bottom w:val="none" w:sz="0" w:space="0" w:color="auto"/>
        <w:right w:val="none" w:sz="0" w:space="0" w:color="auto"/>
      </w:divBdr>
    </w:div>
    <w:div w:id="854268201">
      <w:bodyDiv w:val="1"/>
      <w:marLeft w:val="0"/>
      <w:marRight w:val="0"/>
      <w:marTop w:val="0"/>
      <w:marBottom w:val="0"/>
      <w:divBdr>
        <w:top w:val="none" w:sz="0" w:space="0" w:color="auto"/>
        <w:left w:val="none" w:sz="0" w:space="0" w:color="auto"/>
        <w:bottom w:val="none" w:sz="0" w:space="0" w:color="auto"/>
        <w:right w:val="none" w:sz="0" w:space="0" w:color="auto"/>
      </w:divBdr>
    </w:div>
    <w:div w:id="918365368">
      <w:bodyDiv w:val="1"/>
      <w:marLeft w:val="0"/>
      <w:marRight w:val="0"/>
      <w:marTop w:val="0"/>
      <w:marBottom w:val="0"/>
      <w:divBdr>
        <w:top w:val="none" w:sz="0" w:space="0" w:color="auto"/>
        <w:left w:val="none" w:sz="0" w:space="0" w:color="auto"/>
        <w:bottom w:val="none" w:sz="0" w:space="0" w:color="auto"/>
        <w:right w:val="none" w:sz="0" w:space="0" w:color="auto"/>
      </w:divBdr>
    </w:div>
    <w:div w:id="990252174">
      <w:bodyDiv w:val="1"/>
      <w:marLeft w:val="0"/>
      <w:marRight w:val="0"/>
      <w:marTop w:val="0"/>
      <w:marBottom w:val="0"/>
      <w:divBdr>
        <w:top w:val="none" w:sz="0" w:space="0" w:color="auto"/>
        <w:left w:val="none" w:sz="0" w:space="0" w:color="auto"/>
        <w:bottom w:val="none" w:sz="0" w:space="0" w:color="auto"/>
        <w:right w:val="none" w:sz="0" w:space="0" w:color="auto"/>
      </w:divBdr>
    </w:div>
    <w:div w:id="1006134193">
      <w:bodyDiv w:val="1"/>
      <w:marLeft w:val="0"/>
      <w:marRight w:val="0"/>
      <w:marTop w:val="0"/>
      <w:marBottom w:val="0"/>
      <w:divBdr>
        <w:top w:val="none" w:sz="0" w:space="0" w:color="auto"/>
        <w:left w:val="none" w:sz="0" w:space="0" w:color="auto"/>
        <w:bottom w:val="none" w:sz="0" w:space="0" w:color="auto"/>
        <w:right w:val="none" w:sz="0" w:space="0" w:color="auto"/>
      </w:divBdr>
    </w:div>
    <w:div w:id="1134564640">
      <w:bodyDiv w:val="1"/>
      <w:marLeft w:val="0"/>
      <w:marRight w:val="0"/>
      <w:marTop w:val="0"/>
      <w:marBottom w:val="0"/>
      <w:divBdr>
        <w:top w:val="none" w:sz="0" w:space="0" w:color="auto"/>
        <w:left w:val="none" w:sz="0" w:space="0" w:color="auto"/>
        <w:bottom w:val="none" w:sz="0" w:space="0" w:color="auto"/>
        <w:right w:val="none" w:sz="0" w:space="0" w:color="auto"/>
      </w:divBdr>
    </w:div>
    <w:div w:id="1429931379">
      <w:bodyDiv w:val="1"/>
      <w:marLeft w:val="0"/>
      <w:marRight w:val="0"/>
      <w:marTop w:val="0"/>
      <w:marBottom w:val="0"/>
      <w:divBdr>
        <w:top w:val="none" w:sz="0" w:space="0" w:color="auto"/>
        <w:left w:val="none" w:sz="0" w:space="0" w:color="auto"/>
        <w:bottom w:val="none" w:sz="0" w:space="0" w:color="auto"/>
        <w:right w:val="none" w:sz="0" w:space="0" w:color="auto"/>
      </w:divBdr>
    </w:div>
    <w:div w:id="1723477123">
      <w:bodyDiv w:val="1"/>
      <w:marLeft w:val="0"/>
      <w:marRight w:val="0"/>
      <w:marTop w:val="0"/>
      <w:marBottom w:val="0"/>
      <w:divBdr>
        <w:top w:val="none" w:sz="0" w:space="0" w:color="auto"/>
        <w:left w:val="none" w:sz="0" w:space="0" w:color="auto"/>
        <w:bottom w:val="none" w:sz="0" w:space="0" w:color="auto"/>
        <w:right w:val="none" w:sz="0" w:space="0" w:color="auto"/>
      </w:divBdr>
    </w:div>
    <w:div w:id="1731735441">
      <w:bodyDiv w:val="1"/>
      <w:marLeft w:val="0"/>
      <w:marRight w:val="0"/>
      <w:marTop w:val="0"/>
      <w:marBottom w:val="0"/>
      <w:divBdr>
        <w:top w:val="none" w:sz="0" w:space="0" w:color="auto"/>
        <w:left w:val="none" w:sz="0" w:space="0" w:color="auto"/>
        <w:bottom w:val="none" w:sz="0" w:space="0" w:color="auto"/>
        <w:right w:val="none" w:sz="0" w:space="0" w:color="auto"/>
      </w:divBdr>
    </w:div>
    <w:div w:id="1747147230">
      <w:bodyDiv w:val="1"/>
      <w:marLeft w:val="0"/>
      <w:marRight w:val="0"/>
      <w:marTop w:val="0"/>
      <w:marBottom w:val="0"/>
      <w:divBdr>
        <w:top w:val="none" w:sz="0" w:space="0" w:color="auto"/>
        <w:left w:val="none" w:sz="0" w:space="0" w:color="auto"/>
        <w:bottom w:val="none" w:sz="0" w:space="0" w:color="auto"/>
        <w:right w:val="none" w:sz="0" w:space="0" w:color="auto"/>
      </w:divBdr>
    </w:div>
    <w:div w:id="1749425412">
      <w:bodyDiv w:val="1"/>
      <w:marLeft w:val="0"/>
      <w:marRight w:val="0"/>
      <w:marTop w:val="0"/>
      <w:marBottom w:val="0"/>
      <w:divBdr>
        <w:top w:val="none" w:sz="0" w:space="0" w:color="auto"/>
        <w:left w:val="none" w:sz="0" w:space="0" w:color="auto"/>
        <w:bottom w:val="none" w:sz="0" w:space="0" w:color="auto"/>
        <w:right w:val="none" w:sz="0" w:space="0" w:color="auto"/>
      </w:divBdr>
    </w:div>
    <w:div w:id="1754469330">
      <w:bodyDiv w:val="1"/>
      <w:marLeft w:val="0"/>
      <w:marRight w:val="0"/>
      <w:marTop w:val="0"/>
      <w:marBottom w:val="0"/>
      <w:divBdr>
        <w:top w:val="none" w:sz="0" w:space="0" w:color="auto"/>
        <w:left w:val="none" w:sz="0" w:space="0" w:color="auto"/>
        <w:bottom w:val="none" w:sz="0" w:space="0" w:color="auto"/>
        <w:right w:val="none" w:sz="0" w:space="0" w:color="auto"/>
      </w:divBdr>
    </w:div>
    <w:div w:id="1762951090">
      <w:bodyDiv w:val="1"/>
      <w:marLeft w:val="0"/>
      <w:marRight w:val="0"/>
      <w:marTop w:val="0"/>
      <w:marBottom w:val="0"/>
      <w:divBdr>
        <w:top w:val="none" w:sz="0" w:space="0" w:color="auto"/>
        <w:left w:val="none" w:sz="0" w:space="0" w:color="auto"/>
        <w:bottom w:val="none" w:sz="0" w:space="0" w:color="auto"/>
        <w:right w:val="none" w:sz="0" w:space="0" w:color="auto"/>
      </w:divBdr>
    </w:div>
    <w:div w:id="1839609657">
      <w:bodyDiv w:val="1"/>
      <w:marLeft w:val="0"/>
      <w:marRight w:val="0"/>
      <w:marTop w:val="0"/>
      <w:marBottom w:val="0"/>
      <w:divBdr>
        <w:top w:val="none" w:sz="0" w:space="0" w:color="auto"/>
        <w:left w:val="none" w:sz="0" w:space="0" w:color="auto"/>
        <w:bottom w:val="none" w:sz="0" w:space="0" w:color="auto"/>
        <w:right w:val="none" w:sz="0" w:space="0" w:color="auto"/>
      </w:divBdr>
      <w:divsChild>
        <w:div w:id="246887447">
          <w:marLeft w:val="0"/>
          <w:marRight w:val="0"/>
          <w:marTop w:val="0"/>
          <w:marBottom w:val="0"/>
          <w:divBdr>
            <w:top w:val="none" w:sz="0" w:space="0" w:color="auto"/>
            <w:left w:val="none" w:sz="0" w:space="0" w:color="auto"/>
            <w:bottom w:val="none" w:sz="0" w:space="0" w:color="auto"/>
            <w:right w:val="none" w:sz="0" w:space="0" w:color="auto"/>
          </w:divBdr>
          <w:divsChild>
            <w:div w:id="616764584">
              <w:marLeft w:val="0"/>
              <w:marRight w:val="0"/>
              <w:marTop w:val="0"/>
              <w:marBottom w:val="0"/>
              <w:divBdr>
                <w:top w:val="none" w:sz="0" w:space="0" w:color="auto"/>
                <w:left w:val="none" w:sz="0" w:space="0" w:color="auto"/>
                <w:bottom w:val="none" w:sz="0" w:space="0" w:color="auto"/>
                <w:right w:val="none" w:sz="0" w:space="0" w:color="auto"/>
              </w:divBdr>
              <w:divsChild>
                <w:div w:id="709648161">
                  <w:marLeft w:val="0"/>
                  <w:marRight w:val="0"/>
                  <w:marTop w:val="0"/>
                  <w:marBottom w:val="0"/>
                  <w:divBdr>
                    <w:top w:val="none" w:sz="0" w:space="0" w:color="auto"/>
                    <w:left w:val="none" w:sz="0" w:space="0" w:color="auto"/>
                    <w:bottom w:val="none" w:sz="0" w:space="0" w:color="auto"/>
                    <w:right w:val="none" w:sz="0" w:space="0" w:color="auto"/>
                  </w:divBdr>
                  <w:divsChild>
                    <w:div w:id="915360584">
                      <w:marLeft w:val="0"/>
                      <w:marRight w:val="0"/>
                      <w:marTop w:val="0"/>
                      <w:marBottom w:val="0"/>
                      <w:divBdr>
                        <w:top w:val="none" w:sz="0" w:space="0" w:color="auto"/>
                        <w:left w:val="none" w:sz="0" w:space="0" w:color="auto"/>
                        <w:bottom w:val="none" w:sz="0" w:space="0" w:color="auto"/>
                        <w:right w:val="none" w:sz="0" w:space="0" w:color="auto"/>
                      </w:divBdr>
                      <w:divsChild>
                        <w:div w:id="287705003">
                          <w:marLeft w:val="0"/>
                          <w:marRight w:val="0"/>
                          <w:marTop w:val="0"/>
                          <w:marBottom w:val="0"/>
                          <w:divBdr>
                            <w:top w:val="none" w:sz="0" w:space="0" w:color="auto"/>
                            <w:left w:val="none" w:sz="0" w:space="0" w:color="auto"/>
                            <w:bottom w:val="none" w:sz="0" w:space="0" w:color="auto"/>
                            <w:right w:val="none" w:sz="0" w:space="0" w:color="auto"/>
                          </w:divBdr>
                          <w:divsChild>
                            <w:div w:id="160303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285308">
      <w:bodyDiv w:val="1"/>
      <w:marLeft w:val="0"/>
      <w:marRight w:val="0"/>
      <w:marTop w:val="0"/>
      <w:marBottom w:val="0"/>
      <w:divBdr>
        <w:top w:val="none" w:sz="0" w:space="0" w:color="auto"/>
        <w:left w:val="none" w:sz="0" w:space="0" w:color="auto"/>
        <w:bottom w:val="none" w:sz="0" w:space="0" w:color="auto"/>
        <w:right w:val="none" w:sz="0" w:space="0" w:color="auto"/>
      </w:divBdr>
    </w:div>
    <w:div w:id="2028560247">
      <w:bodyDiv w:val="1"/>
      <w:marLeft w:val="0"/>
      <w:marRight w:val="0"/>
      <w:marTop w:val="0"/>
      <w:marBottom w:val="0"/>
      <w:divBdr>
        <w:top w:val="none" w:sz="0" w:space="0" w:color="auto"/>
        <w:left w:val="none" w:sz="0" w:space="0" w:color="auto"/>
        <w:bottom w:val="none" w:sz="0" w:space="0" w:color="auto"/>
        <w:right w:val="none" w:sz="0" w:space="0" w:color="auto"/>
      </w:divBdr>
    </w:div>
    <w:div w:id="2102217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cver@ncver.edu.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http://www.ncver.edu.au/publications/2659.html"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ced.edu.au/" TargetMode="Externa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ncver.edu.au\data\pub_prod\WorkInProgress\AAAKayesPubs\WatsonEtAl_2659\PUBLICATION\NVETRE%20worksheets%20Figs%202%203%20%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cver.edu.au\data\pub_prod\WorkInProgress\AAAKayesPubs\WatsonEtAl_2659\PUBLICATION\NVETRE%20worksheets%20Figs%202%203%20%20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kayemcadam\Local%20Settings\Temporary%20Internet%20Files\Content.Outlook\KE3NHOAH\NVETRE%20worksheets%20Figs%202%203%20%2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chemeClr val="bg1">
                <a:lumMod val="65000"/>
              </a:schemeClr>
            </a:solidFill>
            <a:ln>
              <a:solidFill>
                <a:schemeClr val="tx1"/>
              </a:solidFill>
            </a:ln>
          </c:spPr>
          <c:invertIfNegative val="0"/>
          <c:dPt>
            <c:idx val="19"/>
            <c:invertIfNegative val="0"/>
            <c:bubble3D val="0"/>
            <c:spPr>
              <a:solidFill>
                <a:schemeClr val="tx1"/>
              </a:solidFill>
              <a:ln>
                <a:solidFill>
                  <a:schemeClr val="tx1"/>
                </a:solidFill>
              </a:ln>
            </c:spPr>
          </c:dPt>
          <c:cat>
            <c:strRef>
              <c:f>'Figure 2'!$B$4:$B$41</c:f>
              <c:strCache>
                <c:ptCount val="38"/>
                <c:pt idx="0">
                  <c:v>Charles Sturt University</c:v>
                </c:pt>
                <c:pt idx="1">
                  <c:v>Swinburne University of Technology</c:v>
                </c:pt>
                <c:pt idx="2">
                  <c:v>RMIT University</c:v>
                </c:pt>
                <c:pt idx="3">
                  <c:v>University of Western Sydney</c:v>
                </c:pt>
                <c:pt idx="4">
                  <c:v>Edith Cowan University</c:v>
                </c:pt>
                <c:pt idx="5">
                  <c:v>Victoria University</c:v>
                </c:pt>
                <c:pt idx="6">
                  <c:v>Deakin University</c:v>
                </c:pt>
                <c:pt idx="7">
                  <c:v>La Trobe University</c:v>
                </c:pt>
                <c:pt idx="8">
                  <c:v>University of Canberra</c:v>
                </c:pt>
                <c:pt idx="9">
                  <c:v>Charles Darwin University</c:v>
                </c:pt>
                <c:pt idx="10">
                  <c:v>University of South Australia</c:v>
                </c:pt>
                <c:pt idx="11">
                  <c:v>University of Tasmania</c:v>
                </c:pt>
                <c:pt idx="12">
                  <c:v>University of Wollongong</c:v>
                </c:pt>
                <c:pt idx="13">
                  <c:v>Griffith University</c:v>
                </c:pt>
                <c:pt idx="14">
                  <c:v>Central Queensland University</c:v>
                </c:pt>
                <c:pt idx="15">
                  <c:v>Australian Catholic University</c:v>
                </c:pt>
                <c:pt idx="16">
                  <c:v>Murdoch University</c:v>
                </c:pt>
                <c:pt idx="17">
                  <c:v>University of Ballarat</c:v>
                </c:pt>
                <c:pt idx="18">
                  <c:v>The University of Newcastle</c:v>
                </c:pt>
                <c:pt idx="19">
                  <c:v>Australia </c:v>
                </c:pt>
                <c:pt idx="20">
                  <c:v>The University of New England</c:v>
                </c:pt>
                <c:pt idx="21">
                  <c:v>Southern Cross University</c:v>
                </c:pt>
                <c:pt idx="22">
                  <c:v>University of Technology, Sydney</c:v>
                </c:pt>
                <c:pt idx="23">
                  <c:v>The Flinders University of South Australia</c:v>
                </c:pt>
                <c:pt idx="24">
                  <c:v>Queensland University of Technology</c:v>
                </c:pt>
                <c:pt idx="25">
                  <c:v>University of Southern Queensland</c:v>
                </c:pt>
                <c:pt idx="26">
                  <c:v>The Australian National University</c:v>
                </c:pt>
                <c:pt idx="27">
                  <c:v>University of the Sunshine Coast</c:v>
                </c:pt>
                <c:pt idx="28">
                  <c:v>James Cook University</c:v>
                </c:pt>
                <c:pt idx="29">
                  <c:v>Monash University</c:v>
                </c:pt>
                <c:pt idx="30">
                  <c:v>Macquarie University</c:v>
                </c:pt>
                <c:pt idx="31">
                  <c:v>Curtin University of Technology</c:v>
                </c:pt>
                <c:pt idx="32">
                  <c:v>The University of New South Wales</c:v>
                </c:pt>
                <c:pt idx="33">
                  <c:v>The University of Adelaide</c:v>
                </c:pt>
                <c:pt idx="34">
                  <c:v>The University of Sydney</c:v>
                </c:pt>
                <c:pt idx="35">
                  <c:v>The University of Melbourne</c:v>
                </c:pt>
                <c:pt idx="36">
                  <c:v>The University of Queensland</c:v>
                </c:pt>
                <c:pt idx="37">
                  <c:v>The University of Western Australia</c:v>
                </c:pt>
              </c:strCache>
            </c:strRef>
          </c:cat>
          <c:val>
            <c:numRef>
              <c:f>'Figure 2'!$C$4:$C$41</c:f>
              <c:numCache>
                <c:formatCode>0%</c:formatCode>
                <c:ptCount val="38"/>
                <c:pt idx="0">
                  <c:v>0.25761310328377196</c:v>
                </c:pt>
                <c:pt idx="1">
                  <c:v>0.21263917202446345</c:v>
                </c:pt>
                <c:pt idx="2">
                  <c:v>0.20962223308428191</c:v>
                </c:pt>
                <c:pt idx="3">
                  <c:v>0.17589820359281527</c:v>
                </c:pt>
                <c:pt idx="4">
                  <c:v>0.16760037348272641</c:v>
                </c:pt>
                <c:pt idx="5">
                  <c:v>0.16574813998346738</c:v>
                </c:pt>
                <c:pt idx="6">
                  <c:v>0.1630718954248366</c:v>
                </c:pt>
                <c:pt idx="7">
                  <c:v>0.14852989041987641</c:v>
                </c:pt>
                <c:pt idx="8">
                  <c:v>0.13858971753708596</c:v>
                </c:pt>
                <c:pt idx="9">
                  <c:v>0.12777008310249394</c:v>
                </c:pt>
                <c:pt idx="10">
                  <c:v>0.11951894423158817</c:v>
                </c:pt>
                <c:pt idx="11">
                  <c:v>0.11317587819206297</c:v>
                </c:pt>
                <c:pt idx="12">
                  <c:v>0.11314593980692789</c:v>
                </c:pt>
                <c:pt idx="13">
                  <c:v>0.11085638219198338</c:v>
                </c:pt>
                <c:pt idx="14">
                  <c:v>0.10938433950986223</c:v>
                </c:pt>
                <c:pt idx="15">
                  <c:v>0.10674846625766871</c:v>
                </c:pt>
                <c:pt idx="16">
                  <c:v>0.10533462657614023</c:v>
                </c:pt>
                <c:pt idx="17">
                  <c:v>0.10508882866606441</c:v>
                </c:pt>
                <c:pt idx="18">
                  <c:v>9.9449035812672198E-2</c:v>
                </c:pt>
                <c:pt idx="19">
                  <c:v>9.9276867705824764E-2</c:v>
                </c:pt>
                <c:pt idx="20">
                  <c:v>8.9776087874947216E-2</c:v>
                </c:pt>
                <c:pt idx="21">
                  <c:v>8.1878152890958497E-2</c:v>
                </c:pt>
                <c:pt idx="22">
                  <c:v>8.1096681096681097E-2</c:v>
                </c:pt>
                <c:pt idx="23">
                  <c:v>7.766544117647059E-2</c:v>
                </c:pt>
                <c:pt idx="24">
                  <c:v>6.7955221269896823E-2</c:v>
                </c:pt>
                <c:pt idx="25">
                  <c:v>6.4425770308123423E-2</c:v>
                </c:pt>
                <c:pt idx="26">
                  <c:v>5.4522924411400539E-2</c:v>
                </c:pt>
                <c:pt idx="27">
                  <c:v>4.6553039938947098E-2</c:v>
                </c:pt>
                <c:pt idx="28">
                  <c:v>4.5645330535152046E-2</c:v>
                </c:pt>
                <c:pt idx="29">
                  <c:v>4.3936490555707905E-2</c:v>
                </c:pt>
                <c:pt idx="30">
                  <c:v>3.69290573372206E-2</c:v>
                </c:pt>
                <c:pt idx="31">
                  <c:v>3.4529966534834193E-2</c:v>
                </c:pt>
                <c:pt idx="32">
                  <c:v>2.8473906404383513E-2</c:v>
                </c:pt>
                <c:pt idx="33">
                  <c:v>1.713692227799896E-2</c:v>
                </c:pt>
                <c:pt idx="34">
                  <c:v>1.5200330441966189E-2</c:v>
                </c:pt>
                <c:pt idx="35">
                  <c:v>1.4399393709738537E-2</c:v>
                </c:pt>
                <c:pt idx="36">
                  <c:v>1.3718282076571281E-2</c:v>
                </c:pt>
                <c:pt idx="37">
                  <c:v>3.8349159970781591E-3</c:v>
                </c:pt>
              </c:numCache>
            </c:numRef>
          </c:val>
        </c:ser>
        <c:dLbls>
          <c:showLegendKey val="0"/>
          <c:showVal val="0"/>
          <c:showCatName val="0"/>
          <c:showSerName val="0"/>
          <c:showPercent val="0"/>
          <c:showBubbleSize val="0"/>
        </c:dLbls>
        <c:gapWidth val="150"/>
        <c:axId val="193219584"/>
        <c:axId val="193405696"/>
      </c:barChart>
      <c:catAx>
        <c:axId val="193219584"/>
        <c:scaling>
          <c:orientation val="minMax"/>
        </c:scaling>
        <c:delete val="0"/>
        <c:axPos val="l"/>
        <c:majorTickMark val="out"/>
        <c:minorTickMark val="none"/>
        <c:tickLblPos val="nextTo"/>
        <c:txPr>
          <a:bodyPr/>
          <a:lstStyle/>
          <a:p>
            <a:pPr>
              <a:defRPr sz="800">
                <a:latin typeface="Arial Narrow" pitchFamily="34" charset="0"/>
              </a:defRPr>
            </a:pPr>
            <a:endParaRPr lang="en-US"/>
          </a:p>
        </c:txPr>
        <c:crossAx val="193405696"/>
        <c:crosses val="autoZero"/>
        <c:auto val="1"/>
        <c:lblAlgn val="ctr"/>
        <c:lblOffset val="100"/>
        <c:noMultiLvlLbl val="0"/>
      </c:catAx>
      <c:valAx>
        <c:axId val="193405696"/>
        <c:scaling>
          <c:orientation val="minMax"/>
        </c:scaling>
        <c:delete val="0"/>
        <c:axPos val="b"/>
        <c:majorGridlines/>
        <c:numFmt formatCode="0%" sourceLinked="1"/>
        <c:majorTickMark val="out"/>
        <c:minorTickMark val="none"/>
        <c:tickLblPos val="nextTo"/>
        <c:txPr>
          <a:bodyPr/>
          <a:lstStyle/>
          <a:p>
            <a:pPr>
              <a:defRPr sz="800">
                <a:latin typeface="Arial Narrow" pitchFamily="34" charset="0"/>
              </a:defRPr>
            </a:pPr>
            <a:endParaRPr lang="en-US"/>
          </a:p>
        </c:txPr>
        <c:crossAx val="193219584"/>
        <c:crosses val="autoZero"/>
        <c:crossBetween val="between"/>
        <c:majorUnit val="0.1"/>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'Fig 3'!$C$10</c:f>
              <c:strCache>
                <c:ptCount val="1"/>
                <c:pt idx="0">
                  <c:v>Cluster 1</c:v>
                </c:pt>
              </c:strCache>
            </c:strRef>
          </c:tx>
          <c:spPr>
            <a:ln>
              <a:solidFill>
                <a:sysClr val="windowText" lastClr="000000"/>
              </a:solidFill>
            </a:ln>
          </c:spPr>
          <c:marker>
            <c:symbol val="none"/>
          </c:marker>
          <c:cat>
            <c:strRef>
              <c:f>'Fig 3'!$D$9:$M$9</c:f>
              <c:strCache>
                <c:ptCount val="10"/>
                <c:pt idx="0">
                  <c:v>01</c:v>
                </c:pt>
                <c:pt idx="1">
                  <c:v>02</c:v>
                </c:pt>
                <c:pt idx="2">
                  <c:v>03</c:v>
                </c:pt>
                <c:pt idx="3">
                  <c:v>04</c:v>
                </c:pt>
                <c:pt idx="4">
                  <c:v>05</c:v>
                </c:pt>
                <c:pt idx="5">
                  <c:v>06</c:v>
                </c:pt>
                <c:pt idx="6">
                  <c:v>07</c:v>
                </c:pt>
                <c:pt idx="7">
                  <c:v>08</c:v>
                </c:pt>
                <c:pt idx="8">
                  <c:v>09</c:v>
                </c:pt>
                <c:pt idx="9">
                  <c:v>10</c:v>
                </c:pt>
              </c:strCache>
            </c:strRef>
          </c:cat>
          <c:val>
            <c:numRef>
              <c:f>'Fig 3'!$D$10:$M$10</c:f>
              <c:numCache>
                <c:formatCode>0.0%</c:formatCode>
                <c:ptCount val="10"/>
                <c:pt idx="0">
                  <c:v>0.10380717611613256</c:v>
                </c:pt>
                <c:pt idx="1">
                  <c:v>0.23608391608391607</c:v>
                </c:pt>
                <c:pt idx="2">
                  <c:v>0.16224862888482641</c:v>
                </c:pt>
                <c:pt idx="3">
                  <c:v>0.1906040268456376</c:v>
                </c:pt>
                <c:pt idx="4">
                  <c:v>0.16734143049932623</c:v>
                </c:pt>
                <c:pt idx="5">
                  <c:v>0.18975552968568102</c:v>
                </c:pt>
                <c:pt idx="6">
                  <c:v>0.20959147424511546</c:v>
                </c:pt>
                <c:pt idx="7">
                  <c:v>0.2317501563928589</c:v>
                </c:pt>
                <c:pt idx="8">
                  <c:v>0.20389228332201903</c:v>
                </c:pt>
                <c:pt idx="9">
                  <c:v>0.17288366547436554</c:v>
                </c:pt>
              </c:numCache>
            </c:numRef>
          </c:val>
          <c:smooth val="0"/>
        </c:ser>
        <c:ser>
          <c:idx val="1"/>
          <c:order val="1"/>
          <c:tx>
            <c:strRef>
              <c:f>'Fig 3'!$C$11</c:f>
              <c:strCache>
                <c:ptCount val="1"/>
                <c:pt idx="0">
                  <c:v>Cluster 2</c:v>
                </c:pt>
              </c:strCache>
            </c:strRef>
          </c:tx>
          <c:spPr>
            <a:ln>
              <a:solidFill>
                <a:sysClr val="windowText" lastClr="000000"/>
              </a:solidFill>
              <a:prstDash val="dash"/>
            </a:ln>
          </c:spPr>
          <c:marker>
            <c:symbol val="none"/>
          </c:marker>
          <c:cat>
            <c:strRef>
              <c:f>'Fig 3'!$D$9:$M$9</c:f>
              <c:strCache>
                <c:ptCount val="10"/>
                <c:pt idx="0">
                  <c:v>01</c:v>
                </c:pt>
                <c:pt idx="1">
                  <c:v>02</c:v>
                </c:pt>
                <c:pt idx="2">
                  <c:v>03</c:v>
                </c:pt>
                <c:pt idx="3">
                  <c:v>04</c:v>
                </c:pt>
                <c:pt idx="4">
                  <c:v>05</c:v>
                </c:pt>
                <c:pt idx="5">
                  <c:v>06</c:v>
                </c:pt>
                <c:pt idx="6">
                  <c:v>07</c:v>
                </c:pt>
                <c:pt idx="7">
                  <c:v>08</c:v>
                </c:pt>
                <c:pt idx="8">
                  <c:v>09</c:v>
                </c:pt>
                <c:pt idx="9">
                  <c:v>10</c:v>
                </c:pt>
              </c:strCache>
            </c:strRef>
          </c:cat>
          <c:val>
            <c:numRef>
              <c:f>'Fig 3'!$D$11:$M$11</c:f>
              <c:numCache>
                <c:formatCode>0.0%</c:formatCode>
                <c:ptCount val="10"/>
                <c:pt idx="0">
                  <c:v>5.4037735849056946E-2</c:v>
                </c:pt>
                <c:pt idx="1">
                  <c:v>0.13531353135313531</c:v>
                </c:pt>
                <c:pt idx="2">
                  <c:v>0.10181680545041639</c:v>
                </c:pt>
                <c:pt idx="3">
                  <c:v>9.7807170205360214E-2</c:v>
                </c:pt>
                <c:pt idx="4">
                  <c:v>4.4848484848485068E-2</c:v>
                </c:pt>
                <c:pt idx="5">
                  <c:v>0.14094587898474922</c:v>
                </c:pt>
                <c:pt idx="6">
                  <c:v>0.14297589359933574</c:v>
                </c:pt>
                <c:pt idx="7">
                  <c:v>0.14224235560588921</c:v>
                </c:pt>
                <c:pt idx="8">
                  <c:v>7.4642931070171933E-2</c:v>
                </c:pt>
                <c:pt idx="9">
                  <c:v>6.9122098890010114E-2</c:v>
                </c:pt>
              </c:numCache>
            </c:numRef>
          </c:val>
          <c:smooth val="0"/>
        </c:ser>
        <c:ser>
          <c:idx val="2"/>
          <c:order val="2"/>
          <c:tx>
            <c:strRef>
              <c:f>'Fig 3'!$C$12</c:f>
              <c:strCache>
                <c:ptCount val="1"/>
                <c:pt idx="0">
                  <c:v>Cluster 3</c:v>
                </c:pt>
              </c:strCache>
            </c:strRef>
          </c:tx>
          <c:spPr>
            <a:ln>
              <a:solidFill>
                <a:sysClr val="windowText" lastClr="000000"/>
              </a:solidFill>
              <a:prstDash val="sysDot"/>
            </a:ln>
          </c:spPr>
          <c:marker>
            <c:symbol val="none"/>
          </c:marker>
          <c:cat>
            <c:strRef>
              <c:f>'Fig 3'!$D$9:$M$9</c:f>
              <c:strCache>
                <c:ptCount val="10"/>
                <c:pt idx="0">
                  <c:v>01</c:v>
                </c:pt>
                <c:pt idx="1">
                  <c:v>02</c:v>
                </c:pt>
                <c:pt idx="2">
                  <c:v>03</c:v>
                </c:pt>
                <c:pt idx="3">
                  <c:v>04</c:v>
                </c:pt>
                <c:pt idx="4">
                  <c:v>05</c:v>
                </c:pt>
                <c:pt idx="5">
                  <c:v>06</c:v>
                </c:pt>
                <c:pt idx="6">
                  <c:v>07</c:v>
                </c:pt>
                <c:pt idx="7">
                  <c:v>08</c:v>
                </c:pt>
                <c:pt idx="8">
                  <c:v>09</c:v>
                </c:pt>
                <c:pt idx="9">
                  <c:v>10</c:v>
                </c:pt>
              </c:strCache>
            </c:strRef>
          </c:cat>
          <c:val>
            <c:numRef>
              <c:f>'Fig 3'!$D$12:$M$12</c:f>
              <c:numCache>
                <c:formatCode>0.0%</c:formatCode>
                <c:ptCount val="10"/>
                <c:pt idx="0">
                  <c:v>1.2790240062967341E-2</c:v>
                </c:pt>
                <c:pt idx="1">
                  <c:v>2.965946539729037E-2</c:v>
                </c:pt>
                <c:pt idx="2">
                  <c:v>2.1829316475701462E-2</c:v>
                </c:pt>
                <c:pt idx="3">
                  <c:v>5.2999178307313072E-2</c:v>
                </c:pt>
                <c:pt idx="4">
                  <c:v>2.5733634311512408E-2</c:v>
                </c:pt>
                <c:pt idx="5">
                  <c:v>4.1964030830716828E-2</c:v>
                </c:pt>
                <c:pt idx="6">
                  <c:v>9.148972898325565E-2</c:v>
                </c:pt>
                <c:pt idx="7">
                  <c:v>2.7753686036426712E-2</c:v>
                </c:pt>
                <c:pt idx="8">
                  <c:v>3.4779008384225353E-2</c:v>
                </c:pt>
                <c:pt idx="9">
                  <c:v>3.6541558280688717E-2</c:v>
                </c:pt>
              </c:numCache>
            </c:numRef>
          </c:val>
          <c:smooth val="0"/>
        </c:ser>
        <c:dLbls>
          <c:showLegendKey val="0"/>
          <c:showVal val="0"/>
          <c:showCatName val="0"/>
          <c:showSerName val="0"/>
          <c:showPercent val="0"/>
          <c:showBubbleSize val="0"/>
        </c:dLbls>
        <c:marker val="1"/>
        <c:smooth val="0"/>
        <c:axId val="193446656"/>
        <c:axId val="193448576"/>
      </c:lineChart>
      <c:catAx>
        <c:axId val="193446656"/>
        <c:scaling>
          <c:orientation val="minMax"/>
        </c:scaling>
        <c:delete val="0"/>
        <c:axPos val="b"/>
        <c:title>
          <c:tx>
            <c:rich>
              <a:bodyPr/>
              <a:lstStyle/>
              <a:p>
                <a:pPr>
                  <a:defRPr/>
                </a:pPr>
                <a:r>
                  <a:rPr lang="en-AU" sz="800">
                    <a:latin typeface="Arial Narrow" pitchFamily="34" charset="0"/>
                  </a:rPr>
                  <a:t>Broad field of education</a:t>
                </a:r>
              </a:p>
            </c:rich>
          </c:tx>
          <c:overlay val="0"/>
        </c:title>
        <c:majorTickMark val="out"/>
        <c:minorTickMark val="none"/>
        <c:tickLblPos val="low"/>
        <c:crossAx val="193448576"/>
        <c:crosses val="autoZero"/>
        <c:auto val="1"/>
        <c:lblAlgn val="ctr"/>
        <c:lblOffset val="100"/>
        <c:noMultiLvlLbl val="0"/>
      </c:catAx>
      <c:valAx>
        <c:axId val="193448576"/>
        <c:scaling>
          <c:orientation val="minMax"/>
        </c:scaling>
        <c:delete val="0"/>
        <c:axPos val="l"/>
        <c:majorGridlines/>
        <c:numFmt formatCode="0.0%" sourceLinked="1"/>
        <c:majorTickMark val="out"/>
        <c:minorTickMark val="none"/>
        <c:tickLblPos val="nextTo"/>
        <c:txPr>
          <a:bodyPr/>
          <a:lstStyle/>
          <a:p>
            <a:pPr>
              <a:defRPr sz="800">
                <a:latin typeface="Arial Narrow" pitchFamily="34" charset="0"/>
              </a:defRPr>
            </a:pPr>
            <a:endParaRPr lang="en-US"/>
          </a:p>
        </c:txPr>
        <c:crossAx val="193446656"/>
        <c:crosses val="autoZero"/>
        <c:crossBetween val="between"/>
      </c:valAx>
    </c:plotArea>
    <c:legend>
      <c:legendPos val="r"/>
      <c:overlay val="0"/>
      <c:txPr>
        <a:bodyPr/>
        <a:lstStyle/>
        <a:p>
          <a:pPr>
            <a:defRPr sz="800">
              <a:latin typeface="Arial Narrow" pitchFamily="34"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'Figure 4'!$C$1</c:f>
              <c:strCache>
                <c:ptCount val="1"/>
                <c:pt idx="0">
                  <c:v>Cluster 3</c:v>
                </c:pt>
              </c:strCache>
            </c:strRef>
          </c:tx>
          <c:spPr>
            <a:solidFill>
              <a:schemeClr val="tx1"/>
            </a:solidFill>
            <a:ln>
              <a:solidFill>
                <a:schemeClr val="tx1"/>
              </a:solidFill>
            </a:ln>
          </c:spPr>
          <c:invertIfNegative val="0"/>
          <c:cat>
            <c:strRef>
              <c:f>'Figure 4'!$B$2:$B$11</c:f>
              <c:strCache>
                <c:ptCount val="10"/>
                <c:pt idx="0">
                  <c:v>01 Natural &amp; physical sciences (4%)</c:v>
                </c:pt>
                <c:pt idx="1">
                  <c:v>05 Agric., environ. &amp; rel. studies (6%)</c:v>
                </c:pt>
                <c:pt idx="2">
                  <c:v>03 Engineering &amp; related tech. (7%)</c:v>
                </c:pt>
                <c:pt idx="3">
                  <c:v>09 Society &amp; culture (8%)</c:v>
                </c:pt>
                <c:pt idx="4">
                  <c:v>10 Creative arts (8%)</c:v>
                </c:pt>
                <c:pt idx="5">
                  <c:v>04 Architecture &amp; building (10%)</c:v>
                </c:pt>
                <c:pt idx="6">
                  <c:v>06 Health (12%)</c:v>
                </c:pt>
                <c:pt idx="7">
                  <c:v>08 Management &amp; commerce (13%)</c:v>
                </c:pt>
                <c:pt idx="8">
                  <c:v>02 Information technology (14%)</c:v>
                </c:pt>
                <c:pt idx="9">
                  <c:v>07 Education (15%)</c:v>
                </c:pt>
              </c:strCache>
            </c:strRef>
          </c:cat>
          <c:val>
            <c:numRef>
              <c:f>'Figure 4'!$C$2:$C$11</c:f>
              <c:numCache>
                <c:formatCode>0%</c:formatCode>
                <c:ptCount val="10"/>
                <c:pt idx="0">
                  <c:v>0.59736697750959955</c:v>
                </c:pt>
                <c:pt idx="1">
                  <c:v>0.58582385612271881</c:v>
                </c:pt>
                <c:pt idx="2">
                  <c:v>0.51167492166178163</c:v>
                </c:pt>
                <c:pt idx="3">
                  <c:v>0.43641866558251113</c:v>
                </c:pt>
                <c:pt idx="4">
                  <c:v>0.33843380565104536</c:v>
                </c:pt>
                <c:pt idx="5">
                  <c:v>0.35804648426007768</c:v>
                </c:pt>
                <c:pt idx="6">
                  <c:v>0.34323788060651977</c:v>
                </c:pt>
                <c:pt idx="7">
                  <c:v>0.34915347556779081</c:v>
                </c:pt>
                <c:pt idx="8">
                  <c:v>0.23836955573012186</c:v>
                </c:pt>
                <c:pt idx="9">
                  <c:v>0.24765935616262746</c:v>
                </c:pt>
              </c:numCache>
            </c:numRef>
          </c:val>
        </c:ser>
        <c:ser>
          <c:idx val="1"/>
          <c:order val="1"/>
          <c:tx>
            <c:strRef>
              <c:f>'Figure 4'!$D$1</c:f>
              <c:strCache>
                <c:ptCount val="1"/>
                <c:pt idx="0">
                  <c:v>Cluster 2</c:v>
                </c:pt>
              </c:strCache>
            </c:strRef>
          </c:tx>
          <c:spPr>
            <a:solidFill>
              <a:schemeClr val="bg1">
                <a:lumMod val="50000"/>
              </a:schemeClr>
            </a:solidFill>
            <a:ln>
              <a:solidFill>
                <a:schemeClr val="bg1">
                  <a:lumMod val="50000"/>
                </a:schemeClr>
              </a:solidFill>
            </a:ln>
          </c:spPr>
          <c:invertIfNegative val="0"/>
          <c:cat>
            <c:strRef>
              <c:f>'Figure 4'!$B$2:$B$11</c:f>
              <c:strCache>
                <c:ptCount val="10"/>
                <c:pt idx="0">
                  <c:v>01 Natural &amp; physical sciences (4%)</c:v>
                </c:pt>
                <c:pt idx="1">
                  <c:v>05 Agric., environ. &amp; rel. studies (6%)</c:v>
                </c:pt>
                <c:pt idx="2">
                  <c:v>03 Engineering &amp; related tech. (7%)</c:v>
                </c:pt>
                <c:pt idx="3">
                  <c:v>09 Society &amp; culture (8%)</c:v>
                </c:pt>
                <c:pt idx="4">
                  <c:v>10 Creative arts (8%)</c:v>
                </c:pt>
                <c:pt idx="5">
                  <c:v>04 Architecture &amp; building (10%)</c:v>
                </c:pt>
                <c:pt idx="6">
                  <c:v>06 Health (12%)</c:v>
                </c:pt>
                <c:pt idx="7">
                  <c:v>08 Management &amp; commerce (13%)</c:v>
                </c:pt>
                <c:pt idx="8">
                  <c:v>02 Information technology (14%)</c:v>
                </c:pt>
                <c:pt idx="9">
                  <c:v>07 Education (15%)</c:v>
                </c:pt>
              </c:strCache>
            </c:strRef>
          </c:cat>
          <c:val>
            <c:numRef>
              <c:f>'Figure 4'!$D$2:$D$11</c:f>
              <c:numCache>
                <c:formatCode>0%</c:formatCode>
                <c:ptCount val="10"/>
                <c:pt idx="0">
                  <c:v>0.25957997022176948</c:v>
                </c:pt>
                <c:pt idx="1">
                  <c:v>0.21819624437979437</c:v>
                </c:pt>
                <c:pt idx="2">
                  <c:v>0.26705751541493983</c:v>
                </c:pt>
                <c:pt idx="3">
                  <c:v>0.36371986568490361</c:v>
                </c:pt>
                <c:pt idx="4">
                  <c:v>0.41544395070009221</c:v>
                </c:pt>
                <c:pt idx="5">
                  <c:v>0.42262430126507977</c:v>
                </c:pt>
                <c:pt idx="6">
                  <c:v>0.44492075545648285</c:v>
                </c:pt>
                <c:pt idx="7">
                  <c:v>0.36462491397109575</c:v>
                </c:pt>
                <c:pt idx="8">
                  <c:v>0.44959413459020675</c:v>
                </c:pt>
                <c:pt idx="9">
                  <c:v>0.46287033474413236</c:v>
                </c:pt>
              </c:numCache>
            </c:numRef>
          </c:val>
        </c:ser>
        <c:ser>
          <c:idx val="2"/>
          <c:order val="2"/>
          <c:tx>
            <c:strRef>
              <c:f>'Figure 4'!$E$1</c:f>
              <c:strCache>
                <c:ptCount val="1"/>
                <c:pt idx="0">
                  <c:v>Cluster 1</c:v>
                </c:pt>
              </c:strCache>
            </c:strRef>
          </c:tx>
          <c:spPr>
            <a:solidFill>
              <a:schemeClr val="bg1"/>
            </a:solidFill>
            <a:ln>
              <a:solidFill>
                <a:schemeClr val="bg1">
                  <a:lumMod val="50000"/>
                </a:schemeClr>
              </a:solidFill>
            </a:ln>
          </c:spPr>
          <c:invertIfNegative val="0"/>
          <c:cat>
            <c:strRef>
              <c:f>'Figure 4'!$B$2:$B$11</c:f>
              <c:strCache>
                <c:ptCount val="10"/>
                <c:pt idx="0">
                  <c:v>01 Natural &amp; physical sciences (4%)</c:v>
                </c:pt>
                <c:pt idx="1">
                  <c:v>05 Agric., environ. &amp; rel. studies (6%)</c:v>
                </c:pt>
                <c:pt idx="2">
                  <c:v>03 Engineering &amp; related tech. (7%)</c:v>
                </c:pt>
                <c:pt idx="3">
                  <c:v>09 Society &amp; culture (8%)</c:v>
                </c:pt>
                <c:pt idx="4">
                  <c:v>10 Creative arts (8%)</c:v>
                </c:pt>
                <c:pt idx="5">
                  <c:v>04 Architecture &amp; building (10%)</c:v>
                </c:pt>
                <c:pt idx="6">
                  <c:v>06 Health (12%)</c:v>
                </c:pt>
                <c:pt idx="7">
                  <c:v>08 Management &amp; commerce (13%)</c:v>
                </c:pt>
                <c:pt idx="8">
                  <c:v>02 Information technology (14%)</c:v>
                </c:pt>
                <c:pt idx="9">
                  <c:v>07 Education (15%)</c:v>
                </c:pt>
              </c:strCache>
            </c:strRef>
          </c:cat>
          <c:val>
            <c:numRef>
              <c:f>'Figure 4'!$E$2:$E$11</c:f>
              <c:numCache>
                <c:formatCode>0%</c:formatCode>
                <c:ptCount val="10"/>
                <c:pt idx="0">
                  <c:v>0.14305305226863088</c:v>
                </c:pt>
                <c:pt idx="1">
                  <c:v>0.19597989949748801</c:v>
                </c:pt>
                <c:pt idx="2">
                  <c:v>0.22116648135044994</c:v>
                </c:pt>
                <c:pt idx="3">
                  <c:v>0.19962054478926683</c:v>
                </c:pt>
                <c:pt idx="4">
                  <c:v>0.24612224364886393</c:v>
                </c:pt>
                <c:pt idx="5">
                  <c:v>0.21918211238599591</c:v>
                </c:pt>
                <c:pt idx="6">
                  <c:v>0.21042059623251597</c:v>
                </c:pt>
                <c:pt idx="7">
                  <c:v>0.28604267033723452</c:v>
                </c:pt>
                <c:pt idx="8">
                  <c:v>0.31203630967967377</c:v>
                </c:pt>
                <c:pt idx="9">
                  <c:v>0.28882903680902938</c:v>
                </c:pt>
              </c:numCache>
            </c:numRef>
          </c:val>
        </c:ser>
        <c:dLbls>
          <c:showLegendKey val="0"/>
          <c:showVal val="0"/>
          <c:showCatName val="0"/>
          <c:showSerName val="0"/>
          <c:showPercent val="0"/>
          <c:showBubbleSize val="0"/>
        </c:dLbls>
        <c:gapWidth val="150"/>
        <c:overlap val="100"/>
        <c:axId val="195563904"/>
        <c:axId val="195565440"/>
      </c:barChart>
      <c:catAx>
        <c:axId val="195563904"/>
        <c:scaling>
          <c:orientation val="minMax"/>
        </c:scaling>
        <c:delete val="0"/>
        <c:axPos val="l"/>
        <c:majorTickMark val="out"/>
        <c:minorTickMark val="none"/>
        <c:tickLblPos val="nextTo"/>
        <c:txPr>
          <a:bodyPr/>
          <a:lstStyle/>
          <a:p>
            <a:pPr>
              <a:defRPr sz="800">
                <a:latin typeface="Arial Narrow" pitchFamily="34" charset="0"/>
              </a:defRPr>
            </a:pPr>
            <a:endParaRPr lang="en-US"/>
          </a:p>
        </c:txPr>
        <c:crossAx val="195565440"/>
        <c:crosses val="autoZero"/>
        <c:auto val="1"/>
        <c:lblAlgn val="ctr"/>
        <c:lblOffset val="100"/>
        <c:noMultiLvlLbl val="0"/>
      </c:catAx>
      <c:valAx>
        <c:axId val="195565440"/>
        <c:scaling>
          <c:orientation val="minMax"/>
        </c:scaling>
        <c:delete val="0"/>
        <c:axPos val="b"/>
        <c:majorGridlines/>
        <c:numFmt formatCode="0%" sourceLinked="1"/>
        <c:majorTickMark val="out"/>
        <c:minorTickMark val="none"/>
        <c:tickLblPos val="nextTo"/>
        <c:txPr>
          <a:bodyPr/>
          <a:lstStyle/>
          <a:p>
            <a:pPr>
              <a:defRPr sz="800">
                <a:latin typeface="Arial Narrow" pitchFamily="34" charset="0"/>
              </a:defRPr>
            </a:pPr>
            <a:endParaRPr lang="en-US"/>
          </a:p>
        </c:txPr>
        <c:crossAx val="195563904"/>
        <c:crosses val="autoZero"/>
        <c:crossBetween val="between"/>
        <c:majorUnit val="0.2"/>
      </c:valAx>
    </c:plotArea>
    <c:legend>
      <c:legendPos val="r"/>
      <c:legendEntry>
        <c:idx val="0"/>
        <c:txPr>
          <a:bodyPr/>
          <a:lstStyle/>
          <a:p>
            <a:pPr>
              <a:defRPr sz="800">
                <a:latin typeface="Arial Narrow" pitchFamily="34" charset="0"/>
              </a:defRPr>
            </a:pPr>
            <a:endParaRPr lang="en-US"/>
          </a:p>
        </c:txPr>
      </c:legendEntry>
      <c:legendEntry>
        <c:idx val="1"/>
        <c:txPr>
          <a:bodyPr/>
          <a:lstStyle/>
          <a:p>
            <a:pPr>
              <a:defRPr sz="800">
                <a:latin typeface="Arial Narrow" pitchFamily="34" charset="0"/>
              </a:defRPr>
            </a:pPr>
            <a:endParaRPr lang="en-US"/>
          </a:p>
        </c:txPr>
      </c:legendEntry>
      <c:legendEntry>
        <c:idx val="2"/>
        <c:txPr>
          <a:bodyPr/>
          <a:lstStyle/>
          <a:p>
            <a:pPr>
              <a:defRPr sz="800">
                <a:latin typeface="Arial Narrow" pitchFamily="34" charset="0"/>
              </a:defRPr>
            </a:pPr>
            <a:endParaRPr lang="en-US"/>
          </a:p>
        </c:txPr>
      </c:legendEntry>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94D-A021-4E17-8F65-BCA187932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4099CB03</Template>
  <TotalTime>0</TotalTime>
  <Pages>36</Pages>
  <Words>13913</Words>
  <Characters>79308</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93035</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Half-open door</dc:title>
  <dc:creator/>
  <cp:lastModifiedBy/>
  <cp:revision>1</cp:revision>
  <dcterms:created xsi:type="dcterms:W3CDTF">2013-09-01T23:53:00Z</dcterms:created>
  <dcterms:modified xsi:type="dcterms:W3CDTF">2014-03-14T04:05:00Z</dcterms:modified>
</cp:coreProperties>
</file>