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43B0F" w:rsidP="00177827">
      <w:pPr>
        <w:pStyle w:val="PublicationTitle"/>
        <w:spacing w:before="0"/>
      </w:pPr>
      <w:bookmarkStart w:id="0" w:name="_Toc296423677"/>
      <w:bookmarkStart w:id="1" w:name="_Toc296497508"/>
      <w:r>
        <w:rPr>
          <w:noProof/>
          <w:lang w:eastAsia="en-AU"/>
        </w:rPr>
        <w:drawing>
          <wp:anchor distT="0" distB="0" distL="114300" distR="114300" simplePos="0" relativeHeight="251671552" behindDoc="0" locked="0" layoutInCell="1" allowOverlap="1">
            <wp:simplePos x="0" y="0"/>
            <wp:positionH relativeFrom="column">
              <wp:posOffset>-662305</wp:posOffset>
            </wp:positionH>
            <wp:positionV relativeFrom="paragraph">
              <wp:posOffset>961390</wp:posOffset>
            </wp:positionV>
            <wp:extent cx="2190750" cy="742950"/>
            <wp:effectExtent l="19050" t="0" r="0" b="0"/>
            <wp:wrapSquare wrapText="bothSides"/>
            <wp:docPr id="1" name="Picture 2" descr="P:\PublicationComponents\logos\DIICCSRTE\EPS\DIICCSRTE_2 line_stri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IICCSRTE\EPS\DIICCSRTE_2 line_strip.eps"/>
                    <pic:cNvPicPr>
                      <a:picLocks noChangeAspect="1" noChangeArrowheads="1"/>
                    </pic:cNvPicPr>
                  </pic:nvPicPr>
                  <pic:blipFill>
                    <a:blip r:embed="rId8" cstate="print"/>
                    <a:stretch>
                      <a:fillRect/>
                    </a:stretch>
                  </pic:blipFill>
                  <pic:spPr bwMode="auto">
                    <a:xfrm>
                      <a:off x="0" y="0"/>
                      <a:ext cx="2190750" cy="74295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7456" behindDoc="0" locked="0" layoutInCell="1" allowOverlap="1">
            <wp:simplePos x="0" y="0"/>
            <wp:positionH relativeFrom="column">
              <wp:posOffset>-881380</wp:posOffset>
            </wp:positionH>
            <wp:positionV relativeFrom="paragraph">
              <wp:posOffset>182245</wp:posOffset>
            </wp:positionV>
            <wp:extent cx="2106930" cy="469900"/>
            <wp:effectExtent l="19050" t="0" r="762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106930" cy="46990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AA1211" w:rsidRDefault="00AA1211" w:rsidP="00A56A4A">
      <w:pPr>
        <w:pStyle w:val="PublicationTitle"/>
        <w:spacing w:before="0" w:after="0"/>
      </w:pPr>
    </w:p>
    <w:bookmarkEnd w:id="0"/>
    <w:bookmarkEnd w:id="1"/>
    <w:p w:rsidR="009E231A" w:rsidRPr="005C2FCF" w:rsidRDefault="0053219E" w:rsidP="00177827">
      <w:pPr>
        <w:pStyle w:val="PublicationTitle"/>
        <w:spacing w:before="0"/>
      </w:pPr>
      <w:r w:rsidRPr="00736421">
        <w:t xml:space="preserve">Issues </w:t>
      </w:r>
      <w:r>
        <w:t xml:space="preserve">for </w:t>
      </w:r>
      <w:r w:rsidR="00736421" w:rsidRPr="00736421">
        <w:t>VET providers delivering associate and</w:t>
      </w:r>
      <w:r w:rsidR="00D86BA6">
        <w:t xml:space="preserve"> </w:t>
      </w:r>
      <w:r w:rsidR="00736421" w:rsidRPr="00736421">
        <w:t xml:space="preserve">bachelor degrees: </w:t>
      </w:r>
      <w:r w:rsidR="00517C41">
        <w:t>literature</w:t>
      </w:r>
      <w:r w:rsidR="00D86BA6">
        <w:t> </w:t>
      </w:r>
      <w:r>
        <w:t xml:space="preserve">review </w:t>
      </w:r>
    </w:p>
    <w:p w:rsidR="00B03AD8" w:rsidRDefault="00736421" w:rsidP="00B03AD8">
      <w:pPr>
        <w:pStyle w:val="Authors"/>
      </w:pPr>
      <w:bookmarkStart w:id="2" w:name="_Toc296423678"/>
      <w:bookmarkStart w:id="3" w:name="_Toc296497509"/>
      <w:r>
        <w:t xml:space="preserve">Victor </w:t>
      </w:r>
      <w:r w:rsidR="00D35375">
        <w:t xml:space="preserve">J </w:t>
      </w:r>
      <w:r>
        <w:t>Callan</w:t>
      </w:r>
    </w:p>
    <w:p w:rsidR="00736421" w:rsidRDefault="00B03AD8" w:rsidP="00D86BA6">
      <w:pPr>
        <w:pStyle w:val="Organisation"/>
        <w:spacing w:before="80"/>
      </w:pPr>
      <w:r>
        <w:t>Callan Consulting</w:t>
      </w:r>
      <w:r w:rsidR="00736421">
        <w:t xml:space="preserve"> </w:t>
      </w:r>
      <w:r w:rsidR="002B0031">
        <w:t>Group</w:t>
      </w:r>
    </w:p>
    <w:p w:rsidR="00505CCA" w:rsidRDefault="00736421" w:rsidP="00D86BA6">
      <w:pPr>
        <w:pStyle w:val="Authors"/>
        <w:spacing w:before="240"/>
        <w:ind w:right="0"/>
      </w:pPr>
      <w:r>
        <w:t xml:space="preserve">Kaye Bowman </w:t>
      </w:r>
    </w:p>
    <w:p w:rsidR="00177827" w:rsidRPr="00505CCA" w:rsidRDefault="00505CCA" w:rsidP="00D86BA6">
      <w:pPr>
        <w:pStyle w:val="Organisation"/>
        <w:spacing w:before="80"/>
      </w:pPr>
      <w:r w:rsidRPr="00505CCA">
        <w:t>Kaye Bowman</w:t>
      </w:r>
      <w:r>
        <w:t xml:space="preserve"> </w:t>
      </w:r>
      <w:r w:rsidRPr="00505CCA">
        <w:t>Consulting</w:t>
      </w:r>
      <w:r w:rsidR="00736421" w:rsidRPr="00505CCA">
        <w:t xml:space="preserve"> </w:t>
      </w:r>
    </w:p>
    <w:bookmarkEnd w:id="2"/>
    <w:bookmarkEnd w:id="3"/>
    <w:p w:rsidR="00DB599C" w:rsidRDefault="001C6182" w:rsidP="0048643A">
      <w:pPr>
        <w:pStyle w:val="Text"/>
      </w:pPr>
      <w:r>
        <w:rPr>
          <w:noProof/>
          <w:lang w:eastAsia="en-AU"/>
        </w:rPr>
        <w:pict>
          <v:shapetype id="_x0000_t202" coordsize="21600,21600" o:spt="202" path="m,l,21600r21600,l21600,xe">
            <v:stroke joinstyle="miter"/>
            <v:path gradientshapeok="t" o:connecttype="rect"/>
          </v:shapetype>
          <v:shape id="Text Box 10" o:spid="_x0000_s1034" type="#_x0000_t202" style="position:absolute;margin-left:69.25pt;margin-top:659.7pt;width:357pt;height:83pt;z-index:25167360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Lh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ZlxS4bcC&#10;AADCBQAADgAAAAAAAAAAAAAAAAAuAgAAZHJzL2Uyb0RvYy54bWxQSwECLQAUAAYACAAAACEAOx0t&#10;POAAAAANAQAADwAAAAAAAAAAAAAAAAARBQAAZHJzL2Rvd25yZXYueG1sUEsFBgAAAAAEAAQA8wAA&#10;AB4GAAAAAA==&#10;" filled="f" stroked="f">
            <v:textbox>
              <w:txbxContent>
                <w:p w:rsidR="00C44507" w:rsidRDefault="00C44507" w:rsidP="006476A3">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C44507" w:rsidRDefault="00C44507" w:rsidP="00E36E0B">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D86BA6" w:rsidRDefault="001C6182">
      <w:pPr>
        <w:spacing w:before="0" w:line="240" w:lineRule="auto"/>
        <w:rPr>
          <w:rFonts w:ascii="Tahoma" w:hAnsi="Tahoma" w:cs="Tahoma"/>
          <w:color w:val="000000"/>
          <w:sz w:val="24"/>
        </w:rPr>
      </w:pPr>
      <w:r w:rsidRPr="001C6182">
        <w:rPr>
          <w:noProof/>
          <w:lang w:eastAsia="en-AU"/>
        </w:rPr>
        <w:pict>
          <v:shape id="Text Box 12" o:spid="_x0000_s1033" type="#_x0000_t202" style="position:absolute;margin-left:78.35pt;margin-top:554.95pt;width:216.1pt;height:83pt;z-index:251672576;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gmuQ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" filled="f" stroked="f">
            <v:textbox>
              <w:txbxContent>
                <w:p w:rsidR="00C44507" w:rsidRPr="00E36E0B" w:rsidRDefault="00C44507" w:rsidP="00022564">
                  <w:pPr>
                    <w:pStyle w:val="Heading3"/>
                    <w:rPr>
                      <w:rFonts w:ascii="Trebuchet MS" w:hAnsi="Trebuchet MS"/>
                      <w:szCs w:val="24"/>
                    </w:rPr>
                  </w:pPr>
                  <w:r w:rsidRPr="00E36E0B">
                    <w:rPr>
                      <w:rFonts w:ascii="Trebuchet MS" w:hAnsi="Trebuchet MS"/>
                      <w:szCs w:val="24"/>
                    </w:rPr>
                    <w:t xml:space="preserve">NATIONAL VOCATIONAL EDUCATION AND TRAINING RESEARCH PROGRAM </w:t>
                  </w:r>
                </w:p>
                <w:p w:rsidR="00C44507" w:rsidRPr="00E36E0B" w:rsidRDefault="00C44507" w:rsidP="00022564">
                  <w:pPr>
                    <w:pStyle w:val="Heading3"/>
                    <w:spacing w:before="80"/>
                    <w:rPr>
                      <w:rFonts w:ascii="Trebuchet MS" w:hAnsi="Trebuchet MS"/>
                      <w:szCs w:val="24"/>
                    </w:rPr>
                  </w:pPr>
                  <w:r w:rsidRPr="00E36E0B">
                    <w:rPr>
                      <w:rFonts w:ascii="Trebuchet MS" w:hAnsi="Trebuchet MS"/>
                      <w:b/>
                      <w:szCs w:val="24"/>
                    </w:rPr>
                    <w:t>OCCASIONAL PAPER</w:t>
                  </w:r>
                </w:p>
                <w:p w:rsidR="00C44507" w:rsidRDefault="00C44507" w:rsidP="006476A3">
                  <w:pPr>
                    <w:pStyle w:val="Heading3"/>
                  </w:pPr>
                </w:p>
              </w:txbxContent>
            </v:textbox>
            <w10:wrap anchory="margin"/>
          </v:shape>
        </w:pict>
      </w:r>
      <w:r w:rsidR="00D86BA6">
        <w:br w:type="page"/>
      </w:r>
    </w:p>
    <w:p w:rsidR="009B336F" w:rsidRDefault="009B336F" w:rsidP="00233BFA">
      <w:pPr>
        <w:pStyle w:val="Imprint"/>
        <w:rPr>
          <w:sz w:val="19"/>
          <w:szCs w:val="19"/>
        </w:rPr>
      </w:pPr>
    </w:p>
    <w:p w:rsidR="009E231A" w:rsidRPr="00C77DC6" w:rsidRDefault="001C6182" w:rsidP="0049453B">
      <w:pPr>
        <w:pStyle w:val="Abouttheresearch"/>
      </w:pPr>
      <w:r>
        <w:rPr>
          <w:noProof/>
          <w:lang w:eastAsia="en-AU"/>
        </w:rPr>
        <w:pict>
          <v:shape id="Text Box 14" o:spid="_x0000_s1030" type="#_x0000_t202" style="position:absolute;margin-left:0;margin-top:230.8pt;width:382.2pt;height:45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vtQ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Ckk+IvtQIAALoF&#10;AAAOAAAAAAAAAAAAAAAAAC4CAABkcnMvZTJvRG9jLnhtbFBLAQItABQABgAIAAAAIQC3YeMF3gAA&#10;AAkBAAAPAAAAAAAAAAAAAAAAAA8FAABkcnMvZG93bnJldi54bWxQSwUGAAAAAAQABADzAAAAGgYA&#10;AAAA&#10;" filled="f" stroked="f">
            <v:textbox inset="0,,0">
              <w:txbxContent>
                <w:p w:rsidR="00C44507" w:rsidRPr="00A021FC" w:rsidRDefault="00C44507" w:rsidP="00022564">
                  <w:pPr>
                    <w:pStyle w:val="Imprint"/>
                    <w:rPr>
                      <w:b/>
                    </w:rPr>
                  </w:pPr>
                  <w:r w:rsidRPr="00A021FC">
                    <w:rPr>
                      <w:b/>
                    </w:rPr>
                    <w:t xml:space="preserve">© Commonwealth of Australia, </w:t>
                  </w:r>
                  <w:r>
                    <w:rPr>
                      <w:b/>
                    </w:rPr>
                    <w:t>2013</w:t>
                  </w:r>
                </w:p>
                <w:p w:rsidR="00C44507" w:rsidRDefault="00C44507" w:rsidP="00022564">
                  <w:pPr>
                    <w:pStyle w:val="Imprint"/>
                    <w:rPr>
                      <w:sz w:val="20"/>
                    </w:rPr>
                  </w:pPr>
                  <w:r>
                    <w:rPr>
                      <w:noProof/>
                      <w:sz w:val="20"/>
                      <w:lang w:eastAsia="en-AU"/>
                    </w:rPr>
                    <w:drawing>
                      <wp:inline distT="0" distB="0" distL="0" distR="0">
                        <wp:extent cx="854710" cy="308610"/>
                        <wp:effectExtent l="19050" t="0" r="2540"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C44507" w:rsidRPr="00A021FC" w:rsidRDefault="00C44507" w:rsidP="00022564">
                  <w:pPr>
                    <w:pStyle w:val="Imprint"/>
                  </w:pPr>
                  <w:r w:rsidRPr="00A021FC">
                    <w:t>With the exception of the Commonwealth Coat of Arms, the Department’s logo, any material protected by a trade mark and where otherwise noted all material presented in this document is provided under a Creative Commons Attribution 3.0 Australia &lt;</w:t>
                  </w:r>
                  <w:r>
                    <w:t>http://</w:t>
                  </w:r>
                  <w:r w:rsidRPr="00A021FC">
                    <w:t xml:space="preserve">creativecommons.org/licenses/by/3.0/au&gt; licence. </w:t>
                  </w:r>
                </w:p>
                <w:p w:rsidR="00C44507" w:rsidRPr="00A021FC" w:rsidRDefault="00C44507" w:rsidP="00022564">
                  <w:pPr>
                    <w:pStyle w:val="Imprint"/>
                  </w:pPr>
                  <w:r w:rsidRPr="00A021FC">
                    <w:t>The details of the relevant licence conditions are available on the Creative Commons website (accessible</w:t>
                  </w:r>
                  <w:r>
                    <w:t> </w:t>
                  </w:r>
                  <w:r w:rsidRPr="00A021FC">
                    <w:t>using the links provided) as is the full legal code</w:t>
                  </w:r>
                  <w:r>
                    <w:t xml:space="preserve"> for the CC BY 3.0 AU licence &lt;http://</w:t>
                  </w:r>
                  <w:r w:rsidRPr="00A021FC">
                    <w:t>creativecommons.org/licenses/by/3.0/legalcode&gt;.</w:t>
                  </w:r>
                </w:p>
                <w:p w:rsidR="00C44507" w:rsidRPr="00A021FC" w:rsidRDefault="00C44507" w:rsidP="00022564">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C44507" w:rsidRDefault="00C44507" w:rsidP="006476A3">
                  <w:pPr>
                    <w:pStyle w:val="Imprint"/>
                  </w:pPr>
                  <w:r w:rsidRPr="00A021FC">
                    <w:t>This document should be attributed as</w:t>
                  </w:r>
                  <w:r>
                    <w:t xml:space="preserve"> Callan, V &amp; Bowman, K 2013, </w:t>
                  </w:r>
                  <w:r>
                    <w:rPr>
                      <w:i/>
                    </w:rPr>
                    <w:t xml:space="preserve">Issues for VET providers delivering associate and bachelor degrees: literature review, </w:t>
                  </w:r>
                  <w:r w:rsidRPr="00A021FC">
                    <w:t>NCVER, Adelaide.</w:t>
                  </w:r>
                </w:p>
                <w:p w:rsidR="00C44507" w:rsidRPr="00A021FC" w:rsidRDefault="00C44507" w:rsidP="00022564">
                  <w:pPr>
                    <w:pStyle w:val="Imprint"/>
                  </w:pPr>
                  <w:r w:rsidRPr="00A021FC">
                    <w:t>This work has been produced by NCVER on behalf of the Australian Government and state and territory governments with funding provided through the Department of Industry</w:t>
                  </w:r>
                  <w:r>
                    <w:t xml:space="preserve"> (formerly the Department of Industry</w:t>
                  </w:r>
                  <w:r w:rsidRPr="00A021FC">
                    <w:t xml:space="preserve">, Innovation, </w:t>
                  </w:r>
                  <w:r>
                    <w:t xml:space="preserve">Climate Change, </w:t>
                  </w:r>
                  <w:r w:rsidRPr="00A021FC">
                    <w:t>Science, Research and Tertiary Education</w:t>
                  </w:r>
                  <w:r>
                    <w:t>)</w:t>
                  </w:r>
                  <w:r w:rsidRPr="00A021FC">
                    <w:t xml:space="preserve">. </w:t>
                  </w:r>
                </w:p>
                <w:p w:rsidR="00C44507" w:rsidRDefault="00C44507" w:rsidP="006476A3">
                  <w:pPr>
                    <w:pStyle w:val="Imprint"/>
                  </w:pPr>
                  <w:r w:rsidRPr="00A021FC">
                    <w:t>The views and opinions expressed in this document are those of NCVER and do not necessarily reflect the views of the Australian Government or state and territory governments.</w:t>
                  </w:r>
                </w:p>
                <w:p w:rsidR="00C44507" w:rsidRPr="005C2FCF" w:rsidRDefault="00C44507" w:rsidP="00A30084">
                  <w:pPr>
                    <w:pStyle w:val="Imprint"/>
                    <w:rPr>
                      <w:color w:val="000000"/>
                    </w:rPr>
                  </w:pPr>
                  <w:r w:rsidRPr="005C2FCF">
                    <w:rPr>
                      <w:color w:val="000000"/>
                    </w:rPr>
                    <w:t>ISBN</w:t>
                  </w:r>
                  <w:r w:rsidRPr="005C2FCF">
                    <w:rPr>
                      <w:color w:val="000000"/>
                    </w:rPr>
                    <w:tab/>
                  </w:r>
                  <w:r w:rsidRPr="009B336F">
                    <w:rPr>
                      <w:color w:val="000000"/>
                    </w:rPr>
                    <w:t>978 1 922056 72 6</w:t>
                  </w:r>
                  <w:r>
                    <w:rPr>
                      <w:color w:val="000000"/>
                    </w:rPr>
                    <w:br/>
                  </w:r>
                  <w:r w:rsidRPr="005C2FCF">
                    <w:rPr>
                      <w:color w:val="000000"/>
                    </w:rPr>
                    <w:t>TD/TNC</w:t>
                  </w:r>
                  <w:r w:rsidRPr="005C2FCF">
                    <w:rPr>
                      <w:color w:val="000000"/>
                    </w:rPr>
                    <w:tab/>
                  </w:r>
                  <w:r>
                    <w:rPr>
                      <w:color w:val="000000"/>
                    </w:rPr>
                    <w:t>114.02</w:t>
                  </w:r>
                </w:p>
                <w:p w:rsidR="00C44507" w:rsidRPr="005C2FCF" w:rsidRDefault="00C44507" w:rsidP="0067712D">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C44507" w:rsidRPr="005C2FCF" w:rsidRDefault="00C44507" w:rsidP="0067712D">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C44507" w:rsidRPr="00541B94" w:rsidRDefault="00C44507" w:rsidP="00E36E0B">
                  <w:pPr>
                    <w:pStyle w:val="Imprint"/>
                    <w:rPr>
                      <w:color w:val="000000"/>
                    </w:rPr>
                  </w:pPr>
                  <w:r w:rsidRPr="00E36E0B">
                    <w:rPr>
                      <w:b/>
                      <w:color w:val="000000"/>
                    </w:rPr>
                    <w:t>P</w:t>
                  </w:r>
                  <w:r w:rsidRPr="005C2FCF">
                    <w:rPr>
                      <w:color w:val="000000"/>
                    </w:rPr>
                    <w:t xml:space="preserve"> +61 8 8230 8400 </w:t>
                  </w:r>
                  <w:r>
                    <w:rPr>
                      <w:color w:val="000000"/>
                    </w:rPr>
                    <w:t xml:space="preserve">  </w:t>
                  </w:r>
                  <w:r w:rsidRPr="00E36E0B">
                    <w:rPr>
                      <w:b/>
                      <w:color w:val="000000"/>
                    </w:rPr>
                    <w:t>F</w:t>
                  </w:r>
                  <w:r w:rsidRPr="005C2FCF">
                    <w:rPr>
                      <w:color w:val="000000"/>
                    </w:rPr>
                    <w:t xml:space="preserve"> +61 8 8212 3436</w:t>
                  </w:r>
                  <w:r>
                    <w:rPr>
                      <w:color w:val="000000"/>
                    </w:rPr>
                    <w:t xml:space="preserve">   </w:t>
                  </w:r>
                  <w:r w:rsidRPr="00E36E0B">
                    <w:rPr>
                      <w:b/>
                      <w:color w:val="000000"/>
                    </w:rPr>
                    <w:t>E</w:t>
                  </w:r>
                  <w:r w:rsidRPr="005C2FCF">
                    <w:rPr>
                      <w:color w:val="000000"/>
                    </w:rPr>
                    <w:t xml:space="preserve"> </w:t>
                  </w:r>
                  <w:hyperlink r:id="rId11" w:history="1">
                    <w:r w:rsidRPr="00441898">
                      <w:rPr>
                        <w:rStyle w:val="Hyperlink"/>
                        <w:sz w:val="16"/>
                      </w:rPr>
                      <w:t>ncver@ncver.edu.au</w:t>
                    </w:r>
                  </w:hyperlink>
                  <w:r>
                    <w:rPr>
                      <w:color w:val="000000"/>
                    </w:rPr>
                    <w:t xml:space="preserve">   </w:t>
                  </w:r>
                  <w:r w:rsidRPr="00E36E0B">
                    <w:rPr>
                      <w:b/>
                      <w:color w:val="000000"/>
                    </w:rPr>
                    <w:t>W</w:t>
                  </w:r>
                  <w:r>
                    <w:rPr>
                      <w:color w:val="000000"/>
                    </w:rPr>
                    <w:t xml:space="preserve"> &lt;http://</w:t>
                  </w:r>
                  <w:r w:rsidRPr="005C2FCF">
                    <w:rPr>
                      <w:color w:val="000000"/>
                    </w:rPr>
                    <w:t>www.ncver.edu.au&gt;</w:t>
                  </w:r>
                  <w:r>
                    <w:rPr>
                      <w:color w:val="000000"/>
                    </w:rPr>
                    <w:t xml:space="preserve"> </w:t>
                  </w:r>
                </w:p>
              </w:txbxContent>
            </v:textbox>
          </v:shape>
        </w:pic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DB4CF1" w:rsidP="00E36E0B">
      <w:pPr>
        <w:pStyle w:val="Abouttheresearchpubtitle"/>
        <w:spacing w:line="360" w:lineRule="exact"/>
      </w:pPr>
      <w:bookmarkStart w:id="17" w:name="_Toc98394877"/>
      <w:r>
        <w:t>Issues for VET providers delivering associate and bachelor degrees: literature review</w:t>
      </w:r>
    </w:p>
    <w:p w:rsidR="00505CCA" w:rsidRPr="00505CCA" w:rsidRDefault="00DB4CF1" w:rsidP="00E36E0B">
      <w:pPr>
        <w:pStyle w:val="Heading3"/>
        <w:rPr>
          <w:szCs w:val="28"/>
        </w:rPr>
      </w:pPr>
      <w:bookmarkStart w:id="18" w:name="_Toc296423681"/>
      <w:bookmarkStart w:id="19" w:name="_Toc296497512"/>
      <w:r>
        <w:t>Victor Callan</w:t>
      </w:r>
      <w:r w:rsidR="00B03AD8">
        <w:t xml:space="preserve">, Callan Consulting </w:t>
      </w:r>
      <w:r w:rsidR="002B0031">
        <w:t>Group</w:t>
      </w:r>
      <w:r w:rsidR="00F37C87">
        <w:t>,</w:t>
      </w:r>
      <w:r w:rsidR="002B0031">
        <w:t xml:space="preserve"> </w:t>
      </w:r>
      <w:r>
        <w:t>and</w:t>
      </w:r>
      <w:r w:rsidR="00517C41">
        <w:t xml:space="preserve"> </w:t>
      </w:r>
      <w:r w:rsidRPr="00505CCA">
        <w:rPr>
          <w:szCs w:val="28"/>
        </w:rPr>
        <w:t>Kaye Bowman</w:t>
      </w:r>
      <w:bookmarkEnd w:id="17"/>
      <w:bookmarkEnd w:id="18"/>
      <w:bookmarkEnd w:id="19"/>
      <w:r w:rsidR="00505CCA">
        <w:rPr>
          <w:szCs w:val="28"/>
        </w:rPr>
        <w:t>,</w:t>
      </w:r>
      <w:r w:rsidR="00505CCA" w:rsidRPr="00505CCA">
        <w:rPr>
          <w:szCs w:val="28"/>
        </w:rPr>
        <w:t xml:space="preserve"> Kaye Bowman Consulting </w:t>
      </w:r>
    </w:p>
    <w:p w:rsidR="009E231A" w:rsidRPr="00E36E0B" w:rsidRDefault="00995E3B" w:rsidP="00E36E0B">
      <w:pPr>
        <w:pStyle w:val="Text"/>
      </w:pPr>
      <w:r>
        <w:t xml:space="preserve">This literature review </w:t>
      </w:r>
      <w:r w:rsidR="000420F5">
        <w:t xml:space="preserve">examines the available research on </w:t>
      </w:r>
      <w:r w:rsidR="00F37C87">
        <w:t>vocational education and training (</w:t>
      </w:r>
      <w:r w:rsidR="000420F5">
        <w:t>VET</w:t>
      </w:r>
      <w:r w:rsidR="00F37C87">
        <w:t>)</w:t>
      </w:r>
      <w:r w:rsidR="000420F5">
        <w:t xml:space="preserve"> institutions delivering associate and bachelor degrees </w:t>
      </w:r>
      <w:r w:rsidR="00FA2406">
        <w:t xml:space="preserve">and </w:t>
      </w:r>
      <w:r w:rsidR="000420F5">
        <w:t xml:space="preserve">also </w:t>
      </w:r>
      <w:r>
        <w:t>sets the scene for a larger research project</w:t>
      </w:r>
      <w:r w:rsidR="000420F5">
        <w:t>,</w:t>
      </w:r>
      <w:r>
        <w:t xml:space="preserve"> </w:t>
      </w:r>
      <w:r>
        <w:rPr>
          <w:i/>
        </w:rPr>
        <w:t xml:space="preserve">VET providers delivering associate and bachelor </w:t>
      </w:r>
      <w:r w:rsidR="00873CE4">
        <w:rPr>
          <w:i/>
        </w:rPr>
        <w:t>degrees</w:t>
      </w:r>
      <w:r w:rsidR="00873CE4">
        <w:t>:</w:t>
      </w:r>
      <w:r w:rsidR="00873CE4" w:rsidRPr="00873CE4">
        <w:rPr>
          <w:i/>
        </w:rPr>
        <w:t xml:space="preserve"> </w:t>
      </w:r>
      <w:r w:rsidR="00517C41">
        <w:rPr>
          <w:i/>
        </w:rPr>
        <w:t>i</w:t>
      </w:r>
      <w:r w:rsidR="00873CE4" w:rsidRPr="00873CE4">
        <w:rPr>
          <w:i/>
        </w:rPr>
        <w:t>ssues</w:t>
      </w:r>
      <w:r w:rsidR="00505CCA" w:rsidRPr="00873CE4">
        <w:rPr>
          <w:i/>
        </w:rPr>
        <w:t xml:space="preserve"> </w:t>
      </w:r>
      <w:r w:rsidR="00505CCA" w:rsidRPr="00505CCA">
        <w:rPr>
          <w:i/>
        </w:rPr>
        <w:t>and impacts</w:t>
      </w:r>
      <w:r w:rsidR="00505CCA">
        <w:t xml:space="preserve">, </w:t>
      </w:r>
      <w:r w:rsidR="005A1B42">
        <w:t xml:space="preserve">the findings of which </w:t>
      </w:r>
      <w:r w:rsidR="00C44507">
        <w:t>will</w:t>
      </w:r>
      <w:r w:rsidR="005A1B42">
        <w:t xml:space="preserve"> be </w:t>
      </w:r>
      <w:r w:rsidR="005A1B42" w:rsidRPr="00E36E0B">
        <w:t>released mid-2014.</w:t>
      </w:r>
    </w:p>
    <w:p w:rsidR="00330730" w:rsidRPr="00995E3B" w:rsidRDefault="00330730" w:rsidP="00E36E0B">
      <w:pPr>
        <w:pStyle w:val="Text"/>
        <w:rPr>
          <w:color w:val="000000"/>
        </w:rPr>
      </w:pPr>
      <w:r w:rsidRPr="00E36E0B">
        <w:t xml:space="preserve">This paper </w:t>
      </w:r>
      <w:r w:rsidR="00C811FD" w:rsidRPr="00E36E0B">
        <w:t>looks at</w:t>
      </w:r>
      <w:r w:rsidR="00C811FD">
        <w:t xml:space="preserve"> the overlap between VET and higher education providers delivering diplomas, advanced diplomas, associate degrees and bachelor degrees (Australian Qualification</w:t>
      </w:r>
      <w:r w:rsidR="00F062F5">
        <w:t>s</w:t>
      </w:r>
      <w:r w:rsidR="00C811FD">
        <w:t xml:space="preserve"> Framework levels 5 to 7)</w:t>
      </w:r>
      <w:r w:rsidR="00505CCA">
        <w:t xml:space="preserve">, </w:t>
      </w:r>
      <w:r w:rsidR="00873CE4">
        <w:t>as</w:t>
      </w:r>
      <w:r w:rsidR="00B1501B">
        <w:t xml:space="preserve"> well as briefly mentioning the changing nature of </w:t>
      </w:r>
      <w:r w:rsidR="00F37C87">
        <w:t>vocational education and training</w:t>
      </w:r>
      <w:r w:rsidR="00B1501B">
        <w:t xml:space="preserve"> and higher education</w:t>
      </w:r>
      <w:r w:rsidR="00505CCA">
        <w:t xml:space="preserve">. The paper </w:t>
      </w:r>
      <w:r w:rsidR="00B1501B">
        <w:t>identifies a number of issues that VET providers face when transitioning into higher education.</w:t>
      </w:r>
    </w:p>
    <w:p w:rsidR="009E231A" w:rsidRPr="005C2FCF" w:rsidRDefault="00FE4A2D" w:rsidP="0049453B">
      <w:pPr>
        <w:pStyle w:val="Keymessages"/>
      </w:pPr>
      <w:bookmarkStart w:id="20" w:name="_Toc98394878"/>
      <w:bookmarkStart w:id="21" w:name="_Toc296423682"/>
      <w:bookmarkStart w:id="22" w:name="_Toc296497513"/>
      <w:r w:rsidRPr="005C2FCF">
        <w:t>Key messages</w:t>
      </w:r>
      <w:bookmarkEnd w:id="20"/>
      <w:bookmarkEnd w:id="21"/>
      <w:bookmarkEnd w:id="22"/>
    </w:p>
    <w:p w:rsidR="003A67F6" w:rsidRDefault="00A70875" w:rsidP="003A67F6">
      <w:pPr>
        <w:pStyle w:val="Dotpoint1"/>
      </w:pPr>
      <w:r>
        <w:t>VET organisations</w:t>
      </w:r>
      <w:r w:rsidR="003A67F6">
        <w:t xml:space="preserve"> have been encroached from above by some universities delivering VE</w:t>
      </w:r>
      <w:r w:rsidR="000A4145">
        <w:t>T qualifications and from below</w:t>
      </w:r>
      <w:r w:rsidR="003A67F6">
        <w:t xml:space="preserve"> with the expansion of VET in Schools. </w:t>
      </w:r>
      <w:r>
        <w:t>VET institutes</w:t>
      </w:r>
      <w:r w:rsidR="003A67F6">
        <w:t xml:space="preserve"> are looking at other areas of delivery in order to maintain and expand their provision.</w:t>
      </w:r>
    </w:p>
    <w:p w:rsidR="003A67F6" w:rsidRDefault="003A67F6" w:rsidP="003A67F6">
      <w:pPr>
        <w:pStyle w:val="Dotpoint1"/>
      </w:pPr>
      <w:r>
        <w:t xml:space="preserve">The delivery of higher education qualifications in </w:t>
      </w:r>
      <w:r w:rsidR="00A70875">
        <w:t>VET institutions</w:t>
      </w:r>
      <w:r>
        <w:t xml:space="preserve"> supports efforts </w:t>
      </w:r>
      <w:r w:rsidR="00F062F5">
        <w:t>to improve</w:t>
      </w:r>
      <w:r>
        <w:t xml:space="preserve"> access to higher education for disadvantaged groups.</w:t>
      </w:r>
    </w:p>
    <w:p w:rsidR="0055674B" w:rsidRDefault="0055674B" w:rsidP="003A67F6">
      <w:pPr>
        <w:pStyle w:val="Dotpoint1"/>
      </w:pPr>
      <w:r>
        <w:t xml:space="preserve">There is some argument that VET organisations choose to deliver higher education qualifications </w:t>
      </w:r>
      <w:r w:rsidR="00F062F5">
        <w:t xml:space="preserve">in order to confer </w:t>
      </w:r>
      <w:r>
        <w:t xml:space="preserve">more status </w:t>
      </w:r>
      <w:r w:rsidR="00F062F5">
        <w:t xml:space="preserve">on </w:t>
      </w:r>
      <w:r>
        <w:t>and recognition to the organisation.</w:t>
      </w:r>
    </w:p>
    <w:p w:rsidR="0055674B" w:rsidRDefault="0055674B" w:rsidP="003A67F6">
      <w:pPr>
        <w:pStyle w:val="Dotpoint1"/>
      </w:pPr>
      <w:r>
        <w:t>The use of non-graded assessment in VET raises questions over the capability of VET providers to deliver higher education qualifications</w:t>
      </w:r>
      <w:r w:rsidR="00F37C87">
        <w:t>,</w:t>
      </w:r>
      <w:r>
        <w:t xml:space="preserve"> which are based on graded assessment.</w:t>
      </w:r>
    </w:p>
    <w:p w:rsidR="0055674B" w:rsidRDefault="0055674B" w:rsidP="003A67F6">
      <w:pPr>
        <w:pStyle w:val="Dotpoint1"/>
      </w:pPr>
      <w:r>
        <w:t>VET providers who choose to deliver higher education qualification</w:t>
      </w:r>
      <w:r w:rsidR="000A4145">
        <w:t>s</w:t>
      </w:r>
      <w:r>
        <w:t xml:space="preserve"> face significant operational, financial, human resource and administrative costs.</w:t>
      </w:r>
    </w:p>
    <w:p w:rsidR="000A4145" w:rsidRDefault="000A4145" w:rsidP="003A67F6">
      <w:pPr>
        <w:pStyle w:val="Dotpoint1"/>
      </w:pPr>
      <w:r>
        <w:t xml:space="preserve">VET institutions with more effective credit transfer arrangements have specific support strategies in place to help students </w:t>
      </w:r>
      <w:r w:rsidR="00F062F5">
        <w:t xml:space="preserve">to </w:t>
      </w:r>
      <w:r>
        <w:t>transition to higher education qualifications.</w:t>
      </w:r>
    </w:p>
    <w:p w:rsidR="00745258" w:rsidRPr="00E36E0B" w:rsidRDefault="00ED6524" w:rsidP="00E36E0B">
      <w:pPr>
        <w:pStyle w:val="Text"/>
      </w:pPr>
      <w:r>
        <w:t xml:space="preserve">The larger project will draw on case studies with both public and private VET providers who are delivering associate and bachelor degrees in order to understand why they chose to deliver these </w:t>
      </w:r>
      <w:r w:rsidRPr="00E36E0B">
        <w:t xml:space="preserve">predominantly higher education degrees and the issues that they face in their delivery. </w:t>
      </w:r>
      <w:r w:rsidR="0055674B" w:rsidRPr="00E36E0B">
        <w:t xml:space="preserve">This will help to inform models of best practice. </w:t>
      </w:r>
    </w:p>
    <w:p w:rsidR="0006552D" w:rsidRPr="00E36E0B" w:rsidRDefault="0006552D" w:rsidP="00E36E0B">
      <w:pPr>
        <w:pStyle w:val="Text"/>
      </w:pPr>
    </w:p>
    <w:p w:rsidR="009E231A" w:rsidRPr="005C2FCF" w:rsidRDefault="008C27D9" w:rsidP="00E36E0B">
      <w:pPr>
        <w:pStyle w:val="Text"/>
      </w:pPr>
      <w:r w:rsidRPr="00E36E0B">
        <w:t xml:space="preserve">Rod </w:t>
      </w:r>
      <w:proofErr w:type="spellStart"/>
      <w:r w:rsidRPr="00E36E0B">
        <w:t>Camm</w:t>
      </w:r>
      <w:proofErr w:type="spellEnd"/>
      <w:r w:rsidR="00FE4A2D" w:rsidRPr="005C2FCF">
        <w:br/>
        <w:t>Managing Director, NCVER</w:t>
      </w:r>
    </w:p>
    <w:p w:rsidR="00E36E0B" w:rsidRDefault="00177827">
      <w:pPr>
        <w:spacing w:before="0" w:line="240" w:lineRule="auto"/>
      </w:pPr>
      <w:r>
        <w:br w:type="page"/>
      </w:r>
    </w:p>
    <w:p w:rsidR="00177827" w:rsidRDefault="00177827">
      <w:pPr>
        <w:spacing w:before="0" w:line="240" w:lineRule="auto"/>
      </w:pPr>
    </w:p>
    <w:p w:rsidR="00E36E0B" w:rsidRDefault="00E36E0B" w:rsidP="00874DA5">
      <w:pPr>
        <w:pStyle w:val="Contents"/>
        <w:sectPr w:rsidR="00E36E0B" w:rsidSect="00F60BA5">
          <w:footerReference w:type="even" r:id="rId12"/>
          <w:footerReference w:type="default" r:id="rId13"/>
          <w:pgSz w:w="11907" w:h="16840" w:code="9"/>
          <w:pgMar w:top="1276" w:right="1701" w:bottom="1276" w:left="1418" w:header="709" w:footer="556" w:gutter="0"/>
          <w:cols w:space="708"/>
          <w:docGrid w:linePitch="360"/>
        </w:sectPr>
      </w:pPr>
      <w:bookmarkStart w:id="23" w:name="_Toc98394880"/>
      <w:bookmarkStart w:id="24" w:name="_Toc296423683"/>
      <w:bookmarkStart w:id="25" w:name="_Toc296497514"/>
    </w:p>
    <w:p w:rsidR="009E231A" w:rsidRPr="00DC5F5C" w:rsidRDefault="00FE4A2D" w:rsidP="00874DA5">
      <w:pPr>
        <w:pStyle w:val="Contents"/>
      </w:pPr>
      <w:r w:rsidRPr="00DC5F5C">
        <w:lastRenderedPageBreak/>
        <w:t>Contents</w:t>
      </w:r>
      <w:bookmarkEnd w:id="23"/>
      <w:bookmarkEnd w:id="24"/>
      <w:bookmarkEnd w:id="25"/>
    </w:p>
    <w:p w:rsidR="00E22C71" w:rsidRDefault="001C6182">
      <w:pPr>
        <w:pStyle w:val="TOC1"/>
        <w:rPr>
          <w:rFonts w:asciiTheme="minorHAnsi" w:eastAsiaTheme="minorEastAsia" w:hAnsiTheme="minorHAnsi" w:cstheme="minorBidi"/>
          <w:color w:val="auto"/>
          <w:sz w:val="22"/>
          <w:szCs w:val="22"/>
          <w:lang w:eastAsia="en-AU"/>
        </w:rPr>
      </w:pPr>
      <w:r w:rsidRPr="001C6182">
        <w:rPr>
          <w:rFonts w:ascii="Avant Garde" w:hAnsi="Avant Garde"/>
        </w:rPr>
        <w:fldChar w:fldCharType="begin"/>
      </w:r>
      <w:r w:rsidR="00FE4A2D" w:rsidRPr="009775C7">
        <w:rPr>
          <w:rFonts w:ascii="Avant Garde" w:hAnsi="Avant Garde"/>
        </w:rPr>
        <w:instrText xml:space="preserve"> TOC \o "1-2" </w:instrText>
      </w:r>
      <w:r w:rsidRPr="001C6182">
        <w:rPr>
          <w:rFonts w:ascii="Avant Garde" w:hAnsi="Avant Garde"/>
        </w:rPr>
        <w:fldChar w:fldCharType="separate"/>
      </w:r>
      <w:r w:rsidR="00E22C71">
        <w:t>Introduction</w:t>
      </w:r>
      <w:r w:rsidR="00E22C71">
        <w:tab/>
      </w:r>
      <w:r>
        <w:fldChar w:fldCharType="begin"/>
      </w:r>
      <w:r w:rsidR="00E22C71">
        <w:instrText xml:space="preserve"> PAGEREF _Toc369178811 \h </w:instrText>
      </w:r>
      <w:r>
        <w:fldChar w:fldCharType="separate"/>
      </w:r>
      <w:r w:rsidR="00143B0F">
        <w:t>6</w:t>
      </w:r>
      <w:r>
        <w:fldChar w:fldCharType="end"/>
      </w:r>
    </w:p>
    <w:p w:rsidR="00E22C71" w:rsidRDefault="00E22C71">
      <w:pPr>
        <w:pStyle w:val="TOC1"/>
        <w:rPr>
          <w:rFonts w:asciiTheme="minorHAnsi" w:eastAsiaTheme="minorEastAsia" w:hAnsiTheme="minorHAnsi" w:cstheme="minorBidi"/>
          <w:color w:val="auto"/>
          <w:sz w:val="22"/>
          <w:szCs w:val="22"/>
          <w:lang w:eastAsia="en-AU"/>
        </w:rPr>
      </w:pPr>
      <w:r w:rsidRPr="000261BD">
        <w:rPr>
          <w:lang w:val="en-US"/>
        </w:rPr>
        <w:t>Context</w:t>
      </w:r>
      <w:r>
        <w:tab/>
      </w:r>
      <w:r w:rsidR="001C6182">
        <w:fldChar w:fldCharType="begin"/>
      </w:r>
      <w:r>
        <w:instrText xml:space="preserve"> PAGEREF _Toc369178812 \h </w:instrText>
      </w:r>
      <w:r w:rsidR="001C6182">
        <w:fldChar w:fldCharType="separate"/>
      </w:r>
      <w:r w:rsidR="00143B0F">
        <w:t>8</w:t>
      </w:r>
      <w:r w:rsidR="001C6182">
        <w:fldChar w:fldCharType="end"/>
      </w:r>
    </w:p>
    <w:p w:rsidR="00E22C71" w:rsidRDefault="00E22C71">
      <w:pPr>
        <w:pStyle w:val="TOC2"/>
        <w:rPr>
          <w:rFonts w:asciiTheme="minorHAnsi" w:eastAsiaTheme="minorEastAsia" w:hAnsiTheme="minorHAnsi" w:cstheme="minorBidi"/>
          <w:color w:val="auto"/>
          <w:sz w:val="22"/>
          <w:szCs w:val="22"/>
          <w:lang w:eastAsia="en-AU"/>
        </w:rPr>
      </w:pPr>
      <w:r w:rsidRPr="000261BD">
        <w:rPr>
          <w:lang w:val="en-US"/>
        </w:rPr>
        <w:t>VET and higher education provision</w:t>
      </w:r>
      <w:r>
        <w:tab/>
      </w:r>
      <w:r w:rsidR="001C6182">
        <w:fldChar w:fldCharType="begin"/>
      </w:r>
      <w:r>
        <w:instrText xml:space="preserve"> PAGEREF _Toc369178813 \h </w:instrText>
      </w:r>
      <w:r w:rsidR="001C6182">
        <w:fldChar w:fldCharType="separate"/>
      </w:r>
      <w:r w:rsidR="00143B0F">
        <w:t>8</w:t>
      </w:r>
      <w:r w:rsidR="001C6182">
        <w:fldChar w:fldCharType="end"/>
      </w:r>
    </w:p>
    <w:p w:rsidR="00E22C71" w:rsidRDefault="00E22C71">
      <w:pPr>
        <w:pStyle w:val="TOC2"/>
        <w:rPr>
          <w:rFonts w:asciiTheme="minorHAnsi" w:eastAsiaTheme="minorEastAsia" w:hAnsiTheme="minorHAnsi" w:cstheme="minorBidi"/>
          <w:color w:val="auto"/>
          <w:sz w:val="22"/>
          <w:szCs w:val="22"/>
          <w:lang w:eastAsia="en-AU"/>
        </w:rPr>
      </w:pPr>
      <w:r w:rsidRPr="000261BD">
        <w:rPr>
          <w:lang w:val="en-US"/>
        </w:rPr>
        <w:t>Qualifications at the VET-higher education interface</w:t>
      </w:r>
      <w:r>
        <w:tab/>
      </w:r>
      <w:r w:rsidR="001C6182">
        <w:fldChar w:fldCharType="begin"/>
      </w:r>
      <w:r>
        <w:instrText xml:space="preserve"> PAGEREF _Toc369178814 \h </w:instrText>
      </w:r>
      <w:r w:rsidR="001C6182">
        <w:fldChar w:fldCharType="separate"/>
      </w:r>
      <w:r w:rsidR="00143B0F">
        <w:t>9</w:t>
      </w:r>
      <w:r w:rsidR="001C6182">
        <w:fldChar w:fldCharType="end"/>
      </w:r>
    </w:p>
    <w:p w:rsidR="00E22C71" w:rsidRDefault="00E22C71">
      <w:pPr>
        <w:pStyle w:val="TOC2"/>
        <w:rPr>
          <w:rFonts w:asciiTheme="minorHAnsi" w:eastAsiaTheme="minorEastAsia" w:hAnsiTheme="minorHAnsi" w:cstheme="minorBidi"/>
          <w:color w:val="auto"/>
          <w:sz w:val="22"/>
          <w:szCs w:val="22"/>
          <w:lang w:eastAsia="en-AU"/>
        </w:rPr>
      </w:pPr>
      <w:r w:rsidRPr="000261BD">
        <w:rPr>
          <w:lang w:val="en-US"/>
        </w:rPr>
        <w:t>Changing nature of VET and university</w:t>
      </w:r>
      <w:r>
        <w:tab/>
      </w:r>
      <w:r w:rsidR="001C6182">
        <w:fldChar w:fldCharType="begin"/>
      </w:r>
      <w:r>
        <w:instrText xml:space="preserve"> PAGEREF _Toc369178815 \h </w:instrText>
      </w:r>
      <w:r w:rsidR="001C6182">
        <w:fldChar w:fldCharType="separate"/>
      </w:r>
      <w:r w:rsidR="00143B0F">
        <w:t>9</w:t>
      </w:r>
      <w:r w:rsidR="001C6182">
        <w:fldChar w:fldCharType="end"/>
      </w:r>
    </w:p>
    <w:p w:rsidR="00E22C71" w:rsidRDefault="00E22C71">
      <w:pPr>
        <w:pStyle w:val="TOC1"/>
        <w:rPr>
          <w:rFonts w:asciiTheme="minorHAnsi" w:eastAsiaTheme="minorEastAsia" w:hAnsiTheme="minorHAnsi" w:cstheme="minorBidi"/>
          <w:color w:val="auto"/>
          <w:sz w:val="22"/>
          <w:szCs w:val="22"/>
          <w:lang w:eastAsia="en-AU"/>
        </w:rPr>
      </w:pPr>
      <w:r>
        <w:t>Issues arising</w:t>
      </w:r>
      <w:r>
        <w:tab/>
      </w:r>
      <w:r w:rsidR="001C6182">
        <w:fldChar w:fldCharType="begin"/>
      </w:r>
      <w:r>
        <w:instrText xml:space="preserve"> PAGEREF _Toc369178816 \h </w:instrText>
      </w:r>
      <w:r w:rsidR="001C6182">
        <w:fldChar w:fldCharType="separate"/>
      </w:r>
      <w:r w:rsidR="00143B0F">
        <w:t>11</w:t>
      </w:r>
      <w:r w:rsidR="001C6182">
        <w:fldChar w:fldCharType="end"/>
      </w:r>
    </w:p>
    <w:p w:rsidR="00E22C71" w:rsidRDefault="00E22C71">
      <w:pPr>
        <w:pStyle w:val="TOC2"/>
        <w:rPr>
          <w:rFonts w:asciiTheme="minorHAnsi" w:eastAsiaTheme="minorEastAsia" w:hAnsiTheme="minorHAnsi" w:cstheme="minorBidi"/>
          <w:color w:val="auto"/>
          <w:sz w:val="22"/>
          <w:szCs w:val="22"/>
          <w:lang w:eastAsia="en-AU"/>
        </w:rPr>
      </w:pPr>
      <w:r w:rsidRPr="000261BD">
        <w:rPr>
          <w:lang w:val="en-US"/>
        </w:rPr>
        <w:t>Strategic issues</w:t>
      </w:r>
      <w:r>
        <w:tab/>
      </w:r>
      <w:r w:rsidR="001C6182">
        <w:fldChar w:fldCharType="begin"/>
      </w:r>
      <w:r>
        <w:instrText xml:space="preserve"> PAGEREF _Toc369178817 \h </w:instrText>
      </w:r>
      <w:r w:rsidR="001C6182">
        <w:fldChar w:fldCharType="separate"/>
      </w:r>
      <w:r w:rsidR="00143B0F">
        <w:t>11</w:t>
      </w:r>
      <w:r w:rsidR="001C6182">
        <w:fldChar w:fldCharType="end"/>
      </w:r>
    </w:p>
    <w:p w:rsidR="00E22C71" w:rsidRDefault="00E22C71">
      <w:pPr>
        <w:pStyle w:val="TOC2"/>
        <w:rPr>
          <w:rFonts w:asciiTheme="minorHAnsi" w:eastAsiaTheme="minorEastAsia" w:hAnsiTheme="minorHAnsi" w:cstheme="minorBidi"/>
          <w:color w:val="auto"/>
          <w:sz w:val="22"/>
          <w:szCs w:val="22"/>
          <w:lang w:eastAsia="en-AU"/>
        </w:rPr>
      </w:pPr>
      <w:r w:rsidRPr="000261BD">
        <w:rPr>
          <w:lang w:val="en-US"/>
        </w:rPr>
        <w:t>Capability and attitudinal issues</w:t>
      </w:r>
      <w:r>
        <w:tab/>
      </w:r>
      <w:r w:rsidR="001C6182">
        <w:fldChar w:fldCharType="begin"/>
      </w:r>
      <w:r>
        <w:instrText xml:space="preserve"> PAGEREF _Toc369178818 \h </w:instrText>
      </w:r>
      <w:r w:rsidR="001C6182">
        <w:fldChar w:fldCharType="separate"/>
      </w:r>
      <w:r w:rsidR="00143B0F">
        <w:t>13</w:t>
      </w:r>
      <w:r w:rsidR="001C6182">
        <w:fldChar w:fldCharType="end"/>
      </w:r>
    </w:p>
    <w:p w:rsidR="00E22C71" w:rsidRDefault="00E22C71">
      <w:pPr>
        <w:pStyle w:val="TOC2"/>
        <w:rPr>
          <w:rFonts w:asciiTheme="minorHAnsi" w:eastAsiaTheme="minorEastAsia" w:hAnsiTheme="minorHAnsi" w:cstheme="minorBidi"/>
          <w:color w:val="auto"/>
          <w:sz w:val="22"/>
          <w:szCs w:val="22"/>
          <w:lang w:eastAsia="en-AU"/>
        </w:rPr>
      </w:pPr>
      <w:r w:rsidRPr="000261BD">
        <w:rPr>
          <w:lang w:val="en-US"/>
        </w:rPr>
        <w:t>Operational issues</w:t>
      </w:r>
      <w:r>
        <w:tab/>
      </w:r>
      <w:r w:rsidR="001C6182">
        <w:fldChar w:fldCharType="begin"/>
      </w:r>
      <w:r>
        <w:instrText xml:space="preserve"> PAGEREF _Toc369178819 \h </w:instrText>
      </w:r>
      <w:r w:rsidR="001C6182">
        <w:fldChar w:fldCharType="separate"/>
      </w:r>
      <w:r w:rsidR="00143B0F">
        <w:t>14</w:t>
      </w:r>
      <w:r w:rsidR="001C6182">
        <w:fldChar w:fldCharType="end"/>
      </w:r>
    </w:p>
    <w:p w:rsidR="00E22C71" w:rsidRDefault="00E22C71">
      <w:pPr>
        <w:pStyle w:val="TOC2"/>
        <w:rPr>
          <w:rFonts w:asciiTheme="minorHAnsi" w:eastAsiaTheme="minorEastAsia" w:hAnsiTheme="minorHAnsi" w:cstheme="minorBidi"/>
          <w:color w:val="auto"/>
          <w:sz w:val="22"/>
          <w:szCs w:val="22"/>
          <w:lang w:eastAsia="en-AU"/>
        </w:rPr>
      </w:pPr>
      <w:r w:rsidRPr="000261BD">
        <w:rPr>
          <w:lang w:val="en-US"/>
        </w:rPr>
        <w:t>Student support issues</w:t>
      </w:r>
      <w:r>
        <w:tab/>
      </w:r>
      <w:r w:rsidR="001C6182">
        <w:fldChar w:fldCharType="begin"/>
      </w:r>
      <w:r>
        <w:instrText xml:space="preserve"> PAGEREF _Toc369178820 \h </w:instrText>
      </w:r>
      <w:r w:rsidR="001C6182">
        <w:fldChar w:fldCharType="separate"/>
      </w:r>
      <w:r w:rsidR="00143B0F">
        <w:t>16</w:t>
      </w:r>
      <w:r w:rsidR="001C6182">
        <w:fldChar w:fldCharType="end"/>
      </w:r>
    </w:p>
    <w:p w:rsidR="00E22C71" w:rsidRDefault="00E22C71">
      <w:pPr>
        <w:pStyle w:val="TOC1"/>
        <w:rPr>
          <w:rFonts w:asciiTheme="minorHAnsi" w:eastAsiaTheme="minorEastAsia" w:hAnsiTheme="minorHAnsi" w:cstheme="minorBidi"/>
          <w:color w:val="auto"/>
          <w:sz w:val="22"/>
          <w:szCs w:val="22"/>
          <w:lang w:eastAsia="en-AU"/>
        </w:rPr>
      </w:pPr>
      <w:r w:rsidRPr="000261BD">
        <w:rPr>
          <w:lang w:val="en-US"/>
        </w:rPr>
        <w:t>Conclusion</w:t>
      </w:r>
      <w:r>
        <w:tab/>
      </w:r>
      <w:r w:rsidR="001C6182">
        <w:fldChar w:fldCharType="begin"/>
      </w:r>
      <w:r>
        <w:instrText xml:space="preserve"> PAGEREF _Toc369178821 \h </w:instrText>
      </w:r>
      <w:r w:rsidR="001C6182">
        <w:fldChar w:fldCharType="separate"/>
      </w:r>
      <w:r w:rsidR="00143B0F">
        <w:t>18</w:t>
      </w:r>
      <w:r w:rsidR="001C6182">
        <w:fldChar w:fldCharType="end"/>
      </w:r>
    </w:p>
    <w:p w:rsidR="00E22C71" w:rsidRDefault="00E22C71">
      <w:pPr>
        <w:pStyle w:val="TOC1"/>
        <w:rPr>
          <w:rFonts w:asciiTheme="minorHAnsi" w:eastAsiaTheme="minorEastAsia" w:hAnsiTheme="minorHAnsi" w:cstheme="minorBidi"/>
          <w:color w:val="auto"/>
          <w:sz w:val="22"/>
          <w:szCs w:val="22"/>
          <w:lang w:eastAsia="en-AU"/>
        </w:rPr>
      </w:pPr>
      <w:r w:rsidRPr="000261BD">
        <w:rPr>
          <w:lang w:val="en-US"/>
        </w:rPr>
        <w:t>References</w:t>
      </w:r>
      <w:r>
        <w:tab/>
      </w:r>
      <w:r w:rsidR="001C6182">
        <w:fldChar w:fldCharType="begin"/>
      </w:r>
      <w:r>
        <w:instrText xml:space="preserve"> PAGEREF _Toc369178822 \h </w:instrText>
      </w:r>
      <w:r w:rsidR="001C6182">
        <w:fldChar w:fldCharType="separate"/>
      </w:r>
      <w:r w:rsidR="00143B0F">
        <w:t>19</w:t>
      </w:r>
      <w:r w:rsidR="001C6182">
        <w:fldChar w:fldCharType="end"/>
      </w:r>
    </w:p>
    <w:p w:rsidR="00E22C71" w:rsidRDefault="00E22C71">
      <w:pPr>
        <w:pStyle w:val="TOC1"/>
        <w:rPr>
          <w:rFonts w:asciiTheme="minorHAnsi" w:eastAsiaTheme="minorEastAsia" w:hAnsiTheme="minorHAnsi" w:cstheme="minorBidi"/>
          <w:color w:val="auto"/>
          <w:sz w:val="22"/>
          <w:szCs w:val="22"/>
          <w:lang w:eastAsia="en-AU"/>
        </w:rPr>
      </w:pPr>
      <w:r>
        <w:t>NVETR Program funding</w:t>
      </w:r>
      <w:r>
        <w:tab/>
      </w:r>
      <w:r w:rsidR="001C6182">
        <w:fldChar w:fldCharType="begin"/>
      </w:r>
      <w:r>
        <w:instrText xml:space="preserve"> PAGEREF _Toc369178823 \h </w:instrText>
      </w:r>
      <w:r w:rsidR="001C6182">
        <w:fldChar w:fldCharType="separate"/>
      </w:r>
      <w:r w:rsidR="00143B0F">
        <w:t>21</w:t>
      </w:r>
      <w:r w:rsidR="001C6182">
        <w:fldChar w:fldCharType="end"/>
      </w:r>
    </w:p>
    <w:p w:rsidR="004E7227" w:rsidRDefault="001C6182"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1C2CB5" w:rsidRDefault="00643B69" w:rsidP="001426BB">
      <w:pPr>
        <w:pStyle w:val="Heading1"/>
        <w:tabs>
          <w:tab w:val="left" w:pos="6962"/>
        </w:tabs>
      </w:pPr>
      <w:bookmarkStart w:id="26" w:name="_Toc369178811"/>
      <w:r>
        <w:lastRenderedPageBreak/>
        <w:t>I</w:t>
      </w:r>
      <w:r w:rsidR="00A270EA">
        <w:t>ntroduction</w:t>
      </w:r>
      <w:bookmarkEnd w:id="26"/>
    </w:p>
    <w:p w:rsidR="001032EF" w:rsidRDefault="001032EF" w:rsidP="00E36E0B">
      <w:pPr>
        <w:pStyle w:val="Text"/>
      </w:pPr>
      <w:r>
        <w:t xml:space="preserve">The aim of this research project is to investigate public and private </w:t>
      </w:r>
      <w:r w:rsidR="00DB2882">
        <w:t>vocational education and training (</w:t>
      </w:r>
      <w:r>
        <w:t>VET</w:t>
      </w:r>
      <w:r w:rsidR="00DB2882">
        <w:t>)</w:t>
      </w:r>
      <w:r>
        <w:t xml:space="preserve"> providers </w:t>
      </w:r>
      <w:r w:rsidR="003D36F2">
        <w:t>that deliver</w:t>
      </w:r>
      <w:r>
        <w:t xml:space="preserve"> associate and bachelor degrees.</w:t>
      </w:r>
      <w:r w:rsidR="00DB2882">
        <w:t xml:space="preserve"> A core focus of attention is </w:t>
      </w:r>
      <w:r>
        <w:t xml:space="preserve">on their experiences in designing, accrediting and delivering these predominantly higher education degrees. Linked to these experiences is an understanding of the strategic thinking and positioning behind the decisions of VET providers to </w:t>
      </w:r>
      <w:r w:rsidR="00E8689E">
        <w:t xml:space="preserve">offer </w:t>
      </w:r>
      <w:r>
        <w:t xml:space="preserve">these qualifications, the operational issues </w:t>
      </w:r>
      <w:r w:rsidR="003D36F2">
        <w:t>they face</w:t>
      </w:r>
      <w:r>
        <w:t xml:space="preserve"> and how they </w:t>
      </w:r>
      <w:r w:rsidR="003D36F2">
        <w:t>support</w:t>
      </w:r>
      <w:r>
        <w:t xml:space="preserve"> staff and students to ensure the successful delivery of these higher education qualifications. </w:t>
      </w:r>
    </w:p>
    <w:p w:rsidR="002B0031" w:rsidRDefault="001032EF" w:rsidP="00E36E0B">
      <w:pPr>
        <w:pStyle w:val="Text"/>
        <w:ind w:right="-143"/>
      </w:pPr>
      <w:r>
        <w:t xml:space="preserve">This </w:t>
      </w:r>
      <w:r w:rsidR="009848AD">
        <w:t>literature review</w:t>
      </w:r>
      <w:r>
        <w:t xml:space="preserve"> is the first </w:t>
      </w:r>
      <w:r w:rsidR="00CA5C6A">
        <w:t>phase</w:t>
      </w:r>
      <w:r>
        <w:t xml:space="preserve"> of this research project. It provides a brief overview of past research to explore what is </w:t>
      </w:r>
      <w:r w:rsidR="003D36F2">
        <w:t xml:space="preserve">currently </w:t>
      </w:r>
      <w:r>
        <w:t>known about the strategic, operational and support issues</w:t>
      </w:r>
      <w:r w:rsidR="003D36F2">
        <w:t xml:space="preserve"> related to the topic</w:t>
      </w:r>
      <w:r>
        <w:t>, and in doing so, identifies</w:t>
      </w:r>
      <w:r w:rsidR="003D36F2">
        <w:t xml:space="preserve"> area</w:t>
      </w:r>
      <w:r w:rsidR="00E8689E">
        <w:t xml:space="preserve">s that need to be more fully understood. In addressing these issues in more depth through </w:t>
      </w:r>
      <w:r w:rsidR="009848AD">
        <w:t>case studies during the second phase</w:t>
      </w:r>
      <w:r w:rsidR="00FD4E44">
        <w:t xml:space="preserve">, </w:t>
      </w:r>
      <w:r w:rsidR="00E8689E">
        <w:t xml:space="preserve">the research aims to provide practical advice and insights that will be useful to those public and private providers offering or deciding to offer these </w:t>
      </w:r>
      <w:r w:rsidR="003D36F2">
        <w:t>qualifications</w:t>
      </w:r>
      <w:r w:rsidR="00E8689E">
        <w:t xml:space="preserve"> and to those responsible for policy decisions in this area.</w:t>
      </w:r>
    </w:p>
    <w:p w:rsidR="00643B69" w:rsidRPr="002B0031" w:rsidRDefault="002B0031" w:rsidP="00E36E0B">
      <w:pPr>
        <w:pStyle w:val="Text"/>
      </w:pPr>
      <w:r>
        <w:t xml:space="preserve">As a starting point, </w:t>
      </w:r>
      <w:r w:rsidR="00274DD2">
        <w:t>t</w:t>
      </w:r>
      <w:r w:rsidR="00643B69" w:rsidRPr="00643B69">
        <w:t xml:space="preserve">he Council for Australian Governments (COAG) has set clear targets at the diploma to bachelor degree levels. For </w:t>
      </w:r>
      <w:r w:rsidR="009054BE">
        <w:t>vocational education and training</w:t>
      </w:r>
      <w:r w:rsidR="00643B69" w:rsidRPr="00643B69">
        <w:t>, the target is that</w:t>
      </w:r>
      <w:r w:rsidR="003D36F2">
        <w:t>,</w:t>
      </w:r>
      <w:r w:rsidR="00643B69" w:rsidRPr="00643B69">
        <w:t xml:space="preserve"> by 2020</w:t>
      </w:r>
      <w:r w:rsidR="003D36F2">
        <w:t>,</w:t>
      </w:r>
      <w:r w:rsidR="00643B69" w:rsidRPr="00643B69">
        <w:t xml:space="preserve"> the number </w:t>
      </w:r>
      <w:r w:rsidR="003D36F2">
        <w:t xml:space="preserve">of Australians </w:t>
      </w:r>
      <w:r w:rsidR="00643B69" w:rsidRPr="00643B69">
        <w:t>holding diploma and advanced diploma qualifications will double. For higher education, by 2025</w:t>
      </w:r>
      <w:r w:rsidR="009054BE">
        <w:t>,</w:t>
      </w:r>
      <w:r w:rsidR="00643B69" w:rsidRPr="00643B69">
        <w:t xml:space="preserve"> 40% of </w:t>
      </w:r>
      <w:r w:rsidR="003D36F2">
        <w:t>people</w:t>
      </w:r>
      <w:r w:rsidR="00643B69" w:rsidRPr="00643B69">
        <w:t xml:space="preserve"> aged 25 to 34 years will hold a bachelor degree, up from 32% in 2008. It is anticipated that meeting the VET targets will aid the achievement of the higher education target, as some students use VET diplomas as a stepping stone into higher education bachelor degree qualifications. </w:t>
      </w:r>
      <w:r w:rsidR="009054BE">
        <w:t>An</w:t>
      </w:r>
      <w:r w:rsidR="001A66AD">
        <w:t xml:space="preserve"> </w:t>
      </w:r>
      <w:r w:rsidR="001A66AD" w:rsidRPr="00160E67">
        <w:rPr>
          <w:lang w:val="en-US"/>
        </w:rPr>
        <w:t>associate degree</w:t>
      </w:r>
      <w:r w:rsidR="00C87A43">
        <w:rPr>
          <w:lang w:val="en-US"/>
        </w:rPr>
        <w:t xml:space="preserve"> qualification </w:t>
      </w:r>
      <w:r w:rsidR="001A66AD" w:rsidRPr="00160E67">
        <w:rPr>
          <w:lang w:val="en-US"/>
        </w:rPr>
        <w:t xml:space="preserve">is </w:t>
      </w:r>
      <w:r w:rsidR="009054BE">
        <w:rPr>
          <w:lang w:val="en-US"/>
        </w:rPr>
        <w:t xml:space="preserve">also </w:t>
      </w:r>
      <w:r w:rsidR="001A66AD" w:rsidRPr="00160E67">
        <w:rPr>
          <w:lang w:val="en-US"/>
        </w:rPr>
        <w:t>a key</w:t>
      </w:r>
      <w:r w:rsidR="008F76B8">
        <w:rPr>
          <w:lang w:val="en-US"/>
        </w:rPr>
        <w:t xml:space="preserve"> </w:t>
      </w:r>
      <w:r w:rsidR="00C87A43" w:rsidRPr="00643B69">
        <w:t xml:space="preserve">stepping stone </w:t>
      </w:r>
      <w:r w:rsidR="001A66AD" w:rsidRPr="00160E67">
        <w:rPr>
          <w:lang w:val="en-US"/>
        </w:rPr>
        <w:t>to the bache</w:t>
      </w:r>
      <w:r w:rsidR="001A66AD">
        <w:rPr>
          <w:lang w:val="en-US"/>
        </w:rPr>
        <w:t>lor degree</w:t>
      </w:r>
      <w:r w:rsidR="00C87A43">
        <w:rPr>
          <w:lang w:val="en-US"/>
        </w:rPr>
        <w:t xml:space="preserve">. </w:t>
      </w:r>
      <w:r w:rsidR="00643B69" w:rsidRPr="00643B69">
        <w:t>Overall, achieving the</w:t>
      </w:r>
      <w:r w:rsidR="00AB0CC4">
        <w:t xml:space="preserve"> </w:t>
      </w:r>
      <w:r w:rsidR="009054BE">
        <w:t>Council of Australian Governments</w:t>
      </w:r>
      <w:r w:rsidR="00643B69" w:rsidRPr="00643B69">
        <w:t xml:space="preserve"> targets </w:t>
      </w:r>
      <w:r w:rsidR="00655FA2">
        <w:t>th</w:t>
      </w:r>
      <w:r w:rsidR="009424D2">
        <w:t>r</w:t>
      </w:r>
      <w:r w:rsidR="00655FA2">
        <w:t xml:space="preserve">ough improved </w:t>
      </w:r>
      <w:r w:rsidR="00C87A43">
        <w:t xml:space="preserve">educational </w:t>
      </w:r>
      <w:r w:rsidR="00655FA2">
        <w:t xml:space="preserve">pathways and other strategies </w:t>
      </w:r>
      <w:r w:rsidR="00643B69" w:rsidRPr="00643B69">
        <w:t>will fill the growing number of paraprofessional and professional jobs that are projected to be required to keep Australia internatio</w:t>
      </w:r>
      <w:r w:rsidR="000448CC">
        <w:t>nally competitive (Burke &amp; Shah 2006; Access Economics</w:t>
      </w:r>
      <w:r w:rsidR="00643B69" w:rsidRPr="00643B69">
        <w:t xml:space="preserve"> 2009).</w:t>
      </w:r>
    </w:p>
    <w:p w:rsidR="00643B69" w:rsidRDefault="00643B69" w:rsidP="00E36E0B">
      <w:pPr>
        <w:pStyle w:val="Text"/>
      </w:pPr>
      <w:r>
        <w:t>The Bradley Review (</w:t>
      </w:r>
      <w:r w:rsidR="003D36F2">
        <w:t xml:space="preserve">Bradley et al. </w:t>
      </w:r>
      <w:r>
        <w:t xml:space="preserve">2008) emphasised the importance of </w:t>
      </w:r>
      <w:r w:rsidR="009424D2">
        <w:t xml:space="preserve">these </w:t>
      </w:r>
      <w:r>
        <w:t xml:space="preserve">improved pathways between educational sectors </w:t>
      </w:r>
      <w:r w:rsidR="009054BE">
        <w:t>in achieving</w:t>
      </w:r>
      <w:r>
        <w:t xml:space="preserve"> higher levels of occupational progression</w:t>
      </w:r>
      <w:r w:rsidR="009424D2">
        <w:t>.</w:t>
      </w:r>
      <w:r>
        <w:t xml:space="preserve"> </w:t>
      </w:r>
      <w:r w:rsidR="009424D2">
        <w:t>Today there</w:t>
      </w:r>
      <w:r>
        <w:t xml:space="preserve"> are numerous examples of VET providers who have partnered with higher education providers to develop pathways between their VET and higher education qualifications through articulation and credit transfer arrangement</w:t>
      </w:r>
      <w:r w:rsidR="009424D2">
        <w:t>s (</w:t>
      </w:r>
      <w:r w:rsidR="00546B91" w:rsidRPr="007C7333">
        <w:rPr>
          <w:lang w:val="en-US"/>
        </w:rPr>
        <w:t>Phillips</w:t>
      </w:r>
      <w:r w:rsidR="00546B91">
        <w:rPr>
          <w:lang w:val="en-US"/>
        </w:rPr>
        <w:t xml:space="preserve"> KPA 2006; </w:t>
      </w:r>
      <w:r w:rsidR="009424D2" w:rsidRPr="007C7333">
        <w:rPr>
          <w:lang w:val="en-US"/>
        </w:rPr>
        <w:t>Wheelahan</w:t>
      </w:r>
      <w:r w:rsidR="009424D2">
        <w:rPr>
          <w:lang w:val="en-US"/>
        </w:rPr>
        <w:t xml:space="preserve"> et al. 2009</w:t>
      </w:r>
      <w:r w:rsidR="00DA1070">
        <w:rPr>
          <w:lang w:val="en-US"/>
        </w:rPr>
        <w:t>,</w:t>
      </w:r>
      <w:r w:rsidR="009054BE">
        <w:rPr>
          <w:lang w:val="en-US"/>
        </w:rPr>
        <w:t xml:space="preserve"> </w:t>
      </w:r>
      <w:r w:rsidR="00DA1070" w:rsidRPr="00DA1070">
        <w:rPr>
          <w:lang w:val="en-US"/>
        </w:rPr>
        <w:t>2012</w:t>
      </w:r>
      <w:r w:rsidR="009424D2" w:rsidRPr="00DA1070">
        <w:rPr>
          <w:lang w:val="en-US"/>
        </w:rPr>
        <w:t>).</w:t>
      </w:r>
      <w:r w:rsidR="009424D2">
        <w:rPr>
          <w:lang w:val="en-US"/>
        </w:rPr>
        <w:t xml:space="preserve"> </w:t>
      </w:r>
      <w:r w:rsidR="009424D2">
        <w:t>In addition</w:t>
      </w:r>
      <w:r w:rsidR="0090094C">
        <w:t>,</w:t>
      </w:r>
      <w:r w:rsidR="009424D2">
        <w:t xml:space="preserve"> some</w:t>
      </w:r>
      <w:r>
        <w:t xml:space="preserve"> educational institutions </w:t>
      </w:r>
      <w:r w:rsidR="009424D2">
        <w:t>have become</w:t>
      </w:r>
      <w:r>
        <w:t xml:space="preserve"> a provider of both </w:t>
      </w:r>
      <w:r w:rsidR="009054BE">
        <w:t>vocational education and training</w:t>
      </w:r>
      <w:r>
        <w:t xml:space="preserve"> and higher ed</w:t>
      </w:r>
      <w:r w:rsidR="009424D2">
        <w:t xml:space="preserve">ucation in their own right, </w:t>
      </w:r>
      <w:r>
        <w:t>achiev</w:t>
      </w:r>
      <w:r w:rsidR="009424D2">
        <w:t>ing</w:t>
      </w:r>
      <w:r>
        <w:t xml:space="preserve"> vertical tertiary education integration within their own institution.</w:t>
      </w:r>
      <w:r w:rsidR="00B45FAD">
        <w:t xml:space="preserve"> </w:t>
      </w:r>
      <w:r>
        <w:t xml:space="preserve"> </w:t>
      </w:r>
    </w:p>
    <w:p w:rsidR="000227D8" w:rsidRDefault="00643B69" w:rsidP="00E36E0B">
      <w:pPr>
        <w:pStyle w:val="Text"/>
      </w:pPr>
      <w:r>
        <w:t>As Moodie (2012) reports</w:t>
      </w:r>
      <w:r w:rsidR="009424D2">
        <w:t>,</w:t>
      </w:r>
      <w:r>
        <w:t xml:space="preserve"> </w:t>
      </w:r>
      <w:r w:rsidR="009424D2">
        <w:t xml:space="preserve">there is growing evidence that </w:t>
      </w:r>
      <w:r>
        <w:t>the sharp distinctions between the VET and higher education sectors, and between publicly funded and</w:t>
      </w:r>
      <w:r w:rsidR="009054BE">
        <w:t xml:space="preserve"> privately funded institutions, </w:t>
      </w:r>
      <w:r>
        <w:t>are giving way to a more differentiated single tertiary education sector</w:t>
      </w:r>
      <w:r w:rsidR="009424D2">
        <w:t>.</w:t>
      </w:r>
      <w:r>
        <w:t xml:space="preserve"> </w:t>
      </w:r>
      <w:r w:rsidR="009424D2">
        <w:t xml:space="preserve">In particular, </w:t>
      </w:r>
      <w:r>
        <w:t>greater institutional diversity</w:t>
      </w:r>
      <w:r w:rsidR="009424D2">
        <w:t xml:space="preserve"> is emerging in the tertiary </w:t>
      </w:r>
      <w:r>
        <w:t>education sector in Australia</w:t>
      </w:r>
      <w:r w:rsidR="00C44507">
        <w:t>,</w:t>
      </w:r>
      <w:r>
        <w:t xml:space="preserve"> </w:t>
      </w:r>
      <w:r w:rsidR="009424D2">
        <w:t>with</w:t>
      </w:r>
      <w:r>
        <w:t xml:space="preserve"> </w:t>
      </w:r>
      <w:r w:rsidR="009424D2">
        <w:t xml:space="preserve">at least </w:t>
      </w:r>
      <w:r>
        <w:t>four type</w:t>
      </w:r>
      <w:r w:rsidR="009054BE">
        <w:t>s of providers, as outlined in t</w:t>
      </w:r>
      <w:r>
        <w:t xml:space="preserve">able 1. </w:t>
      </w:r>
    </w:p>
    <w:p w:rsidR="00CA5C6A" w:rsidRPr="0060031A" w:rsidRDefault="000227D8" w:rsidP="00E36E0B">
      <w:pPr>
        <w:pStyle w:val="Text"/>
        <w:rPr>
          <w:color w:val="000000"/>
          <w:szCs w:val="19"/>
        </w:rPr>
      </w:pPr>
      <w:r w:rsidRPr="000227D8">
        <w:rPr>
          <w:szCs w:val="19"/>
        </w:rPr>
        <w:t>While t</w:t>
      </w:r>
      <w:r w:rsidR="009054BE">
        <w:rPr>
          <w:szCs w:val="19"/>
        </w:rPr>
        <w:t>here remain many single-</w:t>
      </w:r>
      <w:r w:rsidR="00CA5C6A" w:rsidRPr="000227D8">
        <w:rPr>
          <w:szCs w:val="19"/>
        </w:rPr>
        <w:t>sector providers</w:t>
      </w:r>
      <w:r w:rsidR="00551407">
        <w:rPr>
          <w:szCs w:val="19"/>
        </w:rPr>
        <w:t>,</w:t>
      </w:r>
      <w:r w:rsidR="00CA5C6A" w:rsidRPr="000227D8">
        <w:rPr>
          <w:szCs w:val="19"/>
        </w:rPr>
        <w:t xml:space="preserve"> of either VET or higher education</w:t>
      </w:r>
      <w:r w:rsidRPr="000227D8">
        <w:rPr>
          <w:szCs w:val="19"/>
        </w:rPr>
        <w:t xml:space="preserve">, there </w:t>
      </w:r>
      <w:r w:rsidR="00CA5C6A" w:rsidRPr="00551407">
        <w:rPr>
          <w:szCs w:val="19"/>
        </w:rPr>
        <w:t xml:space="preserve">is a growing number of </w:t>
      </w:r>
      <w:r w:rsidRPr="00551407">
        <w:rPr>
          <w:szCs w:val="19"/>
        </w:rPr>
        <w:t>tertiary education</w:t>
      </w:r>
      <w:r w:rsidRPr="00551407">
        <w:rPr>
          <w:rFonts w:eastAsia="Calibri"/>
          <w:szCs w:val="19"/>
        </w:rPr>
        <w:t xml:space="preserve"> </w:t>
      </w:r>
      <w:r w:rsidRPr="00551407">
        <w:rPr>
          <w:szCs w:val="19"/>
        </w:rPr>
        <w:t xml:space="preserve">providers accredited to offer both vocational and higher education. </w:t>
      </w:r>
      <w:proofErr w:type="spellStart"/>
      <w:r w:rsidRPr="00551407">
        <w:rPr>
          <w:szCs w:val="19"/>
        </w:rPr>
        <w:t>Moodie’s</w:t>
      </w:r>
      <w:proofErr w:type="spellEnd"/>
      <w:r w:rsidRPr="00551407">
        <w:rPr>
          <w:szCs w:val="19"/>
        </w:rPr>
        <w:t xml:space="preserve"> tertiary education provider classification system</w:t>
      </w:r>
      <w:r w:rsidRPr="0060031A">
        <w:rPr>
          <w:szCs w:val="19"/>
        </w:rPr>
        <w:t xml:space="preserve"> cover</w:t>
      </w:r>
      <w:r w:rsidR="009848AD">
        <w:rPr>
          <w:szCs w:val="19"/>
        </w:rPr>
        <w:t>s</w:t>
      </w:r>
      <w:r w:rsidRPr="0060031A">
        <w:rPr>
          <w:szCs w:val="19"/>
        </w:rPr>
        <w:t xml:space="preserve"> mixe</w:t>
      </w:r>
      <w:r w:rsidR="009054BE">
        <w:rPr>
          <w:szCs w:val="19"/>
        </w:rPr>
        <w:t xml:space="preserve">d-sector, dual-sector and cross-sector institutions. </w:t>
      </w:r>
      <w:r w:rsidRPr="0060031A">
        <w:rPr>
          <w:szCs w:val="19"/>
        </w:rPr>
        <w:t xml:space="preserve">In this research the providers of interest are those </w:t>
      </w:r>
      <w:r w:rsidR="00402449" w:rsidRPr="00402449">
        <w:rPr>
          <w:szCs w:val="19"/>
        </w:rPr>
        <w:t xml:space="preserve">that </w:t>
      </w:r>
      <w:r w:rsidR="00CA5C6A" w:rsidRPr="000227D8">
        <w:rPr>
          <w:color w:val="000000"/>
          <w:szCs w:val="19"/>
        </w:rPr>
        <w:t xml:space="preserve">fall into the </w:t>
      </w:r>
      <w:r w:rsidR="00CA5C6A" w:rsidRPr="000227D8">
        <w:rPr>
          <w:color w:val="000000" w:themeColor="text1"/>
          <w:szCs w:val="19"/>
          <w:lang w:val="en-US"/>
        </w:rPr>
        <w:t>‘</w:t>
      </w:r>
      <w:r w:rsidR="00CA5C6A" w:rsidRPr="000227D8">
        <w:rPr>
          <w:szCs w:val="19"/>
        </w:rPr>
        <w:t xml:space="preserve">mixed-sector’ institutions category, and </w:t>
      </w:r>
      <w:r w:rsidRPr="000227D8">
        <w:rPr>
          <w:szCs w:val="19"/>
        </w:rPr>
        <w:t xml:space="preserve">particularly the </w:t>
      </w:r>
      <w:r w:rsidR="00CA5C6A" w:rsidRPr="000227D8">
        <w:rPr>
          <w:szCs w:val="19"/>
        </w:rPr>
        <w:t xml:space="preserve">subgroup of </w:t>
      </w:r>
      <w:r>
        <w:rPr>
          <w:color w:val="000000"/>
          <w:szCs w:val="19"/>
        </w:rPr>
        <w:t xml:space="preserve">VET institutions </w:t>
      </w:r>
      <w:r w:rsidR="00CA5C6A" w:rsidRPr="000227D8">
        <w:rPr>
          <w:color w:val="000000"/>
          <w:szCs w:val="19"/>
        </w:rPr>
        <w:t>with some offerings in the higher education sector</w:t>
      </w:r>
      <w:r w:rsidR="00551407">
        <w:rPr>
          <w:color w:val="000000"/>
          <w:szCs w:val="19"/>
        </w:rPr>
        <w:t>.</w:t>
      </w:r>
      <w:r w:rsidR="00CA5C6A" w:rsidRPr="000227D8">
        <w:rPr>
          <w:color w:val="000000"/>
          <w:szCs w:val="19"/>
        </w:rPr>
        <w:t xml:space="preserve"> </w:t>
      </w:r>
      <w:r w:rsidR="0060031A">
        <w:rPr>
          <w:color w:val="000000"/>
          <w:szCs w:val="19"/>
        </w:rPr>
        <w:t xml:space="preserve">These </w:t>
      </w:r>
      <w:r w:rsidR="00551407" w:rsidRPr="00551407">
        <w:rPr>
          <w:szCs w:val="19"/>
        </w:rPr>
        <w:t>VET providers hav</w:t>
      </w:r>
      <w:r w:rsidR="0060031A">
        <w:rPr>
          <w:szCs w:val="19"/>
        </w:rPr>
        <w:t>e</w:t>
      </w:r>
      <w:r w:rsidR="00551407" w:rsidRPr="00551407">
        <w:rPr>
          <w:szCs w:val="19"/>
        </w:rPr>
        <w:t xml:space="preserve"> to deal with </w:t>
      </w:r>
      <w:r w:rsidR="003D36F2">
        <w:rPr>
          <w:szCs w:val="19"/>
        </w:rPr>
        <w:t>a</w:t>
      </w:r>
      <w:r w:rsidR="00551407" w:rsidRPr="00551407">
        <w:rPr>
          <w:szCs w:val="19"/>
        </w:rPr>
        <w:t xml:space="preserve"> </w:t>
      </w:r>
      <w:r w:rsidR="00551407" w:rsidRPr="00551407">
        <w:rPr>
          <w:bCs/>
          <w:color w:val="000000"/>
          <w:spacing w:val="-2"/>
          <w:kern w:val="36"/>
          <w:szCs w:val="19"/>
        </w:rPr>
        <w:t xml:space="preserve">range of funding, reporting, </w:t>
      </w:r>
      <w:r w:rsidR="00551407" w:rsidRPr="00551407">
        <w:rPr>
          <w:bCs/>
          <w:color w:val="000000"/>
          <w:spacing w:val="-2"/>
          <w:kern w:val="36"/>
          <w:szCs w:val="19"/>
        </w:rPr>
        <w:lastRenderedPageBreak/>
        <w:t>curriculum, and other operational factors that need to be managed as they make the transition into delivering higher education qualifications</w:t>
      </w:r>
      <w:r w:rsidR="0060031A">
        <w:rPr>
          <w:bCs/>
          <w:color w:val="000000"/>
          <w:spacing w:val="-2"/>
          <w:kern w:val="36"/>
          <w:szCs w:val="19"/>
        </w:rPr>
        <w:t xml:space="preserve"> in their own right.</w:t>
      </w:r>
      <w:r w:rsidR="0060031A">
        <w:rPr>
          <w:color w:val="000000"/>
          <w:szCs w:val="19"/>
        </w:rPr>
        <w:t xml:space="preserve"> </w:t>
      </w:r>
      <w:r w:rsidR="009054BE">
        <w:rPr>
          <w:szCs w:val="19"/>
        </w:rPr>
        <w:t>Dual-</w:t>
      </w:r>
      <w:r w:rsidR="00551407">
        <w:rPr>
          <w:szCs w:val="19"/>
        </w:rPr>
        <w:t>sector tertiary institutions</w:t>
      </w:r>
      <w:r w:rsidR="0060031A">
        <w:rPr>
          <w:szCs w:val="19"/>
        </w:rPr>
        <w:t xml:space="preserve"> </w:t>
      </w:r>
      <w:r w:rsidR="00551407" w:rsidRPr="00551407">
        <w:rPr>
          <w:szCs w:val="19"/>
        </w:rPr>
        <w:t>whi</w:t>
      </w:r>
      <w:r w:rsidR="009054BE">
        <w:rPr>
          <w:szCs w:val="19"/>
        </w:rPr>
        <w:t xml:space="preserve">ch provide higher education </w:t>
      </w:r>
      <w:r w:rsidR="00551407" w:rsidRPr="00551407">
        <w:rPr>
          <w:szCs w:val="19"/>
        </w:rPr>
        <w:t>in their VET division</w:t>
      </w:r>
      <w:r w:rsidR="00551407">
        <w:rPr>
          <w:szCs w:val="19"/>
        </w:rPr>
        <w:t xml:space="preserve"> </w:t>
      </w:r>
      <w:r w:rsidR="0060031A">
        <w:rPr>
          <w:szCs w:val="19"/>
        </w:rPr>
        <w:t xml:space="preserve">are </w:t>
      </w:r>
      <w:bookmarkStart w:id="27" w:name="_GoBack"/>
      <w:bookmarkEnd w:id="27"/>
      <w:r w:rsidR="0060031A">
        <w:rPr>
          <w:szCs w:val="19"/>
        </w:rPr>
        <w:t xml:space="preserve">not within scope </w:t>
      </w:r>
      <w:r w:rsidR="00551407">
        <w:rPr>
          <w:szCs w:val="19"/>
        </w:rPr>
        <w:t xml:space="preserve">because they have the advantage of having </w:t>
      </w:r>
      <w:r w:rsidR="00551407" w:rsidRPr="00551407">
        <w:rPr>
          <w:szCs w:val="19"/>
        </w:rPr>
        <w:t>in place the required higher education arrangements.</w:t>
      </w:r>
    </w:p>
    <w:p w:rsidR="00855194" w:rsidRPr="00EB6104" w:rsidRDefault="00B55C78" w:rsidP="00E36E0B">
      <w:pPr>
        <w:pStyle w:val="tabletitle"/>
      </w:pPr>
      <w:r>
        <w:t>T</w:t>
      </w:r>
      <w:r w:rsidR="00EB6104" w:rsidRPr="00EB6104">
        <w:t>able 1</w:t>
      </w:r>
      <w:r w:rsidR="00E36E0B">
        <w:tab/>
      </w:r>
      <w:r w:rsidR="00EB6104" w:rsidRPr="00EB6104">
        <w:t>Categories of tertiary educ</w:t>
      </w:r>
      <w:r w:rsidR="002767CF">
        <w:t>ation institutions in Australia</w:t>
      </w:r>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3290"/>
        <w:gridCol w:w="5499"/>
      </w:tblGrid>
      <w:tr w:rsidR="00EB6104" w:rsidRPr="0020573E" w:rsidTr="00E36E0B">
        <w:tc>
          <w:tcPr>
            <w:tcW w:w="3369" w:type="dxa"/>
            <w:tcBorders>
              <w:top w:val="single" w:sz="4" w:space="0" w:color="auto"/>
              <w:bottom w:val="single" w:sz="4" w:space="0" w:color="auto"/>
            </w:tcBorders>
          </w:tcPr>
          <w:p w:rsidR="00EB6104" w:rsidRPr="00A912DC" w:rsidRDefault="00EB6104" w:rsidP="00A15E80">
            <w:pPr>
              <w:pStyle w:val="Tablehead1"/>
            </w:pPr>
            <w:r w:rsidRPr="00A912DC">
              <w:t>Category (and definition)</w:t>
            </w:r>
          </w:p>
        </w:tc>
        <w:tc>
          <w:tcPr>
            <w:tcW w:w="5635" w:type="dxa"/>
            <w:tcBorders>
              <w:top w:val="single" w:sz="4" w:space="0" w:color="auto"/>
              <w:bottom w:val="single" w:sz="4" w:space="0" w:color="auto"/>
            </w:tcBorders>
          </w:tcPr>
          <w:p w:rsidR="00EB6104" w:rsidRPr="00A912DC" w:rsidRDefault="00EB6104" w:rsidP="00A15E80">
            <w:pPr>
              <w:pStyle w:val="Tablehead1"/>
            </w:pPr>
            <w:r w:rsidRPr="00A912DC">
              <w:t>Subgroups</w:t>
            </w:r>
          </w:p>
        </w:tc>
      </w:tr>
      <w:tr w:rsidR="00EB6104" w:rsidRPr="0020573E" w:rsidTr="00E36E0B">
        <w:tc>
          <w:tcPr>
            <w:tcW w:w="3369" w:type="dxa"/>
            <w:tcBorders>
              <w:top w:val="single" w:sz="4" w:space="0" w:color="auto"/>
            </w:tcBorders>
          </w:tcPr>
          <w:p w:rsidR="00EB6104" w:rsidRPr="009424D2" w:rsidRDefault="00EB6104" w:rsidP="00A15E80">
            <w:pPr>
              <w:pStyle w:val="Tabletext"/>
            </w:pPr>
            <w:r w:rsidRPr="009424D2">
              <w:t>Single-sector institutions</w:t>
            </w:r>
            <w:r w:rsidR="00A15E80">
              <w:br/>
            </w:r>
            <w:r w:rsidR="003D36F2">
              <w:t>(w</w:t>
            </w:r>
            <w:r w:rsidRPr="009424D2">
              <w:t>ith 97% or more of their student load enrolled in one sector)</w:t>
            </w:r>
          </w:p>
        </w:tc>
        <w:tc>
          <w:tcPr>
            <w:tcW w:w="5635" w:type="dxa"/>
            <w:tcBorders>
              <w:top w:val="single" w:sz="4" w:space="0" w:color="auto"/>
            </w:tcBorders>
          </w:tcPr>
          <w:p w:rsidR="00EB6104" w:rsidRPr="009424D2" w:rsidRDefault="00A15E80" w:rsidP="00A15E80">
            <w:pPr>
              <w:pStyle w:val="Tabletext"/>
              <w:tabs>
                <w:tab w:val="left" w:pos="284"/>
              </w:tabs>
              <w:ind w:left="284" w:hanging="284"/>
            </w:pPr>
            <w:r>
              <w:t>a</w:t>
            </w:r>
            <w:r>
              <w:tab/>
            </w:r>
            <w:r w:rsidR="00EB6104" w:rsidRPr="009424D2">
              <w:t xml:space="preserve">VET providers </w:t>
            </w:r>
          </w:p>
          <w:p w:rsidR="00EB6104" w:rsidRPr="009424D2" w:rsidRDefault="00EB6104" w:rsidP="00A15E80">
            <w:pPr>
              <w:pStyle w:val="Tabletext"/>
              <w:tabs>
                <w:tab w:val="left" w:pos="284"/>
              </w:tabs>
              <w:ind w:left="284" w:hanging="284"/>
            </w:pPr>
            <w:r w:rsidRPr="009424D2">
              <w:t>or</w:t>
            </w:r>
          </w:p>
          <w:p w:rsidR="00EB6104" w:rsidRPr="009424D2" w:rsidRDefault="00A15E80" w:rsidP="00A15E80">
            <w:pPr>
              <w:pStyle w:val="Tabletext"/>
              <w:tabs>
                <w:tab w:val="left" w:pos="284"/>
              </w:tabs>
              <w:ind w:left="284" w:hanging="284"/>
            </w:pPr>
            <w:r>
              <w:t>b</w:t>
            </w:r>
            <w:r>
              <w:tab/>
            </w:r>
            <w:r w:rsidR="00EB6104" w:rsidRPr="009424D2">
              <w:t>Higher education providers</w:t>
            </w:r>
            <w:r w:rsidR="00B45FAD">
              <w:t xml:space="preserve"> </w:t>
            </w:r>
          </w:p>
        </w:tc>
      </w:tr>
      <w:tr w:rsidR="00AB0CC4" w:rsidRPr="009424D2" w:rsidTr="00E36E0B">
        <w:trPr>
          <w:trHeight w:val="788"/>
        </w:trPr>
        <w:tc>
          <w:tcPr>
            <w:tcW w:w="3369" w:type="dxa"/>
          </w:tcPr>
          <w:p w:rsidR="004D4EC3" w:rsidRPr="004D4EC3" w:rsidRDefault="009054BE" w:rsidP="00A15E80">
            <w:pPr>
              <w:pStyle w:val="Tabletext"/>
            </w:pPr>
            <w:r>
              <w:t>Cross-</w:t>
            </w:r>
            <w:r w:rsidR="00AB0CC4" w:rsidRPr="009424D2">
              <w:t>sector</w:t>
            </w:r>
            <w:r w:rsidR="00B45FAD">
              <w:t xml:space="preserve"> </w:t>
            </w:r>
            <w:r w:rsidR="00AB0CC4" w:rsidRPr="009424D2">
              <w:t>institutions</w:t>
            </w:r>
            <w:r w:rsidR="00A15E80">
              <w:br/>
            </w:r>
            <w:r w:rsidR="003D36F2">
              <w:t>(h</w:t>
            </w:r>
            <w:r w:rsidR="00AB0CC4" w:rsidRPr="009424D2">
              <w:t>ave some load in both vocational and higher education )</w:t>
            </w:r>
          </w:p>
        </w:tc>
        <w:tc>
          <w:tcPr>
            <w:tcW w:w="5635" w:type="dxa"/>
          </w:tcPr>
          <w:p w:rsidR="00AB0CC4" w:rsidRPr="009424D2" w:rsidRDefault="00AB0CC4" w:rsidP="00A15E80">
            <w:pPr>
              <w:pStyle w:val="Tabletext"/>
              <w:tabs>
                <w:tab w:val="left" w:pos="284"/>
              </w:tabs>
            </w:pPr>
            <w:r w:rsidRPr="009424D2">
              <w:t>Institutions which may be single- or mixed-sector institutions but cannot be</w:t>
            </w:r>
            <w:r w:rsidR="00A15E80">
              <w:t> </w:t>
            </w:r>
            <w:r w:rsidRPr="009424D2">
              <w:t xml:space="preserve">distinguished because of data limitations </w:t>
            </w:r>
          </w:p>
        </w:tc>
      </w:tr>
      <w:tr w:rsidR="00EB6104" w:rsidRPr="0020573E" w:rsidTr="00E36E0B">
        <w:tc>
          <w:tcPr>
            <w:tcW w:w="3369" w:type="dxa"/>
          </w:tcPr>
          <w:p w:rsidR="00EB6104" w:rsidRPr="009424D2" w:rsidRDefault="00EB6104" w:rsidP="00A15E80">
            <w:pPr>
              <w:pStyle w:val="Tabletext"/>
            </w:pPr>
            <w:r w:rsidRPr="00DA1070">
              <w:t>Mixed-sector institutions</w:t>
            </w:r>
            <w:r w:rsidR="00A15E80">
              <w:br/>
            </w:r>
            <w:r w:rsidR="003D36F2">
              <w:t>(w</w:t>
            </w:r>
            <w:r w:rsidRPr="009424D2">
              <w:t>ith at least 3% but no more than 20% of their load enrolled in the minority sector)</w:t>
            </w:r>
          </w:p>
        </w:tc>
        <w:tc>
          <w:tcPr>
            <w:tcW w:w="5635" w:type="dxa"/>
          </w:tcPr>
          <w:p w:rsidR="00EB6104" w:rsidRPr="00DA1070" w:rsidRDefault="00A15E80" w:rsidP="00A15E80">
            <w:pPr>
              <w:pStyle w:val="Tabletext"/>
              <w:tabs>
                <w:tab w:val="left" w:pos="284"/>
              </w:tabs>
              <w:ind w:left="284" w:hanging="284"/>
              <w:rPr>
                <w:i/>
              </w:rPr>
            </w:pPr>
            <w:r w:rsidRPr="00DA1070">
              <w:rPr>
                <w:i/>
              </w:rPr>
              <w:t>a</w:t>
            </w:r>
            <w:r w:rsidRPr="00DA1070">
              <w:rPr>
                <w:i/>
              </w:rPr>
              <w:tab/>
            </w:r>
            <w:r w:rsidR="00EB6104" w:rsidRPr="00DA1070">
              <w:rPr>
                <w:i/>
              </w:rPr>
              <w:t xml:space="preserve">VET providers with some offerings in higher education </w:t>
            </w:r>
          </w:p>
          <w:p w:rsidR="00EB6104" w:rsidRPr="009424D2" w:rsidRDefault="00EB6104" w:rsidP="00A15E80">
            <w:pPr>
              <w:pStyle w:val="Tabletext"/>
              <w:tabs>
                <w:tab w:val="left" w:pos="284"/>
              </w:tabs>
              <w:ind w:left="284" w:hanging="284"/>
            </w:pPr>
            <w:r w:rsidRPr="009424D2">
              <w:t xml:space="preserve">and </w:t>
            </w:r>
          </w:p>
          <w:p w:rsidR="00EB6104" w:rsidRPr="009424D2" w:rsidRDefault="00A15E80" w:rsidP="00A15E80">
            <w:pPr>
              <w:pStyle w:val="Tabletext"/>
              <w:tabs>
                <w:tab w:val="left" w:pos="284"/>
              </w:tabs>
              <w:ind w:left="284" w:hanging="284"/>
            </w:pPr>
            <w:r>
              <w:t>b</w:t>
            </w:r>
            <w:r>
              <w:tab/>
            </w:r>
            <w:r w:rsidR="00EB6104" w:rsidRPr="009424D2">
              <w:t xml:space="preserve">Higher education providers with some offerings in VET </w:t>
            </w:r>
          </w:p>
        </w:tc>
      </w:tr>
      <w:tr w:rsidR="00EB6104" w:rsidRPr="0020573E" w:rsidTr="00E36E0B">
        <w:tc>
          <w:tcPr>
            <w:tcW w:w="3369" w:type="dxa"/>
          </w:tcPr>
          <w:p w:rsidR="00EB6104" w:rsidRPr="009424D2" w:rsidRDefault="00EB6104" w:rsidP="00A15E80">
            <w:pPr>
              <w:pStyle w:val="Tabletext"/>
            </w:pPr>
            <w:r w:rsidRPr="009424D2">
              <w:t xml:space="preserve">Dual-sector institutions </w:t>
            </w:r>
            <w:r w:rsidR="00A15E80">
              <w:br/>
            </w:r>
            <w:r w:rsidR="003D36F2">
              <w:t>(o</w:t>
            </w:r>
            <w:r w:rsidRPr="009424D2">
              <w:t xml:space="preserve">ffer a substantial proportion of their load in each sector and at least 20% but less than 80% in each sector) </w:t>
            </w:r>
          </w:p>
        </w:tc>
        <w:tc>
          <w:tcPr>
            <w:tcW w:w="5635" w:type="dxa"/>
          </w:tcPr>
          <w:p w:rsidR="00EB6104" w:rsidRPr="009424D2" w:rsidRDefault="00A15E80" w:rsidP="00A15E80">
            <w:pPr>
              <w:pStyle w:val="Tabletext"/>
              <w:tabs>
                <w:tab w:val="left" w:pos="284"/>
              </w:tabs>
              <w:ind w:left="284" w:hanging="284"/>
            </w:pPr>
            <w:r>
              <w:t>a</w:t>
            </w:r>
            <w:r>
              <w:tab/>
            </w:r>
            <w:r w:rsidR="009054BE">
              <w:t>Dual-</w:t>
            </w:r>
            <w:r w:rsidR="00EB6104" w:rsidRPr="009424D2">
              <w:t xml:space="preserve">sector </w:t>
            </w:r>
            <w:r w:rsidR="003D36F2" w:rsidRPr="009424D2">
              <w:t>institutions</w:t>
            </w:r>
            <w:r w:rsidR="00EB6104" w:rsidRPr="009424D2">
              <w:t xml:space="preserve"> who provide higher education in</w:t>
            </w:r>
            <w:r w:rsidR="009424D2">
              <w:t xml:space="preserve"> the higher education division</w:t>
            </w:r>
            <w:r w:rsidR="00274DD2">
              <w:t xml:space="preserve"> and VET in their</w:t>
            </w:r>
            <w:r w:rsidR="00B45FAD">
              <w:t xml:space="preserve"> </w:t>
            </w:r>
            <w:r w:rsidR="00274DD2">
              <w:t>VET division</w:t>
            </w:r>
            <w:r w:rsidR="00B45FAD">
              <w:t xml:space="preserve"> </w:t>
            </w:r>
            <w:r w:rsidR="00EB6104" w:rsidRPr="009424D2">
              <w:t>(most common)</w:t>
            </w:r>
          </w:p>
          <w:p w:rsidR="00EB6104" w:rsidRPr="009424D2" w:rsidRDefault="00EB6104" w:rsidP="00A15E80">
            <w:pPr>
              <w:pStyle w:val="Tabletext"/>
              <w:tabs>
                <w:tab w:val="left" w:pos="284"/>
              </w:tabs>
              <w:ind w:left="284" w:hanging="284"/>
            </w:pPr>
            <w:r w:rsidRPr="009424D2">
              <w:t>and</w:t>
            </w:r>
          </w:p>
          <w:p w:rsidR="00EB6104" w:rsidRPr="009424D2" w:rsidRDefault="00A15E80" w:rsidP="00A15E80">
            <w:pPr>
              <w:pStyle w:val="Tabletext"/>
              <w:tabs>
                <w:tab w:val="left" w:pos="284"/>
              </w:tabs>
              <w:ind w:left="284" w:hanging="284"/>
            </w:pPr>
            <w:r>
              <w:t>b</w:t>
            </w:r>
            <w:r>
              <w:tab/>
            </w:r>
            <w:r w:rsidR="003D36F2">
              <w:t>Dual-</w:t>
            </w:r>
            <w:r w:rsidR="00EB6104" w:rsidRPr="009424D2">
              <w:t xml:space="preserve">sector institutions who provide </w:t>
            </w:r>
            <w:r w:rsidR="00274DD2">
              <w:t xml:space="preserve">some </w:t>
            </w:r>
            <w:r w:rsidR="00EB6104" w:rsidRPr="009424D2">
              <w:t>higher education within their</w:t>
            </w:r>
            <w:r>
              <w:t> </w:t>
            </w:r>
            <w:r w:rsidR="00EB6104" w:rsidRPr="009424D2">
              <w:t>VET division</w:t>
            </w:r>
            <w:r w:rsidR="00B45FAD">
              <w:t xml:space="preserve"> </w:t>
            </w:r>
            <w:r w:rsidR="00EB6104" w:rsidRPr="009424D2">
              <w:t>(less common)</w:t>
            </w:r>
          </w:p>
        </w:tc>
      </w:tr>
    </w:tbl>
    <w:p w:rsidR="00C44507" w:rsidRDefault="00C44507" w:rsidP="002767CF">
      <w:pPr>
        <w:pStyle w:val="Source"/>
        <w:rPr>
          <w:lang w:val="en-US"/>
        </w:rPr>
      </w:pPr>
      <w:r>
        <w:rPr>
          <w:lang w:val="en-US"/>
        </w:rPr>
        <w:t>Note:</w:t>
      </w:r>
      <w:r>
        <w:rPr>
          <w:lang w:val="en-US"/>
        </w:rPr>
        <w:tab/>
        <w:t>Tertiary education institutions of interest to this study are in italics.</w:t>
      </w:r>
    </w:p>
    <w:p w:rsidR="002767CF" w:rsidRDefault="002767CF" w:rsidP="002767CF">
      <w:pPr>
        <w:pStyle w:val="Source"/>
        <w:rPr>
          <w:lang w:val="en-US"/>
        </w:rPr>
      </w:pPr>
      <w:r>
        <w:rPr>
          <w:lang w:val="en-US"/>
        </w:rPr>
        <w:t>Source:</w:t>
      </w:r>
      <w:r w:rsidR="00E36E0B">
        <w:rPr>
          <w:lang w:val="en-US"/>
        </w:rPr>
        <w:tab/>
      </w:r>
      <w:r>
        <w:rPr>
          <w:lang w:val="en-US"/>
        </w:rPr>
        <w:t>Moodie</w:t>
      </w:r>
      <w:r w:rsidR="005D4FBB">
        <w:rPr>
          <w:lang w:val="en-US"/>
        </w:rPr>
        <w:t xml:space="preserve"> (</w:t>
      </w:r>
      <w:r>
        <w:rPr>
          <w:lang w:val="en-US"/>
        </w:rPr>
        <w:t>2012 with subgroups added</w:t>
      </w:r>
      <w:r w:rsidR="005D4FBB">
        <w:rPr>
          <w:lang w:val="en-US"/>
        </w:rPr>
        <w:t>)</w:t>
      </w:r>
      <w:r>
        <w:rPr>
          <w:lang w:val="en-US"/>
        </w:rPr>
        <w:t>.</w:t>
      </w:r>
    </w:p>
    <w:p w:rsidR="00274DD2" w:rsidRDefault="00274DD2" w:rsidP="00643B69">
      <w:pPr>
        <w:pStyle w:val="Heading1"/>
        <w:rPr>
          <w:lang w:val="en-US"/>
        </w:rPr>
      </w:pPr>
    </w:p>
    <w:p w:rsidR="00E03852" w:rsidRDefault="00E03852">
      <w:pPr>
        <w:spacing w:before="0" w:line="240" w:lineRule="auto"/>
        <w:rPr>
          <w:rFonts w:ascii="Tahoma" w:hAnsi="Tahoma" w:cs="Tahoma"/>
          <w:color w:val="000000"/>
          <w:kern w:val="28"/>
          <w:sz w:val="56"/>
          <w:szCs w:val="56"/>
          <w:lang w:val="en-US"/>
        </w:rPr>
      </w:pPr>
      <w:r>
        <w:rPr>
          <w:lang w:val="en-US"/>
        </w:rPr>
        <w:br w:type="page"/>
      </w:r>
    </w:p>
    <w:p w:rsidR="00643B69" w:rsidRDefault="00643B69" w:rsidP="00643B69">
      <w:pPr>
        <w:pStyle w:val="Heading1"/>
        <w:rPr>
          <w:lang w:val="en-US"/>
        </w:rPr>
      </w:pPr>
      <w:bookmarkStart w:id="28" w:name="_Toc369178812"/>
      <w:r>
        <w:rPr>
          <w:lang w:val="en-US"/>
        </w:rPr>
        <w:lastRenderedPageBreak/>
        <w:t>C</w:t>
      </w:r>
      <w:r w:rsidRPr="00E41736">
        <w:rPr>
          <w:lang w:val="en-US"/>
        </w:rPr>
        <w:t>ontext</w:t>
      </w:r>
      <w:bookmarkEnd w:id="28"/>
    </w:p>
    <w:p w:rsidR="000448CC" w:rsidRDefault="00643B69" w:rsidP="000448CC">
      <w:pPr>
        <w:pStyle w:val="Heading2"/>
        <w:rPr>
          <w:lang w:val="en-US"/>
        </w:rPr>
      </w:pPr>
      <w:bookmarkStart w:id="29" w:name="_Toc369178813"/>
      <w:r>
        <w:rPr>
          <w:lang w:val="en-US"/>
        </w:rPr>
        <w:t>VET and higher education provision</w:t>
      </w:r>
      <w:bookmarkEnd w:id="29"/>
    </w:p>
    <w:p w:rsidR="00343547" w:rsidRDefault="00343547" w:rsidP="00643B69">
      <w:pPr>
        <w:pStyle w:val="Text"/>
        <w:rPr>
          <w:lang w:val="en-US"/>
        </w:rPr>
      </w:pPr>
      <w:r>
        <w:rPr>
          <w:lang w:val="en-US"/>
        </w:rPr>
        <w:t>There</w:t>
      </w:r>
      <w:r w:rsidR="00643B69" w:rsidRPr="00555ADA">
        <w:rPr>
          <w:lang w:val="en-US"/>
        </w:rPr>
        <w:t xml:space="preserve"> has been considerable change in the size and composition</w:t>
      </w:r>
      <w:r w:rsidR="00643B69" w:rsidRPr="00643B69">
        <w:rPr>
          <w:lang w:val="en-US"/>
        </w:rPr>
        <w:t xml:space="preserve"> of the Australian non-university higher education sector, especially in the past decade, after two decades of relatively l</w:t>
      </w:r>
      <w:r w:rsidR="000448CC">
        <w:rPr>
          <w:lang w:val="en-US"/>
        </w:rPr>
        <w:t>ittle change (Ryan &amp; Associates</w:t>
      </w:r>
      <w:r w:rsidR="00FD442B">
        <w:rPr>
          <w:lang w:val="en-US"/>
        </w:rPr>
        <w:t xml:space="preserve"> 2012):</w:t>
      </w:r>
      <w:r w:rsidR="003D36F2">
        <w:rPr>
          <w:lang w:val="en-US"/>
        </w:rPr>
        <w:t xml:space="preserve"> </w:t>
      </w:r>
      <w:r w:rsidR="00FD442B">
        <w:rPr>
          <w:lang w:val="en-US"/>
        </w:rPr>
        <w:t>f</w:t>
      </w:r>
      <w:r w:rsidR="004422A0">
        <w:rPr>
          <w:lang w:val="en-US"/>
        </w:rPr>
        <w:t xml:space="preserve">rom 2005 to 2011, </w:t>
      </w:r>
      <w:r w:rsidR="00FD442B">
        <w:rPr>
          <w:lang w:val="en-US"/>
        </w:rPr>
        <w:t>54</w:t>
      </w:r>
      <w:r w:rsidR="004422A0">
        <w:rPr>
          <w:lang w:val="en-US"/>
        </w:rPr>
        <w:t xml:space="preserve"> </w:t>
      </w:r>
      <w:r w:rsidR="00643B69" w:rsidRPr="00643B69">
        <w:rPr>
          <w:lang w:val="en-US"/>
        </w:rPr>
        <w:t xml:space="preserve">of the 132 currently registered non-university higher education providers </w:t>
      </w:r>
      <w:r w:rsidR="000E16ED">
        <w:rPr>
          <w:lang w:val="en-US"/>
        </w:rPr>
        <w:t>gained approval to become higher education providers</w:t>
      </w:r>
      <w:r w:rsidR="00643B69" w:rsidRPr="00643B69">
        <w:rPr>
          <w:lang w:val="en-US"/>
        </w:rPr>
        <w:t>.</w:t>
      </w:r>
      <w:r w:rsidR="000E16ED">
        <w:rPr>
          <w:lang w:val="en-US"/>
        </w:rPr>
        <w:t xml:space="preserve"> </w:t>
      </w:r>
      <w:r w:rsidR="00643B69" w:rsidRPr="00643B69">
        <w:rPr>
          <w:lang w:val="en-US"/>
        </w:rPr>
        <w:t>The majority of the new entrants to the higher education sector are private entities (78%), while the second largest number of new providers are government instrumentalities (15%), predominantly government-owned (</w:t>
      </w:r>
      <w:r w:rsidR="000E16ED">
        <w:rPr>
          <w:lang w:val="en-US"/>
        </w:rPr>
        <w:t xml:space="preserve">technical and further education — </w:t>
      </w:r>
      <w:r w:rsidR="00643B69" w:rsidRPr="00643B69">
        <w:rPr>
          <w:lang w:val="en-US"/>
        </w:rPr>
        <w:t>TAFE) colleges</w:t>
      </w:r>
      <w:r w:rsidR="0090094C">
        <w:rPr>
          <w:lang w:val="en-US"/>
        </w:rPr>
        <w:t>,</w:t>
      </w:r>
      <w:r w:rsidR="00643B69" w:rsidRPr="00643B69">
        <w:rPr>
          <w:lang w:val="en-US"/>
        </w:rPr>
        <w:t xml:space="preserve"> especially in Victoria. At the same time, 58 previously approved institutions have left the sector, mostly </w:t>
      </w:r>
      <w:r w:rsidR="003D36F2">
        <w:rPr>
          <w:lang w:val="en-US"/>
        </w:rPr>
        <w:t>by</w:t>
      </w:r>
      <w:r w:rsidR="00643B69" w:rsidRPr="00643B69">
        <w:rPr>
          <w:lang w:val="en-US"/>
        </w:rPr>
        <w:t xml:space="preserve"> failing to achieve re-registration </w:t>
      </w:r>
      <w:r w:rsidR="008346F1">
        <w:rPr>
          <w:lang w:val="en-US"/>
        </w:rPr>
        <w:t>o</w:t>
      </w:r>
      <w:r w:rsidR="00643B69" w:rsidRPr="00643B69">
        <w:rPr>
          <w:lang w:val="en-US"/>
        </w:rPr>
        <w:t>r through amalgamation (</w:t>
      </w:r>
      <w:r w:rsidR="000E16ED">
        <w:rPr>
          <w:lang w:val="en-US"/>
        </w:rPr>
        <w:t>for example,</w:t>
      </w:r>
      <w:r w:rsidR="00643B69" w:rsidRPr="00643B69">
        <w:rPr>
          <w:lang w:val="en-US"/>
        </w:rPr>
        <w:t xml:space="preserve"> </w:t>
      </w:r>
      <w:proofErr w:type="spellStart"/>
      <w:r w:rsidR="00643B69" w:rsidRPr="00643B69">
        <w:rPr>
          <w:lang w:val="en-US"/>
        </w:rPr>
        <w:t>Qantm</w:t>
      </w:r>
      <w:proofErr w:type="spellEnd"/>
      <w:r w:rsidR="00643B69" w:rsidRPr="00643B69">
        <w:rPr>
          <w:lang w:val="en-US"/>
        </w:rPr>
        <w:t xml:space="preserve"> College combined with SAE Institute; the Southe</w:t>
      </w:r>
      <w:r w:rsidR="0090094C">
        <w:rPr>
          <w:lang w:val="en-US"/>
        </w:rPr>
        <w:t>rn School of Natural Therapies was s</w:t>
      </w:r>
      <w:r w:rsidR="00643B69" w:rsidRPr="00643B69">
        <w:rPr>
          <w:lang w:val="en-US"/>
        </w:rPr>
        <w:t>ubsumed by Think: Colleges).</w:t>
      </w:r>
    </w:p>
    <w:p w:rsidR="00343547" w:rsidRPr="00D924D2" w:rsidRDefault="007F79F3" w:rsidP="00343547">
      <w:pPr>
        <w:pStyle w:val="Text"/>
        <w:rPr>
          <w:szCs w:val="19"/>
        </w:rPr>
      </w:pPr>
      <w:r>
        <w:rPr>
          <w:szCs w:val="19"/>
          <w:lang w:val="en-US"/>
        </w:rPr>
        <w:t>I</w:t>
      </w:r>
      <w:r w:rsidRPr="00343547">
        <w:rPr>
          <w:szCs w:val="19"/>
          <w:lang w:val="en-US"/>
        </w:rPr>
        <w:t>n the past</w:t>
      </w:r>
      <w:r w:rsidR="00C44507">
        <w:rPr>
          <w:szCs w:val="19"/>
          <w:lang w:val="en-US"/>
        </w:rPr>
        <w:t>,</w:t>
      </w:r>
      <w:r w:rsidRPr="00343547">
        <w:rPr>
          <w:szCs w:val="19"/>
          <w:lang w:val="en-US"/>
        </w:rPr>
        <w:t xml:space="preserve"> </w:t>
      </w:r>
      <w:r>
        <w:rPr>
          <w:szCs w:val="19"/>
          <w:lang w:val="en-US"/>
        </w:rPr>
        <w:t>o</w:t>
      </w:r>
      <w:r w:rsidR="00343547" w:rsidRPr="00343547">
        <w:rPr>
          <w:szCs w:val="19"/>
          <w:lang w:val="en-US"/>
        </w:rPr>
        <w:t>nly five public providers were permitted through their legislation to provide both VET and higher education qualifications (Dow &amp; Braithwaite</w:t>
      </w:r>
      <w:r>
        <w:rPr>
          <w:szCs w:val="19"/>
          <w:lang w:val="en-US"/>
        </w:rPr>
        <w:t xml:space="preserve"> 2013). These dual-</w:t>
      </w:r>
      <w:r w:rsidR="00343547" w:rsidRPr="00D924D2">
        <w:rPr>
          <w:szCs w:val="19"/>
          <w:lang w:val="en-US"/>
        </w:rPr>
        <w:t xml:space="preserve">sector providers were the result </w:t>
      </w:r>
      <w:r w:rsidR="00343547" w:rsidRPr="00343547">
        <w:rPr>
          <w:szCs w:val="19"/>
          <w:lang w:val="en-US"/>
        </w:rPr>
        <w:t xml:space="preserve">of amalgamations of a traditional VET </w:t>
      </w:r>
      <w:r w:rsidR="003D36F2">
        <w:rPr>
          <w:szCs w:val="19"/>
          <w:lang w:val="en-US"/>
        </w:rPr>
        <w:t xml:space="preserve">provider </w:t>
      </w:r>
      <w:r w:rsidR="00343547" w:rsidRPr="00343547">
        <w:rPr>
          <w:szCs w:val="19"/>
          <w:lang w:val="en-US"/>
        </w:rPr>
        <w:t xml:space="preserve">and </w:t>
      </w:r>
      <w:r w:rsidR="00C44507">
        <w:rPr>
          <w:szCs w:val="19"/>
          <w:lang w:val="en-US"/>
        </w:rPr>
        <w:t xml:space="preserve">a </w:t>
      </w:r>
      <w:r w:rsidR="00343547" w:rsidRPr="00343547">
        <w:rPr>
          <w:szCs w:val="19"/>
          <w:lang w:val="en-US"/>
        </w:rPr>
        <w:t xml:space="preserve">higher education university provider (University of </w:t>
      </w:r>
      <w:proofErr w:type="spellStart"/>
      <w:r w:rsidR="00343547" w:rsidRPr="00343547">
        <w:rPr>
          <w:szCs w:val="19"/>
          <w:lang w:val="en-US"/>
        </w:rPr>
        <w:t>Ballarat</w:t>
      </w:r>
      <w:proofErr w:type="spellEnd"/>
      <w:r w:rsidR="00343547" w:rsidRPr="00343547">
        <w:rPr>
          <w:szCs w:val="19"/>
          <w:lang w:val="en-US"/>
        </w:rPr>
        <w:t xml:space="preserve"> </w:t>
      </w:r>
      <w:r w:rsidR="00C44507">
        <w:rPr>
          <w:szCs w:val="19"/>
          <w:lang w:val="en-US"/>
        </w:rPr>
        <w:t>&amp;</w:t>
      </w:r>
      <w:r w:rsidR="00343547" w:rsidRPr="00343547">
        <w:rPr>
          <w:szCs w:val="19"/>
          <w:lang w:val="en-US"/>
        </w:rPr>
        <w:t xml:space="preserve"> Swi</w:t>
      </w:r>
      <w:r w:rsidR="00343547" w:rsidRPr="00D924D2">
        <w:rPr>
          <w:szCs w:val="19"/>
          <w:lang w:val="en-US"/>
        </w:rPr>
        <w:t>nburne University of Technology 2010) and they deliver a substantial proportion of their load in each sector. Ba</w:t>
      </w:r>
      <w:r w:rsidR="007E0F35">
        <w:rPr>
          <w:szCs w:val="19"/>
          <w:lang w:val="en-US"/>
        </w:rPr>
        <w:t>t</w:t>
      </w:r>
      <w:r w:rsidR="00343547" w:rsidRPr="00D924D2">
        <w:rPr>
          <w:szCs w:val="19"/>
          <w:lang w:val="en-US"/>
        </w:rPr>
        <w:t>chelor Institute of Indigenous Tertiary Education in the Northern Territory has both formal VET status (</w:t>
      </w:r>
      <w:r>
        <w:rPr>
          <w:szCs w:val="19"/>
          <w:lang w:val="en-US"/>
        </w:rPr>
        <w:t>that is,</w:t>
      </w:r>
      <w:r w:rsidR="00343547" w:rsidRPr="00D924D2">
        <w:rPr>
          <w:szCs w:val="19"/>
          <w:lang w:val="en-US"/>
        </w:rPr>
        <w:t xml:space="preserve"> a </w:t>
      </w:r>
      <w:r w:rsidRPr="00D924D2">
        <w:rPr>
          <w:szCs w:val="19"/>
          <w:lang w:val="en-US"/>
        </w:rPr>
        <w:t xml:space="preserve">registered training </w:t>
      </w:r>
      <w:proofErr w:type="spellStart"/>
      <w:r w:rsidRPr="00D924D2">
        <w:rPr>
          <w:szCs w:val="19"/>
          <w:lang w:val="en-US"/>
        </w:rPr>
        <w:t>organisation</w:t>
      </w:r>
      <w:proofErr w:type="spellEnd"/>
      <w:r>
        <w:rPr>
          <w:szCs w:val="19"/>
          <w:lang w:val="en-US"/>
        </w:rPr>
        <w:t>)</w:t>
      </w:r>
      <w:r w:rsidR="00343547" w:rsidRPr="00D924D2">
        <w:rPr>
          <w:szCs w:val="19"/>
          <w:lang w:val="en-US"/>
        </w:rPr>
        <w:t xml:space="preserve"> and self-accrediting higher education status through spe</w:t>
      </w:r>
      <w:r>
        <w:rPr>
          <w:szCs w:val="19"/>
          <w:lang w:val="en-US"/>
        </w:rPr>
        <w:t>cial legislation, as do the dual-</w:t>
      </w:r>
      <w:r w:rsidR="00343547" w:rsidRPr="00D924D2">
        <w:rPr>
          <w:szCs w:val="19"/>
          <w:lang w:val="en-US"/>
        </w:rPr>
        <w:t>sector providers already noted. Today,</w:t>
      </w:r>
      <w:r w:rsidR="00343547" w:rsidRPr="00D924D2">
        <w:rPr>
          <w:szCs w:val="19"/>
        </w:rPr>
        <w:t xml:space="preserve"> </w:t>
      </w:r>
      <w:r>
        <w:rPr>
          <w:szCs w:val="19"/>
        </w:rPr>
        <w:t>20</w:t>
      </w:r>
      <w:r w:rsidR="00343547" w:rsidRPr="00D924D2">
        <w:rPr>
          <w:szCs w:val="19"/>
        </w:rPr>
        <w:t xml:space="preserve"> universities are </w:t>
      </w:r>
      <w:r w:rsidR="00BF06CD">
        <w:rPr>
          <w:szCs w:val="19"/>
        </w:rPr>
        <w:t xml:space="preserve">also </w:t>
      </w:r>
      <w:r w:rsidR="00343547" w:rsidRPr="00D924D2">
        <w:rPr>
          <w:szCs w:val="19"/>
        </w:rPr>
        <w:t>registered as registered</w:t>
      </w:r>
      <w:r w:rsidR="00BF06CD">
        <w:rPr>
          <w:szCs w:val="19"/>
        </w:rPr>
        <w:t xml:space="preserve"> training organisations</w:t>
      </w:r>
      <w:r w:rsidR="00343547" w:rsidRPr="00D924D2">
        <w:rPr>
          <w:szCs w:val="19"/>
        </w:rPr>
        <w:t xml:space="preserve">, and of the </w:t>
      </w:r>
      <w:r w:rsidR="00B3404A">
        <w:rPr>
          <w:szCs w:val="19"/>
        </w:rPr>
        <w:t>61</w:t>
      </w:r>
      <w:r w:rsidR="00343547" w:rsidRPr="00D924D2">
        <w:rPr>
          <w:szCs w:val="19"/>
        </w:rPr>
        <w:t xml:space="preserve"> TAFE</w:t>
      </w:r>
      <w:r>
        <w:rPr>
          <w:szCs w:val="19"/>
        </w:rPr>
        <w:t xml:space="preserve"> institute</w:t>
      </w:r>
      <w:r w:rsidR="00343547" w:rsidRPr="00D924D2">
        <w:rPr>
          <w:szCs w:val="19"/>
        </w:rPr>
        <w:t xml:space="preserve">s, more than </w:t>
      </w:r>
      <w:r>
        <w:rPr>
          <w:szCs w:val="19"/>
        </w:rPr>
        <w:t>20</w:t>
      </w:r>
      <w:r w:rsidR="00343547" w:rsidRPr="00D924D2">
        <w:rPr>
          <w:szCs w:val="19"/>
        </w:rPr>
        <w:t xml:space="preserve"> are offering higher education qu</w:t>
      </w:r>
      <w:r>
        <w:rPr>
          <w:szCs w:val="19"/>
        </w:rPr>
        <w:t>alifications (Dow &amp; Braithwaite</w:t>
      </w:r>
      <w:r w:rsidR="00343547" w:rsidRPr="00D924D2">
        <w:rPr>
          <w:szCs w:val="19"/>
        </w:rPr>
        <w:t xml:space="preserve"> 2013).</w:t>
      </w:r>
    </w:p>
    <w:p w:rsidR="004422A0" w:rsidRDefault="00343547" w:rsidP="00643B69">
      <w:pPr>
        <w:pStyle w:val="Text"/>
        <w:rPr>
          <w:lang w:val="en-US"/>
        </w:rPr>
      </w:pPr>
      <w:r>
        <w:rPr>
          <w:lang w:val="en-US"/>
        </w:rPr>
        <w:t>The</w:t>
      </w:r>
      <w:r w:rsidR="00643B69" w:rsidRPr="00643B69">
        <w:rPr>
          <w:lang w:val="en-US"/>
        </w:rPr>
        <w:t xml:space="preserve"> higher education sector is being encouraged to shift from a traditional, supply-led approach</w:t>
      </w:r>
      <w:r w:rsidR="007F79F3">
        <w:rPr>
          <w:lang w:val="en-US"/>
        </w:rPr>
        <w:t>, whereby</w:t>
      </w:r>
      <w:r w:rsidR="00643B69" w:rsidRPr="00643B69">
        <w:rPr>
          <w:lang w:val="en-US"/>
        </w:rPr>
        <w:t xml:space="preserve"> governments promote education through funding allocations, to a more responsive system. </w:t>
      </w:r>
      <w:r w:rsidR="004422A0">
        <w:rPr>
          <w:lang w:val="en-US"/>
        </w:rPr>
        <w:t xml:space="preserve">In </w:t>
      </w:r>
      <w:r w:rsidR="00643B69" w:rsidRPr="00643B69">
        <w:rPr>
          <w:lang w:val="en-US"/>
        </w:rPr>
        <w:t xml:space="preserve">2012 </w:t>
      </w:r>
      <w:r w:rsidR="004422A0">
        <w:rPr>
          <w:lang w:val="en-US"/>
        </w:rPr>
        <w:t xml:space="preserve">we witnessed the </w:t>
      </w:r>
      <w:r w:rsidR="007F79F3">
        <w:rPr>
          <w:lang w:val="en-US"/>
        </w:rPr>
        <w:t>first year of a demand-</w:t>
      </w:r>
      <w:r w:rsidR="00643B69" w:rsidRPr="00643B69">
        <w:rPr>
          <w:lang w:val="en-US"/>
        </w:rPr>
        <w:t>driven funding system in higher education</w:t>
      </w:r>
      <w:r w:rsidR="001E6D2B">
        <w:rPr>
          <w:lang w:val="en-US"/>
        </w:rPr>
        <w:t>.</w:t>
      </w:r>
      <w:r w:rsidR="00643B69" w:rsidRPr="00643B69">
        <w:rPr>
          <w:lang w:val="en-US"/>
        </w:rPr>
        <w:t xml:space="preserve"> This student demand-driven system permits public universities to compete for Commonwealth funding on the basis of student demand. These developments are further shaping how higher education providers and VET institutions operate, collaborate or compete. </w:t>
      </w:r>
    </w:p>
    <w:p w:rsidR="00C376D1" w:rsidRPr="00160E67" w:rsidRDefault="00643B69" w:rsidP="00C376D1">
      <w:pPr>
        <w:pStyle w:val="Text"/>
        <w:rPr>
          <w:lang w:val="en-US"/>
        </w:rPr>
      </w:pPr>
      <w:r w:rsidRPr="00643B69">
        <w:rPr>
          <w:lang w:val="en-US"/>
        </w:rPr>
        <w:t xml:space="preserve">In addition, </w:t>
      </w:r>
      <w:r w:rsidR="00B3404A">
        <w:rPr>
          <w:lang w:val="en-US"/>
        </w:rPr>
        <w:t xml:space="preserve">in a number of states </w:t>
      </w:r>
      <w:r w:rsidRPr="00643B69">
        <w:rPr>
          <w:lang w:val="en-US"/>
        </w:rPr>
        <w:t>TAFE institutes and several private VET prov</w:t>
      </w:r>
      <w:r w:rsidR="007F79F3">
        <w:rPr>
          <w:lang w:val="en-US"/>
        </w:rPr>
        <w:t>iders offer</w:t>
      </w:r>
      <w:r w:rsidRPr="00643B69">
        <w:rPr>
          <w:lang w:val="en-US"/>
        </w:rPr>
        <w:t xml:space="preserve"> associate and bachelo</w:t>
      </w:r>
      <w:r w:rsidR="00555B10">
        <w:rPr>
          <w:lang w:val="en-US"/>
        </w:rPr>
        <w:t>r degrees</w:t>
      </w:r>
      <w:r w:rsidRPr="00643B69">
        <w:rPr>
          <w:lang w:val="en-US"/>
        </w:rPr>
        <w:t>. Of the 61 TAFE</w:t>
      </w:r>
      <w:r w:rsidR="007F79F3">
        <w:rPr>
          <w:lang w:val="en-US"/>
        </w:rPr>
        <w:t xml:space="preserve"> institute</w:t>
      </w:r>
      <w:r w:rsidRPr="00643B69">
        <w:rPr>
          <w:lang w:val="en-US"/>
        </w:rPr>
        <w:t xml:space="preserve">s, more than 20 </w:t>
      </w:r>
      <w:r w:rsidR="007F79F3">
        <w:rPr>
          <w:lang w:val="en-US"/>
        </w:rPr>
        <w:t>offered</w:t>
      </w:r>
      <w:r w:rsidRPr="00643B69">
        <w:rPr>
          <w:lang w:val="en-US"/>
        </w:rPr>
        <w:t xml:space="preserve"> higher education qualifications in 2010. </w:t>
      </w:r>
      <w:proofErr w:type="gramStart"/>
      <w:r w:rsidR="00487375" w:rsidRPr="00643B69">
        <w:rPr>
          <w:lang w:val="en-US"/>
        </w:rPr>
        <w:t xml:space="preserve">However, as Moodie and his associates </w:t>
      </w:r>
      <w:r w:rsidR="00DA1070" w:rsidRPr="0090075B">
        <w:rPr>
          <w:lang w:val="en-US"/>
        </w:rPr>
        <w:t xml:space="preserve">reported </w:t>
      </w:r>
      <w:r w:rsidR="00C376D1" w:rsidRPr="0090075B">
        <w:rPr>
          <w:lang w:val="en-US"/>
        </w:rPr>
        <w:t>(</w:t>
      </w:r>
      <w:r w:rsidR="0090075B" w:rsidRPr="0090075B">
        <w:rPr>
          <w:lang w:val="en-US"/>
        </w:rPr>
        <w:t>Moodie et al. 2009</w:t>
      </w:r>
      <w:r w:rsidR="00DA1070">
        <w:rPr>
          <w:lang w:val="en-US"/>
        </w:rPr>
        <w:t>; Moodie &amp; Fredman 2013</w:t>
      </w:r>
      <w:r w:rsidR="00C376D1" w:rsidRPr="00DA1070">
        <w:rPr>
          <w:lang w:val="en-US"/>
        </w:rPr>
        <w:t>)</w:t>
      </w:r>
      <w:r w:rsidR="00487375" w:rsidRPr="00DA1070">
        <w:rPr>
          <w:lang w:val="en-US"/>
        </w:rPr>
        <w:t>,</w:t>
      </w:r>
      <w:r w:rsidR="00487375" w:rsidRPr="00643B69">
        <w:rPr>
          <w:lang w:val="en-US"/>
        </w:rPr>
        <w:t xml:space="preserve"> while TAFE institutes have broadened and expanded into higher education programs, participation in </w:t>
      </w:r>
      <w:r w:rsidR="007F79F3">
        <w:rPr>
          <w:lang w:val="en-US"/>
        </w:rPr>
        <w:t>these</w:t>
      </w:r>
      <w:r w:rsidR="00487375" w:rsidRPr="00643B69">
        <w:rPr>
          <w:lang w:val="en-US"/>
        </w:rPr>
        <w:t xml:space="preserve"> programs in TAFE is still small.</w:t>
      </w:r>
      <w:proofErr w:type="gramEnd"/>
      <w:r w:rsidR="00487375" w:rsidRPr="00643B69">
        <w:rPr>
          <w:lang w:val="en-US"/>
        </w:rPr>
        <w:t xml:space="preserve"> At the time of their report, Moodie and his associates estimated TAFE institutes’ enrolments in associate and bachelor degree programs to be fewer than 2000 students or 0.12% of total vocational education enrolments of 1.6 million students</w:t>
      </w:r>
      <w:r w:rsidR="00487375">
        <w:rPr>
          <w:lang w:val="en-US"/>
        </w:rPr>
        <w:t xml:space="preserve">. </w:t>
      </w:r>
      <w:r w:rsidR="00487375" w:rsidRPr="00643B69">
        <w:rPr>
          <w:lang w:val="en-US"/>
        </w:rPr>
        <w:t xml:space="preserve">Significantly, this provision </w:t>
      </w:r>
      <w:r w:rsidR="00487375">
        <w:rPr>
          <w:lang w:val="en-US"/>
        </w:rPr>
        <w:t>wa</w:t>
      </w:r>
      <w:r w:rsidR="00487375" w:rsidRPr="00643B69">
        <w:rPr>
          <w:lang w:val="en-US"/>
        </w:rPr>
        <w:t>s expected to increase in response to the policies of the Australia</w:t>
      </w:r>
      <w:r w:rsidR="00555B10">
        <w:rPr>
          <w:lang w:val="en-US"/>
        </w:rPr>
        <w:t>n and s</w:t>
      </w:r>
      <w:r w:rsidR="00B3404A">
        <w:rPr>
          <w:lang w:val="en-US"/>
        </w:rPr>
        <w:t>tate governments, which</w:t>
      </w:r>
      <w:r w:rsidR="005477FB">
        <w:rPr>
          <w:lang w:val="en-US"/>
        </w:rPr>
        <w:t xml:space="preserve"> </w:t>
      </w:r>
      <w:r w:rsidR="00487375" w:rsidRPr="00643B69">
        <w:rPr>
          <w:lang w:val="en-US"/>
        </w:rPr>
        <w:t>encourag</w:t>
      </w:r>
      <w:r w:rsidR="005477FB">
        <w:rPr>
          <w:lang w:val="en-US"/>
        </w:rPr>
        <w:t>ed</w:t>
      </w:r>
      <w:r w:rsidR="00487375" w:rsidRPr="00643B69">
        <w:rPr>
          <w:lang w:val="en-US"/>
        </w:rPr>
        <w:t xml:space="preserve"> more diversity and competition among al</w:t>
      </w:r>
      <w:r w:rsidR="00487375">
        <w:rPr>
          <w:lang w:val="en-US"/>
        </w:rPr>
        <w:t xml:space="preserve">l educational providers in the tertiary education </w:t>
      </w:r>
      <w:r w:rsidR="00AB16FE">
        <w:rPr>
          <w:lang w:val="en-US"/>
        </w:rPr>
        <w:t>space</w:t>
      </w:r>
      <w:r w:rsidR="00487375" w:rsidRPr="00643B69">
        <w:rPr>
          <w:lang w:val="en-US"/>
        </w:rPr>
        <w:t xml:space="preserve"> at the diploma to bachelor degree levels.</w:t>
      </w:r>
      <w:r w:rsidR="00487375">
        <w:rPr>
          <w:lang w:val="en-US"/>
        </w:rPr>
        <w:t xml:space="preserve"> </w:t>
      </w:r>
      <w:r w:rsidR="00C376D1">
        <w:rPr>
          <w:lang w:val="en-US"/>
        </w:rPr>
        <w:t>Indeed,</w:t>
      </w:r>
      <w:r w:rsidR="00C376D1" w:rsidRPr="00C376D1">
        <w:rPr>
          <w:lang w:val="en-US"/>
        </w:rPr>
        <w:t xml:space="preserve"> </w:t>
      </w:r>
      <w:proofErr w:type="spellStart"/>
      <w:r w:rsidR="00C376D1" w:rsidRPr="00643B69">
        <w:rPr>
          <w:lang w:val="en-US"/>
        </w:rPr>
        <w:t>IBISWorld</w:t>
      </w:r>
      <w:proofErr w:type="spellEnd"/>
      <w:r w:rsidR="00C376D1" w:rsidRPr="00643B69">
        <w:rPr>
          <w:lang w:val="en-US"/>
        </w:rPr>
        <w:t xml:space="preserve"> (2013) reports that </w:t>
      </w:r>
      <w:r w:rsidR="00C376D1">
        <w:rPr>
          <w:lang w:val="en-US"/>
        </w:rPr>
        <w:t>the overall</w:t>
      </w:r>
      <w:r w:rsidR="00C376D1" w:rsidRPr="00643B69">
        <w:rPr>
          <w:lang w:val="en-US"/>
        </w:rPr>
        <w:t xml:space="preserve"> enrolment in associate degree courses has increased dramatically in the past five years, with the number of students taking associate degrees jumping over 250% between 2007 and 2011</w:t>
      </w:r>
      <w:r w:rsidR="00C376D1">
        <w:rPr>
          <w:lang w:val="en-US"/>
        </w:rPr>
        <w:t>.</w:t>
      </w:r>
      <w:r w:rsidR="00C376D1" w:rsidRPr="00FB3624">
        <w:rPr>
          <w:lang w:val="en-US"/>
        </w:rPr>
        <w:t xml:space="preserve"> </w:t>
      </w:r>
      <w:r w:rsidR="00AB16FE">
        <w:rPr>
          <w:lang w:val="en-US"/>
        </w:rPr>
        <w:t>However, l</w:t>
      </w:r>
      <w:r w:rsidR="00C376D1" w:rsidRPr="00643B69">
        <w:rPr>
          <w:lang w:val="en-US"/>
        </w:rPr>
        <w:t xml:space="preserve">ooking ahead, </w:t>
      </w:r>
      <w:proofErr w:type="spellStart"/>
      <w:r w:rsidR="00C376D1" w:rsidRPr="00643B69">
        <w:rPr>
          <w:lang w:val="en-US"/>
        </w:rPr>
        <w:t>IBISWorld</w:t>
      </w:r>
      <w:proofErr w:type="spellEnd"/>
      <w:r w:rsidR="00C376D1" w:rsidRPr="00643B69">
        <w:rPr>
          <w:lang w:val="en-US"/>
        </w:rPr>
        <w:t xml:space="preserve"> (2013) predicts that the extraordinary growth of the past </w:t>
      </w:r>
      <w:r w:rsidR="00AB16FE">
        <w:rPr>
          <w:lang w:val="en-US"/>
        </w:rPr>
        <w:t>will not</w:t>
      </w:r>
      <w:r w:rsidR="00C376D1" w:rsidRPr="00643B69">
        <w:rPr>
          <w:lang w:val="en-US"/>
        </w:rPr>
        <w:t xml:space="preserve"> be sustained, and they report data already indicating a slowing dema</w:t>
      </w:r>
      <w:r w:rsidR="0090094C">
        <w:rPr>
          <w:lang w:val="en-US"/>
        </w:rPr>
        <w:t xml:space="preserve">nd for </w:t>
      </w:r>
      <w:r w:rsidR="00C376D1" w:rsidRPr="00643B69">
        <w:rPr>
          <w:lang w:val="en-US"/>
        </w:rPr>
        <w:t>associate degrees.</w:t>
      </w:r>
    </w:p>
    <w:p w:rsidR="00160E67" w:rsidRDefault="005477FB" w:rsidP="000448CC">
      <w:pPr>
        <w:pStyle w:val="Heading2"/>
        <w:rPr>
          <w:lang w:val="en-US"/>
        </w:rPr>
      </w:pPr>
      <w:bookmarkStart w:id="30" w:name="_Toc369178814"/>
      <w:r>
        <w:rPr>
          <w:lang w:val="en-US"/>
        </w:rPr>
        <w:lastRenderedPageBreak/>
        <w:t>Qualifications at the VET-</w:t>
      </w:r>
      <w:r w:rsidR="00160E67" w:rsidRPr="00160E67">
        <w:rPr>
          <w:lang w:val="en-US"/>
        </w:rPr>
        <w:t>higher education interface</w:t>
      </w:r>
      <w:bookmarkEnd w:id="30"/>
    </w:p>
    <w:p w:rsidR="00B4281D" w:rsidRDefault="00160E67" w:rsidP="00160E67">
      <w:pPr>
        <w:pStyle w:val="Text"/>
        <w:rPr>
          <w:lang w:val="en-US"/>
        </w:rPr>
      </w:pPr>
      <w:r w:rsidRPr="00160E67">
        <w:rPr>
          <w:lang w:val="en-US"/>
        </w:rPr>
        <w:t>It is at levels 5 through to 7 of the Australia</w:t>
      </w:r>
      <w:r w:rsidR="000448CC">
        <w:rPr>
          <w:lang w:val="en-US"/>
        </w:rPr>
        <w:t>n Qualifications Framework (AQF</w:t>
      </w:r>
      <w:r w:rsidRPr="00160E67">
        <w:rPr>
          <w:lang w:val="en-US"/>
        </w:rPr>
        <w:t xml:space="preserve"> 2011) that VET providers and higher education providers </w:t>
      </w:r>
      <w:r w:rsidR="005477FB">
        <w:rPr>
          <w:lang w:val="en-US"/>
        </w:rPr>
        <w:t>overlap. Australia has both VET-</w:t>
      </w:r>
      <w:r w:rsidRPr="00160E67">
        <w:rPr>
          <w:lang w:val="en-US"/>
        </w:rPr>
        <w:t xml:space="preserve">accredited and </w:t>
      </w:r>
      <w:r w:rsidR="00B3404A">
        <w:rPr>
          <w:lang w:val="en-US"/>
        </w:rPr>
        <w:t>-</w:t>
      </w:r>
      <w:r w:rsidRPr="00160E67">
        <w:rPr>
          <w:lang w:val="en-US"/>
        </w:rPr>
        <w:t>delivered diplomas and advance</w:t>
      </w:r>
      <w:r w:rsidR="00B3404A">
        <w:rPr>
          <w:lang w:val="en-US"/>
        </w:rPr>
        <w:t>d diplomas and higher education-</w:t>
      </w:r>
      <w:r w:rsidRPr="00160E67">
        <w:rPr>
          <w:lang w:val="en-US"/>
        </w:rPr>
        <w:t>accredited diplomas and advanced diplomas</w:t>
      </w:r>
      <w:r w:rsidR="005477FB">
        <w:rPr>
          <w:lang w:val="en-US"/>
        </w:rPr>
        <w:t>, which</w:t>
      </w:r>
      <w:r w:rsidRPr="00160E67">
        <w:rPr>
          <w:lang w:val="en-US"/>
        </w:rPr>
        <w:t xml:space="preserve"> sit respectively at </w:t>
      </w:r>
      <w:r w:rsidR="008C4F72">
        <w:rPr>
          <w:lang w:val="en-US"/>
        </w:rPr>
        <w:t xml:space="preserve">AQF level 5 and </w:t>
      </w:r>
      <w:proofErr w:type="gramStart"/>
      <w:r w:rsidR="008C4F72">
        <w:rPr>
          <w:lang w:val="en-US"/>
        </w:rPr>
        <w:t>AQF</w:t>
      </w:r>
      <w:proofErr w:type="gramEnd"/>
      <w:r w:rsidR="008C4F72">
        <w:rPr>
          <w:lang w:val="en-US"/>
        </w:rPr>
        <w:t xml:space="preserve"> level 6.</w:t>
      </w:r>
      <w:r w:rsidR="00B45FAD">
        <w:rPr>
          <w:lang w:val="en-US"/>
        </w:rPr>
        <w:t xml:space="preserve"> </w:t>
      </w:r>
      <w:r w:rsidRPr="00160E67">
        <w:rPr>
          <w:lang w:val="en-US"/>
        </w:rPr>
        <w:t>The diploma</w:t>
      </w:r>
      <w:r w:rsidR="005477FB">
        <w:rPr>
          <w:lang w:val="en-US"/>
        </w:rPr>
        <w:t xml:space="preserve"> and advanced diploma are crossover or dual-</w:t>
      </w:r>
      <w:r w:rsidRPr="00160E67">
        <w:rPr>
          <w:lang w:val="en-US"/>
        </w:rPr>
        <w:t xml:space="preserve">sector qualifications. Also at AQF level 6 is </w:t>
      </w:r>
      <w:r w:rsidR="008C4F72">
        <w:rPr>
          <w:lang w:val="en-US"/>
        </w:rPr>
        <w:t>the</w:t>
      </w:r>
      <w:r w:rsidRPr="00160E67">
        <w:rPr>
          <w:lang w:val="en-US"/>
        </w:rPr>
        <w:t xml:space="preserve"> relatively new qualification, the associate degree, endorsed by the Ministerial Council on Education, Employment, Training and Youth Affairs (MCEETYA) in 2003. The associate degree is accredited as a higher education qualification. The successful growth of associate degrees is a new and key strategy to achieving the bache</w:t>
      </w:r>
      <w:r w:rsidR="008C4F72">
        <w:rPr>
          <w:lang w:val="en-US"/>
        </w:rPr>
        <w:t>lor degree achievement targets at AQF level 7</w:t>
      </w:r>
      <w:r w:rsidRPr="00160E67">
        <w:rPr>
          <w:lang w:val="en-US"/>
        </w:rPr>
        <w:t xml:space="preserve">, </w:t>
      </w:r>
      <w:r w:rsidR="008C4F72">
        <w:rPr>
          <w:lang w:val="en-US"/>
        </w:rPr>
        <w:t>and</w:t>
      </w:r>
      <w:r w:rsidRPr="00160E67">
        <w:rPr>
          <w:lang w:val="en-US"/>
        </w:rPr>
        <w:t xml:space="preserve"> potentially </w:t>
      </w:r>
      <w:r w:rsidR="008C4F72">
        <w:rPr>
          <w:lang w:val="en-US"/>
        </w:rPr>
        <w:t xml:space="preserve">the associate degree </w:t>
      </w:r>
      <w:r w:rsidRPr="00160E67">
        <w:rPr>
          <w:lang w:val="en-US"/>
        </w:rPr>
        <w:t>is in competition with the diplomas and advanced diplomas of both sectors.</w:t>
      </w:r>
      <w:r w:rsidR="00B45FAD">
        <w:rPr>
          <w:lang w:val="en-US"/>
        </w:rPr>
        <w:t xml:space="preserve"> </w:t>
      </w:r>
    </w:p>
    <w:p w:rsidR="00160E67" w:rsidRPr="00160E67" w:rsidRDefault="00160E67" w:rsidP="00160E67">
      <w:pPr>
        <w:pStyle w:val="Text"/>
        <w:rPr>
          <w:lang w:val="en-US"/>
        </w:rPr>
      </w:pPr>
      <w:r w:rsidRPr="00160E67">
        <w:rPr>
          <w:lang w:val="en-US"/>
        </w:rPr>
        <w:t>Turning to outcomes, the relationship between employment outcomes and higher-level diploma and advanced VET qualifications is complex. As noted by</w:t>
      </w:r>
      <w:r w:rsidR="00341A54">
        <w:rPr>
          <w:lang w:val="en-US"/>
        </w:rPr>
        <w:t xml:space="preserve"> Foster and her associates </w:t>
      </w:r>
      <w:r w:rsidR="00341A54" w:rsidRPr="00C44507">
        <w:rPr>
          <w:lang w:val="en-US"/>
        </w:rPr>
        <w:t>(2007</w:t>
      </w:r>
      <w:r w:rsidR="00DA1070" w:rsidRPr="00C44507">
        <w:rPr>
          <w:lang w:val="en-US"/>
        </w:rPr>
        <w:t>)</w:t>
      </w:r>
      <w:r w:rsidRPr="00C44507">
        <w:rPr>
          <w:lang w:val="en-US"/>
        </w:rPr>
        <w:t>,</w:t>
      </w:r>
      <w:r w:rsidRPr="00160E67">
        <w:rPr>
          <w:lang w:val="en-US"/>
        </w:rPr>
        <w:t xml:space="preserve"> higher-level VET qualifications are aligned to employment at the associate professional level of occupations. However, growth in these occupations is not matched by growth in participation in higher-level VET qualifications, and in recent times enrolments in h</w:t>
      </w:r>
      <w:r w:rsidR="00493162">
        <w:rPr>
          <w:lang w:val="en-US"/>
        </w:rPr>
        <w:t xml:space="preserve">igher-level VET have declined. </w:t>
      </w:r>
      <w:r w:rsidRPr="00160E67">
        <w:rPr>
          <w:lang w:val="en-US"/>
        </w:rPr>
        <w:t>In addition, while graduates of higher-level VET qualifications do gain employment at a higher rate than do other VET graduates, their employment can be in lower positions. As entry-level job applicants with a higher-level VET qualification, they compete against existing workers with high levels of technica</w:t>
      </w:r>
      <w:r w:rsidR="00B3404A">
        <w:rPr>
          <w:lang w:val="en-US"/>
        </w:rPr>
        <w:t>l competence and job experience</w:t>
      </w:r>
      <w:r w:rsidRPr="00160E67">
        <w:rPr>
          <w:lang w:val="en-US"/>
        </w:rPr>
        <w:t xml:space="preserve"> and with university bachelor degree graduates. On a more positive note, employers link the completion of higher-level VET qualifications </w:t>
      </w:r>
      <w:r w:rsidR="00B3404A">
        <w:rPr>
          <w:lang w:val="en-US"/>
        </w:rPr>
        <w:t>to</w:t>
      </w:r>
      <w:r w:rsidRPr="00160E67">
        <w:rPr>
          <w:lang w:val="en-US"/>
        </w:rPr>
        <w:t xml:space="preserve"> job applicants who have better skills in communication, teamwork, self-management and problem-solving. </w:t>
      </w:r>
    </w:p>
    <w:p w:rsidR="00160E67" w:rsidRDefault="00160E67" w:rsidP="00160E67">
      <w:pPr>
        <w:pStyle w:val="Text"/>
        <w:rPr>
          <w:lang w:val="en-US"/>
        </w:rPr>
      </w:pPr>
      <w:r w:rsidRPr="00160E67">
        <w:rPr>
          <w:lang w:val="en-US"/>
        </w:rPr>
        <w:t xml:space="preserve">Karmel and Lu (2012) have provided an interesting analysis of the choices made by students between </w:t>
      </w:r>
      <w:proofErr w:type="gramStart"/>
      <w:r w:rsidR="00493162">
        <w:rPr>
          <w:lang w:val="en-US"/>
        </w:rPr>
        <w:t>undertaking</w:t>
      </w:r>
      <w:proofErr w:type="gramEnd"/>
      <w:r w:rsidRPr="00160E67">
        <w:rPr>
          <w:lang w:val="en-US"/>
        </w:rPr>
        <w:t xml:space="preserve"> a VET advanced diploma and an associate degree. Central to their analysis is the interplay between FEE-HELP, career aspirations, available curriculum and credit transfer. They found that a VET advanced diploma is a substantially cheaper proposition than a higher education associate degree. The advanced diploma is very attractive for a student seeking a two-year qualification for immediate entry to the </w:t>
      </w:r>
      <w:proofErr w:type="spellStart"/>
      <w:r w:rsidRPr="00160E67">
        <w:rPr>
          <w:lang w:val="en-US"/>
        </w:rPr>
        <w:t>labour</w:t>
      </w:r>
      <w:proofErr w:type="spellEnd"/>
      <w:r w:rsidRPr="00160E67">
        <w:rPr>
          <w:lang w:val="en-US"/>
        </w:rPr>
        <w:t xml:space="preserve"> market. If the student decides to articulate into a four-year degree, the associate degree is the better proposition</w:t>
      </w:r>
      <w:r w:rsidR="00493162">
        <w:rPr>
          <w:lang w:val="en-US"/>
        </w:rPr>
        <w:t>,</w:t>
      </w:r>
      <w:r w:rsidRPr="00160E67">
        <w:rPr>
          <w:lang w:val="en-US"/>
        </w:rPr>
        <w:t xml:space="preserve"> as it is given more credit in a degree program. According to Karmel and Lu (201</w:t>
      </w:r>
      <w:r w:rsidR="000448CC">
        <w:rPr>
          <w:lang w:val="en-US"/>
        </w:rPr>
        <w:t>2</w:t>
      </w:r>
      <w:r w:rsidRPr="00160E67">
        <w:rPr>
          <w:lang w:val="en-US"/>
        </w:rPr>
        <w:t xml:space="preserve">), </w:t>
      </w:r>
      <w:r w:rsidR="008C4F72">
        <w:rPr>
          <w:lang w:val="en-US"/>
        </w:rPr>
        <w:t>looking ahead</w:t>
      </w:r>
      <w:r w:rsidR="004C300D">
        <w:rPr>
          <w:lang w:val="en-US"/>
        </w:rPr>
        <w:t>,</w:t>
      </w:r>
      <w:r w:rsidR="008C4F72">
        <w:rPr>
          <w:lang w:val="en-US"/>
        </w:rPr>
        <w:t xml:space="preserve"> </w:t>
      </w:r>
      <w:r w:rsidRPr="00160E67">
        <w:rPr>
          <w:lang w:val="en-US"/>
        </w:rPr>
        <w:t>the advanced diploma will need to be restructured if it is to provide as much credit as the associate degree.</w:t>
      </w:r>
    </w:p>
    <w:p w:rsidR="00160E67" w:rsidRDefault="00555B10" w:rsidP="00160E67">
      <w:pPr>
        <w:pStyle w:val="Heading2"/>
        <w:rPr>
          <w:lang w:val="en-US"/>
        </w:rPr>
      </w:pPr>
      <w:bookmarkStart w:id="31" w:name="_Toc369178815"/>
      <w:r>
        <w:rPr>
          <w:lang w:val="en-US"/>
        </w:rPr>
        <w:t xml:space="preserve">Changing nature of </w:t>
      </w:r>
      <w:r w:rsidR="00C44507">
        <w:rPr>
          <w:lang w:val="en-US"/>
        </w:rPr>
        <w:t>vocational education and training</w:t>
      </w:r>
      <w:r>
        <w:rPr>
          <w:lang w:val="en-US"/>
        </w:rPr>
        <w:t xml:space="preserve"> and u</w:t>
      </w:r>
      <w:r w:rsidR="00160E67" w:rsidRPr="00160E67">
        <w:rPr>
          <w:lang w:val="en-US"/>
        </w:rPr>
        <w:t>niversity</w:t>
      </w:r>
      <w:bookmarkEnd w:id="31"/>
    </w:p>
    <w:p w:rsidR="00160E67" w:rsidRPr="00160E67" w:rsidRDefault="00160E67" w:rsidP="00160E67">
      <w:pPr>
        <w:pStyle w:val="Text"/>
        <w:rPr>
          <w:lang w:val="en-US"/>
        </w:rPr>
      </w:pPr>
      <w:r w:rsidRPr="00160E67">
        <w:rPr>
          <w:lang w:val="en-US"/>
        </w:rPr>
        <w:t xml:space="preserve">Various commentators reflect that a university education provides students with </w:t>
      </w:r>
      <w:proofErr w:type="gramStart"/>
      <w:r w:rsidR="00B3404A">
        <w:rPr>
          <w:lang w:val="en-US"/>
        </w:rPr>
        <w:t xml:space="preserve">a </w:t>
      </w:r>
      <w:r w:rsidRPr="00160E67">
        <w:rPr>
          <w:lang w:val="en-US"/>
        </w:rPr>
        <w:t>grounding</w:t>
      </w:r>
      <w:proofErr w:type="gramEnd"/>
      <w:r w:rsidRPr="00160E67">
        <w:rPr>
          <w:lang w:val="en-US"/>
        </w:rPr>
        <w:t xml:space="preserve"> in relevant academic and professional knowledge, preparing them for professional practice (</w:t>
      </w:r>
      <w:r w:rsidR="00493162">
        <w:rPr>
          <w:lang w:val="en-US"/>
        </w:rPr>
        <w:t>for example,</w:t>
      </w:r>
      <w:r w:rsidR="008C4F72">
        <w:rPr>
          <w:lang w:val="en-US"/>
        </w:rPr>
        <w:t xml:space="preserve"> </w:t>
      </w:r>
      <w:r w:rsidR="000448CC">
        <w:rPr>
          <w:lang w:val="en-US"/>
        </w:rPr>
        <w:t>Young</w:t>
      </w:r>
      <w:r w:rsidRPr="00160E67">
        <w:rPr>
          <w:lang w:val="en-US"/>
        </w:rPr>
        <w:t xml:space="preserve"> 2008). Universities promote higher education </w:t>
      </w:r>
      <w:r w:rsidR="00493162">
        <w:rPr>
          <w:lang w:val="en-US"/>
        </w:rPr>
        <w:t>as</w:t>
      </w:r>
      <w:r w:rsidRPr="00160E67">
        <w:rPr>
          <w:lang w:val="en-US"/>
        </w:rPr>
        <w:t xml:space="preserve"> creating and transferring knowledge. This new k</w:t>
      </w:r>
      <w:r w:rsidR="00E93B50">
        <w:rPr>
          <w:lang w:val="en-US"/>
        </w:rPr>
        <w:t>nowledge needs to be of a world-</w:t>
      </w:r>
      <w:r w:rsidRPr="00160E67">
        <w:rPr>
          <w:lang w:val="en-US"/>
        </w:rPr>
        <w:t>class standard, linked to an interface between ongoing research and relevant professional practice (Quee</w:t>
      </w:r>
      <w:r w:rsidR="000448CC">
        <w:rPr>
          <w:lang w:val="en-US"/>
        </w:rPr>
        <w:t>nsland University of Technology</w:t>
      </w:r>
      <w:r w:rsidR="00E93B50">
        <w:rPr>
          <w:lang w:val="en-US"/>
        </w:rPr>
        <w:t xml:space="preserve"> 2008). </w:t>
      </w:r>
      <w:r w:rsidRPr="00160E67">
        <w:rPr>
          <w:lang w:val="en-US"/>
        </w:rPr>
        <w:t>On the other hand, Karmel</w:t>
      </w:r>
      <w:r w:rsidR="00E93B50">
        <w:rPr>
          <w:lang w:val="en-US"/>
        </w:rPr>
        <w:t xml:space="preserve">, Mlotkowski </w:t>
      </w:r>
      <w:r w:rsidRPr="00160E67">
        <w:rPr>
          <w:lang w:val="en-US"/>
        </w:rPr>
        <w:t xml:space="preserve">and </w:t>
      </w:r>
      <w:proofErr w:type="spellStart"/>
      <w:r w:rsidR="00E93B50">
        <w:rPr>
          <w:lang w:val="en-US"/>
        </w:rPr>
        <w:t>Awodeyi</w:t>
      </w:r>
      <w:proofErr w:type="spellEnd"/>
      <w:r w:rsidRPr="00160E67">
        <w:rPr>
          <w:lang w:val="en-US"/>
        </w:rPr>
        <w:t xml:space="preserve"> (2008) assert: ‘Vocational education and training </w:t>
      </w:r>
      <w:r w:rsidR="00E93B50">
        <w:rPr>
          <w:lang w:val="en-US"/>
        </w:rPr>
        <w:t>…</w:t>
      </w:r>
      <w:r w:rsidRPr="00160E67">
        <w:rPr>
          <w:lang w:val="en-US"/>
        </w:rPr>
        <w:t xml:space="preserve"> is, by definition, vocational in intent. Its purpose is unashamedly instrumental; it is about acquiring skills to be used at work’ (p.7).</w:t>
      </w:r>
      <w:r w:rsidR="00B45FAD">
        <w:rPr>
          <w:lang w:val="en-US"/>
        </w:rPr>
        <w:t xml:space="preserve"> </w:t>
      </w:r>
    </w:p>
    <w:p w:rsidR="00160E67" w:rsidRPr="00160E67" w:rsidRDefault="00160E67" w:rsidP="00160E67">
      <w:pPr>
        <w:pStyle w:val="Text"/>
        <w:rPr>
          <w:lang w:val="en-US"/>
        </w:rPr>
      </w:pPr>
      <w:r w:rsidRPr="00160E67">
        <w:rPr>
          <w:lang w:val="en-US"/>
        </w:rPr>
        <w:t xml:space="preserve">Marron (2013) notes the differences between VET and higher education in his review of the attributes that would be brought together if </w:t>
      </w:r>
      <w:r w:rsidR="00E93B50">
        <w:rPr>
          <w:lang w:val="en-US"/>
        </w:rPr>
        <w:t>a</w:t>
      </w:r>
      <w:r w:rsidRPr="00160E67">
        <w:rPr>
          <w:lang w:val="en-US"/>
        </w:rPr>
        <w:t xml:space="preserve"> merger occurred between the University of Canberra and </w:t>
      </w:r>
      <w:r w:rsidR="00C44507">
        <w:rPr>
          <w:lang w:val="en-US"/>
        </w:rPr>
        <w:t xml:space="preserve">the </w:t>
      </w:r>
      <w:r w:rsidRPr="00160E67">
        <w:rPr>
          <w:lang w:val="en-US"/>
        </w:rPr>
        <w:t xml:space="preserve">Canberra Institute of Technology, a TAFE </w:t>
      </w:r>
      <w:proofErr w:type="spellStart"/>
      <w:r w:rsidRPr="00160E67">
        <w:rPr>
          <w:lang w:val="en-US"/>
        </w:rPr>
        <w:t>organisation</w:t>
      </w:r>
      <w:proofErr w:type="spellEnd"/>
      <w:r w:rsidRPr="00160E67">
        <w:rPr>
          <w:lang w:val="en-US"/>
        </w:rPr>
        <w:t xml:space="preserve">. </w:t>
      </w:r>
      <w:r w:rsidR="008C4F72">
        <w:rPr>
          <w:lang w:val="en-US"/>
        </w:rPr>
        <w:t>He notes that a</w:t>
      </w:r>
      <w:r w:rsidR="00555B10">
        <w:rPr>
          <w:lang w:val="en-US"/>
        </w:rPr>
        <w:t xml:space="preserve"> u</w:t>
      </w:r>
      <w:r w:rsidRPr="00160E67">
        <w:rPr>
          <w:lang w:val="en-US"/>
        </w:rPr>
        <w:t xml:space="preserve">niversity’s strengths </w:t>
      </w:r>
      <w:r w:rsidR="00B3404A">
        <w:rPr>
          <w:lang w:val="en-US"/>
        </w:rPr>
        <w:t>lie</w:t>
      </w:r>
      <w:r w:rsidRPr="00160E67">
        <w:rPr>
          <w:lang w:val="en-US"/>
        </w:rPr>
        <w:t xml:space="preserve"> in the </w:t>
      </w:r>
      <w:r w:rsidRPr="00160E67">
        <w:rPr>
          <w:lang w:val="en-US"/>
        </w:rPr>
        <w:lastRenderedPageBreak/>
        <w:t xml:space="preserve">provision of practice-led teaching at </w:t>
      </w:r>
      <w:r w:rsidR="008C4F72">
        <w:rPr>
          <w:lang w:val="en-US"/>
        </w:rPr>
        <w:t xml:space="preserve">the </w:t>
      </w:r>
      <w:r w:rsidRPr="00160E67">
        <w:rPr>
          <w:lang w:val="en-US"/>
        </w:rPr>
        <w:t>under</w:t>
      </w:r>
      <w:r w:rsidR="008C4F72">
        <w:rPr>
          <w:lang w:val="en-US"/>
        </w:rPr>
        <w:t>graduate degree level, with</w:t>
      </w:r>
      <w:r w:rsidRPr="00160E67">
        <w:rPr>
          <w:lang w:val="en-US"/>
        </w:rPr>
        <w:t xml:space="preserve"> rese</w:t>
      </w:r>
      <w:r w:rsidR="00E93B50">
        <w:rPr>
          <w:lang w:val="en-US"/>
        </w:rPr>
        <w:t xml:space="preserve">arch underpinning the knowledge, which is </w:t>
      </w:r>
      <w:r w:rsidR="008C4F72">
        <w:rPr>
          <w:lang w:val="en-US"/>
        </w:rPr>
        <w:t>communicated through good</w:t>
      </w:r>
      <w:r w:rsidRPr="00160E67">
        <w:rPr>
          <w:lang w:val="en-US"/>
        </w:rPr>
        <w:t xml:space="preserve"> curriculum design and innovation in teaching. The Canberra Institute of Technology </w:t>
      </w:r>
      <w:r w:rsidR="008C4F72">
        <w:rPr>
          <w:lang w:val="en-US"/>
        </w:rPr>
        <w:t xml:space="preserve">as a TAFE </w:t>
      </w:r>
      <w:proofErr w:type="spellStart"/>
      <w:r w:rsidR="008C4F72">
        <w:rPr>
          <w:lang w:val="en-US"/>
        </w:rPr>
        <w:t>organisation</w:t>
      </w:r>
      <w:proofErr w:type="spellEnd"/>
      <w:r w:rsidRPr="00160E67">
        <w:rPr>
          <w:lang w:val="en-US"/>
        </w:rPr>
        <w:t xml:space="preserve"> bring</w:t>
      </w:r>
      <w:r w:rsidR="008C4F72">
        <w:rPr>
          <w:lang w:val="en-US"/>
        </w:rPr>
        <w:t>s</w:t>
      </w:r>
      <w:r w:rsidRPr="00160E67">
        <w:rPr>
          <w:lang w:val="en-US"/>
        </w:rPr>
        <w:t xml:space="preserve"> </w:t>
      </w:r>
      <w:r w:rsidR="00123D5F">
        <w:rPr>
          <w:lang w:val="en-US"/>
        </w:rPr>
        <w:t>a greater</w:t>
      </w:r>
      <w:r w:rsidRPr="00160E67">
        <w:rPr>
          <w:lang w:val="en-US"/>
        </w:rPr>
        <w:t xml:space="preserve"> industry focus and more applied learning</w:t>
      </w:r>
      <w:r w:rsidR="00E93B50">
        <w:rPr>
          <w:lang w:val="en-US"/>
        </w:rPr>
        <w:t>, which</w:t>
      </w:r>
      <w:r w:rsidRPr="00160E67">
        <w:rPr>
          <w:lang w:val="en-US"/>
        </w:rPr>
        <w:t xml:space="preserve"> prepares students for the workforce. </w:t>
      </w:r>
    </w:p>
    <w:p w:rsidR="00160E67" w:rsidRPr="00160E67" w:rsidRDefault="00160E67" w:rsidP="00160E67">
      <w:pPr>
        <w:pStyle w:val="Text"/>
        <w:rPr>
          <w:lang w:val="en-US"/>
        </w:rPr>
      </w:pPr>
      <w:r w:rsidRPr="00160E67">
        <w:rPr>
          <w:lang w:val="en-US"/>
        </w:rPr>
        <w:t xml:space="preserve">Also commenting upon the VET and higher education divide, bodies </w:t>
      </w:r>
      <w:r w:rsidR="00E93B50">
        <w:rPr>
          <w:lang w:val="en-US"/>
        </w:rPr>
        <w:t>such as</w:t>
      </w:r>
      <w:r w:rsidRPr="00160E67">
        <w:rPr>
          <w:lang w:val="en-US"/>
        </w:rPr>
        <w:t xml:space="preserve"> the Australian Council for Private Education and</w:t>
      </w:r>
      <w:r w:rsidR="00555B10">
        <w:rPr>
          <w:lang w:val="en-US"/>
        </w:rPr>
        <w:t xml:space="preserve"> Training (ACPET) contend that u</w:t>
      </w:r>
      <w:r w:rsidRPr="00160E67">
        <w:rPr>
          <w:lang w:val="en-US"/>
        </w:rPr>
        <w:t>niversities no longer have a monopoly over the generation of new knowledge and its dissemination. Rather</w:t>
      </w:r>
      <w:r w:rsidR="00C44507">
        <w:rPr>
          <w:lang w:val="en-US"/>
        </w:rPr>
        <w:t>,</w:t>
      </w:r>
      <w:r w:rsidRPr="00160E67">
        <w:rPr>
          <w:lang w:val="en-US"/>
        </w:rPr>
        <w:t xml:space="preserve"> </w:t>
      </w:r>
      <w:r w:rsidR="00123D5F">
        <w:rPr>
          <w:lang w:val="en-US"/>
        </w:rPr>
        <w:t xml:space="preserve">they argue that </w:t>
      </w:r>
      <w:r w:rsidR="00555B10">
        <w:rPr>
          <w:lang w:val="en-US"/>
        </w:rPr>
        <w:t>where Australian u</w:t>
      </w:r>
      <w:r w:rsidRPr="00160E67">
        <w:rPr>
          <w:lang w:val="en-US"/>
        </w:rPr>
        <w:t xml:space="preserve">niversities fit in the future will depend on how well they respond to markets and employer needs. </w:t>
      </w:r>
      <w:r w:rsidR="00E93B50">
        <w:rPr>
          <w:lang w:val="en-US"/>
        </w:rPr>
        <w:t xml:space="preserve">The </w:t>
      </w:r>
      <w:r w:rsidR="00E93B50" w:rsidRPr="00160E67">
        <w:rPr>
          <w:lang w:val="en-US"/>
        </w:rPr>
        <w:t>Australian Council for Private Education and</w:t>
      </w:r>
      <w:r w:rsidR="00E93B50">
        <w:rPr>
          <w:lang w:val="en-US"/>
        </w:rPr>
        <w:t xml:space="preserve"> Training</w:t>
      </w:r>
      <w:r w:rsidRPr="00160E67">
        <w:rPr>
          <w:lang w:val="en-US"/>
        </w:rPr>
        <w:t xml:space="preserve"> observe</w:t>
      </w:r>
      <w:r w:rsidR="00B3404A">
        <w:rPr>
          <w:lang w:val="en-US"/>
        </w:rPr>
        <w:t>s</w:t>
      </w:r>
      <w:r w:rsidRPr="00160E67">
        <w:rPr>
          <w:lang w:val="en-US"/>
        </w:rPr>
        <w:t xml:space="preserve"> that degrees, like diplomas and certificates, </w:t>
      </w:r>
      <w:r w:rsidR="00B3404A">
        <w:rPr>
          <w:lang w:val="en-US"/>
        </w:rPr>
        <w:t>relate to industry expectations</w:t>
      </w:r>
      <w:r w:rsidRPr="00160E67">
        <w:rPr>
          <w:lang w:val="en-US"/>
        </w:rPr>
        <w:t xml:space="preserve"> and </w:t>
      </w:r>
      <w:r w:rsidR="00B3404A">
        <w:rPr>
          <w:lang w:val="en-US"/>
        </w:rPr>
        <w:t xml:space="preserve">that </w:t>
      </w:r>
      <w:r w:rsidRPr="00160E67">
        <w:rPr>
          <w:lang w:val="en-US"/>
        </w:rPr>
        <w:t xml:space="preserve">students want to be educated for careers in the workplace. </w:t>
      </w:r>
      <w:r w:rsidR="00123D5F">
        <w:rPr>
          <w:lang w:val="en-US"/>
        </w:rPr>
        <w:t>To show how markets and employer needs evolve, they note that p</w:t>
      </w:r>
      <w:r w:rsidRPr="00160E67">
        <w:rPr>
          <w:lang w:val="en-US"/>
        </w:rPr>
        <w:t>rofessional degrees (</w:t>
      </w:r>
      <w:r w:rsidR="00E93B50">
        <w:rPr>
          <w:lang w:val="en-US"/>
        </w:rPr>
        <w:t>for example,</w:t>
      </w:r>
      <w:r w:rsidRPr="00160E67">
        <w:rPr>
          <w:lang w:val="en-US"/>
        </w:rPr>
        <w:t xml:space="preserve"> medicine, business) have long had vocational elements, while </w:t>
      </w:r>
      <w:r w:rsidR="00123D5F">
        <w:rPr>
          <w:lang w:val="en-US"/>
        </w:rPr>
        <w:t>many</w:t>
      </w:r>
      <w:r w:rsidRPr="00160E67">
        <w:rPr>
          <w:lang w:val="en-US"/>
        </w:rPr>
        <w:t xml:space="preserve"> vocational courses are now provided as degrees (</w:t>
      </w:r>
      <w:r w:rsidR="00E93B50" w:rsidRPr="00160E67">
        <w:rPr>
          <w:lang w:val="en-US"/>
        </w:rPr>
        <w:t>Australian Council for Private Education and</w:t>
      </w:r>
      <w:r w:rsidR="00E93B50">
        <w:rPr>
          <w:lang w:val="en-US"/>
        </w:rPr>
        <w:t xml:space="preserve"> Training</w:t>
      </w:r>
      <w:r w:rsidR="00E93B50" w:rsidRPr="00160E67">
        <w:rPr>
          <w:lang w:val="en-US"/>
        </w:rPr>
        <w:t xml:space="preserve"> </w:t>
      </w:r>
      <w:r w:rsidRPr="00160E67">
        <w:rPr>
          <w:lang w:val="en-US"/>
        </w:rPr>
        <w:t>2008).</w:t>
      </w:r>
    </w:p>
    <w:p w:rsidR="00160E67" w:rsidRDefault="00160E67" w:rsidP="00160E67">
      <w:pPr>
        <w:pStyle w:val="Text"/>
        <w:rPr>
          <w:lang w:val="en-US"/>
        </w:rPr>
      </w:pPr>
      <w:r w:rsidRPr="00160E67">
        <w:rPr>
          <w:lang w:val="en-US"/>
        </w:rPr>
        <w:t>Karmel (2009) takes the view that there is more similarity than difference</w:t>
      </w:r>
      <w:r w:rsidR="00123D5F">
        <w:rPr>
          <w:lang w:val="en-US"/>
        </w:rPr>
        <w:t xml:space="preserve"> between VET and higher education</w:t>
      </w:r>
      <w:r w:rsidRPr="00160E67">
        <w:rPr>
          <w:lang w:val="en-US"/>
        </w:rPr>
        <w:t xml:space="preserve">. </w:t>
      </w:r>
      <w:r w:rsidR="00123D5F">
        <w:rPr>
          <w:lang w:val="en-US"/>
        </w:rPr>
        <w:t>He sees the</w:t>
      </w:r>
      <w:r w:rsidR="00555B10">
        <w:rPr>
          <w:lang w:val="en-US"/>
        </w:rPr>
        <w:t xml:space="preserve"> missions of </w:t>
      </w:r>
      <w:r w:rsidR="00E93B50">
        <w:rPr>
          <w:lang w:val="en-US"/>
        </w:rPr>
        <w:t xml:space="preserve">vocational education and training </w:t>
      </w:r>
      <w:r w:rsidR="00555B10">
        <w:rPr>
          <w:lang w:val="en-US"/>
        </w:rPr>
        <w:t>and u</w:t>
      </w:r>
      <w:r w:rsidRPr="00160E67">
        <w:rPr>
          <w:lang w:val="en-US"/>
        </w:rPr>
        <w:t xml:space="preserve">niversities </w:t>
      </w:r>
      <w:r w:rsidR="00B3404A">
        <w:rPr>
          <w:lang w:val="en-US"/>
        </w:rPr>
        <w:t xml:space="preserve">as </w:t>
      </w:r>
      <w:r w:rsidRPr="00160E67">
        <w:rPr>
          <w:lang w:val="en-US"/>
        </w:rPr>
        <w:t>overlap</w:t>
      </w:r>
      <w:r w:rsidR="00123D5F">
        <w:rPr>
          <w:lang w:val="en-US"/>
        </w:rPr>
        <w:t>ping</w:t>
      </w:r>
      <w:r w:rsidRPr="00160E67">
        <w:rPr>
          <w:lang w:val="en-US"/>
        </w:rPr>
        <w:t xml:space="preserve">, although most believe that </w:t>
      </w:r>
      <w:r w:rsidR="00B3404A">
        <w:rPr>
          <w:lang w:val="en-US"/>
        </w:rPr>
        <w:t>VET</w:t>
      </w:r>
      <w:r w:rsidRPr="00160E67">
        <w:rPr>
          <w:lang w:val="en-US"/>
        </w:rPr>
        <w:t xml:space="preserve"> is focused more immediately on the present needs of the employer and is not involved as closely with building upon academic and professional knowledge. However, the missions of both are essentially instrumental in nature</w:t>
      </w:r>
      <w:r w:rsidR="00E93B50">
        <w:rPr>
          <w:lang w:val="en-US"/>
        </w:rPr>
        <w:t>,</w:t>
      </w:r>
      <w:r w:rsidRPr="00160E67">
        <w:rPr>
          <w:lang w:val="en-US"/>
        </w:rPr>
        <w:t xml:space="preserve"> as both se</w:t>
      </w:r>
      <w:r w:rsidR="00123D5F">
        <w:rPr>
          <w:lang w:val="en-US"/>
        </w:rPr>
        <w:t>ctors develop in their students</w:t>
      </w:r>
      <w:r w:rsidRPr="00160E67">
        <w:rPr>
          <w:lang w:val="en-US"/>
        </w:rPr>
        <w:t xml:space="preserve"> </w:t>
      </w:r>
      <w:r w:rsidR="00123D5F">
        <w:rPr>
          <w:lang w:val="en-US"/>
        </w:rPr>
        <w:t xml:space="preserve">the </w:t>
      </w:r>
      <w:r w:rsidRPr="00160E67">
        <w:rPr>
          <w:lang w:val="en-US"/>
        </w:rPr>
        <w:t xml:space="preserve">skills and knowledge that will be useful in the </w:t>
      </w:r>
      <w:proofErr w:type="spellStart"/>
      <w:r w:rsidRPr="00160E67">
        <w:rPr>
          <w:lang w:val="en-US"/>
        </w:rPr>
        <w:t>labour</w:t>
      </w:r>
      <w:proofErr w:type="spellEnd"/>
      <w:r w:rsidRPr="00160E67">
        <w:rPr>
          <w:lang w:val="en-US"/>
        </w:rPr>
        <w:t xml:space="preserve"> market. Both deliver large amounts of vocational and </w:t>
      </w:r>
      <w:r w:rsidR="00555B10">
        <w:rPr>
          <w:lang w:val="en-US"/>
        </w:rPr>
        <w:t>more generic skills, and</w:t>
      </w:r>
      <w:r w:rsidR="00EA1951">
        <w:rPr>
          <w:lang w:val="en-US"/>
        </w:rPr>
        <w:t>,</w:t>
      </w:r>
      <w:r w:rsidR="00555B10">
        <w:rPr>
          <w:lang w:val="en-US"/>
        </w:rPr>
        <w:t xml:space="preserve"> while u</w:t>
      </w:r>
      <w:r w:rsidRPr="00160E67">
        <w:rPr>
          <w:lang w:val="en-US"/>
        </w:rPr>
        <w:t>niversity graduates aspire to professional roles, VET graduates are more likely to aim for technical, associate professional, trades and other jobs.</w:t>
      </w:r>
    </w:p>
    <w:p w:rsidR="003E3E5D" w:rsidRDefault="003E3E5D" w:rsidP="003E3E5D">
      <w:pPr>
        <w:pStyle w:val="Heading1"/>
      </w:pPr>
    </w:p>
    <w:p w:rsidR="000448CC" w:rsidRDefault="000448CC">
      <w:pPr>
        <w:spacing w:before="0" w:line="240" w:lineRule="auto"/>
        <w:rPr>
          <w:rFonts w:ascii="Tahoma" w:hAnsi="Tahoma" w:cs="Tahoma"/>
          <w:color w:val="000000"/>
          <w:kern w:val="28"/>
          <w:sz w:val="56"/>
          <w:szCs w:val="56"/>
        </w:rPr>
      </w:pPr>
      <w:r>
        <w:br w:type="page"/>
      </w:r>
    </w:p>
    <w:p w:rsidR="00160E67" w:rsidRDefault="00160E67" w:rsidP="003E3E5D">
      <w:pPr>
        <w:pStyle w:val="Heading1"/>
      </w:pPr>
      <w:bookmarkStart w:id="32" w:name="_Toc369178816"/>
      <w:r w:rsidRPr="00FB3624">
        <w:lastRenderedPageBreak/>
        <w:t>Issues arising</w:t>
      </w:r>
      <w:bookmarkEnd w:id="32"/>
    </w:p>
    <w:p w:rsidR="00487375" w:rsidRPr="00487375" w:rsidRDefault="00487375" w:rsidP="003E3E5D">
      <w:pPr>
        <w:pStyle w:val="Text"/>
      </w:pPr>
      <w:r w:rsidRPr="00487375">
        <w:t>Th</w:t>
      </w:r>
      <w:r>
        <w:t xml:space="preserve">e </w:t>
      </w:r>
      <w:r w:rsidRPr="00487375">
        <w:t>transition by VET providers into higher education raises several issues</w:t>
      </w:r>
      <w:r w:rsidR="00EA1951">
        <w:t>, which</w:t>
      </w:r>
      <w:r w:rsidR="0053219E">
        <w:t xml:space="preserve"> are outlined in this</w:t>
      </w:r>
      <w:r w:rsidR="00A15E80">
        <w:t> </w:t>
      </w:r>
      <w:r w:rsidR="0053219E">
        <w:t>section.</w:t>
      </w:r>
      <w:r w:rsidR="00B45FAD">
        <w:t xml:space="preserve"> </w:t>
      </w:r>
    </w:p>
    <w:p w:rsidR="00160E67" w:rsidRDefault="00160E67" w:rsidP="00160E67">
      <w:pPr>
        <w:pStyle w:val="Heading2"/>
        <w:rPr>
          <w:lang w:val="en-US"/>
        </w:rPr>
      </w:pPr>
      <w:bookmarkStart w:id="33" w:name="_Toc369178817"/>
      <w:r w:rsidRPr="00160E67">
        <w:rPr>
          <w:lang w:val="en-US"/>
        </w:rPr>
        <w:t>Strategic issues</w:t>
      </w:r>
      <w:bookmarkEnd w:id="33"/>
    </w:p>
    <w:p w:rsidR="00160E67" w:rsidRPr="00160E67" w:rsidRDefault="00F8616D" w:rsidP="00160E67">
      <w:pPr>
        <w:pStyle w:val="Text"/>
        <w:rPr>
          <w:lang w:val="en-US"/>
        </w:rPr>
      </w:pPr>
      <w:r>
        <w:rPr>
          <w:lang w:val="en-US"/>
        </w:rPr>
        <w:t>Clearly, s</w:t>
      </w:r>
      <w:r w:rsidR="00160E67" w:rsidRPr="00160E67">
        <w:rPr>
          <w:lang w:val="en-US"/>
        </w:rPr>
        <w:t xml:space="preserve">ome interesting strategic positions </w:t>
      </w:r>
      <w:r w:rsidR="00EA1951">
        <w:rPr>
          <w:lang w:val="en-US"/>
        </w:rPr>
        <w:t xml:space="preserve">are </w:t>
      </w:r>
      <w:r w:rsidR="00160E67" w:rsidRPr="00160E67">
        <w:rPr>
          <w:lang w:val="en-US"/>
        </w:rPr>
        <w:t xml:space="preserve">being taken by </w:t>
      </w:r>
      <w:proofErr w:type="spellStart"/>
      <w:r w:rsidR="00160E67" w:rsidRPr="00160E67">
        <w:rPr>
          <w:lang w:val="en-US"/>
        </w:rPr>
        <w:t>organisations</w:t>
      </w:r>
      <w:proofErr w:type="spellEnd"/>
      <w:r w:rsidR="00160E67" w:rsidRPr="00160E67">
        <w:rPr>
          <w:lang w:val="en-US"/>
        </w:rPr>
        <w:t xml:space="preserve"> in both sectors</w:t>
      </w:r>
      <w:r w:rsidR="00123D5F">
        <w:rPr>
          <w:lang w:val="en-US"/>
        </w:rPr>
        <w:t xml:space="preserve"> </w:t>
      </w:r>
      <w:r>
        <w:rPr>
          <w:lang w:val="en-US"/>
        </w:rPr>
        <w:t>vis-</w:t>
      </w:r>
      <w:r w:rsidR="00C44507">
        <w:rPr>
          <w:lang w:val="en-US"/>
        </w:rPr>
        <w:t>à</w:t>
      </w:r>
      <w:r>
        <w:rPr>
          <w:lang w:val="en-US"/>
        </w:rPr>
        <w:t>-vis</w:t>
      </w:r>
      <w:r w:rsidR="00123D5F">
        <w:rPr>
          <w:lang w:val="en-US"/>
        </w:rPr>
        <w:t xml:space="preserve"> how they respond to the emerging tertiary sector</w:t>
      </w:r>
      <w:r w:rsidR="00160E67" w:rsidRPr="00160E67">
        <w:rPr>
          <w:lang w:val="en-US"/>
        </w:rPr>
        <w:t>.</w:t>
      </w:r>
      <w:r w:rsidR="00123D5F">
        <w:rPr>
          <w:lang w:val="en-US"/>
        </w:rPr>
        <w:t xml:space="preserve"> There is evidence that some u</w:t>
      </w:r>
      <w:r w:rsidR="00160E67" w:rsidRPr="00160E67">
        <w:rPr>
          <w:lang w:val="en-US"/>
        </w:rPr>
        <w:t xml:space="preserve">niversities are encroaching </w:t>
      </w:r>
      <w:r w:rsidR="00123D5F">
        <w:rPr>
          <w:lang w:val="en-US"/>
        </w:rPr>
        <w:t xml:space="preserve">from above on the position of </w:t>
      </w:r>
      <w:r w:rsidR="00160E67" w:rsidRPr="00160E67">
        <w:rPr>
          <w:lang w:val="en-US"/>
        </w:rPr>
        <w:t>TAFE</w:t>
      </w:r>
      <w:r w:rsidR="00123D5F">
        <w:rPr>
          <w:lang w:val="en-US"/>
        </w:rPr>
        <w:t xml:space="preserve"> institutes</w:t>
      </w:r>
      <w:r w:rsidR="00160E67" w:rsidRPr="00160E67">
        <w:rPr>
          <w:lang w:val="en-US"/>
        </w:rPr>
        <w:t xml:space="preserve">. Some have </w:t>
      </w:r>
      <w:r>
        <w:rPr>
          <w:lang w:val="en-US"/>
        </w:rPr>
        <w:t>moved</w:t>
      </w:r>
      <w:r w:rsidR="00160E67" w:rsidRPr="00160E67">
        <w:rPr>
          <w:lang w:val="en-US"/>
        </w:rPr>
        <w:t xml:space="preserve"> into VET provision in their own right (as regi</w:t>
      </w:r>
      <w:r w:rsidR="00123D5F">
        <w:rPr>
          <w:lang w:val="en-US"/>
        </w:rPr>
        <w:t xml:space="preserve">stered training </w:t>
      </w:r>
      <w:proofErr w:type="spellStart"/>
      <w:r w:rsidR="00123D5F">
        <w:rPr>
          <w:lang w:val="en-US"/>
        </w:rPr>
        <w:t>organisations</w:t>
      </w:r>
      <w:proofErr w:type="spellEnd"/>
      <w:r w:rsidR="00123D5F">
        <w:rPr>
          <w:lang w:val="en-US"/>
        </w:rPr>
        <w:t xml:space="preserve">; </w:t>
      </w:r>
      <w:r w:rsidR="000448CC">
        <w:rPr>
          <w:lang w:val="en-US"/>
        </w:rPr>
        <w:t>Wheelahan et al</w:t>
      </w:r>
      <w:r w:rsidR="00EA1951">
        <w:rPr>
          <w:lang w:val="en-US"/>
        </w:rPr>
        <w:t>.</w:t>
      </w:r>
      <w:r w:rsidR="00160E67" w:rsidRPr="00160E67">
        <w:rPr>
          <w:lang w:val="en-US"/>
        </w:rPr>
        <w:t xml:space="preserve"> 2012). Others have </w:t>
      </w:r>
      <w:r w:rsidR="00EA1951">
        <w:rPr>
          <w:lang w:val="en-US"/>
        </w:rPr>
        <w:t>begun</w:t>
      </w:r>
      <w:r w:rsidR="00160E67" w:rsidRPr="00160E67">
        <w:rPr>
          <w:lang w:val="en-US"/>
        </w:rPr>
        <w:t xml:space="preserve"> to increase delivery of their higher education diplomas and advanced diplomas after decades of reducing enrolments in these q</w:t>
      </w:r>
      <w:r w:rsidR="000448CC">
        <w:rPr>
          <w:lang w:val="en-US"/>
        </w:rPr>
        <w:t>ualifications (Moodie &amp; Fredman</w:t>
      </w:r>
      <w:r w:rsidR="00160E67" w:rsidRPr="00160E67">
        <w:rPr>
          <w:lang w:val="en-US"/>
        </w:rPr>
        <w:t xml:space="preserve"> 2013).</w:t>
      </w:r>
    </w:p>
    <w:p w:rsidR="00160E67" w:rsidRPr="00160E67" w:rsidRDefault="00160E67" w:rsidP="00160E67">
      <w:pPr>
        <w:pStyle w:val="Text"/>
        <w:rPr>
          <w:lang w:val="en-US"/>
        </w:rPr>
      </w:pPr>
      <w:r w:rsidRPr="00160E67">
        <w:rPr>
          <w:lang w:val="en-US"/>
        </w:rPr>
        <w:t>The position of many TAFE institutes is</w:t>
      </w:r>
      <w:r w:rsidR="00B4281D">
        <w:rPr>
          <w:lang w:val="en-US"/>
        </w:rPr>
        <w:t xml:space="preserve"> also</w:t>
      </w:r>
      <w:r w:rsidRPr="00160E67">
        <w:rPr>
          <w:lang w:val="en-US"/>
        </w:rPr>
        <w:t xml:space="preserve"> being challenged from below by the expansion of VET in Schools, much of which can be offered by schools rather than TAFE institutes</w:t>
      </w:r>
      <w:r w:rsidR="00123D5F">
        <w:rPr>
          <w:lang w:val="en-US"/>
        </w:rPr>
        <w:t>.</w:t>
      </w:r>
      <w:r w:rsidRPr="00160E67">
        <w:rPr>
          <w:lang w:val="en-US"/>
        </w:rPr>
        <w:t xml:space="preserve"> For exampl</w:t>
      </w:r>
      <w:r w:rsidR="00EA1951">
        <w:rPr>
          <w:lang w:val="en-US"/>
        </w:rPr>
        <w:t>e, most schools deliver VET in S</w:t>
      </w:r>
      <w:r w:rsidRPr="00160E67">
        <w:rPr>
          <w:lang w:val="en-US"/>
        </w:rPr>
        <w:t xml:space="preserve">chools directly as registered training </w:t>
      </w:r>
      <w:proofErr w:type="spellStart"/>
      <w:r w:rsidRPr="00160E67">
        <w:rPr>
          <w:lang w:val="en-US"/>
        </w:rPr>
        <w:t>organisations</w:t>
      </w:r>
      <w:proofErr w:type="spellEnd"/>
      <w:r w:rsidRPr="00160E67">
        <w:rPr>
          <w:lang w:val="en-US"/>
        </w:rPr>
        <w:t xml:space="preserve"> in Queensland and New South Wales, wherea</w:t>
      </w:r>
      <w:r w:rsidR="00EA1951">
        <w:rPr>
          <w:lang w:val="en-US"/>
        </w:rPr>
        <w:t>s in Western Australia, VET in S</w:t>
      </w:r>
      <w:r w:rsidRPr="00160E67">
        <w:rPr>
          <w:lang w:val="en-US"/>
        </w:rPr>
        <w:t>chools is offered mainly by training providers. Partnerships are also common across jurisdictions, where schools work with providers such as TAFE institutes to de</w:t>
      </w:r>
      <w:r w:rsidR="000448CC">
        <w:rPr>
          <w:lang w:val="en-US"/>
        </w:rPr>
        <w:t>liver training programs (Nguyen</w:t>
      </w:r>
      <w:r w:rsidRPr="00160E67">
        <w:rPr>
          <w:lang w:val="en-US"/>
        </w:rPr>
        <w:t xml:space="preserve"> 2010)</w:t>
      </w:r>
      <w:r w:rsidR="00B4281D">
        <w:rPr>
          <w:lang w:val="en-US"/>
        </w:rPr>
        <w:t>.</w:t>
      </w:r>
      <w:r w:rsidRPr="00160E67">
        <w:rPr>
          <w:lang w:val="en-US"/>
        </w:rPr>
        <w:t xml:space="preserve"> </w:t>
      </w:r>
    </w:p>
    <w:p w:rsidR="00160E67" w:rsidRPr="00160E67" w:rsidRDefault="00160E67" w:rsidP="00160E67">
      <w:pPr>
        <w:pStyle w:val="Text"/>
        <w:rPr>
          <w:lang w:val="en-US"/>
        </w:rPr>
      </w:pPr>
      <w:r w:rsidRPr="00160E67">
        <w:rPr>
          <w:lang w:val="en-US"/>
        </w:rPr>
        <w:t xml:space="preserve">TAFE institutes are seeking other areas of provision to maintain and possibly expand their provision overall. For </w:t>
      </w:r>
      <w:r w:rsidR="00EA1951">
        <w:rPr>
          <w:lang w:val="en-US"/>
        </w:rPr>
        <w:t xml:space="preserve">these </w:t>
      </w:r>
      <w:proofErr w:type="spellStart"/>
      <w:r w:rsidR="00EA1951">
        <w:rPr>
          <w:lang w:val="en-US"/>
        </w:rPr>
        <w:t>organisations</w:t>
      </w:r>
      <w:proofErr w:type="spellEnd"/>
      <w:r w:rsidRPr="00160E67">
        <w:rPr>
          <w:lang w:val="en-US"/>
        </w:rPr>
        <w:t xml:space="preserve"> there are multiple motives at work in their positioning and re-positioning</w:t>
      </w:r>
      <w:r w:rsidR="001E6D2B">
        <w:rPr>
          <w:lang w:val="en-US"/>
        </w:rPr>
        <w:t xml:space="preserve"> (see Moodie 2010</w:t>
      </w:r>
      <w:r w:rsidR="00EA1951">
        <w:rPr>
          <w:lang w:val="en-US"/>
        </w:rPr>
        <w:t>,</w:t>
      </w:r>
      <w:r w:rsidR="001E6D2B">
        <w:rPr>
          <w:lang w:val="en-US"/>
        </w:rPr>
        <w:t xml:space="preserve"> 2012</w:t>
      </w:r>
      <w:r w:rsidR="00074753">
        <w:rPr>
          <w:lang w:val="en-US"/>
        </w:rPr>
        <w:t>)</w:t>
      </w:r>
      <w:r w:rsidRPr="00160E67">
        <w:rPr>
          <w:lang w:val="en-US"/>
        </w:rPr>
        <w:t>. There is the desire to</w:t>
      </w:r>
      <w:r w:rsidR="00F8616D">
        <w:rPr>
          <w:lang w:val="en-US"/>
        </w:rPr>
        <w:t>:</w:t>
      </w:r>
      <w:r w:rsidRPr="00160E67">
        <w:rPr>
          <w:lang w:val="en-US"/>
        </w:rPr>
        <w:t xml:space="preserve"> achieve the policy objective</w:t>
      </w:r>
      <w:r w:rsidR="00555B10">
        <w:rPr>
          <w:lang w:val="en-US"/>
        </w:rPr>
        <w:t>s in the skills plans of their s</w:t>
      </w:r>
      <w:r w:rsidRPr="00160E67">
        <w:rPr>
          <w:lang w:val="en-US"/>
        </w:rPr>
        <w:t>tate governments; compete with private VET providers offering higher education pr</w:t>
      </w:r>
      <w:r w:rsidR="00555B10">
        <w:rPr>
          <w:lang w:val="en-US"/>
        </w:rPr>
        <w:t>ograms; and compete against u</w:t>
      </w:r>
      <w:r w:rsidRPr="00160E67">
        <w:rPr>
          <w:lang w:val="en-US"/>
        </w:rPr>
        <w:t xml:space="preserve">niversities offering associate degree qualifications, often driven by their desire to broaden activities </w:t>
      </w:r>
      <w:r w:rsidR="00EA1951">
        <w:rPr>
          <w:lang w:val="en-US"/>
        </w:rPr>
        <w:t>with the potential for increasing</w:t>
      </w:r>
      <w:r w:rsidRPr="00160E67">
        <w:rPr>
          <w:lang w:val="en-US"/>
        </w:rPr>
        <w:t xml:space="preserve"> the numbers of students enrolled from disadvantaged backgrounds.</w:t>
      </w:r>
      <w:r w:rsidR="00B45FAD">
        <w:rPr>
          <w:lang w:val="en-US"/>
        </w:rPr>
        <w:t xml:space="preserve"> </w:t>
      </w:r>
    </w:p>
    <w:p w:rsidR="00160E67" w:rsidRPr="00160E67" w:rsidRDefault="00160E67" w:rsidP="00160E67">
      <w:pPr>
        <w:pStyle w:val="Text"/>
        <w:rPr>
          <w:lang w:val="en-US"/>
        </w:rPr>
      </w:pPr>
      <w:r w:rsidRPr="00160E67">
        <w:rPr>
          <w:lang w:val="en-US"/>
        </w:rPr>
        <w:t xml:space="preserve">There is growing evidence of different missions, goals and values in VET and higher education institutions. For instance, institutions with a stronger commitment to credit transfer are more likely to have missions that </w:t>
      </w:r>
      <w:proofErr w:type="spellStart"/>
      <w:r w:rsidRPr="00160E67">
        <w:rPr>
          <w:lang w:val="en-US"/>
        </w:rPr>
        <w:t>emphasise</w:t>
      </w:r>
      <w:proofErr w:type="spellEnd"/>
      <w:r w:rsidRPr="00160E67">
        <w:rPr>
          <w:lang w:val="en-US"/>
        </w:rPr>
        <w:t xml:space="preserve"> equity and access, student diversity, regional enga</w:t>
      </w:r>
      <w:r w:rsidR="000448CC">
        <w:rPr>
          <w:lang w:val="en-US"/>
        </w:rPr>
        <w:t>gement and partnerships (Marron 2013; Phillips KPA</w:t>
      </w:r>
      <w:r w:rsidRPr="00160E67">
        <w:rPr>
          <w:lang w:val="en-US"/>
        </w:rPr>
        <w:t xml:space="preserve"> 2006). The position adopted by TAFE Directors Australia (2008) supports this diversity. They advocate that it is not appropriate to use funding arrangements or a qualifications framework to limit the scope </w:t>
      </w:r>
      <w:r w:rsidR="00EA1951">
        <w:rPr>
          <w:lang w:val="en-US"/>
        </w:rPr>
        <w:t>of individual TAFE institutions; r</w:t>
      </w:r>
      <w:r w:rsidRPr="00160E67">
        <w:rPr>
          <w:lang w:val="en-US"/>
        </w:rPr>
        <w:t>ather</w:t>
      </w:r>
      <w:r w:rsidR="00EA1951">
        <w:rPr>
          <w:lang w:val="en-US"/>
        </w:rPr>
        <w:t>,</w:t>
      </w:r>
      <w:r w:rsidRPr="00160E67">
        <w:rPr>
          <w:lang w:val="en-US"/>
        </w:rPr>
        <w:t xml:space="preserve"> both public and </w:t>
      </w:r>
      <w:r w:rsidR="00555B10">
        <w:rPr>
          <w:lang w:val="en-US"/>
        </w:rPr>
        <w:t>private institutions</w:t>
      </w:r>
      <w:r w:rsidR="004C300D">
        <w:rPr>
          <w:lang w:val="en-US"/>
        </w:rPr>
        <w:t>,</w:t>
      </w:r>
      <w:r w:rsidR="00555B10">
        <w:rPr>
          <w:lang w:val="en-US"/>
        </w:rPr>
        <w:t xml:space="preserve"> including u</w:t>
      </w:r>
      <w:r w:rsidRPr="00160E67">
        <w:rPr>
          <w:lang w:val="en-US"/>
        </w:rPr>
        <w:t>niversities</w:t>
      </w:r>
      <w:r w:rsidR="004C300D">
        <w:rPr>
          <w:lang w:val="en-US"/>
        </w:rPr>
        <w:t>,</w:t>
      </w:r>
      <w:r w:rsidRPr="00160E67">
        <w:rPr>
          <w:lang w:val="en-US"/>
        </w:rPr>
        <w:t xml:space="preserve"> increasingly should </w:t>
      </w:r>
      <w:r w:rsidR="00123D5F">
        <w:rPr>
          <w:lang w:val="en-US"/>
        </w:rPr>
        <w:t xml:space="preserve">be </w:t>
      </w:r>
      <w:r w:rsidRPr="00160E67">
        <w:rPr>
          <w:lang w:val="en-US"/>
        </w:rPr>
        <w:t xml:space="preserve">able to offer a mix of qualifications drawn from both the higher education and VET sectors. </w:t>
      </w:r>
    </w:p>
    <w:p w:rsidR="00160E67" w:rsidRPr="00160E67" w:rsidRDefault="00160E67" w:rsidP="00160E67">
      <w:pPr>
        <w:pStyle w:val="Text"/>
        <w:rPr>
          <w:lang w:val="en-US"/>
        </w:rPr>
      </w:pPr>
      <w:r w:rsidRPr="00160E67">
        <w:rPr>
          <w:lang w:val="en-US"/>
        </w:rPr>
        <w:t xml:space="preserve">Some VET institutions see improved tertiary education pathways through partnerships </w:t>
      </w:r>
      <w:r w:rsidR="00EA1951">
        <w:rPr>
          <w:lang w:val="en-US"/>
        </w:rPr>
        <w:t>with higher education providers</w:t>
      </w:r>
      <w:r w:rsidRPr="00160E67">
        <w:rPr>
          <w:lang w:val="en-US"/>
        </w:rPr>
        <w:t xml:space="preserve"> and the delivery of higher education qualifications </w:t>
      </w:r>
      <w:r w:rsidR="00EA1951">
        <w:rPr>
          <w:lang w:val="en-US"/>
        </w:rPr>
        <w:t>on their own</w:t>
      </w:r>
      <w:r w:rsidRPr="00160E67">
        <w:rPr>
          <w:lang w:val="en-US"/>
        </w:rPr>
        <w:t xml:space="preserve"> as significant </w:t>
      </w:r>
      <w:r w:rsidR="00EB1308">
        <w:rPr>
          <w:lang w:val="en-US"/>
        </w:rPr>
        <w:t>elements</w:t>
      </w:r>
      <w:r w:rsidRPr="00160E67">
        <w:rPr>
          <w:lang w:val="en-US"/>
        </w:rPr>
        <w:t xml:space="preserve"> of their</w:t>
      </w:r>
      <w:r w:rsidR="000448CC">
        <w:rPr>
          <w:lang w:val="en-US"/>
        </w:rPr>
        <w:t xml:space="preserve"> future direction (Phillips KPA</w:t>
      </w:r>
      <w:r w:rsidRPr="00160E67">
        <w:rPr>
          <w:lang w:val="en-US"/>
        </w:rPr>
        <w:t xml:space="preserve"> 2006). Although </w:t>
      </w:r>
      <w:proofErr w:type="spellStart"/>
      <w:r w:rsidRPr="00160E67">
        <w:rPr>
          <w:lang w:val="en-US"/>
        </w:rPr>
        <w:t>organisations</w:t>
      </w:r>
      <w:proofErr w:type="spellEnd"/>
      <w:r w:rsidRPr="00160E67">
        <w:rPr>
          <w:lang w:val="en-US"/>
        </w:rPr>
        <w:t xml:space="preserve"> in each sector have their own distinctive mission, p</w:t>
      </w:r>
      <w:r w:rsidR="00EB1308">
        <w:rPr>
          <w:lang w:val="en-US"/>
        </w:rPr>
        <w:t xml:space="preserve">urpose, values and strategies, </w:t>
      </w:r>
      <w:r w:rsidRPr="00160E67">
        <w:rPr>
          <w:lang w:val="en-US"/>
        </w:rPr>
        <w:t>there are many activities in both sectors that are very similar</w:t>
      </w:r>
      <w:r w:rsidR="00F8616D" w:rsidRPr="00F8616D">
        <w:rPr>
          <w:lang w:val="en-US"/>
        </w:rPr>
        <w:t xml:space="preserve"> </w:t>
      </w:r>
      <w:r w:rsidR="00F8616D">
        <w:rPr>
          <w:lang w:val="en-US"/>
        </w:rPr>
        <w:t>— as in many industries</w:t>
      </w:r>
      <w:r w:rsidRPr="00160E67">
        <w:rPr>
          <w:lang w:val="en-US"/>
        </w:rPr>
        <w:t xml:space="preserve">. For some VET institutions, a strategic move towards offering higher education courses and focusing on the upper-level awards fits well with initiatives that involve either collaboration with higher education institutions, competition with </w:t>
      </w:r>
      <w:r w:rsidR="00EB1308">
        <w:rPr>
          <w:lang w:val="en-US"/>
        </w:rPr>
        <w:t>them</w:t>
      </w:r>
      <w:r w:rsidR="00F8616D">
        <w:rPr>
          <w:lang w:val="en-US"/>
        </w:rPr>
        <w:t>,</w:t>
      </w:r>
      <w:r w:rsidR="00EB1308">
        <w:rPr>
          <w:lang w:val="en-US"/>
        </w:rPr>
        <w:t xml:space="preserve"> or both strategy options. It can also</w:t>
      </w:r>
      <w:r w:rsidR="00123D5F">
        <w:rPr>
          <w:lang w:val="en-US"/>
        </w:rPr>
        <w:t xml:space="preserve"> be argued that </w:t>
      </w:r>
      <w:r w:rsidRPr="00160E67">
        <w:rPr>
          <w:lang w:val="en-US"/>
        </w:rPr>
        <w:t>VET institutions that offer associate degree and degree qualifications have at least begun the jo</w:t>
      </w:r>
      <w:r w:rsidR="00EB1308">
        <w:rPr>
          <w:lang w:val="en-US"/>
        </w:rPr>
        <w:t>urney to find the common ground</w:t>
      </w:r>
      <w:r w:rsidRPr="00160E67">
        <w:rPr>
          <w:lang w:val="en-US"/>
        </w:rPr>
        <w:t xml:space="preserve"> and will be better </w:t>
      </w:r>
      <w:r w:rsidR="008F76B8">
        <w:rPr>
          <w:lang w:val="en-US"/>
        </w:rPr>
        <w:t>situat</w:t>
      </w:r>
      <w:r w:rsidRPr="00160E67">
        <w:rPr>
          <w:lang w:val="en-US"/>
        </w:rPr>
        <w:t xml:space="preserve">ed </w:t>
      </w:r>
      <w:r w:rsidRPr="00160E67">
        <w:rPr>
          <w:lang w:val="en-US"/>
        </w:rPr>
        <w:lastRenderedPageBreak/>
        <w:t xml:space="preserve">to consider a wider range of positioning strategies </w:t>
      </w:r>
      <w:r w:rsidR="00123D5F">
        <w:rPr>
          <w:lang w:val="en-US"/>
        </w:rPr>
        <w:t>that</w:t>
      </w:r>
      <w:r w:rsidRPr="00160E67">
        <w:rPr>
          <w:lang w:val="en-US"/>
        </w:rPr>
        <w:t xml:space="preserve"> sustain the future of their </w:t>
      </w:r>
      <w:proofErr w:type="spellStart"/>
      <w:r w:rsidRPr="00160E67">
        <w:rPr>
          <w:lang w:val="en-US"/>
        </w:rPr>
        <w:t>organisa</w:t>
      </w:r>
      <w:r w:rsidR="008F76B8">
        <w:rPr>
          <w:lang w:val="en-US"/>
        </w:rPr>
        <w:t>tions</w:t>
      </w:r>
      <w:proofErr w:type="spellEnd"/>
      <w:r w:rsidR="008F76B8">
        <w:rPr>
          <w:lang w:val="en-US"/>
        </w:rPr>
        <w:t xml:space="preserve"> when the environment and g</w:t>
      </w:r>
      <w:r w:rsidRPr="00160E67">
        <w:rPr>
          <w:lang w:val="en-US"/>
        </w:rPr>
        <w:t xml:space="preserve">overnment policy </w:t>
      </w:r>
      <w:r w:rsidR="00123D5F">
        <w:rPr>
          <w:lang w:val="en-US"/>
        </w:rPr>
        <w:t xml:space="preserve">both </w:t>
      </w:r>
      <w:r w:rsidRPr="00160E67">
        <w:rPr>
          <w:lang w:val="en-US"/>
        </w:rPr>
        <w:t>change, yet again.</w:t>
      </w:r>
    </w:p>
    <w:p w:rsidR="00160E67" w:rsidRPr="00160E67" w:rsidRDefault="00F8616D" w:rsidP="00160E67">
      <w:pPr>
        <w:pStyle w:val="Text"/>
        <w:rPr>
          <w:lang w:val="en-US"/>
        </w:rPr>
      </w:pPr>
      <w:r>
        <w:rPr>
          <w:lang w:val="en-US"/>
        </w:rPr>
        <w:t>Some TAFE i</w:t>
      </w:r>
      <w:r w:rsidR="00160E67" w:rsidRPr="00160E67">
        <w:rPr>
          <w:lang w:val="en-US"/>
        </w:rPr>
        <w:t>nstitutes propose that moving into higher education provision is a natural extension of the special strengths of individual institutes, while providing a continuum of opportunities for vocational skill development (C</w:t>
      </w:r>
      <w:r w:rsidR="000448CC">
        <w:rPr>
          <w:lang w:val="en-US"/>
        </w:rPr>
        <w:t>anberra Institute of Technology</w:t>
      </w:r>
      <w:r w:rsidR="00160E67" w:rsidRPr="00160E67">
        <w:rPr>
          <w:lang w:val="en-US"/>
        </w:rPr>
        <w:t xml:space="preserve"> 2008). TAFE higher education provision supports efforts to meet the needs of an increasingly diverse population seeking tertiary education, especially </w:t>
      </w:r>
      <w:r>
        <w:rPr>
          <w:lang w:val="en-US"/>
        </w:rPr>
        <w:t>improving</w:t>
      </w:r>
      <w:r w:rsidR="00160E67" w:rsidRPr="00160E67">
        <w:rPr>
          <w:lang w:val="en-US"/>
        </w:rPr>
        <w:t xml:space="preserve"> access for disadvantaged groups. Also, the provision of </w:t>
      </w:r>
      <w:r w:rsidR="00EB1308">
        <w:rPr>
          <w:lang w:val="en-US"/>
        </w:rPr>
        <w:t>TAFE higher education is a cost-</w:t>
      </w:r>
      <w:r w:rsidR="00160E67" w:rsidRPr="00160E67">
        <w:rPr>
          <w:lang w:val="en-US"/>
        </w:rPr>
        <w:t xml:space="preserve">effective means of </w:t>
      </w:r>
      <w:proofErr w:type="spellStart"/>
      <w:r w:rsidR="00160E67" w:rsidRPr="00160E67">
        <w:rPr>
          <w:lang w:val="en-US"/>
        </w:rPr>
        <w:t>maximising</w:t>
      </w:r>
      <w:proofErr w:type="spellEnd"/>
      <w:r w:rsidR="00160E67" w:rsidRPr="00160E67">
        <w:rPr>
          <w:lang w:val="en-US"/>
        </w:rPr>
        <w:t xml:space="preserve"> the value of TAFE resources, strengths and industry partnerships.</w:t>
      </w:r>
    </w:p>
    <w:p w:rsidR="00160E67" w:rsidRDefault="00160E67" w:rsidP="00160E67">
      <w:pPr>
        <w:pStyle w:val="Text"/>
        <w:rPr>
          <w:lang w:val="en-US"/>
        </w:rPr>
      </w:pPr>
      <w:r w:rsidRPr="00160E67">
        <w:rPr>
          <w:lang w:val="en-US"/>
        </w:rPr>
        <w:t xml:space="preserve">Clearly, various VET and higher education institutions have already </w:t>
      </w:r>
      <w:r w:rsidR="00EB1308">
        <w:rPr>
          <w:lang w:val="en-US"/>
        </w:rPr>
        <w:t>implemented</w:t>
      </w:r>
      <w:r w:rsidRPr="00160E67">
        <w:rPr>
          <w:lang w:val="en-US"/>
        </w:rPr>
        <w:t xml:space="preserve"> their strategies. For example, Victoria University as a dual-sector institution has integrated its higher education and diploma-level VET options into eight subject-themed colleges</w:t>
      </w:r>
      <w:r w:rsidR="00EB1308">
        <w:rPr>
          <w:lang w:val="en-US"/>
        </w:rPr>
        <w:t>,</w:t>
      </w:r>
      <w:r w:rsidRPr="00160E67">
        <w:rPr>
          <w:lang w:val="en-US"/>
        </w:rPr>
        <w:t xml:space="preserve"> in part to allow this strate</w:t>
      </w:r>
      <w:r w:rsidR="000448CC">
        <w:rPr>
          <w:lang w:val="en-US"/>
        </w:rPr>
        <w:t>gic option (Victoria University</w:t>
      </w:r>
      <w:r w:rsidRPr="00160E67">
        <w:rPr>
          <w:lang w:val="en-US"/>
        </w:rPr>
        <w:t xml:space="preserve"> 2012). With merger discussions with the Canberra Institute of Technology stalled, the University of Canberra intends to develop its own polytechnic</w:t>
      </w:r>
      <w:r w:rsidR="00EB1308">
        <w:rPr>
          <w:lang w:val="en-US"/>
        </w:rPr>
        <w:t>,</w:t>
      </w:r>
      <w:r w:rsidRPr="00160E67">
        <w:rPr>
          <w:lang w:val="en-US"/>
        </w:rPr>
        <w:t xml:space="preserve"> which would offer diploma courses that articulate into the degrees of t</w:t>
      </w:r>
      <w:r w:rsidR="000448CC">
        <w:rPr>
          <w:lang w:val="en-US"/>
        </w:rPr>
        <w:t>he University of Canberra (Hare</w:t>
      </w:r>
      <w:r w:rsidRPr="00160E67">
        <w:rPr>
          <w:lang w:val="en-US"/>
        </w:rPr>
        <w:t xml:space="preserve"> 2011).</w:t>
      </w:r>
    </w:p>
    <w:p w:rsidR="00824981" w:rsidRDefault="00160E67" w:rsidP="00160E67">
      <w:pPr>
        <w:pStyle w:val="Text"/>
        <w:rPr>
          <w:lang w:val="en-US"/>
        </w:rPr>
      </w:pPr>
      <w:r w:rsidRPr="00160E67">
        <w:rPr>
          <w:lang w:val="en-US"/>
        </w:rPr>
        <w:t xml:space="preserve">Linked to strategy and positioning is the issue of institutional </w:t>
      </w:r>
      <w:r w:rsidR="00123D5F">
        <w:rPr>
          <w:lang w:val="en-US"/>
        </w:rPr>
        <w:t>differentiation and status</w:t>
      </w:r>
      <w:r w:rsidRPr="00160E67">
        <w:rPr>
          <w:lang w:val="en-US"/>
        </w:rPr>
        <w:t xml:space="preserve">. All educational institutions </w:t>
      </w:r>
      <w:r w:rsidR="00F8616D">
        <w:rPr>
          <w:lang w:val="en-US"/>
        </w:rPr>
        <w:t>are focused upon their branding and</w:t>
      </w:r>
      <w:r w:rsidRPr="00160E67">
        <w:rPr>
          <w:lang w:val="en-US"/>
        </w:rPr>
        <w:t xml:space="preserve"> marketing and the promotion of their advantage</w:t>
      </w:r>
      <w:r w:rsidR="00123D5F">
        <w:rPr>
          <w:lang w:val="en-US"/>
        </w:rPr>
        <w:t>s</w:t>
      </w:r>
      <w:r w:rsidRPr="00160E67">
        <w:rPr>
          <w:lang w:val="en-US"/>
        </w:rPr>
        <w:t xml:space="preserve"> </w:t>
      </w:r>
      <w:r w:rsidR="00EB1308">
        <w:rPr>
          <w:lang w:val="en-US"/>
        </w:rPr>
        <w:t>relating to</w:t>
      </w:r>
      <w:r w:rsidRPr="00160E67">
        <w:rPr>
          <w:lang w:val="en-US"/>
        </w:rPr>
        <w:t xml:space="preserve"> quality, flexibility, status and other factors. Marron (2013) mentions the issue of status in his reflections on the </w:t>
      </w:r>
      <w:r w:rsidR="00824981">
        <w:rPr>
          <w:lang w:val="en-US"/>
        </w:rPr>
        <w:t>stalled</w:t>
      </w:r>
      <w:r w:rsidRPr="00160E67">
        <w:rPr>
          <w:lang w:val="en-US"/>
        </w:rPr>
        <w:t xml:space="preserve"> merger between the University of Canberra and the Canberra Institute of Technology. He notes that the question of status, and what drives the respective sectors, was a critical one in relation to stakeholders. For instance, University of Canberra students </w:t>
      </w:r>
      <w:r w:rsidR="00EB1308">
        <w:rPr>
          <w:lang w:val="en-US"/>
        </w:rPr>
        <w:t>debated via a blog</w:t>
      </w:r>
      <w:r w:rsidRPr="00160E67">
        <w:rPr>
          <w:lang w:val="en-US"/>
        </w:rPr>
        <w:t xml:space="preserve"> whether their qualification would be less valued in a merged institution with a TAFE institute. While not a major motivation for the proposed merger between the Canberra Institute of Technology and </w:t>
      </w:r>
      <w:r w:rsidR="00F8616D">
        <w:rPr>
          <w:lang w:val="en-US"/>
        </w:rPr>
        <w:t xml:space="preserve">the </w:t>
      </w:r>
      <w:r w:rsidRPr="00160E67">
        <w:rPr>
          <w:lang w:val="en-US"/>
        </w:rPr>
        <w:t xml:space="preserve">University of Canberra, it is possible that some TAFE institutions are moving into the delivery of associate and degree qualifications </w:t>
      </w:r>
      <w:r w:rsidR="00EB1308">
        <w:rPr>
          <w:lang w:val="en-US"/>
        </w:rPr>
        <w:t>driven by</w:t>
      </w:r>
      <w:r w:rsidRPr="00160E67">
        <w:rPr>
          <w:lang w:val="en-US"/>
        </w:rPr>
        <w:t xml:space="preserve"> status factors. </w:t>
      </w:r>
    </w:p>
    <w:p w:rsidR="00160E67" w:rsidRPr="00160E67" w:rsidRDefault="00824981" w:rsidP="00160E67">
      <w:pPr>
        <w:pStyle w:val="Text"/>
        <w:rPr>
          <w:lang w:val="en-US"/>
        </w:rPr>
      </w:pPr>
      <w:r>
        <w:rPr>
          <w:lang w:val="en-US"/>
        </w:rPr>
        <w:t xml:space="preserve">Indeed, </w:t>
      </w:r>
      <w:r w:rsidR="00160E67" w:rsidRPr="00160E67">
        <w:rPr>
          <w:lang w:val="en-US"/>
        </w:rPr>
        <w:t xml:space="preserve">the implicit assumption </w:t>
      </w:r>
      <w:r>
        <w:rPr>
          <w:lang w:val="en-US"/>
        </w:rPr>
        <w:t xml:space="preserve">needs to be explored that </w:t>
      </w:r>
      <w:r w:rsidR="007D518C">
        <w:rPr>
          <w:lang w:val="en-US"/>
        </w:rPr>
        <w:t>being associated with higher-</w:t>
      </w:r>
      <w:r w:rsidR="00160E67" w:rsidRPr="00160E67">
        <w:rPr>
          <w:lang w:val="en-US"/>
        </w:rPr>
        <w:t xml:space="preserve">level qualifications will bring more status and public recognition to </w:t>
      </w:r>
      <w:r>
        <w:rPr>
          <w:lang w:val="en-US"/>
        </w:rPr>
        <w:t>a</w:t>
      </w:r>
      <w:r w:rsidR="00160E67" w:rsidRPr="00160E67">
        <w:rPr>
          <w:lang w:val="en-US"/>
        </w:rPr>
        <w:t xml:space="preserve"> VET </w:t>
      </w:r>
      <w:proofErr w:type="spellStart"/>
      <w:r w:rsidR="00160E67" w:rsidRPr="00160E67">
        <w:rPr>
          <w:lang w:val="en-US"/>
        </w:rPr>
        <w:t>organisation</w:t>
      </w:r>
      <w:proofErr w:type="spellEnd"/>
      <w:r w:rsidR="00160E67" w:rsidRPr="00160E67">
        <w:rPr>
          <w:lang w:val="en-US"/>
        </w:rPr>
        <w:t xml:space="preserve"> and its employees. Other reports (</w:t>
      </w:r>
      <w:r w:rsidR="007D518C">
        <w:rPr>
          <w:lang w:val="en-US"/>
        </w:rPr>
        <w:t>for example,</w:t>
      </w:r>
      <w:r w:rsidR="00160E67" w:rsidRPr="00160E67">
        <w:rPr>
          <w:lang w:val="en-US"/>
        </w:rPr>
        <w:t xml:space="preserve"> Karme</w:t>
      </w:r>
      <w:r w:rsidR="000448CC">
        <w:rPr>
          <w:lang w:val="en-US"/>
        </w:rPr>
        <w:t>l &amp; Lu</w:t>
      </w:r>
      <w:r w:rsidR="00555B10">
        <w:rPr>
          <w:lang w:val="en-US"/>
        </w:rPr>
        <w:t xml:space="preserve"> 2012) assert that a u</w:t>
      </w:r>
      <w:r w:rsidR="00160E67" w:rsidRPr="00160E67">
        <w:rPr>
          <w:lang w:val="en-US"/>
        </w:rPr>
        <w:t xml:space="preserve">niversity associate degree, with its current advantages </w:t>
      </w:r>
      <w:r w:rsidR="00F8616D">
        <w:rPr>
          <w:lang w:val="en-US"/>
        </w:rPr>
        <w:t>of</w:t>
      </w:r>
      <w:r w:rsidR="00160E67" w:rsidRPr="00160E67">
        <w:rPr>
          <w:lang w:val="en-US"/>
        </w:rPr>
        <w:t xml:space="preserve"> the availability of loans, easier articulation and greater prestige, will attract many students away from slightly cheaper higher VET diploma qualifications. There is evidence </w:t>
      </w:r>
      <w:r w:rsidR="007D518C">
        <w:rPr>
          <w:lang w:val="en-US"/>
        </w:rPr>
        <w:t>however</w:t>
      </w:r>
      <w:r w:rsidR="00160E67" w:rsidRPr="00160E67">
        <w:rPr>
          <w:lang w:val="en-US"/>
        </w:rPr>
        <w:t xml:space="preserve"> that this has not occurred to date. From 2002 to 2011</w:t>
      </w:r>
      <w:r>
        <w:rPr>
          <w:lang w:val="en-US"/>
        </w:rPr>
        <w:t>,</w:t>
      </w:r>
      <w:r w:rsidR="00160E67" w:rsidRPr="00160E67">
        <w:rPr>
          <w:lang w:val="en-US"/>
        </w:rPr>
        <w:t xml:space="preserve"> diplomas in the VET sector maintained their share of student load, and since 2007 </w:t>
      </w:r>
      <w:r>
        <w:rPr>
          <w:lang w:val="en-US"/>
        </w:rPr>
        <w:t>d</w:t>
      </w:r>
      <w:r w:rsidR="00160E67" w:rsidRPr="00160E67">
        <w:rPr>
          <w:lang w:val="en-US"/>
        </w:rPr>
        <w:t xml:space="preserve">iplomas in particular have grown strongly </w:t>
      </w:r>
      <w:r w:rsidR="00F8616D">
        <w:rPr>
          <w:lang w:val="en-US"/>
        </w:rPr>
        <w:t xml:space="preserve">although </w:t>
      </w:r>
      <w:r w:rsidR="00160E67" w:rsidRPr="00160E67">
        <w:rPr>
          <w:lang w:val="en-US"/>
        </w:rPr>
        <w:t>not uniformly. The share of student load attach</w:t>
      </w:r>
      <w:r w:rsidR="007D518C">
        <w:rPr>
          <w:lang w:val="en-US"/>
        </w:rPr>
        <w:t>ed</w:t>
      </w:r>
      <w:r w:rsidR="00160E67" w:rsidRPr="00160E67">
        <w:rPr>
          <w:lang w:val="en-US"/>
        </w:rPr>
        <w:t xml:space="preserve"> to diplomas and advanced diplomas varies remarkably for different fields of education</w:t>
      </w:r>
      <w:r>
        <w:rPr>
          <w:lang w:val="en-US"/>
        </w:rPr>
        <w:t>,</w:t>
      </w:r>
      <w:r w:rsidR="00160E67" w:rsidRPr="00160E67">
        <w:rPr>
          <w:lang w:val="en-US"/>
        </w:rPr>
        <w:t xml:space="preserve"> suggesting that changes are due to factors in the particular field of education and industry area,</w:t>
      </w:r>
      <w:r w:rsidR="00AA334D">
        <w:rPr>
          <w:lang w:val="en-US"/>
        </w:rPr>
        <w:t xml:space="preserve"> </w:t>
      </w:r>
      <w:r w:rsidR="00160E67" w:rsidRPr="00160E67">
        <w:rPr>
          <w:lang w:val="en-US"/>
        </w:rPr>
        <w:t xml:space="preserve">rather than </w:t>
      </w:r>
      <w:r w:rsidR="00F8616D">
        <w:rPr>
          <w:lang w:val="en-US"/>
        </w:rPr>
        <w:t xml:space="preserve">to </w:t>
      </w:r>
      <w:r w:rsidR="00160E67" w:rsidRPr="00160E67">
        <w:rPr>
          <w:lang w:val="en-US"/>
        </w:rPr>
        <w:t xml:space="preserve">the characteristics of the qualification type (Moodie </w:t>
      </w:r>
      <w:r w:rsidR="00F47D03">
        <w:rPr>
          <w:lang w:val="en-US"/>
        </w:rPr>
        <w:t>&amp;</w:t>
      </w:r>
      <w:r w:rsidR="000448CC">
        <w:rPr>
          <w:lang w:val="en-US"/>
        </w:rPr>
        <w:t xml:space="preserve"> Fredman</w:t>
      </w:r>
      <w:r w:rsidR="00160E67" w:rsidRPr="00160E67">
        <w:rPr>
          <w:lang w:val="en-US"/>
        </w:rPr>
        <w:t xml:space="preserve"> 2013).</w:t>
      </w:r>
    </w:p>
    <w:p w:rsidR="00160E67" w:rsidRPr="00160E67" w:rsidRDefault="00160E67" w:rsidP="00160E67">
      <w:pPr>
        <w:pStyle w:val="Text"/>
        <w:rPr>
          <w:lang w:val="en-US"/>
        </w:rPr>
      </w:pPr>
      <w:r w:rsidRPr="00160E67">
        <w:rPr>
          <w:lang w:val="en-US"/>
        </w:rPr>
        <w:t xml:space="preserve">Another major </w:t>
      </w:r>
      <w:r w:rsidR="00C44507">
        <w:rPr>
          <w:lang w:val="en-US"/>
        </w:rPr>
        <w:t xml:space="preserve">impact </w:t>
      </w:r>
      <w:r w:rsidRPr="00160E67">
        <w:rPr>
          <w:lang w:val="en-US"/>
        </w:rPr>
        <w:t xml:space="preserve">on the marketplace for VET higher degree qualifications was the passing of the </w:t>
      </w:r>
      <w:r w:rsidRPr="007D518C">
        <w:rPr>
          <w:i/>
          <w:lang w:val="en-US"/>
        </w:rPr>
        <w:t>Higher Education Support Act</w:t>
      </w:r>
      <w:r w:rsidR="007D518C">
        <w:rPr>
          <w:lang w:val="en-US"/>
        </w:rPr>
        <w:t>, which</w:t>
      </w:r>
      <w:r w:rsidRPr="00160E67">
        <w:rPr>
          <w:lang w:val="en-US"/>
        </w:rPr>
        <w:t xml:space="preserve"> extended government loan support to the non-university higher educat</w:t>
      </w:r>
      <w:r w:rsidR="000448CC">
        <w:rPr>
          <w:lang w:val="en-US"/>
        </w:rPr>
        <w:t>ion sector (Ryan and Associates</w:t>
      </w:r>
      <w:r w:rsidRPr="00160E67">
        <w:rPr>
          <w:lang w:val="en-US"/>
        </w:rPr>
        <w:t xml:space="preserve"> 2012). Since the introduction in 2005 of </w:t>
      </w:r>
      <w:r w:rsidR="007D518C">
        <w:rPr>
          <w:lang w:val="en-US"/>
        </w:rPr>
        <w:t>the government</w:t>
      </w:r>
      <w:r w:rsidR="00C44507">
        <w:rPr>
          <w:lang w:val="en-US"/>
        </w:rPr>
        <w:t>-</w:t>
      </w:r>
      <w:r w:rsidR="007D518C">
        <w:rPr>
          <w:lang w:val="en-US"/>
        </w:rPr>
        <w:t>sponsored income-</w:t>
      </w:r>
      <w:r w:rsidRPr="00160E67">
        <w:rPr>
          <w:lang w:val="en-US"/>
        </w:rPr>
        <w:t>contingent loans (FEE-HELP), non-university providers have moved from receiving 9% (approximately $31 million) of the total FEE-HELP funding in 2005, to 29% ($291 million) in 2011. In addition, other factors at work behind this growth of non-universi</w:t>
      </w:r>
      <w:r w:rsidR="00824981">
        <w:rPr>
          <w:lang w:val="en-US"/>
        </w:rPr>
        <w:t xml:space="preserve">ty providers include </w:t>
      </w:r>
      <w:r w:rsidRPr="00160E67">
        <w:rPr>
          <w:lang w:val="en-US"/>
        </w:rPr>
        <w:t>the approval of new private higher education providers, merger and takeover activity among existing private providers and the introduction of large amounts of equity capital into the private higher educat</w:t>
      </w:r>
      <w:r w:rsidR="000448CC">
        <w:rPr>
          <w:lang w:val="en-US"/>
        </w:rPr>
        <w:t>ion sector (Ryan and Associates</w:t>
      </w:r>
      <w:r w:rsidRPr="00160E67">
        <w:rPr>
          <w:lang w:val="en-US"/>
        </w:rPr>
        <w:t xml:space="preserve"> 2012).</w:t>
      </w:r>
    </w:p>
    <w:p w:rsidR="00160E67" w:rsidRPr="00160E67" w:rsidRDefault="00824981" w:rsidP="00A15E80">
      <w:pPr>
        <w:pStyle w:val="Text"/>
        <w:ind w:right="-143"/>
        <w:rPr>
          <w:lang w:val="en-US"/>
        </w:rPr>
      </w:pPr>
      <w:r>
        <w:rPr>
          <w:lang w:val="en-US"/>
        </w:rPr>
        <w:lastRenderedPageBreak/>
        <w:t xml:space="preserve">In short, </w:t>
      </w:r>
      <w:r w:rsidR="008F76B8">
        <w:rPr>
          <w:lang w:val="en-US"/>
        </w:rPr>
        <w:t>g</w:t>
      </w:r>
      <w:r w:rsidR="00160E67" w:rsidRPr="00160E67">
        <w:rPr>
          <w:lang w:val="en-US"/>
        </w:rPr>
        <w:t xml:space="preserve">overnment actions </w:t>
      </w:r>
      <w:r w:rsidR="007D518C">
        <w:rPr>
          <w:lang w:val="en-US"/>
        </w:rPr>
        <w:t>associated with</w:t>
      </w:r>
      <w:r w:rsidR="00160E67" w:rsidRPr="00160E67">
        <w:rPr>
          <w:lang w:val="en-US"/>
        </w:rPr>
        <w:t xml:space="preserve"> contestability and entitlement have meant that the VET and higher education sectors are accelerating towards a model where market forces </w:t>
      </w:r>
      <w:r w:rsidR="00F8616D" w:rsidRPr="00160E67">
        <w:rPr>
          <w:lang w:val="en-US"/>
        </w:rPr>
        <w:t xml:space="preserve">will </w:t>
      </w:r>
      <w:r w:rsidR="00160E67" w:rsidRPr="00160E67">
        <w:rPr>
          <w:lang w:val="en-US"/>
        </w:rPr>
        <w:t>increasingly determine the flo</w:t>
      </w:r>
      <w:r w:rsidR="00F8616D">
        <w:rPr>
          <w:lang w:val="en-US"/>
        </w:rPr>
        <w:t xml:space="preserve">ws of funding from government. </w:t>
      </w:r>
      <w:r w:rsidR="00160E67" w:rsidRPr="00160E67">
        <w:rPr>
          <w:lang w:val="en-US"/>
        </w:rPr>
        <w:t xml:space="preserve">For over a decade, the VET sector has faced contestable funding from the </w:t>
      </w:r>
      <w:r w:rsidR="007D518C">
        <w:rPr>
          <w:lang w:val="en-US"/>
        </w:rPr>
        <w:t>Commonwealth</w:t>
      </w:r>
      <w:r w:rsidR="00160E67" w:rsidRPr="00160E67">
        <w:rPr>
          <w:lang w:val="en-US"/>
        </w:rPr>
        <w:t xml:space="preserve"> Government</w:t>
      </w:r>
      <w:r w:rsidR="00F8616D">
        <w:rPr>
          <w:lang w:val="en-US"/>
        </w:rPr>
        <w:t>,</w:t>
      </w:r>
      <w:r w:rsidR="00160E67" w:rsidRPr="00160E67">
        <w:rPr>
          <w:lang w:val="en-US"/>
        </w:rPr>
        <w:t xml:space="preserve"> </w:t>
      </w:r>
      <w:r w:rsidR="00F8616D">
        <w:rPr>
          <w:lang w:val="en-US"/>
        </w:rPr>
        <w:t>with the aim of promoting</w:t>
      </w:r>
      <w:r w:rsidR="00160E67" w:rsidRPr="00160E67">
        <w:rPr>
          <w:lang w:val="en-US"/>
        </w:rPr>
        <w:t xml:space="preserve"> more effective delivery of training.</w:t>
      </w:r>
      <w:r w:rsidR="00B45FAD">
        <w:rPr>
          <w:lang w:val="en-US"/>
        </w:rPr>
        <w:t xml:space="preserve"> </w:t>
      </w:r>
      <w:r w:rsidR="00160E67" w:rsidRPr="00160E67">
        <w:rPr>
          <w:lang w:val="en-US"/>
        </w:rPr>
        <w:t>Now with a newer trend emerging</w:t>
      </w:r>
      <w:r w:rsidR="00F8616D">
        <w:rPr>
          <w:lang w:val="en-US"/>
        </w:rPr>
        <w:t xml:space="preserve"> —</w:t>
      </w:r>
      <w:r w:rsidR="000631F0">
        <w:rPr>
          <w:lang w:val="en-US"/>
        </w:rPr>
        <w:t xml:space="preserve"> </w:t>
      </w:r>
      <w:r w:rsidR="00160E67" w:rsidRPr="00160E67">
        <w:rPr>
          <w:lang w:val="en-US"/>
        </w:rPr>
        <w:t>funding based on entitlement (</w:t>
      </w:r>
      <w:r w:rsidR="007D518C">
        <w:rPr>
          <w:lang w:val="en-US"/>
        </w:rPr>
        <w:t>that is,</w:t>
      </w:r>
      <w:r w:rsidR="00160E67" w:rsidRPr="00160E67">
        <w:rPr>
          <w:lang w:val="en-US"/>
        </w:rPr>
        <w:t xml:space="preserve"> the dollars are attached to eligible students and follow the choices made by students amon</w:t>
      </w:r>
      <w:r w:rsidR="00F8616D">
        <w:rPr>
          <w:lang w:val="en-US"/>
        </w:rPr>
        <w:t>g competing providers) —</w:t>
      </w:r>
      <w:r w:rsidR="00160E67" w:rsidRPr="00160E67">
        <w:rPr>
          <w:lang w:val="en-US"/>
        </w:rPr>
        <w:t xml:space="preserve"> providers compete for VET funding on the basis of the number of students they attract. These include TAFE ins</w:t>
      </w:r>
      <w:r w:rsidR="00555B10">
        <w:rPr>
          <w:lang w:val="en-US"/>
        </w:rPr>
        <w:t>titutes, private providers and u</w:t>
      </w:r>
      <w:r w:rsidR="00160E67" w:rsidRPr="00160E67">
        <w:rPr>
          <w:lang w:val="en-US"/>
        </w:rPr>
        <w:t xml:space="preserve">niversities that offer VET qualifications. Victoria and South Australia have adopted entitlement models, while New South Wales, Western Australia and Queensland are considering market-like solutions to increase training participation (Karmel </w:t>
      </w:r>
      <w:r w:rsidR="00F47D03">
        <w:rPr>
          <w:lang w:val="en-US"/>
        </w:rPr>
        <w:t>&amp;</w:t>
      </w:r>
      <w:r w:rsidR="000448CC">
        <w:rPr>
          <w:lang w:val="en-US"/>
        </w:rPr>
        <w:t xml:space="preserve"> Lu</w:t>
      </w:r>
      <w:r w:rsidR="00160E67" w:rsidRPr="00160E67">
        <w:rPr>
          <w:lang w:val="en-US"/>
        </w:rPr>
        <w:t xml:space="preserve"> 2012).</w:t>
      </w:r>
    </w:p>
    <w:p w:rsidR="00160E67" w:rsidRPr="00160E67" w:rsidRDefault="000448CC" w:rsidP="00160E67">
      <w:pPr>
        <w:pStyle w:val="Text"/>
        <w:rPr>
          <w:lang w:val="en-US"/>
        </w:rPr>
      </w:pPr>
      <w:r>
        <w:rPr>
          <w:lang w:val="en-US"/>
        </w:rPr>
        <w:t>However, past work (</w:t>
      </w:r>
      <w:proofErr w:type="gramStart"/>
      <w:r w:rsidR="00D8706F">
        <w:rPr>
          <w:lang w:val="en-US"/>
        </w:rPr>
        <w:t>Shah &amp;</w:t>
      </w:r>
      <w:proofErr w:type="gramEnd"/>
      <w:r w:rsidR="00D8706F">
        <w:rPr>
          <w:lang w:val="en-US"/>
        </w:rPr>
        <w:t xml:space="preserve"> Nair 2013</w:t>
      </w:r>
      <w:r w:rsidR="00160E67" w:rsidRPr="00160E67">
        <w:rPr>
          <w:lang w:val="en-US"/>
        </w:rPr>
        <w:t xml:space="preserve">) into public providers has found that they have </w:t>
      </w:r>
      <w:r w:rsidR="00824981">
        <w:rPr>
          <w:lang w:val="en-US"/>
        </w:rPr>
        <w:t xml:space="preserve">some </w:t>
      </w:r>
      <w:r w:rsidR="00160E67" w:rsidRPr="00160E67">
        <w:rPr>
          <w:lang w:val="en-US"/>
        </w:rPr>
        <w:t xml:space="preserve">difficulty in </w:t>
      </w:r>
      <w:r w:rsidR="00824981">
        <w:rPr>
          <w:lang w:val="en-US"/>
        </w:rPr>
        <w:t xml:space="preserve">these </w:t>
      </w:r>
      <w:r w:rsidR="00160E67" w:rsidRPr="00160E67">
        <w:rPr>
          <w:lang w:val="en-US"/>
        </w:rPr>
        <w:t xml:space="preserve">more contestable markets in competing </w:t>
      </w:r>
      <w:r w:rsidR="00824981">
        <w:rPr>
          <w:lang w:val="en-US"/>
        </w:rPr>
        <w:t>against</w:t>
      </w:r>
      <w:r w:rsidR="00160E67" w:rsidRPr="00160E67">
        <w:rPr>
          <w:lang w:val="en-US"/>
        </w:rPr>
        <w:t xml:space="preserve"> private providers. Public providers have additional costs</w:t>
      </w:r>
      <w:r w:rsidR="007D518C">
        <w:rPr>
          <w:lang w:val="en-US"/>
        </w:rPr>
        <w:t>, which</w:t>
      </w:r>
      <w:r w:rsidR="00160E67" w:rsidRPr="00160E67">
        <w:rPr>
          <w:lang w:val="en-US"/>
        </w:rPr>
        <w:t xml:space="preserve"> include meeting industrial</w:t>
      </w:r>
      <w:r w:rsidR="000631F0">
        <w:rPr>
          <w:lang w:val="en-US"/>
        </w:rPr>
        <w:t xml:space="preserve"> award conditions for employees</w:t>
      </w:r>
      <w:r w:rsidR="00160E67" w:rsidRPr="00160E67">
        <w:rPr>
          <w:lang w:val="en-US"/>
        </w:rPr>
        <w:t xml:space="preserve"> as well as large capital infrastructure and capital maintenance costs</w:t>
      </w:r>
      <w:r w:rsidR="007D518C">
        <w:rPr>
          <w:lang w:val="en-US"/>
        </w:rPr>
        <w:t>, which</w:t>
      </w:r>
      <w:r w:rsidR="00160E67" w:rsidRPr="00160E67">
        <w:rPr>
          <w:lang w:val="en-US"/>
        </w:rPr>
        <w:t xml:space="preserve"> are not experienced by the majority of private providers</w:t>
      </w:r>
      <w:r w:rsidR="00824981">
        <w:rPr>
          <w:lang w:val="en-US"/>
        </w:rPr>
        <w:t xml:space="preserve">. </w:t>
      </w:r>
      <w:r w:rsidR="007D518C">
        <w:rPr>
          <w:lang w:val="en-US"/>
        </w:rPr>
        <w:t>T</w:t>
      </w:r>
      <w:r w:rsidR="007D518C" w:rsidRPr="00160E67">
        <w:rPr>
          <w:lang w:val="en-US"/>
        </w:rPr>
        <w:t xml:space="preserve">hey </w:t>
      </w:r>
      <w:r w:rsidR="007D518C">
        <w:rPr>
          <w:lang w:val="en-US"/>
        </w:rPr>
        <w:t>a</w:t>
      </w:r>
      <w:r w:rsidR="00824981">
        <w:rPr>
          <w:lang w:val="en-US"/>
        </w:rPr>
        <w:t>lso</w:t>
      </w:r>
      <w:r w:rsidR="00160E67" w:rsidRPr="00160E67">
        <w:rPr>
          <w:lang w:val="en-US"/>
        </w:rPr>
        <w:t xml:space="preserve"> have a community service obligation to provide free or low-cost courses for disadvantaged students.</w:t>
      </w:r>
      <w:r w:rsidR="00B45FAD">
        <w:rPr>
          <w:lang w:val="en-US"/>
        </w:rPr>
        <w:t xml:space="preserve"> </w:t>
      </w:r>
    </w:p>
    <w:p w:rsidR="00160E67" w:rsidRPr="00160E67" w:rsidRDefault="00160E67" w:rsidP="00160E67">
      <w:pPr>
        <w:pStyle w:val="Text"/>
        <w:rPr>
          <w:lang w:val="en-US"/>
        </w:rPr>
      </w:pPr>
      <w:r w:rsidRPr="00160E67">
        <w:rPr>
          <w:lang w:val="en-US"/>
        </w:rPr>
        <w:t xml:space="preserve">Looking ahead, a recent report by </w:t>
      </w:r>
      <w:proofErr w:type="spellStart"/>
      <w:r w:rsidRPr="00160E67">
        <w:rPr>
          <w:lang w:val="en-US"/>
        </w:rPr>
        <w:t>IBISWorld</w:t>
      </w:r>
      <w:proofErr w:type="spellEnd"/>
      <w:r w:rsidRPr="00160E67">
        <w:rPr>
          <w:lang w:val="en-US"/>
        </w:rPr>
        <w:t xml:space="preserve"> (2013) proposes that any increase in the national unemployment rate will improve demand for VET courses, as employees seek to update their skills or retrain to improve </w:t>
      </w:r>
      <w:r w:rsidR="000631F0">
        <w:rPr>
          <w:lang w:val="en-US"/>
        </w:rPr>
        <w:t xml:space="preserve">their </w:t>
      </w:r>
      <w:r w:rsidRPr="00160E67">
        <w:rPr>
          <w:lang w:val="en-US"/>
        </w:rPr>
        <w:t xml:space="preserve">employment prospects. </w:t>
      </w:r>
      <w:r w:rsidR="000B39F9">
        <w:rPr>
          <w:lang w:val="en-US"/>
        </w:rPr>
        <w:t>The</w:t>
      </w:r>
      <w:r w:rsidRPr="00160E67">
        <w:rPr>
          <w:lang w:val="en-US"/>
        </w:rPr>
        <w:t xml:space="preserve"> VET </w:t>
      </w:r>
      <w:r w:rsidR="000B39F9">
        <w:rPr>
          <w:lang w:val="en-US"/>
        </w:rPr>
        <w:t>sector</w:t>
      </w:r>
      <w:r w:rsidRPr="00160E67">
        <w:rPr>
          <w:lang w:val="en-US"/>
        </w:rPr>
        <w:t xml:space="preserve"> offers a </w:t>
      </w:r>
      <w:r w:rsidR="000B39F9">
        <w:rPr>
          <w:lang w:val="en-US"/>
        </w:rPr>
        <w:t>variety of qualifications</w:t>
      </w:r>
      <w:r w:rsidR="000631F0">
        <w:rPr>
          <w:lang w:val="en-US"/>
        </w:rPr>
        <w:t>,</w:t>
      </w:r>
      <w:r w:rsidR="000B39F9">
        <w:rPr>
          <w:lang w:val="en-US"/>
        </w:rPr>
        <w:t xml:space="preserve"> from</w:t>
      </w:r>
      <w:r w:rsidR="00A15E80">
        <w:rPr>
          <w:lang w:val="en-US"/>
        </w:rPr>
        <w:t> </w:t>
      </w:r>
      <w:r w:rsidR="000B39F9">
        <w:rPr>
          <w:lang w:val="en-US"/>
        </w:rPr>
        <w:t>c</w:t>
      </w:r>
      <w:r w:rsidRPr="00160E67">
        <w:rPr>
          <w:lang w:val="en-US"/>
        </w:rPr>
        <w:t xml:space="preserve">ertificate I to degree qualifications, </w:t>
      </w:r>
      <w:r w:rsidR="000B39F9">
        <w:rPr>
          <w:lang w:val="en-US"/>
        </w:rPr>
        <w:t xml:space="preserve">which means that the sector </w:t>
      </w:r>
      <w:r w:rsidR="00824981">
        <w:rPr>
          <w:lang w:val="en-US"/>
        </w:rPr>
        <w:t>is</w:t>
      </w:r>
      <w:r w:rsidRPr="00160E67">
        <w:rPr>
          <w:lang w:val="en-US"/>
        </w:rPr>
        <w:t xml:space="preserve"> well positioned strategically to capture a large share of the market from higher education providers</w:t>
      </w:r>
      <w:r w:rsidR="00C44507">
        <w:rPr>
          <w:lang w:val="en-US"/>
        </w:rPr>
        <w:t>,</w:t>
      </w:r>
      <w:r w:rsidRPr="00160E67">
        <w:rPr>
          <w:lang w:val="en-US"/>
        </w:rPr>
        <w:t xml:space="preserve"> </w:t>
      </w:r>
      <w:r w:rsidR="00C44507">
        <w:rPr>
          <w:lang w:val="en-US"/>
        </w:rPr>
        <w:t>which</w:t>
      </w:r>
      <w:r w:rsidRPr="00160E67">
        <w:rPr>
          <w:lang w:val="en-US"/>
        </w:rPr>
        <w:t xml:space="preserve"> typically have higher entry requirements. However, </w:t>
      </w:r>
      <w:proofErr w:type="spellStart"/>
      <w:r w:rsidR="00824981">
        <w:rPr>
          <w:lang w:val="en-US"/>
        </w:rPr>
        <w:t>IBISWorld</w:t>
      </w:r>
      <w:proofErr w:type="spellEnd"/>
      <w:r w:rsidR="00824981">
        <w:rPr>
          <w:lang w:val="en-US"/>
        </w:rPr>
        <w:t xml:space="preserve"> (2013) predicts that </w:t>
      </w:r>
      <w:r w:rsidRPr="00160E67">
        <w:rPr>
          <w:lang w:val="en-US"/>
        </w:rPr>
        <w:t xml:space="preserve">the extension of the VET-FEE-HELP scheme </w:t>
      </w:r>
      <w:r w:rsidR="00824981">
        <w:rPr>
          <w:lang w:val="en-US"/>
        </w:rPr>
        <w:t>will</w:t>
      </w:r>
      <w:r w:rsidRPr="00160E67">
        <w:rPr>
          <w:lang w:val="en-US"/>
        </w:rPr>
        <w:t xml:space="preserve"> assist private providers more than TAFE institutions </w:t>
      </w:r>
      <w:r w:rsidR="000B39F9">
        <w:rPr>
          <w:lang w:val="en-US"/>
        </w:rPr>
        <w:t>to increase</w:t>
      </w:r>
      <w:r w:rsidR="00824981">
        <w:rPr>
          <w:lang w:val="en-US"/>
        </w:rPr>
        <w:t xml:space="preserve"> their numbers </w:t>
      </w:r>
      <w:r w:rsidR="001F695E">
        <w:rPr>
          <w:lang w:val="en-US"/>
        </w:rPr>
        <w:t>for</w:t>
      </w:r>
      <w:r w:rsidR="00824981">
        <w:rPr>
          <w:lang w:val="en-US"/>
        </w:rPr>
        <w:t xml:space="preserve"> </w:t>
      </w:r>
      <w:r w:rsidRPr="00160E67">
        <w:rPr>
          <w:lang w:val="en-US"/>
        </w:rPr>
        <w:t>VET degree qualifications.</w:t>
      </w:r>
    </w:p>
    <w:p w:rsidR="00160E67" w:rsidRDefault="00160E67" w:rsidP="00A15E80">
      <w:pPr>
        <w:pStyle w:val="Text"/>
        <w:rPr>
          <w:lang w:val="en-US"/>
        </w:rPr>
      </w:pPr>
      <w:r w:rsidRPr="00160E67">
        <w:rPr>
          <w:lang w:val="en-US"/>
        </w:rPr>
        <w:t>In summary, the public and private VET and higher education sectors are operating in a changing and complex marketplace</w:t>
      </w:r>
      <w:r w:rsidR="000B39F9">
        <w:rPr>
          <w:lang w:val="en-US"/>
        </w:rPr>
        <w:t>, which</w:t>
      </w:r>
      <w:r w:rsidRPr="00160E67">
        <w:rPr>
          <w:lang w:val="en-US"/>
        </w:rPr>
        <w:t xml:space="preserve"> will increasingly encourage the formation of alliances to share risk, develop curricula, deliver training programs and share facilities. Both sectors are responding to actions taken by the </w:t>
      </w:r>
      <w:r w:rsidR="000B39F9">
        <w:rPr>
          <w:lang w:val="en-US"/>
        </w:rPr>
        <w:t>Commonwealth</w:t>
      </w:r>
      <w:r w:rsidRPr="00160E67">
        <w:rPr>
          <w:lang w:val="en-US"/>
        </w:rPr>
        <w:t xml:space="preserve"> Government that push for a </w:t>
      </w:r>
      <w:proofErr w:type="spellStart"/>
      <w:r w:rsidRPr="00160E67">
        <w:rPr>
          <w:lang w:val="en-US"/>
        </w:rPr>
        <w:t>realisation</w:t>
      </w:r>
      <w:proofErr w:type="spellEnd"/>
      <w:r w:rsidRPr="00160E67">
        <w:rPr>
          <w:lang w:val="en-US"/>
        </w:rPr>
        <w:t xml:space="preserve"> of the </w:t>
      </w:r>
      <w:r w:rsidRPr="00A15E80">
        <w:t>many</w:t>
      </w:r>
      <w:r w:rsidRPr="00160E67">
        <w:rPr>
          <w:lang w:val="en-US"/>
        </w:rPr>
        <w:t xml:space="preserve"> aspirations descri</w:t>
      </w:r>
      <w:r w:rsidR="000B39F9">
        <w:rPr>
          <w:lang w:val="en-US"/>
        </w:rPr>
        <w:t>bed in a variety of reports to g</w:t>
      </w:r>
      <w:r w:rsidRPr="00160E67">
        <w:rPr>
          <w:lang w:val="en-US"/>
        </w:rPr>
        <w:t xml:space="preserve">overnment </w:t>
      </w:r>
      <w:r w:rsidR="000B39F9">
        <w:rPr>
          <w:lang w:val="en-US"/>
        </w:rPr>
        <w:t>(</w:t>
      </w:r>
      <w:r w:rsidR="000448CC">
        <w:rPr>
          <w:lang w:val="en-US"/>
        </w:rPr>
        <w:t xml:space="preserve">Bradley </w:t>
      </w:r>
      <w:r w:rsidR="000B39F9">
        <w:rPr>
          <w:lang w:val="en-US"/>
        </w:rPr>
        <w:t>et al.</w:t>
      </w:r>
      <w:r w:rsidR="000448CC">
        <w:rPr>
          <w:lang w:val="en-US"/>
        </w:rPr>
        <w:t xml:space="preserve"> 2008; Dow &amp; Braithwaite</w:t>
      </w:r>
      <w:r w:rsidR="00822423">
        <w:rPr>
          <w:lang w:val="en-US"/>
        </w:rPr>
        <w:t xml:space="preserve"> 2013). TAFE</w:t>
      </w:r>
      <w:r w:rsidR="000B39F9">
        <w:rPr>
          <w:lang w:val="en-US"/>
        </w:rPr>
        <w:t xml:space="preserve"> institute</w:t>
      </w:r>
      <w:r w:rsidR="00822423">
        <w:rPr>
          <w:lang w:val="en-US"/>
        </w:rPr>
        <w:t>s</w:t>
      </w:r>
      <w:r w:rsidRPr="00160E67">
        <w:rPr>
          <w:lang w:val="en-US"/>
        </w:rPr>
        <w:t xml:space="preserve"> will </w:t>
      </w:r>
      <w:r w:rsidR="000B39F9">
        <w:rPr>
          <w:lang w:val="en-US"/>
        </w:rPr>
        <w:t xml:space="preserve">form </w:t>
      </w:r>
      <w:r w:rsidR="00555B10">
        <w:rPr>
          <w:lang w:val="en-US"/>
        </w:rPr>
        <w:t>alliance</w:t>
      </w:r>
      <w:r w:rsidR="000B39F9">
        <w:rPr>
          <w:lang w:val="en-US"/>
        </w:rPr>
        <w:t>s</w:t>
      </w:r>
      <w:r w:rsidR="00555B10">
        <w:rPr>
          <w:lang w:val="en-US"/>
        </w:rPr>
        <w:t xml:space="preserve"> with each other, with u</w:t>
      </w:r>
      <w:r w:rsidRPr="00160E67">
        <w:rPr>
          <w:lang w:val="en-US"/>
        </w:rPr>
        <w:t>niversities and with private providers. However, some TAFE</w:t>
      </w:r>
      <w:r w:rsidR="000B39F9">
        <w:rPr>
          <w:lang w:val="en-US"/>
        </w:rPr>
        <w:t xml:space="preserve"> institutes</w:t>
      </w:r>
      <w:r w:rsidRPr="00160E67">
        <w:rPr>
          <w:lang w:val="en-US"/>
        </w:rPr>
        <w:t xml:space="preserve"> and some private providers will offer associate degree and degree qualifications </w:t>
      </w:r>
      <w:r w:rsidR="000631F0">
        <w:rPr>
          <w:lang w:val="en-US"/>
        </w:rPr>
        <w:t>without establishing alliances</w:t>
      </w:r>
      <w:r w:rsidRPr="00160E67">
        <w:rPr>
          <w:lang w:val="en-US"/>
        </w:rPr>
        <w:t xml:space="preserve">, and their reasons for choosing this strategy is one </w:t>
      </w:r>
      <w:r w:rsidR="00FD2408">
        <w:rPr>
          <w:lang w:val="en-US"/>
        </w:rPr>
        <w:t>issue that requires further investigation</w:t>
      </w:r>
      <w:r w:rsidRPr="00160E67">
        <w:rPr>
          <w:lang w:val="en-US"/>
        </w:rPr>
        <w:t>.</w:t>
      </w:r>
    </w:p>
    <w:p w:rsidR="00160E67" w:rsidRDefault="00160E67" w:rsidP="00160E67">
      <w:pPr>
        <w:pStyle w:val="Heading2"/>
        <w:rPr>
          <w:lang w:val="en-US"/>
        </w:rPr>
      </w:pPr>
      <w:bookmarkStart w:id="34" w:name="_Toc369178818"/>
      <w:r w:rsidRPr="00160E67">
        <w:rPr>
          <w:lang w:val="en-US"/>
        </w:rPr>
        <w:t>Capability and attitudinal issues</w:t>
      </w:r>
      <w:bookmarkEnd w:id="34"/>
    </w:p>
    <w:p w:rsidR="00160E67" w:rsidRPr="00160E67" w:rsidRDefault="00C436C7" w:rsidP="00160E67">
      <w:pPr>
        <w:pStyle w:val="Text"/>
        <w:rPr>
          <w:lang w:val="en-US"/>
        </w:rPr>
      </w:pPr>
      <w:r>
        <w:rPr>
          <w:lang w:val="en-US"/>
        </w:rPr>
        <w:t>Another set of key questions</w:t>
      </w:r>
      <w:r w:rsidRPr="00C436C7">
        <w:rPr>
          <w:lang w:val="en-US"/>
        </w:rPr>
        <w:t xml:space="preserve"> </w:t>
      </w:r>
      <w:r w:rsidR="000B39F9">
        <w:rPr>
          <w:lang w:val="en-US"/>
        </w:rPr>
        <w:t>relate</w:t>
      </w:r>
      <w:r w:rsidR="000631F0">
        <w:rPr>
          <w:lang w:val="en-US"/>
        </w:rPr>
        <w:t>s</w:t>
      </w:r>
      <w:r w:rsidR="000B39F9">
        <w:rPr>
          <w:lang w:val="en-US"/>
        </w:rPr>
        <w:t xml:space="preserve"> to</w:t>
      </w:r>
      <w:r>
        <w:rPr>
          <w:lang w:val="en-US"/>
        </w:rPr>
        <w:t xml:space="preserve"> the capability of VET </w:t>
      </w:r>
      <w:proofErr w:type="spellStart"/>
      <w:r>
        <w:rPr>
          <w:lang w:val="en-US"/>
        </w:rPr>
        <w:t>organisations</w:t>
      </w:r>
      <w:proofErr w:type="spellEnd"/>
      <w:r>
        <w:rPr>
          <w:lang w:val="en-US"/>
        </w:rPr>
        <w:t xml:space="preserve"> to deliver associate and </w:t>
      </w:r>
      <w:r w:rsidR="0053219E">
        <w:rPr>
          <w:lang w:val="en-US"/>
        </w:rPr>
        <w:t xml:space="preserve">bachelor </w:t>
      </w:r>
      <w:r>
        <w:rPr>
          <w:lang w:val="en-US"/>
        </w:rPr>
        <w:t>degree qualifications.</w:t>
      </w:r>
      <w:r w:rsidR="00160E67" w:rsidRPr="00160E67">
        <w:rPr>
          <w:lang w:val="en-US"/>
        </w:rPr>
        <w:t xml:space="preserve"> Simons (2012) envisages </w:t>
      </w:r>
      <w:r>
        <w:rPr>
          <w:lang w:val="en-US"/>
        </w:rPr>
        <w:t xml:space="preserve">that </w:t>
      </w:r>
      <w:r w:rsidR="00160E67" w:rsidRPr="00160E67">
        <w:rPr>
          <w:lang w:val="en-US"/>
        </w:rPr>
        <w:t xml:space="preserve">both sectors </w:t>
      </w:r>
      <w:r>
        <w:rPr>
          <w:lang w:val="en-US"/>
        </w:rPr>
        <w:t>will compete</w:t>
      </w:r>
      <w:r w:rsidR="00160E67" w:rsidRPr="00160E67">
        <w:rPr>
          <w:lang w:val="en-US"/>
        </w:rPr>
        <w:t xml:space="preserve"> for educators </w:t>
      </w:r>
      <w:r w:rsidR="000631F0">
        <w:rPr>
          <w:lang w:val="en-US"/>
        </w:rPr>
        <w:t>with</w:t>
      </w:r>
      <w:r w:rsidR="00160E67" w:rsidRPr="00160E67">
        <w:rPr>
          <w:lang w:val="en-US"/>
        </w:rPr>
        <w:t xml:space="preserve"> the capabilities to work across sectors to support the development and maintenance of more integrated</w:t>
      </w:r>
      <w:r>
        <w:rPr>
          <w:lang w:val="en-US"/>
        </w:rPr>
        <w:t xml:space="preserve"> pathways for learners. She states that </w:t>
      </w:r>
      <w:r w:rsidR="00160E67" w:rsidRPr="00160E67">
        <w:rPr>
          <w:lang w:val="en-US"/>
        </w:rPr>
        <w:t xml:space="preserve">the preferred strategy is a model </w:t>
      </w:r>
      <w:r>
        <w:rPr>
          <w:lang w:val="en-US"/>
        </w:rPr>
        <w:t xml:space="preserve">of </w:t>
      </w:r>
      <w:r w:rsidR="00160E67" w:rsidRPr="00160E67">
        <w:rPr>
          <w:lang w:val="en-US"/>
        </w:rPr>
        <w:t xml:space="preserve">workforce development that improves the capabilities of the teaching workforces </w:t>
      </w:r>
      <w:r w:rsidR="000631F0">
        <w:rPr>
          <w:lang w:val="en-US"/>
        </w:rPr>
        <w:t>of</w:t>
      </w:r>
      <w:r w:rsidR="00160E67" w:rsidRPr="00160E67">
        <w:rPr>
          <w:lang w:val="en-US"/>
        </w:rPr>
        <w:t xml:space="preserve"> both sectors to achieve a more effective and high-performing tertiary sector. </w:t>
      </w:r>
      <w:r>
        <w:rPr>
          <w:lang w:val="en-US"/>
        </w:rPr>
        <w:t>Looking at this issue</w:t>
      </w:r>
      <w:r w:rsidR="00160E67" w:rsidRPr="00160E67">
        <w:rPr>
          <w:lang w:val="en-US"/>
        </w:rPr>
        <w:t>, Oliver (2013) beli</w:t>
      </w:r>
      <w:r w:rsidR="00555B10">
        <w:rPr>
          <w:lang w:val="en-US"/>
        </w:rPr>
        <w:t>eves that the flexibility that u</w:t>
      </w:r>
      <w:r w:rsidR="00160E67" w:rsidRPr="00160E67">
        <w:rPr>
          <w:lang w:val="en-US"/>
        </w:rPr>
        <w:t xml:space="preserve">niversities currently have to employ teaching-focused academics </w:t>
      </w:r>
      <w:r>
        <w:rPr>
          <w:lang w:val="en-US"/>
        </w:rPr>
        <w:t>will be</w:t>
      </w:r>
      <w:r w:rsidR="00160E67" w:rsidRPr="00160E67">
        <w:rPr>
          <w:lang w:val="en-US"/>
        </w:rPr>
        <w:t xml:space="preserve"> a source of competitive advantage over TAFE institutes in attracting degree-level students on a cost basis. </w:t>
      </w:r>
    </w:p>
    <w:p w:rsidR="00160E67" w:rsidRPr="00160E67" w:rsidRDefault="00160E67" w:rsidP="00160E67">
      <w:pPr>
        <w:pStyle w:val="Text"/>
        <w:rPr>
          <w:lang w:val="en-US"/>
        </w:rPr>
      </w:pPr>
      <w:r w:rsidRPr="00160E67">
        <w:rPr>
          <w:lang w:val="en-US"/>
        </w:rPr>
        <w:lastRenderedPageBreak/>
        <w:t xml:space="preserve">There are </w:t>
      </w:r>
      <w:r w:rsidR="00C436C7">
        <w:rPr>
          <w:lang w:val="en-US"/>
        </w:rPr>
        <w:t xml:space="preserve">some </w:t>
      </w:r>
      <w:r w:rsidRPr="00160E67">
        <w:rPr>
          <w:lang w:val="en-US"/>
        </w:rPr>
        <w:t xml:space="preserve">concerns about the capabilities of VET </w:t>
      </w:r>
      <w:proofErr w:type="spellStart"/>
      <w:r w:rsidRPr="00160E67">
        <w:rPr>
          <w:lang w:val="en-US"/>
        </w:rPr>
        <w:t>organisations</w:t>
      </w:r>
      <w:proofErr w:type="spellEnd"/>
      <w:r w:rsidRPr="00160E67">
        <w:rPr>
          <w:lang w:val="en-US"/>
        </w:rPr>
        <w:t xml:space="preserve"> to deliver higher education degree qualifications. VET </w:t>
      </w:r>
      <w:proofErr w:type="spellStart"/>
      <w:r w:rsidRPr="00160E67">
        <w:rPr>
          <w:lang w:val="en-US"/>
        </w:rPr>
        <w:t>organisations</w:t>
      </w:r>
      <w:proofErr w:type="spellEnd"/>
      <w:r w:rsidRPr="00160E67">
        <w:rPr>
          <w:lang w:val="en-US"/>
        </w:rPr>
        <w:t xml:space="preserve"> and their teachers are accustomed to the use of non-graded assessment in their sector, and this factor </w:t>
      </w:r>
      <w:r w:rsidR="008F76B8">
        <w:rPr>
          <w:lang w:val="en-US"/>
        </w:rPr>
        <w:t>has been cited</w:t>
      </w:r>
      <w:r w:rsidRPr="00160E67">
        <w:rPr>
          <w:lang w:val="en-US"/>
        </w:rPr>
        <w:t xml:space="preserve"> as a major barrier to the admission of VET students to</w:t>
      </w:r>
      <w:r w:rsidR="000448CC">
        <w:rPr>
          <w:lang w:val="en-US"/>
        </w:rPr>
        <w:t xml:space="preserve"> higher education (Phillips KPA</w:t>
      </w:r>
      <w:r w:rsidRPr="00160E67">
        <w:rPr>
          <w:lang w:val="en-US"/>
        </w:rPr>
        <w:t xml:space="preserve"> 2006). As a specific example, Foreman</w:t>
      </w:r>
      <w:r w:rsidR="000B39F9">
        <w:rPr>
          <w:lang w:val="en-US"/>
        </w:rPr>
        <w:t xml:space="preserve">, Davis and Bone </w:t>
      </w:r>
      <w:r w:rsidRPr="00160E67">
        <w:rPr>
          <w:lang w:val="en-US"/>
        </w:rPr>
        <w:t>(2003) found that most assessors in VET institutions wanted more assessor skills and experience, and more time and resources to complete quality assessments</w:t>
      </w:r>
      <w:r w:rsidR="00144049">
        <w:rPr>
          <w:lang w:val="en-US"/>
        </w:rPr>
        <w:t>,</w:t>
      </w:r>
      <w:r w:rsidRPr="00160E67">
        <w:rPr>
          <w:lang w:val="en-US"/>
        </w:rPr>
        <w:t xml:space="preserve"> given the greater complexity associated with </w:t>
      </w:r>
      <w:r w:rsidR="00144049">
        <w:rPr>
          <w:lang w:val="en-US"/>
        </w:rPr>
        <w:t xml:space="preserve">the </w:t>
      </w:r>
      <w:r w:rsidRPr="00160E67">
        <w:rPr>
          <w:lang w:val="en-US"/>
        </w:rPr>
        <w:t xml:space="preserve">assessment </w:t>
      </w:r>
      <w:r w:rsidR="000631F0">
        <w:rPr>
          <w:lang w:val="en-US"/>
        </w:rPr>
        <w:t>of diploma and advanced diploma-</w:t>
      </w:r>
      <w:r w:rsidRPr="00160E67">
        <w:rPr>
          <w:lang w:val="en-US"/>
        </w:rPr>
        <w:t>level qualifications. Indeed, many VET assessors reported that they had only basic assessment training.</w:t>
      </w:r>
      <w:r w:rsidR="00B45FAD">
        <w:rPr>
          <w:lang w:val="en-US"/>
        </w:rPr>
        <w:t xml:space="preserve"> </w:t>
      </w:r>
    </w:p>
    <w:p w:rsidR="00160E67" w:rsidRPr="00160E67" w:rsidRDefault="00160E67" w:rsidP="00A15E80">
      <w:pPr>
        <w:pStyle w:val="Text"/>
        <w:ind w:right="-143"/>
        <w:rPr>
          <w:lang w:val="en-US"/>
        </w:rPr>
      </w:pPr>
      <w:r w:rsidRPr="00160E67">
        <w:rPr>
          <w:lang w:val="en-US"/>
        </w:rPr>
        <w:t xml:space="preserve">Achieving the </w:t>
      </w:r>
      <w:r w:rsidR="000631F0">
        <w:rPr>
          <w:lang w:val="en-US"/>
        </w:rPr>
        <w:t xml:space="preserve">appropriate </w:t>
      </w:r>
      <w:r w:rsidRPr="00160E67">
        <w:rPr>
          <w:lang w:val="en-US"/>
        </w:rPr>
        <w:t>mix of applied and complex knowledge in higher-level VET qualifications is another challenge. Priest (2009) investigated the inclusion of theoretical knowledge in the competency-based format of the vocational qualification. She found that, as in any competency-based qualification, the level of cognitive skill is expressed in terms of actions and differs considerably from a higher education qualification in the same discipline. However, she also describes a process whereby VET practitioners might apply the competency-based framework to bring together theory and practice in a way that facilitates the articulation of the levels of tacit knowledge required by industry.</w:t>
      </w:r>
    </w:p>
    <w:p w:rsidR="00160E67" w:rsidRPr="00160E67" w:rsidRDefault="00144049" w:rsidP="00160E67">
      <w:pPr>
        <w:pStyle w:val="Text"/>
        <w:rPr>
          <w:lang w:val="en-US"/>
        </w:rPr>
      </w:pPr>
      <w:r>
        <w:rPr>
          <w:lang w:val="en-US"/>
        </w:rPr>
        <w:t>Apart from</w:t>
      </w:r>
      <w:r w:rsidR="00160E67" w:rsidRPr="00160E67">
        <w:rPr>
          <w:lang w:val="en-US"/>
        </w:rPr>
        <w:t xml:space="preserve"> issues of teacher skills and knowledge, there are attitudinal barriers that need to be managed in winning the support of VET teachers </w:t>
      </w:r>
      <w:r w:rsidR="000631F0">
        <w:rPr>
          <w:lang w:val="en-US"/>
        </w:rPr>
        <w:t>in</w:t>
      </w:r>
      <w:r w:rsidR="00160E67" w:rsidRPr="00160E67">
        <w:rPr>
          <w:lang w:val="en-US"/>
        </w:rPr>
        <w:t xml:space="preserve"> deliver</w:t>
      </w:r>
      <w:r w:rsidR="000631F0">
        <w:rPr>
          <w:lang w:val="en-US"/>
        </w:rPr>
        <w:t>ing</w:t>
      </w:r>
      <w:r w:rsidR="00160E67" w:rsidRPr="00160E67">
        <w:rPr>
          <w:lang w:val="en-US"/>
        </w:rPr>
        <w:t xml:space="preserve"> new qualification</w:t>
      </w:r>
      <w:r>
        <w:rPr>
          <w:lang w:val="en-US"/>
        </w:rPr>
        <w:t>s and</w:t>
      </w:r>
      <w:r w:rsidR="000631F0">
        <w:rPr>
          <w:lang w:val="en-US"/>
        </w:rPr>
        <w:t xml:space="preserve"> promoting</w:t>
      </w:r>
      <w:r>
        <w:rPr>
          <w:lang w:val="en-US"/>
        </w:rPr>
        <w:t xml:space="preserve"> articulation. </w:t>
      </w:r>
      <w:r w:rsidR="00160E67" w:rsidRPr="00160E67">
        <w:rPr>
          <w:lang w:val="en-US"/>
        </w:rPr>
        <w:t xml:space="preserve">TAFE staff are described as ‘quite passive’ about articulation </w:t>
      </w:r>
      <w:r w:rsidR="006A544F">
        <w:rPr>
          <w:lang w:val="en-US"/>
        </w:rPr>
        <w:t>to</w:t>
      </w:r>
      <w:r w:rsidR="00160E67" w:rsidRPr="00160E67">
        <w:rPr>
          <w:lang w:val="en-US"/>
        </w:rPr>
        <w:t xml:space="preserve"> higher education, judging articulation from diplomas and associate degrees to conflict with the primary mission of TAFE of achieving job outcomes. </w:t>
      </w:r>
      <w:r>
        <w:rPr>
          <w:lang w:val="en-US"/>
        </w:rPr>
        <w:t>T</w:t>
      </w:r>
      <w:r w:rsidRPr="00160E67">
        <w:rPr>
          <w:lang w:val="en-US"/>
        </w:rPr>
        <w:t xml:space="preserve">hey are </w:t>
      </w:r>
      <w:r>
        <w:rPr>
          <w:lang w:val="en-US"/>
        </w:rPr>
        <w:t>a</w:t>
      </w:r>
      <w:r w:rsidR="00160E67" w:rsidRPr="00160E67">
        <w:rPr>
          <w:lang w:val="en-US"/>
        </w:rPr>
        <w:t xml:space="preserve">lso concerned that TAFE-based qualifications are devalued and become ‘mere doormats’ to higher education (University of </w:t>
      </w:r>
      <w:proofErr w:type="spellStart"/>
      <w:r w:rsidR="00160E67" w:rsidRPr="00160E67">
        <w:rPr>
          <w:lang w:val="en-US"/>
        </w:rPr>
        <w:t>Ballarat</w:t>
      </w:r>
      <w:proofErr w:type="spellEnd"/>
      <w:r w:rsidR="00160E67" w:rsidRPr="00160E67">
        <w:rPr>
          <w:lang w:val="en-US"/>
        </w:rPr>
        <w:t xml:space="preserve"> </w:t>
      </w:r>
      <w:r w:rsidR="000631F0">
        <w:rPr>
          <w:lang w:val="en-US"/>
        </w:rPr>
        <w:t>&amp;</w:t>
      </w:r>
      <w:r w:rsidR="00160E67" w:rsidRPr="00160E67">
        <w:rPr>
          <w:lang w:val="en-US"/>
        </w:rPr>
        <w:t xml:space="preserve"> Sw</w:t>
      </w:r>
      <w:r w:rsidR="000448CC">
        <w:rPr>
          <w:lang w:val="en-US"/>
        </w:rPr>
        <w:t>inburne Institute of Technology</w:t>
      </w:r>
      <w:r w:rsidR="00160E67" w:rsidRPr="00160E67">
        <w:rPr>
          <w:lang w:val="en-US"/>
        </w:rPr>
        <w:t xml:space="preserve"> 2010). </w:t>
      </w:r>
    </w:p>
    <w:p w:rsidR="00160E67" w:rsidRDefault="00160E67" w:rsidP="00160E67">
      <w:pPr>
        <w:pStyle w:val="Text"/>
        <w:rPr>
          <w:lang w:val="en-US"/>
        </w:rPr>
      </w:pPr>
      <w:r w:rsidRPr="00160E67">
        <w:rPr>
          <w:lang w:val="en-US"/>
        </w:rPr>
        <w:t>Similarly, Priest (2009) found that VET teachers rate high-level VET qualifications as poor cousins to</w:t>
      </w:r>
      <w:r w:rsidR="00555B10">
        <w:rPr>
          <w:lang w:val="en-US"/>
        </w:rPr>
        <w:t xml:space="preserve"> their u</w:t>
      </w:r>
      <w:r w:rsidRPr="00160E67">
        <w:rPr>
          <w:lang w:val="en-US"/>
        </w:rPr>
        <w:t>niversity counterparts. However, she believes that TAFE higher education qualifications, if appropriately re-positioned, do offe</w:t>
      </w:r>
      <w:r w:rsidR="00555B10">
        <w:rPr>
          <w:lang w:val="en-US"/>
        </w:rPr>
        <w:t>r a distinctive alternative to u</w:t>
      </w:r>
      <w:r w:rsidRPr="00160E67">
        <w:rPr>
          <w:lang w:val="en-US"/>
        </w:rPr>
        <w:t xml:space="preserve">niversity-based qualifications and could alter public attitudes. </w:t>
      </w:r>
      <w:r w:rsidR="00144049">
        <w:rPr>
          <w:lang w:val="en-US"/>
        </w:rPr>
        <w:t>S</w:t>
      </w:r>
      <w:r w:rsidR="00144049" w:rsidRPr="00160E67">
        <w:rPr>
          <w:lang w:val="en-US"/>
        </w:rPr>
        <w:t>he arg</w:t>
      </w:r>
      <w:r w:rsidR="00144049">
        <w:rPr>
          <w:lang w:val="en-US"/>
        </w:rPr>
        <w:t>ues that, r</w:t>
      </w:r>
      <w:r w:rsidRPr="00160E67">
        <w:rPr>
          <w:lang w:val="en-US"/>
        </w:rPr>
        <w:t>ather than imitate universities, VET high-level qualifications need to be put forw</w:t>
      </w:r>
      <w:r w:rsidR="00555B10">
        <w:rPr>
          <w:lang w:val="en-US"/>
        </w:rPr>
        <w:t>ard as a strong alternative to u</w:t>
      </w:r>
      <w:r w:rsidRPr="00160E67">
        <w:rPr>
          <w:lang w:val="en-US"/>
        </w:rPr>
        <w:t xml:space="preserve">niversity graduate qualifications, with VET institutions focusing on the high levels of applied knowledge from </w:t>
      </w:r>
      <w:r w:rsidR="00C436C7">
        <w:rPr>
          <w:lang w:val="en-US"/>
        </w:rPr>
        <w:t xml:space="preserve">their </w:t>
      </w:r>
      <w:r w:rsidRPr="00160E67">
        <w:rPr>
          <w:lang w:val="en-US"/>
        </w:rPr>
        <w:t>extensive industry experience and collaboration that they can bring to the delivery of these qualifications.</w:t>
      </w:r>
    </w:p>
    <w:p w:rsidR="00160E67" w:rsidRDefault="00160E67" w:rsidP="00160E67">
      <w:pPr>
        <w:pStyle w:val="Heading2"/>
        <w:rPr>
          <w:lang w:val="en-US"/>
        </w:rPr>
      </w:pPr>
      <w:bookmarkStart w:id="35" w:name="_Toc369178819"/>
      <w:r w:rsidRPr="00160E67">
        <w:rPr>
          <w:lang w:val="en-US"/>
        </w:rPr>
        <w:t>Operational</w:t>
      </w:r>
      <w:r>
        <w:rPr>
          <w:lang w:val="en-US"/>
        </w:rPr>
        <w:t xml:space="preserve"> issues</w:t>
      </w:r>
      <w:bookmarkEnd w:id="35"/>
    </w:p>
    <w:p w:rsidR="00160E67" w:rsidRPr="00160E67" w:rsidRDefault="00160E67" w:rsidP="00160E67">
      <w:pPr>
        <w:pStyle w:val="Text"/>
        <w:rPr>
          <w:lang w:val="en-US"/>
        </w:rPr>
      </w:pPr>
      <w:r w:rsidRPr="00160E67">
        <w:rPr>
          <w:lang w:val="en-US"/>
        </w:rPr>
        <w:t>There are numerous operational factors that need to be considered by any VET provider moving into the delivery of associate and bachelor degree qualifications. A key factor is the cost of delivery. Demand for a wider variety of courses</w:t>
      </w:r>
      <w:r w:rsidR="00822423">
        <w:rPr>
          <w:lang w:val="en-US"/>
        </w:rPr>
        <w:t>,</w:t>
      </w:r>
      <w:r w:rsidR="00144049">
        <w:rPr>
          <w:lang w:val="en-US"/>
        </w:rPr>
        <w:t xml:space="preserve"> such as higher-</w:t>
      </w:r>
      <w:r w:rsidRPr="00160E67">
        <w:rPr>
          <w:lang w:val="en-US"/>
        </w:rPr>
        <w:t>level qualifications programs</w:t>
      </w:r>
      <w:r w:rsidR="00822423">
        <w:rPr>
          <w:lang w:val="en-US"/>
        </w:rPr>
        <w:t>,</w:t>
      </w:r>
      <w:r w:rsidRPr="00160E67">
        <w:rPr>
          <w:lang w:val="en-US"/>
        </w:rPr>
        <w:t xml:space="preserve"> produces higher costs</w:t>
      </w:r>
      <w:r w:rsidR="00144049">
        <w:rPr>
          <w:lang w:val="en-US"/>
        </w:rPr>
        <w:t xml:space="preserve">. </w:t>
      </w:r>
      <w:r w:rsidRPr="00160E67">
        <w:rPr>
          <w:lang w:val="en-US"/>
        </w:rPr>
        <w:t xml:space="preserve">In their examination of the </w:t>
      </w:r>
      <w:r w:rsidR="00144049">
        <w:rPr>
          <w:lang w:val="en-US"/>
        </w:rPr>
        <w:t>90 mixed-</w:t>
      </w:r>
      <w:r w:rsidRPr="00160E67">
        <w:rPr>
          <w:lang w:val="en-US"/>
        </w:rPr>
        <w:t>sector institutions that deliver VET and higher degree qualifications, Wheelahan and her associates (2012) conclude</w:t>
      </w:r>
      <w:r w:rsidR="004B0522">
        <w:rPr>
          <w:lang w:val="en-US"/>
        </w:rPr>
        <w:t>d</w:t>
      </w:r>
      <w:r w:rsidRPr="00160E67">
        <w:rPr>
          <w:lang w:val="en-US"/>
        </w:rPr>
        <w:t xml:space="preserve"> that it is difficult to understand how institutions can increase the richness of their teaching and learning in a small minority sector without spending a very large amount of money. The key challenge over time is to build economies of scale to ensure that provision is large enough to be profitable, but this will take time and </w:t>
      </w:r>
      <w:r w:rsidR="000631F0">
        <w:rPr>
          <w:lang w:val="en-US"/>
        </w:rPr>
        <w:t>strategic implementation</w:t>
      </w:r>
      <w:r w:rsidRPr="00160E67">
        <w:rPr>
          <w:lang w:val="en-US"/>
        </w:rPr>
        <w:t xml:space="preserve">. </w:t>
      </w:r>
    </w:p>
    <w:p w:rsidR="00160E67" w:rsidRPr="00160E67" w:rsidRDefault="00160E67" w:rsidP="00160E67">
      <w:pPr>
        <w:pStyle w:val="Text"/>
        <w:rPr>
          <w:lang w:val="en-US"/>
        </w:rPr>
      </w:pPr>
      <w:r w:rsidRPr="00160E67">
        <w:rPr>
          <w:lang w:val="en-US"/>
        </w:rPr>
        <w:t>Indeed, Brown (2013) warns that a fully market-driven model may further reduce the ability of current VET providers to deliver a full range of education services</w:t>
      </w:r>
      <w:r w:rsidR="000631F0">
        <w:rPr>
          <w:lang w:val="en-US"/>
        </w:rPr>
        <w:t>,</w:t>
      </w:r>
      <w:r w:rsidRPr="00160E67">
        <w:rPr>
          <w:lang w:val="en-US"/>
        </w:rPr>
        <w:t xml:space="preserve"> due to the high costs of </w:t>
      </w:r>
      <w:r w:rsidR="004B0522" w:rsidRPr="00160E67">
        <w:rPr>
          <w:lang w:val="en-US"/>
        </w:rPr>
        <w:t>specialty</w:t>
      </w:r>
      <w:r w:rsidR="004B0522">
        <w:rPr>
          <w:lang w:val="en-US"/>
        </w:rPr>
        <w:t xml:space="preserve"> programs. </w:t>
      </w:r>
      <w:r w:rsidR="00341A54">
        <w:rPr>
          <w:lang w:val="en-US"/>
        </w:rPr>
        <w:t xml:space="preserve">She </w:t>
      </w:r>
      <w:r w:rsidRPr="00160E67">
        <w:rPr>
          <w:lang w:val="en-US"/>
        </w:rPr>
        <w:t xml:space="preserve">proposes that the unrestrained entry of new players into the tertiary sector might </w:t>
      </w:r>
      <w:r w:rsidRPr="00160E67">
        <w:rPr>
          <w:lang w:val="en-US"/>
        </w:rPr>
        <w:lastRenderedPageBreak/>
        <w:t xml:space="preserve">fragment a system already under pressure, </w:t>
      </w:r>
      <w:r w:rsidR="004B0522">
        <w:rPr>
          <w:lang w:val="en-US"/>
        </w:rPr>
        <w:t xml:space="preserve">but </w:t>
      </w:r>
      <w:r w:rsidRPr="00160E67">
        <w:rPr>
          <w:lang w:val="en-US"/>
        </w:rPr>
        <w:t>restricting those new entrants to highly regulated and well-managed operators might enhance the existing system in significant ways.</w:t>
      </w:r>
    </w:p>
    <w:p w:rsidR="009E6227" w:rsidRPr="00160E67" w:rsidRDefault="00160E67" w:rsidP="00160E67">
      <w:pPr>
        <w:pStyle w:val="Text"/>
        <w:rPr>
          <w:lang w:val="en-US"/>
        </w:rPr>
      </w:pPr>
      <w:r w:rsidRPr="00160E67">
        <w:rPr>
          <w:lang w:val="en-US"/>
        </w:rPr>
        <w:t xml:space="preserve">Another challenge is the quality assurance </w:t>
      </w:r>
      <w:r w:rsidR="00837768">
        <w:rPr>
          <w:lang w:val="en-US"/>
        </w:rPr>
        <w:t>relating to</w:t>
      </w:r>
      <w:r w:rsidRPr="00160E67">
        <w:rPr>
          <w:lang w:val="en-US"/>
        </w:rPr>
        <w:t xml:space="preserve"> VET higher degree qualifications. </w:t>
      </w:r>
      <w:r w:rsidR="003076A5">
        <w:rPr>
          <w:lang w:val="en-US"/>
        </w:rPr>
        <w:t xml:space="preserve">When it comes to </w:t>
      </w:r>
      <w:r w:rsidR="000631F0">
        <w:rPr>
          <w:lang w:val="en-US"/>
        </w:rPr>
        <w:t>these</w:t>
      </w:r>
      <w:r w:rsidR="003076A5">
        <w:rPr>
          <w:lang w:val="en-US"/>
        </w:rPr>
        <w:t xml:space="preserve"> qualifications</w:t>
      </w:r>
      <w:r w:rsidR="00873CE4">
        <w:rPr>
          <w:lang w:val="en-US"/>
        </w:rPr>
        <w:t>,</w:t>
      </w:r>
      <w:r w:rsidR="003076A5">
        <w:rPr>
          <w:lang w:val="en-US"/>
        </w:rPr>
        <w:t xml:space="preserve"> providers must have the course accredited under the </w:t>
      </w:r>
      <w:r w:rsidR="003076A5" w:rsidRPr="00837768">
        <w:rPr>
          <w:i/>
          <w:lang w:val="en-US"/>
        </w:rPr>
        <w:t>Tertiary Education Quality and Standards Act</w:t>
      </w:r>
      <w:r w:rsidR="003076A5">
        <w:rPr>
          <w:lang w:val="en-US"/>
        </w:rPr>
        <w:t xml:space="preserve"> (TEQSA Act)</w:t>
      </w:r>
      <w:r w:rsidR="000631F0">
        <w:rPr>
          <w:lang w:val="en-US"/>
        </w:rPr>
        <w:t>,</w:t>
      </w:r>
      <w:r w:rsidR="003076A5">
        <w:rPr>
          <w:lang w:val="en-US"/>
        </w:rPr>
        <w:t xml:space="preserve"> or if the provider does not have self-accrediting status, as is the case for most VET providers, they must have the course accredited by </w:t>
      </w:r>
      <w:r w:rsidR="000631F0">
        <w:rPr>
          <w:lang w:val="en-US"/>
        </w:rPr>
        <w:t xml:space="preserve">the </w:t>
      </w:r>
      <w:r w:rsidR="00837768" w:rsidRPr="00837768">
        <w:rPr>
          <w:lang w:val="en-US"/>
        </w:rPr>
        <w:t>Tertiary Education Quality and Standards Authority</w:t>
      </w:r>
      <w:r w:rsidR="003076A5">
        <w:rPr>
          <w:lang w:val="en-US"/>
        </w:rPr>
        <w:t xml:space="preserve">. </w:t>
      </w:r>
      <w:r w:rsidR="00FC70EE">
        <w:rPr>
          <w:lang w:val="en-US"/>
        </w:rPr>
        <w:t xml:space="preserve">Meeting </w:t>
      </w:r>
      <w:r w:rsidR="00837768">
        <w:rPr>
          <w:lang w:val="en-US"/>
        </w:rPr>
        <w:t>the authority’s</w:t>
      </w:r>
      <w:r w:rsidR="00FC70EE">
        <w:rPr>
          <w:lang w:val="en-US"/>
        </w:rPr>
        <w:t xml:space="preserve"> requirements may prove difficult for VET providers, based on p</w:t>
      </w:r>
      <w:r w:rsidRPr="00160E67">
        <w:rPr>
          <w:lang w:val="en-US"/>
        </w:rPr>
        <w:t xml:space="preserve">rior studies </w:t>
      </w:r>
      <w:r w:rsidR="00FC70EE">
        <w:rPr>
          <w:lang w:val="en-US"/>
        </w:rPr>
        <w:t xml:space="preserve">that </w:t>
      </w:r>
      <w:r w:rsidRPr="00160E67">
        <w:rPr>
          <w:lang w:val="en-US"/>
        </w:rPr>
        <w:t>indicate high levels of variability in the implementation of q</w:t>
      </w:r>
      <w:r w:rsidR="00837768">
        <w:rPr>
          <w:lang w:val="en-US"/>
        </w:rPr>
        <w:t xml:space="preserve">uality assurance procedures </w:t>
      </w:r>
      <w:r w:rsidRPr="00160E67">
        <w:rPr>
          <w:lang w:val="en-US"/>
        </w:rPr>
        <w:t xml:space="preserve">in registered training </w:t>
      </w:r>
      <w:proofErr w:type="spellStart"/>
      <w:r w:rsidRPr="00160E67">
        <w:rPr>
          <w:lang w:val="en-US"/>
        </w:rPr>
        <w:t>organisations</w:t>
      </w:r>
      <w:proofErr w:type="spellEnd"/>
      <w:r w:rsidRPr="00160E67">
        <w:rPr>
          <w:lang w:val="en-US"/>
        </w:rPr>
        <w:t xml:space="preserve"> </w:t>
      </w:r>
      <w:r w:rsidR="00837768">
        <w:rPr>
          <w:lang w:val="en-US"/>
        </w:rPr>
        <w:t>in relation to</w:t>
      </w:r>
      <w:r w:rsidRPr="00160E67">
        <w:rPr>
          <w:lang w:val="en-US"/>
        </w:rPr>
        <w:t xml:space="preserve"> </w:t>
      </w:r>
      <w:r w:rsidR="009E6227">
        <w:rPr>
          <w:lang w:val="en-US"/>
        </w:rPr>
        <w:t xml:space="preserve">their </w:t>
      </w:r>
      <w:r w:rsidR="00FC70EE">
        <w:rPr>
          <w:lang w:val="en-US"/>
        </w:rPr>
        <w:t xml:space="preserve">own </w:t>
      </w:r>
      <w:r w:rsidR="00837768">
        <w:rPr>
          <w:lang w:val="en-US"/>
        </w:rPr>
        <w:t>higher-</w:t>
      </w:r>
      <w:r w:rsidRPr="00160E67">
        <w:rPr>
          <w:lang w:val="en-US"/>
        </w:rPr>
        <w:t>level</w:t>
      </w:r>
      <w:r w:rsidR="000448CC">
        <w:rPr>
          <w:lang w:val="en-US"/>
        </w:rPr>
        <w:t xml:space="preserve"> </w:t>
      </w:r>
      <w:r w:rsidR="009E6227">
        <w:rPr>
          <w:lang w:val="en-US"/>
        </w:rPr>
        <w:t xml:space="preserve">VET </w:t>
      </w:r>
      <w:r w:rsidR="000448CC">
        <w:rPr>
          <w:lang w:val="en-US"/>
        </w:rPr>
        <w:t>qualifications</w:t>
      </w:r>
      <w:r w:rsidR="00837768">
        <w:rPr>
          <w:lang w:val="en-US"/>
        </w:rPr>
        <w:t>, which</w:t>
      </w:r>
      <w:r w:rsidR="00FC70EE">
        <w:rPr>
          <w:lang w:val="en-US"/>
        </w:rPr>
        <w:t xml:space="preserve"> must meet the requirements of the </w:t>
      </w:r>
      <w:r w:rsidR="00FC70EE" w:rsidRPr="00160E67">
        <w:rPr>
          <w:lang w:val="en-US"/>
        </w:rPr>
        <w:t>Australian Quality Training Framework</w:t>
      </w:r>
      <w:r w:rsidR="00FC70EE">
        <w:rPr>
          <w:lang w:val="en-US"/>
        </w:rPr>
        <w:t xml:space="preserve"> </w:t>
      </w:r>
      <w:r w:rsidR="00837768">
        <w:rPr>
          <w:lang w:val="en-US"/>
        </w:rPr>
        <w:t xml:space="preserve">(Foreman, Davis &amp; Bone </w:t>
      </w:r>
      <w:r w:rsidRPr="00160E67">
        <w:rPr>
          <w:lang w:val="en-US"/>
        </w:rPr>
        <w:t xml:space="preserve">2003). While the majority of assessments at </w:t>
      </w:r>
      <w:r w:rsidR="00FC70EE">
        <w:rPr>
          <w:lang w:val="en-US"/>
        </w:rPr>
        <w:t xml:space="preserve">VET </w:t>
      </w:r>
      <w:r w:rsidRPr="00160E67">
        <w:rPr>
          <w:lang w:val="en-US"/>
        </w:rPr>
        <w:t xml:space="preserve">diploma and advanced diploma levels are judged </w:t>
      </w:r>
      <w:r w:rsidR="00837768">
        <w:rPr>
          <w:lang w:val="en-US"/>
        </w:rPr>
        <w:t xml:space="preserve">to be </w:t>
      </w:r>
      <w:r w:rsidRPr="00160E67">
        <w:rPr>
          <w:lang w:val="en-US"/>
        </w:rPr>
        <w:t xml:space="preserve">of reasonable quality, the assessment policies and procedures of most providers were less than expected in the Australian Quality Training Framework. The responses to assessment </w:t>
      </w:r>
      <w:r w:rsidR="00E03852">
        <w:rPr>
          <w:lang w:val="en-US"/>
        </w:rPr>
        <w:t>of</w:t>
      </w:r>
      <w:r w:rsidR="00E03852" w:rsidRPr="00160E67">
        <w:rPr>
          <w:lang w:val="en-US"/>
        </w:rPr>
        <w:t xml:space="preserve"> </w:t>
      </w:r>
      <w:r w:rsidR="000631F0">
        <w:rPr>
          <w:lang w:val="en-US"/>
        </w:rPr>
        <w:t>higher-</w:t>
      </w:r>
      <w:r w:rsidRPr="00160E67">
        <w:rPr>
          <w:lang w:val="en-US"/>
        </w:rPr>
        <w:t xml:space="preserve">level </w:t>
      </w:r>
      <w:r w:rsidR="009D16B4">
        <w:rPr>
          <w:lang w:val="en-US"/>
        </w:rPr>
        <w:t xml:space="preserve">VET qualifications by </w:t>
      </w:r>
      <w:r w:rsidRPr="00160E67">
        <w:rPr>
          <w:lang w:val="en-US"/>
        </w:rPr>
        <w:t xml:space="preserve">registered training </w:t>
      </w:r>
      <w:proofErr w:type="spellStart"/>
      <w:r w:rsidRPr="00160E67">
        <w:rPr>
          <w:lang w:val="en-US"/>
        </w:rPr>
        <w:t>organisations</w:t>
      </w:r>
      <w:proofErr w:type="spellEnd"/>
      <w:r w:rsidRPr="00160E67">
        <w:rPr>
          <w:lang w:val="en-US"/>
        </w:rPr>
        <w:t xml:space="preserve"> </w:t>
      </w:r>
      <w:r w:rsidR="00837768">
        <w:rPr>
          <w:lang w:val="en-US"/>
        </w:rPr>
        <w:t xml:space="preserve">in the Foreman, Davis and Bone (2003) </w:t>
      </w:r>
      <w:r w:rsidR="00867601">
        <w:rPr>
          <w:lang w:val="en-US"/>
        </w:rPr>
        <w:t xml:space="preserve">study </w:t>
      </w:r>
      <w:r w:rsidRPr="00160E67">
        <w:rPr>
          <w:lang w:val="en-US"/>
        </w:rPr>
        <w:t xml:space="preserve">varied from constructing a significant set of procedures and processes for effective management, to situations where the major decision was to limit these assessments to one person or a </w:t>
      </w:r>
      <w:r w:rsidR="004B0522">
        <w:rPr>
          <w:lang w:val="en-US"/>
        </w:rPr>
        <w:t>small group of persons. The lat</w:t>
      </w:r>
      <w:r w:rsidRPr="00160E67">
        <w:rPr>
          <w:lang w:val="en-US"/>
        </w:rPr>
        <w:t>er approach was more common with smaller providers.</w:t>
      </w:r>
    </w:p>
    <w:p w:rsidR="00160E67" w:rsidRPr="00160E67" w:rsidRDefault="00160E67" w:rsidP="00160E67">
      <w:pPr>
        <w:pStyle w:val="Text"/>
        <w:rPr>
          <w:lang w:val="en-US"/>
        </w:rPr>
      </w:pPr>
      <w:r w:rsidRPr="00160E67">
        <w:rPr>
          <w:lang w:val="en-US"/>
        </w:rPr>
        <w:t xml:space="preserve">Experiences in dual-sector universities highlight </w:t>
      </w:r>
      <w:r w:rsidR="004B0522">
        <w:rPr>
          <w:lang w:val="en-US"/>
        </w:rPr>
        <w:t xml:space="preserve">other </w:t>
      </w:r>
      <w:r w:rsidRPr="00160E67">
        <w:rPr>
          <w:lang w:val="en-US"/>
        </w:rPr>
        <w:t xml:space="preserve">potential challenges </w:t>
      </w:r>
      <w:r w:rsidR="00837768">
        <w:rPr>
          <w:lang w:val="en-US"/>
        </w:rPr>
        <w:t>associated with</w:t>
      </w:r>
      <w:r w:rsidR="000631F0">
        <w:rPr>
          <w:lang w:val="en-US"/>
        </w:rPr>
        <w:t xml:space="preserve"> governance and</w:t>
      </w:r>
      <w:r w:rsidRPr="00160E67">
        <w:rPr>
          <w:lang w:val="en-US"/>
        </w:rPr>
        <w:t xml:space="preserve"> identity </w:t>
      </w:r>
      <w:r w:rsidR="004B0522">
        <w:rPr>
          <w:lang w:val="en-US"/>
        </w:rPr>
        <w:t xml:space="preserve">and in </w:t>
      </w:r>
      <w:r w:rsidRPr="00160E67">
        <w:rPr>
          <w:lang w:val="en-US"/>
        </w:rPr>
        <w:t xml:space="preserve">developing knowledge of a different sector </w:t>
      </w:r>
      <w:r w:rsidR="004B0522">
        <w:rPr>
          <w:lang w:val="en-US"/>
        </w:rPr>
        <w:t>as well as</w:t>
      </w:r>
      <w:r w:rsidR="000448CC">
        <w:rPr>
          <w:lang w:val="en-US"/>
        </w:rPr>
        <w:t xml:space="preserve"> </w:t>
      </w:r>
      <w:r w:rsidR="000631F0">
        <w:rPr>
          <w:lang w:val="en-US"/>
        </w:rPr>
        <w:t xml:space="preserve">undertaking </w:t>
      </w:r>
      <w:r w:rsidR="000448CC">
        <w:rPr>
          <w:lang w:val="en-US"/>
        </w:rPr>
        <w:t>appropriate planning (Marron</w:t>
      </w:r>
      <w:r w:rsidRPr="00160E67">
        <w:rPr>
          <w:lang w:val="en-US"/>
        </w:rPr>
        <w:t xml:space="preserve"> 2013). As highlighted in var</w:t>
      </w:r>
      <w:r w:rsidR="000448CC">
        <w:rPr>
          <w:lang w:val="en-US"/>
        </w:rPr>
        <w:t>ious reviews (</w:t>
      </w:r>
      <w:r w:rsidR="000631F0">
        <w:rPr>
          <w:lang w:val="en-US"/>
        </w:rPr>
        <w:t>for example,</w:t>
      </w:r>
      <w:r w:rsidR="000448CC">
        <w:rPr>
          <w:lang w:val="en-US"/>
        </w:rPr>
        <w:t xml:space="preserve"> Phillips KPA</w:t>
      </w:r>
      <w:r w:rsidRPr="00160E67">
        <w:rPr>
          <w:lang w:val="en-US"/>
        </w:rPr>
        <w:t xml:space="preserve"> 2006), the sectors are governed by different policies, decision-making processes, curricula structures and</w:t>
      </w:r>
      <w:r w:rsidR="00837768">
        <w:rPr>
          <w:lang w:val="en-US"/>
        </w:rPr>
        <w:t>,</w:t>
      </w:r>
      <w:r w:rsidRPr="00160E67">
        <w:rPr>
          <w:lang w:val="en-US"/>
        </w:rPr>
        <w:t xml:space="preserve"> significantly</w:t>
      </w:r>
      <w:r w:rsidR="00837768">
        <w:rPr>
          <w:lang w:val="en-US"/>
        </w:rPr>
        <w:t>,</w:t>
      </w:r>
      <w:r w:rsidRPr="00160E67">
        <w:rPr>
          <w:lang w:val="en-US"/>
        </w:rPr>
        <w:t xml:space="preserve"> are accountable in different ways. In one a</w:t>
      </w:r>
      <w:r w:rsidR="000448CC">
        <w:rPr>
          <w:lang w:val="en-US"/>
        </w:rPr>
        <w:t xml:space="preserve">nalysis (University of </w:t>
      </w:r>
      <w:proofErr w:type="spellStart"/>
      <w:r w:rsidR="000448CC">
        <w:rPr>
          <w:lang w:val="en-US"/>
        </w:rPr>
        <w:t>Ballarat</w:t>
      </w:r>
      <w:proofErr w:type="spellEnd"/>
      <w:r w:rsidRPr="00160E67">
        <w:rPr>
          <w:lang w:val="en-US"/>
        </w:rPr>
        <w:t xml:space="preserve"> </w:t>
      </w:r>
      <w:r w:rsidR="00837768">
        <w:rPr>
          <w:lang w:val="en-US"/>
        </w:rPr>
        <w:t xml:space="preserve">&amp; Swinburne University of Technology </w:t>
      </w:r>
      <w:r w:rsidRPr="00160E67">
        <w:rPr>
          <w:lang w:val="en-US"/>
        </w:rPr>
        <w:t xml:space="preserve">2010), a major barrier </w:t>
      </w:r>
      <w:r w:rsidR="00837768">
        <w:rPr>
          <w:lang w:val="en-US"/>
        </w:rPr>
        <w:t>identified</w:t>
      </w:r>
      <w:r w:rsidR="004B0522">
        <w:rPr>
          <w:lang w:val="en-US"/>
        </w:rPr>
        <w:t xml:space="preserve"> was </w:t>
      </w:r>
      <w:r w:rsidRPr="00160E67">
        <w:rPr>
          <w:lang w:val="en-US"/>
        </w:rPr>
        <w:t xml:space="preserve">the language and terminology used by TAFE and higher education </w:t>
      </w:r>
      <w:r w:rsidR="004B0522">
        <w:rPr>
          <w:lang w:val="en-US"/>
        </w:rPr>
        <w:t xml:space="preserve">teachers </w:t>
      </w:r>
      <w:r w:rsidRPr="00160E67">
        <w:rPr>
          <w:lang w:val="en-US"/>
        </w:rPr>
        <w:t xml:space="preserve">to describe themselves and their programs. </w:t>
      </w:r>
      <w:r w:rsidR="004B0522">
        <w:rPr>
          <w:lang w:val="en-US"/>
        </w:rPr>
        <w:t>Such</w:t>
      </w:r>
      <w:r w:rsidRPr="00160E67">
        <w:rPr>
          <w:lang w:val="en-US"/>
        </w:rPr>
        <w:t xml:space="preserve"> difference</w:t>
      </w:r>
      <w:r w:rsidR="004B0522">
        <w:rPr>
          <w:lang w:val="en-US"/>
        </w:rPr>
        <w:t>s</w:t>
      </w:r>
      <w:r w:rsidRPr="00160E67">
        <w:rPr>
          <w:lang w:val="en-US"/>
        </w:rPr>
        <w:t xml:space="preserve"> can be a key source of misunderstanding and mistrust between the two sectors.</w:t>
      </w:r>
    </w:p>
    <w:p w:rsidR="00160E67" w:rsidRPr="00160E67" w:rsidRDefault="00160E67" w:rsidP="00160E67">
      <w:pPr>
        <w:pStyle w:val="Text"/>
        <w:rPr>
          <w:lang w:val="en-US"/>
        </w:rPr>
      </w:pPr>
      <w:r w:rsidRPr="00160E67">
        <w:rPr>
          <w:lang w:val="en-US"/>
        </w:rPr>
        <w:t xml:space="preserve">Considerable planning is required for the introduction of VET higher degree qualifications. Shah and Nair (2013) reflect that in larger </w:t>
      </w:r>
      <w:proofErr w:type="spellStart"/>
      <w:r w:rsidRPr="00160E67">
        <w:rPr>
          <w:lang w:val="en-US"/>
        </w:rPr>
        <w:t>organisations</w:t>
      </w:r>
      <w:proofErr w:type="spellEnd"/>
      <w:r w:rsidRPr="00160E67">
        <w:rPr>
          <w:lang w:val="en-US"/>
        </w:rPr>
        <w:t xml:space="preserve"> such as public TAFE</w:t>
      </w:r>
      <w:r w:rsidR="00837768">
        <w:rPr>
          <w:lang w:val="en-US"/>
        </w:rPr>
        <w:t xml:space="preserve"> institute</w:t>
      </w:r>
      <w:r w:rsidRPr="00160E67">
        <w:rPr>
          <w:lang w:val="en-US"/>
        </w:rPr>
        <w:t>s</w:t>
      </w:r>
      <w:r w:rsidR="00555B10">
        <w:rPr>
          <w:lang w:val="en-US"/>
        </w:rPr>
        <w:t xml:space="preserve"> and u</w:t>
      </w:r>
      <w:r w:rsidRPr="00160E67">
        <w:rPr>
          <w:lang w:val="en-US"/>
        </w:rPr>
        <w:t xml:space="preserve">niversities, there is typically lengthy consultation and communication in making most key strategy decisions. The strategic plan outlines key priorities </w:t>
      </w:r>
      <w:r w:rsidR="00837768">
        <w:rPr>
          <w:lang w:val="en-US"/>
        </w:rPr>
        <w:t>in the areas of</w:t>
      </w:r>
      <w:r w:rsidRPr="00160E67">
        <w:rPr>
          <w:lang w:val="en-US"/>
        </w:rPr>
        <w:t xml:space="preserve"> learning and teaching, research, industry engagement, </w:t>
      </w:r>
      <w:proofErr w:type="spellStart"/>
      <w:r w:rsidRPr="00160E67">
        <w:rPr>
          <w:lang w:val="en-US"/>
        </w:rPr>
        <w:t>internationalisation</w:t>
      </w:r>
      <w:proofErr w:type="spellEnd"/>
      <w:r w:rsidRPr="00160E67">
        <w:rPr>
          <w:lang w:val="en-US"/>
        </w:rPr>
        <w:t xml:space="preserve">, human resources, equity and resourcing and infrastructure needs. However, in the case of private higher education providers, they raise some concern </w:t>
      </w:r>
      <w:r w:rsidR="00750294">
        <w:rPr>
          <w:lang w:val="en-US"/>
        </w:rPr>
        <w:t xml:space="preserve">in instances </w:t>
      </w:r>
      <w:r w:rsidRPr="00160E67">
        <w:rPr>
          <w:lang w:val="en-US"/>
        </w:rPr>
        <w:t xml:space="preserve">where the strategic plan is developed by the college executive or </w:t>
      </w:r>
      <w:r w:rsidR="000631F0">
        <w:rPr>
          <w:lang w:val="en-US"/>
        </w:rPr>
        <w:t>even</w:t>
      </w:r>
      <w:r w:rsidRPr="00160E67">
        <w:rPr>
          <w:lang w:val="en-US"/>
        </w:rPr>
        <w:t xml:space="preserve"> by the owners of the college, with minimal consultation and communication with other stakeholders. There can be a lack of planning in managing the resources required to achieve this growth.</w:t>
      </w:r>
    </w:p>
    <w:p w:rsidR="00160E67" w:rsidRPr="00160E67" w:rsidRDefault="00160E67" w:rsidP="00160E67">
      <w:pPr>
        <w:pStyle w:val="Text"/>
        <w:rPr>
          <w:lang w:val="en-US"/>
        </w:rPr>
      </w:pPr>
      <w:r w:rsidRPr="00160E67">
        <w:rPr>
          <w:lang w:val="en-US"/>
        </w:rPr>
        <w:t>In addition, different industrial re</w:t>
      </w:r>
      <w:r w:rsidR="00555B10">
        <w:rPr>
          <w:lang w:val="en-US"/>
        </w:rPr>
        <w:t xml:space="preserve">lations agreements </w:t>
      </w:r>
      <w:r w:rsidR="00750294">
        <w:rPr>
          <w:lang w:val="en-US"/>
        </w:rPr>
        <w:t xml:space="preserve">are </w:t>
      </w:r>
      <w:r w:rsidR="00555B10">
        <w:rPr>
          <w:lang w:val="en-US"/>
        </w:rPr>
        <w:t>in place in u</w:t>
      </w:r>
      <w:r w:rsidRPr="00160E67">
        <w:rPr>
          <w:lang w:val="en-US"/>
        </w:rPr>
        <w:t xml:space="preserve">niversities, TAFE institutes and private training </w:t>
      </w:r>
      <w:proofErr w:type="spellStart"/>
      <w:r w:rsidRPr="00160E67">
        <w:rPr>
          <w:lang w:val="en-US"/>
        </w:rPr>
        <w:t>organisations</w:t>
      </w:r>
      <w:proofErr w:type="spellEnd"/>
      <w:r w:rsidRPr="00160E67">
        <w:rPr>
          <w:lang w:val="en-US"/>
        </w:rPr>
        <w:t>. However, Oliver (2013) believes that these different arrangements are unlikely to impede the cr</w:t>
      </w:r>
      <w:r w:rsidR="00555B10">
        <w:rPr>
          <w:lang w:val="en-US"/>
        </w:rPr>
        <w:t>eation of a tertiary sector</w:t>
      </w:r>
      <w:r w:rsidR="00750294">
        <w:rPr>
          <w:lang w:val="en-US"/>
        </w:rPr>
        <w:t>,</w:t>
      </w:r>
      <w:r w:rsidR="00555B10">
        <w:rPr>
          <w:lang w:val="en-US"/>
        </w:rPr>
        <w:t xml:space="preserve"> as u</w:t>
      </w:r>
      <w:r w:rsidRPr="00160E67">
        <w:rPr>
          <w:lang w:val="en-US"/>
        </w:rPr>
        <w:t xml:space="preserve">niversity and TAFE sectors do share many similarities. Both are relatively highly </w:t>
      </w:r>
      <w:proofErr w:type="spellStart"/>
      <w:r w:rsidRPr="00160E67">
        <w:rPr>
          <w:lang w:val="en-US"/>
        </w:rPr>
        <w:t>unionised</w:t>
      </w:r>
      <w:proofErr w:type="spellEnd"/>
      <w:r w:rsidRPr="00160E67">
        <w:rPr>
          <w:lang w:val="en-US"/>
        </w:rPr>
        <w:t xml:space="preserve">, </w:t>
      </w:r>
      <w:r w:rsidR="006A544F">
        <w:rPr>
          <w:lang w:val="en-US"/>
        </w:rPr>
        <w:t>have</w:t>
      </w:r>
      <w:r w:rsidRPr="00160E67">
        <w:rPr>
          <w:lang w:val="en-US"/>
        </w:rPr>
        <w:t xml:space="preserve"> growing levels of </w:t>
      </w:r>
      <w:proofErr w:type="spellStart"/>
      <w:r w:rsidRPr="00160E67">
        <w:rPr>
          <w:lang w:val="en-US"/>
        </w:rPr>
        <w:t>casualisation</w:t>
      </w:r>
      <w:proofErr w:type="spellEnd"/>
      <w:r w:rsidRPr="00160E67">
        <w:rPr>
          <w:lang w:val="en-US"/>
        </w:rPr>
        <w:t xml:space="preserve"> of staff, and </w:t>
      </w:r>
      <w:r w:rsidR="00750294">
        <w:rPr>
          <w:lang w:val="en-US"/>
        </w:rPr>
        <w:t>have well-</w:t>
      </w:r>
      <w:r w:rsidRPr="00160E67">
        <w:rPr>
          <w:lang w:val="en-US"/>
        </w:rPr>
        <w:t xml:space="preserve">developed workforce structures and practices embedded into various awards and enterprise agreements. In contrast, private training </w:t>
      </w:r>
      <w:proofErr w:type="spellStart"/>
      <w:r w:rsidRPr="00160E67">
        <w:rPr>
          <w:lang w:val="en-US"/>
        </w:rPr>
        <w:t>organisations</w:t>
      </w:r>
      <w:proofErr w:type="spellEnd"/>
      <w:r w:rsidRPr="00160E67">
        <w:rPr>
          <w:lang w:val="en-US"/>
        </w:rPr>
        <w:t xml:space="preserve"> are advantaged in having low </w:t>
      </w:r>
      <w:proofErr w:type="spellStart"/>
      <w:r w:rsidRPr="00160E67">
        <w:rPr>
          <w:lang w:val="en-US"/>
        </w:rPr>
        <w:t>unionisation</w:t>
      </w:r>
      <w:proofErr w:type="spellEnd"/>
      <w:r w:rsidRPr="00160E67">
        <w:rPr>
          <w:lang w:val="en-US"/>
        </w:rPr>
        <w:t xml:space="preserve">, less regulation and more flexibility in how they can employ their staff to take up new opportunities in a changing training market. </w:t>
      </w:r>
    </w:p>
    <w:p w:rsidR="00A84928" w:rsidRDefault="00160E67" w:rsidP="00160E67">
      <w:pPr>
        <w:pStyle w:val="Text"/>
        <w:rPr>
          <w:lang w:val="en-US"/>
        </w:rPr>
      </w:pPr>
      <w:r w:rsidRPr="00160E67">
        <w:rPr>
          <w:lang w:val="en-US"/>
        </w:rPr>
        <w:t xml:space="preserve">Finally, there are administrative issues that need to be considered in offering VET </w:t>
      </w:r>
      <w:r w:rsidR="006A544F">
        <w:rPr>
          <w:lang w:val="en-US"/>
        </w:rPr>
        <w:t>as opposed to</w:t>
      </w:r>
      <w:r w:rsidRPr="00160E67">
        <w:rPr>
          <w:lang w:val="en-US"/>
        </w:rPr>
        <w:t xml:space="preserve"> higher education qualifications</w:t>
      </w:r>
      <w:r w:rsidR="000448CC">
        <w:rPr>
          <w:lang w:val="en-US"/>
        </w:rPr>
        <w:t xml:space="preserve"> (Phillips KPA</w:t>
      </w:r>
      <w:r w:rsidRPr="00160E67">
        <w:rPr>
          <w:lang w:val="en-US"/>
        </w:rPr>
        <w:t xml:space="preserve"> 2006; Quee</w:t>
      </w:r>
      <w:r w:rsidR="000448CC">
        <w:rPr>
          <w:lang w:val="en-US"/>
        </w:rPr>
        <w:t>nsland University of Technology</w:t>
      </w:r>
      <w:r w:rsidRPr="00160E67">
        <w:rPr>
          <w:lang w:val="en-US"/>
        </w:rPr>
        <w:t xml:space="preserve"> 2008). These </w:t>
      </w:r>
      <w:r w:rsidRPr="00160E67">
        <w:rPr>
          <w:lang w:val="en-US"/>
        </w:rPr>
        <w:lastRenderedPageBreak/>
        <w:t xml:space="preserve">include different needs and requirements </w:t>
      </w:r>
      <w:r w:rsidR="00750294">
        <w:rPr>
          <w:lang w:val="en-US"/>
        </w:rPr>
        <w:t>relating to</w:t>
      </w:r>
      <w:r w:rsidRPr="00160E67">
        <w:rPr>
          <w:lang w:val="en-US"/>
        </w:rPr>
        <w:t xml:space="preserve"> timetabling, reporting requirements, length and structures of study periods and study modules, course approval processes, student categories, methods of calculating student load, and the timing of assessment and reporting. Data from the recent </w:t>
      </w:r>
      <w:r w:rsidRPr="00CA09B3">
        <w:rPr>
          <w:i/>
          <w:lang w:val="en-US"/>
        </w:rPr>
        <w:t>The Review of Higher Education Regulation</w:t>
      </w:r>
      <w:r w:rsidRPr="00160E67">
        <w:rPr>
          <w:lang w:val="en-US"/>
        </w:rPr>
        <w:t xml:space="preserve"> found that in 2011 a ‘typical’ Australian university spent over 2000 days of staff time and between $800 000 and $900 000 in meeting reporting requirements (Dow </w:t>
      </w:r>
      <w:r w:rsidR="00F47D03">
        <w:rPr>
          <w:lang w:val="en-US"/>
        </w:rPr>
        <w:t>&amp;</w:t>
      </w:r>
      <w:r w:rsidR="000448CC">
        <w:rPr>
          <w:lang w:val="en-US"/>
        </w:rPr>
        <w:t xml:space="preserve"> Braithwaite</w:t>
      </w:r>
      <w:r w:rsidRPr="00160E67">
        <w:rPr>
          <w:lang w:val="en-US"/>
        </w:rPr>
        <w:t xml:space="preserve"> 2013). The same report reveals that it cost the </w:t>
      </w:r>
      <w:proofErr w:type="spellStart"/>
      <w:r w:rsidRPr="00160E67">
        <w:rPr>
          <w:lang w:val="en-US"/>
        </w:rPr>
        <w:t>Holmes</w:t>
      </w:r>
      <w:r w:rsidR="004B0522">
        <w:rPr>
          <w:lang w:val="en-US"/>
        </w:rPr>
        <w:t>glen</w:t>
      </w:r>
      <w:proofErr w:type="spellEnd"/>
      <w:r w:rsidRPr="00160E67">
        <w:rPr>
          <w:lang w:val="en-US"/>
        </w:rPr>
        <w:t xml:space="preserve"> Institute $42,000 in the time of senior staff to complete a material change process for the introduction of its Bachelor of Fashion and Business course. </w:t>
      </w:r>
    </w:p>
    <w:p w:rsidR="00160E67" w:rsidRDefault="00160E67" w:rsidP="00160E67">
      <w:pPr>
        <w:pStyle w:val="Text"/>
        <w:rPr>
          <w:lang w:val="en-US"/>
        </w:rPr>
      </w:pPr>
      <w:r w:rsidRPr="00160E67">
        <w:rPr>
          <w:lang w:val="en-US"/>
        </w:rPr>
        <w:t xml:space="preserve">In short, VET providers moving into the delivery of VET higher degree qualifications face considerable </w:t>
      </w:r>
      <w:r w:rsidR="004B0522">
        <w:rPr>
          <w:lang w:val="en-US"/>
        </w:rPr>
        <w:t xml:space="preserve">operational, </w:t>
      </w:r>
      <w:r w:rsidRPr="00160E67">
        <w:rPr>
          <w:lang w:val="en-US"/>
        </w:rPr>
        <w:t>financial</w:t>
      </w:r>
      <w:r w:rsidR="004B0522">
        <w:rPr>
          <w:lang w:val="en-US"/>
        </w:rPr>
        <w:t>,</w:t>
      </w:r>
      <w:r w:rsidRPr="00160E67">
        <w:rPr>
          <w:lang w:val="en-US"/>
        </w:rPr>
        <w:t xml:space="preserve"> human resource </w:t>
      </w:r>
      <w:r w:rsidR="004B0522">
        <w:rPr>
          <w:lang w:val="en-US"/>
        </w:rPr>
        <w:t xml:space="preserve">and administrative </w:t>
      </w:r>
      <w:r w:rsidRPr="00160E67">
        <w:rPr>
          <w:lang w:val="en-US"/>
        </w:rPr>
        <w:t>costs</w:t>
      </w:r>
      <w:r w:rsidR="00750294">
        <w:rPr>
          <w:lang w:val="en-US"/>
        </w:rPr>
        <w:t>, which</w:t>
      </w:r>
      <w:r w:rsidRPr="00160E67">
        <w:rPr>
          <w:lang w:val="en-US"/>
        </w:rPr>
        <w:t xml:space="preserve"> need to be weighed up in </w:t>
      </w:r>
      <w:r w:rsidR="004B0522">
        <w:rPr>
          <w:lang w:val="en-US"/>
        </w:rPr>
        <w:t xml:space="preserve">making </w:t>
      </w:r>
      <w:r w:rsidRPr="00160E67">
        <w:rPr>
          <w:lang w:val="en-US"/>
        </w:rPr>
        <w:t xml:space="preserve">any business case for </w:t>
      </w:r>
      <w:r w:rsidR="004B0522">
        <w:rPr>
          <w:lang w:val="en-US"/>
        </w:rPr>
        <w:t>entering</w:t>
      </w:r>
      <w:r w:rsidRPr="00160E67">
        <w:rPr>
          <w:lang w:val="en-US"/>
        </w:rPr>
        <w:t xml:space="preserve"> the new markets offered by diplomas, associate degree and degree qualifications.</w:t>
      </w:r>
    </w:p>
    <w:p w:rsidR="00160E67" w:rsidRDefault="00160E67" w:rsidP="00160E67">
      <w:pPr>
        <w:pStyle w:val="Heading2"/>
        <w:rPr>
          <w:lang w:val="en-US"/>
        </w:rPr>
      </w:pPr>
      <w:bookmarkStart w:id="36" w:name="_Toc369178820"/>
      <w:r w:rsidRPr="00160E67">
        <w:rPr>
          <w:lang w:val="en-US"/>
        </w:rPr>
        <w:t>Student support issues</w:t>
      </w:r>
      <w:bookmarkEnd w:id="36"/>
    </w:p>
    <w:p w:rsidR="00160E67" w:rsidRPr="00160E67" w:rsidRDefault="00160E67" w:rsidP="00160E67">
      <w:pPr>
        <w:pStyle w:val="Text"/>
        <w:rPr>
          <w:lang w:val="en-US"/>
        </w:rPr>
      </w:pPr>
      <w:r w:rsidRPr="00160E67">
        <w:rPr>
          <w:lang w:val="en-US"/>
        </w:rPr>
        <w:t xml:space="preserve">It is </w:t>
      </w:r>
      <w:r w:rsidR="00750294">
        <w:rPr>
          <w:lang w:val="en-US"/>
        </w:rPr>
        <w:t>widely accepted</w:t>
      </w:r>
      <w:r w:rsidRPr="00160E67">
        <w:rPr>
          <w:lang w:val="en-US"/>
        </w:rPr>
        <w:t xml:space="preserve"> that the pedago</w:t>
      </w:r>
      <w:r w:rsidR="004B0522">
        <w:rPr>
          <w:lang w:val="en-US"/>
        </w:rPr>
        <w:t xml:space="preserve">gy of </w:t>
      </w:r>
      <w:r w:rsidR="000631F0">
        <w:rPr>
          <w:lang w:val="en-US"/>
        </w:rPr>
        <w:t>vocational education and training</w:t>
      </w:r>
      <w:r w:rsidR="004B0522">
        <w:rPr>
          <w:lang w:val="en-US"/>
        </w:rPr>
        <w:t xml:space="preserve"> is more focu</w:t>
      </w:r>
      <w:r w:rsidRPr="00160E67">
        <w:rPr>
          <w:lang w:val="en-US"/>
        </w:rPr>
        <w:t xml:space="preserve">sed on the development of practical skills. The immediate </w:t>
      </w:r>
      <w:r w:rsidR="004B0522">
        <w:rPr>
          <w:lang w:val="en-US"/>
        </w:rPr>
        <w:t>attention</w:t>
      </w:r>
      <w:r w:rsidRPr="00160E67">
        <w:rPr>
          <w:lang w:val="en-US"/>
        </w:rPr>
        <w:t xml:space="preserve"> is not upon skills </w:t>
      </w:r>
      <w:r w:rsidR="004B0522">
        <w:rPr>
          <w:lang w:val="en-US"/>
        </w:rPr>
        <w:t>such as</w:t>
      </w:r>
      <w:r w:rsidRPr="00160E67">
        <w:rPr>
          <w:lang w:val="en-US"/>
        </w:rPr>
        <w:t xml:space="preserve"> critical thinking, independent </w:t>
      </w:r>
      <w:r w:rsidR="000631F0">
        <w:rPr>
          <w:lang w:val="en-US"/>
        </w:rPr>
        <w:t>study and critical analysis, which</w:t>
      </w:r>
      <w:r w:rsidRPr="00160E67">
        <w:rPr>
          <w:lang w:val="en-US"/>
        </w:rPr>
        <w:t xml:space="preserve"> are required for higher education (Hammer </w:t>
      </w:r>
      <w:r w:rsidR="00F47D03">
        <w:rPr>
          <w:lang w:val="en-US"/>
        </w:rPr>
        <w:t>&amp;</w:t>
      </w:r>
      <w:r w:rsidR="000448CC">
        <w:rPr>
          <w:lang w:val="en-US"/>
        </w:rPr>
        <w:t xml:space="preserve"> Green 2011; Gunn</w:t>
      </w:r>
      <w:r w:rsidR="00750294">
        <w:rPr>
          <w:lang w:val="en-US"/>
        </w:rPr>
        <w:t xml:space="preserve">, Hearne &amp; </w:t>
      </w:r>
      <w:proofErr w:type="spellStart"/>
      <w:r w:rsidR="00750294">
        <w:rPr>
          <w:lang w:val="en-US"/>
        </w:rPr>
        <w:t>Sibthorpe</w:t>
      </w:r>
      <w:proofErr w:type="spellEnd"/>
      <w:r w:rsidRPr="00160E67">
        <w:rPr>
          <w:lang w:val="en-US"/>
        </w:rPr>
        <w:t xml:space="preserve"> 2011). For students to succeed in higher education, they need to develop different skills to enable them to complete t</w:t>
      </w:r>
      <w:r w:rsidR="004B0522">
        <w:rPr>
          <w:lang w:val="en-US"/>
        </w:rPr>
        <w:t>heir qualifications</w:t>
      </w:r>
      <w:r w:rsidR="000631F0" w:rsidRPr="000631F0">
        <w:rPr>
          <w:lang w:val="en-US"/>
        </w:rPr>
        <w:t xml:space="preserve"> </w:t>
      </w:r>
      <w:r w:rsidR="000631F0">
        <w:rPr>
          <w:lang w:val="en-US"/>
        </w:rPr>
        <w:t>successfully</w:t>
      </w:r>
      <w:r w:rsidR="00750294">
        <w:rPr>
          <w:lang w:val="en-US"/>
        </w:rPr>
        <w:t xml:space="preserve">. </w:t>
      </w:r>
      <w:r w:rsidRPr="00160E67">
        <w:rPr>
          <w:lang w:val="en-US"/>
        </w:rPr>
        <w:t xml:space="preserve">In the analyses of their case studies </w:t>
      </w:r>
      <w:r w:rsidR="00750294">
        <w:rPr>
          <w:lang w:val="en-US"/>
        </w:rPr>
        <w:t>on</w:t>
      </w:r>
      <w:r w:rsidRPr="00160E67">
        <w:rPr>
          <w:lang w:val="en-US"/>
        </w:rPr>
        <w:t xml:space="preserve"> successful credit transfer and cross-institutional partnerships, Phillips KPA (2006) found that institutions with more effective credit transfer arrangements had specific strategies in place to ensure that students were adequately supported during their transition from </w:t>
      </w:r>
      <w:r w:rsidR="00C2185D">
        <w:rPr>
          <w:lang w:val="en-US"/>
        </w:rPr>
        <w:t>VET</w:t>
      </w:r>
      <w:r w:rsidRPr="00160E67">
        <w:rPr>
          <w:lang w:val="en-US"/>
        </w:rPr>
        <w:t xml:space="preserve"> to higher education studies. These transition arrangements acknowledged the differences between </w:t>
      </w:r>
      <w:r w:rsidR="00C2185D">
        <w:rPr>
          <w:lang w:val="en-US"/>
        </w:rPr>
        <w:t>vocational education and training</w:t>
      </w:r>
      <w:r w:rsidRPr="00160E67">
        <w:rPr>
          <w:lang w:val="en-US"/>
        </w:rPr>
        <w:t xml:space="preserve"> and higher education in teaching and learning approaches, assessment, expectations, and policies and procedures.</w:t>
      </w:r>
    </w:p>
    <w:p w:rsidR="00160E67" w:rsidRPr="00160E67" w:rsidRDefault="00160E67" w:rsidP="00160E67">
      <w:pPr>
        <w:pStyle w:val="Text"/>
        <w:rPr>
          <w:lang w:val="en-US"/>
        </w:rPr>
      </w:pPr>
      <w:r w:rsidRPr="00160E67">
        <w:rPr>
          <w:lang w:val="en-US"/>
        </w:rPr>
        <w:t xml:space="preserve">A NCVER </w:t>
      </w:r>
      <w:r w:rsidR="00480079">
        <w:rPr>
          <w:lang w:val="en-US"/>
        </w:rPr>
        <w:t xml:space="preserve">report </w:t>
      </w:r>
      <w:r w:rsidRPr="00160E67">
        <w:rPr>
          <w:lang w:val="en-US"/>
        </w:rPr>
        <w:t>(</w:t>
      </w:r>
      <w:r w:rsidR="00480079">
        <w:rPr>
          <w:lang w:val="en-US"/>
        </w:rPr>
        <w:t xml:space="preserve">White, </w:t>
      </w:r>
      <w:r w:rsidRPr="00160E67">
        <w:rPr>
          <w:lang w:val="en-US"/>
        </w:rPr>
        <w:t xml:space="preserve">forthcoming) explored information literacy support as a vehicle to </w:t>
      </w:r>
      <w:r w:rsidR="00C2185D">
        <w:rPr>
          <w:lang w:val="en-US"/>
        </w:rPr>
        <w:t>assist</w:t>
      </w:r>
      <w:r w:rsidRPr="00160E67">
        <w:rPr>
          <w:lang w:val="en-US"/>
        </w:rPr>
        <w:t xml:space="preserve"> students </w:t>
      </w:r>
      <w:r w:rsidR="00E60E35">
        <w:rPr>
          <w:lang w:val="en-US"/>
        </w:rPr>
        <w:t>to transition</w:t>
      </w:r>
      <w:r w:rsidRPr="00160E67">
        <w:rPr>
          <w:lang w:val="en-US"/>
        </w:rPr>
        <w:t xml:space="preserve"> from voc</w:t>
      </w:r>
      <w:r w:rsidR="004B0522">
        <w:rPr>
          <w:lang w:val="en-US"/>
        </w:rPr>
        <w:t xml:space="preserve">ational education and training </w:t>
      </w:r>
      <w:r w:rsidRPr="00160E67">
        <w:rPr>
          <w:lang w:val="en-US"/>
        </w:rPr>
        <w:t>to university. VET stud</w:t>
      </w:r>
      <w:r w:rsidR="00C2185D">
        <w:rPr>
          <w:lang w:val="en-US"/>
        </w:rPr>
        <w:t>ents looking towards university</w:t>
      </w:r>
      <w:r w:rsidR="00E60E35">
        <w:rPr>
          <w:lang w:val="en-US"/>
        </w:rPr>
        <w:t>,</w:t>
      </w:r>
      <w:r w:rsidRPr="00160E67">
        <w:rPr>
          <w:lang w:val="en-US"/>
        </w:rPr>
        <w:t xml:space="preserve"> and university students who h</w:t>
      </w:r>
      <w:r w:rsidR="00C2185D">
        <w:rPr>
          <w:lang w:val="en-US"/>
        </w:rPr>
        <w:t>ad made the transition from VET</w:t>
      </w:r>
      <w:r w:rsidR="00E60E35">
        <w:rPr>
          <w:lang w:val="en-US"/>
        </w:rPr>
        <w:t>,</w:t>
      </w:r>
      <w:r w:rsidRPr="00160E67">
        <w:rPr>
          <w:lang w:val="en-US"/>
        </w:rPr>
        <w:t xml:space="preserve"> were participants in the study. Information literacy was a frequently cited reason for attrition from university among VET students. All students identified the same three aspects of information literacy as a challenge: understanding th</w:t>
      </w:r>
      <w:r w:rsidR="00C2185D">
        <w:rPr>
          <w:lang w:val="en-US"/>
        </w:rPr>
        <w:t>e assessment or assignment task;</w:t>
      </w:r>
      <w:r w:rsidRPr="00160E67">
        <w:rPr>
          <w:lang w:val="en-US"/>
        </w:rPr>
        <w:t xml:space="preserve"> bringing information together and prep</w:t>
      </w:r>
      <w:r w:rsidR="00C2185D">
        <w:rPr>
          <w:lang w:val="en-US"/>
        </w:rPr>
        <w:t>aring</w:t>
      </w:r>
      <w:r w:rsidR="00E60E35">
        <w:rPr>
          <w:lang w:val="en-US"/>
        </w:rPr>
        <w:t xml:space="preserve"> for the</w:t>
      </w:r>
      <w:r w:rsidR="00C2185D">
        <w:rPr>
          <w:lang w:val="en-US"/>
        </w:rPr>
        <w:t xml:space="preserve"> assessment;</w:t>
      </w:r>
      <w:r w:rsidRPr="00160E67">
        <w:rPr>
          <w:lang w:val="en-US"/>
        </w:rPr>
        <w:t xml:space="preserve"> and adhering to the writing style and referencing of the assessment. Students reported higher expectations in the university sector in respect to the</w:t>
      </w:r>
      <w:r w:rsidR="00C2185D">
        <w:rPr>
          <w:lang w:val="en-US"/>
        </w:rPr>
        <w:t>se</w:t>
      </w:r>
      <w:r w:rsidRPr="00160E67">
        <w:rPr>
          <w:lang w:val="en-US"/>
        </w:rPr>
        <w:t xml:space="preserve"> three aspects, </w:t>
      </w:r>
      <w:r w:rsidR="00C2185D">
        <w:rPr>
          <w:lang w:val="en-US"/>
        </w:rPr>
        <w:t xml:space="preserve">while </w:t>
      </w:r>
      <w:r w:rsidR="00E60E35">
        <w:rPr>
          <w:lang w:val="en-US"/>
        </w:rPr>
        <w:t xml:space="preserve">they also experienced </w:t>
      </w:r>
      <w:r w:rsidRPr="00160E67">
        <w:rPr>
          <w:lang w:val="en-US"/>
        </w:rPr>
        <w:t>timing and access issues regard</w:t>
      </w:r>
      <w:r w:rsidR="00E60E35">
        <w:rPr>
          <w:lang w:val="en-US"/>
        </w:rPr>
        <w:t>ing literacy support</w:t>
      </w:r>
      <w:r w:rsidR="006A544F">
        <w:rPr>
          <w:lang w:val="en-US"/>
        </w:rPr>
        <w:t>,</w:t>
      </w:r>
      <w:r w:rsidRPr="00160E67">
        <w:rPr>
          <w:lang w:val="en-US"/>
        </w:rPr>
        <w:t xml:space="preserve"> especially </w:t>
      </w:r>
      <w:r w:rsidR="00E60E35">
        <w:rPr>
          <w:lang w:val="en-US"/>
        </w:rPr>
        <w:t>external students working full-</w:t>
      </w:r>
      <w:r w:rsidRPr="00160E67">
        <w:rPr>
          <w:lang w:val="en-US"/>
        </w:rPr>
        <w:t>time while studying.</w:t>
      </w:r>
    </w:p>
    <w:p w:rsidR="00160E67" w:rsidRPr="00160E67" w:rsidRDefault="00D8458E" w:rsidP="00160E67">
      <w:pPr>
        <w:pStyle w:val="Text"/>
        <w:rPr>
          <w:lang w:val="en-US"/>
        </w:rPr>
      </w:pPr>
      <w:r>
        <w:rPr>
          <w:lang w:val="en-US"/>
        </w:rPr>
        <w:t>Furthermore, i</w:t>
      </w:r>
      <w:r w:rsidR="00160E67" w:rsidRPr="00160E67">
        <w:rPr>
          <w:lang w:val="en-US"/>
        </w:rPr>
        <w:t xml:space="preserve">n an analysis of six </w:t>
      </w:r>
      <w:r w:rsidR="00225556">
        <w:rPr>
          <w:lang w:val="en-US"/>
        </w:rPr>
        <w:t>a</w:t>
      </w:r>
      <w:r w:rsidR="00160E67" w:rsidRPr="00160E67">
        <w:rPr>
          <w:lang w:val="en-US"/>
        </w:rPr>
        <w:t xml:space="preserve">ssociate </w:t>
      </w:r>
      <w:r w:rsidR="00225556">
        <w:rPr>
          <w:lang w:val="en-US"/>
        </w:rPr>
        <w:t>d</w:t>
      </w:r>
      <w:r w:rsidR="00160E67" w:rsidRPr="00160E67">
        <w:rPr>
          <w:lang w:val="en-US"/>
        </w:rPr>
        <w:t xml:space="preserve">egree qualifications at Polytechnic West in Western Australia, </w:t>
      </w:r>
      <w:proofErr w:type="spellStart"/>
      <w:r w:rsidR="00160E67" w:rsidRPr="00160E67">
        <w:rPr>
          <w:lang w:val="en-US"/>
        </w:rPr>
        <w:t>Torr</w:t>
      </w:r>
      <w:proofErr w:type="spellEnd"/>
      <w:r w:rsidR="00160E67" w:rsidRPr="00160E67">
        <w:rPr>
          <w:lang w:val="en-US"/>
        </w:rPr>
        <w:t xml:space="preserve"> and Hill (2013) found that students who </w:t>
      </w:r>
      <w:proofErr w:type="spellStart"/>
      <w:r w:rsidR="00160E67" w:rsidRPr="00160E67">
        <w:rPr>
          <w:lang w:val="en-US"/>
        </w:rPr>
        <w:t>enrol</w:t>
      </w:r>
      <w:proofErr w:type="spellEnd"/>
      <w:r w:rsidR="00160E67" w:rsidRPr="00160E67">
        <w:rPr>
          <w:lang w:val="en-US"/>
        </w:rPr>
        <w:t xml:space="preserve"> in associate degree courses</w:t>
      </w:r>
      <w:r w:rsidR="00A070B6">
        <w:rPr>
          <w:lang w:val="en-US"/>
        </w:rPr>
        <w:t xml:space="preserve"> with advanced standing</w:t>
      </w:r>
      <w:r w:rsidR="00160E67" w:rsidRPr="00160E67">
        <w:rPr>
          <w:lang w:val="en-US"/>
        </w:rPr>
        <w:t xml:space="preserve"> were more likely to complete their course in a shorter timeframe than students who did not </w:t>
      </w:r>
      <w:proofErr w:type="spellStart"/>
      <w:r w:rsidR="00160E67" w:rsidRPr="00160E67">
        <w:rPr>
          <w:lang w:val="en-US"/>
        </w:rPr>
        <w:t>enrol</w:t>
      </w:r>
      <w:proofErr w:type="spellEnd"/>
      <w:r w:rsidR="00160E67" w:rsidRPr="00160E67">
        <w:rPr>
          <w:lang w:val="en-US"/>
        </w:rPr>
        <w:t xml:space="preserve"> with advanced standing. They propose that gaining credit motivated students by reducing the financial burden of study and increased their levels of self-esteem through the acknowledgement of their p</w:t>
      </w:r>
      <w:r w:rsidR="00C2185D">
        <w:rPr>
          <w:lang w:val="en-US"/>
        </w:rPr>
        <w:t xml:space="preserve">rior learning (see also Guthrie, Stanwick &amp; Karmel </w:t>
      </w:r>
      <w:r w:rsidR="00160E67" w:rsidRPr="00160E67">
        <w:rPr>
          <w:lang w:val="en-US"/>
        </w:rPr>
        <w:t xml:space="preserve">2011). However, students who graduated with </w:t>
      </w:r>
      <w:r w:rsidR="006A544F">
        <w:rPr>
          <w:lang w:val="en-US"/>
        </w:rPr>
        <w:t>an</w:t>
      </w:r>
      <w:r w:rsidR="00160E67" w:rsidRPr="00160E67">
        <w:rPr>
          <w:lang w:val="en-US"/>
        </w:rPr>
        <w:t xml:space="preserve"> </w:t>
      </w:r>
      <w:r w:rsidR="00225556">
        <w:rPr>
          <w:lang w:val="en-US"/>
        </w:rPr>
        <w:t>a</w:t>
      </w:r>
      <w:r w:rsidR="00160E67" w:rsidRPr="00160E67">
        <w:rPr>
          <w:lang w:val="en-US"/>
        </w:rPr>
        <w:t xml:space="preserve">ssociate </w:t>
      </w:r>
      <w:r w:rsidR="00225556">
        <w:rPr>
          <w:lang w:val="en-US"/>
        </w:rPr>
        <w:t>d</w:t>
      </w:r>
      <w:r w:rsidR="00160E67" w:rsidRPr="00160E67">
        <w:rPr>
          <w:lang w:val="en-US"/>
        </w:rPr>
        <w:t xml:space="preserve">iploma for which they </w:t>
      </w:r>
      <w:r w:rsidR="006A544F">
        <w:rPr>
          <w:lang w:val="en-US"/>
        </w:rPr>
        <w:t xml:space="preserve">had </w:t>
      </w:r>
      <w:r w:rsidR="00160E67" w:rsidRPr="00160E67">
        <w:rPr>
          <w:lang w:val="en-US"/>
        </w:rPr>
        <w:t xml:space="preserve">received a large amount of credit exemption were less well prepared to succeed at university than students who completed a greater proportion of their higher education course through study. Students with the highest amount of credit had the poorest academic </w:t>
      </w:r>
      <w:r w:rsidR="00160E67" w:rsidRPr="00E60E35">
        <w:rPr>
          <w:lang w:val="en-US"/>
        </w:rPr>
        <w:t>record as graduate students</w:t>
      </w:r>
      <w:r w:rsidR="00160E67" w:rsidRPr="00160E67">
        <w:rPr>
          <w:lang w:val="en-US"/>
        </w:rPr>
        <w:t>.</w:t>
      </w:r>
      <w:r w:rsidR="001E6D2B">
        <w:rPr>
          <w:lang w:val="en-US"/>
        </w:rPr>
        <w:t xml:space="preserve"> </w:t>
      </w:r>
      <w:r w:rsidR="00074753">
        <w:rPr>
          <w:lang w:val="en-US"/>
        </w:rPr>
        <w:t>A number of</w:t>
      </w:r>
      <w:r w:rsidR="001E6D2B">
        <w:rPr>
          <w:lang w:val="en-US"/>
        </w:rPr>
        <w:t xml:space="preserve"> </w:t>
      </w:r>
      <w:r w:rsidR="00074753">
        <w:rPr>
          <w:lang w:val="en-US"/>
        </w:rPr>
        <w:t>factors</w:t>
      </w:r>
      <w:r w:rsidR="001E6D2B">
        <w:rPr>
          <w:lang w:val="en-US"/>
        </w:rPr>
        <w:t xml:space="preserve"> </w:t>
      </w:r>
      <w:r w:rsidR="00074753">
        <w:rPr>
          <w:lang w:val="en-US"/>
        </w:rPr>
        <w:t xml:space="preserve">might explain </w:t>
      </w:r>
      <w:r w:rsidR="00074753">
        <w:rPr>
          <w:lang w:val="en-US"/>
        </w:rPr>
        <w:lastRenderedPageBreak/>
        <w:t xml:space="preserve">this outcome. One explanation offered by </w:t>
      </w:r>
      <w:proofErr w:type="spellStart"/>
      <w:r w:rsidR="00074753">
        <w:rPr>
          <w:lang w:val="en-US"/>
        </w:rPr>
        <w:t>Torr</w:t>
      </w:r>
      <w:proofErr w:type="spellEnd"/>
      <w:r w:rsidR="00074753">
        <w:rPr>
          <w:lang w:val="en-US"/>
        </w:rPr>
        <w:t xml:space="preserve"> and Hill (2013) is that VET training is focu</w:t>
      </w:r>
      <w:r w:rsidR="00074753" w:rsidRPr="00074753">
        <w:rPr>
          <w:lang w:val="en-US"/>
        </w:rPr>
        <w:t xml:space="preserve">sed </w:t>
      </w:r>
      <w:r w:rsidR="00074753">
        <w:rPr>
          <w:lang w:val="en-US"/>
        </w:rPr>
        <w:t xml:space="preserve">more </w:t>
      </w:r>
      <w:r w:rsidR="00074753" w:rsidRPr="00074753">
        <w:rPr>
          <w:lang w:val="en-US"/>
        </w:rPr>
        <w:t xml:space="preserve">on the development of practical skills rather than the development of </w:t>
      </w:r>
      <w:r w:rsidR="00074753">
        <w:rPr>
          <w:lang w:val="en-US"/>
        </w:rPr>
        <w:t xml:space="preserve">skills </w:t>
      </w:r>
      <w:r w:rsidR="00C2185D">
        <w:rPr>
          <w:lang w:val="en-US"/>
        </w:rPr>
        <w:t>concerned with</w:t>
      </w:r>
      <w:r w:rsidR="00074753">
        <w:rPr>
          <w:lang w:val="en-US"/>
        </w:rPr>
        <w:t xml:space="preserve"> </w:t>
      </w:r>
      <w:r w:rsidR="00074753" w:rsidRPr="00074753">
        <w:rPr>
          <w:lang w:val="en-US"/>
        </w:rPr>
        <w:t>critical thinking</w:t>
      </w:r>
      <w:r w:rsidR="00074753">
        <w:rPr>
          <w:lang w:val="en-US"/>
        </w:rPr>
        <w:t xml:space="preserve"> and analysis and </w:t>
      </w:r>
      <w:r w:rsidR="00074753" w:rsidRPr="00074753">
        <w:rPr>
          <w:lang w:val="en-US"/>
        </w:rPr>
        <w:t>independent study</w:t>
      </w:r>
      <w:r w:rsidR="00C2185D">
        <w:rPr>
          <w:lang w:val="en-US"/>
        </w:rPr>
        <w:t>, which</w:t>
      </w:r>
      <w:r w:rsidR="00074753" w:rsidRPr="00074753">
        <w:rPr>
          <w:lang w:val="en-US"/>
        </w:rPr>
        <w:t xml:space="preserve"> are required for higher education</w:t>
      </w:r>
      <w:r w:rsidR="00074753">
        <w:rPr>
          <w:lang w:val="en-US"/>
        </w:rPr>
        <w:t>.</w:t>
      </w:r>
      <w:r w:rsidR="00074753" w:rsidRPr="00074753">
        <w:rPr>
          <w:lang w:val="en-US"/>
        </w:rPr>
        <w:t xml:space="preserve"> </w:t>
      </w:r>
      <w:r w:rsidR="000448CC">
        <w:rPr>
          <w:lang w:val="en-US"/>
        </w:rPr>
        <w:t>Other institutions (</w:t>
      </w:r>
      <w:r w:rsidR="00C2185D">
        <w:rPr>
          <w:lang w:val="en-US"/>
        </w:rPr>
        <w:t>for example, Queensland University of Technology</w:t>
      </w:r>
      <w:r w:rsidR="00160E67" w:rsidRPr="00160E67">
        <w:rPr>
          <w:lang w:val="en-US"/>
        </w:rPr>
        <w:t xml:space="preserve"> 2007) have discussed the increased complexity for students in making sense out of the myriad of pathways and options now pro</w:t>
      </w:r>
      <w:r w:rsidR="00C2185D">
        <w:rPr>
          <w:lang w:val="en-US"/>
        </w:rPr>
        <w:t>vided by tertiary institutions.</w:t>
      </w:r>
      <w:r w:rsidR="00677993">
        <w:rPr>
          <w:lang w:val="en-US"/>
        </w:rPr>
        <w:t xml:space="preserve"> </w:t>
      </w:r>
      <w:r w:rsidR="00E60E35">
        <w:rPr>
          <w:lang w:val="en-US"/>
        </w:rPr>
        <w:t xml:space="preserve">New </w:t>
      </w:r>
      <w:r w:rsidR="00160E67" w:rsidRPr="00160E67">
        <w:rPr>
          <w:lang w:val="en-US"/>
        </w:rPr>
        <w:t xml:space="preserve">tertiary learners, especially those from equity groups, need advice in </w:t>
      </w:r>
      <w:r w:rsidR="00677993">
        <w:rPr>
          <w:lang w:val="en-US"/>
        </w:rPr>
        <w:t>determining their career options</w:t>
      </w:r>
      <w:r w:rsidR="00160E67" w:rsidRPr="00160E67">
        <w:rPr>
          <w:lang w:val="en-US"/>
        </w:rPr>
        <w:t xml:space="preserve"> and in selecting the best pathway. Except for school-based </w:t>
      </w:r>
      <w:r w:rsidR="00225556">
        <w:rPr>
          <w:lang w:val="en-US"/>
        </w:rPr>
        <w:t>g</w:t>
      </w:r>
      <w:r w:rsidR="00160E67" w:rsidRPr="00160E67">
        <w:rPr>
          <w:lang w:val="en-US"/>
        </w:rPr>
        <w:t xml:space="preserve">uidance </w:t>
      </w:r>
      <w:r w:rsidR="00225556">
        <w:rPr>
          <w:lang w:val="en-US"/>
        </w:rPr>
        <w:t>o</w:t>
      </w:r>
      <w:r w:rsidR="00160E67" w:rsidRPr="00160E67">
        <w:rPr>
          <w:lang w:val="en-US"/>
        </w:rPr>
        <w:t xml:space="preserve">fficers, independent advice is not typically available in schools or tertiary institutions. </w:t>
      </w:r>
    </w:p>
    <w:p w:rsidR="00F16125" w:rsidRDefault="00160E67" w:rsidP="00F16125">
      <w:pPr>
        <w:pStyle w:val="Text"/>
        <w:rPr>
          <w:lang w:val="en-US"/>
        </w:rPr>
      </w:pPr>
      <w:r w:rsidRPr="00160E67">
        <w:rPr>
          <w:lang w:val="en-US"/>
        </w:rPr>
        <w:t>On a similar note, Guthrie</w:t>
      </w:r>
      <w:r w:rsidR="00677993">
        <w:rPr>
          <w:lang w:val="en-US"/>
        </w:rPr>
        <w:t xml:space="preserve">, Stanwick and Karmel </w:t>
      </w:r>
      <w:r w:rsidRPr="00160E67">
        <w:rPr>
          <w:lang w:val="en-US"/>
        </w:rPr>
        <w:t xml:space="preserve">(2011) suggest that we need to develop better approaches to providing the advice </w:t>
      </w:r>
      <w:r w:rsidR="00677993">
        <w:rPr>
          <w:lang w:val="en-US"/>
        </w:rPr>
        <w:t xml:space="preserve">that </w:t>
      </w:r>
      <w:r w:rsidRPr="00160E67">
        <w:rPr>
          <w:lang w:val="en-US"/>
        </w:rPr>
        <w:t xml:space="preserve">individuals need to help them </w:t>
      </w:r>
      <w:r w:rsidR="00677993">
        <w:rPr>
          <w:lang w:val="en-US"/>
        </w:rPr>
        <w:t xml:space="preserve">to </w:t>
      </w:r>
      <w:r w:rsidRPr="00160E67">
        <w:rPr>
          <w:lang w:val="en-US"/>
        </w:rPr>
        <w:t>select and access pathways. The advice</w:t>
      </w:r>
      <w:r w:rsidR="00677993">
        <w:rPr>
          <w:lang w:val="en-US"/>
        </w:rPr>
        <w:t xml:space="preserve"> must be relevant, individually </w:t>
      </w:r>
      <w:r w:rsidRPr="00160E67">
        <w:rPr>
          <w:lang w:val="en-US"/>
        </w:rPr>
        <w:t xml:space="preserve">tailored and readily available at critical times. On a more positive note, they </w:t>
      </w:r>
      <w:r w:rsidR="00CA09B3">
        <w:rPr>
          <w:lang w:val="en-US"/>
        </w:rPr>
        <w:t>see evidence of</w:t>
      </w:r>
      <w:r w:rsidRPr="00160E67">
        <w:rPr>
          <w:lang w:val="en-US"/>
        </w:rPr>
        <w:t xml:space="preserve"> more collaboration among institutions in providing smoother inter- and intra-</w:t>
      </w:r>
      <w:proofErr w:type="spellStart"/>
      <w:r w:rsidRPr="00160E67">
        <w:rPr>
          <w:lang w:val="en-US"/>
        </w:rPr>
        <w:t>sectoral</w:t>
      </w:r>
      <w:proofErr w:type="spellEnd"/>
      <w:r w:rsidRPr="00160E67">
        <w:rPr>
          <w:lang w:val="en-US"/>
        </w:rPr>
        <w:t xml:space="preserve"> pathways and articulation arrangements. For the key pathways, they recommend the provision of adequate funding and support, including possible supplementary funding for disadvantaged students</w:t>
      </w:r>
      <w:r w:rsidR="00677993">
        <w:rPr>
          <w:lang w:val="en-US"/>
        </w:rPr>
        <w:t>,</w:t>
      </w:r>
      <w:r w:rsidRPr="00160E67">
        <w:rPr>
          <w:lang w:val="en-US"/>
        </w:rPr>
        <w:t xml:space="preserve"> to ensure good outcomes. In addition, they call for the consideration of grading for the VET programs that are part of pathways to higher education.</w:t>
      </w:r>
    </w:p>
    <w:p w:rsidR="00F16125" w:rsidRPr="007748F3" w:rsidRDefault="00677993" w:rsidP="007748F3">
      <w:pPr>
        <w:pStyle w:val="Text"/>
        <w:rPr>
          <w:szCs w:val="19"/>
        </w:rPr>
      </w:pPr>
      <w:r>
        <w:rPr>
          <w:szCs w:val="19"/>
          <w:lang w:val="en-US"/>
        </w:rPr>
        <w:t>S</w:t>
      </w:r>
      <w:r w:rsidR="00F16125">
        <w:rPr>
          <w:szCs w:val="19"/>
          <w:lang w:val="en-US"/>
        </w:rPr>
        <w:t xml:space="preserve">pecial efforts are </w:t>
      </w:r>
      <w:r>
        <w:rPr>
          <w:szCs w:val="19"/>
          <w:lang w:val="en-US"/>
        </w:rPr>
        <w:t xml:space="preserve">also </w:t>
      </w:r>
      <w:r w:rsidR="00F16125">
        <w:rPr>
          <w:szCs w:val="19"/>
          <w:lang w:val="en-US"/>
        </w:rPr>
        <w:t>required to assist the more disadvantaged learne</w:t>
      </w:r>
      <w:r>
        <w:rPr>
          <w:szCs w:val="19"/>
          <w:lang w:val="en-US"/>
        </w:rPr>
        <w:t>r who might access these higher-</w:t>
      </w:r>
      <w:r w:rsidR="00F16125">
        <w:rPr>
          <w:szCs w:val="19"/>
          <w:lang w:val="en-US"/>
        </w:rPr>
        <w:t xml:space="preserve">level qualifications. </w:t>
      </w:r>
      <w:r w:rsidR="00F16125" w:rsidRPr="00F16125">
        <w:rPr>
          <w:szCs w:val="19"/>
          <w:lang w:val="en-US"/>
        </w:rPr>
        <w:t xml:space="preserve">In </w:t>
      </w:r>
      <w:r w:rsidR="00F16125">
        <w:rPr>
          <w:szCs w:val="19"/>
          <w:lang w:val="en-US"/>
        </w:rPr>
        <w:t>a</w:t>
      </w:r>
      <w:r w:rsidR="00F16125" w:rsidRPr="00F16125">
        <w:rPr>
          <w:szCs w:val="19"/>
          <w:lang w:val="en-US"/>
        </w:rPr>
        <w:t xml:space="preserve"> recent report, Bowman and Callan (forthcoming)</w:t>
      </w:r>
      <w:bookmarkStart w:id="37" w:name="_Toc341015174"/>
      <w:bookmarkStart w:id="38" w:name="_Toc341108347"/>
      <w:bookmarkStart w:id="39" w:name="_Toc343261049"/>
      <w:bookmarkStart w:id="40" w:name="_Toc343261808"/>
      <w:bookmarkStart w:id="41" w:name="_Toc343776545"/>
      <w:bookmarkStart w:id="42" w:name="_Toc343776699"/>
      <w:bookmarkStart w:id="43" w:name="_Toc346389130"/>
      <w:r w:rsidR="00F16125" w:rsidRPr="00F16125">
        <w:rPr>
          <w:szCs w:val="19"/>
        </w:rPr>
        <w:t xml:space="preserve"> have </w:t>
      </w:r>
      <w:r>
        <w:rPr>
          <w:szCs w:val="19"/>
        </w:rPr>
        <w:t>proposed</w:t>
      </w:r>
      <w:r w:rsidR="00F16125" w:rsidRPr="00F16125">
        <w:rPr>
          <w:szCs w:val="19"/>
        </w:rPr>
        <w:t xml:space="preserve"> a pedagogic framework for a more socially inclusive VET sector. </w:t>
      </w:r>
      <w:bookmarkEnd w:id="37"/>
      <w:bookmarkEnd w:id="38"/>
      <w:bookmarkEnd w:id="39"/>
      <w:bookmarkEnd w:id="40"/>
      <w:bookmarkEnd w:id="41"/>
      <w:bookmarkEnd w:id="42"/>
      <w:bookmarkEnd w:id="43"/>
      <w:r w:rsidR="00F16125" w:rsidRPr="00F16125">
        <w:rPr>
          <w:szCs w:val="19"/>
        </w:rPr>
        <w:t>They propose that the</w:t>
      </w:r>
      <w:r w:rsidR="00F16125">
        <w:rPr>
          <w:szCs w:val="19"/>
        </w:rPr>
        <w:t xml:space="preserve"> </w:t>
      </w:r>
      <w:r w:rsidR="00F16125" w:rsidRPr="00F16125">
        <w:rPr>
          <w:szCs w:val="19"/>
        </w:rPr>
        <w:t xml:space="preserve">best outcomes are achieved for disadvantaged learners when </w:t>
      </w:r>
      <w:r w:rsidR="00F16125">
        <w:rPr>
          <w:szCs w:val="19"/>
        </w:rPr>
        <w:t>VET</w:t>
      </w:r>
      <w:r w:rsidR="00F16125" w:rsidRPr="00F16125">
        <w:rPr>
          <w:szCs w:val="19"/>
        </w:rPr>
        <w:t xml:space="preserve"> practitioners embrace pedagogic principles</w:t>
      </w:r>
      <w:r w:rsidR="00F16125">
        <w:rPr>
          <w:szCs w:val="19"/>
        </w:rPr>
        <w:t xml:space="preserve"> that include being learner-ce</w:t>
      </w:r>
      <w:r>
        <w:rPr>
          <w:szCs w:val="19"/>
        </w:rPr>
        <w:t>ntred, adopting a more strength-</w:t>
      </w:r>
      <w:r w:rsidR="00F16125">
        <w:rPr>
          <w:szCs w:val="19"/>
        </w:rPr>
        <w:t>based approach</w:t>
      </w:r>
      <w:r w:rsidR="00F16125" w:rsidRPr="00F16125">
        <w:rPr>
          <w:szCs w:val="19"/>
        </w:rPr>
        <w:t xml:space="preserve">, </w:t>
      </w:r>
      <w:r w:rsidR="00F16125">
        <w:rPr>
          <w:szCs w:val="19"/>
        </w:rPr>
        <w:t xml:space="preserve">applying more </w:t>
      </w:r>
      <w:r w:rsidR="00F16125" w:rsidRPr="00F16125">
        <w:rPr>
          <w:szCs w:val="19"/>
        </w:rPr>
        <w:t>goal</w:t>
      </w:r>
      <w:r w:rsidR="00F16125">
        <w:rPr>
          <w:szCs w:val="19"/>
        </w:rPr>
        <w:t>-oriented learning</w:t>
      </w:r>
      <w:r w:rsidR="00E60E35">
        <w:rPr>
          <w:szCs w:val="19"/>
        </w:rPr>
        <w:t>,</w:t>
      </w:r>
      <w:r w:rsidR="00F16125">
        <w:rPr>
          <w:szCs w:val="19"/>
        </w:rPr>
        <w:t xml:space="preserve"> and i</w:t>
      </w:r>
      <w:r w:rsidR="00F16125" w:rsidRPr="00F16125">
        <w:rPr>
          <w:szCs w:val="19"/>
        </w:rPr>
        <w:t>mplement</w:t>
      </w:r>
      <w:r w:rsidR="00F16125">
        <w:rPr>
          <w:szCs w:val="19"/>
        </w:rPr>
        <w:t>ing</w:t>
      </w:r>
      <w:r w:rsidR="00F16125" w:rsidRPr="00F16125">
        <w:rPr>
          <w:szCs w:val="19"/>
        </w:rPr>
        <w:t xml:space="preserve"> flexible learning and assessment processes</w:t>
      </w:r>
      <w:r w:rsidR="00F16125">
        <w:rPr>
          <w:szCs w:val="19"/>
        </w:rPr>
        <w:t>.</w:t>
      </w:r>
      <w:r w:rsidR="007748F3">
        <w:rPr>
          <w:szCs w:val="19"/>
        </w:rPr>
        <w:t xml:space="preserve"> However, returning to the earlier points made in this paper </w:t>
      </w:r>
      <w:r>
        <w:rPr>
          <w:szCs w:val="19"/>
        </w:rPr>
        <w:t>about</w:t>
      </w:r>
      <w:r w:rsidR="007748F3">
        <w:rPr>
          <w:szCs w:val="19"/>
        </w:rPr>
        <w:t xml:space="preserve"> capability, they argue that to </w:t>
      </w:r>
      <w:r w:rsidR="00F16125" w:rsidRPr="007748F3">
        <w:rPr>
          <w:szCs w:val="19"/>
        </w:rPr>
        <w:t>implement the</w:t>
      </w:r>
      <w:r w:rsidR="007748F3">
        <w:rPr>
          <w:szCs w:val="19"/>
        </w:rPr>
        <w:t>se</w:t>
      </w:r>
      <w:r w:rsidR="00F16125" w:rsidRPr="007748F3">
        <w:rPr>
          <w:szCs w:val="19"/>
        </w:rPr>
        <w:t xml:space="preserve"> principles and </w:t>
      </w:r>
      <w:r w:rsidR="007748F3">
        <w:rPr>
          <w:szCs w:val="19"/>
        </w:rPr>
        <w:t xml:space="preserve">related </w:t>
      </w:r>
      <w:r w:rsidR="00F16125" w:rsidRPr="007748F3">
        <w:rPr>
          <w:szCs w:val="19"/>
        </w:rPr>
        <w:t xml:space="preserve">strategies, the core capabilities of </w:t>
      </w:r>
      <w:r w:rsidR="007748F3">
        <w:rPr>
          <w:szCs w:val="19"/>
        </w:rPr>
        <w:t xml:space="preserve">many </w:t>
      </w:r>
      <w:r w:rsidR="00F16125" w:rsidRPr="007748F3">
        <w:rPr>
          <w:szCs w:val="19"/>
        </w:rPr>
        <w:t>VET practitioners</w:t>
      </w:r>
      <w:r w:rsidR="00E60E35">
        <w:rPr>
          <w:szCs w:val="19"/>
        </w:rPr>
        <w:t xml:space="preserve"> need to be deepened</w:t>
      </w:r>
      <w:r w:rsidR="00F16125" w:rsidRPr="007748F3">
        <w:rPr>
          <w:szCs w:val="19"/>
        </w:rPr>
        <w:t xml:space="preserve">. </w:t>
      </w:r>
    </w:p>
    <w:p w:rsidR="0053219E" w:rsidRDefault="0053219E">
      <w:pPr>
        <w:spacing w:before="0" w:line="240" w:lineRule="auto"/>
        <w:rPr>
          <w:rFonts w:ascii="Tahoma" w:hAnsi="Tahoma" w:cs="Tahoma"/>
          <w:color w:val="000000"/>
          <w:kern w:val="28"/>
          <w:sz w:val="56"/>
          <w:szCs w:val="56"/>
          <w:lang w:val="en-US"/>
        </w:rPr>
      </w:pPr>
      <w:r>
        <w:rPr>
          <w:lang w:val="en-US"/>
        </w:rPr>
        <w:br w:type="page"/>
      </w:r>
    </w:p>
    <w:p w:rsidR="00160E67" w:rsidRDefault="00160E67" w:rsidP="00160E67">
      <w:pPr>
        <w:pStyle w:val="Heading1"/>
        <w:rPr>
          <w:lang w:val="en-US"/>
        </w:rPr>
      </w:pPr>
      <w:bookmarkStart w:id="44" w:name="_Toc369178821"/>
      <w:r>
        <w:rPr>
          <w:lang w:val="en-US"/>
        </w:rPr>
        <w:lastRenderedPageBreak/>
        <w:t>C</w:t>
      </w:r>
      <w:r w:rsidR="00A270EA">
        <w:rPr>
          <w:lang w:val="en-US"/>
        </w:rPr>
        <w:t>onclusion</w:t>
      </w:r>
      <w:bookmarkEnd w:id="44"/>
    </w:p>
    <w:p w:rsidR="007748F3" w:rsidRDefault="007748F3" w:rsidP="009424D2">
      <w:pPr>
        <w:pStyle w:val="Text"/>
      </w:pPr>
      <w:r>
        <w:t xml:space="preserve">The transition by </w:t>
      </w:r>
      <w:r w:rsidR="009424D2" w:rsidRPr="00643B69">
        <w:t xml:space="preserve">public and private </w:t>
      </w:r>
      <w:r>
        <w:t>VET</w:t>
      </w:r>
      <w:r w:rsidR="009424D2" w:rsidRPr="00643B69">
        <w:t xml:space="preserve"> providers </w:t>
      </w:r>
      <w:r>
        <w:t>to</w:t>
      </w:r>
      <w:r w:rsidR="009424D2" w:rsidRPr="00643B69">
        <w:t xml:space="preserve"> the delivery of associate degrees and bachelor degrees</w:t>
      </w:r>
      <w:r>
        <w:t xml:space="preserve"> poses some interesting questions</w:t>
      </w:r>
      <w:r w:rsidR="009424D2" w:rsidRPr="00643B69">
        <w:t xml:space="preserve">. For these providers, this transition raises </w:t>
      </w:r>
      <w:r>
        <w:t>a number of</w:t>
      </w:r>
      <w:r w:rsidR="009424D2" w:rsidRPr="00643B69">
        <w:t xml:space="preserve"> strategic and operational issues, as well as questions </w:t>
      </w:r>
      <w:r w:rsidR="00677993">
        <w:t>about</w:t>
      </w:r>
      <w:r w:rsidR="009424D2" w:rsidRPr="00643B69">
        <w:t xml:space="preserve"> their capability to deliver higher education qualifications. However</w:t>
      </w:r>
      <w:r>
        <w:t>,</w:t>
      </w:r>
      <w:r w:rsidR="009424D2" w:rsidRPr="00643B69">
        <w:t xml:space="preserve"> </w:t>
      </w:r>
      <w:r w:rsidR="006A544F">
        <w:t xml:space="preserve">there has been little </w:t>
      </w:r>
      <w:r>
        <w:t xml:space="preserve">detailed investigation of </w:t>
      </w:r>
      <w:r w:rsidR="009424D2" w:rsidRPr="00643B69">
        <w:t xml:space="preserve">these issues to date, despite numerous newspaper and industry reports about the intentions of VET providers to offer higher education qualifications and the </w:t>
      </w:r>
      <w:r>
        <w:t xml:space="preserve">stated </w:t>
      </w:r>
      <w:r w:rsidR="00555B10">
        <w:t>policies of the Australian and s</w:t>
      </w:r>
      <w:r w:rsidR="009424D2" w:rsidRPr="00643B69">
        <w:t xml:space="preserve">tate governments </w:t>
      </w:r>
      <w:r>
        <w:t>that</w:t>
      </w:r>
      <w:r w:rsidR="009424D2" w:rsidRPr="00643B69">
        <w:t xml:space="preserve"> </w:t>
      </w:r>
      <w:r w:rsidR="00E60E35">
        <w:t xml:space="preserve">encourage </w:t>
      </w:r>
      <w:r w:rsidR="009424D2" w:rsidRPr="00643B69">
        <w:t xml:space="preserve">more VET providers </w:t>
      </w:r>
      <w:r>
        <w:t xml:space="preserve">to move into the tertiary education space </w:t>
      </w:r>
      <w:r w:rsidR="009424D2" w:rsidRPr="00643B69">
        <w:t>at the diploma to bach</w:t>
      </w:r>
      <w:r w:rsidR="000448CC">
        <w:t>elor degree levels (</w:t>
      </w:r>
      <w:r w:rsidR="00677993">
        <w:t>for example,</w:t>
      </w:r>
      <w:r w:rsidR="000448CC">
        <w:t xml:space="preserve"> Moodie</w:t>
      </w:r>
      <w:r w:rsidR="009424D2">
        <w:t xml:space="preserve"> </w:t>
      </w:r>
      <w:r w:rsidR="009424D2" w:rsidRPr="00643B69">
        <w:t>2012).</w:t>
      </w:r>
      <w:r>
        <w:t xml:space="preserve"> These key issues for investigation include:</w:t>
      </w:r>
    </w:p>
    <w:p w:rsidR="009424D2" w:rsidRDefault="00677993" w:rsidP="00A15E80">
      <w:pPr>
        <w:pStyle w:val="Dotpoint1"/>
      </w:pPr>
      <w:r>
        <w:t>t</w:t>
      </w:r>
      <w:r w:rsidR="007748F3">
        <w:t>he</w:t>
      </w:r>
      <w:r w:rsidR="009424D2">
        <w:t xml:space="preserve"> strategic thinking </w:t>
      </w:r>
      <w:r w:rsidR="007748F3">
        <w:t xml:space="preserve">and positioning </w:t>
      </w:r>
      <w:r w:rsidR="009424D2">
        <w:t xml:space="preserve">of VET providers </w:t>
      </w:r>
      <w:r w:rsidR="007748F3">
        <w:t>that have decided to deliver</w:t>
      </w:r>
      <w:r w:rsidR="009424D2">
        <w:t xml:space="preserve"> associate and bachelor degree qualifications</w:t>
      </w:r>
      <w:r w:rsidR="007748F3">
        <w:t>,</w:t>
      </w:r>
      <w:r w:rsidR="009424D2">
        <w:t xml:space="preserve"> and </w:t>
      </w:r>
      <w:r w:rsidR="006A544F">
        <w:t>whether</w:t>
      </w:r>
      <w:r w:rsidR="009424D2">
        <w:t xml:space="preserve"> </w:t>
      </w:r>
      <w:r w:rsidR="007748F3">
        <w:t>these</w:t>
      </w:r>
      <w:r w:rsidR="009424D2">
        <w:t xml:space="preserve"> changes in positioning s</w:t>
      </w:r>
      <w:r w:rsidR="007748F3">
        <w:t xml:space="preserve">ignal shifts in the purpose and </w:t>
      </w:r>
      <w:r w:rsidR="009424D2">
        <w:t>identity o</w:t>
      </w:r>
      <w:r w:rsidR="007748F3">
        <w:t>f these training organisations</w:t>
      </w:r>
    </w:p>
    <w:p w:rsidR="00770A5A" w:rsidRDefault="00677993" w:rsidP="00A15E80">
      <w:pPr>
        <w:pStyle w:val="Dotpoint1"/>
      </w:pPr>
      <w:r>
        <w:t>t</w:t>
      </w:r>
      <w:r w:rsidR="007748F3">
        <w:t>he</w:t>
      </w:r>
      <w:r w:rsidR="009424D2">
        <w:t xml:space="preserve"> understanding and experiences </w:t>
      </w:r>
      <w:r w:rsidR="007748F3">
        <w:t xml:space="preserve">of these organisations </w:t>
      </w:r>
      <w:r w:rsidR="00E60E35">
        <w:t>in terms of</w:t>
      </w:r>
      <w:r w:rsidR="009424D2">
        <w:t xml:space="preserve"> </w:t>
      </w:r>
      <w:r w:rsidR="00E60E35">
        <w:t xml:space="preserve">the </w:t>
      </w:r>
      <w:r w:rsidR="009424D2">
        <w:t>operational issues</w:t>
      </w:r>
      <w:r w:rsidR="007748F3">
        <w:t xml:space="preserve"> that will need to be worked through</w:t>
      </w:r>
      <w:r w:rsidR="009424D2">
        <w:t xml:space="preserve">, including </w:t>
      </w:r>
      <w:r w:rsidR="00B45FAD">
        <w:t>a</w:t>
      </w:r>
      <w:r w:rsidR="009424D2">
        <w:t xml:space="preserve"> range of funding, reporting, curriculum, </w:t>
      </w:r>
      <w:r w:rsidR="007748F3">
        <w:t xml:space="preserve">and </w:t>
      </w:r>
      <w:r w:rsidR="009424D2">
        <w:t>teaching support factors</w:t>
      </w:r>
      <w:r w:rsidR="00E60E35">
        <w:t>,</w:t>
      </w:r>
      <w:r w:rsidR="009424D2">
        <w:t xml:space="preserve"> </w:t>
      </w:r>
      <w:r w:rsidR="007748F3">
        <w:t>as well as</w:t>
      </w:r>
      <w:r w:rsidR="009424D2">
        <w:t xml:space="preserve"> </w:t>
      </w:r>
      <w:r w:rsidR="007748F3">
        <w:t xml:space="preserve">support for </w:t>
      </w:r>
      <w:r w:rsidR="009424D2">
        <w:t>student</w:t>
      </w:r>
      <w:r w:rsidR="007748F3">
        <w:t xml:space="preserve">s </w:t>
      </w:r>
      <w:r>
        <w:t xml:space="preserve">to enable </w:t>
      </w:r>
      <w:r w:rsidR="00E60E35">
        <w:t>their</w:t>
      </w:r>
      <w:r w:rsidR="007748F3">
        <w:t xml:space="preserve"> success</w:t>
      </w:r>
      <w:r w:rsidR="00E60E35">
        <w:t xml:space="preserve"> </w:t>
      </w:r>
      <w:r w:rsidR="007748F3">
        <w:t xml:space="preserve">in these </w:t>
      </w:r>
      <w:r w:rsidR="009424D2">
        <w:t>higher</w:t>
      </w:r>
      <w:r w:rsidR="007748F3">
        <w:t xml:space="preserve"> education qualifications</w:t>
      </w:r>
      <w:r w:rsidR="009424D2">
        <w:t xml:space="preserve"> </w:t>
      </w:r>
    </w:p>
    <w:p w:rsidR="00770A5A" w:rsidRPr="00770A5A" w:rsidRDefault="00E155B7" w:rsidP="00A15E80">
      <w:pPr>
        <w:pStyle w:val="Dotpoint1"/>
      </w:pPr>
      <w:proofErr w:type="gramStart"/>
      <w:r>
        <w:t>the</w:t>
      </w:r>
      <w:proofErr w:type="gramEnd"/>
      <w:r>
        <w:t xml:space="preserve"> </w:t>
      </w:r>
      <w:r w:rsidR="00677993">
        <w:t>b</w:t>
      </w:r>
      <w:r w:rsidR="00770A5A">
        <w:t xml:space="preserve">est practices of public and private organisations that have made or are making the transition from delivering </w:t>
      </w:r>
      <w:r w:rsidR="009424D2">
        <w:t>a VET form of study to a higher education form of study.</w:t>
      </w:r>
      <w:r w:rsidR="00770A5A" w:rsidRPr="00770A5A">
        <w:rPr>
          <w:rFonts w:eastAsia="Calibri"/>
          <w:szCs w:val="19"/>
        </w:rPr>
        <w:t xml:space="preserve"> The identification of the</w:t>
      </w:r>
      <w:r w:rsidR="00770A5A">
        <w:rPr>
          <w:rFonts w:eastAsia="Calibri"/>
          <w:szCs w:val="19"/>
        </w:rPr>
        <w:t>se</w:t>
      </w:r>
      <w:r w:rsidR="00770A5A" w:rsidRPr="00770A5A">
        <w:rPr>
          <w:rFonts w:eastAsia="Calibri"/>
          <w:szCs w:val="19"/>
        </w:rPr>
        <w:t xml:space="preserve"> key features </w:t>
      </w:r>
      <w:r w:rsidR="00770A5A">
        <w:rPr>
          <w:rFonts w:eastAsia="Calibri"/>
          <w:szCs w:val="19"/>
        </w:rPr>
        <w:t>will</w:t>
      </w:r>
      <w:r w:rsidR="00770A5A" w:rsidRPr="00770A5A">
        <w:rPr>
          <w:rFonts w:eastAsia="Calibri"/>
          <w:szCs w:val="19"/>
        </w:rPr>
        <w:t xml:space="preserve"> provide a guide to the future for providers that decide to deliver these qualifications. </w:t>
      </w:r>
    </w:p>
    <w:p w:rsidR="00A84928" w:rsidRDefault="00770A5A" w:rsidP="00770A5A">
      <w:pPr>
        <w:pStyle w:val="Text"/>
        <w:rPr>
          <w:lang w:val="en-US"/>
        </w:rPr>
      </w:pPr>
      <w:r>
        <w:t xml:space="preserve">These three issues are being investigated in a recently commissioned NCVER study to be undertaken by Victor Callan and Kaye Bowman. </w:t>
      </w:r>
    </w:p>
    <w:p w:rsidR="00D35375" w:rsidRDefault="00D35375" w:rsidP="00A270EA">
      <w:pPr>
        <w:pStyle w:val="Heading1"/>
        <w:rPr>
          <w:lang w:val="en-US"/>
        </w:rPr>
      </w:pPr>
    </w:p>
    <w:p w:rsidR="00D35375" w:rsidRDefault="00D35375">
      <w:pPr>
        <w:spacing w:before="0" w:line="240" w:lineRule="auto"/>
        <w:rPr>
          <w:rFonts w:ascii="Tahoma" w:hAnsi="Tahoma" w:cs="Tahoma"/>
          <w:color w:val="000000"/>
          <w:kern w:val="28"/>
          <w:sz w:val="56"/>
          <w:szCs w:val="56"/>
          <w:lang w:val="en-US"/>
        </w:rPr>
      </w:pPr>
      <w:r>
        <w:rPr>
          <w:lang w:val="en-US"/>
        </w:rPr>
        <w:br w:type="page"/>
      </w:r>
    </w:p>
    <w:p w:rsidR="00A270EA" w:rsidRDefault="00A270EA" w:rsidP="00A270EA">
      <w:pPr>
        <w:pStyle w:val="Heading1"/>
        <w:rPr>
          <w:lang w:val="en-US"/>
        </w:rPr>
      </w:pPr>
      <w:bookmarkStart w:id="45" w:name="_Toc369178822"/>
      <w:r>
        <w:rPr>
          <w:lang w:val="en-US"/>
        </w:rPr>
        <w:lastRenderedPageBreak/>
        <w:t>References</w:t>
      </w:r>
      <w:bookmarkEnd w:id="45"/>
    </w:p>
    <w:p w:rsidR="007C7333" w:rsidRPr="007C7333" w:rsidRDefault="007C7333" w:rsidP="00480079">
      <w:pPr>
        <w:pStyle w:val="References"/>
        <w:rPr>
          <w:lang w:val="en-US"/>
        </w:rPr>
      </w:pPr>
      <w:r w:rsidRPr="007C7333">
        <w:rPr>
          <w:lang w:val="en-US"/>
        </w:rPr>
        <w:t>Access</w:t>
      </w:r>
      <w:r w:rsidR="00770A5A">
        <w:rPr>
          <w:lang w:val="en-US"/>
        </w:rPr>
        <w:t xml:space="preserve"> Economics 2009, </w:t>
      </w:r>
      <w:r w:rsidR="00770A5A" w:rsidRPr="00367223">
        <w:rPr>
          <w:i/>
          <w:lang w:val="en-US"/>
        </w:rPr>
        <w:t xml:space="preserve">Economic </w:t>
      </w:r>
      <w:proofErr w:type="spellStart"/>
      <w:r w:rsidR="00770A5A" w:rsidRPr="00367223">
        <w:rPr>
          <w:i/>
          <w:lang w:val="en-US"/>
        </w:rPr>
        <w:t>mode</w:t>
      </w:r>
      <w:r w:rsidR="00367223">
        <w:rPr>
          <w:i/>
          <w:lang w:val="en-US"/>
        </w:rPr>
        <w:t>l</w:t>
      </w:r>
      <w:r w:rsidR="00770A5A" w:rsidRPr="00367223">
        <w:rPr>
          <w:i/>
          <w:lang w:val="en-US"/>
        </w:rPr>
        <w:t>l</w:t>
      </w:r>
      <w:r w:rsidRPr="00367223">
        <w:rPr>
          <w:i/>
          <w:lang w:val="en-US"/>
        </w:rPr>
        <w:t>ing</w:t>
      </w:r>
      <w:proofErr w:type="spellEnd"/>
      <w:r w:rsidRPr="00367223">
        <w:rPr>
          <w:i/>
          <w:lang w:val="en-US"/>
        </w:rPr>
        <w:t xml:space="preserve"> of skills demand</w:t>
      </w:r>
      <w:r w:rsidRPr="007C7333">
        <w:rPr>
          <w:lang w:val="en-US"/>
        </w:rPr>
        <w:t>, Skills Australia, Canberra.</w:t>
      </w:r>
    </w:p>
    <w:p w:rsidR="007C7333" w:rsidRDefault="007C7333" w:rsidP="00480079">
      <w:pPr>
        <w:pStyle w:val="References"/>
        <w:rPr>
          <w:lang w:val="en-US"/>
        </w:rPr>
      </w:pPr>
      <w:r w:rsidRPr="007C7333">
        <w:rPr>
          <w:lang w:val="en-US"/>
        </w:rPr>
        <w:t xml:space="preserve">Australian Council for Private Education and Training (ACPET) 2008, </w:t>
      </w:r>
      <w:r w:rsidRPr="00367223">
        <w:rPr>
          <w:i/>
          <w:lang w:val="en-US"/>
        </w:rPr>
        <w:t>Response to the Review of Australian Higher Education</w:t>
      </w:r>
      <w:r w:rsidRPr="007C7333">
        <w:rPr>
          <w:lang w:val="en-US"/>
        </w:rPr>
        <w:t xml:space="preserve">, </w:t>
      </w:r>
      <w:r w:rsidR="00367223" w:rsidRPr="007C7333">
        <w:rPr>
          <w:lang w:val="en-US"/>
        </w:rPr>
        <w:t>final report</w:t>
      </w:r>
      <w:r w:rsidRPr="007C7333">
        <w:rPr>
          <w:lang w:val="en-US"/>
        </w:rPr>
        <w:t>, ACPET, Sydney.</w:t>
      </w:r>
    </w:p>
    <w:p w:rsidR="005477FB" w:rsidRPr="007C7333" w:rsidRDefault="005477FB" w:rsidP="00480079">
      <w:pPr>
        <w:pStyle w:val="References"/>
        <w:rPr>
          <w:lang w:val="en-US"/>
        </w:rPr>
      </w:pPr>
      <w:proofErr w:type="gramStart"/>
      <w:r>
        <w:rPr>
          <w:lang w:val="en-US"/>
        </w:rPr>
        <w:t xml:space="preserve">Australian Qualifications Framework Council 2011, </w:t>
      </w:r>
      <w:r w:rsidRPr="005477FB">
        <w:rPr>
          <w:i/>
          <w:lang w:val="en-US"/>
        </w:rPr>
        <w:t>Australian Qualifications Framework</w:t>
      </w:r>
      <w:r>
        <w:rPr>
          <w:lang w:val="en-US"/>
        </w:rPr>
        <w:t>, 1</w:t>
      </w:r>
      <w:r w:rsidRPr="005477FB">
        <w:rPr>
          <w:lang w:val="en-US"/>
        </w:rPr>
        <w:t xml:space="preserve">st </w:t>
      </w:r>
      <w:proofErr w:type="spellStart"/>
      <w:r>
        <w:rPr>
          <w:lang w:val="en-US"/>
        </w:rPr>
        <w:t>edn</w:t>
      </w:r>
      <w:proofErr w:type="spellEnd"/>
      <w:r>
        <w:rPr>
          <w:lang w:val="en-US"/>
        </w:rPr>
        <w:t>, AQF Council, Adelaide.</w:t>
      </w:r>
      <w:proofErr w:type="gramEnd"/>
    </w:p>
    <w:p w:rsidR="007C7333" w:rsidRPr="007C7333" w:rsidRDefault="007C7333" w:rsidP="00480079">
      <w:pPr>
        <w:pStyle w:val="References"/>
        <w:rPr>
          <w:lang w:val="en-US"/>
        </w:rPr>
      </w:pPr>
      <w:r w:rsidRPr="007C7333">
        <w:rPr>
          <w:lang w:val="en-US"/>
        </w:rPr>
        <w:t>Beddie, F</w:t>
      </w:r>
      <w:r w:rsidR="00367223">
        <w:rPr>
          <w:lang w:val="en-US"/>
        </w:rPr>
        <w:t>, O’Connor, L &amp; Curtin, P (</w:t>
      </w:r>
      <w:proofErr w:type="spellStart"/>
      <w:r w:rsidR="00367223">
        <w:rPr>
          <w:lang w:val="en-US"/>
        </w:rPr>
        <w:t>eds</w:t>
      </w:r>
      <w:proofErr w:type="spellEnd"/>
      <w:r w:rsidRPr="007C7333">
        <w:rPr>
          <w:lang w:val="en-US"/>
        </w:rPr>
        <w:t xml:space="preserve">) 2013, </w:t>
      </w:r>
      <w:r w:rsidRPr="00367223">
        <w:rPr>
          <w:i/>
          <w:lang w:val="en-US"/>
        </w:rPr>
        <w:t>Structures in te</w:t>
      </w:r>
      <w:r w:rsidR="00367223" w:rsidRPr="00367223">
        <w:rPr>
          <w:i/>
          <w:lang w:val="en-US"/>
        </w:rPr>
        <w:t>rtiary education and training: a</w:t>
      </w:r>
      <w:r w:rsidRPr="00367223">
        <w:rPr>
          <w:i/>
          <w:lang w:val="en-US"/>
        </w:rPr>
        <w:t xml:space="preserve"> kaleidoscope or merely fragments</w:t>
      </w:r>
      <w:proofErr w:type="gramStart"/>
      <w:r w:rsidRPr="009525C9">
        <w:rPr>
          <w:i/>
          <w:lang w:val="en-US"/>
        </w:rPr>
        <w:t>?</w:t>
      </w:r>
      <w:r w:rsidR="00367223" w:rsidRPr="009525C9">
        <w:rPr>
          <w:i/>
          <w:lang w:val="en-US"/>
        </w:rPr>
        <w:t>,</w:t>
      </w:r>
      <w:proofErr w:type="gramEnd"/>
      <w:r w:rsidRPr="009525C9">
        <w:rPr>
          <w:i/>
          <w:lang w:val="en-US"/>
        </w:rPr>
        <w:t xml:space="preserve"> Research readings</w:t>
      </w:r>
      <w:r w:rsidRPr="007C7333">
        <w:rPr>
          <w:lang w:val="en-US"/>
        </w:rPr>
        <w:t>, NCVER, Adelaide.</w:t>
      </w:r>
    </w:p>
    <w:p w:rsidR="00770A5A" w:rsidRDefault="007A1C57" w:rsidP="00480079">
      <w:pPr>
        <w:pStyle w:val="References"/>
        <w:rPr>
          <w:lang w:val="en-US"/>
        </w:rPr>
      </w:pPr>
      <w:r>
        <w:rPr>
          <w:lang w:val="en-US"/>
        </w:rPr>
        <w:t>Bowman, K &amp; Callan, VJ</w:t>
      </w:r>
      <w:r w:rsidR="00770A5A">
        <w:rPr>
          <w:lang w:val="en-US"/>
        </w:rPr>
        <w:t xml:space="preserve"> (forthcoming),</w:t>
      </w:r>
      <w:r w:rsidR="00770A5A" w:rsidRPr="00770A5A">
        <w:t xml:space="preserve"> </w:t>
      </w:r>
      <w:proofErr w:type="gramStart"/>
      <w:r w:rsidR="00770A5A" w:rsidRPr="00367223">
        <w:rPr>
          <w:i/>
          <w:lang w:val="en-US"/>
        </w:rPr>
        <w:t>A</w:t>
      </w:r>
      <w:proofErr w:type="gramEnd"/>
      <w:r w:rsidR="00770A5A" w:rsidRPr="00367223">
        <w:rPr>
          <w:i/>
          <w:lang w:val="en-US"/>
        </w:rPr>
        <w:t xml:space="preserve"> pedagogic framework for socially i</w:t>
      </w:r>
      <w:r w:rsidR="00367223" w:rsidRPr="00367223">
        <w:rPr>
          <w:i/>
          <w:lang w:val="en-US"/>
        </w:rPr>
        <w:t>nclusive VET: p</w:t>
      </w:r>
      <w:r w:rsidR="00770A5A" w:rsidRPr="00367223">
        <w:rPr>
          <w:i/>
          <w:lang w:val="en-US"/>
        </w:rPr>
        <w:t>rinciples, strategies and capabilities</w:t>
      </w:r>
      <w:r w:rsidR="00367223">
        <w:rPr>
          <w:lang w:val="en-US"/>
        </w:rPr>
        <w:t>,</w:t>
      </w:r>
      <w:r w:rsidR="00770A5A" w:rsidRPr="00770A5A">
        <w:t xml:space="preserve"> </w:t>
      </w:r>
      <w:r w:rsidR="00367223" w:rsidRPr="00770A5A">
        <w:rPr>
          <w:lang w:val="en-US"/>
        </w:rPr>
        <w:t>final report</w:t>
      </w:r>
      <w:r>
        <w:rPr>
          <w:lang w:val="en-US"/>
        </w:rPr>
        <w:t xml:space="preserve">, </w:t>
      </w:r>
      <w:r w:rsidR="00770A5A" w:rsidRPr="00770A5A">
        <w:rPr>
          <w:lang w:val="en-US"/>
        </w:rPr>
        <w:t>National VET Equity Advisory Council</w:t>
      </w:r>
      <w:r w:rsidR="00770A5A">
        <w:rPr>
          <w:lang w:val="en-US"/>
        </w:rPr>
        <w:t xml:space="preserve">, Melbourne. </w:t>
      </w:r>
    </w:p>
    <w:p w:rsidR="007C7333" w:rsidRPr="007C7333" w:rsidRDefault="007C7333" w:rsidP="00480079">
      <w:pPr>
        <w:pStyle w:val="References"/>
        <w:rPr>
          <w:lang w:val="en-US"/>
        </w:rPr>
      </w:pPr>
      <w:r w:rsidRPr="007C7333">
        <w:rPr>
          <w:lang w:val="en-US"/>
        </w:rPr>
        <w:t xml:space="preserve">Bradley, D, Noonan, P, Nugent, H &amp; Scales, B 2008, </w:t>
      </w:r>
      <w:r w:rsidRPr="00022564">
        <w:rPr>
          <w:i/>
          <w:lang w:val="en-US"/>
        </w:rPr>
        <w:t>Review of Australian higher</w:t>
      </w:r>
      <w:r w:rsidR="00367223" w:rsidRPr="00022564">
        <w:rPr>
          <w:i/>
          <w:lang w:val="en-US"/>
        </w:rPr>
        <w:t xml:space="preserve"> education: f</w:t>
      </w:r>
      <w:r w:rsidRPr="00022564">
        <w:rPr>
          <w:i/>
          <w:lang w:val="en-US"/>
        </w:rPr>
        <w:t>inal report</w:t>
      </w:r>
      <w:r w:rsidRPr="007C7333">
        <w:rPr>
          <w:lang w:val="en-US"/>
        </w:rPr>
        <w:t>, Department of Education, Employment and Workplace Relations, Canberra.</w:t>
      </w:r>
    </w:p>
    <w:p w:rsidR="007A1C57" w:rsidRPr="007C7333" w:rsidRDefault="007C7333" w:rsidP="00480079">
      <w:pPr>
        <w:pStyle w:val="References"/>
        <w:rPr>
          <w:lang w:val="en-US"/>
        </w:rPr>
      </w:pPr>
      <w:r w:rsidRPr="007C7333">
        <w:rPr>
          <w:lang w:val="en-US"/>
        </w:rPr>
        <w:t xml:space="preserve">Brown, K 2013, </w:t>
      </w:r>
      <w:r w:rsidR="00367223">
        <w:rPr>
          <w:lang w:val="en-US"/>
        </w:rPr>
        <w:t>‘</w:t>
      </w:r>
      <w:r w:rsidRPr="007C7333">
        <w:rPr>
          <w:lang w:val="en-US"/>
        </w:rPr>
        <w:t>How do providers respond to changes in str</w:t>
      </w:r>
      <w:r w:rsidR="00367223">
        <w:rPr>
          <w:lang w:val="en-US"/>
        </w:rPr>
        <w:t>uctures in a period of reform?</w:t>
      </w:r>
      <w:proofErr w:type="gramStart"/>
      <w:r w:rsidR="00367223">
        <w:rPr>
          <w:lang w:val="en-US"/>
        </w:rPr>
        <w:t>’,</w:t>
      </w:r>
      <w:proofErr w:type="gramEnd"/>
      <w:r w:rsidR="00367223">
        <w:rPr>
          <w:lang w:val="en-US"/>
        </w:rPr>
        <w:t xml:space="preserve"> i</w:t>
      </w:r>
      <w:r w:rsidR="007A1C57" w:rsidRPr="007C7333">
        <w:rPr>
          <w:lang w:val="en-US"/>
        </w:rPr>
        <w:t xml:space="preserve">n </w:t>
      </w:r>
      <w:r w:rsidR="007A1C57" w:rsidRPr="00520FF3">
        <w:rPr>
          <w:i/>
          <w:lang w:val="en-US"/>
        </w:rPr>
        <w:t>Structures in te</w:t>
      </w:r>
      <w:r w:rsidR="00367223" w:rsidRPr="00520FF3">
        <w:rPr>
          <w:i/>
          <w:lang w:val="en-US"/>
        </w:rPr>
        <w:t>rtiary education and training: a</w:t>
      </w:r>
      <w:r w:rsidR="007A1C57" w:rsidRPr="00520FF3">
        <w:rPr>
          <w:i/>
          <w:lang w:val="en-US"/>
        </w:rPr>
        <w:t xml:space="preserve"> kaleidosc</w:t>
      </w:r>
      <w:r w:rsidR="00367223" w:rsidRPr="00520FF3">
        <w:rPr>
          <w:i/>
          <w:lang w:val="en-US"/>
        </w:rPr>
        <w:t>ope or merely fragments</w:t>
      </w:r>
      <w:r w:rsidR="00367223" w:rsidRPr="009525C9">
        <w:rPr>
          <w:i/>
          <w:lang w:val="en-US"/>
        </w:rPr>
        <w:t>?,</w:t>
      </w:r>
      <w:r w:rsidR="007A1C57" w:rsidRPr="009525C9">
        <w:rPr>
          <w:i/>
          <w:lang w:val="en-US"/>
        </w:rPr>
        <w:t xml:space="preserve"> Res</w:t>
      </w:r>
      <w:r w:rsidR="00367223" w:rsidRPr="009525C9">
        <w:rPr>
          <w:i/>
          <w:lang w:val="en-US"/>
        </w:rPr>
        <w:t>earch readings</w:t>
      </w:r>
      <w:r w:rsidR="00367223" w:rsidRPr="00ED6A8A">
        <w:rPr>
          <w:lang w:val="en-US"/>
        </w:rPr>
        <w:t xml:space="preserve">, </w:t>
      </w:r>
      <w:proofErr w:type="spellStart"/>
      <w:r w:rsidR="00ED6A8A">
        <w:rPr>
          <w:lang w:val="en-US"/>
        </w:rPr>
        <w:t>eds</w:t>
      </w:r>
      <w:proofErr w:type="spellEnd"/>
      <w:r w:rsidR="00ED6A8A">
        <w:rPr>
          <w:lang w:val="en-US"/>
        </w:rPr>
        <w:t xml:space="preserve"> F </w:t>
      </w:r>
      <w:r w:rsidR="00ED6A8A" w:rsidRPr="007C7333">
        <w:rPr>
          <w:lang w:val="en-US"/>
        </w:rPr>
        <w:t xml:space="preserve">Beddie, </w:t>
      </w:r>
      <w:r w:rsidR="00ED6A8A">
        <w:rPr>
          <w:lang w:val="en-US"/>
        </w:rPr>
        <w:t>L</w:t>
      </w:r>
      <w:r w:rsidR="00ED6A8A" w:rsidRPr="007C7333">
        <w:rPr>
          <w:lang w:val="en-US"/>
        </w:rPr>
        <w:t xml:space="preserve"> O’Connor</w:t>
      </w:r>
      <w:r w:rsidR="00ED6A8A">
        <w:rPr>
          <w:lang w:val="en-US"/>
        </w:rPr>
        <w:t xml:space="preserve"> </w:t>
      </w:r>
      <w:r w:rsidR="00ED6A8A" w:rsidRPr="007C7333">
        <w:rPr>
          <w:lang w:val="en-US"/>
        </w:rPr>
        <w:t xml:space="preserve">&amp; </w:t>
      </w:r>
      <w:r w:rsidR="00ED6A8A">
        <w:rPr>
          <w:lang w:val="en-US"/>
        </w:rPr>
        <w:t>P Curtin</w:t>
      </w:r>
      <w:r w:rsidR="00ED6A8A" w:rsidRPr="007C7333">
        <w:rPr>
          <w:lang w:val="en-US"/>
        </w:rPr>
        <w:t xml:space="preserve">, </w:t>
      </w:r>
      <w:r w:rsidR="00367223">
        <w:rPr>
          <w:lang w:val="en-US"/>
        </w:rPr>
        <w:t>NCVER, Adelaide,</w:t>
      </w:r>
      <w:r w:rsidR="00367223" w:rsidRPr="00367223">
        <w:rPr>
          <w:lang w:val="en-US"/>
        </w:rPr>
        <w:t xml:space="preserve"> </w:t>
      </w:r>
      <w:r w:rsidR="00367223">
        <w:rPr>
          <w:lang w:val="en-US"/>
        </w:rPr>
        <w:t>pp.98—107.</w:t>
      </w:r>
    </w:p>
    <w:p w:rsidR="007C7333" w:rsidRPr="007C7333" w:rsidRDefault="007C7333" w:rsidP="00480079">
      <w:pPr>
        <w:pStyle w:val="References"/>
        <w:rPr>
          <w:lang w:val="en-US"/>
        </w:rPr>
      </w:pPr>
      <w:r w:rsidRPr="007C7333">
        <w:rPr>
          <w:lang w:val="en-US"/>
        </w:rPr>
        <w:t xml:space="preserve">Burke, G &amp; Shah, C 2006, </w:t>
      </w:r>
      <w:r w:rsidRPr="00367223">
        <w:rPr>
          <w:i/>
          <w:lang w:val="en-US"/>
        </w:rPr>
        <w:t>Qualifications and fut</w:t>
      </w:r>
      <w:r w:rsidR="00367223" w:rsidRPr="00367223">
        <w:rPr>
          <w:i/>
          <w:lang w:val="en-US"/>
        </w:rPr>
        <w:t xml:space="preserve">ure </w:t>
      </w:r>
      <w:proofErr w:type="spellStart"/>
      <w:r w:rsidR="00367223" w:rsidRPr="00367223">
        <w:rPr>
          <w:i/>
          <w:lang w:val="en-US"/>
        </w:rPr>
        <w:t>labour</w:t>
      </w:r>
      <w:proofErr w:type="spellEnd"/>
      <w:r w:rsidR="00367223" w:rsidRPr="00367223">
        <w:rPr>
          <w:i/>
          <w:lang w:val="en-US"/>
        </w:rPr>
        <w:t xml:space="preserve"> markets in Australia</w:t>
      </w:r>
      <w:r w:rsidR="00367223">
        <w:rPr>
          <w:lang w:val="en-US"/>
        </w:rPr>
        <w:t>,</w:t>
      </w:r>
      <w:r w:rsidRPr="007C7333">
        <w:rPr>
          <w:lang w:val="en-US"/>
        </w:rPr>
        <w:t xml:space="preserve"> C</w:t>
      </w:r>
      <w:r w:rsidR="00367223">
        <w:rPr>
          <w:lang w:val="en-US"/>
        </w:rPr>
        <w:t xml:space="preserve">entre for </w:t>
      </w:r>
      <w:r w:rsidR="00022564">
        <w:rPr>
          <w:lang w:val="en-US"/>
        </w:rPr>
        <w:t xml:space="preserve">the Economics of </w:t>
      </w:r>
      <w:r w:rsidR="00367223">
        <w:rPr>
          <w:lang w:val="en-US"/>
        </w:rPr>
        <w:t>Education</w:t>
      </w:r>
      <w:r w:rsidR="00022564">
        <w:rPr>
          <w:lang w:val="en-US"/>
        </w:rPr>
        <w:t xml:space="preserve"> </w:t>
      </w:r>
      <w:r w:rsidR="00367223">
        <w:rPr>
          <w:lang w:val="en-US"/>
        </w:rPr>
        <w:t>and Training,</w:t>
      </w:r>
      <w:r w:rsidRPr="007C7333">
        <w:rPr>
          <w:lang w:val="en-US"/>
        </w:rPr>
        <w:t xml:space="preserve"> </w:t>
      </w:r>
      <w:proofErr w:type="spellStart"/>
      <w:r w:rsidRPr="007C7333">
        <w:rPr>
          <w:lang w:val="en-US"/>
        </w:rPr>
        <w:t>Monash</w:t>
      </w:r>
      <w:proofErr w:type="spellEnd"/>
      <w:r w:rsidRPr="007C7333">
        <w:rPr>
          <w:lang w:val="en-US"/>
        </w:rPr>
        <w:t xml:space="preserve"> University, Melbourne.</w:t>
      </w:r>
    </w:p>
    <w:p w:rsidR="007C7333" w:rsidRPr="007C7333" w:rsidRDefault="007C7333" w:rsidP="00480079">
      <w:pPr>
        <w:pStyle w:val="References"/>
        <w:rPr>
          <w:lang w:val="en-US"/>
        </w:rPr>
      </w:pPr>
      <w:proofErr w:type="gramStart"/>
      <w:r w:rsidRPr="007C7333">
        <w:rPr>
          <w:lang w:val="en-US"/>
        </w:rPr>
        <w:t xml:space="preserve">Canberra Institute of Technology 2008, </w:t>
      </w:r>
      <w:r w:rsidR="00367223">
        <w:rPr>
          <w:lang w:val="en-US"/>
        </w:rPr>
        <w:t>‘</w:t>
      </w:r>
      <w:r w:rsidRPr="007C7333">
        <w:rPr>
          <w:lang w:val="en-US"/>
        </w:rPr>
        <w:t>Submission to Review of Australian Higher Education</w:t>
      </w:r>
      <w:r w:rsidR="00367223">
        <w:rPr>
          <w:lang w:val="en-US"/>
        </w:rPr>
        <w:t xml:space="preserve">’, </w:t>
      </w:r>
      <w:r w:rsidRPr="007C7333">
        <w:rPr>
          <w:lang w:val="en-US"/>
        </w:rPr>
        <w:t>Canberra Institute of Technology.</w:t>
      </w:r>
      <w:proofErr w:type="gramEnd"/>
    </w:p>
    <w:p w:rsidR="007C7333" w:rsidRPr="007C7333" w:rsidRDefault="007C7333" w:rsidP="00480079">
      <w:pPr>
        <w:pStyle w:val="References"/>
        <w:rPr>
          <w:lang w:val="en-US"/>
        </w:rPr>
      </w:pPr>
      <w:r w:rsidRPr="007C7333">
        <w:rPr>
          <w:lang w:val="en-US"/>
        </w:rPr>
        <w:t xml:space="preserve">Dow, KL &amp; Braithwaite, V 2013, </w:t>
      </w:r>
      <w:proofErr w:type="gramStart"/>
      <w:r w:rsidRPr="007D4D60">
        <w:rPr>
          <w:i/>
          <w:lang w:val="en-US"/>
        </w:rPr>
        <w:t>The</w:t>
      </w:r>
      <w:proofErr w:type="gramEnd"/>
      <w:r w:rsidRPr="007D4D60">
        <w:rPr>
          <w:i/>
          <w:lang w:val="en-US"/>
        </w:rPr>
        <w:t xml:space="preserve"> review of higher education regulation</w:t>
      </w:r>
      <w:r w:rsidRPr="007C7333">
        <w:rPr>
          <w:lang w:val="en-US"/>
        </w:rPr>
        <w:t>, Commonwealth of Australia, Canberra.</w:t>
      </w:r>
    </w:p>
    <w:p w:rsidR="007C7333" w:rsidRPr="007C7333" w:rsidRDefault="007C7333" w:rsidP="00480079">
      <w:pPr>
        <w:pStyle w:val="References"/>
        <w:rPr>
          <w:lang w:val="en-US"/>
        </w:rPr>
      </w:pPr>
      <w:r w:rsidRPr="007C7333">
        <w:rPr>
          <w:lang w:val="en-US"/>
        </w:rPr>
        <w:t xml:space="preserve">Foreman, D, Davis, P &amp; Bone, B 2003, </w:t>
      </w:r>
      <w:proofErr w:type="gramStart"/>
      <w:r w:rsidRPr="007D4D60">
        <w:rPr>
          <w:i/>
          <w:lang w:val="en-US"/>
        </w:rPr>
        <w:t>Assessment</w:t>
      </w:r>
      <w:proofErr w:type="gramEnd"/>
      <w:r w:rsidRPr="007D4D60">
        <w:rPr>
          <w:i/>
          <w:lang w:val="en-US"/>
        </w:rPr>
        <w:t xml:space="preserve"> practices at diploma</w:t>
      </w:r>
      <w:r w:rsidR="00A84928" w:rsidRPr="007D4D60">
        <w:rPr>
          <w:i/>
          <w:lang w:val="en-US"/>
        </w:rPr>
        <w:t xml:space="preserve"> </w:t>
      </w:r>
      <w:r w:rsidRPr="007D4D60">
        <w:rPr>
          <w:i/>
          <w:lang w:val="en-US"/>
        </w:rPr>
        <w:t>and advanced diploma levels within training packages</w:t>
      </w:r>
      <w:r w:rsidRPr="007C7333">
        <w:rPr>
          <w:lang w:val="en-US"/>
        </w:rPr>
        <w:t>, NCVER</w:t>
      </w:r>
      <w:r w:rsidR="00D915AF">
        <w:rPr>
          <w:lang w:val="en-US"/>
        </w:rPr>
        <w:t>,</w:t>
      </w:r>
      <w:r w:rsidRPr="007C7333">
        <w:rPr>
          <w:lang w:val="en-US"/>
        </w:rPr>
        <w:t xml:space="preserve"> Adelaide.</w:t>
      </w:r>
    </w:p>
    <w:p w:rsidR="00341A54" w:rsidRDefault="007C7333" w:rsidP="00480079">
      <w:pPr>
        <w:pStyle w:val="References"/>
        <w:rPr>
          <w:lang w:val="en-US"/>
        </w:rPr>
      </w:pPr>
      <w:r w:rsidRPr="007C7333">
        <w:rPr>
          <w:lang w:val="en-US"/>
        </w:rPr>
        <w:t>Fo</w:t>
      </w:r>
      <w:r w:rsidR="00D915AF">
        <w:rPr>
          <w:lang w:val="en-US"/>
        </w:rPr>
        <w:t>ster, S, Delaney, B, Bateman, A</w:t>
      </w:r>
      <w:r w:rsidRPr="007C7333">
        <w:rPr>
          <w:lang w:val="en-US"/>
        </w:rPr>
        <w:t xml:space="preserve"> &amp; Dyson, C </w:t>
      </w:r>
      <w:r w:rsidRPr="006A544F">
        <w:rPr>
          <w:lang w:val="en-US"/>
        </w:rPr>
        <w:t>2007</w:t>
      </w:r>
      <w:r w:rsidRPr="007C7333">
        <w:rPr>
          <w:lang w:val="en-US"/>
        </w:rPr>
        <w:t xml:space="preserve">, </w:t>
      </w:r>
      <w:r w:rsidR="007D4D60">
        <w:rPr>
          <w:i/>
          <w:lang w:val="en-US"/>
        </w:rPr>
        <w:t>Higher-</w:t>
      </w:r>
      <w:r w:rsidRPr="007D4D60">
        <w:rPr>
          <w:i/>
          <w:lang w:val="en-US"/>
        </w:rPr>
        <w:t>level voca</w:t>
      </w:r>
      <w:r w:rsidR="007D4D60" w:rsidRPr="007D4D60">
        <w:rPr>
          <w:i/>
          <w:lang w:val="en-US"/>
        </w:rPr>
        <w:t>tional education and training</w:t>
      </w:r>
      <w:r w:rsidR="00493162">
        <w:rPr>
          <w:i/>
          <w:lang w:val="en-US"/>
        </w:rPr>
        <w:t xml:space="preserve"> qualifications</w:t>
      </w:r>
      <w:r w:rsidR="007D4D60" w:rsidRPr="007D4D60">
        <w:rPr>
          <w:i/>
          <w:lang w:val="en-US"/>
        </w:rPr>
        <w:t xml:space="preserve">: </w:t>
      </w:r>
      <w:r w:rsidR="00493162">
        <w:rPr>
          <w:i/>
          <w:lang w:val="en-US"/>
        </w:rPr>
        <w:t>their importance in today’s training market,</w:t>
      </w:r>
      <w:r w:rsidRPr="007C7333">
        <w:rPr>
          <w:lang w:val="en-US"/>
        </w:rPr>
        <w:t xml:space="preserve"> NCVER, Adelaide</w:t>
      </w:r>
      <w:r w:rsidR="007D4D60">
        <w:rPr>
          <w:lang w:val="en-US"/>
        </w:rPr>
        <w:t>.</w:t>
      </w:r>
      <w:r w:rsidRPr="007C7333">
        <w:rPr>
          <w:lang w:val="en-US"/>
        </w:rPr>
        <w:t xml:space="preserve"> </w:t>
      </w:r>
    </w:p>
    <w:p w:rsidR="007C7333" w:rsidRPr="007C7333" w:rsidRDefault="00D915AF" w:rsidP="00480079">
      <w:pPr>
        <w:pStyle w:val="References"/>
        <w:rPr>
          <w:lang w:val="en-US"/>
        </w:rPr>
      </w:pPr>
      <w:r>
        <w:rPr>
          <w:lang w:val="en-US"/>
        </w:rPr>
        <w:t>Gunn, C, Hearne, S</w:t>
      </w:r>
      <w:r w:rsidR="007C7333" w:rsidRPr="007C7333">
        <w:rPr>
          <w:lang w:val="en-US"/>
        </w:rPr>
        <w:t xml:space="preserve"> &amp; </w:t>
      </w:r>
      <w:proofErr w:type="spellStart"/>
      <w:r w:rsidR="007C7333" w:rsidRPr="007C7333">
        <w:rPr>
          <w:lang w:val="en-US"/>
        </w:rPr>
        <w:t>Sibthorpe</w:t>
      </w:r>
      <w:proofErr w:type="spellEnd"/>
      <w:r w:rsidR="007C7333" w:rsidRPr="007C7333">
        <w:rPr>
          <w:lang w:val="en-US"/>
        </w:rPr>
        <w:t>,</w:t>
      </w:r>
      <w:r w:rsidR="007D4D60">
        <w:rPr>
          <w:lang w:val="en-US"/>
        </w:rPr>
        <w:t xml:space="preserve"> J 2011, ‘</w:t>
      </w:r>
      <w:r w:rsidR="007D4D60" w:rsidRPr="007D4D60">
        <w:rPr>
          <w:lang w:val="en-US"/>
        </w:rPr>
        <w:t>Right from the start: a</w:t>
      </w:r>
      <w:r w:rsidR="007C7333" w:rsidRPr="007D4D60">
        <w:rPr>
          <w:lang w:val="en-US"/>
        </w:rPr>
        <w:t xml:space="preserve"> rationale </w:t>
      </w:r>
      <w:r w:rsidR="007D4D60" w:rsidRPr="007D4D60">
        <w:rPr>
          <w:lang w:val="en-US"/>
        </w:rPr>
        <w:t>for embedding academic literacy’</w:t>
      </w:r>
      <w:r w:rsidR="007D4D60">
        <w:rPr>
          <w:lang w:val="en-US"/>
        </w:rPr>
        <w:t>,</w:t>
      </w:r>
      <w:r w:rsidR="007C7333" w:rsidRPr="007C7333">
        <w:rPr>
          <w:lang w:val="en-US"/>
        </w:rPr>
        <w:t xml:space="preserve"> </w:t>
      </w:r>
      <w:r w:rsidR="007C7333" w:rsidRPr="007D4D60">
        <w:rPr>
          <w:i/>
          <w:lang w:val="en-US"/>
        </w:rPr>
        <w:t>Journal of University Teaching and Learning Practice</w:t>
      </w:r>
      <w:r w:rsidR="007D4D60">
        <w:rPr>
          <w:lang w:val="en-US"/>
        </w:rPr>
        <w:t>, vol.</w:t>
      </w:r>
      <w:r w:rsidR="00DE6744">
        <w:rPr>
          <w:lang w:val="en-US"/>
        </w:rPr>
        <w:t>8, no.1, pp.1—</w:t>
      </w:r>
      <w:r w:rsidR="007C7333" w:rsidRPr="007C7333">
        <w:rPr>
          <w:lang w:val="en-US"/>
        </w:rPr>
        <w:t>10.</w:t>
      </w:r>
    </w:p>
    <w:p w:rsidR="007C7333" w:rsidRPr="007C7333" w:rsidRDefault="007C7333" w:rsidP="00480079">
      <w:pPr>
        <w:pStyle w:val="References"/>
        <w:rPr>
          <w:lang w:val="en-US"/>
        </w:rPr>
      </w:pPr>
      <w:r w:rsidRPr="007C7333">
        <w:rPr>
          <w:lang w:val="en-US"/>
        </w:rPr>
        <w:t>Guthrie, H, Stanwick, J &amp;</w:t>
      </w:r>
      <w:r w:rsidR="00DE6744">
        <w:rPr>
          <w:lang w:val="en-US"/>
        </w:rPr>
        <w:t xml:space="preserve"> Karmel, </w:t>
      </w:r>
      <w:proofErr w:type="gramStart"/>
      <w:r w:rsidR="00DE6744">
        <w:rPr>
          <w:lang w:val="en-US"/>
        </w:rPr>
        <w:t>T</w:t>
      </w:r>
      <w:proofErr w:type="gramEnd"/>
      <w:r w:rsidR="00DE6744">
        <w:rPr>
          <w:lang w:val="en-US"/>
        </w:rPr>
        <w:t xml:space="preserve"> 2011, </w:t>
      </w:r>
      <w:r w:rsidR="00DE6744" w:rsidRPr="00DE6744">
        <w:rPr>
          <w:i/>
          <w:lang w:val="en-US"/>
        </w:rPr>
        <w:t>Pathways: d</w:t>
      </w:r>
      <w:r w:rsidRPr="00DE6744">
        <w:rPr>
          <w:i/>
          <w:lang w:val="en-US"/>
        </w:rPr>
        <w:t>eveloping the skills of Australia’s workforce</w:t>
      </w:r>
      <w:r w:rsidRPr="007C7333">
        <w:rPr>
          <w:lang w:val="en-US"/>
        </w:rPr>
        <w:t xml:space="preserve">, NCVER, Adelaide. </w:t>
      </w:r>
    </w:p>
    <w:p w:rsidR="007C7333" w:rsidRPr="007C7333" w:rsidRDefault="00DE6744" w:rsidP="00480079">
      <w:pPr>
        <w:pStyle w:val="References"/>
        <w:rPr>
          <w:lang w:val="en-US"/>
        </w:rPr>
      </w:pPr>
      <w:r>
        <w:rPr>
          <w:lang w:val="en-US"/>
        </w:rPr>
        <w:t>Hammer, SJ</w:t>
      </w:r>
      <w:r w:rsidR="007C7333" w:rsidRPr="007C7333">
        <w:rPr>
          <w:lang w:val="en-US"/>
        </w:rPr>
        <w:t xml:space="preserve"> &amp; Green, W 2011, </w:t>
      </w:r>
      <w:r>
        <w:rPr>
          <w:lang w:val="en-US"/>
        </w:rPr>
        <w:t>‘</w:t>
      </w:r>
      <w:r w:rsidR="007C7333" w:rsidRPr="007C7333">
        <w:rPr>
          <w:lang w:val="en-US"/>
        </w:rPr>
        <w:t>Critical thinking in</w:t>
      </w:r>
      <w:r>
        <w:rPr>
          <w:lang w:val="en-US"/>
        </w:rPr>
        <w:t xml:space="preserve"> a first year management unit: t</w:t>
      </w:r>
      <w:r w:rsidR="007C7333" w:rsidRPr="007C7333">
        <w:rPr>
          <w:lang w:val="en-US"/>
        </w:rPr>
        <w:t>he relationship between disciplinary learning, academic literacy and learning prog</w:t>
      </w:r>
      <w:r>
        <w:rPr>
          <w:lang w:val="en-US"/>
        </w:rPr>
        <w:t>ression,</w:t>
      </w:r>
      <w:r w:rsidR="007C7333" w:rsidRPr="007C7333">
        <w:rPr>
          <w:lang w:val="en-US"/>
        </w:rPr>
        <w:t xml:space="preserve"> </w:t>
      </w:r>
      <w:r w:rsidR="007C7333" w:rsidRPr="00DE6744">
        <w:rPr>
          <w:i/>
          <w:lang w:val="en-US"/>
        </w:rPr>
        <w:t>Higher Education Research and Development</w:t>
      </w:r>
      <w:r>
        <w:rPr>
          <w:lang w:val="en-US"/>
        </w:rPr>
        <w:t>, vol.30, no.3, pp.303—</w:t>
      </w:r>
      <w:r w:rsidR="007C7333" w:rsidRPr="007C7333">
        <w:rPr>
          <w:lang w:val="en-US"/>
        </w:rPr>
        <w:t>15.</w:t>
      </w:r>
    </w:p>
    <w:p w:rsidR="00CF06C6" w:rsidRDefault="007C7333" w:rsidP="00CA5C6A">
      <w:pPr>
        <w:pStyle w:val="References"/>
      </w:pPr>
      <w:r w:rsidRPr="007C7333">
        <w:rPr>
          <w:lang w:val="en-US"/>
        </w:rPr>
        <w:t xml:space="preserve">Hare, J 2011, </w:t>
      </w:r>
      <w:r w:rsidR="00DE6744">
        <w:rPr>
          <w:lang w:val="en-US"/>
        </w:rPr>
        <w:t>‘</w:t>
      </w:r>
      <w:r w:rsidRPr="007C7333">
        <w:rPr>
          <w:lang w:val="en-US"/>
        </w:rPr>
        <w:t>UC polytechnic on track for launch next year</w:t>
      </w:r>
      <w:r w:rsidR="00DE6744">
        <w:rPr>
          <w:lang w:val="en-US"/>
        </w:rPr>
        <w:t>’</w:t>
      </w:r>
      <w:r w:rsidRPr="007C7333">
        <w:rPr>
          <w:lang w:val="en-US"/>
        </w:rPr>
        <w:t xml:space="preserve">, </w:t>
      </w:r>
      <w:r w:rsidRPr="00DE6744">
        <w:rPr>
          <w:i/>
          <w:lang w:val="en-US"/>
        </w:rPr>
        <w:t>Australian Higher Education Supplement</w:t>
      </w:r>
      <w:r w:rsidRPr="007C7333">
        <w:rPr>
          <w:lang w:val="en-US"/>
        </w:rPr>
        <w:t>,</w:t>
      </w:r>
      <w:r w:rsidR="00D915AF">
        <w:rPr>
          <w:lang w:val="en-US"/>
        </w:rPr>
        <w:t xml:space="preserve"> </w:t>
      </w:r>
      <w:r w:rsidR="00DE6744">
        <w:rPr>
          <w:lang w:val="en-US"/>
        </w:rPr>
        <w:t>30</w:t>
      </w:r>
      <w:r w:rsidR="00ED6A8A">
        <w:rPr>
          <w:lang w:val="en-US"/>
        </w:rPr>
        <w:t> </w:t>
      </w:r>
      <w:r w:rsidR="00DE6744">
        <w:rPr>
          <w:lang w:val="en-US"/>
        </w:rPr>
        <w:t>September 2011</w:t>
      </w:r>
      <w:r w:rsidRPr="007C7333">
        <w:rPr>
          <w:lang w:val="en-US"/>
        </w:rPr>
        <w:t>, viewed 10 January 2013, &lt;</w:t>
      </w:r>
      <w:r w:rsidR="006A544F">
        <w:rPr>
          <w:lang w:val="en-US"/>
        </w:rPr>
        <w:t>http://</w:t>
      </w:r>
      <w:r w:rsidRPr="007C7333">
        <w:rPr>
          <w:lang w:val="en-US"/>
        </w:rPr>
        <w:t>www.theaustralian.com.au/higher-education/uc-polytechnicontrack-for-launch-next-year</w:t>
      </w:r>
      <w:r w:rsidR="00CF06C6">
        <w:rPr>
          <w:lang w:val="en-US"/>
        </w:rPr>
        <w:t>/story-e6frgcjx-1226152021713&gt;.</w:t>
      </w:r>
    </w:p>
    <w:p w:rsidR="007C7333" w:rsidRPr="007C7333" w:rsidRDefault="00B45FAD" w:rsidP="00CA5C6A">
      <w:pPr>
        <w:pStyle w:val="References"/>
        <w:rPr>
          <w:lang w:val="en-US"/>
        </w:rPr>
      </w:pPr>
      <w:proofErr w:type="spellStart"/>
      <w:r>
        <w:t>IBISWorld</w:t>
      </w:r>
      <w:proofErr w:type="spellEnd"/>
      <w:r>
        <w:t xml:space="preserve"> </w:t>
      </w:r>
      <w:proofErr w:type="gramStart"/>
      <w:r>
        <w:t>2013</w:t>
      </w:r>
      <w:r w:rsidR="00DE6744">
        <w:t>,</w:t>
      </w:r>
      <w:proofErr w:type="gramEnd"/>
      <w:r w:rsidR="00DE6744">
        <w:t xml:space="preserve"> </w:t>
      </w:r>
      <w:r w:rsidR="00DE6744" w:rsidRPr="00DE6744">
        <w:rPr>
          <w:i/>
        </w:rPr>
        <w:t>Caps off: g</w:t>
      </w:r>
      <w:r w:rsidR="007C7333" w:rsidRPr="00DE6744">
        <w:rPr>
          <w:i/>
        </w:rPr>
        <w:t>rowth in domestic student enrolments off</w:t>
      </w:r>
      <w:r w:rsidR="00DE6744" w:rsidRPr="00DE6744">
        <w:rPr>
          <w:i/>
        </w:rPr>
        <w:t>sets lower international demand</w:t>
      </w:r>
      <w:r w:rsidR="00DE6744">
        <w:t>,</w:t>
      </w:r>
      <w:r w:rsidR="007C7333" w:rsidRPr="00CF06C6">
        <w:t xml:space="preserve"> </w:t>
      </w:r>
      <w:proofErr w:type="spellStart"/>
      <w:r w:rsidR="007C7333" w:rsidRPr="00CF06C6">
        <w:t>IBISWorld</w:t>
      </w:r>
      <w:proofErr w:type="spellEnd"/>
      <w:r w:rsidR="007C7333" w:rsidRPr="00CF06C6">
        <w:t xml:space="preserve"> </w:t>
      </w:r>
      <w:r w:rsidR="00DE6744" w:rsidRPr="00CF06C6">
        <w:t xml:space="preserve">industry report </w:t>
      </w:r>
      <w:r w:rsidR="007C7333" w:rsidRPr="00CF06C6">
        <w:t>P8102, University and Other Higher</w:t>
      </w:r>
      <w:r w:rsidR="00770A5A" w:rsidRPr="00CF06C6">
        <w:t xml:space="preserve"> Education in Austr</w:t>
      </w:r>
      <w:r w:rsidR="0064690B">
        <w:t>alia,</w:t>
      </w:r>
      <w:r w:rsidR="00770A5A" w:rsidRPr="00CF06C6">
        <w:t xml:space="preserve"> </w:t>
      </w:r>
      <w:proofErr w:type="spellStart"/>
      <w:r w:rsidR="007C7333" w:rsidRPr="00CF06C6">
        <w:t>IBISWorld</w:t>
      </w:r>
      <w:proofErr w:type="spellEnd"/>
      <w:r w:rsidR="0064690B">
        <w:t>, Melbourne</w:t>
      </w:r>
      <w:r w:rsidR="007C7333" w:rsidRPr="00CF06C6">
        <w:t>.</w:t>
      </w:r>
    </w:p>
    <w:p w:rsidR="007C7333" w:rsidRPr="007C7333" w:rsidRDefault="007C7333" w:rsidP="00480079">
      <w:pPr>
        <w:pStyle w:val="References"/>
        <w:rPr>
          <w:lang w:val="en-US"/>
        </w:rPr>
      </w:pPr>
      <w:r w:rsidRPr="007C7333">
        <w:rPr>
          <w:lang w:val="en-US"/>
        </w:rPr>
        <w:t xml:space="preserve">Karmel, T 2008, </w:t>
      </w:r>
      <w:proofErr w:type="gramStart"/>
      <w:r w:rsidRPr="0064690B">
        <w:rPr>
          <w:i/>
          <w:lang w:val="en-US"/>
        </w:rPr>
        <w:t>What</w:t>
      </w:r>
      <w:proofErr w:type="gramEnd"/>
      <w:r w:rsidRPr="0064690B">
        <w:rPr>
          <w:i/>
          <w:lang w:val="en-US"/>
        </w:rPr>
        <w:t xml:space="preserve"> has been happening to vocational education and training diplomas and advanced diplomas?</w:t>
      </w:r>
      <w:r w:rsidRPr="007C7333">
        <w:rPr>
          <w:lang w:val="en-US"/>
        </w:rPr>
        <w:t xml:space="preserve"> NCVER</w:t>
      </w:r>
      <w:r w:rsidR="0064690B">
        <w:rPr>
          <w:lang w:val="en-US"/>
        </w:rPr>
        <w:t>,</w:t>
      </w:r>
      <w:r w:rsidRPr="007C7333">
        <w:rPr>
          <w:lang w:val="en-US"/>
        </w:rPr>
        <w:t xml:space="preserve"> Adelaide.</w:t>
      </w:r>
    </w:p>
    <w:p w:rsidR="007C7333" w:rsidRPr="007C7333" w:rsidRDefault="00523B68" w:rsidP="00480079">
      <w:pPr>
        <w:pStyle w:val="References"/>
        <w:rPr>
          <w:lang w:val="en-US"/>
        </w:rPr>
      </w:pPr>
      <w:r>
        <w:rPr>
          <w:lang w:val="en-US"/>
        </w:rPr>
        <w:t>——</w:t>
      </w:r>
      <w:r w:rsidR="007C7333" w:rsidRPr="007C7333">
        <w:rPr>
          <w:lang w:val="en-US"/>
        </w:rPr>
        <w:t xml:space="preserve">2009, </w:t>
      </w:r>
      <w:r w:rsidR="0064690B">
        <w:rPr>
          <w:lang w:val="en-US"/>
        </w:rPr>
        <w:t>‘</w:t>
      </w:r>
      <w:r w:rsidR="007C7333" w:rsidRPr="007C7333">
        <w:rPr>
          <w:lang w:val="en-US"/>
        </w:rPr>
        <w:t xml:space="preserve">Reflections on the tertiary </w:t>
      </w:r>
      <w:r w:rsidR="0064690B">
        <w:rPr>
          <w:lang w:val="en-US"/>
        </w:rPr>
        <w:t>education sector in Australia’, p</w:t>
      </w:r>
      <w:r w:rsidR="007C7333" w:rsidRPr="007C7333">
        <w:rPr>
          <w:lang w:val="en-US"/>
        </w:rPr>
        <w:t>aper presented to the LH</w:t>
      </w:r>
      <w:r w:rsidR="00ED6A8A">
        <w:rPr>
          <w:lang w:val="en-US"/>
        </w:rPr>
        <w:t> </w:t>
      </w:r>
      <w:r w:rsidR="007C7333" w:rsidRPr="007C7333">
        <w:rPr>
          <w:lang w:val="en-US"/>
        </w:rPr>
        <w:t xml:space="preserve">Martin Institute for Higher Education Leadership and Management, </w:t>
      </w:r>
      <w:r w:rsidR="007C7333" w:rsidRPr="0064690B">
        <w:rPr>
          <w:i/>
          <w:lang w:val="en-US"/>
        </w:rPr>
        <w:t xml:space="preserve">Charting new terrain: </w:t>
      </w:r>
      <w:r w:rsidR="006A544F">
        <w:rPr>
          <w:i/>
          <w:lang w:val="en-US"/>
        </w:rPr>
        <w:t>c</w:t>
      </w:r>
      <w:r w:rsidR="007C7333" w:rsidRPr="0064690B">
        <w:rPr>
          <w:i/>
          <w:lang w:val="en-US"/>
        </w:rPr>
        <w:t>reating and maintaining a diversified tertiary</w:t>
      </w:r>
      <w:r w:rsidR="007A1C57" w:rsidRPr="0064690B">
        <w:rPr>
          <w:i/>
          <w:lang w:val="en-US"/>
        </w:rPr>
        <w:t xml:space="preserve"> education sector in Australia </w:t>
      </w:r>
      <w:r w:rsidR="007C7333" w:rsidRPr="0064690B">
        <w:rPr>
          <w:i/>
          <w:lang w:val="en-US"/>
        </w:rPr>
        <w:t>conference</w:t>
      </w:r>
      <w:r w:rsidR="0064690B">
        <w:rPr>
          <w:lang w:val="en-US"/>
        </w:rPr>
        <w:t>, 27—</w:t>
      </w:r>
      <w:r w:rsidR="007C7333" w:rsidRPr="007C7333">
        <w:rPr>
          <w:lang w:val="en-US"/>
        </w:rPr>
        <w:t>28 November</w:t>
      </w:r>
      <w:r w:rsidR="0064690B">
        <w:rPr>
          <w:lang w:val="en-US"/>
        </w:rPr>
        <w:t xml:space="preserve"> 2008, </w:t>
      </w:r>
      <w:proofErr w:type="spellStart"/>
      <w:r w:rsidR="0064690B">
        <w:rPr>
          <w:lang w:val="en-US"/>
        </w:rPr>
        <w:t>Langham</w:t>
      </w:r>
      <w:proofErr w:type="spellEnd"/>
      <w:r w:rsidR="0064690B">
        <w:rPr>
          <w:lang w:val="en-US"/>
        </w:rPr>
        <w:t xml:space="preserve"> Hotel, Melbourne,</w:t>
      </w:r>
      <w:r w:rsidR="007C7333" w:rsidRPr="007C7333">
        <w:rPr>
          <w:lang w:val="en-US"/>
        </w:rPr>
        <w:t xml:space="preserve"> NCVER, Ad</w:t>
      </w:r>
      <w:r w:rsidR="007A1C57">
        <w:rPr>
          <w:lang w:val="en-US"/>
        </w:rPr>
        <w:t>elaide</w:t>
      </w:r>
      <w:r w:rsidR="007C7333" w:rsidRPr="007C7333">
        <w:rPr>
          <w:lang w:val="en-US"/>
        </w:rPr>
        <w:t>.</w:t>
      </w:r>
    </w:p>
    <w:p w:rsidR="007C7333" w:rsidRPr="007C7333" w:rsidRDefault="0064690B" w:rsidP="00480079">
      <w:pPr>
        <w:pStyle w:val="References"/>
        <w:rPr>
          <w:lang w:val="en-US"/>
        </w:rPr>
      </w:pPr>
      <w:proofErr w:type="gramStart"/>
      <w:r>
        <w:rPr>
          <w:lang w:val="en-US"/>
        </w:rPr>
        <w:t xml:space="preserve">Karmel, T &amp; Lu, T </w:t>
      </w:r>
      <w:r w:rsidR="007C7333" w:rsidRPr="007C7333">
        <w:rPr>
          <w:lang w:val="en-US"/>
        </w:rPr>
        <w:t xml:space="preserve">2012, </w:t>
      </w:r>
      <w:r w:rsidR="007C7333" w:rsidRPr="0064690B">
        <w:rPr>
          <w:i/>
          <w:lang w:val="en-US"/>
        </w:rPr>
        <w:t>Associate degree or advanced diploma?</w:t>
      </w:r>
      <w:proofErr w:type="gramEnd"/>
      <w:r w:rsidR="007C7333" w:rsidRPr="0064690B">
        <w:rPr>
          <w:i/>
          <w:lang w:val="en-US"/>
        </w:rPr>
        <w:t xml:space="preserve"> </w:t>
      </w:r>
      <w:proofErr w:type="gramStart"/>
      <w:r w:rsidR="007C7333" w:rsidRPr="0064690B">
        <w:rPr>
          <w:i/>
          <w:lang w:val="en-US"/>
        </w:rPr>
        <w:t>A case study</w:t>
      </w:r>
      <w:r w:rsidR="007C7333" w:rsidRPr="007C7333">
        <w:rPr>
          <w:lang w:val="en-US"/>
        </w:rPr>
        <w:t>, NCVER occasional paper, NCVER</w:t>
      </w:r>
      <w:r>
        <w:rPr>
          <w:lang w:val="en-US"/>
        </w:rPr>
        <w:t>,</w:t>
      </w:r>
      <w:r w:rsidR="007C7333" w:rsidRPr="007C7333">
        <w:rPr>
          <w:lang w:val="en-US"/>
        </w:rPr>
        <w:t xml:space="preserve"> Adelaide.</w:t>
      </w:r>
      <w:proofErr w:type="gramEnd"/>
    </w:p>
    <w:p w:rsidR="007C7333" w:rsidRPr="007C7333" w:rsidRDefault="007C7333" w:rsidP="00480079">
      <w:pPr>
        <w:pStyle w:val="References"/>
        <w:rPr>
          <w:lang w:val="en-US"/>
        </w:rPr>
      </w:pPr>
      <w:r w:rsidRPr="007C7333">
        <w:rPr>
          <w:lang w:val="en-US"/>
        </w:rPr>
        <w:t xml:space="preserve">Karmel, T, Mlotkowski, P &amp; </w:t>
      </w:r>
      <w:proofErr w:type="spellStart"/>
      <w:r w:rsidRPr="007C7333">
        <w:rPr>
          <w:lang w:val="en-US"/>
        </w:rPr>
        <w:t>Awodeyi</w:t>
      </w:r>
      <w:proofErr w:type="spellEnd"/>
      <w:r w:rsidRPr="007C7333">
        <w:rPr>
          <w:lang w:val="en-US"/>
        </w:rPr>
        <w:t xml:space="preserve">, T 2008, </w:t>
      </w:r>
      <w:proofErr w:type="gramStart"/>
      <w:r w:rsidRPr="0064690B">
        <w:rPr>
          <w:i/>
          <w:lang w:val="en-US"/>
        </w:rPr>
        <w:t>Is</w:t>
      </w:r>
      <w:proofErr w:type="gramEnd"/>
      <w:r w:rsidRPr="0064690B">
        <w:rPr>
          <w:i/>
          <w:lang w:val="en-US"/>
        </w:rPr>
        <w:t xml:space="preserve"> VET vocational? </w:t>
      </w:r>
      <w:proofErr w:type="gramStart"/>
      <w:r w:rsidRPr="0064690B">
        <w:rPr>
          <w:i/>
          <w:lang w:val="en-US"/>
        </w:rPr>
        <w:t>The relevance of training to the occupations of vocational education and training graduates</w:t>
      </w:r>
      <w:r w:rsidRPr="007C7333">
        <w:rPr>
          <w:lang w:val="en-US"/>
        </w:rPr>
        <w:t>, NCVER, Adelaide.</w:t>
      </w:r>
      <w:proofErr w:type="gramEnd"/>
    </w:p>
    <w:p w:rsidR="0064690B" w:rsidRDefault="007C7333" w:rsidP="00480079">
      <w:pPr>
        <w:pStyle w:val="References"/>
        <w:rPr>
          <w:lang w:val="en-US"/>
        </w:rPr>
      </w:pPr>
      <w:r w:rsidRPr="007C7333">
        <w:rPr>
          <w:lang w:val="en-US"/>
        </w:rPr>
        <w:t xml:space="preserve">Marron, A 2013, </w:t>
      </w:r>
      <w:r w:rsidR="0064690B">
        <w:rPr>
          <w:lang w:val="en-US"/>
        </w:rPr>
        <w:t>‘A precipitate proposal — a</w:t>
      </w:r>
      <w:r w:rsidRPr="007C7333">
        <w:rPr>
          <w:lang w:val="en-US"/>
        </w:rPr>
        <w:t xml:space="preserve"> participant’s view of structural discussion</w:t>
      </w:r>
      <w:r w:rsidR="0064690B">
        <w:rPr>
          <w:lang w:val="en-US"/>
        </w:rPr>
        <w:t>s in post-secondary education’,</w:t>
      </w:r>
      <w:r w:rsidR="0064690B" w:rsidRPr="0064690B">
        <w:rPr>
          <w:lang w:val="en-US"/>
        </w:rPr>
        <w:t xml:space="preserve"> </w:t>
      </w:r>
      <w:r w:rsidR="0064690B">
        <w:rPr>
          <w:lang w:val="en-US"/>
        </w:rPr>
        <w:t>i</w:t>
      </w:r>
      <w:r w:rsidR="0064690B" w:rsidRPr="007C7333">
        <w:rPr>
          <w:lang w:val="en-US"/>
        </w:rPr>
        <w:t xml:space="preserve">n </w:t>
      </w:r>
      <w:r w:rsidR="0064690B" w:rsidRPr="00520FF3">
        <w:rPr>
          <w:i/>
          <w:lang w:val="en-US"/>
        </w:rPr>
        <w:t>Structures in tertiary education and training: a kaleidoscope or merely fragments</w:t>
      </w:r>
      <w:proofErr w:type="gramStart"/>
      <w:r w:rsidR="0064690B" w:rsidRPr="00520FF3">
        <w:rPr>
          <w:i/>
          <w:lang w:val="en-US"/>
        </w:rPr>
        <w:t>?,</w:t>
      </w:r>
      <w:proofErr w:type="gramEnd"/>
      <w:r w:rsidR="0064690B" w:rsidRPr="00520FF3">
        <w:rPr>
          <w:i/>
          <w:lang w:val="en-US"/>
        </w:rPr>
        <w:t xml:space="preserve"> Research readings</w:t>
      </w:r>
      <w:r w:rsidR="0064690B">
        <w:rPr>
          <w:lang w:val="en-US"/>
        </w:rPr>
        <w:t xml:space="preserve">, </w:t>
      </w:r>
      <w:proofErr w:type="spellStart"/>
      <w:r w:rsidR="009525C9">
        <w:rPr>
          <w:lang w:val="en-US"/>
        </w:rPr>
        <w:t>eds</w:t>
      </w:r>
      <w:proofErr w:type="spellEnd"/>
      <w:r w:rsidR="009525C9">
        <w:rPr>
          <w:lang w:val="en-US"/>
        </w:rPr>
        <w:t xml:space="preserve"> F </w:t>
      </w:r>
      <w:r w:rsidR="009525C9" w:rsidRPr="007C7333">
        <w:rPr>
          <w:lang w:val="en-US"/>
        </w:rPr>
        <w:t xml:space="preserve">Beddie, </w:t>
      </w:r>
      <w:r w:rsidR="009525C9">
        <w:rPr>
          <w:lang w:val="en-US"/>
        </w:rPr>
        <w:t xml:space="preserve">L </w:t>
      </w:r>
      <w:r w:rsidR="009525C9" w:rsidRPr="007C7333">
        <w:rPr>
          <w:lang w:val="en-US"/>
        </w:rPr>
        <w:t>O’Connor</w:t>
      </w:r>
      <w:r w:rsidR="009525C9">
        <w:rPr>
          <w:lang w:val="en-US"/>
        </w:rPr>
        <w:t xml:space="preserve"> </w:t>
      </w:r>
      <w:r w:rsidR="009525C9" w:rsidRPr="007C7333">
        <w:rPr>
          <w:lang w:val="en-US"/>
        </w:rPr>
        <w:t xml:space="preserve">&amp; </w:t>
      </w:r>
      <w:r w:rsidR="009525C9">
        <w:rPr>
          <w:lang w:val="en-US"/>
        </w:rPr>
        <w:t>P Curtin</w:t>
      </w:r>
      <w:r w:rsidR="009525C9" w:rsidRPr="007C7333">
        <w:rPr>
          <w:lang w:val="en-US"/>
        </w:rPr>
        <w:t xml:space="preserve">, </w:t>
      </w:r>
      <w:r w:rsidR="0064690B">
        <w:rPr>
          <w:lang w:val="en-US"/>
        </w:rPr>
        <w:t>NCVER, Adelaide,</w:t>
      </w:r>
      <w:r w:rsidR="00B45FAD">
        <w:rPr>
          <w:lang w:val="en-US"/>
        </w:rPr>
        <w:t xml:space="preserve"> </w:t>
      </w:r>
      <w:r w:rsidR="0064690B">
        <w:rPr>
          <w:lang w:val="en-US"/>
        </w:rPr>
        <w:t>pp.119—</w:t>
      </w:r>
      <w:r w:rsidRPr="007C7333">
        <w:rPr>
          <w:lang w:val="en-US"/>
        </w:rPr>
        <w:t>31.</w:t>
      </w:r>
    </w:p>
    <w:p w:rsidR="007C7333" w:rsidRPr="007C7333" w:rsidRDefault="007C7333" w:rsidP="00480079">
      <w:pPr>
        <w:pStyle w:val="References"/>
        <w:rPr>
          <w:lang w:val="en-US"/>
        </w:rPr>
      </w:pPr>
      <w:r w:rsidRPr="007C7333">
        <w:rPr>
          <w:lang w:val="en-US"/>
        </w:rPr>
        <w:t xml:space="preserve">Moodie, G 2010, </w:t>
      </w:r>
      <w:r w:rsidRPr="0064690B">
        <w:rPr>
          <w:i/>
          <w:lang w:val="en-US"/>
        </w:rPr>
        <w:t>Mi</w:t>
      </w:r>
      <w:r w:rsidR="0064690B" w:rsidRPr="0064690B">
        <w:rPr>
          <w:i/>
          <w:lang w:val="en-US"/>
        </w:rPr>
        <w:t>xed-sector tertiary education: i</w:t>
      </w:r>
      <w:r w:rsidRPr="0064690B">
        <w:rPr>
          <w:i/>
          <w:lang w:val="en-US"/>
        </w:rPr>
        <w:t>mplications for self-accrediting and other higher education institutions</w:t>
      </w:r>
      <w:r w:rsidR="0064690B" w:rsidRPr="0064690B">
        <w:rPr>
          <w:i/>
          <w:lang w:val="en-US"/>
        </w:rPr>
        <w:t>: i</w:t>
      </w:r>
      <w:r w:rsidRPr="0064690B">
        <w:rPr>
          <w:i/>
          <w:lang w:val="en-US"/>
        </w:rPr>
        <w:t>ssues paper</w:t>
      </w:r>
      <w:r w:rsidRPr="007C7333">
        <w:rPr>
          <w:lang w:val="en-US"/>
        </w:rPr>
        <w:t>, NCVER, Adelaide.</w:t>
      </w:r>
    </w:p>
    <w:p w:rsidR="007C7333" w:rsidRPr="007C7333" w:rsidRDefault="0064690B" w:rsidP="00480079">
      <w:pPr>
        <w:pStyle w:val="References"/>
        <w:rPr>
          <w:lang w:val="en-US"/>
        </w:rPr>
      </w:pPr>
      <w:r>
        <w:rPr>
          <w:lang w:val="en-US"/>
        </w:rPr>
        <w:t xml:space="preserve">——2012, </w:t>
      </w:r>
      <w:r w:rsidRPr="0064690B">
        <w:rPr>
          <w:i/>
          <w:lang w:val="en-US"/>
        </w:rPr>
        <w:t>Research overview: m</w:t>
      </w:r>
      <w:r w:rsidR="007C7333" w:rsidRPr="0064690B">
        <w:rPr>
          <w:i/>
          <w:lang w:val="en-US"/>
        </w:rPr>
        <w:t>ixed sector tertiary education</w:t>
      </w:r>
      <w:r w:rsidR="007C7333" w:rsidRPr="007C7333">
        <w:rPr>
          <w:lang w:val="en-US"/>
        </w:rPr>
        <w:t>, NCVER, Adelaide.</w:t>
      </w:r>
    </w:p>
    <w:p w:rsidR="007C7333" w:rsidRPr="007C7333" w:rsidRDefault="007C7333" w:rsidP="00480079">
      <w:pPr>
        <w:pStyle w:val="References"/>
        <w:rPr>
          <w:lang w:val="en-US"/>
        </w:rPr>
      </w:pPr>
      <w:r w:rsidRPr="007C7333">
        <w:rPr>
          <w:lang w:val="en-US"/>
        </w:rPr>
        <w:lastRenderedPageBreak/>
        <w:t xml:space="preserve">Moodie, G &amp; Fredman, N 2013, </w:t>
      </w:r>
      <w:r w:rsidRPr="0064690B">
        <w:rPr>
          <w:i/>
          <w:lang w:val="en-US"/>
        </w:rPr>
        <w:t>Student load and employment outcomes attached to mid-level qualifi</w:t>
      </w:r>
      <w:r w:rsidR="0064690B" w:rsidRPr="0064690B">
        <w:rPr>
          <w:i/>
          <w:lang w:val="en-US"/>
        </w:rPr>
        <w:t>cations</w:t>
      </w:r>
      <w:r w:rsidR="0064690B">
        <w:rPr>
          <w:lang w:val="en-US"/>
        </w:rPr>
        <w:t>, t</w:t>
      </w:r>
      <w:r w:rsidR="00FA77A1">
        <w:rPr>
          <w:lang w:val="en-US"/>
        </w:rPr>
        <w:t>echnical paper, NCVER</w:t>
      </w:r>
      <w:r w:rsidRPr="007C7333">
        <w:rPr>
          <w:lang w:val="en-US"/>
        </w:rPr>
        <w:t xml:space="preserve">, Adelaide. </w:t>
      </w:r>
    </w:p>
    <w:p w:rsidR="007C7333" w:rsidRPr="007C7333" w:rsidRDefault="007C7333" w:rsidP="00480079">
      <w:pPr>
        <w:pStyle w:val="References"/>
        <w:rPr>
          <w:lang w:val="en-US"/>
        </w:rPr>
      </w:pPr>
      <w:r w:rsidRPr="007C7333">
        <w:rPr>
          <w:lang w:val="en-US"/>
        </w:rPr>
        <w:t xml:space="preserve">Moodie, G, Wheelahan, L, Billet, S </w:t>
      </w:r>
      <w:r w:rsidR="009525C9">
        <w:rPr>
          <w:lang w:val="en-US"/>
        </w:rPr>
        <w:t>&amp;</w:t>
      </w:r>
      <w:r w:rsidRPr="007C7333">
        <w:rPr>
          <w:lang w:val="en-US"/>
        </w:rPr>
        <w:t xml:space="preserve"> Kelly, A 2</w:t>
      </w:r>
      <w:r w:rsidR="0064690B">
        <w:rPr>
          <w:lang w:val="en-US"/>
        </w:rPr>
        <w:t xml:space="preserve">009, </w:t>
      </w:r>
      <w:r w:rsidR="0064690B" w:rsidRPr="0064690B">
        <w:rPr>
          <w:i/>
          <w:lang w:val="en-US"/>
        </w:rPr>
        <w:t>Higher education in TAFE: a</w:t>
      </w:r>
      <w:r w:rsidRPr="0064690B">
        <w:rPr>
          <w:i/>
          <w:lang w:val="en-US"/>
        </w:rPr>
        <w:t>n issues paper</w:t>
      </w:r>
      <w:r w:rsidRPr="007C7333">
        <w:rPr>
          <w:lang w:val="en-US"/>
        </w:rPr>
        <w:t xml:space="preserve">, NCVER, Adelaide. </w:t>
      </w:r>
    </w:p>
    <w:p w:rsidR="007C7333" w:rsidRPr="007C7333" w:rsidRDefault="007C7333" w:rsidP="00480079">
      <w:pPr>
        <w:pStyle w:val="References"/>
        <w:rPr>
          <w:lang w:val="en-US"/>
        </w:rPr>
      </w:pPr>
      <w:proofErr w:type="gramStart"/>
      <w:r w:rsidRPr="007C7333">
        <w:rPr>
          <w:lang w:val="en-US"/>
        </w:rPr>
        <w:t xml:space="preserve">NCVER </w:t>
      </w:r>
      <w:r w:rsidR="0064690B">
        <w:rPr>
          <w:lang w:val="en-US"/>
        </w:rPr>
        <w:t xml:space="preserve">(National Centre for Vocational Education Research) </w:t>
      </w:r>
      <w:r w:rsidRPr="007C7333">
        <w:rPr>
          <w:lang w:val="en-US"/>
        </w:rPr>
        <w:t xml:space="preserve">2010, </w:t>
      </w:r>
      <w:r w:rsidRPr="0064690B">
        <w:rPr>
          <w:i/>
          <w:lang w:val="en-US"/>
        </w:rPr>
        <w:t>Tertiary education in Australia statistics</w:t>
      </w:r>
      <w:r w:rsidRPr="007C7333">
        <w:rPr>
          <w:lang w:val="en-US"/>
        </w:rPr>
        <w:t>, NCVER, Adelaide.</w:t>
      </w:r>
      <w:proofErr w:type="gramEnd"/>
      <w:r w:rsidRPr="007C7333">
        <w:rPr>
          <w:lang w:val="en-US"/>
        </w:rPr>
        <w:t xml:space="preserve"> </w:t>
      </w:r>
    </w:p>
    <w:p w:rsidR="007C7333" w:rsidRPr="007C7333" w:rsidRDefault="007C7333" w:rsidP="00480079">
      <w:pPr>
        <w:pStyle w:val="References"/>
        <w:rPr>
          <w:lang w:val="en-US"/>
        </w:rPr>
      </w:pPr>
      <w:proofErr w:type="gramStart"/>
      <w:r w:rsidRPr="007C7333">
        <w:rPr>
          <w:lang w:val="en-US"/>
        </w:rPr>
        <w:t xml:space="preserve">Nguyen, N 2010, </w:t>
      </w:r>
      <w:r w:rsidR="00520FF3">
        <w:rPr>
          <w:lang w:val="en-US"/>
        </w:rPr>
        <w:t>‘</w:t>
      </w:r>
      <w:r w:rsidRPr="007C7333">
        <w:rPr>
          <w:lang w:val="en-US"/>
        </w:rPr>
        <w:t>The impact of VET in schools on young people's intentions and achievements</w:t>
      </w:r>
      <w:r w:rsidR="00520FF3">
        <w:rPr>
          <w:lang w:val="en-US"/>
        </w:rPr>
        <w:t>’</w:t>
      </w:r>
      <w:r w:rsidRPr="007C7333">
        <w:rPr>
          <w:lang w:val="en-US"/>
        </w:rPr>
        <w:t xml:space="preserve">, </w:t>
      </w:r>
      <w:r w:rsidRPr="00520FF3">
        <w:rPr>
          <w:i/>
          <w:lang w:val="en-US"/>
        </w:rPr>
        <w:t>VOCAL Journal</w:t>
      </w:r>
      <w:r w:rsidR="00520FF3">
        <w:rPr>
          <w:lang w:val="en-US"/>
        </w:rPr>
        <w:t>, vol.8, 2010—</w:t>
      </w:r>
      <w:r w:rsidRPr="007C7333">
        <w:rPr>
          <w:lang w:val="en-US"/>
        </w:rPr>
        <w:t>11</w:t>
      </w:r>
      <w:r w:rsidR="00D915AF">
        <w:rPr>
          <w:lang w:val="en-US"/>
        </w:rPr>
        <w:t>.</w:t>
      </w:r>
      <w:proofErr w:type="gramEnd"/>
      <w:r w:rsidRPr="007C7333">
        <w:rPr>
          <w:lang w:val="en-US"/>
        </w:rPr>
        <w:t xml:space="preserve"> </w:t>
      </w:r>
    </w:p>
    <w:p w:rsidR="007C7333" w:rsidRPr="007C7333" w:rsidRDefault="007C7333" w:rsidP="00480079">
      <w:pPr>
        <w:pStyle w:val="References"/>
        <w:rPr>
          <w:lang w:val="en-US"/>
        </w:rPr>
      </w:pPr>
      <w:r w:rsidRPr="007C7333">
        <w:rPr>
          <w:lang w:val="en-US"/>
        </w:rPr>
        <w:t xml:space="preserve">Oliver, D 2013, </w:t>
      </w:r>
      <w:r w:rsidR="00520FF3">
        <w:rPr>
          <w:lang w:val="en-US"/>
        </w:rPr>
        <w:t>‘</w:t>
      </w:r>
      <w:r w:rsidRPr="007C7333">
        <w:rPr>
          <w:lang w:val="en-US"/>
        </w:rPr>
        <w:t>The strategic impact of industrial relations among tertiary</w:t>
      </w:r>
      <w:r w:rsidR="00A84928">
        <w:rPr>
          <w:lang w:val="en-US"/>
        </w:rPr>
        <w:t xml:space="preserve"> </w:t>
      </w:r>
      <w:r w:rsidR="00520FF3">
        <w:rPr>
          <w:lang w:val="en-US"/>
        </w:rPr>
        <w:t>education providers’,</w:t>
      </w:r>
      <w:r w:rsidRPr="007C7333">
        <w:rPr>
          <w:lang w:val="en-US"/>
        </w:rPr>
        <w:t xml:space="preserve"> </w:t>
      </w:r>
      <w:r w:rsidR="00520FF3">
        <w:rPr>
          <w:lang w:val="en-US"/>
        </w:rPr>
        <w:t>i</w:t>
      </w:r>
      <w:r w:rsidR="00520FF3" w:rsidRPr="007C7333">
        <w:rPr>
          <w:lang w:val="en-US"/>
        </w:rPr>
        <w:t xml:space="preserve">n </w:t>
      </w:r>
      <w:r w:rsidR="00520FF3" w:rsidRPr="00520FF3">
        <w:rPr>
          <w:i/>
          <w:lang w:val="en-US"/>
        </w:rPr>
        <w:t>Structures in tertiary education and training: a kaleidoscope or merely fragments?, Research readings</w:t>
      </w:r>
      <w:r w:rsidR="00520FF3">
        <w:rPr>
          <w:lang w:val="en-US"/>
        </w:rPr>
        <w:t xml:space="preserve">, </w:t>
      </w:r>
      <w:proofErr w:type="spellStart"/>
      <w:r w:rsidR="009525C9">
        <w:rPr>
          <w:lang w:val="en-US"/>
        </w:rPr>
        <w:t>eds</w:t>
      </w:r>
      <w:proofErr w:type="spellEnd"/>
      <w:r w:rsidR="009525C9">
        <w:rPr>
          <w:lang w:val="en-US"/>
        </w:rPr>
        <w:t xml:space="preserve"> F </w:t>
      </w:r>
      <w:r w:rsidR="009525C9" w:rsidRPr="007C7333">
        <w:rPr>
          <w:lang w:val="en-US"/>
        </w:rPr>
        <w:t xml:space="preserve">Beddie, </w:t>
      </w:r>
      <w:r w:rsidR="009525C9">
        <w:rPr>
          <w:lang w:val="en-US"/>
        </w:rPr>
        <w:t>L</w:t>
      </w:r>
      <w:r w:rsidR="009525C9" w:rsidRPr="007C7333">
        <w:rPr>
          <w:lang w:val="en-US"/>
        </w:rPr>
        <w:t xml:space="preserve"> O’Connor</w:t>
      </w:r>
      <w:r w:rsidR="009525C9">
        <w:rPr>
          <w:lang w:val="en-US"/>
        </w:rPr>
        <w:t xml:space="preserve"> </w:t>
      </w:r>
      <w:r w:rsidR="009525C9" w:rsidRPr="007C7333">
        <w:rPr>
          <w:lang w:val="en-US"/>
        </w:rPr>
        <w:t xml:space="preserve">&amp; </w:t>
      </w:r>
      <w:r w:rsidR="009525C9">
        <w:rPr>
          <w:lang w:val="en-US"/>
        </w:rPr>
        <w:t>P Curtin</w:t>
      </w:r>
      <w:r w:rsidR="009525C9" w:rsidRPr="007C7333">
        <w:rPr>
          <w:lang w:val="en-US"/>
        </w:rPr>
        <w:t xml:space="preserve">, </w:t>
      </w:r>
      <w:r w:rsidRPr="007C7333">
        <w:rPr>
          <w:lang w:val="en-US"/>
        </w:rPr>
        <w:t>NCVER, Adelaide</w:t>
      </w:r>
      <w:r w:rsidR="009525C9">
        <w:rPr>
          <w:lang w:val="en-US"/>
        </w:rPr>
        <w:t>, pp.132—</w:t>
      </w:r>
      <w:r w:rsidR="009525C9" w:rsidRPr="007C7333">
        <w:rPr>
          <w:lang w:val="en-US"/>
        </w:rPr>
        <w:t>42</w:t>
      </w:r>
      <w:r w:rsidRPr="007C7333">
        <w:rPr>
          <w:lang w:val="en-US"/>
        </w:rPr>
        <w:t>.</w:t>
      </w:r>
    </w:p>
    <w:p w:rsidR="007C7333" w:rsidRPr="007C7333" w:rsidRDefault="007C7333" w:rsidP="00480079">
      <w:pPr>
        <w:pStyle w:val="References"/>
        <w:rPr>
          <w:lang w:val="en-US"/>
        </w:rPr>
      </w:pPr>
      <w:proofErr w:type="gramStart"/>
      <w:r w:rsidRPr="007C7333">
        <w:rPr>
          <w:lang w:val="en-US"/>
        </w:rPr>
        <w:t xml:space="preserve">Phillips KPA 2006, </w:t>
      </w:r>
      <w:r w:rsidRPr="00520FF3">
        <w:rPr>
          <w:i/>
          <w:lang w:val="en-US"/>
        </w:rPr>
        <w:t>Giving credit wh</w:t>
      </w:r>
      <w:r w:rsidR="00520FF3">
        <w:rPr>
          <w:i/>
          <w:lang w:val="en-US"/>
        </w:rPr>
        <w:t>ere credit is due — a</w:t>
      </w:r>
      <w:r w:rsidRPr="00520FF3">
        <w:rPr>
          <w:i/>
          <w:lang w:val="en-US"/>
        </w:rPr>
        <w:t xml:space="preserve"> national study to improve outcomes in credit transfer and articulation from vocational and technical education to higher education</w:t>
      </w:r>
      <w:r w:rsidRPr="007C7333">
        <w:rPr>
          <w:lang w:val="en-US"/>
        </w:rPr>
        <w:t>, Phillips KPA,</w:t>
      </w:r>
      <w:r w:rsidR="00520FF3">
        <w:rPr>
          <w:lang w:val="en-US"/>
        </w:rPr>
        <w:t xml:space="preserve"> </w:t>
      </w:r>
      <w:r w:rsidRPr="007C7333">
        <w:rPr>
          <w:lang w:val="en-US"/>
        </w:rPr>
        <w:t>Melbourne.</w:t>
      </w:r>
      <w:proofErr w:type="gramEnd"/>
    </w:p>
    <w:p w:rsidR="007C7333" w:rsidRPr="007C7333" w:rsidRDefault="007C7333" w:rsidP="00480079">
      <w:pPr>
        <w:pStyle w:val="References"/>
        <w:rPr>
          <w:lang w:val="en-US"/>
        </w:rPr>
      </w:pPr>
      <w:r w:rsidRPr="007C7333">
        <w:rPr>
          <w:lang w:val="en-US"/>
        </w:rPr>
        <w:t xml:space="preserve">Priest, A 2009, </w:t>
      </w:r>
      <w:proofErr w:type="gramStart"/>
      <w:r w:rsidRPr="00520FF3">
        <w:rPr>
          <w:i/>
          <w:lang w:val="en-US"/>
        </w:rPr>
        <w:t>Getting</w:t>
      </w:r>
      <w:proofErr w:type="gramEnd"/>
      <w:r w:rsidRPr="00520FF3">
        <w:rPr>
          <w:i/>
          <w:lang w:val="en-US"/>
        </w:rPr>
        <w:t xml:space="preserve"> the knowledge</w:t>
      </w:r>
      <w:r w:rsidR="009525C9">
        <w:rPr>
          <w:i/>
          <w:lang w:val="en-US"/>
        </w:rPr>
        <w:t>—</w:t>
      </w:r>
      <w:r w:rsidRPr="00520FF3">
        <w:rPr>
          <w:i/>
          <w:lang w:val="en-US"/>
        </w:rPr>
        <w:t>skills mix right in high-level vocational education and training qualifications</w:t>
      </w:r>
      <w:r w:rsidRPr="007C7333">
        <w:rPr>
          <w:lang w:val="en-US"/>
        </w:rPr>
        <w:t>, NCVER, Adelaide.</w:t>
      </w:r>
    </w:p>
    <w:p w:rsidR="007C7333" w:rsidRPr="007C7333" w:rsidRDefault="007C7333" w:rsidP="00480079">
      <w:pPr>
        <w:pStyle w:val="References"/>
        <w:rPr>
          <w:lang w:val="en-US"/>
        </w:rPr>
      </w:pPr>
      <w:proofErr w:type="gramStart"/>
      <w:r w:rsidRPr="007C7333">
        <w:rPr>
          <w:lang w:val="en-US"/>
        </w:rPr>
        <w:t xml:space="preserve">Queensland University of Technology 2008, </w:t>
      </w:r>
      <w:r w:rsidR="00520FF3">
        <w:rPr>
          <w:lang w:val="en-US"/>
        </w:rPr>
        <w:t>‘</w:t>
      </w:r>
      <w:r w:rsidRPr="007C7333">
        <w:rPr>
          <w:lang w:val="en-US"/>
        </w:rPr>
        <w:t>Submission in response to the National Higher Education Review</w:t>
      </w:r>
      <w:r w:rsidR="00520FF3">
        <w:rPr>
          <w:lang w:val="en-US"/>
        </w:rPr>
        <w:t>’, Discussion p</w:t>
      </w:r>
      <w:r w:rsidRPr="007C7333">
        <w:rPr>
          <w:lang w:val="en-US"/>
        </w:rPr>
        <w:t>aper, Queensland University of Technology</w:t>
      </w:r>
      <w:r w:rsidR="00520FF3">
        <w:rPr>
          <w:lang w:val="en-US"/>
        </w:rPr>
        <w:t>, Brisbane</w:t>
      </w:r>
      <w:r w:rsidRPr="007C7333">
        <w:rPr>
          <w:lang w:val="en-US"/>
        </w:rPr>
        <w:t>.</w:t>
      </w:r>
      <w:proofErr w:type="gramEnd"/>
    </w:p>
    <w:p w:rsidR="007C7333" w:rsidRPr="007C7333" w:rsidRDefault="00520FF3" w:rsidP="00480079">
      <w:pPr>
        <w:pStyle w:val="References"/>
        <w:rPr>
          <w:lang w:val="en-US"/>
        </w:rPr>
      </w:pPr>
      <w:proofErr w:type="gramStart"/>
      <w:r>
        <w:rPr>
          <w:lang w:val="en-US"/>
        </w:rPr>
        <w:t>Ryan, P</w:t>
      </w:r>
      <w:r w:rsidR="007C7333" w:rsidRPr="007C7333">
        <w:rPr>
          <w:lang w:val="en-US"/>
        </w:rPr>
        <w:t xml:space="preserve">J </w:t>
      </w:r>
      <w:r w:rsidR="009525C9">
        <w:rPr>
          <w:lang w:val="en-US"/>
        </w:rPr>
        <w:t>&amp;</w:t>
      </w:r>
      <w:r w:rsidR="007C7333" w:rsidRPr="007C7333">
        <w:rPr>
          <w:lang w:val="en-US"/>
        </w:rPr>
        <w:t xml:space="preserve"> Associates 2012, </w:t>
      </w:r>
      <w:r w:rsidR="009525C9">
        <w:rPr>
          <w:lang w:val="en-US"/>
        </w:rPr>
        <w:t>‘</w:t>
      </w:r>
      <w:r w:rsidR="007C7333" w:rsidRPr="007C7333">
        <w:rPr>
          <w:lang w:val="en-US"/>
        </w:rPr>
        <w:t>Growth and consolidation of the Australian privat</w:t>
      </w:r>
      <w:r w:rsidR="00D915AF">
        <w:rPr>
          <w:lang w:val="en-US"/>
        </w:rPr>
        <w:t>e higher education sector</w:t>
      </w:r>
      <w:r w:rsidR="009525C9">
        <w:rPr>
          <w:lang w:val="en-US"/>
        </w:rPr>
        <w:t>’</w:t>
      </w:r>
      <w:r w:rsidR="00D915AF">
        <w:rPr>
          <w:lang w:val="en-US"/>
        </w:rPr>
        <w:t>,</w:t>
      </w:r>
      <w:r w:rsidR="007C7333" w:rsidRPr="007C7333">
        <w:rPr>
          <w:lang w:val="en-US"/>
        </w:rPr>
        <w:t xml:space="preserve"> </w:t>
      </w:r>
      <w:r w:rsidR="007C7333" w:rsidRPr="00D915AF">
        <w:rPr>
          <w:i/>
          <w:lang w:val="en-US"/>
        </w:rPr>
        <w:t>The ACPET Journal of Pr</w:t>
      </w:r>
      <w:r w:rsidRPr="00D915AF">
        <w:rPr>
          <w:i/>
          <w:lang w:val="en-US"/>
        </w:rPr>
        <w:t>ivate Higher Education</w:t>
      </w:r>
      <w:r>
        <w:rPr>
          <w:lang w:val="en-US"/>
        </w:rPr>
        <w:t>, vol.1, no.1, pp.7—</w:t>
      </w:r>
      <w:r w:rsidR="007C7333" w:rsidRPr="007C7333">
        <w:rPr>
          <w:lang w:val="en-US"/>
        </w:rPr>
        <w:t>11.</w:t>
      </w:r>
      <w:proofErr w:type="gramEnd"/>
    </w:p>
    <w:p w:rsidR="007C7333" w:rsidRPr="007C7333" w:rsidRDefault="00520FF3" w:rsidP="00480079">
      <w:pPr>
        <w:pStyle w:val="References"/>
        <w:rPr>
          <w:lang w:val="en-US"/>
        </w:rPr>
      </w:pPr>
      <w:proofErr w:type="gramStart"/>
      <w:r>
        <w:rPr>
          <w:lang w:val="en-US"/>
        </w:rPr>
        <w:t>Shah, M</w:t>
      </w:r>
      <w:r w:rsidR="007C7333" w:rsidRPr="007C7333">
        <w:rPr>
          <w:lang w:val="en-US"/>
        </w:rPr>
        <w:t xml:space="preserve"> &amp; Nair, C 2013, </w:t>
      </w:r>
      <w:r>
        <w:rPr>
          <w:lang w:val="en-US"/>
        </w:rPr>
        <w:t>‘</w:t>
      </w:r>
      <w:r w:rsidR="007C7333" w:rsidRPr="007C7333">
        <w:rPr>
          <w:lang w:val="en-US"/>
        </w:rPr>
        <w:t>Private for profit education in Aus</w:t>
      </w:r>
      <w:r>
        <w:rPr>
          <w:lang w:val="en-US"/>
        </w:rPr>
        <w:t>tralia’,</w:t>
      </w:r>
      <w:r w:rsidR="007C7333" w:rsidRPr="007C7333">
        <w:rPr>
          <w:lang w:val="en-US"/>
        </w:rPr>
        <w:t xml:space="preserve"> </w:t>
      </w:r>
      <w:r w:rsidR="007C7333" w:rsidRPr="00520FF3">
        <w:rPr>
          <w:i/>
          <w:lang w:val="en-US"/>
        </w:rPr>
        <w:t>Higher Education Research and Development</w:t>
      </w:r>
      <w:r>
        <w:rPr>
          <w:lang w:val="en-US"/>
        </w:rPr>
        <w:t>, vol.32, no.5, pp.820—</w:t>
      </w:r>
      <w:r w:rsidR="007C7333" w:rsidRPr="007C7333">
        <w:rPr>
          <w:lang w:val="en-US"/>
        </w:rPr>
        <w:t>32.</w:t>
      </w:r>
      <w:proofErr w:type="gramEnd"/>
    </w:p>
    <w:p w:rsidR="007C7333" w:rsidRPr="007C7333" w:rsidRDefault="007C7333" w:rsidP="00480079">
      <w:pPr>
        <w:pStyle w:val="References"/>
        <w:rPr>
          <w:lang w:val="en-US"/>
        </w:rPr>
      </w:pPr>
      <w:r w:rsidRPr="007C7333">
        <w:rPr>
          <w:lang w:val="en-US"/>
        </w:rPr>
        <w:t xml:space="preserve">Simons, M 2013, </w:t>
      </w:r>
      <w:r w:rsidR="00520FF3">
        <w:rPr>
          <w:lang w:val="en-US"/>
        </w:rPr>
        <w:t>‘</w:t>
      </w:r>
      <w:r w:rsidRPr="007C7333">
        <w:rPr>
          <w:lang w:val="en-US"/>
        </w:rPr>
        <w:t xml:space="preserve">The future of </w:t>
      </w:r>
      <w:r w:rsidR="00520FF3">
        <w:rPr>
          <w:lang w:val="en-US"/>
        </w:rPr>
        <w:t>the tertiary sector workforce: a</w:t>
      </w:r>
      <w:r w:rsidRPr="007C7333">
        <w:rPr>
          <w:lang w:val="en-US"/>
        </w:rPr>
        <w:t xml:space="preserve"> kaleidoscope of possibilities?</w:t>
      </w:r>
      <w:proofErr w:type="gramStart"/>
      <w:r w:rsidR="00520FF3">
        <w:rPr>
          <w:lang w:val="en-US"/>
        </w:rPr>
        <w:t>’,</w:t>
      </w:r>
      <w:proofErr w:type="gramEnd"/>
      <w:r w:rsidRPr="007C7333">
        <w:rPr>
          <w:lang w:val="en-US"/>
        </w:rPr>
        <w:t xml:space="preserve"> </w:t>
      </w:r>
      <w:r w:rsidR="00520FF3">
        <w:rPr>
          <w:lang w:val="en-US"/>
        </w:rPr>
        <w:t>i</w:t>
      </w:r>
      <w:r w:rsidR="00520FF3" w:rsidRPr="007C7333">
        <w:rPr>
          <w:lang w:val="en-US"/>
        </w:rPr>
        <w:t xml:space="preserve">n </w:t>
      </w:r>
      <w:r w:rsidR="00520FF3" w:rsidRPr="00520FF3">
        <w:rPr>
          <w:i/>
          <w:lang w:val="en-US"/>
        </w:rPr>
        <w:t>Structures in tertiary education and training: a kaleidoscope or merely fragments</w:t>
      </w:r>
      <w:r w:rsidR="00520FF3" w:rsidRPr="009525C9">
        <w:rPr>
          <w:i/>
          <w:lang w:val="en-US"/>
        </w:rPr>
        <w:t>?, Research readings</w:t>
      </w:r>
      <w:r w:rsidR="00520FF3">
        <w:rPr>
          <w:lang w:val="en-US"/>
        </w:rPr>
        <w:t xml:space="preserve">, </w:t>
      </w:r>
      <w:proofErr w:type="spellStart"/>
      <w:r w:rsidR="009525C9">
        <w:rPr>
          <w:lang w:val="en-US"/>
        </w:rPr>
        <w:t>eds</w:t>
      </w:r>
      <w:proofErr w:type="spellEnd"/>
      <w:r w:rsidR="009525C9">
        <w:rPr>
          <w:lang w:val="en-US"/>
        </w:rPr>
        <w:t xml:space="preserve"> F </w:t>
      </w:r>
      <w:r w:rsidR="009525C9" w:rsidRPr="007C7333">
        <w:rPr>
          <w:lang w:val="en-US"/>
        </w:rPr>
        <w:t xml:space="preserve">Beddie, </w:t>
      </w:r>
      <w:r w:rsidR="009525C9">
        <w:rPr>
          <w:lang w:val="en-US"/>
        </w:rPr>
        <w:t>L</w:t>
      </w:r>
      <w:r w:rsidR="009525C9" w:rsidRPr="007C7333">
        <w:rPr>
          <w:lang w:val="en-US"/>
        </w:rPr>
        <w:t xml:space="preserve"> O’Connor</w:t>
      </w:r>
      <w:r w:rsidR="009525C9">
        <w:rPr>
          <w:lang w:val="en-US"/>
        </w:rPr>
        <w:t xml:space="preserve"> </w:t>
      </w:r>
      <w:r w:rsidR="009525C9" w:rsidRPr="007C7333">
        <w:rPr>
          <w:lang w:val="en-US"/>
        </w:rPr>
        <w:t xml:space="preserve">&amp; </w:t>
      </w:r>
      <w:r w:rsidR="009525C9">
        <w:rPr>
          <w:lang w:val="en-US"/>
        </w:rPr>
        <w:t>P Curtin</w:t>
      </w:r>
      <w:r w:rsidR="009525C9" w:rsidRPr="007C7333">
        <w:rPr>
          <w:lang w:val="en-US"/>
        </w:rPr>
        <w:t xml:space="preserve">, </w:t>
      </w:r>
      <w:r w:rsidR="00520FF3">
        <w:rPr>
          <w:lang w:val="en-US"/>
        </w:rPr>
        <w:t>NCVER, Adelaide, pp.36—47.</w:t>
      </w:r>
    </w:p>
    <w:p w:rsidR="007C7333" w:rsidRPr="007C7333" w:rsidRDefault="007C7333" w:rsidP="00480079">
      <w:pPr>
        <w:pStyle w:val="References"/>
        <w:rPr>
          <w:lang w:val="en-US"/>
        </w:rPr>
      </w:pPr>
      <w:proofErr w:type="gramStart"/>
      <w:r w:rsidRPr="007C7333">
        <w:rPr>
          <w:lang w:val="en-US"/>
        </w:rPr>
        <w:t xml:space="preserve">TAFE Directors Australia 2008, </w:t>
      </w:r>
      <w:r w:rsidR="00520FF3">
        <w:rPr>
          <w:lang w:val="en-US"/>
        </w:rPr>
        <w:t>‘</w:t>
      </w:r>
      <w:r w:rsidRPr="007C7333">
        <w:rPr>
          <w:lang w:val="en-US"/>
        </w:rPr>
        <w:t>Submission to the Review of Australian Higher Education</w:t>
      </w:r>
      <w:r w:rsidR="00A84928">
        <w:rPr>
          <w:lang w:val="en-US"/>
        </w:rPr>
        <w:t xml:space="preserve"> </w:t>
      </w:r>
      <w:r w:rsidRPr="007C7333">
        <w:rPr>
          <w:lang w:val="en-US"/>
        </w:rPr>
        <w:t>b</w:t>
      </w:r>
      <w:r w:rsidR="00520FF3">
        <w:rPr>
          <w:lang w:val="en-US"/>
        </w:rPr>
        <w:t>y TAFE Directors Australia</w:t>
      </w:r>
      <w:r w:rsidRPr="007C7333">
        <w:rPr>
          <w:lang w:val="en-US"/>
        </w:rPr>
        <w:t>, National Secretariat, Canberra.</w:t>
      </w:r>
      <w:proofErr w:type="gramEnd"/>
    </w:p>
    <w:p w:rsidR="007C7333" w:rsidRPr="007C7333" w:rsidRDefault="00520FF3" w:rsidP="00480079">
      <w:pPr>
        <w:pStyle w:val="References"/>
        <w:rPr>
          <w:lang w:val="en-US"/>
        </w:rPr>
      </w:pPr>
      <w:proofErr w:type="spellStart"/>
      <w:r>
        <w:rPr>
          <w:lang w:val="en-US"/>
        </w:rPr>
        <w:t>Torr</w:t>
      </w:r>
      <w:proofErr w:type="spellEnd"/>
      <w:r>
        <w:rPr>
          <w:lang w:val="en-US"/>
        </w:rPr>
        <w:t>, A</w:t>
      </w:r>
      <w:r w:rsidR="007C7333" w:rsidRPr="007C7333">
        <w:rPr>
          <w:lang w:val="en-US"/>
        </w:rPr>
        <w:t xml:space="preserve"> &amp; Hill, I 2013, </w:t>
      </w:r>
      <w:r>
        <w:rPr>
          <w:lang w:val="en-US"/>
        </w:rPr>
        <w:t>‘</w:t>
      </w:r>
      <w:r w:rsidR="007C7333" w:rsidRPr="007C7333">
        <w:rPr>
          <w:lang w:val="en-US"/>
        </w:rPr>
        <w:t>How do students crediting their learning from VET to higher education perform?</w:t>
      </w:r>
      <w:proofErr w:type="gramStart"/>
      <w:r>
        <w:rPr>
          <w:lang w:val="en-US"/>
        </w:rPr>
        <w:t>’,</w:t>
      </w:r>
      <w:proofErr w:type="gramEnd"/>
      <w:r>
        <w:rPr>
          <w:lang w:val="en-US"/>
        </w:rPr>
        <w:t xml:space="preserve"> p</w:t>
      </w:r>
      <w:r w:rsidR="007C7333" w:rsidRPr="007C7333">
        <w:rPr>
          <w:lang w:val="en-US"/>
        </w:rPr>
        <w:t xml:space="preserve">aper presented at </w:t>
      </w:r>
      <w:r w:rsidR="00022564">
        <w:rPr>
          <w:lang w:val="en-US"/>
        </w:rPr>
        <w:t xml:space="preserve">the Australian Vocational Education and Training </w:t>
      </w:r>
      <w:r w:rsidR="009525C9">
        <w:rPr>
          <w:lang w:val="en-US"/>
        </w:rPr>
        <w:t xml:space="preserve">Research </w:t>
      </w:r>
      <w:r w:rsidR="00022564">
        <w:rPr>
          <w:lang w:val="en-US"/>
        </w:rPr>
        <w:t xml:space="preserve">Association Conference, </w:t>
      </w:r>
      <w:r w:rsidR="007C7333" w:rsidRPr="007C7333">
        <w:rPr>
          <w:lang w:val="en-US"/>
        </w:rPr>
        <w:t>Polytechnic West</w:t>
      </w:r>
      <w:r w:rsidR="00022564">
        <w:rPr>
          <w:lang w:val="en-US"/>
        </w:rPr>
        <w:t>, Western Australia</w:t>
      </w:r>
      <w:r w:rsidR="007C7333" w:rsidRPr="007C7333">
        <w:rPr>
          <w:lang w:val="en-US"/>
        </w:rPr>
        <w:t>.</w:t>
      </w:r>
    </w:p>
    <w:p w:rsidR="007C7333" w:rsidRPr="007C7333" w:rsidRDefault="007C7333" w:rsidP="00480079">
      <w:pPr>
        <w:pStyle w:val="References"/>
        <w:rPr>
          <w:lang w:val="en-US"/>
        </w:rPr>
      </w:pPr>
      <w:r w:rsidRPr="007C7333">
        <w:rPr>
          <w:lang w:val="en-US"/>
        </w:rPr>
        <w:t xml:space="preserve">University of </w:t>
      </w:r>
      <w:proofErr w:type="spellStart"/>
      <w:r w:rsidRPr="007C7333">
        <w:rPr>
          <w:lang w:val="en-US"/>
        </w:rPr>
        <w:t>Ballarat</w:t>
      </w:r>
      <w:proofErr w:type="spellEnd"/>
      <w:r w:rsidRPr="007C7333">
        <w:rPr>
          <w:lang w:val="en-US"/>
        </w:rPr>
        <w:t xml:space="preserve"> </w:t>
      </w:r>
      <w:r w:rsidR="00D915AF">
        <w:rPr>
          <w:lang w:val="en-US"/>
        </w:rPr>
        <w:t>&amp;</w:t>
      </w:r>
      <w:r w:rsidRPr="007C7333">
        <w:rPr>
          <w:lang w:val="en-US"/>
        </w:rPr>
        <w:t xml:space="preserve"> Swinburne University of Technology 2010, </w:t>
      </w:r>
      <w:r w:rsidRPr="00022564">
        <w:rPr>
          <w:i/>
          <w:lang w:val="en-US"/>
        </w:rPr>
        <w:t>Du</w:t>
      </w:r>
      <w:r w:rsidR="00022564" w:rsidRPr="00022564">
        <w:rPr>
          <w:i/>
          <w:lang w:val="en-US"/>
        </w:rPr>
        <w:t>al-sector university cohesion: a</w:t>
      </w:r>
      <w:r w:rsidRPr="00022564">
        <w:rPr>
          <w:i/>
          <w:lang w:val="en-US"/>
        </w:rPr>
        <w:t xml:space="preserve"> discussion paper</w:t>
      </w:r>
      <w:r w:rsidR="00022564">
        <w:rPr>
          <w:lang w:val="en-US"/>
        </w:rPr>
        <w:t>,</w:t>
      </w:r>
      <w:r w:rsidRPr="007C7333">
        <w:rPr>
          <w:lang w:val="en-US"/>
        </w:rPr>
        <w:t xml:space="preserve"> University of </w:t>
      </w:r>
      <w:proofErr w:type="spellStart"/>
      <w:r w:rsidRPr="007C7333">
        <w:rPr>
          <w:lang w:val="en-US"/>
        </w:rPr>
        <w:t>Ballarat</w:t>
      </w:r>
      <w:proofErr w:type="spellEnd"/>
      <w:r w:rsidRPr="007C7333">
        <w:rPr>
          <w:lang w:val="en-US"/>
        </w:rPr>
        <w:t>.</w:t>
      </w:r>
    </w:p>
    <w:p w:rsidR="007C7333" w:rsidRPr="007C7333" w:rsidRDefault="007C7333" w:rsidP="00480079">
      <w:pPr>
        <w:pStyle w:val="References"/>
        <w:rPr>
          <w:lang w:val="en-US"/>
        </w:rPr>
      </w:pPr>
      <w:r w:rsidRPr="007C7333">
        <w:rPr>
          <w:lang w:val="en-US"/>
        </w:rPr>
        <w:t>Victoria U</w:t>
      </w:r>
      <w:r w:rsidR="00022564">
        <w:rPr>
          <w:lang w:val="en-US"/>
        </w:rPr>
        <w:t xml:space="preserve">niversity 2012, </w:t>
      </w:r>
      <w:r w:rsidR="00022564" w:rsidRPr="00022564">
        <w:rPr>
          <w:i/>
          <w:lang w:val="en-US"/>
        </w:rPr>
        <w:t>The VU agenda: e</w:t>
      </w:r>
      <w:r w:rsidRPr="00022564">
        <w:rPr>
          <w:i/>
          <w:lang w:val="en-US"/>
        </w:rPr>
        <w:t>xcellent, engaged and accessible</w:t>
      </w:r>
      <w:r w:rsidRPr="007C7333">
        <w:rPr>
          <w:lang w:val="en-US"/>
        </w:rPr>
        <w:t>, Victoria University, Melbourne.</w:t>
      </w:r>
    </w:p>
    <w:p w:rsidR="007C7333" w:rsidRPr="007C7333" w:rsidRDefault="007C7333" w:rsidP="00480079">
      <w:pPr>
        <w:pStyle w:val="References"/>
        <w:rPr>
          <w:lang w:val="en-US"/>
        </w:rPr>
      </w:pPr>
      <w:proofErr w:type="gramStart"/>
      <w:r w:rsidRPr="007C7333">
        <w:rPr>
          <w:lang w:val="en-US"/>
        </w:rPr>
        <w:t>Whee</w:t>
      </w:r>
      <w:r w:rsidR="00022564">
        <w:rPr>
          <w:lang w:val="en-US"/>
        </w:rPr>
        <w:t>lahan, L, Moodie, G, Billett, S</w:t>
      </w:r>
      <w:r w:rsidRPr="007C7333">
        <w:rPr>
          <w:lang w:val="en-US"/>
        </w:rPr>
        <w:t xml:space="preserve"> &amp; Kelly, A 2009, </w:t>
      </w:r>
      <w:r w:rsidRPr="00022564">
        <w:rPr>
          <w:i/>
          <w:lang w:val="en-US"/>
        </w:rPr>
        <w:t>Higher education in TAFE</w:t>
      </w:r>
      <w:r w:rsidRPr="007C7333">
        <w:rPr>
          <w:lang w:val="en-US"/>
        </w:rPr>
        <w:t>, NCVER, Adelaide.</w:t>
      </w:r>
      <w:proofErr w:type="gramEnd"/>
      <w:r w:rsidRPr="007C7333">
        <w:rPr>
          <w:lang w:val="en-US"/>
        </w:rPr>
        <w:t xml:space="preserve"> </w:t>
      </w:r>
    </w:p>
    <w:p w:rsidR="007C7333" w:rsidRPr="007C7333" w:rsidRDefault="007C7333" w:rsidP="00480079">
      <w:pPr>
        <w:pStyle w:val="References"/>
        <w:rPr>
          <w:lang w:val="en-US"/>
        </w:rPr>
      </w:pPr>
      <w:r w:rsidRPr="007C7333">
        <w:rPr>
          <w:lang w:val="en-US"/>
        </w:rPr>
        <w:t xml:space="preserve">Wheelahan, L, </w:t>
      </w:r>
      <w:proofErr w:type="spellStart"/>
      <w:r w:rsidRPr="007C7333">
        <w:rPr>
          <w:lang w:val="en-US"/>
        </w:rPr>
        <w:t>Arkoudis</w:t>
      </w:r>
      <w:proofErr w:type="spellEnd"/>
      <w:r w:rsidRPr="007C7333">
        <w:rPr>
          <w:lang w:val="en-US"/>
        </w:rPr>
        <w:t xml:space="preserve">, S, Moodie, G, Fredman, N &amp; </w:t>
      </w:r>
      <w:proofErr w:type="spellStart"/>
      <w:r w:rsidRPr="007C7333">
        <w:rPr>
          <w:lang w:val="en-US"/>
        </w:rPr>
        <w:t>Bexley</w:t>
      </w:r>
      <w:proofErr w:type="spellEnd"/>
      <w:r w:rsidRPr="007C7333">
        <w:rPr>
          <w:lang w:val="en-US"/>
        </w:rPr>
        <w:t xml:space="preserve">, E 2012, </w:t>
      </w:r>
      <w:r w:rsidRPr="00022564">
        <w:rPr>
          <w:i/>
          <w:lang w:val="en-US"/>
        </w:rPr>
        <w:t xml:space="preserve">Shaken not stirred? </w:t>
      </w:r>
      <w:proofErr w:type="gramStart"/>
      <w:r w:rsidRPr="00022564">
        <w:rPr>
          <w:i/>
          <w:lang w:val="en-US"/>
        </w:rPr>
        <w:t>The development of one tertiary education sector in Australia</w:t>
      </w:r>
      <w:r w:rsidRPr="007C7333">
        <w:rPr>
          <w:lang w:val="en-US"/>
        </w:rPr>
        <w:t>, NCVER, Adelaide.</w:t>
      </w:r>
      <w:proofErr w:type="gramEnd"/>
    </w:p>
    <w:p w:rsidR="00480079" w:rsidRPr="007C7333" w:rsidRDefault="00480079" w:rsidP="00480079">
      <w:pPr>
        <w:pStyle w:val="References"/>
        <w:rPr>
          <w:lang w:val="en-US"/>
        </w:rPr>
      </w:pPr>
      <w:r>
        <w:rPr>
          <w:lang w:val="en-US"/>
        </w:rPr>
        <w:t>White, S</w:t>
      </w:r>
      <w:r w:rsidRPr="007C7333">
        <w:rPr>
          <w:lang w:val="en-US"/>
        </w:rPr>
        <w:t xml:space="preserve"> </w:t>
      </w:r>
      <w:r w:rsidR="009525C9">
        <w:rPr>
          <w:lang w:val="en-US"/>
        </w:rPr>
        <w:t>(</w:t>
      </w:r>
      <w:r>
        <w:rPr>
          <w:lang w:val="en-US"/>
        </w:rPr>
        <w:t>forthcoming</w:t>
      </w:r>
      <w:r w:rsidR="009525C9">
        <w:rPr>
          <w:lang w:val="en-US"/>
        </w:rPr>
        <w:t>)</w:t>
      </w:r>
      <w:r>
        <w:rPr>
          <w:lang w:val="en-US"/>
        </w:rPr>
        <w:t>,</w:t>
      </w:r>
      <w:r w:rsidRPr="007C7333">
        <w:rPr>
          <w:lang w:val="en-US"/>
        </w:rPr>
        <w:t xml:space="preserve"> </w:t>
      </w:r>
      <w:proofErr w:type="gramStart"/>
      <w:r w:rsidRPr="00022564">
        <w:rPr>
          <w:i/>
          <w:lang w:val="en-US"/>
        </w:rPr>
        <w:t>Transit</w:t>
      </w:r>
      <w:r w:rsidR="00022564" w:rsidRPr="00022564">
        <w:rPr>
          <w:i/>
          <w:lang w:val="en-US"/>
        </w:rPr>
        <w:t>ioning</w:t>
      </w:r>
      <w:proofErr w:type="gramEnd"/>
      <w:r w:rsidR="00022564" w:rsidRPr="00022564">
        <w:rPr>
          <w:i/>
          <w:lang w:val="en-US"/>
        </w:rPr>
        <w:t xml:space="preserve"> from VET to university: s</w:t>
      </w:r>
      <w:r w:rsidRPr="00022564">
        <w:rPr>
          <w:i/>
          <w:lang w:val="en-US"/>
        </w:rPr>
        <w:t>trengthening information literacy through collaboration report</w:t>
      </w:r>
      <w:r w:rsidRPr="007C7333">
        <w:rPr>
          <w:lang w:val="en-US"/>
        </w:rPr>
        <w:t>, NCVER, Adelaide.</w:t>
      </w:r>
    </w:p>
    <w:p w:rsidR="007C7333" w:rsidRPr="007C7333" w:rsidRDefault="007C7333" w:rsidP="00480079">
      <w:pPr>
        <w:pStyle w:val="References"/>
        <w:rPr>
          <w:lang w:val="en-US"/>
        </w:rPr>
      </w:pPr>
      <w:r w:rsidRPr="007C7333">
        <w:rPr>
          <w:lang w:val="en-US"/>
        </w:rPr>
        <w:t xml:space="preserve">Young, M 2008, </w:t>
      </w:r>
      <w:proofErr w:type="gramStart"/>
      <w:r w:rsidRPr="00022564">
        <w:rPr>
          <w:i/>
          <w:lang w:val="en-US"/>
        </w:rPr>
        <w:t>Bringing</w:t>
      </w:r>
      <w:proofErr w:type="gramEnd"/>
      <w:r w:rsidRPr="00022564">
        <w:rPr>
          <w:i/>
          <w:lang w:val="en-US"/>
        </w:rPr>
        <w:t xml:space="preserve"> knowledge back in</w:t>
      </w:r>
      <w:r w:rsidRPr="007C7333">
        <w:rPr>
          <w:lang w:val="en-US"/>
        </w:rPr>
        <w:t xml:space="preserve">, </w:t>
      </w:r>
      <w:proofErr w:type="spellStart"/>
      <w:r w:rsidRPr="007C7333">
        <w:rPr>
          <w:lang w:val="en-US"/>
        </w:rPr>
        <w:t>Routledge</w:t>
      </w:r>
      <w:proofErr w:type="spellEnd"/>
      <w:r w:rsidRPr="007C7333">
        <w:rPr>
          <w:lang w:val="en-US"/>
        </w:rPr>
        <w:t>, Abingdon.</w:t>
      </w:r>
    </w:p>
    <w:p w:rsidR="00A15E80" w:rsidRDefault="00A15E80">
      <w:pPr>
        <w:spacing w:before="0" w:line="240" w:lineRule="auto"/>
        <w:rPr>
          <w:rFonts w:ascii="Tahoma" w:hAnsi="Tahoma" w:cs="Tahoma"/>
          <w:color w:val="000000"/>
          <w:kern w:val="28"/>
          <w:sz w:val="56"/>
          <w:szCs w:val="56"/>
        </w:rPr>
      </w:pPr>
      <w:r>
        <w:br w:type="page"/>
      </w:r>
    </w:p>
    <w:p w:rsidR="00A15E80" w:rsidRPr="00180F3D" w:rsidRDefault="00A15E80" w:rsidP="00A15E80">
      <w:pPr>
        <w:pStyle w:val="Heading1"/>
      </w:pPr>
      <w:bookmarkStart w:id="46" w:name="_Toc358277404"/>
      <w:bookmarkStart w:id="47" w:name="_Toc364691206"/>
      <w:bookmarkStart w:id="48" w:name="_Toc369169862"/>
      <w:bookmarkStart w:id="49" w:name="_Toc369178823"/>
      <w:r w:rsidRPr="00180F3D">
        <w:lastRenderedPageBreak/>
        <w:t>N</w:t>
      </w:r>
      <w:r>
        <w:t>VETR</w:t>
      </w:r>
      <w:r w:rsidRPr="00180F3D">
        <w:t xml:space="preserve"> Program funding</w:t>
      </w:r>
      <w:bookmarkEnd w:id="46"/>
      <w:bookmarkEnd w:id="47"/>
      <w:bookmarkEnd w:id="48"/>
      <w:bookmarkEnd w:id="49"/>
    </w:p>
    <w:p w:rsidR="00A15E80" w:rsidRPr="00CA661F" w:rsidRDefault="00A15E80" w:rsidP="00A15E80">
      <w:pPr>
        <w:pStyle w:val="Text"/>
      </w:pPr>
      <w:r w:rsidRPr="00CA661F">
        <w:t>This work has been produced by NCVER under the National Vocational Education and Training Research (NVETR) Program, which is coordinated and managed by NCVER on behalf of the Australian Government and state and territory governments. Funding is provided through the Dep</w:t>
      </w:r>
      <w:r>
        <w:t>artment of Industry (formerly the Department of Industry, Innovation, Climate Change,</w:t>
      </w:r>
      <w:r w:rsidRPr="00CA661F">
        <w:t xml:space="preserve"> Science, Research and Tertiary Education</w:t>
      </w:r>
      <w:r>
        <w:t>)</w:t>
      </w:r>
      <w:r w:rsidRPr="00CA661F">
        <w:t xml:space="preserve">. </w:t>
      </w:r>
    </w:p>
    <w:p w:rsidR="00A15E80" w:rsidRPr="00CA661F" w:rsidRDefault="00A15E80" w:rsidP="00A15E80">
      <w:pPr>
        <w:pStyle w:val="Text"/>
      </w:pPr>
      <w:r w:rsidRPr="00CA661F">
        <w:t xml:space="preserve">The NVETR Program is based on national research priorities approved by ministers with responsibility for vocational education and training. </w:t>
      </w:r>
    </w:p>
    <w:p w:rsidR="00A15E80" w:rsidRPr="00CA661F" w:rsidRDefault="00A15E80" w:rsidP="00A15E80">
      <w:pPr>
        <w:pStyle w:val="Text"/>
      </w:pPr>
      <w:r w:rsidRPr="00CA661F">
        <w:t>The author</w:t>
      </w:r>
      <w:r>
        <w:t>s</w:t>
      </w:r>
      <w:r w:rsidRPr="00CA661F">
        <w:t xml:space="preserve">/project team </w:t>
      </w:r>
      <w:r>
        <w:t>were</w:t>
      </w:r>
      <w:r w:rsidRPr="00CA661F">
        <w:t xml:space="preserve"> funded to undertake this research via a grant under the NVETR Program. The research grants are awarded to organisation</w:t>
      </w:r>
      <w:r>
        <w:t>s through a competitive process,</w:t>
      </w:r>
      <w:r w:rsidRPr="00CA661F">
        <w:t xml:space="preserve"> in which NCVER does not participate. To ensure the quality and relevance of the research, projects are selected using an independent and transparent process and research reports are peer-reviewed.</w:t>
      </w:r>
    </w:p>
    <w:p w:rsidR="00A15E80" w:rsidRPr="00CA661F" w:rsidRDefault="00A15E80" w:rsidP="00A15E80">
      <w:pPr>
        <w:pStyle w:val="Text"/>
      </w:pPr>
      <w:r w:rsidRPr="00CA661F">
        <w:t>The NVETR Program aims to improve policy and practice in the VET sector. The research effort itself is collaborative and requires strong relationships with the research community in Australia</w:t>
      </w:r>
      <w:r>
        <w:t>’</w:t>
      </w:r>
      <w:r w:rsidRPr="00CA661F">
        <w:t>s universities and beyond. NCVER may also involve various stakeholders, including state and territory governments, industry and practitioners, to inform the commissioned research and us</w:t>
      </w:r>
      <w:r>
        <w:t>e</w:t>
      </w:r>
      <w:r w:rsidRPr="00CA661F">
        <w:t xml:space="preserve"> a variety of mechanisms such as project roundtables and forums. </w:t>
      </w:r>
    </w:p>
    <w:p w:rsidR="00A15E80" w:rsidRPr="00FF41C9" w:rsidRDefault="00A15E80" w:rsidP="00A15E80">
      <w:pPr>
        <w:pStyle w:val="Text"/>
      </w:pPr>
      <w:proofErr w:type="gramStart"/>
      <w:r w:rsidRPr="00F613A3">
        <w:t>For further information about the program go to the NCVER website &lt;</w:t>
      </w:r>
      <w:r w:rsidR="00FE67F3">
        <w:t>http://</w:t>
      </w:r>
      <w:r w:rsidRPr="00F613A3">
        <w:t>www.ncver.edu.au&gt;.</w:t>
      </w:r>
      <w:proofErr w:type="gramEnd"/>
    </w:p>
    <w:p w:rsidR="00643B69" w:rsidRPr="00643B69" w:rsidRDefault="00643B69" w:rsidP="00643B69">
      <w:pPr>
        <w:pStyle w:val="Heading1"/>
      </w:pPr>
    </w:p>
    <w:sectPr w:rsidR="00643B69" w:rsidRPr="00643B69" w:rsidSect="00E36E0B">
      <w:footerReference w:type="even" r:id="rId14"/>
      <w:footerReference w:type="default" r:id="rId15"/>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07" w:rsidRDefault="00C44507">
      <w:r>
        <w:separator/>
      </w:r>
    </w:p>
  </w:endnote>
  <w:endnote w:type="continuationSeparator" w:id="0">
    <w:p w:rsidR="00C44507" w:rsidRDefault="00C44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07" w:rsidRPr="008C0A74" w:rsidRDefault="00C44507" w:rsidP="00FF5931">
    <w:pPr>
      <w:pStyle w:val="Footer"/>
      <w:tabs>
        <w:tab w:val="clear" w:pos="8505"/>
        <w:tab w:val="right" w:pos="8789"/>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07" w:rsidRPr="009775C7" w:rsidRDefault="00C44507"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07" w:rsidRPr="008C0A74" w:rsidRDefault="001C6182" w:rsidP="00FF5931">
    <w:pPr>
      <w:pStyle w:val="Footer"/>
      <w:tabs>
        <w:tab w:val="clear" w:pos="8505"/>
        <w:tab w:val="right" w:pos="8789"/>
      </w:tabs>
      <w:rPr>
        <w:b/>
      </w:rPr>
    </w:pPr>
    <w:r w:rsidRPr="001C6182">
      <w:rPr>
        <w:b/>
        <w:noProof/>
        <w:color w:val="FFFFFF" w:themeColor="background1"/>
        <w:lang w:eastAsia="en-AU"/>
      </w:rPr>
      <w:pict>
        <v:rect id="Rectangle 3" o:spid="_x0000_s6148" style="position:absolute;margin-left:-85.05pt;margin-top:-2.45pt;width:99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C44507" w:rsidRPr="008C0A74">
      <w:rPr>
        <w:b/>
        <w:color w:val="FFFFFF" w:themeColor="background1"/>
      </w:rPr>
      <w:instrText xml:space="preserve"> PAGE </w:instrText>
    </w:r>
    <w:r w:rsidRPr="008C0A74">
      <w:rPr>
        <w:b/>
        <w:color w:val="FFFFFF" w:themeColor="background1"/>
      </w:rPr>
      <w:fldChar w:fldCharType="separate"/>
    </w:r>
    <w:r w:rsidR="00D8706F">
      <w:rPr>
        <w:b/>
        <w:noProof/>
        <w:color w:val="FFFFFF" w:themeColor="background1"/>
      </w:rPr>
      <w:t>14</w:t>
    </w:r>
    <w:r w:rsidRPr="008C0A74">
      <w:rPr>
        <w:b/>
        <w:color w:val="FFFFFF" w:themeColor="background1"/>
      </w:rPr>
      <w:fldChar w:fldCharType="end"/>
    </w:r>
    <w:r w:rsidR="00C44507" w:rsidRPr="008C0A74">
      <w:rPr>
        <w:b/>
        <w:color w:val="FFFFFF" w:themeColor="background1"/>
      </w:rPr>
      <w:tab/>
    </w:r>
    <w:r w:rsidR="00C44507">
      <w:rPr>
        <w:b/>
      </w:rPr>
      <w:t>Issues for VET providers delivering associate and bachelor degrees: literature review</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07" w:rsidRPr="009775C7" w:rsidRDefault="001C6182" w:rsidP="008C0A74">
    <w:pPr>
      <w:pStyle w:val="Footer"/>
      <w:tabs>
        <w:tab w:val="clear" w:pos="8505"/>
        <w:tab w:val="right" w:pos="8789"/>
      </w:tabs>
      <w:rPr>
        <w:color w:val="FFFFFF" w:themeColor="background1"/>
      </w:rPr>
    </w:pPr>
    <w:r w:rsidRPr="001C6182">
      <w:rPr>
        <w:b/>
        <w:noProof/>
        <w:lang w:eastAsia="en-AU"/>
      </w:rPr>
      <w:pict>
        <v:rect id="Rectangle 4" o:spid="_x0000_s6147" style="position:absolute;margin-left:425.6pt;margin-top:-2.45pt;width:99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7lw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gALu5cCAABoBQAADgAAAAAAAAAAAAAAAAAuAgAAZHJzL2Uy&#10;b0RvYy54bWxQSwECLQAUAAYACAAAACEAwReIFeIAAAAKAQAADwAAAAAAAAAAAAAAAADxBAAAZHJz&#10;L2Rvd25yZXYueG1sUEsFBgAAAAAEAAQA8wAAAAAGAAAAAA==&#10;" fillcolor="black [3213]" stroked="f" strokecolor="#bfbfbf [2412]"/>
      </w:pict>
    </w:r>
    <w:r w:rsidR="00C44507" w:rsidRPr="009775C7">
      <w:rPr>
        <w:b/>
      </w:rPr>
      <w:t>NCVER</w:t>
    </w:r>
    <w:r w:rsidR="00C44507" w:rsidRPr="009775C7">
      <w:tab/>
    </w:r>
    <w:r w:rsidRPr="009775C7">
      <w:rPr>
        <w:rStyle w:val="PageNumber"/>
        <w:rFonts w:cs="Tahoma"/>
        <w:b/>
        <w:color w:val="FFFFFF" w:themeColor="background1"/>
        <w:sz w:val="17"/>
      </w:rPr>
      <w:fldChar w:fldCharType="begin"/>
    </w:r>
    <w:r w:rsidR="00C44507"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D8706F">
      <w:rPr>
        <w:rStyle w:val="PageNumber"/>
        <w:rFonts w:cs="Tahoma"/>
        <w:b/>
        <w:noProof/>
        <w:color w:val="FFFFFF" w:themeColor="background1"/>
        <w:sz w:val="17"/>
      </w:rPr>
      <w:t>13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07" w:rsidRDefault="00C44507">
      <w:r>
        <w:separator/>
      </w:r>
    </w:p>
  </w:footnote>
  <w:footnote w:type="continuationSeparator" w:id="0">
    <w:p w:rsidR="00C44507" w:rsidRDefault="00C44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2DF697D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2E6EF2"/>
    <w:multiLevelType w:val="hybridMultilevel"/>
    <w:tmpl w:val="1EAC23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A2907BF"/>
    <w:multiLevelType w:val="hybridMultilevel"/>
    <w:tmpl w:val="26420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0015E13"/>
    <w:multiLevelType w:val="hybridMultilevel"/>
    <w:tmpl w:val="B8A4E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E1322EC"/>
    <w:multiLevelType w:val="hybridMultilevel"/>
    <w:tmpl w:val="87EC02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C54675D"/>
    <w:multiLevelType w:val="hybridMultilevel"/>
    <w:tmpl w:val="D67CDC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A9163D"/>
    <w:multiLevelType w:val="hybridMultilevel"/>
    <w:tmpl w:val="BD3A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59C514EC"/>
    <w:multiLevelType w:val="hybridMultilevel"/>
    <w:tmpl w:val="C10C8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CE8682E"/>
    <w:multiLevelType w:val="hybridMultilevel"/>
    <w:tmpl w:val="30324E7C"/>
    <w:lvl w:ilvl="0" w:tplc="BEB2293C">
      <w:start w:val="1"/>
      <w:numFmt w:val="bullet"/>
      <w:lvlText w:val="-"/>
      <w:lvlJc w:val="left"/>
      <w:pPr>
        <w:ind w:left="1080" w:hanging="360"/>
      </w:pPr>
      <w:rPr>
        <w:rFonts w:ascii="Times New Roman" w:eastAsia="Times New Roman" w:hAnsi="Times New Roman" w:cs="Times New Roman"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194694"/>
    <w:multiLevelType w:val="hybridMultilevel"/>
    <w:tmpl w:val="87D2214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5"/>
  </w:num>
  <w:num w:numId="3">
    <w:abstractNumId w:val="10"/>
  </w:num>
  <w:num w:numId="4">
    <w:abstractNumId w:val="22"/>
  </w:num>
  <w:num w:numId="5">
    <w:abstractNumId w:val="13"/>
  </w:num>
  <w:num w:numId="6">
    <w:abstractNumId w:val="28"/>
  </w:num>
  <w:num w:numId="7">
    <w:abstractNumId w:val="32"/>
  </w:num>
  <w:num w:numId="8">
    <w:abstractNumId w:val="30"/>
  </w:num>
  <w:num w:numId="9">
    <w:abstractNumId w:val="35"/>
  </w:num>
  <w:num w:numId="10">
    <w:abstractNumId w:val="23"/>
  </w:num>
  <w:num w:numId="11">
    <w:abstractNumId w:val="19"/>
  </w:num>
  <w:num w:numId="12">
    <w:abstractNumId w:val="24"/>
  </w:num>
  <w:num w:numId="13">
    <w:abstractNumId w:val="27"/>
  </w:num>
  <w:num w:numId="14">
    <w:abstractNumId w:val="16"/>
  </w:num>
  <w:num w:numId="15">
    <w:abstractNumId w:val="2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6"/>
  </w:num>
  <w:num w:numId="27">
    <w:abstractNumId w:val="3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3"/>
  </w:num>
  <w:num w:numId="35">
    <w:abstractNumId w:val="11"/>
  </w:num>
  <w:num w:numId="36">
    <w:abstractNumId w:val="37"/>
  </w:num>
  <w:num w:numId="37">
    <w:abstractNumId w:val="20"/>
  </w:num>
  <w:num w:numId="38">
    <w:abstractNumId w:val="25"/>
  </w:num>
  <w:num w:numId="39">
    <w:abstractNumId w:val="31"/>
  </w:num>
  <w:num w:numId="40">
    <w:abstractNumId w:val="14"/>
  </w:num>
  <w:num w:numId="41">
    <w:abstractNumId w:val="18"/>
  </w:num>
  <w:num w:numId="42">
    <w:abstractNumId w:val="26"/>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A95306"/>
    <w:rsid w:val="0000208D"/>
    <w:rsid w:val="000108B2"/>
    <w:rsid w:val="00012B64"/>
    <w:rsid w:val="00013265"/>
    <w:rsid w:val="00013AF5"/>
    <w:rsid w:val="00022290"/>
    <w:rsid w:val="00022564"/>
    <w:rsid w:val="000227D8"/>
    <w:rsid w:val="000315D7"/>
    <w:rsid w:val="000420F5"/>
    <w:rsid w:val="0004260D"/>
    <w:rsid w:val="000448CC"/>
    <w:rsid w:val="000524E4"/>
    <w:rsid w:val="000607A4"/>
    <w:rsid w:val="0006125F"/>
    <w:rsid w:val="000631F0"/>
    <w:rsid w:val="0006552D"/>
    <w:rsid w:val="00074753"/>
    <w:rsid w:val="00074BD4"/>
    <w:rsid w:val="00085639"/>
    <w:rsid w:val="000A0745"/>
    <w:rsid w:val="000A4145"/>
    <w:rsid w:val="000B39F9"/>
    <w:rsid w:val="000E16ED"/>
    <w:rsid w:val="000F641C"/>
    <w:rsid w:val="001032EF"/>
    <w:rsid w:val="0010761A"/>
    <w:rsid w:val="00123B5C"/>
    <w:rsid w:val="00123D5F"/>
    <w:rsid w:val="00130EF1"/>
    <w:rsid w:val="00132888"/>
    <w:rsid w:val="00135C75"/>
    <w:rsid w:val="0014145C"/>
    <w:rsid w:val="001426BB"/>
    <w:rsid w:val="00143B0F"/>
    <w:rsid w:val="00144049"/>
    <w:rsid w:val="00150874"/>
    <w:rsid w:val="001509F3"/>
    <w:rsid w:val="00155839"/>
    <w:rsid w:val="00157690"/>
    <w:rsid w:val="00160E67"/>
    <w:rsid w:val="0016133C"/>
    <w:rsid w:val="00166EF6"/>
    <w:rsid w:val="00170452"/>
    <w:rsid w:val="00177827"/>
    <w:rsid w:val="00184504"/>
    <w:rsid w:val="00193E7D"/>
    <w:rsid w:val="001A327F"/>
    <w:rsid w:val="001A66AD"/>
    <w:rsid w:val="001B1475"/>
    <w:rsid w:val="001B43CF"/>
    <w:rsid w:val="001C2CB5"/>
    <w:rsid w:val="001C6182"/>
    <w:rsid w:val="001E6D2B"/>
    <w:rsid w:val="001F695E"/>
    <w:rsid w:val="001F7D84"/>
    <w:rsid w:val="00212F04"/>
    <w:rsid w:val="00225556"/>
    <w:rsid w:val="002277A9"/>
    <w:rsid w:val="002317BC"/>
    <w:rsid w:val="00233BFA"/>
    <w:rsid w:val="00245220"/>
    <w:rsid w:val="00274DD2"/>
    <w:rsid w:val="002767CF"/>
    <w:rsid w:val="00280D5E"/>
    <w:rsid w:val="00284FCB"/>
    <w:rsid w:val="002B0031"/>
    <w:rsid w:val="002D5908"/>
    <w:rsid w:val="002E196B"/>
    <w:rsid w:val="002E3412"/>
    <w:rsid w:val="002E7A7C"/>
    <w:rsid w:val="003030ED"/>
    <w:rsid w:val="003076A5"/>
    <w:rsid w:val="00317425"/>
    <w:rsid w:val="00325D2D"/>
    <w:rsid w:val="00330730"/>
    <w:rsid w:val="00334CE3"/>
    <w:rsid w:val="00340B4D"/>
    <w:rsid w:val="00341603"/>
    <w:rsid w:val="00341A54"/>
    <w:rsid w:val="00342A9F"/>
    <w:rsid w:val="00343547"/>
    <w:rsid w:val="00352DEE"/>
    <w:rsid w:val="00367223"/>
    <w:rsid w:val="00373B76"/>
    <w:rsid w:val="00397C94"/>
    <w:rsid w:val="003A67F6"/>
    <w:rsid w:val="003B16DA"/>
    <w:rsid w:val="003B483E"/>
    <w:rsid w:val="003B6201"/>
    <w:rsid w:val="003C49EF"/>
    <w:rsid w:val="003D36F2"/>
    <w:rsid w:val="003D5EB0"/>
    <w:rsid w:val="003D6251"/>
    <w:rsid w:val="003E1A35"/>
    <w:rsid w:val="003E3E5D"/>
    <w:rsid w:val="003E67CB"/>
    <w:rsid w:val="003F1D71"/>
    <w:rsid w:val="00402449"/>
    <w:rsid w:val="00404960"/>
    <w:rsid w:val="004202CD"/>
    <w:rsid w:val="00430FD7"/>
    <w:rsid w:val="004349FF"/>
    <w:rsid w:val="00435314"/>
    <w:rsid w:val="004422A0"/>
    <w:rsid w:val="00463556"/>
    <w:rsid w:val="00463E14"/>
    <w:rsid w:val="004640BA"/>
    <w:rsid w:val="00480079"/>
    <w:rsid w:val="0048643A"/>
    <w:rsid w:val="0048663C"/>
    <w:rsid w:val="00487375"/>
    <w:rsid w:val="0049151D"/>
    <w:rsid w:val="00493162"/>
    <w:rsid w:val="0049453B"/>
    <w:rsid w:val="00494E7C"/>
    <w:rsid w:val="004B0522"/>
    <w:rsid w:val="004C300D"/>
    <w:rsid w:val="004C4063"/>
    <w:rsid w:val="004C5AF3"/>
    <w:rsid w:val="004D4802"/>
    <w:rsid w:val="004D4EC3"/>
    <w:rsid w:val="004E05DA"/>
    <w:rsid w:val="004E43FB"/>
    <w:rsid w:val="004E7227"/>
    <w:rsid w:val="005005C4"/>
    <w:rsid w:val="005036CE"/>
    <w:rsid w:val="00505CCA"/>
    <w:rsid w:val="00513678"/>
    <w:rsid w:val="00517C41"/>
    <w:rsid w:val="00520315"/>
    <w:rsid w:val="00520FF3"/>
    <w:rsid w:val="0052276C"/>
    <w:rsid w:val="00523B68"/>
    <w:rsid w:val="0053219E"/>
    <w:rsid w:val="00541B94"/>
    <w:rsid w:val="00546B91"/>
    <w:rsid w:val="005477FB"/>
    <w:rsid w:val="00551407"/>
    <w:rsid w:val="00555ADA"/>
    <w:rsid w:val="00555B10"/>
    <w:rsid w:val="0055674B"/>
    <w:rsid w:val="0056652E"/>
    <w:rsid w:val="00570758"/>
    <w:rsid w:val="00577091"/>
    <w:rsid w:val="00586E04"/>
    <w:rsid w:val="00592ED9"/>
    <w:rsid w:val="005A1B42"/>
    <w:rsid w:val="005C277E"/>
    <w:rsid w:val="005C61F8"/>
    <w:rsid w:val="005D4FBB"/>
    <w:rsid w:val="005E4764"/>
    <w:rsid w:val="005F16CF"/>
    <w:rsid w:val="0060031A"/>
    <w:rsid w:val="006176DC"/>
    <w:rsid w:val="00643B69"/>
    <w:rsid w:val="00646093"/>
    <w:rsid w:val="0064690B"/>
    <w:rsid w:val="006470D2"/>
    <w:rsid w:val="006476A3"/>
    <w:rsid w:val="00652973"/>
    <w:rsid w:val="00655FA2"/>
    <w:rsid w:val="00656679"/>
    <w:rsid w:val="0067712D"/>
    <w:rsid w:val="00677993"/>
    <w:rsid w:val="00680710"/>
    <w:rsid w:val="00682A97"/>
    <w:rsid w:val="00685F07"/>
    <w:rsid w:val="00696A48"/>
    <w:rsid w:val="006A1CE4"/>
    <w:rsid w:val="006A544F"/>
    <w:rsid w:val="006C2976"/>
    <w:rsid w:val="006C5DA9"/>
    <w:rsid w:val="006D048E"/>
    <w:rsid w:val="006F50DF"/>
    <w:rsid w:val="00702D1D"/>
    <w:rsid w:val="007037A4"/>
    <w:rsid w:val="00705CA8"/>
    <w:rsid w:val="00731EC8"/>
    <w:rsid w:val="00734EA1"/>
    <w:rsid w:val="00736421"/>
    <w:rsid w:val="007379B1"/>
    <w:rsid w:val="00741686"/>
    <w:rsid w:val="00745258"/>
    <w:rsid w:val="00750294"/>
    <w:rsid w:val="00770620"/>
    <w:rsid w:val="00770A5A"/>
    <w:rsid w:val="007748F3"/>
    <w:rsid w:val="00783F44"/>
    <w:rsid w:val="00784F4E"/>
    <w:rsid w:val="00787494"/>
    <w:rsid w:val="00791235"/>
    <w:rsid w:val="007A1C57"/>
    <w:rsid w:val="007A2079"/>
    <w:rsid w:val="007B6C4A"/>
    <w:rsid w:val="007C3281"/>
    <w:rsid w:val="007C50A7"/>
    <w:rsid w:val="007C7333"/>
    <w:rsid w:val="007C75D3"/>
    <w:rsid w:val="007D4D60"/>
    <w:rsid w:val="007D518C"/>
    <w:rsid w:val="007E0F35"/>
    <w:rsid w:val="007E2D8C"/>
    <w:rsid w:val="007E52A8"/>
    <w:rsid w:val="007E7097"/>
    <w:rsid w:val="007F79F3"/>
    <w:rsid w:val="00800A2B"/>
    <w:rsid w:val="008056ED"/>
    <w:rsid w:val="00806C1C"/>
    <w:rsid w:val="00815BDE"/>
    <w:rsid w:val="00821BC2"/>
    <w:rsid w:val="00822423"/>
    <w:rsid w:val="00823149"/>
    <w:rsid w:val="00824981"/>
    <w:rsid w:val="00826757"/>
    <w:rsid w:val="00830EF8"/>
    <w:rsid w:val="008346F1"/>
    <w:rsid w:val="00837768"/>
    <w:rsid w:val="00841783"/>
    <w:rsid w:val="00842044"/>
    <w:rsid w:val="0084604B"/>
    <w:rsid w:val="00852661"/>
    <w:rsid w:val="00855194"/>
    <w:rsid w:val="00855222"/>
    <w:rsid w:val="00867601"/>
    <w:rsid w:val="00873CE4"/>
    <w:rsid w:val="00874DA5"/>
    <w:rsid w:val="008923B6"/>
    <w:rsid w:val="00894271"/>
    <w:rsid w:val="008B22E2"/>
    <w:rsid w:val="008B4B8A"/>
    <w:rsid w:val="008C0A74"/>
    <w:rsid w:val="008C2283"/>
    <w:rsid w:val="008C27D9"/>
    <w:rsid w:val="008C4F72"/>
    <w:rsid w:val="008C6987"/>
    <w:rsid w:val="008D2941"/>
    <w:rsid w:val="008D5A7E"/>
    <w:rsid w:val="008D7A38"/>
    <w:rsid w:val="008E1AD1"/>
    <w:rsid w:val="008F0746"/>
    <w:rsid w:val="008F20BA"/>
    <w:rsid w:val="008F76B8"/>
    <w:rsid w:val="0090075B"/>
    <w:rsid w:val="0090094C"/>
    <w:rsid w:val="00902B41"/>
    <w:rsid w:val="009054BE"/>
    <w:rsid w:val="009058B5"/>
    <w:rsid w:val="00914769"/>
    <w:rsid w:val="00924090"/>
    <w:rsid w:val="00933317"/>
    <w:rsid w:val="00941446"/>
    <w:rsid w:val="009424D2"/>
    <w:rsid w:val="009461ED"/>
    <w:rsid w:val="009525C9"/>
    <w:rsid w:val="0095303B"/>
    <w:rsid w:val="009538E6"/>
    <w:rsid w:val="009704E4"/>
    <w:rsid w:val="009775C7"/>
    <w:rsid w:val="009848AD"/>
    <w:rsid w:val="00995E3B"/>
    <w:rsid w:val="009B15A2"/>
    <w:rsid w:val="009B1FE5"/>
    <w:rsid w:val="009B336F"/>
    <w:rsid w:val="009B4127"/>
    <w:rsid w:val="009C22BE"/>
    <w:rsid w:val="009D1388"/>
    <w:rsid w:val="009D16B4"/>
    <w:rsid w:val="009D769C"/>
    <w:rsid w:val="009E20E0"/>
    <w:rsid w:val="009E231A"/>
    <w:rsid w:val="009E2F64"/>
    <w:rsid w:val="009E30DA"/>
    <w:rsid w:val="009E6227"/>
    <w:rsid w:val="009E662A"/>
    <w:rsid w:val="00A070B6"/>
    <w:rsid w:val="00A10A6B"/>
    <w:rsid w:val="00A10E2B"/>
    <w:rsid w:val="00A15E80"/>
    <w:rsid w:val="00A270EA"/>
    <w:rsid w:val="00A30084"/>
    <w:rsid w:val="00A50895"/>
    <w:rsid w:val="00A54931"/>
    <w:rsid w:val="00A5674C"/>
    <w:rsid w:val="00A567A3"/>
    <w:rsid w:val="00A56A4A"/>
    <w:rsid w:val="00A5768C"/>
    <w:rsid w:val="00A70875"/>
    <w:rsid w:val="00A73318"/>
    <w:rsid w:val="00A82C3F"/>
    <w:rsid w:val="00A84928"/>
    <w:rsid w:val="00A93867"/>
    <w:rsid w:val="00A95306"/>
    <w:rsid w:val="00AA1211"/>
    <w:rsid w:val="00AA334D"/>
    <w:rsid w:val="00AA44D4"/>
    <w:rsid w:val="00AB0CC4"/>
    <w:rsid w:val="00AB16FE"/>
    <w:rsid w:val="00AB7C9D"/>
    <w:rsid w:val="00AC688A"/>
    <w:rsid w:val="00AF1005"/>
    <w:rsid w:val="00AF4153"/>
    <w:rsid w:val="00B03AD8"/>
    <w:rsid w:val="00B05F5C"/>
    <w:rsid w:val="00B1501B"/>
    <w:rsid w:val="00B3404A"/>
    <w:rsid w:val="00B41272"/>
    <w:rsid w:val="00B426FE"/>
    <w:rsid w:val="00B4281D"/>
    <w:rsid w:val="00B45FAD"/>
    <w:rsid w:val="00B55C78"/>
    <w:rsid w:val="00B64D8D"/>
    <w:rsid w:val="00B77043"/>
    <w:rsid w:val="00B861F2"/>
    <w:rsid w:val="00B86D06"/>
    <w:rsid w:val="00BB113D"/>
    <w:rsid w:val="00BC6D6F"/>
    <w:rsid w:val="00BC770A"/>
    <w:rsid w:val="00BC7C47"/>
    <w:rsid w:val="00BF06CD"/>
    <w:rsid w:val="00BF5997"/>
    <w:rsid w:val="00BF690E"/>
    <w:rsid w:val="00C053D5"/>
    <w:rsid w:val="00C2185D"/>
    <w:rsid w:val="00C22199"/>
    <w:rsid w:val="00C25A27"/>
    <w:rsid w:val="00C306B2"/>
    <w:rsid w:val="00C33DD4"/>
    <w:rsid w:val="00C37003"/>
    <w:rsid w:val="00C376D1"/>
    <w:rsid w:val="00C436C7"/>
    <w:rsid w:val="00C44507"/>
    <w:rsid w:val="00C4709B"/>
    <w:rsid w:val="00C52849"/>
    <w:rsid w:val="00C54125"/>
    <w:rsid w:val="00C559F5"/>
    <w:rsid w:val="00C63294"/>
    <w:rsid w:val="00C64FF7"/>
    <w:rsid w:val="00C77652"/>
    <w:rsid w:val="00C77DC6"/>
    <w:rsid w:val="00C801DA"/>
    <w:rsid w:val="00C811FD"/>
    <w:rsid w:val="00C81306"/>
    <w:rsid w:val="00C87A43"/>
    <w:rsid w:val="00C926F0"/>
    <w:rsid w:val="00C9656D"/>
    <w:rsid w:val="00CA09B3"/>
    <w:rsid w:val="00CA0B84"/>
    <w:rsid w:val="00CA4AFC"/>
    <w:rsid w:val="00CA5C6A"/>
    <w:rsid w:val="00CA6556"/>
    <w:rsid w:val="00CD5F32"/>
    <w:rsid w:val="00CF06C6"/>
    <w:rsid w:val="00CF3CED"/>
    <w:rsid w:val="00CF4A9A"/>
    <w:rsid w:val="00CF7C87"/>
    <w:rsid w:val="00D01438"/>
    <w:rsid w:val="00D0189C"/>
    <w:rsid w:val="00D35375"/>
    <w:rsid w:val="00D36994"/>
    <w:rsid w:val="00D42C93"/>
    <w:rsid w:val="00D43B5F"/>
    <w:rsid w:val="00D61790"/>
    <w:rsid w:val="00D806B0"/>
    <w:rsid w:val="00D8272B"/>
    <w:rsid w:val="00D8458E"/>
    <w:rsid w:val="00D86BA6"/>
    <w:rsid w:val="00D8706F"/>
    <w:rsid w:val="00D915AF"/>
    <w:rsid w:val="00D92B79"/>
    <w:rsid w:val="00DA0634"/>
    <w:rsid w:val="00DA1070"/>
    <w:rsid w:val="00DA4952"/>
    <w:rsid w:val="00DB2882"/>
    <w:rsid w:val="00DB4CF1"/>
    <w:rsid w:val="00DB599C"/>
    <w:rsid w:val="00DC3904"/>
    <w:rsid w:val="00DC3B78"/>
    <w:rsid w:val="00DC5F5C"/>
    <w:rsid w:val="00DE2C71"/>
    <w:rsid w:val="00DE6744"/>
    <w:rsid w:val="00DE794A"/>
    <w:rsid w:val="00E03852"/>
    <w:rsid w:val="00E06B95"/>
    <w:rsid w:val="00E123CB"/>
    <w:rsid w:val="00E14FA9"/>
    <w:rsid w:val="00E155B7"/>
    <w:rsid w:val="00E22C71"/>
    <w:rsid w:val="00E236D0"/>
    <w:rsid w:val="00E365F8"/>
    <w:rsid w:val="00E36E0B"/>
    <w:rsid w:val="00E45A10"/>
    <w:rsid w:val="00E52313"/>
    <w:rsid w:val="00E56EC1"/>
    <w:rsid w:val="00E57478"/>
    <w:rsid w:val="00E60E35"/>
    <w:rsid w:val="00E63CD2"/>
    <w:rsid w:val="00E6682A"/>
    <w:rsid w:val="00E71316"/>
    <w:rsid w:val="00E81A91"/>
    <w:rsid w:val="00E8689E"/>
    <w:rsid w:val="00E90E19"/>
    <w:rsid w:val="00E93B50"/>
    <w:rsid w:val="00E949E4"/>
    <w:rsid w:val="00E95812"/>
    <w:rsid w:val="00E95948"/>
    <w:rsid w:val="00EA1951"/>
    <w:rsid w:val="00EB1308"/>
    <w:rsid w:val="00EB6104"/>
    <w:rsid w:val="00EC0CAE"/>
    <w:rsid w:val="00EC29E3"/>
    <w:rsid w:val="00EC3B91"/>
    <w:rsid w:val="00ED24F6"/>
    <w:rsid w:val="00ED4D6D"/>
    <w:rsid w:val="00ED5DD0"/>
    <w:rsid w:val="00ED6524"/>
    <w:rsid w:val="00ED6A8A"/>
    <w:rsid w:val="00EE0335"/>
    <w:rsid w:val="00EE42D9"/>
    <w:rsid w:val="00EE67B3"/>
    <w:rsid w:val="00EF151D"/>
    <w:rsid w:val="00F062F5"/>
    <w:rsid w:val="00F16125"/>
    <w:rsid w:val="00F168E5"/>
    <w:rsid w:val="00F27DA7"/>
    <w:rsid w:val="00F37C87"/>
    <w:rsid w:val="00F47D03"/>
    <w:rsid w:val="00F57932"/>
    <w:rsid w:val="00F60BA5"/>
    <w:rsid w:val="00F8616D"/>
    <w:rsid w:val="00F8762F"/>
    <w:rsid w:val="00F93048"/>
    <w:rsid w:val="00FA2406"/>
    <w:rsid w:val="00FA584E"/>
    <w:rsid w:val="00FA77A1"/>
    <w:rsid w:val="00FA79F7"/>
    <w:rsid w:val="00FB11D2"/>
    <w:rsid w:val="00FB3187"/>
    <w:rsid w:val="00FB3624"/>
    <w:rsid w:val="00FC5496"/>
    <w:rsid w:val="00FC70EE"/>
    <w:rsid w:val="00FD2408"/>
    <w:rsid w:val="00FD442B"/>
    <w:rsid w:val="00FD4667"/>
    <w:rsid w:val="00FD4E44"/>
    <w:rsid w:val="00FD4FB2"/>
    <w:rsid w:val="00FE3F74"/>
    <w:rsid w:val="00FE4A2D"/>
    <w:rsid w:val="00FE67F3"/>
    <w:rsid w:val="00FF246B"/>
    <w:rsid w:val="00FF41C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E36E0B"/>
    <w:pPr>
      <w:spacing w:before="160" w:line="260" w:lineRule="exact"/>
    </w:pPr>
    <w:rPr>
      <w:rFonts w:ascii="Trebuchet MS" w:hAnsi="Trebuchet MS"/>
      <w:sz w:val="19"/>
      <w:lang w:val="en-AU"/>
    </w:rPr>
  </w:style>
  <w:style w:type="paragraph" w:styleId="Heading1">
    <w:name w:val="heading 1"/>
    <w:next w:val="Text"/>
    <w:link w:val="Heading1Char"/>
    <w:uiPriority w:val="9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ED6A8A"/>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768C"/>
    <w:pPr>
      <w:tabs>
        <w:tab w:val="left" w:pos="170"/>
      </w:tabs>
      <w:spacing w:before="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customStyle="1" w:styleId="Default">
    <w:name w:val="Default"/>
    <w:rsid w:val="00EB6104"/>
    <w:pPr>
      <w:autoSpaceDE w:val="0"/>
      <w:autoSpaceDN w:val="0"/>
      <w:adjustRightInd w:val="0"/>
    </w:pPr>
    <w:rPr>
      <w:rFonts w:ascii="Trebuchet MS" w:eastAsiaTheme="minorHAnsi" w:hAnsi="Trebuchet MS" w:cs="Trebuchet MS"/>
      <w:color w:val="000000"/>
      <w:sz w:val="24"/>
      <w:szCs w:val="24"/>
      <w:lang w:val="en-AU"/>
    </w:rPr>
  </w:style>
  <w:style w:type="paragraph" w:styleId="ListBullet">
    <w:name w:val="List Bullet"/>
    <w:basedOn w:val="Normal"/>
    <w:uiPriority w:val="99"/>
    <w:unhideWhenUsed/>
    <w:rsid w:val="00F16125"/>
    <w:pPr>
      <w:tabs>
        <w:tab w:val="num" w:pos="4755"/>
      </w:tabs>
      <w:spacing w:before="0" w:line="276" w:lineRule="auto"/>
      <w:ind w:left="4755" w:hanging="36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FB3624"/>
    <w:rPr>
      <w:sz w:val="16"/>
      <w:szCs w:val="16"/>
    </w:rPr>
  </w:style>
  <w:style w:type="paragraph" w:styleId="CommentText">
    <w:name w:val="annotation text"/>
    <w:basedOn w:val="Normal"/>
    <w:link w:val="CommentTextChar"/>
    <w:uiPriority w:val="99"/>
    <w:semiHidden/>
    <w:rsid w:val="00FB3624"/>
    <w:pPr>
      <w:spacing w:line="240" w:lineRule="auto"/>
    </w:pPr>
    <w:rPr>
      <w:sz w:val="20"/>
    </w:rPr>
  </w:style>
  <w:style w:type="character" w:customStyle="1" w:styleId="CommentTextChar">
    <w:name w:val="Comment Text Char"/>
    <w:basedOn w:val="DefaultParagraphFont"/>
    <w:link w:val="CommentText"/>
    <w:uiPriority w:val="99"/>
    <w:semiHidden/>
    <w:rsid w:val="00FB3624"/>
    <w:rPr>
      <w:rFonts w:ascii="Trebuchet MS" w:hAnsi="Trebuchet MS"/>
      <w:lang w:val="en-AU"/>
    </w:rPr>
  </w:style>
  <w:style w:type="paragraph" w:styleId="CommentSubject">
    <w:name w:val="annotation subject"/>
    <w:basedOn w:val="CommentText"/>
    <w:next w:val="CommentText"/>
    <w:link w:val="CommentSubjectChar"/>
    <w:uiPriority w:val="99"/>
    <w:semiHidden/>
    <w:rsid w:val="00FB3624"/>
    <w:rPr>
      <w:b/>
      <w:bCs/>
    </w:rPr>
  </w:style>
  <w:style w:type="character" w:customStyle="1" w:styleId="CommentSubjectChar">
    <w:name w:val="Comment Subject Char"/>
    <w:basedOn w:val="CommentTextChar"/>
    <w:link w:val="CommentSubject"/>
    <w:uiPriority w:val="99"/>
    <w:semiHidden/>
    <w:rsid w:val="00FB3624"/>
    <w:rPr>
      <w:rFonts w:ascii="Trebuchet MS" w:hAnsi="Trebuchet MS"/>
      <w:b/>
      <w:bCs/>
      <w:lang w:val="en-AU"/>
    </w:rPr>
  </w:style>
  <w:style w:type="character" w:customStyle="1" w:styleId="Heading1Char">
    <w:name w:val="Heading 1 Char"/>
    <w:basedOn w:val="DefaultParagraphFont"/>
    <w:link w:val="Heading1"/>
    <w:uiPriority w:val="99"/>
    <w:rsid w:val="00A15E80"/>
    <w:rPr>
      <w:rFonts w:ascii="Tahoma" w:hAnsi="Tahoma" w:cs="Tahoma"/>
      <w:color w:val="000000"/>
      <w:kern w:val="28"/>
      <w:sz w:val="56"/>
      <w:szCs w:val="5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736421"/>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768C"/>
    <w:pPr>
      <w:tabs>
        <w:tab w:val="left" w:pos="170"/>
      </w:tabs>
      <w:spacing w:before="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customStyle="1" w:styleId="Default">
    <w:name w:val="Default"/>
    <w:rsid w:val="00EB6104"/>
    <w:pPr>
      <w:autoSpaceDE w:val="0"/>
      <w:autoSpaceDN w:val="0"/>
      <w:adjustRightInd w:val="0"/>
    </w:pPr>
    <w:rPr>
      <w:rFonts w:ascii="Trebuchet MS" w:eastAsiaTheme="minorHAnsi" w:hAnsi="Trebuchet MS" w:cs="Trebuchet MS"/>
      <w:color w:val="000000"/>
      <w:sz w:val="24"/>
      <w:szCs w:val="24"/>
      <w:lang w:val="en-AU"/>
    </w:rPr>
  </w:style>
  <w:style w:type="paragraph" w:styleId="ListBullet">
    <w:name w:val="List Bullet"/>
    <w:basedOn w:val="Normal"/>
    <w:uiPriority w:val="99"/>
    <w:unhideWhenUsed/>
    <w:rsid w:val="00F16125"/>
    <w:pPr>
      <w:tabs>
        <w:tab w:val="num" w:pos="4755"/>
      </w:tabs>
      <w:spacing w:before="0" w:line="276" w:lineRule="auto"/>
      <w:ind w:left="4755" w:hanging="36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FB3624"/>
    <w:rPr>
      <w:sz w:val="16"/>
      <w:szCs w:val="16"/>
    </w:rPr>
  </w:style>
  <w:style w:type="paragraph" w:styleId="CommentText">
    <w:name w:val="annotation text"/>
    <w:basedOn w:val="Normal"/>
    <w:link w:val="CommentTextChar"/>
    <w:uiPriority w:val="99"/>
    <w:semiHidden/>
    <w:rsid w:val="00FB3624"/>
    <w:pPr>
      <w:spacing w:line="240" w:lineRule="auto"/>
    </w:pPr>
    <w:rPr>
      <w:sz w:val="20"/>
    </w:rPr>
  </w:style>
  <w:style w:type="character" w:customStyle="1" w:styleId="CommentTextChar">
    <w:name w:val="Comment Text Char"/>
    <w:basedOn w:val="DefaultParagraphFont"/>
    <w:link w:val="CommentText"/>
    <w:uiPriority w:val="99"/>
    <w:semiHidden/>
    <w:rsid w:val="00FB3624"/>
    <w:rPr>
      <w:rFonts w:ascii="Trebuchet MS" w:hAnsi="Trebuchet MS"/>
      <w:lang w:val="en-AU"/>
    </w:rPr>
  </w:style>
  <w:style w:type="paragraph" w:styleId="CommentSubject">
    <w:name w:val="annotation subject"/>
    <w:basedOn w:val="CommentText"/>
    <w:next w:val="CommentText"/>
    <w:link w:val="CommentSubjectChar"/>
    <w:uiPriority w:val="99"/>
    <w:semiHidden/>
    <w:rsid w:val="00FB3624"/>
    <w:rPr>
      <w:b/>
      <w:bCs/>
    </w:rPr>
  </w:style>
  <w:style w:type="character" w:customStyle="1" w:styleId="CommentSubjectChar">
    <w:name w:val="Comment Subject Char"/>
    <w:basedOn w:val="CommentTextChar"/>
    <w:link w:val="CommentSubject"/>
    <w:uiPriority w:val="99"/>
    <w:semiHidden/>
    <w:rsid w:val="00FB3624"/>
    <w:rPr>
      <w:rFonts w:ascii="Trebuchet MS" w:hAnsi="Trebuchet MS"/>
      <w:b/>
      <w:bCs/>
      <w:lang w:val="en-AU"/>
    </w:rPr>
  </w:style>
</w:styles>
</file>

<file path=word/webSettings.xml><?xml version="1.0" encoding="utf-8"?>
<w:webSettings xmlns:r="http://schemas.openxmlformats.org/officeDocument/2006/relationships" xmlns:w="http://schemas.openxmlformats.org/wordprocessingml/2006/main">
  <w:divs>
    <w:div w:id="1630285512">
      <w:bodyDiv w:val="1"/>
      <w:marLeft w:val="0"/>
      <w:marRight w:val="0"/>
      <w:marTop w:val="0"/>
      <w:marBottom w:val="0"/>
      <w:divBdr>
        <w:top w:val="none" w:sz="0" w:space="0" w:color="auto"/>
        <w:left w:val="none" w:sz="0" w:space="0" w:color="auto"/>
        <w:bottom w:val="none" w:sz="0" w:space="0" w:color="auto"/>
        <w:right w:val="none" w:sz="0" w:space="0" w:color="auto"/>
      </w:divBdr>
      <w:divsChild>
        <w:div w:id="1115834812">
          <w:marLeft w:val="0"/>
          <w:marRight w:val="0"/>
          <w:marTop w:val="0"/>
          <w:marBottom w:val="0"/>
          <w:divBdr>
            <w:top w:val="none" w:sz="0" w:space="0" w:color="auto"/>
            <w:left w:val="none" w:sz="0" w:space="0" w:color="auto"/>
            <w:bottom w:val="none" w:sz="0" w:space="0" w:color="auto"/>
            <w:right w:val="none" w:sz="0" w:space="0" w:color="auto"/>
          </w:divBdr>
          <w:divsChild>
            <w:div w:id="1917979107">
              <w:marLeft w:val="0"/>
              <w:marRight w:val="0"/>
              <w:marTop w:val="0"/>
              <w:marBottom w:val="0"/>
              <w:divBdr>
                <w:top w:val="none" w:sz="0" w:space="0" w:color="auto"/>
                <w:left w:val="none" w:sz="0" w:space="0" w:color="auto"/>
                <w:bottom w:val="none" w:sz="0" w:space="0" w:color="auto"/>
                <w:right w:val="none" w:sz="0" w:space="0" w:color="auto"/>
              </w:divBdr>
              <w:divsChild>
                <w:div w:id="1762681747">
                  <w:marLeft w:val="0"/>
                  <w:marRight w:val="150"/>
                  <w:marTop w:val="0"/>
                  <w:marBottom w:val="0"/>
                  <w:divBdr>
                    <w:top w:val="none" w:sz="0" w:space="0" w:color="auto"/>
                    <w:left w:val="none" w:sz="0" w:space="0" w:color="auto"/>
                    <w:bottom w:val="none" w:sz="0" w:space="0" w:color="auto"/>
                    <w:right w:val="none" w:sz="0" w:space="0" w:color="auto"/>
                  </w:divBdr>
                  <w:divsChild>
                    <w:div w:id="1176455556">
                      <w:marLeft w:val="0"/>
                      <w:marRight w:val="0"/>
                      <w:marTop w:val="0"/>
                      <w:marBottom w:val="0"/>
                      <w:divBdr>
                        <w:top w:val="none" w:sz="0" w:space="0" w:color="auto"/>
                        <w:left w:val="none" w:sz="0" w:space="0" w:color="auto"/>
                        <w:bottom w:val="none" w:sz="0" w:space="0" w:color="auto"/>
                        <w:right w:val="none" w:sz="0" w:space="0" w:color="auto"/>
                      </w:divBdr>
                    </w:div>
                  </w:divsChild>
                </w:div>
                <w:div w:id="797843805">
                  <w:marLeft w:val="150"/>
                  <w:marRight w:val="150"/>
                  <w:marTop w:val="300"/>
                  <w:marBottom w:val="0"/>
                  <w:divBdr>
                    <w:top w:val="none" w:sz="0" w:space="0" w:color="auto"/>
                    <w:left w:val="none" w:sz="0" w:space="0" w:color="auto"/>
                    <w:bottom w:val="none" w:sz="0" w:space="0" w:color="auto"/>
                    <w:right w:val="none" w:sz="0" w:space="0" w:color="auto"/>
                  </w:divBdr>
                  <w:divsChild>
                    <w:div w:id="172184186">
                      <w:marLeft w:val="0"/>
                      <w:marRight w:val="0"/>
                      <w:marTop w:val="0"/>
                      <w:marBottom w:val="0"/>
                      <w:divBdr>
                        <w:top w:val="none" w:sz="0" w:space="0" w:color="auto"/>
                        <w:left w:val="none" w:sz="0" w:space="0" w:color="auto"/>
                        <w:bottom w:val="none" w:sz="0" w:space="0" w:color="auto"/>
                        <w:right w:val="none" w:sz="0" w:space="0" w:color="auto"/>
                      </w:divBdr>
                      <w:divsChild>
                        <w:div w:id="1146776757">
                          <w:marLeft w:val="0"/>
                          <w:marRight w:val="0"/>
                          <w:marTop w:val="0"/>
                          <w:marBottom w:val="0"/>
                          <w:divBdr>
                            <w:top w:val="none" w:sz="0" w:space="0" w:color="auto"/>
                            <w:left w:val="none" w:sz="0" w:space="0" w:color="auto"/>
                            <w:bottom w:val="none" w:sz="0" w:space="0" w:color="auto"/>
                            <w:right w:val="none" w:sz="0" w:space="0" w:color="auto"/>
                          </w:divBdr>
                          <w:divsChild>
                            <w:div w:id="1807316438">
                              <w:marLeft w:val="0"/>
                              <w:marRight w:val="0"/>
                              <w:marTop w:val="0"/>
                              <w:marBottom w:val="0"/>
                              <w:divBdr>
                                <w:top w:val="none" w:sz="0" w:space="0" w:color="auto"/>
                                <w:left w:val="none" w:sz="0" w:space="0" w:color="auto"/>
                                <w:bottom w:val="none" w:sz="0" w:space="0" w:color="auto"/>
                                <w:right w:val="none" w:sz="0" w:space="0" w:color="auto"/>
                              </w:divBdr>
                              <w:divsChild>
                                <w:div w:id="1120881989">
                                  <w:marLeft w:val="0"/>
                                  <w:marRight w:val="0"/>
                                  <w:marTop w:val="0"/>
                                  <w:marBottom w:val="0"/>
                                  <w:divBdr>
                                    <w:top w:val="none" w:sz="0" w:space="0" w:color="auto"/>
                                    <w:left w:val="none" w:sz="0" w:space="0" w:color="auto"/>
                                    <w:bottom w:val="none" w:sz="0" w:space="0" w:color="auto"/>
                                    <w:right w:val="none" w:sz="0" w:space="0" w:color="auto"/>
                                  </w:divBdr>
                                  <w:divsChild>
                                    <w:div w:id="1305038515">
                                      <w:marLeft w:val="0"/>
                                      <w:marRight w:val="0"/>
                                      <w:marTop w:val="0"/>
                                      <w:marBottom w:val="0"/>
                                      <w:divBdr>
                                        <w:top w:val="none" w:sz="0" w:space="0" w:color="auto"/>
                                        <w:left w:val="none" w:sz="0" w:space="0" w:color="auto"/>
                                        <w:bottom w:val="none" w:sz="0" w:space="0" w:color="auto"/>
                                        <w:right w:val="none" w:sz="0" w:space="0" w:color="auto"/>
                                      </w:divBdr>
                                      <w:divsChild>
                                        <w:div w:id="1459299943">
                                          <w:marLeft w:val="0"/>
                                          <w:marRight w:val="0"/>
                                          <w:marTop w:val="0"/>
                                          <w:marBottom w:val="0"/>
                                          <w:divBdr>
                                            <w:top w:val="none" w:sz="0" w:space="0" w:color="auto"/>
                                            <w:left w:val="none" w:sz="0" w:space="0" w:color="auto"/>
                                            <w:bottom w:val="none" w:sz="0" w:space="0" w:color="auto"/>
                                            <w:right w:val="none" w:sz="0" w:space="0" w:color="auto"/>
                                          </w:divBdr>
                                          <w:divsChild>
                                            <w:div w:id="1300762150">
                                              <w:marLeft w:val="0"/>
                                              <w:marRight w:val="0"/>
                                              <w:marTop w:val="0"/>
                                              <w:marBottom w:val="0"/>
                                              <w:divBdr>
                                                <w:top w:val="none" w:sz="0" w:space="0" w:color="auto"/>
                                                <w:left w:val="none" w:sz="0" w:space="0" w:color="auto"/>
                                                <w:bottom w:val="none" w:sz="0" w:space="0" w:color="auto"/>
                                                <w:right w:val="none" w:sz="0" w:space="0" w:color="auto"/>
                                              </w:divBdr>
                                              <w:divsChild>
                                                <w:div w:id="4860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8F035-41FA-4ACD-A76C-5CC19A19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21</Pages>
  <Words>8228</Words>
  <Characters>46903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55021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Cook</dc:creator>
  <cp:lastModifiedBy>kayemcadam</cp:lastModifiedBy>
  <cp:revision>17</cp:revision>
  <cp:lastPrinted>2013-10-24T05:05:00Z</cp:lastPrinted>
  <dcterms:created xsi:type="dcterms:W3CDTF">2013-10-08T06:36:00Z</dcterms:created>
  <dcterms:modified xsi:type="dcterms:W3CDTF">2013-11-10T21:58:00Z</dcterms:modified>
</cp:coreProperties>
</file>